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0991E">
      <w:pPr>
        <w:jc w:val="center"/>
        <w:rPr>
          <w:rFonts w:hint="eastAsia" w:ascii="宋体" w:hAnsi="宋体" w:eastAsia="宋体" w:cs="宋体"/>
          <w:b/>
          <w:bCs/>
          <w:color w:val="auto"/>
          <w:sz w:val="48"/>
          <w:szCs w:val="48"/>
          <w:lang w:eastAsia="zh-CN"/>
        </w:rPr>
      </w:pPr>
      <w:r>
        <w:rPr>
          <w:rFonts w:hint="eastAsia" w:ascii="宋体" w:hAnsi="宋体" w:eastAsia="宋体" w:cs="宋体"/>
          <w:b/>
          <w:bCs/>
          <w:color w:val="auto"/>
          <w:sz w:val="48"/>
          <w:szCs w:val="48"/>
          <w:lang w:eastAsia="zh-CN"/>
        </w:rPr>
        <w:drawing>
          <wp:anchor distT="0" distB="0" distL="114300" distR="114300" simplePos="0" relativeHeight="251659264" behindDoc="0" locked="0" layoutInCell="1" allowOverlap="1">
            <wp:simplePos x="0" y="0"/>
            <wp:positionH relativeFrom="column">
              <wp:posOffset>-688340</wp:posOffset>
            </wp:positionH>
            <wp:positionV relativeFrom="paragraph">
              <wp:posOffset>-631825</wp:posOffset>
            </wp:positionV>
            <wp:extent cx="7432040" cy="10551795"/>
            <wp:effectExtent l="0" t="0" r="16510" b="1905"/>
            <wp:wrapNone/>
            <wp:docPr id="2" name="图片 2" descr="Scan20251216160719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can20251216160719_001"/>
                    <pic:cNvPicPr>
                      <a:picLocks noChangeAspect="1"/>
                    </pic:cNvPicPr>
                  </pic:nvPicPr>
                  <pic:blipFill>
                    <a:blip r:embed="rId9"/>
                    <a:stretch>
                      <a:fillRect/>
                    </a:stretch>
                  </pic:blipFill>
                  <pic:spPr>
                    <a:xfrm>
                      <a:off x="0" y="0"/>
                      <a:ext cx="7432040" cy="10551795"/>
                    </a:xfrm>
                    <a:prstGeom prst="rect">
                      <a:avLst/>
                    </a:prstGeom>
                  </pic:spPr>
                </pic:pic>
              </a:graphicData>
            </a:graphic>
          </wp:anchor>
        </w:drawing>
      </w:r>
    </w:p>
    <w:p w14:paraId="170110E2">
      <w:pPr>
        <w:jc w:val="center"/>
        <w:rPr>
          <w:rFonts w:hint="eastAsia" w:ascii="宋体" w:hAnsi="宋体" w:cs="宋体"/>
          <w:b/>
          <w:bCs/>
          <w:color w:val="auto"/>
          <w:sz w:val="48"/>
          <w:szCs w:val="48"/>
          <w:lang w:eastAsia="zh-CN"/>
        </w:rPr>
      </w:pPr>
      <w:r>
        <w:rPr>
          <w:rFonts w:hint="eastAsia" w:ascii="宋体" w:hAnsi="宋体" w:cs="宋体"/>
          <w:b/>
          <w:bCs/>
          <w:color w:val="auto"/>
          <w:sz w:val="48"/>
          <w:szCs w:val="48"/>
          <w:lang w:eastAsia="zh-CN"/>
        </w:rPr>
        <w:t>义马市东区卫生院康复科业务能力提升医疗</w:t>
      </w:r>
    </w:p>
    <w:p w14:paraId="42CD2B97">
      <w:pPr>
        <w:jc w:val="center"/>
        <w:rPr>
          <w:rFonts w:hint="eastAsia" w:ascii="宋体" w:hAnsi="宋体" w:eastAsia="宋体" w:cs="宋体"/>
          <w:color w:val="auto"/>
          <w:sz w:val="52"/>
          <w:szCs w:val="52"/>
          <w:lang w:eastAsia="zh-CN"/>
        </w:rPr>
      </w:pPr>
      <w:r>
        <w:rPr>
          <w:rFonts w:hint="eastAsia" w:ascii="宋体" w:hAnsi="宋体" w:cs="宋体"/>
          <w:b/>
          <w:bCs/>
          <w:color w:val="auto"/>
          <w:sz w:val="48"/>
          <w:szCs w:val="48"/>
          <w:lang w:eastAsia="zh-CN"/>
        </w:rPr>
        <w:t>设备购置项目</w:t>
      </w:r>
    </w:p>
    <w:p w14:paraId="0A382E24">
      <w:pPr>
        <w:rPr>
          <w:rFonts w:ascii="宋体" w:hAnsi="宋体" w:cs="宋体"/>
          <w:color w:val="auto"/>
        </w:rPr>
      </w:pPr>
    </w:p>
    <w:p w14:paraId="218D4C16">
      <w:pPr>
        <w:widowControl w:val="0"/>
        <w:tabs>
          <w:tab w:val="left" w:pos="6510"/>
        </w:tabs>
        <w:snapToGrid w:val="0"/>
        <w:spacing w:line="560" w:lineRule="exact"/>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 xml:space="preserve">采购编号: </w:t>
      </w:r>
      <w:r>
        <w:rPr>
          <w:rFonts w:hint="eastAsia" w:ascii="宋体" w:hAnsi="宋体" w:cs="宋体"/>
          <w:b/>
          <w:color w:val="auto"/>
          <w:sz w:val="28"/>
          <w:szCs w:val="28"/>
          <w:lang w:eastAsia="zh-CN"/>
        </w:rPr>
        <w:t>义马公开采购-2025-99</w:t>
      </w:r>
    </w:p>
    <w:p w14:paraId="119B1BB4">
      <w:pPr>
        <w:widowControl w:val="0"/>
        <w:tabs>
          <w:tab w:val="left" w:pos="6510"/>
        </w:tabs>
        <w:snapToGrid w:val="0"/>
        <w:spacing w:line="560" w:lineRule="exact"/>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项目编号：</w:t>
      </w:r>
      <w:r>
        <w:rPr>
          <w:rFonts w:hint="eastAsia" w:ascii="宋体" w:hAnsi="宋体" w:cs="宋体"/>
          <w:b/>
          <w:color w:val="auto"/>
          <w:sz w:val="28"/>
          <w:szCs w:val="28"/>
          <w:lang w:eastAsia="zh-CN"/>
        </w:rPr>
        <w:t>YMGZ[2025]179-ZC115</w:t>
      </w:r>
    </w:p>
    <w:p w14:paraId="2F0429DE">
      <w:pPr>
        <w:rPr>
          <w:rFonts w:ascii="宋体" w:hAnsi="宋体" w:cs="宋体"/>
          <w:color w:val="auto"/>
        </w:rPr>
      </w:pPr>
    </w:p>
    <w:p w14:paraId="1692F31D">
      <w:pPr>
        <w:rPr>
          <w:rFonts w:ascii="宋体" w:hAnsi="宋体" w:cs="宋体"/>
          <w:color w:val="auto"/>
        </w:rPr>
      </w:pPr>
    </w:p>
    <w:p w14:paraId="6C6A9392">
      <w:pPr>
        <w:rPr>
          <w:rFonts w:ascii="宋体" w:hAnsi="宋体" w:cs="宋体"/>
          <w:color w:val="auto"/>
        </w:rPr>
      </w:pPr>
    </w:p>
    <w:p w14:paraId="2E290EA1">
      <w:pPr>
        <w:jc w:val="center"/>
        <w:rPr>
          <w:rFonts w:ascii="宋体" w:hAnsi="宋体" w:cs="宋体"/>
          <w:b/>
          <w:bCs/>
          <w:color w:val="auto"/>
          <w:sz w:val="84"/>
          <w:szCs w:val="84"/>
        </w:rPr>
      </w:pPr>
      <w:r>
        <w:rPr>
          <w:rFonts w:hint="eastAsia" w:ascii="宋体" w:hAnsi="宋体" w:cs="宋体"/>
          <w:b/>
          <w:bCs/>
          <w:color w:val="auto"/>
          <w:sz w:val="84"/>
          <w:szCs w:val="84"/>
        </w:rPr>
        <w:t>招</w:t>
      </w:r>
      <w:r>
        <w:rPr>
          <w:rFonts w:hint="eastAsia" w:ascii="宋体" w:hAnsi="宋体" w:cs="宋体"/>
          <w:b/>
          <w:bCs/>
          <w:color w:val="auto"/>
          <w:sz w:val="84"/>
          <w:szCs w:val="84"/>
          <w:lang w:val="en-US" w:eastAsia="zh-CN"/>
        </w:rPr>
        <w:t xml:space="preserve"> </w:t>
      </w:r>
      <w:r>
        <w:rPr>
          <w:rFonts w:hint="eastAsia" w:ascii="宋体" w:hAnsi="宋体" w:cs="宋体"/>
          <w:b/>
          <w:bCs/>
          <w:color w:val="auto"/>
          <w:sz w:val="84"/>
          <w:szCs w:val="84"/>
        </w:rPr>
        <w:t>标</w:t>
      </w:r>
      <w:r>
        <w:rPr>
          <w:rFonts w:hint="eastAsia" w:ascii="宋体" w:hAnsi="宋体" w:cs="宋体"/>
          <w:b/>
          <w:bCs/>
          <w:color w:val="auto"/>
          <w:sz w:val="84"/>
          <w:szCs w:val="84"/>
          <w:lang w:val="en-US" w:eastAsia="zh-CN"/>
        </w:rPr>
        <w:t xml:space="preserve"> </w:t>
      </w:r>
      <w:r>
        <w:rPr>
          <w:rFonts w:hint="eastAsia" w:ascii="宋体" w:hAnsi="宋体" w:cs="宋体"/>
          <w:b/>
          <w:bCs/>
          <w:color w:val="auto"/>
          <w:sz w:val="84"/>
          <w:szCs w:val="84"/>
        </w:rPr>
        <w:t>文</w:t>
      </w:r>
      <w:r>
        <w:rPr>
          <w:rFonts w:hint="eastAsia" w:ascii="宋体" w:hAnsi="宋体" w:cs="宋体"/>
          <w:b/>
          <w:bCs/>
          <w:color w:val="auto"/>
          <w:sz w:val="84"/>
          <w:szCs w:val="84"/>
          <w:lang w:val="en-US" w:eastAsia="zh-CN"/>
        </w:rPr>
        <w:t xml:space="preserve"> </w:t>
      </w:r>
      <w:r>
        <w:rPr>
          <w:rFonts w:hint="eastAsia" w:ascii="宋体" w:hAnsi="宋体" w:cs="宋体"/>
          <w:b/>
          <w:bCs/>
          <w:color w:val="auto"/>
          <w:sz w:val="84"/>
          <w:szCs w:val="84"/>
        </w:rPr>
        <w:t>件</w:t>
      </w:r>
    </w:p>
    <w:p w14:paraId="3D6E6048">
      <w:pPr>
        <w:widowControl w:val="0"/>
        <w:tabs>
          <w:tab w:val="left" w:pos="6510"/>
        </w:tabs>
        <w:snapToGrid w:val="0"/>
        <w:spacing w:line="480" w:lineRule="auto"/>
        <w:jc w:val="center"/>
        <w:rPr>
          <w:rFonts w:hint="eastAsia" w:ascii="宋体" w:hAnsi="宋体" w:cs="宋体"/>
          <w:b/>
          <w:color w:val="auto"/>
          <w:sz w:val="31"/>
        </w:rPr>
      </w:pPr>
      <w:r>
        <w:rPr>
          <w:rFonts w:hint="eastAsia" w:ascii="宋体" w:hAnsi="宋体" w:cs="宋体"/>
          <w:b/>
          <w:color w:val="auto"/>
          <w:sz w:val="31"/>
        </w:rPr>
        <w:drawing>
          <wp:inline distT="0" distB="0" distL="114300" distR="114300">
            <wp:extent cx="2660015" cy="2660015"/>
            <wp:effectExtent l="0" t="0" r="0" b="0"/>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pic:cNvPicPr>
                  </pic:nvPicPr>
                  <pic:blipFill>
                    <a:blip r:embed="rId10"/>
                    <a:stretch>
                      <a:fillRect/>
                    </a:stretch>
                  </pic:blipFill>
                  <pic:spPr>
                    <a:xfrm>
                      <a:off x="0" y="0"/>
                      <a:ext cx="2660015" cy="2660015"/>
                    </a:xfrm>
                    <a:prstGeom prst="rect">
                      <a:avLst/>
                    </a:prstGeom>
                  </pic:spPr>
                </pic:pic>
              </a:graphicData>
            </a:graphic>
          </wp:inline>
        </w:drawing>
      </w:r>
    </w:p>
    <w:p w14:paraId="7DFD6CC4">
      <w:pPr>
        <w:jc w:val="center"/>
        <w:rPr>
          <w:rFonts w:hint="eastAsia" w:ascii="宋体" w:hAnsi="宋体" w:cs="宋体"/>
          <w:b/>
          <w:bCs/>
          <w:color w:val="auto"/>
          <w:sz w:val="32"/>
          <w:szCs w:val="32"/>
          <w:lang w:eastAsia="zh-CN"/>
        </w:rPr>
      </w:pPr>
      <w:r>
        <w:rPr>
          <w:rFonts w:hint="eastAsia" w:ascii="宋体" w:hAnsi="宋体" w:cs="宋体"/>
          <w:b/>
          <w:bCs/>
          <w:color w:val="auto"/>
          <w:sz w:val="32"/>
          <w:szCs w:val="32"/>
          <w:lang w:eastAsia="zh-CN"/>
        </w:rPr>
        <w:t>采购人</w:t>
      </w:r>
      <w:r>
        <w:rPr>
          <w:rFonts w:hint="eastAsia" w:ascii="宋体" w:hAnsi="宋体" w:cs="宋体"/>
          <w:b/>
          <w:bCs/>
          <w:color w:val="auto"/>
          <w:sz w:val="32"/>
          <w:szCs w:val="32"/>
        </w:rPr>
        <w:t>（盖章）：</w:t>
      </w:r>
      <w:r>
        <w:rPr>
          <w:rFonts w:hint="eastAsia" w:ascii="宋体" w:hAnsi="宋体" w:cs="宋体"/>
          <w:b/>
          <w:bCs/>
          <w:color w:val="auto"/>
          <w:sz w:val="32"/>
          <w:szCs w:val="32"/>
          <w:lang w:eastAsia="zh-CN"/>
        </w:rPr>
        <w:t>义马市东区卫生院</w:t>
      </w:r>
    </w:p>
    <w:p w14:paraId="1C4C93D1">
      <w:pPr>
        <w:jc w:val="center"/>
        <w:rPr>
          <w:rFonts w:hint="eastAsia" w:ascii="宋体" w:hAnsi="宋体" w:eastAsia="宋体" w:cs="宋体"/>
          <w:b/>
          <w:bCs/>
          <w:color w:val="auto"/>
          <w:sz w:val="32"/>
          <w:szCs w:val="32"/>
          <w:lang w:eastAsia="zh-CN"/>
        </w:rPr>
      </w:pPr>
      <w:r>
        <w:rPr>
          <w:rFonts w:hint="eastAsia" w:ascii="宋体" w:hAnsi="宋体" w:cs="宋体"/>
          <w:b/>
          <w:bCs/>
          <w:color w:val="auto"/>
          <w:sz w:val="32"/>
          <w:szCs w:val="32"/>
          <w:lang w:eastAsia="zh-CN"/>
        </w:rPr>
        <w:t>(义马市东区妇幼保健计划生育服务站）</w:t>
      </w:r>
    </w:p>
    <w:p w14:paraId="3F64555E">
      <w:pPr>
        <w:pStyle w:val="27"/>
        <w:ind w:left="63" w:right="63" w:firstLine="210"/>
        <w:rPr>
          <w:color w:val="auto"/>
        </w:rPr>
      </w:pPr>
    </w:p>
    <w:p w14:paraId="2499BC52">
      <w:pPr>
        <w:jc w:val="center"/>
        <w:rPr>
          <w:rFonts w:ascii="宋体" w:hAnsi="宋体" w:cs="宋体"/>
          <w:b/>
          <w:bCs/>
          <w:color w:val="auto"/>
          <w:sz w:val="32"/>
          <w:szCs w:val="32"/>
        </w:rPr>
      </w:pPr>
      <w:r>
        <w:rPr>
          <w:rFonts w:hint="eastAsia" w:ascii="宋体" w:hAnsi="宋体" w:cs="宋体"/>
          <w:b/>
          <w:bCs/>
          <w:color w:val="auto"/>
          <w:sz w:val="32"/>
          <w:szCs w:val="32"/>
        </w:rPr>
        <w:t>代理机构（盖章）：河南盛美工程管理服务有限公司</w:t>
      </w:r>
    </w:p>
    <w:p w14:paraId="4A46260B">
      <w:pPr>
        <w:pStyle w:val="27"/>
        <w:ind w:left="63" w:right="63" w:firstLine="210"/>
        <w:rPr>
          <w:color w:val="auto"/>
        </w:rPr>
      </w:pPr>
    </w:p>
    <w:p w14:paraId="30F5F254">
      <w:pPr>
        <w:jc w:val="center"/>
        <w:rPr>
          <w:rFonts w:ascii="宋体" w:hAnsi="宋体" w:cs="宋体"/>
          <w:b/>
          <w:bCs/>
          <w:color w:val="auto"/>
          <w:sz w:val="32"/>
          <w:szCs w:val="32"/>
        </w:rPr>
      </w:pPr>
      <w:r>
        <w:rPr>
          <w:rFonts w:hint="eastAsia" w:ascii="宋体" w:hAnsi="宋体" w:cs="宋体"/>
          <w:b/>
          <w:bCs/>
          <w:color w:val="auto"/>
          <w:sz w:val="32"/>
          <w:szCs w:val="32"/>
        </w:rPr>
        <w:t>日期：二〇二</w:t>
      </w:r>
      <w:r>
        <w:rPr>
          <w:rFonts w:hint="eastAsia" w:ascii="宋体" w:hAnsi="宋体" w:cs="宋体"/>
          <w:b/>
          <w:bCs/>
          <w:color w:val="auto"/>
          <w:sz w:val="32"/>
          <w:szCs w:val="32"/>
          <w:lang w:val="en-US" w:eastAsia="zh-CN"/>
        </w:rPr>
        <w:t>五</w:t>
      </w:r>
      <w:r>
        <w:rPr>
          <w:rFonts w:hint="eastAsia" w:ascii="宋体" w:hAnsi="宋体" w:cs="宋体"/>
          <w:b/>
          <w:bCs/>
          <w:color w:val="auto"/>
          <w:sz w:val="32"/>
          <w:szCs w:val="32"/>
        </w:rPr>
        <w:t>年</w:t>
      </w:r>
      <w:r>
        <w:rPr>
          <w:rFonts w:hint="eastAsia" w:ascii="宋体" w:hAnsi="宋体" w:cs="宋体"/>
          <w:b/>
          <w:bCs/>
          <w:color w:val="auto"/>
          <w:sz w:val="32"/>
          <w:szCs w:val="32"/>
          <w:lang w:val="en-US" w:eastAsia="zh-CN"/>
        </w:rPr>
        <w:t>十二</w:t>
      </w:r>
      <w:r>
        <w:rPr>
          <w:rFonts w:hint="eastAsia" w:ascii="宋体" w:hAnsi="宋体" w:cs="宋体"/>
          <w:b/>
          <w:bCs/>
          <w:color w:val="auto"/>
          <w:sz w:val="32"/>
          <w:szCs w:val="32"/>
        </w:rPr>
        <w:t>月</w:t>
      </w:r>
    </w:p>
    <w:p w14:paraId="2CDC9B41">
      <w:pPr>
        <w:widowControl w:val="0"/>
        <w:snapToGrid w:val="0"/>
        <w:spacing w:line="360" w:lineRule="auto"/>
        <w:jc w:val="center"/>
        <w:rPr>
          <w:rFonts w:hint="eastAsia" w:ascii="宋体" w:hAnsi="宋体" w:cs="宋体"/>
          <w:b/>
          <w:color w:val="auto"/>
          <w:sz w:val="44"/>
        </w:rPr>
        <w:sectPr>
          <w:headerReference r:id="rId5" w:type="default"/>
          <w:footerReference r:id="rId6" w:type="default"/>
          <w:endnotePr>
            <w:numFmt w:val="decimal"/>
          </w:endnotePr>
          <w:pgSz w:w="11905" w:h="16838"/>
          <w:pgMar w:top="1134" w:right="1134" w:bottom="1134" w:left="1134" w:header="719" w:footer="1133" w:gutter="0"/>
          <w:pgBorders>
            <w:top w:val="none" w:sz="0" w:space="0"/>
            <w:left w:val="none" w:sz="0" w:space="0"/>
            <w:bottom w:val="none" w:sz="0" w:space="0"/>
            <w:right w:val="none" w:sz="0" w:space="0"/>
          </w:pgBorders>
          <w:pgNumType w:start="1"/>
          <w:cols w:space="0" w:num="1"/>
          <w:docGrid w:type="lines" w:linePitch="312" w:charSpace="0"/>
        </w:sectPr>
      </w:pPr>
    </w:p>
    <w:p w14:paraId="30A055B9">
      <w:pPr>
        <w:widowControl w:val="0"/>
        <w:snapToGrid w:val="0"/>
        <w:spacing w:line="360" w:lineRule="auto"/>
        <w:jc w:val="center"/>
        <w:rPr>
          <w:rFonts w:ascii="宋体" w:hAnsi="宋体" w:cs="宋体"/>
          <w:b/>
          <w:color w:val="auto"/>
          <w:sz w:val="44"/>
        </w:rPr>
      </w:pPr>
      <w:r>
        <w:rPr>
          <w:rFonts w:hint="eastAsia" w:ascii="宋体" w:hAnsi="宋体" w:cs="宋体"/>
          <w:b/>
          <w:color w:val="auto"/>
          <w:sz w:val="44"/>
        </w:rPr>
        <w:t>目　录</w:t>
      </w:r>
    </w:p>
    <w:p w14:paraId="29C97EAD">
      <w:pPr>
        <w:pStyle w:val="22"/>
        <w:tabs>
          <w:tab w:val="right" w:leader="dot" w:pos="9637"/>
        </w:tabs>
        <w:rPr>
          <w:rFonts w:hint="eastAsia" w:ascii="宋体" w:hAnsi="宋体" w:eastAsia="宋体" w:cs="宋体"/>
          <w:color w:val="auto"/>
          <w:sz w:val="28"/>
          <w:szCs w:val="28"/>
        </w:rPr>
      </w:pPr>
      <w:bookmarkStart w:id="0" w:name="_Toc452908011"/>
      <w:bookmarkStart w:id="1" w:name="_Toc454525911"/>
      <w:bookmarkStart w:id="2" w:name="_Toc452907927"/>
      <w:r>
        <w:rPr>
          <w:rFonts w:hint="eastAsia" w:ascii="宋体" w:hAnsi="宋体" w:eastAsia="宋体" w:cs="宋体"/>
          <w:color w:val="auto"/>
          <w:sz w:val="28"/>
          <w:szCs w:val="28"/>
          <w:u w:val="single"/>
        </w:rPr>
        <w:fldChar w:fldCharType="begin"/>
      </w:r>
      <w:r>
        <w:rPr>
          <w:rFonts w:hint="eastAsia" w:ascii="宋体" w:hAnsi="宋体" w:eastAsia="宋体" w:cs="宋体"/>
          <w:color w:val="auto"/>
          <w:sz w:val="28"/>
          <w:szCs w:val="28"/>
          <w:u w:val="single"/>
        </w:rPr>
        <w:instrText xml:space="preserve"> TOC \o "1-1" \h \z \u </w:instrText>
      </w:r>
      <w:r>
        <w:rPr>
          <w:rFonts w:hint="eastAsia" w:ascii="宋体" w:hAnsi="宋体" w:eastAsia="宋体" w:cs="宋体"/>
          <w:color w:val="auto"/>
          <w:sz w:val="28"/>
          <w:szCs w:val="28"/>
          <w:u w:val="single"/>
        </w:rPr>
        <w:fldChar w:fldCharType="separate"/>
      </w:r>
      <w:r>
        <w:rPr>
          <w:rFonts w:hint="eastAsia" w:ascii="宋体" w:hAnsi="宋体" w:eastAsia="宋体" w:cs="宋体"/>
          <w:color w:val="auto"/>
          <w:sz w:val="28"/>
          <w:szCs w:val="28"/>
          <w:u w:val="single"/>
        </w:rPr>
        <w:fldChar w:fldCharType="begin"/>
      </w:r>
      <w:r>
        <w:rPr>
          <w:rFonts w:hint="eastAsia" w:ascii="宋体" w:hAnsi="宋体" w:eastAsia="宋体" w:cs="宋体"/>
          <w:color w:val="auto"/>
          <w:sz w:val="28"/>
          <w:szCs w:val="28"/>
        </w:rPr>
        <w:instrText xml:space="preserve"> HYPERLINK \l _Toc5193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第一章  招标公告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_Toc5193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u w:val="single"/>
        </w:rPr>
        <w:fldChar w:fldCharType="end"/>
      </w:r>
    </w:p>
    <w:p w14:paraId="094DEB78">
      <w:pPr>
        <w:pStyle w:val="22"/>
        <w:tabs>
          <w:tab w:val="right" w:leader="dot" w:pos="9637"/>
        </w:tabs>
        <w:rPr>
          <w:rFonts w:hint="eastAsia" w:ascii="宋体" w:hAnsi="宋体" w:eastAsia="宋体" w:cs="宋体"/>
          <w:color w:val="auto"/>
          <w:sz w:val="28"/>
          <w:szCs w:val="28"/>
        </w:rPr>
      </w:pPr>
      <w:r>
        <w:rPr>
          <w:rFonts w:hint="eastAsia" w:ascii="宋体" w:hAnsi="宋体" w:eastAsia="宋体" w:cs="宋体"/>
          <w:color w:val="auto"/>
          <w:sz w:val="28"/>
          <w:szCs w:val="28"/>
          <w:u w:val="single"/>
        </w:rPr>
        <w:fldChar w:fldCharType="begin"/>
      </w:r>
      <w:r>
        <w:rPr>
          <w:rFonts w:hint="eastAsia" w:ascii="宋体" w:hAnsi="宋体" w:eastAsia="宋体" w:cs="宋体"/>
          <w:color w:val="auto"/>
          <w:sz w:val="28"/>
          <w:szCs w:val="28"/>
        </w:rPr>
        <w:instrText xml:space="preserve"> HYPERLINK \l _Toc29205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第二章  投标人须知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_Toc29205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u w:val="single"/>
        </w:rPr>
        <w:fldChar w:fldCharType="end"/>
      </w:r>
    </w:p>
    <w:p w14:paraId="14387CD1">
      <w:pPr>
        <w:pStyle w:val="22"/>
        <w:tabs>
          <w:tab w:val="right" w:leader="dot" w:pos="9637"/>
        </w:tabs>
        <w:rPr>
          <w:rFonts w:hint="eastAsia" w:ascii="宋体" w:hAnsi="宋体" w:eastAsia="宋体" w:cs="宋体"/>
          <w:color w:val="auto"/>
          <w:sz w:val="28"/>
          <w:szCs w:val="28"/>
        </w:rPr>
      </w:pPr>
      <w:r>
        <w:rPr>
          <w:rFonts w:hint="eastAsia" w:ascii="宋体" w:hAnsi="宋体" w:eastAsia="宋体" w:cs="宋体"/>
          <w:color w:val="auto"/>
          <w:sz w:val="28"/>
          <w:szCs w:val="28"/>
          <w:u w:val="single"/>
        </w:rPr>
        <w:fldChar w:fldCharType="begin"/>
      </w:r>
      <w:r>
        <w:rPr>
          <w:rFonts w:hint="eastAsia" w:ascii="宋体" w:hAnsi="宋体" w:eastAsia="宋体" w:cs="宋体"/>
          <w:color w:val="auto"/>
          <w:sz w:val="28"/>
          <w:szCs w:val="28"/>
        </w:rPr>
        <w:instrText xml:space="preserve"> HYPERLINK \l _Toc4203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第三章  评标办法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_Toc4203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u w:val="single"/>
        </w:rPr>
        <w:fldChar w:fldCharType="end"/>
      </w:r>
    </w:p>
    <w:p w14:paraId="0B4FC73B">
      <w:pPr>
        <w:pStyle w:val="22"/>
        <w:tabs>
          <w:tab w:val="right" w:leader="dot" w:pos="9637"/>
        </w:tabs>
        <w:rPr>
          <w:rFonts w:hint="eastAsia" w:ascii="宋体" w:hAnsi="宋体" w:eastAsia="宋体" w:cs="宋体"/>
          <w:color w:val="auto"/>
          <w:sz w:val="28"/>
          <w:szCs w:val="28"/>
        </w:rPr>
      </w:pPr>
      <w:r>
        <w:rPr>
          <w:rFonts w:hint="eastAsia" w:ascii="宋体" w:hAnsi="宋体" w:eastAsia="宋体" w:cs="宋体"/>
          <w:color w:val="auto"/>
          <w:sz w:val="28"/>
          <w:szCs w:val="28"/>
          <w:u w:val="single"/>
        </w:rPr>
        <w:fldChar w:fldCharType="begin"/>
      </w:r>
      <w:r>
        <w:rPr>
          <w:rFonts w:hint="eastAsia" w:ascii="宋体" w:hAnsi="宋体" w:eastAsia="宋体" w:cs="宋体"/>
          <w:color w:val="auto"/>
          <w:sz w:val="28"/>
          <w:szCs w:val="28"/>
        </w:rPr>
        <w:instrText xml:space="preserve"> HYPERLINK \l _Toc26280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 xml:space="preserve">第四章  </w:t>
      </w:r>
      <w:r>
        <w:rPr>
          <w:rFonts w:hint="eastAsia" w:ascii="宋体" w:hAnsi="宋体" w:eastAsia="宋体" w:cs="宋体"/>
          <w:color w:val="auto"/>
          <w:sz w:val="28"/>
          <w:szCs w:val="28"/>
          <w:lang w:eastAsia="zh-CN"/>
        </w:rPr>
        <w:t>采购清单及参数要求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_Toc26280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u w:val="single"/>
        </w:rPr>
        <w:fldChar w:fldCharType="end"/>
      </w:r>
    </w:p>
    <w:p w14:paraId="5F9D2E6F">
      <w:pPr>
        <w:pStyle w:val="22"/>
        <w:tabs>
          <w:tab w:val="right" w:leader="dot" w:pos="9637"/>
        </w:tabs>
        <w:rPr>
          <w:rFonts w:hint="eastAsia" w:ascii="宋体" w:hAnsi="宋体" w:eastAsia="宋体" w:cs="宋体"/>
          <w:color w:val="auto"/>
          <w:sz w:val="28"/>
          <w:szCs w:val="28"/>
        </w:rPr>
      </w:pPr>
      <w:r>
        <w:rPr>
          <w:rFonts w:hint="eastAsia" w:ascii="宋体" w:hAnsi="宋体" w:eastAsia="宋体" w:cs="宋体"/>
          <w:color w:val="auto"/>
          <w:sz w:val="28"/>
          <w:szCs w:val="28"/>
          <w:u w:val="single"/>
        </w:rPr>
        <w:fldChar w:fldCharType="begin"/>
      </w:r>
      <w:r>
        <w:rPr>
          <w:rFonts w:hint="eastAsia" w:ascii="宋体" w:hAnsi="宋体" w:eastAsia="宋体" w:cs="宋体"/>
          <w:color w:val="auto"/>
          <w:sz w:val="28"/>
          <w:szCs w:val="28"/>
        </w:rPr>
        <w:instrText xml:space="preserve"> HYPERLINK \l _Toc1766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第五章  合同条款及格式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_Toc1766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u w:val="single"/>
        </w:rPr>
        <w:fldChar w:fldCharType="end"/>
      </w:r>
    </w:p>
    <w:p w14:paraId="44D915CF">
      <w:pPr>
        <w:pStyle w:val="22"/>
        <w:tabs>
          <w:tab w:val="right" w:leader="dot" w:pos="9637"/>
        </w:tabs>
        <w:rPr>
          <w:rFonts w:hint="eastAsia" w:ascii="宋体" w:hAnsi="宋体" w:eastAsia="宋体" w:cs="宋体"/>
          <w:color w:val="auto"/>
          <w:sz w:val="28"/>
          <w:szCs w:val="28"/>
        </w:rPr>
      </w:pPr>
      <w:r>
        <w:rPr>
          <w:rFonts w:hint="eastAsia" w:ascii="宋体" w:hAnsi="宋体" w:eastAsia="宋体" w:cs="宋体"/>
          <w:color w:val="auto"/>
          <w:sz w:val="28"/>
          <w:szCs w:val="28"/>
          <w:u w:val="single"/>
        </w:rPr>
        <w:fldChar w:fldCharType="begin"/>
      </w:r>
      <w:r>
        <w:rPr>
          <w:rFonts w:hint="eastAsia" w:ascii="宋体" w:hAnsi="宋体" w:eastAsia="宋体" w:cs="宋体"/>
          <w:color w:val="auto"/>
          <w:sz w:val="28"/>
          <w:szCs w:val="28"/>
        </w:rPr>
        <w:instrText xml:space="preserve"> HYPERLINK \l _Toc22842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第六章  投标文件格式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_Toc22842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u w:val="single"/>
        </w:rPr>
        <w:fldChar w:fldCharType="end"/>
      </w:r>
    </w:p>
    <w:p w14:paraId="0B15AA03">
      <w:pPr>
        <w:rPr>
          <w:rFonts w:ascii="宋体" w:hAnsi="宋体" w:cs="宋体"/>
          <w:color w:val="auto"/>
          <w:sz w:val="24"/>
          <w:szCs w:val="24"/>
          <w:u w:val="single"/>
        </w:rPr>
      </w:pPr>
      <w:r>
        <w:rPr>
          <w:rFonts w:hint="eastAsia" w:ascii="宋体" w:hAnsi="宋体" w:eastAsia="宋体" w:cs="宋体"/>
          <w:color w:val="auto"/>
          <w:sz w:val="28"/>
          <w:szCs w:val="28"/>
          <w:u w:val="single"/>
        </w:rPr>
        <w:fldChar w:fldCharType="end"/>
      </w:r>
    </w:p>
    <w:p w14:paraId="077940AD">
      <w:pPr>
        <w:rPr>
          <w:rFonts w:ascii="宋体" w:hAnsi="宋体" w:cs="宋体"/>
          <w:color w:val="auto"/>
        </w:rPr>
      </w:pPr>
      <w:r>
        <w:rPr>
          <w:rFonts w:hint="eastAsia" w:ascii="宋体" w:hAnsi="宋体" w:cs="宋体"/>
          <w:color w:val="auto"/>
        </w:rPr>
        <w:br w:type="page"/>
      </w:r>
    </w:p>
    <w:p w14:paraId="37D4E0A7">
      <w:pPr>
        <w:pStyle w:val="2"/>
        <w:rPr>
          <w:color w:val="auto"/>
        </w:rPr>
      </w:pPr>
      <w:bookmarkStart w:id="3" w:name="_Toc5193"/>
      <w:r>
        <w:rPr>
          <w:rFonts w:hint="eastAsia"/>
          <w:color w:val="auto"/>
        </w:rPr>
        <w:t>第一章  招标公告</w:t>
      </w:r>
      <w:bookmarkEnd w:id="0"/>
      <w:bookmarkEnd w:id="1"/>
      <w:bookmarkEnd w:id="2"/>
      <w:bookmarkEnd w:id="3"/>
    </w:p>
    <w:p w14:paraId="2060D448">
      <w:pPr>
        <w:spacing w:line="360" w:lineRule="auto"/>
        <w:ind w:firstLine="420" w:firstLineChars="175"/>
        <w:rPr>
          <w:rFonts w:ascii="宋体" w:hAnsi="宋体" w:cs="宋体"/>
          <w:color w:val="auto"/>
          <w:sz w:val="24"/>
          <w:szCs w:val="24"/>
        </w:rPr>
      </w:pPr>
      <w:bookmarkStart w:id="4" w:name="_Toc454525912"/>
      <w:r>
        <w:rPr>
          <w:rFonts w:hint="eastAsia" w:ascii="宋体" w:hAnsi="宋体" w:cs="宋体"/>
          <w:color w:val="auto"/>
          <w:sz w:val="24"/>
          <w:szCs w:val="24"/>
        </w:rPr>
        <w:t>项目概况</w:t>
      </w:r>
    </w:p>
    <w:p w14:paraId="7630878C">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lang w:eastAsia="zh-CN"/>
        </w:rPr>
        <w:t>义马市东区卫生院康复科业务能力提升医疗设备购置项目</w:t>
      </w:r>
      <w:r>
        <w:rPr>
          <w:rFonts w:hint="eastAsia" w:ascii="宋体" w:hAnsi="宋体" w:cs="宋体"/>
          <w:color w:val="auto"/>
          <w:sz w:val="24"/>
          <w:szCs w:val="24"/>
        </w:rPr>
        <w:t>的潜在投标人凭CA登录三门峡市公共资源交易中心网（网址：http://gzjy.smx.gov.cn）获取招标文件，并于</w:t>
      </w:r>
      <w:r>
        <w:rPr>
          <w:rFonts w:hint="eastAsia" w:ascii="宋体" w:hAnsi="宋体" w:cs="宋体"/>
          <w:color w:val="auto"/>
          <w:sz w:val="24"/>
          <w:szCs w:val="24"/>
          <w:lang w:eastAsia="zh-CN"/>
        </w:rPr>
        <w:t>2026年1月6日8时30分</w:t>
      </w:r>
      <w:r>
        <w:rPr>
          <w:rFonts w:hint="eastAsia" w:ascii="宋体" w:hAnsi="宋体" w:cs="宋体"/>
          <w:color w:val="auto"/>
          <w:sz w:val="24"/>
          <w:szCs w:val="24"/>
        </w:rPr>
        <w:t>（北京时间，下同）前递交投标文件。</w:t>
      </w:r>
    </w:p>
    <w:p w14:paraId="01058A29">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一、项目基本情况：</w:t>
      </w:r>
    </w:p>
    <w:p w14:paraId="4AA13F22">
      <w:pPr>
        <w:spacing w:line="360" w:lineRule="auto"/>
        <w:ind w:firstLine="420" w:firstLineChars="175"/>
        <w:rPr>
          <w:rFonts w:hint="eastAsia" w:ascii="宋体" w:hAnsi="宋体" w:eastAsia="宋体" w:cs="宋体"/>
          <w:color w:val="auto"/>
          <w:sz w:val="24"/>
          <w:szCs w:val="24"/>
          <w:lang w:eastAsia="zh-CN"/>
        </w:rPr>
      </w:pPr>
      <w:r>
        <w:rPr>
          <w:rFonts w:hint="eastAsia" w:ascii="宋体" w:hAnsi="宋体" w:cs="宋体"/>
          <w:color w:val="auto"/>
          <w:sz w:val="24"/>
          <w:szCs w:val="24"/>
        </w:rPr>
        <w:t>1、项目名称：</w:t>
      </w:r>
      <w:r>
        <w:rPr>
          <w:rFonts w:hint="eastAsia" w:ascii="宋体" w:hAnsi="宋体" w:cs="宋体"/>
          <w:color w:val="auto"/>
          <w:sz w:val="24"/>
          <w:szCs w:val="24"/>
          <w:lang w:eastAsia="zh-CN"/>
        </w:rPr>
        <w:t>义马市东区卫生院康复科业务能力提升医疗设备购置项目</w:t>
      </w:r>
    </w:p>
    <w:p w14:paraId="60CEB3D4">
      <w:pPr>
        <w:spacing w:line="360" w:lineRule="auto"/>
        <w:ind w:firstLine="420" w:firstLineChars="175"/>
        <w:rPr>
          <w:rFonts w:hint="eastAsia" w:ascii="宋体" w:hAnsi="宋体" w:eastAsia="宋体" w:cs="宋体"/>
          <w:color w:val="auto"/>
          <w:sz w:val="24"/>
          <w:szCs w:val="24"/>
          <w:lang w:eastAsia="zh-CN"/>
        </w:rPr>
      </w:pPr>
      <w:r>
        <w:rPr>
          <w:rFonts w:hint="eastAsia" w:ascii="宋体" w:hAnsi="宋体" w:cs="宋体"/>
          <w:color w:val="auto"/>
          <w:sz w:val="24"/>
          <w:szCs w:val="24"/>
        </w:rPr>
        <w:t>2、采购编</w:t>
      </w:r>
      <w:r>
        <w:rPr>
          <w:rFonts w:hint="eastAsia" w:ascii="宋体" w:hAnsi="宋体" w:cs="宋体"/>
          <w:color w:val="auto"/>
          <w:sz w:val="24"/>
          <w:szCs w:val="24"/>
          <w:lang w:eastAsia="zh-CN"/>
        </w:rPr>
        <w:t>号：义马公开采购-2025-99</w:t>
      </w:r>
      <w:r>
        <w:rPr>
          <w:rFonts w:hint="eastAsia" w:ascii="宋体" w:hAnsi="宋体" w:cs="宋体"/>
          <w:color w:val="auto"/>
          <w:sz w:val="24"/>
          <w:szCs w:val="24"/>
        </w:rPr>
        <w:t>；项目编号：</w:t>
      </w:r>
      <w:r>
        <w:rPr>
          <w:rFonts w:hint="eastAsia" w:ascii="宋体" w:hAnsi="宋体" w:cs="宋体"/>
          <w:color w:val="auto"/>
          <w:sz w:val="24"/>
          <w:szCs w:val="24"/>
          <w:lang w:eastAsia="zh-CN"/>
        </w:rPr>
        <w:t>YMGZ[2025]179-ZC115</w:t>
      </w:r>
    </w:p>
    <w:p w14:paraId="13E0E148">
      <w:pPr>
        <w:spacing w:line="360" w:lineRule="auto"/>
        <w:ind w:firstLine="420" w:firstLineChars="175"/>
        <w:rPr>
          <w:rFonts w:hint="eastAsia" w:ascii="宋体" w:hAnsi="宋体" w:eastAsia="宋体" w:cs="宋体"/>
          <w:color w:val="auto"/>
          <w:sz w:val="24"/>
          <w:szCs w:val="24"/>
          <w:lang w:eastAsia="zh-CN"/>
        </w:rPr>
      </w:pPr>
      <w:r>
        <w:rPr>
          <w:rFonts w:hint="eastAsia" w:ascii="宋体" w:hAnsi="宋体" w:cs="宋体"/>
          <w:color w:val="auto"/>
          <w:sz w:val="24"/>
          <w:szCs w:val="24"/>
        </w:rPr>
        <w:t>3、</w:t>
      </w:r>
      <w:r>
        <w:rPr>
          <w:rFonts w:hint="eastAsia" w:ascii="宋体" w:hAnsi="宋体" w:cs="宋体"/>
          <w:color w:val="auto"/>
          <w:sz w:val="24"/>
          <w:szCs w:val="24"/>
          <w:lang w:eastAsia="zh-CN"/>
        </w:rPr>
        <w:t>采购人</w:t>
      </w:r>
      <w:r>
        <w:rPr>
          <w:rFonts w:hint="eastAsia" w:ascii="宋体" w:hAnsi="宋体" w:cs="宋体"/>
          <w:color w:val="auto"/>
          <w:sz w:val="24"/>
          <w:szCs w:val="24"/>
        </w:rPr>
        <w:t>：</w:t>
      </w:r>
      <w:r>
        <w:rPr>
          <w:rFonts w:hint="eastAsia" w:ascii="宋体" w:hAnsi="宋体" w:cs="宋体"/>
          <w:color w:val="auto"/>
          <w:sz w:val="24"/>
          <w:szCs w:val="24"/>
          <w:lang w:eastAsia="zh-CN"/>
        </w:rPr>
        <w:t>义马市东区卫生院(义马市东区妇幼保健计划生育服务站）</w:t>
      </w:r>
    </w:p>
    <w:p w14:paraId="76214C6B">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4、采购方式：公开招标</w:t>
      </w:r>
    </w:p>
    <w:p w14:paraId="2CD3F2F7">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5、采购需求</w:t>
      </w:r>
    </w:p>
    <w:p w14:paraId="51732C42">
      <w:pPr>
        <w:spacing w:line="360" w:lineRule="auto"/>
        <w:ind w:firstLine="420" w:firstLineChars="175"/>
        <w:rPr>
          <w:rFonts w:hint="eastAsia" w:ascii="宋体" w:hAnsi="宋体" w:eastAsia="宋体" w:cs="宋体"/>
          <w:color w:val="auto"/>
          <w:sz w:val="24"/>
          <w:szCs w:val="24"/>
          <w:lang w:eastAsia="zh-CN"/>
        </w:rPr>
      </w:pPr>
      <w:r>
        <w:rPr>
          <w:rFonts w:hint="eastAsia" w:ascii="宋体" w:hAnsi="宋体" w:cs="宋体"/>
          <w:color w:val="auto"/>
          <w:sz w:val="24"/>
          <w:szCs w:val="24"/>
        </w:rPr>
        <w:t>（1）招标范围：</w:t>
      </w:r>
      <w:r>
        <w:rPr>
          <w:rFonts w:hint="eastAsia" w:ascii="宋体" w:hAnsi="宋体" w:cs="宋体"/>
          <w:color w:val="auto"/>
          <w:sz w:val="24"/>
          <w:szCs w:val="24"/>
          <w:lang w:eastAsia="zh-CN"/>
        </w:rPr>
        <w:t>采购清单所含全部内容及售后相关服务</w:t>
      </w:r>
    </w:p>
    <w:p w14:paraId="70FEB6FD">
      <w:pPr>
        <w:spacing w:line="360" w:lineRule="auto"/>
        <w:ind w:firstLine="420" w:firstLineChars="175"/>
        <w:rPr>
          <w:rFonts w:hint="eastAsia" w:ascii="宋体" w:hAnsi="宋体" w:cs="宋体"/>
          <w:color w:val="auto"/>
          <w:sz w:val="24"/>
          <w:szCs w:val="24"/>
        </w:rPr>
      </w:pPr>
      <w:r>
        <w:rPr>
          <w:rFonts w:hint="eastAsia" w:ascii="宋体" w:hAnsi="宋体" w:cs="宋体"/>
          <w:color w:val="auto"/>
          <w:sz w:val="24"/>
          <w:szCs w:val="24"/>
        </w:rPr>
        <w:t>（2）项目概况：</w:t>
      </w:r>
      <w:r>
        <w:rPr>
          <w:rFonts w:hint="eastAsia" w:ascii="宋体" w:hAnsi="宋体" w:cs="宋体"/>
          <w:color w:val="auto"/>
          <w:sz w:val="24"/>
          <w:szCs w:val="24"/>
          <w:lang w:eastAsia="zh-CN"/>
        </w:rPr>
        <w:t>本项目为义马市东区卫生院康复科业务能力提升医疗设备购置项目。采购内容为：康复科医疗设备一批（详见采购清单）。</w:t>
      </w:r>
    </w:p>
    <w:p w14:paraId="15C7E90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）资金来源及资金落实情况：</w:t>
      </w:r>
      <w:r>
        <w:rPr>
          <w:rFonts w:hint="eastAsia" w:ascii="宋体" w:hAnsi="宋体" w:cs="宋体"/>
          <w:color w:val="auto"/>
          <w:sz w:val="24"/>
          <w:lang w:eastAsia="zh-CN"/>
        </w:rPr>
        <w:t>自筹资金，已落实</w:t>
      </w:r>
    </w:p>
    <w:p w14:paraId="353E90FD">
      <w:pPr>
        <w:spacing w:line="360" w:lineRule="auto"/>
        <w:ind w:firstLine="420" w:firstLineChars="175"/>
        <w:rPr>
          <w:rFonts w:hint="eastAsia" w:ascii="宋体" w:hAnsi="宋体" w:eastAsia="宋体" w:cs="宋体"/>
          <w:color w:val="auto"/>
          <w:sz w:val="24"/>
          <w:szCs w:val="24"/>
          <w:lang w:eastAsia="zh-CN"/>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）质量要求：</w:t>
      </w:r>
      <w:r>
        <w:rPr>
          <w:rFonts w:hint="eastAsia" w:ascii="宋体" w:hAnsi="宋体" w:cs="宋体"/>
          <w:color w:val="auto"/>
          <w:sz w:val="24"/>
          <w:szCs w:val="24"/>
          <w:lang w:eastAsia="zh-CN"/>
        </w:rPr>
        <w:t>合格</w:t>
      </w:r>
    </w:p>
    <w:p w14:paraId="2DD11B8F">
      <w:pPr>
        <w:spacing w:line="360" w:lineRule="auto"/>
        <w:ind w:firstLine="420" w:firstLineChars="175"/>
        <w:rPr>
          <w:rFonts w:hint="eastAsia" w:ascii="宋体" w:hAnsi="宋体" w:cs="宋体"/>
          <w:color w:val="auto"/>
          <w:sz w:val="24"/>
          <w:szCs w:val="24"/>
          <w:lang w:eastAsia="zh-CN"/>
        </w:rPr>
      </w:pP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）质保期：</w:t>
      </w:r>
      <w:r>
        <w:rPr>
          <w:rFonts w:hint="eastAsia" w:ascii="宋体" w:hAnsi="宋体" w:cs="宋体"/>
          <w:color w:val="auto"/>
          <w:sz w:val="24"/>
          <w:szCs w:val="24"/>
          <w:lang w:val="en-US" w:eastAsia="zh-CN"/>
        </w:rPr>
        <w:t>不低于1年</w:t>
      </w:r>
    </w:p>
    <w:p w14:paraId="047DD335">
      <w:pPr>
        <w:spacing w:line="360" w:lineRule="auto"/>
        <w:ind w:firstLine="420" w:firstLineChars="175"/>
        <w:rPr>
          <w:color w:val="auto"/>
        </w:rPr>
      </w:pPr>
      <w:r>
        <w:rPr>
          <w:rFonts w:hint="eastAsia" w:ascii="宋体" w:hAnsi="宋体" w:cs="宋体"/>
          <w:color w:val="auto"/>
          <w:sz w:val="24"/>
          <w:szCs w:val="24"/>
        </w:rPr>
        <w:t>6、最高投标限价：</w:t>
      </w:r>
      <w:r>
        <w:rPr>
          <w:rFonts w:hint="eastAsia" w:ascii="宋体" w:hAnsi="宋体" w:cs="宋体"/>
          <w:color w:val="auto"/>
          <w:sz w:val="24"/>
          <w:szCs w:val="24"/>
          <w:lang w:val="en-US" w:eastAsia="zh-CN"/>
        </w:rPr>
        <w:t>1600000.00元</w:t>
      </w:r>
    </w:p>
    <w:p w14:paraId="45FBF16B">
      <w:pPr>
        <w:spacing w:line="360" w:lineRule="auto"/>
        <w:ind w:firstLine="420" w:firstLineChars="175"/>
        <w:rPr>
          <w:rFonts w:hint="eastAsia" w:ascii="宋体" w:hAnsi="宋体" w:eastAsia="宋体" w:cs="宋体"/>
          <w:color w:val="auto"/>
          <w:sz w:val="24"/>
          <w:szCs w:val="24"/>
          <w:lang w:eastAsia="zh-CN"/>
        </w:rPr>
      </w:pPr>
      <w:r>
        <w:rPr>
          <w:rFonts w:hint="eastAsia" w:ascii="宋体" w:hAnsi="宋体" w:cs="宋体"/>
          <w:color w:val="auto"/>
          <w:sz w:val="24"/>
          <w:szCs w:val="24"/>
        </w:rPr>
        <w:t>7、交货期限：</w:t>
      </w:r>
      <w:r>
        <w:rPr>
          <w:rFonts w:hint="eastAsia" w:ascii="宋体" w:hAnsi="宋体" w:cs="宋体"/>
          <w:color w:val="auto"/>
          <w:sz w:val="24"/>
          <w:szCs w:val="24"/>
          <w:lang w:eastAsia="zh-CN"/>
        </w:rPr>
        <w:t>合同签订后30日历天内供货、安装及调试完毕</w:t>
      </w:r>
    </w:p>
    <w:p w14:paraId="39A69E5D">
      <w:pPr>
        <w:spacing w:line="360" w:lineRule="auto"/>
        <w:ind w:firstLine="420" w:firstLineChars="175"/>
        <w:rPr>
          <w:rFonts w:hint="default" w:ascii="宋体" w:hAnsi="宋体" w:cs="宋体"/>
          <w:color w:val="auto"/>
          <w:sz w:val="24"/>
          <w:szCs w:val="24"/>
          <w:lang w:val="en-US"/>
        </w:rPr>
      </w:pPr>
      <w:r>
        <w:rPr>
          <w:rFonts w:hint="eastAsia" w:ascii="宋体" w:hAnsi="宋体" w:cs="宋体"/>
          <w:color w:val="auto"/>
          <w:sz w:val="24"/>
          <w:szCs w:val="24"/>
        </w:rPr>
        <w:t>8、本项目执行的政府采购政策：对</w:t>
      </w:r>
      <w:r>
        <w:rPr>
          <w:rFonts w:hint="eastAsia" w:ascii="宋体" w:hAnsi="宋体" w:cs="宋体"/>
          <w:color w:val="auto"/>
          <w:sz w:val="24"/>
          <w:szCs w:val="24"/>
          <w:lang w:val="en-US" w:eastAsia="zh-CN"/>
        </w:rPr>
        <w:t>所有产品均由</w:t>
      </w:r>
      <w:r>
        <w:rPr>
          <w:rFonts w:hint="eastAsia" w:ascii="宋体" w:hAnsi="宋体" w:cs="宋体"/>
          <w:color w:val="auto"/>
          <w:sz w:val="24"/>
          <w:szCs w:val="24"/>
        </w:rPr>
        <w:t>小微企业、监狱、残疾人福利性单位</w:t>
      </w:r>
      <w:r>
        <w:rPr>
          <w:rFonts w:hint="eastAsia" w:ascii="宋体" w:hAnsi="宋体" w:cs="宋体"/>
          <w:color w:val="auto"/>
          <w:sz w:val="24"/>
          <w:szCs w:val="24"/>
          <w:lang w:val="en-US" w:eastAsia="zh-CN"/>
        </w:rPr>
        <w:t>生产</w:t>
      </w:r>
      <w:r>
        <w:rPr>
          <w:rFonts w:hint="eastAsia" w:ascii="宋体" w:hAnsi="宋体" w:cs="宋体"/>
          <w:color w:val="auto"/>
          <w:sz w:val="24"/>
          <w:szCs w:val="24"/>
        </w:rPr>
        <w:t>的</w:t>
      </w:r>
      <w:r>
        <w:rPr>
          <w:rFonts w:hint="eastAsia" w:ascii="宋体" w:hAnsi="宋体" w:cs="宋体"/>
          <w:color w:val="auto"/>
          <w:sz w:val="24"/>
          <w:szCs w:val="24"/>
          <w:lang w:val="en-US" w:eastAsia="zh-CN"/>
        </w:rPr>
        <w:t>投标人</w:t>
      </w:r>
      <w:r>
        <w:rPr>
          <w:rFonts w:hint="eastAsia" w:ascii="宋体" w:hAnsi="宋体" w:cs="宋体"/>
          <w:color w:val="auto"/>
          <w:sz w:val="24"/>
          <w:szCs w:val="24"/>
        </w:rPr>
        <w:t>价格给予20%的扣除，用扣除后的价格参与评审（小微企业提供中型或大型企业产品的，不享受价格扣除）。</w:t>
      </w:r>
    </w:p>
    <w:p w14:paraId="2DE652D1">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本项目是否接受联合体投标：否</w:t>
      </w:r>
    </w:p>
    <w:p w14:paraId="0398CE1F">
      <w:pPr>
        <w:spacing w:line="360" w:lineRule="auto"/>
        <w:ind w:firstLine="420" w:firstLineChars="175"/>
        <w:rPr>
          <w:color w:val="auto"/>
        </w:rPr>
      </w:pPr>
      <w:r>
        <w:rPr>
          <w:rFonts w:hint="eastAsia" w:ascii="宋体" w:hAnsi="宋体" w:cs="宋体"/>
          <w:color w:val="auto"/>
          <w:sz w:val="24"/>
          <w:szCs w:val="24"/>
          <w:lang w:val="en-US" w:eastAsia="zh-CN"/>
        </w:rPr>
        <w:t>10</w:t>
      </w:r>
      <w:r>
        <w:rPr>
          <w:rFonts w:hint="eastAsia" w:ascii="宋体" w:hAnsi="宋体" w:cs="宋体"/>
          <w:color w:val="auto"/>
          <w:sz w:val="24"/>
          <w:szCs w:val="24"/>
        </w:rPr>
        <w:t>、是否接受进口产品：否</w:t>
      </w:r>
    </w:p>
    <w:p w14:paraId="78D866AE">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二、投标人资格要求：</w:t>
      </w:r>
    </w:p>
    <w:p w14:paraId="2FC3825E">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1、满足《中华人民共和国政府采购法》第二十二条规定；</w:t>
      </w:r>
    </w:p>
    <w:p w14:paraId="321A7C50">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、本项目的特定资格要求：</w:t>
      </w:r>
    </w:p>
    <w:p w14:paraId="3CC09B67">
      <w:pPr>
        <w:spacing w:line="360" w:lineRule="auto"/>
        <w:ind w:firstLine="420" w:firstLineChars="175"/>
        <w:rPr>
          <w:rFonts w:hint="eastAsia" w:ascii="宋体" w:hAnsi="宋体" w:eastAsia="宋体" w:cs="宋体"/>
          <w:color w:val="auto"/>
          <w:sz w:val="24"/>
          <w:szCs w:val="24"/>
          <w:lang w:eastAsia="zh-CN"/>
        </w:rPr>
      </w:pPr>
      <w:r>
        <w:rPr>
          <w:rFonts w:hint="eastAsia" w:ascii="宋体" w:hAnsi="宋体" w:cs="宋体"/>
          <w:color w:val="auto"/>
          <w:sz w:val="24"/>
          <w:szCs w:val="24"/>
        </w:rPr>
        <w:t>（1）</w:t>
      </w:r>
      <w:r>
        <w:rPr>
          <w:rFonts w:hint="eastAsia" w:ascii="宋体" w:hAnsi="宋体" w:cs="宋体"/>
          <w:color w:val="auto"/>
          <w:sz w:val="24"/>
          <w:szCs w:val="24"/>
          <w:lang w:eastAsia="zh-CN"/>
        </w:rPr>
        <w:t>投标人须是本项目采购产品的制造商或经销商，具有有效的营业执照，并在人员、资金、设备及专业技术等方面具有与本项目相匹配的合同履约能力；</w:t>
      </w:r>
    </w:p>
    <w:p w14:paraId="1EAA2F00">
      <w:pPr>
        <w:spacing w:line="360" w:lineRule="auto"/>
        <w:ind w:firstLine="420" w:firstLineChars="175"/>
        <w:rPr>
          <w:rFonts w:hint="eastAsia" w:ascii="宋体" w:hAnsi="宋体" w:cs="宋体"/>
          <w:color w:val="auto"/>
          <w:sz w:val="24"/>
          <w:szCs w:val="24"/>
          <w:lang w:eastAsia="zh-CN"/>
        </w:rPr>
      </w:pPr>
      <w:r>
        <w:rPr>
          <w:rFonts w:hint="eastAsia" w:ascii="宋体" w:hAnsi="宋体" w:cs="宋体"/>
          <w:color w:val="auto"/>
          <w:sz w:val="24"/>
          <w:szCs w:val="24"/>
        </w:rPr>
        <w:t>（2）</w:t>
      </w:r>
      <w:r>
        <w:rPr>
          <w:rFonts w:hint="eastAsia" w:ascii="宋体" w:hAnsi="宋体" w:cs="宋体"/>
          <w:color w:val="auto"/>
          <w:sz w:val="24"/>
          <w:szCs w:val="24"/>
          <w:lang w:val="en-US" w:eastAsia="zh-CN"/>
        </w:rPr>
        <w:t>投标人是制造商的，须具有《医疗器械生产许可证》；是经销商的，须具有《医疗器械经营许可证》或备案凭证</w:t>
      </w:r>
      <w:r>
        <w:rPr>
          <w:rFonts w:hint="eastAsia" w:ascii="宋体" w:hAnsi="宋体" w:cs="宋体"/>
          <w:color w:val="auto"/>
          <w:sz w:val="24"/>
          <w:szCs w:val="24"/>
          <w:lang w:eastAsia="zh-CN"/>
        </w:rPr>
        <w:t>；</w:t>
      </w:r>
    </w:p>
    <w:p w14:paraId="784D5097">
      <w:pPr>
        <w:spacing w:line="360" w:lineRule="auto"/>
        <w:ind w:firstLine="420" w:firstLineChars="175"/>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投标人没有被列入失信被执行人名单【以“中国执行信息公开网”（http://zxgk.court.gov.cn/shixin/）查询结果为准】、重大税收违法失信主体【以“信用中国”网站（www.creditchina.gov.cn）查询结果为准】、政府采购严重违法失信行为记录名单【</w:t>
      </w:r>
      <w:r>
        <w:rPr>
          <w:rFonts w:hint="eastAsia" w:ascii="宋体" w:hAnsi="宋体" w:cs="宋体"/>
          <w:color w:val="auto"/>
          <w:sz w:val="24"/>
          <w:lang w:eastAsia="zh-CN"/>
        </w:rPr>
        <w:t>以在“中国政府采购网”（http://www.ccgp.gov.cn/）及“信用中国”网站（www.creditchina.gov.cn）查询结果均无记录为准</w:t>
      </w:r>
      <w:r>
        <w:rPr>
          <w:rFonts w:hint="eastAsia" w:ascii="宋体" w:hAnsi="宋体" w:cs="宋体"/>
          <w:color w:val="auto"/>
          <w:sz w:val="24"/>
        </w:rPr>
        <w:t>】；</w:t>
      </w:r>
    </w:p>
    <w:p w14:paraId="0FFDD0A4">
      <w:pPr>
        <w:spacing w:line="360" w:lineRule="auto"/>
        <w:ind w:firstLine="420" w:firstLineChars="175"/>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4</w:t>
      </w:r>
      <w:r>
        <w:rPr>
          <w:rFonts w:hint="eastAsia" w:ascii="宋体" w:hAnsi="宋体" w:cs="宋体"/>
          <w:color w:val="auto"/>
          <w:sz w:val="24"/>
        </w:rPr>
        <w:t>）投标人及法定代表人不得存在行贿犯罪记录【以中国裁判文书网（http://wenshu.court.gov.cn/）查询截图或</w:t>
      </w:r>
      <w:r>
        <w:rPr>
          <w:rFonts w:hint="eastAsia" w:ascii="宋体" w:hAnsi="宋体" w:cs="宋体"/>
          <w:color w:val="auto"/>
          <w:sz w:val="24"/>
          <w:lang w:eastAsia="zh-CN"/>
        </w:rPr>
        <w:t>提供无行贿犯罪记录承诺书为准</w:t>
      </w:r>
      <w:r>
        <w:rPr>
          <w:rFonts w:hint="eastAsia" w:ascii="宋体" w:hAnsi="宋体" w:cs="宋体"/>
          <w:color w:val="auto"/>
          <w:sz w:val="24"/>
        </w:rPr>
        <w:t>】；</w:t>
      </w:r>
    </w:p>
    <w:p w14:paraId="5B92CC48">
      <w:pPr>
        <w:spacing w:line="360" w:lineRule="auto"/>
        <w:ind w:firstLine="420" w:firstLineChars="175"/>
        <w:rPr>
          <w:color w:val="auto"/>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投标人及法定代表人不得存在商业贿赂和不正当竞争行为记录</w:t>
      </w:r>
      <w:r>
        <w:rPr>
          <w:rFonts w:hint="eastAsia" w:ascii="宋体" w:hAnsi="宋体" w:eastAsia="宋体" w:cs="宋体"/>
          <w:color w:val="auto"/>
          <w:sz w:val="24"/>
          <w:szCs w:val="24"/>
          <w:lang w:val="en-US" w:eastAsia="zh-CN"/>
        </w:rPr>
        <w:t>。</w:t>
      </w:r>
    </w:p>
    <w:p w14:paraId="204DFB00">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温馨提醒：本项目为资格后审，资格审查由</w:t>
      </w:r>
      <w:r>
        <w:rPr>
          <w:rFonts w:hint="eastAsia" w:ascii="宋体" w:hAnsi="宋体" w:cs="宋体"/>
          <w:color w:val="auto"/>
          <w:sz w:val="24"/>
          <w:szCs w:val="24"/>
          <w:lang w:eastAsia="zh-CN"/>
        </w:rPr>
        <w:t>采购人</w:t>
      </w:r>
      <w:r>
        <w:rPr>
          <w:rFonts w:hint="eastAsia" w:ascii="宋体" w:hAnsi="宋体" w:cs="宋体"/>
          <w:color w:val="auto"/>
          <w:sz w:val="24"/>
          <w:szCs w:val="24"/>
        </w:rPr>
        <w:t>或其委托的代理机构负责。各投标人应认真阅读本项目投标人资格要求，避免无资格投标而造成不必要的损失。</w:t>
      </w:r>
    </w:p>
    <w:p w14:paraId="3FBD4AED">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三、获取招标文件：</w:t>
      </w:r>
    </w:p>
    <w:p w14:paraId="7BDF2F8C">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1、时间：</w:t>
      </w:r>
      <w:r>
        <w:rPr>
          <w:rFonts w:hint="eastAsia" w:ascii="宋体" w:hAnsi="宋体" w:cs="宋体"/>
          <w:color w:val="auto"/>
          <w:sz w:val="24"/>
          <w:szCs w:val="24"/>
          <w:lang w:eastAsia="zh-CN"/>
        </w:rPr>
        <w:t>2025年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17</w:t>
      </w:r>
      <w:r>
        <w:rPr>
          <w:rFonts w:hint="eastAsia" w:ascii="宋体" w:hAnsi="宋体" w:cs="宋体"/>
          <w:color w:val="auto"/>
          <w:sz w:val="24"/>
          <w:szCs w:val="24"/>
        </w:rPr>
        <w:t>日8时00分至</w:t>
      </w:r>
      <w:r>
        <w:rPr>
          <w:rFonts w:hint="eastAsia" w:ascii="宋体" w:hAnsi="宋体" w:cs="宋体"/>
          <w:color w:val="auto"/>
          <w:sz w:val="24"/>
          <w:szCs w:val="24"/>
          <w:lang w:eastAsia="zh-CN"/>
        </w:rPr>
        <w:t>2026年1月6日8时30分</w:t>
      </w:r>
      <w:r>
        <w:rPr>
          <w:rFonts w:hint="eastAsia" w:ascii="宋体" w:hAnsi="宋体" w:cs="宋体"/>
          <w:color w:val="auto"/>
          <w:sz w:val="24"/>
          <w:szCs w:val="24"/>
        </w:rPr>
        <w:t>（法定节假日、双休日除外）；</w:t>
      </w:r>
    </w:p>
    <w:p w14:paraId="7FCB20E2">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2、地点：三门峡市公共资源交易中心网（网址：http://gzjy.smx.gov.cn）；</w:t>
      </w:r>
    </w:p>
    <w:p w14:paraId="72D86A10">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3、方式：凡有意参加本项目投标的潜在投标人，须完成市场主体信息库登记并取得CA数字证书，凭CA数字证书通过三门峡市公共资源交易中心网（网址：http://gzjy.smx.gov.cn），点击交易平台选择“市场主体登录”，在所参与项目右侧点击参与投标，即可直接下载本项目招标文件。具体操作请查看以下链接：</w:t>
      </w:r>
    </w:p>
    <w:p w14:paraId="5DF883EF">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lang w:eastAsia="zh-CN"/>
        </w:rPr>
        <w:t>三门峡市公共资源交易中心网</w:t>
      </w:r>
      <w:r>
        <w:rPr>
          <w:rFonts w:hint="eastAsia" w:ascii="宋体" w:hAnsi="宋体" w:cs="宋体"/>
          <w:color w:val="auto"/>
          <w:sz w:val="24"/>
          <w:szCs w:val="24"/>
        </w:rPr>
        <w:t>使用CA证书操作手册：</w:t>
      </w:r>
    </w:p>
    <w:p w14:paraId="355805E9">
      <w:pPr>
        <w:spacing w:line="360" w:lineRule="auto"/>
        <w:ind w:firstLine="367" w:firstLineChars="175"/>
        <w:rPr>
          <w:rFonts w:ascii="宋体" w:hAnsi="宋体" w:cs="宋体"/>
          <w:color w:val="auto"/>
          <w:sz w:val="24"/>
          <w:szCs w:val="24"/>
        </w:rPr>
      </w:pPr>
      <w:r>
        <w:rPr>
          <w:color w:val="auto"/>
        </w:rPr>
        <w:fldChar w:fldCharType="begin"/>
      </w:r>
      <w:r>
        <w:rPr>
          <w:color w:val="auto"/>
        </w:rPr>
        <w:instrText xml:space="preserve"> HYPERLINK "http://gzjy.smx.gov.cn/fwzn/004003/20210114/62052444-fa5b-47bb-8c75-c669600e56a8.html" </w:instrText>
      </w:r>
      <w:r>
        <w:rPr>
          <w:color w:val="auto"/>
        </w:rPr>
        <w:fldChar w:fldCharType="separate"/>
      </w:r>
      <w:r>
        <w:rPr>
          <w:rFonts w:hint="eastAsia" w:ascii="宋体" w:hAnsi="宋体" w:cs="宋体"/>
          <w:color w:val="auto"/>
          <w:sz w:val="24"/>
          <w:szCs w:val="24"/>
        </w:rPr>
        <w:t>http://gzjy.smx.gov.cn/fwzn/004003/20210114/62052444-fa5b-47bb-8c75-c669600e56a8.html</w:t>
      </w:r>
      <w:r>
        <w:rPr>
          <w:rFonts w:hint="eastAsia" w:ascii="宋体" w:hAnsi="宋体" w:cs="宋体"/>
          <w:color w:val="auto"/>
          <w:sz w:val="24"/>
          <w:szCs w:val="24"/>
        </w:rPr>
        <w:fldChar w:fldCharType="end"/>
      </w:r>
    </w:p>
    <w:p w14:paraId="45C6C3DD">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根据《关于进一步加强公共资源交易管理持续优化营商环境的通知》（三公管办【2020】2号）文件的要求，</w:t>
      </w:r>
      <w:r>
        <w:rPr>
          <w:rFonts w:hint="eastAsia" w:ascii="宋体" w:hAnsi="宋体" w:cs="宋体"/>
          <w:color w:val="auto"/>
          <w:sz w:val="24"/>
          <w:szCs w:val="24"/>
          <w:lang w:val="en-US" w:eastAsia="zh-CN"/>
        </w:rPr>
        <w:t>本项目不收取</w:t>
      </w:r>
      <w:r>
        <w:rPr>
          <w:rFonts w:hint="eastAsia" w:ascii="宋体" w:hAnsi="宋体" w:cs="宋体"/>
          <w:color w:val="auto"/>
          <w:sz w:val="24"/>
          <w:szCs w:val="24"/>
        </w:rPr>
        <w:t>招标文件费。</w:t>
      </w:r>
    </w:p>
    <w:p w14:paraId="56F224C5">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四、投标文件的提交：</w:t>
      </w:r>
    </w:p>
    <w:p w14:paraId="1D3E6DD9">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1、投标文件提交的截止时间：</w:t>
      </w:r>
      <w:r>
        <w:rPr>
          <w:rFonts w:hint="eastAsia" w:ascii="宋体" w:hAnsi="宋体" w:cs="宋体"/>
          <w:color w:val="auto"/>
          <w:sz w:val="24"/>
          <w:szCs w:val="24"/>
          <w:lang w:eastAsia="zh-CN"/>
        </w:rPr>
        <w:t>2026年1</w:t>
      </w:r>
      <w:bookmarkStart w:id="393" w:name="_GoBack"/>
      <w:bookmarkEnd w:id="393"/>
      <w:r>
        <w:rPr>
          <w:rFonts w:hint="eastAsia" w:ascii="宋体" w:hAnsi="宋体" w:cs="宋体"/>
          <w:color w:val="auto"/>
          <w:sz w:val="24"/>
          <w:szCs w:val="24"/>
          <w:lang w:eastAsia="zh-CN"/>
        </w:rPr>
        <w:t>月6日8时30分</w:t>
      </w:r>
      <w:r>
        <w:rPr>
          <w:rFonts w:hint="eastAsia" w:ascii="宋体" w:hAnsi="宋体" w:cs="宋体"/>
          <w:color w:val="auto"/>
          <w:sz w:val="24"/>
          <w:szCs w:val="24"/>
        </w:rPr>
        <w:t>；</w:t>
      </w:r>
    </w:p>
    <w:p w14:paraId="089C49CF">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2、地点：</w:t>
      </w:r>
      <w:r>
        <w:rPr>
          <w:rFonts w:hint="eastAsia" w:ascii="宋体" w:hAnsi="宋体" w:cs="宋体"/>
          <w:color w:val="auto"/>
          <w:sz w:val="24"/>
          <w:szCs w:val="24"/>
          <w:lang w:eastAsia="zh-CN"/>
        </w:rPr>
        <w:t>在三门峡市公共资源交易平台系统中上传加密投标文件</w:t>
      </w:r>
      <w:r>
        <w:rPr>
          <w:rFonts w:hint="eastAsia" w:ascii="宋体" w:hAnsi="宋体" w:cs="宋体"/>
          <w:color w:val="auto"/>
          <w:sz w:val="24"/>
          <w:szCs w:val="24"/>
        </w:rPr>
        <w:t>；</w:t>
      </w:r>
    </w:p>
    <w:p w14:paraId="0A3CB236">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注：本项目为不见面开标项目。开标当日投标人不得到开标现场参加开标会议。投标人应当在投标文件提交截止时间前，登陆不见面开标大厅（网址为</w:t>
      </w:r>
      <w:r>
        <w:rPr>
          <w:rFonts w:hint="eastAsia" w:ascii="宋体" w:hAnsi="宋体" w:cs="宋体"/>
          <w:color w:val="auto"/>
          <w:sz w:val="24"/>
        </w:rPr>
        <w:t>http://120.194.249.36:10094/BidOpening/bidopeninghallaction/hall/login</w:t>
      </w:r>
      <w:r>
        <w:rPr>
          <w:rFonts w:hint="eastAsia" w:ascii="宋体" w:hAnsi="宋体" w:cs="宋体"/>
          <w:color w:val="auto"/>
          <w:sz w:val="24"/>
          <w:szCs w:val="24"/>
        </w:rPr>
        <w:t>），选择登陆三门峡市公共资源电子招投标系统进行登陆,在线准时参加开标活动，并进行投标文件解密等。每位投标人的解密时间为</w:t>
      </w:r>
      <w:r>
        <w:rPr>
          <w:rFonts w:hint="eastAsia" w:ascii="宋体" w:hAnsi="宋体" w:cs="宋体"/>
          <w:color w:val="auto"/>
          <w:sz w:val="24"/>
          <w:szCs w:val="24"/>
          <w:lang w:eastAsia="zh-CN"/>
        </w:rPr>
        <w:t>开始时间起30</w:t>
      </w:r>
      <w:r>
        <w:rPr>
          <w:rFonts w:hint="eastAsia" w:ascii="宋体" w:hAnsi="宋体" w:cs="宋体"/>
          <w:color w:val="auto"/>
          <w:sz w:val="24"/>
          <w:szCs w:val="24"/>
        </w:rPr>
        <w:t>分钟内完成。因投标人原因未能解密、解密失败或解密超时的，其投标将被拒绝。</w:t>
      </w:r>
    </w:p>
    <w:p w14:paraId="0F4A70C6">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五、投标文件的开启：</w:t>
      </w:r>
    </w:p>
    <w:p w14:paraId="143EFBAF">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1、各投标人提交的投标文件将于</w:t>
      </w:r>
      <w:r>
        <w:rPr>
          <w:rFonts w:hint="eastAsia" w:ascii="宋体" w:hAnsi="宋体" w:cs="宋体"/>
          <w:color w:val="auto"/>
          <w:sz w:val="24"/>
          <w:szCs w:val="24"/>
          <w:lang w:eastAsia="zh-CN"/>
        </w:rPr>
        <w:t>2026年1月6日8时30分</w:t>
      </w:r>
      <w:r>
        <w:rPr>
          <w:rFonts w:hint="eastAsia" w:ascii="宋体" w:hAnsi="宋体" w:cs="宋体"/>
          <w:color w:val="auto"/>
          <w:sz w:val="24"/>
          <w:szCs w:val="24"/>
        </w:rPr>
        <w:t>在线准时开启；</w:t>
      </w:r>
    </w:p>
    <w:p w14:paraId="3FCA2BD1">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2、开标地点：</w:t>
      </w:r>
      <w:r>
        <w:rPr>
          <w:rFonts w:hint="eastAsia" w:ascii="宋体" w:hAnsi="宋体" w:cs="宋体"/>
          <w:color w:val="auto"/>
          <w:sz w:val="24"/>
          <w:szCs w:val="24"/>
          <w:lang w:eastAsia="zh-CN"/>
        </w:rPr>
        <w:t>义马市公共资源交易中心开标一室</w:t>
      </w:r>
      <w:r>
        <w:rPr>
          <w:rFonts w:hint="eastAsia" w:ascii="宋体" w:hAnsi="宋体" w:cs="宋体"/>
          <w:color w:val="auto"/>
          <w:sz w:val="24"/>
          <w:szCs w:val="24"/>
        </w:rPr>
        <w:t>。</w:t>
      </w:r>
    </w:p>
    <w:p w14:paraId="3ADE2F29">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六、发布公告的媒介及期限</w:t>
      </w:r>
    </w:p>
    <w:p w14:paraId="633CD376">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本次招标公告在《中国招标投标公共服务平台》《河南省政府采购网》《三门峡市公共资源交易中心网》上发布，公告期限为公告发布后五个工作日。</w:t>
      </w:r>
    </w:p>
    <w:p w14:paraId="69E42636">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七、其他补充事宜</w:t>
      </w:r>
    </w:p>
    <w:p w14:paraId="4A58A17E">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1、投标人资料的提交：</w:t>
      </w:r>
    </w:p>
    <w:p w14:paraId="2C498A5E">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投标人资格审查内容以</w:t>
      </w:r>
      <w:r>
        <w:rPr>
          <w:rFonts w:hint="eastAsia" w:ascii="宋体" w:hAnsi="宋体" w:cs="宋体"/>
          <w:b/>
          <w:bCs/>
          <w:color w:val="auto"/>
          <w:sz w:val="24"/>
          <w:szCs w:val="24"/>
        </w:rPr>
        <w:t>投标人在其投标文件“资格审查资料”</w:t>
      </w:r>
      <w:r>
        <w:rPr>
          <w:rFonts w:hint="eastAsia" w:ascii="宋体" w:hAnsi="宋体" w:cs="宋体"/>
          <w:b/>
          <w:bCs/>
          <w:color w:val="auto"/>
          <w:sz w:val="24"/>
          <w:szCs w:val="24"/>
          <w:lang w:eastAsia="zh-CN"/>
        </w:rPr>
        <w:t>中提供的信息、资料为准</w:t>
      </w:r>
      <w:r>
        <w:rPr>
          <w:rFonts w:hint="eastAsia" w:ascii="宋体" w:hAnsi="宋体" w:cs="宋体"/>
          <w:color w:val="auto"/>
          <w:sz w:val="24"/>
          <w:szCs w:val="24"/>
        </w:rPr>
        <w:t>。</w:t>
      </w:r>
      <w:r>
        <w:rPr>
          <w:rFonts w:hint="eastAsia" w:ascii="宋体" w:hAnsi="宋体" w:cs="宋体"/>
          <w:color w:val="auto"/>
          <w:sz w:val="24"/>
          <w:szCs w:val="24"/>
          <w:lang w:eastAsia="zh-CN"/>
        </w:rPr>
        <w:t>投标人提供的信息资料扫描件必须清晰可辨</w:t>
      </w:r>
      <w:r>
        <w:rPr>
          <w:rFonts w:hint="eastAsia" w:ascii="宋体" w:hAnsi="宋体" w:cs="宋体"/>
          <w:color w:val="auto"/>
          <w:sz w:val="24"/>
          <w:szCs w:val="24"/>
        </w:rPr>
        <w:t>、真实有效（投标人对其真实性负责）。否则，由此造成的资格审查不合格或应得分而未得分等情况的，由投标人承担责任。</w:t>
      </w:r>
    </w:p>
    <w:p w14:paraId="4A3A8F28">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投标人</w:t>
      </w:r>
      <w:r>
        <w:rPr>
          <w:rFonts w:hint="eastAsia" w:ascii="宋体" w:hAnsi="宋体" w:cs="宋体"/>
          <w:color w:val="auto"/>
          <w:sz w:val="24"/>
          <w:szCs w:val="24"/>
          <w:lang w:eastAsia="zh-CN"/>
        </w:rPr>
        <w:t>应及时维护、完善、更新主体信息库信息</w:t>
      </w:r>
      <w:r>
        <w:rPr>
          <w:rFonts w:hint="eastAsia" w:ascii="宋体" w:hAnsi="宋体" w:cs="宋体"/>
          <w:color w:val="auto"/>
          <w:sz w:val="24"/>
          <w:szCs w:val="24"/>
        </w:rPr>
        <w:t>，具体操作详见《三门峡市公共资源交易服务平台市场主体信息库操作手册》，链接地址：http://gzjy.smx.gov.cn/fwzn/004003/20200325/b13aa3fa-a543-403f-b537-82cb417132bd.html</w:t>
      </w:r>
    </w:p>
    <w:p w14:paraId="01F7713A">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2、投标保证金：</w:t>
      </w:r>
    </w:p>
    <w:p w14:paraId="28A6B462">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根据《河南省财政厅关于优化政府采购营商环境有关问题的通知》（豫财购【2019】4号）第6条的规定，</w:t>
      </w:r>
      <w:r>
        <w:rPr>
          <w:rFonts w:hint="eastAsia" w:ascii="宋体" w:hAnsi="宋体" w:cs="宋体"/>
          <w:color w:val="auto"/>
          <w:sz w:val="24"/>
          <w:szCs w:val="24"/>
          <w:lang w:val="en-US" w:eastAsia="zh-CN"/>
        </w:rPr>
        <w:t>本项目不收取</w:t>
      </w:r>
      <w:r>
        <w:rPr>
          <w:rFonts w:hint="eastAsia" w:ascii="宋体" w:hAnsi="宋体" w:cs="宋体"/>
          <w:color w:val="auto"/>
          <w:sz w:val="24"/>
          <w:szCs w:val="24"/>
        </w:rPr>
        <w:t>投标保证金。</w:t>
      </w:r>
      <w:r>
        <w:rPr>
          <w:rFonts w:hint="eastAsia" w:ascii="宋体" w:hAnsi="宋体" w:cs="宋体"/>
          <w:color w:val="auto"/>
          <w:sz w:val="24"/>
        </w:rPr>
        <w:t>投标人以投标承诺函的形式替代保证金，投标承诺函应明确承诺事项及违背承诺的责任</w:t>
      </w:r>
      <w:r>
        <w:rPr>
          <w:rFonts w:hint="eastAsia" w:ascii="宋体" w:hAnsi="宋体" w:cs="宋体"/>
          <w:color w:val="auto"/>
          <w:sz w:val="24"/>
          <w:szCs w:val="24"/>
        </w:rPr>
        <w:t>。</w:t>
      </w:r>
    </w:p>
    <w:p w14:paraId="1266C038">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3、其他事项：</w:t>
      </w:r>
    </w:p>
    <w:p w14:paraId="4665BBF1">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（1）投标所发生一切费用由各投标人自行承担，并承担相应的风险和责任。</w:t>
      </w:r>
    </w:p>
    <w:p w14:paraId="5BFD1BC2">
      <w:pPr>
        <w:spacing w:line="360" w:lineRule="auto"/>
        <w:ind w:firstLine="420" w:firstLineChars="175"/>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）投标人在投标截止时间前递交的投标文件不论中标与否均不予退还。</w:t>
      </w:r>
    </w:p>
    <w:p w14:paraId="0DA5335B">
      <w:pPr>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（3）本项目为电子化、无纸化交易项目，开标时不再接受任何纸质资料，为保证您能投标成功，请需仔细阅读招标文件和三门峡市公共资源交易中心官网业务办理指南。</w:t>
      </w:r>
    </w:p>
    <w:p w14:paraId="7221404C">
      <w:pPr>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逾期</w:t>
      </w:r>
      <w:r>
        <w:rPr>
          <w:rFonts w:hint="eastAsia" w:ascii="宋体" w:hAnsi="宋体" w:eastAsia="宋体" w:cs="宋体"/>
          <w:color w:val="auto"/>
          <w:sz w:val="24"/>
          <w:szCs w:val="24"/>
        </w:rPr>
        <w:t>上传或未按规定上传的电子投标文件，</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rPr>
        <w:t>不予受理。</w:t>
      </w:r>
    </w:p>
    <w:p w14:paraId="3A67E1FD">
      <w:pPr>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八、凡对本次招标提出询问，请按照以下方式联系</w:t>
      </w:r>
    </w:p>
    <w:p w14:paraId="658B1993">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采购人</w:t>
      </w:r>
      <w:r>
        <w:rPr>
          <w:rFonts w:hint="eastAsia" w:ascii="宋体" w:hAnsi="宋体" w:cs="宋体"/>
          <w:color w:val="auto"/>
          <w:sz w:val="24"/>
          <w:szCs w:val="24"/>
        </w:rPr>
        <w:t>信息</w:t>
      </w:r>
    </w:p>
    <w:p w14:paraId="21DC5D3B">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名称：</w:t>
      </w:r>
      <w:r>
        <w:rPr>
          <w:rFonts w:hint="eastAsia" w:ascii="宋体" w:hAnsi="宋体" w:cs="宋体"/>
          <w:color w:val="auto"/>
          <w:sz w:val="24"/>
          <w:szCs w:val="24"/>
          <w:lang w:eastAsia="zh-CN"/>
        </w:rPr>
        <w:t>义马市东区卫生院(义马市东区妇幼保健计划生育服务站）</w:t>
      </w:r>
      <w:r>
        <w:rPr>
          <w:rFonts w:hint="eastAsia" w:ascii="宋体" w:hAnsi="宋体" w:cs="宋体"/>
          <w:color w:val="auto"/>
          <w:sz w:val="24"/>
          <w:szCs w:val="24"/>
        </w:rPr>
        <w:t xml:space="preserve"> </w:t>
      </w:r>
    </w:p>
    <w:p w14:paraId="2D3386E0">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lang w:eastAsia="zh-CN"/>
        </w:rPr>
        <w:t>义马市</w:t>
      </w:r>
      <w:r>
        <w:rPr>
          <w:rFonts w:hint="eastAsia" w:ascii="宋体" w:hAnsi="宋体" w:cs="宋体"/>
          <w:color w:val="auto"/>
          <w:sz w:val="24"/>
          <w:szCs w:val="24"/>
          <w:lang w:val="en-US" w:eastAsia="zh-CN"/>
        </w:rPr>
        <w:t>东区朝阳路</w:t>
      </w:r>
      <w:r>
        <w:rPr>
          <w:rFonts w:hint="eastAsia" w:ascii="宋体" w:hAnsi="宋体" w:cs="宋体"/>
          <w:color w:val="auto"/>
          <w:sz w:val="24"/>
          <w:szCs w:val="24"/>
        </w:rPr>
        <w:t xml:space="preserve">  </w:t>
      </w:r>
    </w:p>
    <w:p w14:paraId="7202B7AA">
      <w:pPr>
        <w:spacing w:line="360" w:lineRule="auto"/>
        <w:ind w:firstLine="420" w:firstLineChars="175"/>
        <w:rPr>
          <w:rFonts w:hint="eastAsia" w:ascii="宋体" w:hAnsi="宋体" w:eastAsia="宋体" w:cs="宋体"/>
          <w:color w:val="auto"/>
          <w:sz w:val="24"/>
          <w:szCs w:val="24"/>
          <w:lang w:eastAsia="zh-CN"/>
        </w:rPr>
      </w:pPr>
      <w:r>
        <w:rPr>
          <w:rFonts w:hint="eastAsia" w:ascii="宋体" w:hAnsi="宋体" w:cs="宋体"/>
          <w:color w:val="auto"/>
          <w:sz w:val="24"/>
          <w:szCs w:val="24"/>
        </w:rPr>
        <w:t>联系人：</w:t>
      </w:r>
      <w:r>
        <w:rPr>
          <w:rFonts w:hint="eastAsia" w:ascii="宋体" w:hAnsi="宋体" w:cs="宋体"/>
          <w:color w:val="auto"/>
          <w:sz w:val="24"/>
          <w:szCs w:val="24"/>
          <w:lang w:val="en-US" w:eastAsia="zh-CN"/>
        </w:rPr>
        <w:t>马先生</w:t>
      </w:r>
    </w:p>
    <w:p w14:paraId="5DE5E04F">
      <w:pPr>
        <w:spacing w:line="360" w:lineRule="auto"/>
        <w:ind w:firstLine="420" w:firstLineChars="175"/>
        <w:rPr>
          <w:rFonts w:hint="eastAsia" w:ascii="宋体" w:hAnsi="宋体" w:eastAsia="宋体" w:cs="宋体"/>
          <w:color w:val="auto"/>
          <w:sz w:val="24"/>
          <w:szCs w:val="24"/>
          <w:lang w:eastAsia="zh-CN"/>
        </w:rPr>
      </w:pPr>
      <w:r>
        <w:rPr>
          <w:rFonts w:hint="eastAsia" w:ascii="宋体" w:hAnsi="宋体" w:cs="宋体"/>
          <w:color w:val="auto"/>
          <w:sz w:val="24"/>
          <w:szCs w:val="24"/>
        </w:rPr>
        <w:t>联系方式：</w:t>
      </w:r>
      <w:r>
        <w:rPr>
          <w:rFonts w:hint="eastAsia" w:ascii="宋体" w:hAnsi="宋体" w:cs="宋体"/>
          <w:color w:val="auto"/>
          <w:sz w:val="24"/>
          <w:szCs w:val="24"/>
          <w:lang w:eastAsia="zh-CN"/>
        </w:rPr>
        <w:t>15238951069</w:t>
      </w:r>
    </w:p>
    <w:p w14:paraId="27BFCDDA">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招标</w:t>
      </w:r>
      <w:r>
        <w:rPr>
          <w:rFonts w:hint="eastAsia" w:ascii="宋体" w:hAnsi="宋体" w:cs="宋体"/>
          <w:color w:val="auto"/>
          <w:sz w:val="24"/>
          <w:szCs w:val="24"/>
        </w:rPr>
        <w:t>代理机构信息</w:t>
      </w:r>
    </w:p>
    <w:p w14:paraId="4B7A5A0A">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 xml:space="preserve">名称：河南盛美工程管理服务有限公司 </w:t>
      </w:r>
    </w:p>
    <w:p w14:paraId="7976A528">
      <w:pPr>
        <w:spacing w:line="360" w:lineRule="auto"/>
        <w:ind w:firstLine="420" w:firstLineChars="175"/>
        <w:rPr>
          <w:rFonts w:hint="eastAsia" w:ascii="宋体" w:hAnsi="宋体" w:eastAsia="宋体" w:cs="宋体"/>
          <w:color w:val="auto"/>
          <w:sz w:val="24"/>
          <w:szCs w:val="24"/>
          <w:lang w:eastAsia="zh-CN"/>
        </w:rPr>
      </w:pPr>
      <w:r>
        <w:rPr>
          <w:rFonts w:hint="eastAsia" w:ascii="宋体" w:hAnsi="宋体" w:cs="宋体"/>
          <w:color w:val="auto"/>
          <w:sz w:val="24"/>
          <w:szCs w:val="24"/>
        </w:rPr>
        <w:t>地址：</w:t>
      </w:r>
      <w:r>
        <w:rPr>
          <w:rFonts w:hint="eastAsia" w:ascii="宋体" w:hAnsi="宋体" w:cs="宋体"/>
          <w:color w:val="auto"/>
          <w:sz w:val="24"/>
          <w:szCs w:val="24"/>
          <w:lang w:eastAsia="zh-CN"/>
        </w:rPr>
        <w:t>义马市永兴街，教师公寓2号楼2单元四楼西</w:t>
      </w:r>
    </w:p>
    <w:p w14:paraId="0EB2CA81">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联系人：王女士</w:t>
      </w:r>
    </w:p>
    <w:p w14:paraId="1C7A52E8">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联系方式：</w:t>
      </w:r>
      <w:r>
        <w:rPr>
          <w:rFonts w:hint="eastAsia" w:ascii="宋体" w:hAnsi="宋体" w:cs="宋体"/>
          <w:color w:val="auto"/>
          <w:sz w:val="24"/>
          <w:szCs w:val="24"/>
          <w:lang w:eastAsia="zh-CN"/>
        </w:rPr>
        <w:t>15539835268</w:t>
      </w:r>
      <w:r>
        <w:rPr>
          <w:rFonts w:hint="eastAsia" w:ascii="宋体" w:hAnsi="宋体" w:cs="宋体"/>
          <w:color w:val="auto"/>
          <w:sz w:val="24"/>
          <w:szCs w:val="24"/>
        </w:rPr>
        <w:t xml:space="preserve">  </w:t>
      </w:r>
    </w:p>
    <w:p w14:paraId="61AB2295">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3.监督单位信息</w:t>
      </w:r>
    </w:p>
    <w:p w14:paraId="00CED892">
      <w:pPr>
        <w:spacing w:line="360" w:lineRule="auto"/>
        <w:ind w:firstLine="420" w:firstLineChars="175"/>
        <w:rPr>
          <w:rFonts w:hint="eastAsia" w:ascii="宋体" w:hAnsi="宋体" w:cs="宋体"/>
          <w:color w:val="auto"/>
          <w:sz w:val="24"/>
          <w:szCs w:val="24"/>
        </w:rPr>
      </w:pPr>
      <w:r>
        <w:rPr>
          <w:rFonts w:hint="eastAsia" w:ascii="宋体" w:hAnsi="宋体" w:cs="宋体"/>
          <w:color w:val="auto"/>
          <w:sz w:val="24"/>
          <w:szCs w:val="24"/>
        </w:rPr>
        <w:t>名称：</w:t>
      </w:r>
      <w:r>
        <w:rPr>
          <w:rFonts w:hint="eastAsia" w:ascii="宋体" w:hAnsi="宋体" w:cs="宋体"/>
          <w:color w:val="auto"/>
          <w:sz w:val="24"/>
          <w:szCs w:val="24"/>
          <w:lang w:eastAsia="zh-CN"/>
        </w:rPr>
        <w:t>义马市财政局政府采购监督管理科</w:t>
      </w:r>
      <w:r>
        <w:rPr>
          <w:rFonts w:hint="eastAsia" w:ascii="宋体" w:hAnsi="宋体" w:cs="宋体"/>
          <w:color w:val="auto"/>
          <w:sz w:val="24"/>
          <w:szCs w:val="24"/>
        </w:rPr>
        <w:t xml:space="preserve"> </w:t>
      </w:r>
    </w:p>
    <w:p w14:paraId="1B69AF54">
      <w:pPr>
        <w:spacing w:line="360" w:lineRule="auto"/>
        <w:ind w:firstLine="420" w:firstLineChars="175"/>
        <w:rPr>
          <w:rFonts w:hint="eastAsia" w:ascii="宋体" w:hAnsi="宋体" w:eastAsia="宋体" w:cs="宋体"/>
          <w:color w:val="auto"/>
          <w:sz w:val="24"/>
          <w:szCs w:val="24"/>
          <w:lang w:eastAsia="zh-CN"/>
        </w:rPr>
      </w:pPr>
      <w:r>
        <w:rPr>
          <w:rFonts w:hint="eastAsia" w:ascii="宋体" w:hAnsi="宋体" w:cs="宋体"/>
          <w:color w:val="auto"/>
          <w:sz w:val="24"/>
          <w:szCs w:val="24"/>
        </w:rPr>
        <w:t>联系方式：</w:t>
      </w:r>
      <w:r>
        <w:rPr>
          <w:rFonts w:hint="eastAsia" w:ascii="宋体" w:hAnsi="宋体" w:cs="宋体"/>
          <w:color w:val="auto"/>
          <w:sz w:val="24"/>
          <w:szCs w:val="24"/>
          <w:lang w:val="en-US" w:eastAsia="zh-CN"/>
        </w:rPr>
        <w:tab/>
      </w:r>
      <w:r>
        <w:rPr>
          <w:rFonts w:hint="eastAsia" w:ascii="宋体" w:hAnsi="宋体" w:cs="宋体"/>
          <w:color w:val="auto"/>
          <w:sz w:val="24"/>
          <w:szCs w:val="24"/>
          <w:lang w:eastAsia="zh-CN"/>
        </w:rPr>
        <w:t>0398-5832143</w:t>
      </w:r>
    </w:p>
    <w:p w14:paraId="302420C7">
      <w:pPr>
        <w:spacing w:line="360" w:lineRule="auto"/>
        <w:ind w:firstLine="420" w:firstLineChars="175"/>
        <w:rPr>
          <w:rFonts w:ascii="宋体" w:hAnsi="宋体" w:cs="宋体"/>
          <w:color w:val="auto"/>
          <w:sz w:val="24"/>
          <w:szCs w:val="24"/>
        </w:rPr>
      </w:pPr>
    </w:p>
    <w:p w14:paraId="545FA234">
      <w:pPr>
        <w:rPr>
          <w:color w:val="auto"/>
        </w:rPr>
      </w:pPr>
    </w:p>
    <w:p w14:paraId="0BFE0B8B">
      <w:pPr>
        <w:wordWrap w:val="0"/>
        <w:spacing w:line="360" w:lineRule="auto"/>
        <w:jc w:val="righ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 xml:space="preserve">                                            义马市东区卫生院          </w:t>
      </w:r>
    </w:p>
    <w:p w14:paraId="206001C2">
      <w:pPr>
        <w:spacing w:line="360" w:lineRule="auto"/>
        <w:jc w:val="righ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(义马市东区妇幼保健计划生育服务站）  </w:t>
      </w:r>
    </w:p>
    <w:p w14:paraId="68993E57">
      <w:pPr>
        <w:wordWrap w:val="0"/>
        <w:spacing w:line="360" w:lineRule="auto"/>
        <w:jc w:val="right"/>
        <w:rPr>
          <w:rFonts w:hint="eastAsia" w:ascii="宋体" w:hAnsi="宋体" w:cs="宋体"/>
          <w:color w:val="auto"/>
          <w:sz w:val="24"/>
          <w:szCs w:val="24"/>
        </w:rPr>
      </w:pPr>
      <w:r>
        <w:rPr>
          <w:rFonts w:hint="eastAsia" w:ascii="宋体" w:hAnsi="宋体" w:cs="宋体"/>
          <w:color w:val="auto"/>
          <w:sz w:val="24"/>
          <w:szCs w:val="24"/>
          <w:lang w:eastAsia="zh-CN"/>
        </w:rPr>
        <w:t>2025年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16</w:t>
      </w:r>
      <w:r>
        <w:rPr>
          <w:rFonts w:hint="eastAsia" w:ascii="宋体" w:hAnsi="宋体" w:cs="宋体"/>
          <w:color w:val="auto"/>
          <w:sz w:val="24"/>
          <w:szCs w:val="24"/>
        </w:rPr>
        <w:t>日</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w:t>
      </w:r>
    </w:p>
    <w:p w14:paraId="58770A31">
      <w:pPr>
        <w:wordWrap w:val="0"/>
        <w:spacing w:line="360" w:lineRule="auto"/>
        <w:jc w:val="right"/>
        <w:rPr>
          <w:rFonts w:hint="eastAsia" w:ascii="宋体" w:hAnsi="宋体" w:cs="宋体"/>
          <w:color w:val="auto"/>
          <w:sz w:val="24"/>
          <w:szCs w:val="24"/>
        </w:rPr>
      </w:pPr>
    </w:p>
    <w:p w14:paraId="458693B9">
      <w:pPr>
        <w:wordWrap w:val="0"/>
        <w:spacing w:line="360" w:lineRule="auto"/>
        <w:jc w:val="right"/>
        <w:rPr>
          <w:rFonts w:hint="eastAsia" w:ascii="宋体" w:hAnsi="宋体" w:cs="宋体"/>
          <w:color w:val="auto"/>
          <w:sz w:val="24"/>
          <w:szCs w:val="24"/>
        </w:rPr>
      </w:pPr>
    </w:p>
    <w:p w14:paraId="23BC8FAE">
      <w:pPr>
        <w:wordWrap w:val="0"/>
        <w:spacing w:line="360" w:lineRule="auto"/>
        <w:jc w:val="right"/>
        <w:rPr>
          <w:rFonts w:hint="eastAsia" w:ascii="宋体" w:hAnsi="宋体" w:cs="宋体"/>
          <w:color w:val="auto"/>
          <w:sz w:val="24"/>
          <w:szCs w:val="24"/>
        </w:rPr>
      </w:pPr>
    </w:p>
    <w:p w14:paraId="3B23363E">
      <w:pPr>
        <w:wordWrap w:val="0"/>
        <w:spacing w:line="360" w:lineRule="auto"/>
        <w:jc w:val="right"/>
        <w:rPr>
          <w:rFonts w:hint="eastAsia" w:ascii="宋体" w:hAnsi="宋体" w:cs="宋体"/>
          <w:color w:val="auto"/>
          <w:sz w:val="24"/>
          <w:szCs w:val="24"/>
        </w:rPr>
      </w:pPr>
    </w:p>
    <w:p w14:paraId="081EE969">
      <w:pPr>
        <w:wordWrap w:val="0"/>
        <w:spacing w:line="360" w:lineRule="auto"/>
        <w:jc w:val="right"/>
        <w:rPr>
          <w:rFonts w:hint="eastAsia" w:ascii="宋体" w:hAnsi="宋体" w:cs="宋体"/>
          <w:color w:val="auto"/>
          <w:sz w:val="24"/>
          <w:szCs w:val="24"/>
        </w:rPr>
      </w:pPr>
    </w:p>
    <w:p w14:paraId="4E86BB16">
      <w:pPr>
        <w:wordWrap w:val="0"/>
        <w:spacing w:line="360" w:lineRule="auto"/>
        <w:jc w:val="right"/>
        <w:rPr>
          <w:rFonts w:hint="eastAsia" w:ascii="宋体" w:hAnsi="宋体" w:cs="宋体"/>
          <w:color w:val="auto"/>
          <w:sz w:val="24"/>
          <w:szCs w:val="24"/>
        </w:rPr>
      </w:pPr>
    </w:p>
    <w:p w14:paraId="028EA7CF">
      <w:pPr>
        <w:wordWrap w:val="0"/>
        <w:spacing w:line="360" w:lineRule="auto"/>
        <w:jc w:val="right"/>
        <w:rPr>
          <w:rFonts w:hint="eastAsia" w:ascii="宋体" w:hAnsi="宋体" w:cs="宋体"/>
          <w:color w:val="auto"/>
          <w:sz w:val="24"/>
          <w:szCs w:val="24"/>
        </w:rPr>
      </w:pPr>
    </w:p>
    <w:p w14:paraId="10462AFD">
      <w:pPr>
        <w:wordWrap/>
        <w:spacing w:line="360" w:lineRule="auto"/>
        <w:jc w:val="right"/>
        <w:rPr>
          <w:rFonts w:hint="eastAsia" w:ascii="宋体" w:hAnsi="宋体" w:cs="宋体"/>
          <w:color w:val="auto"/>
          <w:sz w:val="24"/>
          <w:szCs w:val="24"/>
        </w:rPr>
      </w:pPr>
    </w:p>
    <w:p w14:paraId="4D4A30C7">
      <w:pPr>
        <w:wordWrap/>
        <w:spacing w:line="360" w:lineRule="auto"/>
        <w:jc w:val="right"/>
        <w:rPr>
          <w:rFonts w:hint="eastAsia" w:ascii="宋体" w:hAnsi="宋体" w:cs="宋体"/>
          <w:color w:val="auto"/>
          <w:sz w:val="24"/>
          <w:szCs w:val="24"/>
        </w:rPr>
      </w:pPr>
    </w:p>
    <w:p w14:paraId="26ABE5E9">
      <w:pPr>
        <w:wordWrap w:val="0"/>
        <w:spacing w:line="360" w:lineRule="auto"/>
        <w:jc w:val="right"/>
        <w:rPr>
          <w:rFonts w:hint="eastAsia" w:ascii="宋体" w:hAnsi="宋体" w:cs="宋体"/>
          <w:color w:val="auto"/>
          <w:sz w:val="24"/>
          <w:szCs w:val="24"/>
        </w:rPr>
      </w:pPr>
    </w:p>
    <w:p w14:paraId="5665783E">
      <w:pPr>
        <w:wordWrap w:val="0"/>
        <w:spacing w:line="360" w:lineRule="auto"/>
        <w:jc w:val="right"/>
        <w:rPr>
          <w:rFonts w:hint="eastAsia" w:ascii="宋体" w:hAnsi="宋体" w:cs="宋体"/>
          <w:color w:val="auto"/>
          <w:sz w:val="24"/>
          <w:szCs w:val="24"/>
        </w:rPr>
      </w:pPr>
    </w:p>
    <w:p w14:paraId="005A248D">
      <w:pPr>
        <w:wordWrap w:val="0"/>
        <w:spacing w:line="360" w:lineRule="auto"/>
        <w:jc w:val="right"/>
        <w:rPr>
          <w:rFonts w:ascii="宋体" w:hAnsi="宋体" w:cs="宋体"/>
          <w:color w:val="auto"/>
          <w:sz w:val="24"/>
          <w:szCs w:val="24"/>
        </w:rPr>
      </w:pPr>
      <w:r>
        <w:rPr>
          <w:rFonts w:hint="eastAsia" w:ascii="宋体" w:hAnsi="宋体" w:cs="宋体"/>
          <w:color w:val="auto"/>
          <w:sz w:val="24"/>
          <w:szCs w:val="24"/>
        </w:rPr>
        <w:t xml:space="preserve"> </w:t>
      </w:r>
    </w:p>
    <w:p w14:paraId="1DD748E0">
      <w:pPr>
        <w:pStyle w:val="2"/>
        <w:rPr>
          <w:color w:val="auto"/>
        </w:rPr>
      </w:pPr>
      <w:bookmarkStart w:id="5" w:name="_Toc29205"/>
      <w:r>
        <w:rPr>
          <w:rFonts w:hint="eastAsia"/>
          <w:color w:val="auto"/>
        </w:rPr>
        <w:t>第二章  投标人须知</w:t>
      </w:r>
      <w:bookmarkEnd w:id="4"/>
      <w:bookmarkEnd w:id="5"/>
    </w:p>
    <w:p w14:paraId="05E12D99">
      <w:pPr>
        <w:jc w:val="center"/>
        <w:rPr>
          <w:rFonts w:ascii="宋体" w:hAnsi="宋体" w:cs="宋体"/>
          <w:b/>
          <w:bCs/>
          <w:color w:val="auto"/>
          <w:sz w:val="24"/>
        </w:rPr>
      </w:pPr>
      <w:r>
        <w:rPr>
          <w:rFonts w:hint="eastAsia" w:ascii="宋体" w:hAnsi="宋体" w:cs="宋体"/>
          <w:b/>
          <w:bCs/>
          <w:color w:val="auto"/>
          <w:sz w:val="24"/>
        </w:rPr>
        <w:t>投标人须知前附表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2414"/>
        <w:gridCol w:w="6420"/>
      </w:tblGrid>
      <w:tr w14:paraId="0C42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17" w:type="pct"/>
            <w:vAlign w:val="center"/>
          </w:tcPr>
          <w:p w14:paraId="3F56FE76">
            <w:pPr>
              <w:spacing w:line="336" w:lineRule="auto"/>
              <w:jc w:val="center"/>
              <w:rPr>
                <w:rFonts w:ascii="宋体" w:hAnsi="宋体" w:cs="宋体"/>
                <w:color w:val="auto"/>
                <w:sz w:val="24"/>
              </w:rPr>
            </w:pPr>
            <w:r>
              <w:rPr>
                <w:rFonts w:hint="eastAsia" w:ascii="宋体" w:hAnsi="宋体" w:cs="宋体"/>
                <w:color w:val="auto"/>
                <w:sz w:val="24"/>
              </w:rPr>
              <w:t>条款号</w:t>
            </w:r>
          </w:p>
        </w:tc>
        <w:tc>
          <w:tcPr>
            <w:tcW w:w="1225" w:type="pct"/>
            <w:vAlign w:val="center"/>
          </w:tcPr>
          <w:p w14:paraId="6BF7D979">
            <w:pPr>
              <w:spacing w:line="336" w:lineRule="auto"/>
              <w:jc w:val="center"/>
              <w:rPr>
                <w:rFonts w:ascii="宋体" w:hAnsi="宋体" w:cs="宋体"/>
                <w:color w:val="auto"/>
                <w:sz w:val="24"/>
              </w:rPr>
            </w:pPr>
            <w:r>
              <w:rPr>
                <w:rFonts w:hint="eastAsia" w:ascii="宋体" w:hAnsi="宋体" w:cs="宋体"/>
                <w:color w:val="auto"/>
                <w:sz w:val="24"/>
              </w:rPr>
              <w:t>条款名称</w:t>
            </w:r>
          </w:p>
        </w:tc>
        <w:tc>
          <w:tcPr>
            <w:tcW w:w="3257" w:type="pct"/>
            <w:vAlign w:val="center"/>
          </w:tcPr>
          <w:p w14:paraId="223EA1DC">
            <w:pPr>
              <w:keepNext w:val="0"/>
              <w:keepLines w:val="0"/>
              <w:pageBreakBefore w:val="0"/>
              <w:kinsoku/>
              <w:wordWrap/>
              <w:overflowPunct/>
              <w:topLinePunct w:val="0"/>
              <w:bidi w:val="0"/>
              <w:snapToGrid/>
              <w:spacing w:line="336" w:lineRule="auto"/>
              <w:jc w:val="center"/>
              <w:rPr>
                <w:rFonts w:ascii="宋体" w:hAnsi="宋体" w:cs="宋体"/>
                <w:color w:val="auto"/>
                <w:sz w:val="24"/>
              </w:rPr>
            </w:pPr>
            <w:r>
              <w:rPr>
                <w:rFonts w:hint="eastAsia" w:ascii="宋体" w:hAnsi="宋体" w:cs="宋体"/>
                <w:color w:val="auto"/>
                <w:sz w:val="24"/>
              </w:rPr>
              <w:t>编  列  内  容</w:t>
            </w:r>
          </w:p>
        </w:tc>
      </w:tr>
      <w:tr w14:paraId="341D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4095D63A">
            <w:pPr>
              <w:spacing w:line="336" w:lineRule="auto"/>
              <w:jc w:val="center"/>
              <w:rPr>
                <w:rFonts w:ascii="宋体" w:hAnsi="宋体" w:cs="宋体"/>
                <w:color w:val="auto"/>
                <w:sz w:val="24"/>
              </w:rPr>
            </w:pPr>
            <w:r>
              <w:rPr>
                <w:rFonts w:hint="eastAsia" w:ascii="宋体" w:hAnsi="宋体" w:cs="宋体"/>
                <w:color w:val="auto"/>
                <w:sz w:val="24"/>
              </w:rPr>
              <w:t>1.1.2</w:t>
            </w:r>
          </w:p>
        </w:tc>
        <w:tc>
          <w:tcPr>
            <w:tcW w:w="1225" w:type="pct"/>
            <w:vAlign w:val="center"/>
          </w:tcPr>
          <w:p w14:paraId="200A22CC">
            <w:pPr>
              <w:spacing w:line="336" w:lineRule="auto"/>
              <w:jc w:val="center"/>
              <w:rPr>
                <w:rFonts w:hint="eastAsia" w:ascii="宋体" w:hAnsi="宋体" w:eastAsia="宋体" w:cs="宋体"/>
                <w:color w:val="auto"/>
                <w:sz w:val="24"/>
                <w:lang w:eastAsia="zh-CN"/>
              </w:rPr>
            </w:pPr>
            <w:r>
              <w:rPr>
                <w:rFonts w:hint="eastAsia" w:ascii="宋体" w:hAnsi="宋体" w:cs="宋体"/>
                <w:color w:val="auto"/>
                <w:sz w:val="24"/>
                <w:lang w:eastAsia="zh-CN"/>
              </w:rPr>
              <w:t>采购人</w:t>
            </w:r>
          </w:p>
        </w:tc>
        <w:tc>
          <w:tcPr>
            <w:tcW w:w="3257" w:type="pct"/>
            <w:vAlign w:val="center"/>
          </w:tcPr>
          <w:p w14:paraId="57FFED69">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采购人</w:t>
            </w:r>
            <w:r>
              <w:rPr>
                <w:rFonts w:hint="eastAsia" w:ascii="宋体" w:hAnsi="宋体" w:cs="宋体"/>
                <w:color w:val="auto"/>
                <w:sz w:val="24"/>
                <w:szCs w:val="24"/>
              </w:rPr>
              <w:t>：</w:t>
            </w:r>
            <w:r>
              <w:rPr>
                <w:rFonts w:hint="eastAsia" w:ascii="宋体" w:hAnsi="宋体" w:cs="宋体"/>
                <w:color w:val="auto"/>
                <w:sz w:val="24"/>
                <w:szCs w:val="24"/>
                <w:lang w:eastAsia="zh-CN"/>
              </w:rPr>
              <w:t>义马市东区卫生院(义马市东区妇幼保健计划生育服务站）</w:t>
            </w:r>
          </w:p>
          <w:p w14:paraId="75F23728">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eastAsia="zh-CN"/>
              </w:rPr>
            </w:pPr>
            <w:r>
              <w:rPr>
                <w:rFonts w:hint="eastAsia" w:ascii="宋体" w:hAnsi="宋体" w:cs="宋体"/>
                <w:color w:val="auto"/>
                <w:sz w:val="24"/>
                <w:szCs w:val="24"/>
              </w:rPr>
              <w:t>地址：</w:t>
            </w:r>
            <w:r>
              <w:rPr>
                <w:rFonts w:hint="eastAsia" w:ascii="宋体" w:hAnsi="宋体" w:cs="宋体"/>
                <w:color w:val="auto"/>
                <w:sz w:val="24"/>
                <w:szCs w:val="24"/>
                <w:lang w:eastAsia="zh-CN"/>
              </w:rPr>
              <w:t>义马市</w:t>
            </w:r>
            <w:r>
              <w:rPr>
                <w:rFonts w:hint="eastAsia" w:ascii="宋体" w:hAnsi="宋体" w:cs="宋体"/>
                <w:color w:val="auto"/>
                <w:sz w:val="24"/>
                <w:szCs w:val="24"/>
                <w:lang w:val="en-US" w:eastAsia="zh-CN"/>
              </w:rPr>
              <w:t>东区朝阳路</w:t>
            </w:r>
          </w:p>
          <w:p w14:paraId="5AC561F5">
            <w:pPr>
              <w:keepNext w:val="0"/>
              <w:keepLines w:val="0"/>
              <w:pageBreakBefore w:val="0"/>
              <w:kinsoku/>
              <w:wordWrap/>
              <w:overflowPunct/>
              <w:topLinePunct w:val="0"/>
              <w:bidi w:val="0"/>
              <w:snapToGrid/>
              <w:spacing w:line="428" w:lineRule="exact"/>
              <w:rPr>
                <w:rFonts w:ascii="宋体" w:hAnsi="宋体" w:cs="宋体"/>
                <w:color w:val="auto"/>
                <w:sz w:val="24"/>
                <w:szCs w:val="24"/>
              </w:rPr>
            </w:pPr>
            <w:r>
              <w:rPr>
                <w:rFonts w:hint="eastAsia" w:ascii="宋体" w:hAnsi="宋体" w:cs="宋体"/>
                <w:color w:val="auto"/>
                <w:sz w:val="24"/>
                <w:szCs w:val="24"/>
              </w:rPr>
              <w:t>联系人：</w:t>
            </w:r>
            <w:r>
              <w:rPr>
                <w:rFonts w:hint="eastAsia" w:ascii="宋体" w:hAnsi="宋体" w:cs="宋体"/>
                <w:color w:val="auto"/>
                <w:sz w:val="24"/>
                <w:szCs w:val="24"/>
                <w:lang w:eastAsia="zh-CN"/>
              </w:rPr>
              <w:t>马先生</w:t>
            </w:r>
            <w:r>
              <w:rPr>
                <w:rFonts w:hint="eastAsia" w:ascii="宋体" w:hAnsi="宋体" w:cs="宋体"/>
                <w:color w:val="auto"/>
                <w:sz w:val="24"/>
                <w:szCs w:val="24"/>
              </w:rPr>
              <w:t xml:space="preserve"> </w:t>
            </w:r>
          </w:p>
          <w:p w14:paraId="165E3355">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eastAsia="zh-CN"/>
              </w:rPr>
            </w:pPr>
            <w:r>
              <w:rPr>
                <w:rFonts w:hint="eastAsia" w:ascii="宋体" w:hAnsi="宋体" w:cs="宋体"/>
                <w:color w:val="auto"/>
                <w:sz w:val="24"/>
                <w:szCs w:val="24"/>
              </w:rPr>
              <w:t>电话：</w:t>
            </w:r>
            <w:r>
              <w:rPr>
                <w:rFonts w:hint="eastAsia" w:ascii="宋体" w:hAnsi="宋体" w:cs="宋体"/>
                <w:color w:val="auto"/>
                <w:sz w:val="24"/>
                <w:szCs w:val="24"/>
                <w:lang w:eastAsia="zh-CN"/>
              </w:rPr>
              <w:t>15238951069</w:t>
            </w:r>
          </w:p>
        </w:tc>
      </w:tr>
      <w:tr w14:paraId="67B7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6A1FB52A">
            <w:pPr>
              <w:spacing w:line="336" w:lineRule="auto"/>
              <w:jc w:val="center"/>
              <w:rPr>
                <w:rFonts w:ascii="宋体" w:hAnsi="宋体" w:cs="宋体"/>
                <w:color w:val="auto"/>
                <w:sz w:val="24"/>
              </w:rPr>
            </w:pPr>
            <w:r>
              <w:rPr>
                <w:rFonts w:hint="eastAsia" w:ascii="宋体" w:hAnsi="宋体" w:cs="宋体"/>
                <w:color w:val="auto"/>
                <w:sz w:val="24"/>
              </w:rPr>
              <w:t>1.1.3</w:t>
            </w:r>
          </w:p>
        </w:tc>
        <w:tc>
          <w:tcPr>
            <w:tcW w:w="1225" w:type="pct"/>
            <w:vAlign w:val="center"/>
          </w:tcPr>
          <w:p w14:paraId="75BE2F91">
            <w:pPr>
              <w:spacing w:line="336" w:lineRule="auto"/>
              <w:jc w:val="center"/>
              <w:rPr>
                <w:rFonts w:ascii="宋体" w:hAnsi="宋体" w:cs="宋体"/>
                <w:color w:val="auto"/>
                <w:sz w:val="24"/>
              </w:rPr>
            </w:pPr>
            <w:r>
              <w:rPr>
                <w:rFonts w:hint="eastAsia" w:ascii="宋体" w:hAnsi="宋体" w:cs="宋体"/>
                <w:color w:val="auto"/>
                <w:sz w:val="24"/>
              </w:rPr>
              <w:t>招标代理机构</w:t>
            </w:r>
          </w:p>
        </w:tc>
        <w:tc>
          <w:tcPr>
            <w:tcW w:w="3257" w:type="pct"/>
            <w:vAlign w:val="center"/>
          </w:tcPr>
          <w:p w14:paraId="0E459B54">
            <w:pPr>
              <w:keepNext w:val="0"/>
              <w:keepLines w:val="0"/>
              <w:pageBreakBefore w:val="0"/>
              <w:kinsoku/>
              <w:wordWrap/>
              <w:overflowPunct/>
              <w:topLinePunct w:val="0"/>
              <w:bidi w:val="0"/>
              <w:snapToGrid/>
              <w:spacing w:line="428" w:lineRule="exact"/>
              <w:rPr>
                <w:rFonts w:ascii="宋体" w:hAnsi="宋体" w:cs="宋体"/>
                <w:color w:val="auto"/>
                <w:sz w:val="24"/>
                <w:szCs w:val="24"/>
              </w:rPr>
            </w:pPr>
            <w:r>
              <w:rPr>
                <w:rFonts w:hint="eastAsia" w:ascii="宋体" w:hAnsi="宋体" w:cs="宋体"/>
                <w:color w:val="auto"/>
                <w:sz w:val="24"/>
                <w:szCs w:val="24"/>
              </w:rPr>
              <w:t>招标代理机构：河南盛美工程管理服务有限公司</w:t>
            </w:r>
          </w:p>
          <w:p w14:paraId="4401FF42">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eastAsia="zh-CN"/>
              </w:rPr>
            </w:pPr>
            <w:r>
              <w:rPr>
                <w:rFonts w:hint="eastAsia" w:ascii="宋体" w:hAnsi="宋体" w:cs="宋体"/>
                <w:color w:val="auto"/>
                <w:sz w:val="24"/>
                <w:szCs w:val="24"/>
              </w:rPr>
              <w:t>地址：</w:t>
            </w:r>
            <w:r>
              <w:rPr>
                <w:rFonts w:hint="eastAsia" w:ascii="宋体" w:hAnsi="宋体" w:cs="宋体"/>
                <w:color w:val="auto"/>
                <w:sz w:val="24"/>
                <w:szCs w:val="24"/>
                <w:lang w:eastAsia="zh-CN"/>
              </w:rPr>
              <w:t>义马市永兴街，教师公寓2号楼2单元四楼西</w:t>
            </w:r>
          </w:p>
          <w:p w14:paraId="595E5315">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eastAsia="zh-CN"/>
              </w:rPr>
            </w:pPr>
            <w:r>
              <w:rPr>
                <w:rFonts w:hint="eastAsia" w:ascii="宋体" w:hAnsi="宋体" w:cs="宋体"/>
                <w:color w:val="auto"/>
                <w:sz w:val="24"/>
                <w:szCs w:val="24"/>
              </w:rPr>
              <w:t>联系人：</w:t>
            </w:r>
            <w:r>
              <w:rPr>
                <w:rFonts w:hint="eastAsia" w:ascii="宋体" w:hAnsi="宋体" w:cs="宋体"/>
                <w:color w:val="auto"/>
                <w:sz w:val="24"/>
                <w:szCs w:val="24"/>
                <w:lang w:val="en-US" w:eastAsia="zh-CN"/>
              </w:rPr>
              <w:t>王女士</w:t>
            </w:r>
          </w:p>
          <w:p w14:paraId="03E357E9">
            <w:pPr>
              <w:keepNext w:val="0"/>
              <w:keepLines w:val="0"/>
              <w:pageBreakBefore w:val="0"/>
              <w:kinsoku/>
              <w:wordWrap/>
              <w:overflowPunct/>
              <w:topLinePunct w:val="0"/>
              <w:bidi w:val="0"/>
              <w:snapToGrid/>
              <w:spacing w:line="428" w:lineRule="exact"/>
              <w:rPr>
                <w:rFonts w:ascii="宋体" w:hAnsi="宋体" w:cs="宋体"/>
                <w:color w:val="auto"/>
                <w:sz w:val="24"/>
                <w:szCs w:val="24"/>
              </w:rPr>
            </w:pPr>
            <w:r>
              <w:rPr>
                <w:rFonts w:hint="eastAsia" w:ascii="宋体" w:hAnsi="宋体" w:cs="宋体"/>
                <w:color w:val="auto"/>
                <w:sz w:val="24"/>
                <w:szCs w:val="24"/>
              </w:rPr>
              <w:t>电话：</w:t>
            </w:r>
            <w:r>
              <w:rPr>
                <w:rFonts w:hint="eastAsia" w:ascii="宋体" w:hAnsi="宋体" w:cs="宋体"/>
                <w:color w:val="auto"/>
                <w:sz w:val="24"/>
                <w:szCs w:val="24"/>
                <w:lang w:eastAsia="zh-CN"/>
              </w:rPr>
              <w:t>15539835268</w:t>
            </w:r>
            <w:r>
              <w:rPr>
                <w:rFonts w:hint="eastAsia" w:ascii="宋体" w:hAnsi="宋体" w:cs="宋体"/>
                <w:color w:val="auto"/>
                <w:sz w:val="24"/>
                <w:szCs w:val="24"/>
              </w:rPr>
              <w:t xml:space="preserve"> </w:t>
            </w:r>
          </w:p>
        </w:tc>
      </w:tr>
      <w:tr w14:paraId="2F31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408E3CEC">
            <w:pPr>
              <w:spacing w:line="336" w:lineRule="auto"/>
              <w:jc w:val="center"/>
              <w:rPr>
                <w:rFonts w:ascii="宋体" w:hAnsi="宋体" w:cs="宋体"/>
                <w:color w:val="auto"/>
                <w:sz w:val="24"/>
              </w:rPr>
            </w:pPr>
            <w:r>
              <w:rPr>
                <w:rFonts w:hint="eastAsia" w:ascii="宋体" w:hAnsi="宋体" w:cs="宋体"/>
                <w:color w:val="auto"/>
                <w:sz w:val="24"/>
              </w:rPr>
              <w:t>1.1.4</w:t>
            </w:r>
          </w:p>
        </w:tc>
        <w:tc>
          <w:tcPr>
            <w:tcW w:w="1225" w:type="pct"/>
            <w:vAlign w:val="center"/>
          </w:tcPr>
          <w:p w14:paraId="549A0CF6">
            <w:pPr>
              <w:spacing w:line="336" w:lineRule="auto"/>
              <w:jc w:val="center"/>
              <w:rPr>
                <w:rFonts w:ascii="宋体" w:hAnsi="宋体" w:cs="宋体"/>
                <w:color w:val="auto"/>
                <w:sz w:val="24"/>
              </w:rPr>
            </w:pPr>
            <w:r>
              <w:rPr>
                <w:rFonts w:hint="eastAsia" w:ascii="宋体" w:hAnsi="宋体" w:cs="宋体"/>
                <w:color w:val="auto"/>
                <w:sz w:val="24"/>
              </w:rPr>
              <w:t>招标项目名称</w:t>
            </w:r>
          </w:p>
        </w:tc>
        <w:tc>
          <w:tcPr>
            <w:tcW w:w="3257" w:type="pct"/>
            <w:vAlign w:val="center"/>
          </w:tcPr>
          <w:p w14:paraId="60F7AA99">
            <w:pPr>
              <w:keepNext w:val="0"/>
              <w:keepLines w:val="0"/>
              <w:pageBreakBefore w:val="0"/>
              <w:kinsoku/>
              <w:wordWrap/>
              <w:overflowPunct/>
              <w:topLinePunct w:val="0"/>
              <w:bidi w:val="0"/>
              <w:snapToGrid/>
              <w:spacing w:line="428" w:lineRule="exact"/>
              <w:jc w:val="left"/>
              <w:rPr>
                <w:rFonts w:hint="eastAsia" w:ascii="宋体" w:hAnsi="宋体" w:eastAsia="宋体" w:cs="宋体"/>
                <w:color w:val="auto"/>
                <w:sz w:val="24"/>
                <w:lang w:eastAsia="zh-CN"/>
              </w:rPr>
            </w:pPr>
            <w:r>
              <w:rPr>
                <w:rFonts w:hint="eastAsia" w:ascii="宋体" w:hAnsi="宋体" w:cs="宋体"/>
                <w:color w:val="auto"/>
                <w:sz w:val="24"/>
                <w:szCs w:val="24"/>
                <w:lang w:eastAsia="zh-CN"/>
              </w:rPr>
              <w:t>义马市东区卫生院康复科业务能力提升医疗设备购置项目</w:t>
            </w:r>
          </w:p>
        </w:tc>
      </w:tr>
      <w:tr w14:paraId="3B1E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28344BE9">
            <w:pPr>
              <w:spacing w:line="336" w:lineRule="auto"/>
              <w:jc w:val="center"/>
              <w:rPr>
                <w:rFonts w:ascii="宋体" w:hAnsi="宋体" w:cs="宋体"/>
                <w:color w:val="auto"/>
                <w:sz w:val="24"/>
              </w:rPr>
            </w:pPr>
            <w:r>
              <w:rPr>
                <w:rFonts w:hint="eastAsia" w:ascii="宋体" w:hAnsi="宋体" w:cs="宋体"/>
                <w:color w:val="auto"/>
                <w:sz w:val="24"/>
              </w:rPr>
              <w:t>1.1.5</w:t>
            </w:r>
          </w:p>
        </w:tc>
        <w:tc>
          <w:tcPr>
            <w:tcW w:w="1225" w:type="pct"/>
            <w:vAlign w:val="center"/>
          </w:tcPr>
          <w:p w14:paraId="3DFB1CD1">
            <w:pPr>
              <w:spacing w:line="336" w:lineRule="auto"/>
              <w:jc w:val="center"/>
              <w:rPr>
                <w:rFonts w:ascii="宋体" w:hAnsi="宋体" w:cs="宋体"/>
                <w:color w:val="auto"/>
                <w:sz w:val="24"/>
              </w:rPr>
            </w:pPr>
            <w:r>
              <w:rPr>
                <w:rFonts w:hint="eastAsia" w:ascii="宋体" w:hAnsi="宋体" w:cs="宋体"/>
                <w:color w:val="auto"/>
                <w:sz w:val="24"/>
              </w:rPr>
              <w:t>项目概况</w:t>
            </w:r>
          </w:p>
        </w:tc>
        <w:tc>
          <w:tcPr>
            <w:tcW w:w="3257" w:type="pct"/>
            <w:vAlign w:val="center"/>
          </w:tcPr>
          <w:p w14:paraId="1B1E7EF4">
            <w:pPr>
              <w:keepNext w:val="0"/>
              <w:keepLines w:val="0"/>
              <w:pageBreakBefore w:val="0"/>
              <w:kinsoku/>
              <w:wordWrap/>
              <w:overflowPunct/>
              <w:topLinePunct w:val="0"/>
              <w:bidi w:val="0"/>
              <w:snapToGrid/>
              <w:spacing w:line="428" w:lineRule="exact"/>
              <w:jc w:val="lef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本项目为义马市东区卫生院康复科业务能力提升医疗设备购置项目。采购内容为：康复科医疗设备一批（详见采购清单）。</w:t>
            </w:r>
          </w:p>
        </w:tc>
      </w:tr>
      <w:tr w14:paraId="3992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5B727CCF">
            <w:pPr>
              <w:spacing w:line="336" w:lineRule="auto"/>
              <w:jc w:val="center"/>
              <w:rPr>
                <w:rFonts w:ascii="宋体" w:hAnsi="宋体" w:cs="宋体"/>
                <w:color w:val="auto"/>
                <w:sz w:val="24"/>
              </w:rPr>
            </w:pPr>
            <w:r>
              <w:rPr>
                <w:rFonts w:hint="eastAsia" w:ascii="宋体" w:hAnsi="宋体" w:cs="宋体"/>
                <w:color w:val="auto"/>
                <w:sz w:val="24"/>
              </w:rPr>
              <w:t>1.2.1</w:t>
            </w:r>
          </w:p>
        </w:tc>
        <w:tc>
          <w:tcPr>
            <w:tcW w:w="1225" w:type="pct"/>
            <w:vAlign w:val="center"/>
          </w:tcPr>
          <w:p w14:paraId="5F10881D">
            <w:pPr>
              <w:spacing w:line="336" w:lineRule="auto"/>
              <w:jc w:val="center"/>
              <w:rPr>
                <w:rFonts w:ascii="宋体" w:hAnsi="宋体" w:cs="宋体"/>
                <w:color w:val="auto"/>
                <w:sz w:val="24"/>
              </w:rPr>
            </w:pPr>
            <w:r>
              <w:rPr>
                <w:rFonts w:hint="eastAsia" w:ascii="宋体" w:hAnsi="宋体" w:cs="宋体"/>
                <w:color w:val="auto"/>
                <w:sz w:val="24"/>
              </w:rPr>
              <w:t>资金来源</w:t>
            </w:r>
          </w:p>
        </w:tc>
        <w:tc>
          <w:tcPr>
            <w:tcW w:w="3257" w:type="pct"/>
            <w:vAlign w:val="center"/>
          </w:tcPr>
          <w:p w14:paraId="195BEC4F">
            <w:pPr>
              <w:keepNext w:val="0"/>
              <w:keepLines w:val="0"/>
              <w:pageBreakBefore w:val="0"/>
              <w:kinsoku/>
              <w:wordWrap/>
              <w:overflowPunct/>
              <w:topLinePunct w:val="0"/>
              <w:bidi w:val="0"/>
              <w:snapToGrid/>
              <w:spacing w:line="428" w:lineRule="exact"/>
              <w:jc w:val="left"/>
              <w:rPr>
                <w:rFonts w:hint="eastAsia" w:ascii="宋体" w:hAnsi="宋体" w:eastAsia="宋体" w:cs="宋体"/>
                <w:color w:val="auto"/>
                <w:sz w:val="24"/>
                <w:lang w:eastAsia="zh-CN"/>
              </w:rPr>
            </w:pPr>
            <w:r>
              <w:rPr>
                <w:rFonts w:hint="eastAsia" w:ascii="宋体" w:hAnsi="宋体" w:cs="宋体"/>
                <w:color w:val="auto"/>
                <w:sz w:val="24"/>
                <w:lang w:val="en-US" w:eastAsia="zh-CN"/>
              </w:rPr>
              <w:t>自筹资金</w:t>
            </w:r>
          </w:p>
        </w:tc>
      </w:tr>
      <w:tr w14:paraId="3676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2E2351E0">
            <w:pPr>
              <w:spacing w:line="336" w:lineRule="auto"/>
              <w:jc w:val="center"/>
              <w:rPr>
                <w:rFonts w:ascii="宋体" w:hAnsi="宋体" w:cs="宋体"/>
                <w:color w:val="auto"/>
                <w:sz w:val="24"/>
              </w:rPr>
            </w:pPr>
            <w:r>
              <w:rPr>
                <w:rFonts w:hint="eastAsia" w:ascii="宋体" w:hAnsi="宋体" w:cs="宋体"/>
                <w:color w:val="auto"/>
                <w:sz w:val="24"/>
              </w:rPr>
              <w:t>1.2.2</w:t>
            </w:r>
          </w:p>
        </w:tc>
        <w:tc>
          <w:tcPr>
            <w:tcW w:w="1225" w:type="pct"/>
            <w:vAlign w:val="center"/>
          </w:tcPr>
          <w:p w14:paraId="1526CD0D">
            <w:pPr>
              <w:spacing w:line="336" w:lineRule="auto"/>
              <w:jc w:val="center"/>
              <w:rPr>
                <w:rFonts w:ascii="宋体" w:hAnsi="宋体" w:cs="宋体"/>
                <w:color w:val="auto"/>
                <w:sz w:val="24"/>
              </w:rPr>
            </w:pPr>
            <w:r>
              <w:rPr>
                <w:rFonts w:hint="eastAsia" w:ascii="宋体" w:hAnsi="宋体" w:cs="宋体"/>
                <w:color w:val="auto"/>
                <w:sz w:val="24"/>
              </w:rPr>
              <w:t>资金落实情况</w:t>
            </w:r>
          </w:p>
        </w:tc>
        <w:tc>
          <w:tcPr>
            <w:tcW w:w="3257" w:type="pct"/>
            <w:vAlign w:val="center"/>
          </w:tcPr>
          <w:p w14:paraId="636FAC0A">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已落实</w:t>
            </w:r>
          </w:p>
        </w:tc>
      </w:tr>
      <w:tr w14:paraId="0F25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2CCBE074">
            <w:pPr>
              <w:spacing w:line="336" w:lineRule="auto"/>
              <w:jc w:val="center"/>
              <w:rPr>
                <w:rFonts w:ascii="宋体" w:hAnsi="宋体" w:cs="宋体"/>
                <w:color w:val="auto"/>
                <w:sz w:val="24"/>
              </w:rPr>
            </w:pPr>
            <w:r>
              <w:rPr>
                <w:rFonts w:hint="eastAsia" w:ascii="宋体" w:hAnsi="宋体" w:cs="宋体"/>
                <w:color w:val="auto"/>
                <w:sz w:val="24"/>
              </w:rPr>
              <w:t>1.3.1</w:t>
            </w:r>
          </w:p>
        </w:tc>
        <w:tc>
          <w:tcPr>
            <w:tcW w:w="1225" w:type="pct"/>
            <w:vAlign w:val="center"/>
          </w:tcPr>
          <w:p w14:paraId="7C5617FB">
            <w:pPr>
              <w:spacing w:line="336" w:lineRule="auto"/>
              <w:jc w:val="center"/>
              <w:rPr>
                <w:rFonts w:ascii="宋体" w:hAnsi="宋体" w:cs="宋体"/>
                <w:color w:val="auto"/>
                <w:sz w:val="24"/>
              </w:rPr>
            </w:pPr>
            <w:r>
              <w:rPr>
                <w:rFonts w:hint="eastAsia" w:ascii="宋体" w:hAnsi="宋体" w:cs="宋体"/>
                <w:color w:val="auto"/>
                <w:sz w:val="24"/>
              </w:rPr>
              <w:t>招标范围</w:t>
            </w:r>
          </w:p>
        </w:tc>
        <w:tc>
          <w:tcPr>
            <w:tcW w:w="3257" w:type="pct"/>
            <w:vAlign w:val="center"/>
          </w:tcPr>
          <w:p w14:paraId="1802B14F">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lang w:eastAsia="zh-CN"/>
              </w:rPr>
            </w:pPr>
            <w:r>
              <w:rPr>
                <w:rFonts w:hint="eastAsia" w:ascii="宋体" w:hAnsi="宋体" w:cs="宋体"/>
                <w:color w:val="auto"/>
                <w:sz w:val="24"/>
                <w:szCs w:val="24"/>
                <w:lang w:eastAsia="zh-CN"/>
              </w:rPr>
              <w:t>采购清单所含全部内容及售后相关服务</w:t>
            </w:r>
          </w:p>
        </w:tc>
      </w:tr>
      <w:tr w14:paraId="7596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7D4D92E4">
            <w:pPr>
              <w:spacing w:line="336" w:lineRule="auto"/>
              <w:jc w:val="center"/>
              <w:rPr>
                <w:rFonts w:ascii="宋体" w:hAnsi="宋体" w:cs="宋体"/>
                <w:color w:val="auto"/>
                <w:sz w:val="24"/>
              </w:rPr>
            </w:pPr>
            <w:r>
              <w:rPr>
                <w:rFonts w:hint="eastAsia" w:ascii="宋体" w:hAnsi="宋体" w:cs="宋体"/>
                <w:color w:val="auto"/>
                <w:sz w:val="24"/>
              </w:rPr>
              <w:t>1.3.2</w:t>
            </w:r>
          </w:p>
        </w:tc>
        <w:tc>
          <w:tcPr>
            <w:tcW w:w="1225" w:type="pct"/>
            <w:vAlign w:val="center"/>
          </w:tcPr>
          <w:p w14:paraId="099ED7CF">
            <w:pPr>
              <w:spacing w:line="336" w:lineRule="auto"/>
              <w:jc w:val="center"/>
              <w:rPr>
                <w:rFonts w:ascii="宋体" w:hAnsi="宋体" w:cs="宋体"/>
                <w:color w:val="auto"/>
                <w:sz w:val="24"/>
                <w:szCs w:val="22"/>
              </w:rPr>
            </w:pPr>
            <w:r>
              <w:rPr>
                <w:rFonts w:hint="eastAsia" w:ascii="宋体" w:hAnsi="宋体" w:cs="宋体"/>
                <w:color w:val="auto"/>
                <w:sz w:val="24"/>
                <w:szCs w:val="24"/>
              </w:rPr>
              <w:t>交货期限</w:t>
            </w:r>
          </w:p>
        </w:tc>
        <w:tc>
          <w:tcPr>
            <w:tcW w:w="3257" w:type="pct"/>
            <w:vAlign w:val="center"/>
          </w:tcPr>
          <w:p w14:paraId="3D5EFC41">
            <w:pPr>
              <w:keepNext w:val="0"/>
              <w:keepLines w:val="0"/>
              <w:pageBreakBefore w:val="0"/>
              <w:kinsoku/>
              <w:wordWrap/>
              <w:overflowPunct/>
              <w:topLinePunct w:val="0"/>
              <w:bidi w:val="0"/>
              <w:snapToGrid/>
              <w:spacing w:line="428" w:lineRule="exact"/>
              <w:rPr>
                <w:rFonts w:ascii="宋体" w:hAnsi="宋体" w:cs="宋体"/>
                <w:color w:val="auto"/>
                <w:sz w:val="24"/>
                <w:szCs w:val="22"/>
              </w:rPr>
            </w:pPr>
            <w:r>
              <w:rPr>
                <w:rFonts w:hint="eastAsia" w:ascii="宋体" w:hAnsi="宋体" w:cs="宋体"/>
                <w:color w:val="auto"/>
                <w:sz w:val="24"/>
                <w:szCs w:val="24"/>
                <w:lang w:eastAsia="zh-CN"/>
              </w:rPr>
              <w:t>合同签订后30日历天内供货、安装及调试完毕</w:t>
            </w:r>
            <w:r>
              <w:rPr>
                <w:rFonts w:hint="eastAsia" w:ascii="宋体" w:hAnsi="宋体" w:cs="宋体"/>
                <w:color w:val="auto"/>
                <w:sz w:val="24"/>
                <w:szCs w:val="24"/>
              </w:rPr>
              <w:t>；</w:t>
            </w:r>
          </w:p>
        </w:tc>
      </w:tr>
      <w:tr w14:paraId="1D3F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69CDE5B7">
            <w:pPr>
              <w:spacing w:line="336" w:lineRule="auto"/>
              <w:jc w:val="center"/>
              <w:rPr>
                <w:rFonts w:ascii="宋体" w:hAnsi="宋体" w:cs="宋体"/>
                <w:color w:val="auto"/>
                <w:sz w:val="24"/>
                <w:szCs w:val="24"/>
              </w:rPr>
            </w:pPr>
            <w:r>
              <w:rPr>
                <w:rFonts w:hint="eastAsia" w:ascii="宋体" w:hAnsi="宋体" w:cs="宋体"/>
                <w:color w:val="auto"/>
                <w:sz w:val="24"/>
                <w:szCs w:val="24"/>
              </w:rPr>
              <w:t>1.3.3</w:t>
            </w:r>
          </w:p>
        </w:tc>
        <w:tc>
          <w:tcPr>
            <w:tcW w:w="1225" w:type="pct"/>
            <w:vAlign w:val="center"/>
          </w:tcPr>
          <w:p w14:paraId="7CE94FBA">
            <w:pPr>
              <w:spacing w:line="336" w:lineRule="auto"/>
              <w:jc w:val="center"/>
              <w:rPr>
                <w:rFonts w:ascii="宋体" w:hAnsi="宋体" w:cs="宋体"/>
                <w:color w:val="auto"/>
                <w:sz w:val="24"/>
                <w:szCs w:val="24"/>
              </w:rPr>
            </w:pPr>
            <w:r>
              <w:rPr>
                <w:rFonts w:hint="eastAsia" w:ascii="宋体" w:hAnsi="宋体" w:cs="宋体"/>
                <w:color w:val="auto"/>
                <w:sz w:val="24"/>
                <w:szCs w:val="24"/>
              </w:rPr>
              <w:t>质量要求</w:t>
            </w:r>
          </w:p>
        </w:tc>
        <w:tc>
          <w:tcPr>
            <w:tcW w:w="3257" w:type="pct"/>
            <w:vAlign w:val="center"/>
          </w:tcPr>
          <w:p w14:paraId="5297DE93">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合格</w:t>
            </w:r>
          </w:p>
        </w:tc>
      </w:tr>
      <w:tr w14:paraId="0DD5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017AA4C3">
            <w:pPr>
              <w:spacing w:line="336" w:lineRule="auto"/>
              <w:jc w:val="center"/>
              <w:rPr>
                <w:rFonts w:ascii="宋体" w:hAnsi="宋体" w:cs="宋体"/>
                <w:color w:val="auto"/>
                <w:sz w:val="24"/>
                <w:szCs w:val="24"/>
              </w:rPr>
            </w:pPr>
            <w:r>
              <w:rPr>
                <w:rFonts w:hint="eastAsia" w:ascii="宋体" w:hAnsi="宋体" w:cs="宋体"/>
                <w:color w:val="auto"/>
                <w:sz w:val="24"/>
                <w:szCs w:val="24"/>
              </w:rPr>
              <w:t>1.3.4</w:t>
            </w:r>
          </w:p>
        </w:tc>
        <w:tc>
          <w:tcPr>
            <w:tcW w:w="1225" w:type="pct"/>
            <w:vAlign w:val="center"/>
          </w:tcPr>
          <w:p w14:paraId="0C109BAD">
            <w:pPr>
              <w:spacing w:line="336" w:lineRule="auto"/>
              <w:jc w:val="center"/>
              <w:rPr>
                <w:rFonts w:ascii="宋体" w:hAnsi="宋体" w:cs="宋体"/>
                <w:color w:val="auto"/>
                <w:sz w:val="24"/>
                <w:szCs w:val="24"/>
              </w:rPr>
            </w:pPr>
            <w:r>
              <w:rPr>
                <w:rFonts w:hint="eastAsia" w:ascii="宋体" w:hAnsi="宋体" w:cs="宋体"/>
                <w:color w:val="auto"/>
                <w:sz w:val="24"/>
                <w:szCs w:val="24"/>
              </w:rPr>
              <w:t>质保期</w:t>
            </w:r>
          </w:p>
        </w:tc>
        <w:tc>
          <w:tcPr>
            <w:tcW w:w="3257" w:type="pct"/>
            <w:vAlign w:val="center"/>
          </w:tcPr>
          <w:p w14:paraId="61B582B7">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不低于1年</w:t>
            </w:r>
          </w:p>
        </w:tc>
      </w:tr>
      <w:tr w14:paraId="4DEF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71601E66">
            <w:pPr>
              <w:spacing w:line="336" w:lineRule="auto"/>
              <w:jc w:val="center"/>
              <w:rPr>
                <w:rFonts w:ascii="宋体" w:hAnsi="宋体" w:cs="宋体"/>
                <w:color w:val="auto"/>
                <w:sz w:val="24"/>
              </w:rPr>
            </w:pPr>
            <w:r>
              <w:rPr>
                <w:rFonts w:hint="eastAsia" w:ascii="宋体" w:hAnsi="宋体" w:cs="宋体"/>
                <w:color w:val="auto"/>
                <w:sz w:val="24"/>
              </w:rPr>
              <w:t>1.4.1</w:t>
            </w:r>
          </w:p>
        </w:tc>
        <w:tc>
          <w:tcPr>
            <w:tcW w:w="1225" w:type="pct"/>
            <w:vAlign w:val="center"/>
          </w:tcPr>
          <w:p w14:paraId="7EB6C177">
            <w:pPr>
              <w:spacing w:line="336" w:lineRule="auto"/>
              <w:jc w:val="center"/>
              <w:rPr>
                <w:rFonts w:ascii="宋体" w:hAnsi="宋体" w:cs="宋体"/>
                <w:color w:val="auto"/>
                <w:sz w:val="24"/>
              </w:rPr>
            </w:pPr>
            <w:r>
              <w:rPr>
                <w:rFonts w:hint="eastAsia" w:ascii="宋体" w:hAnsi="宋体" w:cs="宋体"/>
                <w:color w:val="auto"/>
                <w:sz w:val="24"/>
                <w:szCs w:val="22"/>
              </w:rPr>
              <w:t>投标人资格条件</w:t>
            </w:r>
          </w:p>
        </w:tc>
        <w:tc>
          <w:tcPr>
            <w:tcW w:w="3257" w:type="pct"/>
            <w:vAlign w:val="center"/>
          </w:tcPr>
          <w:p w14:paraId="5E75D569">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1、满足《中华人民共和国政府采购法》第二十二条规定；</w:t>
            </w:r>
          </w:p>
          <w:p w14:paraId="764275FE">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eastAsia="zh-CN"/>
              </w:rPr>
              <w:t>、本项目的特定资格要求：</w:t>
            </w:r>
          </w:p>
          <w:p w14:paraId="69AE3771">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（1）投标人须是本项目采购产品的制造商或经销商，具有有效的营业执照，并在人员、资金、设备及专业技术等方面具有与本项目相匹配的合同履约能力；</w:t>
            </w:r>
          </w:p>
          <w:p w14:paraId="4AB254ED">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val="en-US" w:eastAsia="zh-CN"/>
              </w:rPr>
              <w:t>投标人是制造商的，须具有《医疗器械生产许可证》；是经销商的，须具有《医疗器械经营许可证》或备案凭证</w:t>
            </w:r>
            <w:r>
              <w:rPr>
                <w:rFonts w:hint="eastAsia" w:ascii="宋体" w:hAnsi="宋体" w:eastAsia="宋体" w:cs="宋体"/>
                <w:color w:val="auto"/>
                <w:sz w:val="24"/>
                <w:szCs w:val="24"/>
                <w:lang w:eastAsia="zh-CN"/>
              </w:rPr>
              <w:t>；</w:t>
            </w:r>
          </w:p>
          <w:p w14:paraId="68FC976B">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投标人没有被列入失信被执行人名单【以“中国执行信息公开网”（http://zxgk.court.gov.cn/shixin/）查询结果为准】、重大税收违法失信主体【以“信用中国”网站（www.creditchina.gov.cn）查询结果为准】、政府采购严重违法失信行为记录名单【</w:t>
            </w:r>
            <w:r>
              <w:rPr>
                <w:rFonts w:hint="eastAsia" w:ascii="宋体" w:hAnsi="宋体" w:cs="宋体"/>
                <w:color w:val="auto"/>
                <w:sz w:val="24"/>
                <w:szCs w:val="24"/>
                <w:lang w:eastAsia="zh-CN"/>
              </w:rPr>
              <w:t>以在“中国政府采购网”（http://www.ccgp.gov.cn/）及“信用中国”网站（www.creditchina.gov.cn）查询结果均无记录为准</w:t>
            </w:r>
            <w:r>
              <w:rPr>
                <w:rFonts w:hint="eastAsia" w:ascii="宋体" w:hAnsi="宋体" w:eastAsia="宋体" w:cs="宋体"/>
                <w:color w:val="auto"/>
                <w:sz w:val="24"/>
                <w:szCs w:val="24"/>
                <w:lang w:eastAsia="zh-CN"/>
              </w:rPr>
              <w:t>】；</w:t>
            </w:r>
          </w:p>
          <w:p w14:paraId="0FD017E4">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）投标人及法定代表人不得存在行贿犯罪记录【以中国裁判文书网（http://wenshu.court.gov.cn/）查询截图或提供无行贿犯罪记录承诺书为准】；</w:t>
            </w:r>
          </w:p>
          <w:p w14:paraId="5723B4FA">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投标人及法定代表人不得存在商业贿赂和不正当竞争行为记录</w:t>
            </w:r>
            <w:r>
              <w:rPr>
                <w:rFonts w:hint="eastAsia" w:ascii="宋体" w:hAnsi="宋体" w:eastAsia="宋体" w:cs="宋体"/>
                <w:color w:val="auto"/>
                <w:sz w:val="24"/>
                <w:szCs w:val="24"/>
                <w:lang w:val="en-US" w:eastAsia="zh-CN"/>
              </w:rPr>
              <w:t>。</w:t>
            </w:r>
          </w:p>
        </w:tc>
      </w:tr>
      <w:tr w14:paraId="2E24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22A31A59">
            <w:pPr>
              <w:spacing w:line="336" w:lineRule="auto"/>
              <w:jc w:val="center"/>
              <w:rPr>
                <w:rFonts w:ascii="宋体" w:hAnsi="宋体" w:cs="宋体"/>
                <w:color w:val="auto"/>
                <w:sz w:val="24"/>
              </w:rPr>
            </w:pPr>
            <w:r>
              <w:rPr>
                <w:rFonts w:hint="eastAsia" w:ascii="宋体" w:hAnsi="宋体" w:cs="宋体"/>
                <w:color w:val="auto"/>
                <w:sz w:val="24"/>
              </w:rPr>
              <w:t>1.4.2</w:t>
            </w:r>
          </w:p>
        </w:tc>
        <w:tc>
          <w:tcPr>
            <w:tcW w:w="1225" w:type="pct"/>
            <w:vAlign w:val="center"/>
          </w:tcPr>
          <w:p w14:paraId="5EDBB743">
            <w:pPr>
              <w:spacing w:line="336" w:lineRule="auto"/>
              <w:jc w:val="center"/>
              <w:rPr>
                <w:rFonts w:ascii="宋体" w:hAnsi="宋体" w:cs="宋体"/>
                <w:color w:val="auto"/>
                <w:sz w:val="24"/>
              </w:rPr>
            </w:pPr>
            <w:r>
              <w:rPr>
                <w:rFonts w:hint="eastAsia" w:ascii="宋体" w:hAnsi="宋体" w:cs="宋体"/>
                <w:color w:val="auto"/>
                <w:sz w:val="24"/>
              </w:rPr>
              <w:t>是否接受联合体投标</w:t>
            </w:r>
          </w:p>
        </w:tc>
        <w:tc>
          <w:tcPr>
            <w:tcW w:w="3257" w:type="pct"/>
            <w:vAlign w:val="center"/>
          </w:tcPr>
          <w:p w14:paraId="2B9ABD29">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不接受</w:t>
            </w:r>
          </w:p>
        </w:tc>
      </w:tr>
      <w:tr w14:paraId="6DD2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5E8B5468">
            <w:pPr>
              <w:spacing w:line="336" w:lineRule="auto"/>
              <w:jc w:val="center"/>
              <w:rPr>
                <w:rFonts w:ascii="宋体" w:hAnsi="宋体" w:cs="宋体"/>
                <w:color w:val="auto"/>
                <w:sz w:val="24"/>
              </w:rPr>
            </w:pPr>
            <w:r>
              <w:rPr>
                <w:rFonts w:hint="eastAsia" w:ascii="宋体" w:hAnsi="宋体" w:cs="宋体"/>
                <w:color w:val="auto"/>
                <w:sz w:val="24"/>
              </w:rPr>
              <w:t>1.9.1</w:t>
            </w:r>
          </w:p>
        </w:tc>
        <w:tc>
          <w:tcPr>
            <w:tcW w:w="1225" w:type="pct"/>
            <w:vAlign w:val="center"/>
          </w:tcPr>
          <w:p w14:paraId="343FB476">
            <w:pPr>
              <w:spacing w:line="336" w:lineRule="auto"/>
              <w:jc w:val="center"/>
              <w:rPr>
                <w:rFonts w:ascii="宋体" w:hAnsi="宋体" w:cs="宋体"/>
                <w:color w:val="auto"/>
                <w:sz w:val="24"/>
              </w:rPr>
            </w:pPr>
            <w:r>
              <w:rPr>
                <w:rFonts w:hint="eastAsia" w:ascii="宋体" w:hAnsi="宋体" w:cs="宋体"/>
                <w:color w:val="auto"/>
                <w:sz w:val="24"/>
              </w:rPr>
              <w:t>踏勘现场</w:t>
            </w:r>
          </w:p>
        </w:tc>
        <w:tc>
          <w:tcPr>
            <w:tcW w:w="3257" w:type="pct"/>
            <w:vAlign w:val="center"/>
          </w:tcPr>
          <w:p w14:paraId="7A1E1D02">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不组织</w:t>
            </w:r>
          </w:p>
        </w:tc>
      </w:tr>
      <w:tr w14:paraId="3326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0E268BFA">
            <w:pPr>
              <w:spacing w:line="336" w:lineRule="auto"/>
              <w:jc w:val="center"/>
              <w:rPr>
                <w:rFonts w:ascii="宋体" w:hAnsi="宋体" w:cs="宋体"/>
                <w:color w:val="auto"/>
                <w:sz w:val="24"/>
              </w:rPr>
            </w:pPr>
            <w:r>
              <w:rPr>
                <w:rFonts w:hint="eastAsia" w:ascii="宋体" w:hAnsi="宋体" w:cs="宋体"/>
                <w:color w:val="auto"/>
                <w:sz w:val="24"/>
              </w:rPr>
              <w:t>1.10.1</w:t>
            </w:r>
          </w:p>
        </w:tc>
        <w:tc>
          <w:tcPr>
            <w:tcW w:w="1225" w:type="pct"/>
            <w:vAlign w:val="center"/>
          </w:tcPr>
          <w:p w14:paraId="380B933D">
            <w:pPr>
              <w:spacing w:line="336" w:lineRule="auto"/>
              <w:jc w:val="center"/>
              <w:rPr>
                <w:rFonts w:ascii="宋体" w:hAnsi="宋体" w:cs="宋体"/>
                <w:color w:val="auto"/>
                <w:sz w:val="24"/>
              </w:rPr>
            </w:pPr>
            <w:r>
              <w:rPr>
                <w:rFonts w:hint="eastAsia" w:ascii="宋体" w:hAnsi="宋体" w:cs="宋体"/>
                <w:color w:val="auto"/>
                <w:sz w:val="24"/>
              </w:rPr>
              <w:t>投标预备会</w:t>
            </w:r>
          </w:p>
        </w:tc>
        <w:tc>
          <w:tcPr>
            <w:tcW w:w="3257" w:type="pct"/>
            <w:vAlign w:val="center"/>
          </w:tcPr>
          <w:p w14:paraId="609FE70F">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不召开</w:t>
            </w:r>
          </w:p>
        </w:tc>
      </w:tr>
      <w:tr w14:paraId="4CC6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4E805CB3">
            <w:pPr>
              <w:spacing w:line="336" w:lineRule="auto"/>
              <w:jc w:val="center"/>
              <w:rPr>
                <w:rFonts w:ascii="宋体" w:hAnsi="宋体" w:cs="宋体"/>
                <w:color w:val="auto"/>
                <w:sz w:val="24"/>
              </w:rPr>
            </w:pPr>
            <w:r>
              <w:rPr>
                <w:rFonts w:hint="eastAsia" w:ascii="宋体" w:hAnsi="宋体" w:cs="宋体"/>
                <w:color w:val="auto"/>
                <w:sz w:val="24"/>
              </w:rPr>
              <w:t>1.11</w:t>
            </w:r>
          </w:p>
        </w:tc>
        <w:tc>
          <w:tcPr>
            <w:tcW w:w="1225" w:type="pct"/>
            <w:vAlign w:val="center"/>
          </w:tcPr>
          <w:p w14:paraId="298D10CD">
            <w:pPr>
              <w:spacing w:line="336" w:lineRule="auto"/>
              <w:jc w:val="center"/>
              <w:rPr>
                <w:rFonts w:ascii="宋体" w:hAnsi="宋体" w:cs="宋体"/>
                <w:color w:val="auto"/>
                <w:sz w:val="24"/>
              </w:rPr>
            </w:pPr>
            <w:r>
              <w:rPr>
                <w:rFonts w:hint="eastAsia" w:ascii="宋体" w:hAnsi="宋体" w:cs="宋体"/>
                <w:color w:val="auto"/>
                <w:sz w:val="24"/>
              </w:rPr>
              <w:t>分  包</w:t>
            </w:r>
          </w:p>
        </w:tc>
        <w:tc>
          <w:tcPr>
            <w:tcW w:w="3257" w:type="pct"/>
            <w:vAlign w:val="center"/>
          </w:tcPr>
          <w:p w14:paraId="22172E6B">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不允许</w:t>
            </w:r>
          </w:p>
        </w:tc>
      </w:tr>
      <w:tr w14:paraId="0147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1D0A19AF">
            <w:pPr>
              <w:spacing w:line="336" w:lineRule="auto"/>
              <w:jc w:val="center"/>
              <w:rPr>
                <w:rFonts w:ascii="宋体" w:hAnsi="宋体" w:cs="宋体"/>
                <w:color w:val="auto"/>
                <w:sz w:val="24"/>
              </w:rPr>
            </w:pPr>
            <w:r>
              <w:rPr>
                <w:rFonts w:hint="eastAsia" w:ascii="宋体" w:hAnsi="宋体" w:cs="宋体"/>
                <w:color w:val="auto"/>
                <w:sz w:val="24"/>
              </w:rPr>
              <w:t>2.1</w:t>
            </w:r>
          </w:p>
        </w:tc>
        <w:tc>
          <w:tcPr>
            <w:tcW w:w="1225" w:type="pct"/>
            <w:vAlign w:val="center"/>
          </w:tcPr>
          <w:p w14:paraId="5DD33D57">
            <w:pPr>
              <w:spacing w:line="336" w:lineRule="auto"/>
              <w:jc w:val="center"/>
              <w:rPr>
                <w:rFonts w:ascii="宋体" w:hAnsi="宋体" w:cs="宋体"/>
                <w:color w:val="auto"/>
                <w:sz w:val="24"/>
              </w:rPr>
            </w:pPr>
            <w:r>
              <w:rPr>
                <w:rFonts w:hint="eastAsia" w:ascii="宋体" w:hAnsi="宋体" w:cs="宋体"/>
                <w:color w:val="auto"/>
                <w:sz w:val="24"/>
              </w:rPr>
              <w:t>构成招标文件的其他材料</w:t>
            </w:r>
          </w:p>
        </w:tc>
        <w:tc>
          <w:tcPr>
            <w:tcW w:w="3257" w:type="pct"/>
            <w:vAlign w:val="center"/>
          </w:tcPr>
          <w:p w14:paraId="50CFEEF7">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对招标文件所作的澄清、修改，构成招标文件的组成部分</w:t>
            </w:r>
          </w:p>
        </w:tc>
      </w:tr>
      <w:tr w14:paraId="0BEB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1BA95F20">
            <w:pPr>
              <w:spacing w:line="336" w:lineRule="auto"/>
              <w:jc w:val="center"/>
              <w:rPr>
                <w:rFonts w:ascii="宋体" w:hAnsi="宋体" w:cs="宋体"/>
                <w:color w:val="auto"/>
                <w:sz w:val="24"/>
              </w:rPr>
            </w:pPr>
            <w:r>
              <w:rPr>
                <w:rFonts w:hint="eastAsia" w:ascii="宋体" w:hAnsi="宋体" w:cs="宋体"/>
                <w:color w:val="auto"/>
                <w:sz w:val="24"/>
              </w:rPr>
              <w:t>2.2.1</w:t>
            </w:r>
          </w:p>
        </w:tc>
        <w:tc>
          <w:tcPr>
            <w:tcW w:w="1225" w:type="pct"/>
            <w:vAlign w:val="center"/>
          </w:tcPr>
          <w:p w14:paraId="3F32841E">
            <w:pPr>
              <w:spacing w:line="336" w:lineRule="auto"/>
              <w:jc w:val="center"/>
              <w:rPr>
                <w:rFonts w:ascii="宋体" w:hAnsi="宋体" w:cs="宋体"/>
                <w:color w:val="auto"/>
                <w:sz w:val="24"/>
              </w:rPr>
            </w:pPr>
            <w:r>
              <w:rPr>
                <w:rFonts w:hint="eastAsia" w:ascii="宋体" w:hAnsi="宋体" w:cs="宋体"/>
                <w:color w:val="auto"/>
                <w:sz w:val="24"/>
              </w:rPr>
              <w:t>投标人要求澄清招标文件的截止时间</w:t>
            </w:r>
          </w:p>
        </w:tc>
        <w:tc>
          <w:tcPr>
            <w:tcW w:w="3257" w:type="pct"/>
            <w:vAlign w:val="center"/>
          </w:tcPr>
          <w:p w14:paraId="05474159">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投标截止时间前10日</w:t>
            </w:r>
          </w:p>
        </w:tc>
      </w:tr>
      <w:tr w14:paraId="2A7C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206ACF28">
            <w:pPr>
              <w:spacing w:line="336" w:lineRule="auto"/>
              <w:jc w:val="center"/>
              <w:rPr>
                <w:rFonts w:ascii="宋体" w:hAnsi="宋体" w:cs="宋体"/>
                <w:color w:val="auto"/>
                <w:sz w:val="24"/>
              </w:rPr>
            </w:pPr>
            <w:r>
              <w:rPr>
                <w:rFonts w:hint="eastAsia" w:ascii="宋体" w:hAnsi="宋体" w:cs="宋体"/>
                <w:color w:val="auto"/>
                <w:sz w:val="24"/>
              </w:rPr>
              <w:t>2.2.2</w:t>
            </w:r>
          </w:p>
        </w:tc>
        <w:tc>
          <w:tcPr>
            <w:tcW w:w="1225" w:type="pct"/>
            <w:vAlign w:val="center"/>
          </w:tcPr>
          <w:p w14:paraId="2F05AD79">
            <w:pPr>
              <w:spacing w:line="336" w:lineRule="auto"/>
              <w:jc w:val="center"/>
              <w:rPr>
                <w:rFonts w:ascii="宋体" w:hAnsi="宋体" w:cs="宋体"/>
                <w:color w:val="auto"/>
                <w:sz w:val="24"/>
              </w:rPr>
            </w:pPr>
            <w:r>
              <w:rPr>
                <w:rFonts w:hint="eastAsia" w:ascii="宋体" w:hAnsi="宋体" w:cs="宋体"/>
                <w:color w:val="auto"/>
                <w:sz w:val="24"/>
              </w:rPr>
              <w:t>投标截止时间</w:t>
            </w:r>
          </w:p>
        </w:tc>
        <w:tc>
          <w:tcPr>
            <w:tcW w:w="3257" w:type="pct"/>
            <w:vAlign w:val="center"/>
          </w:tcPr>
          <w:p w14:paraId="60BC2FE3">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lang w:eastAsia="zh-CN"/>
              </w:rPr>
            </w:pPr>
            <w:r>
              <w:rPr>
                <w:rFonts w:hint="eastAsia" w:ascii="宋体" w:hAnsi="宋体" w:cs="宋体"/>
                <w:color w:val="auto"/>
                <w:sz w:val="24"/>
                <w:lang w:eastAsia="zh-CN"/>
              </w:rPr>
              <w:t>2026年1月6日8时30分</w:t>
            </w:r>
          </w:p>
        </w:tc>
      </w:tr>
      <w:tr w14:paraId="7C8E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4C3AE6DB">
            <w:pPr>
              <w:spacing w:line="336" w:lineRule="auto"/>
              <w:jc w:val="center"/>
              <w:rPr>
                <w:rFonts w:ascii="宋体" w:hAnsi="宋体" w:cs="宋体"/>
                <w:color w:val="auto"/>
                <w:sz w:val="24"/>
              </w:rPr>
            </w:pPr>
            <w:r>
              <w:rPr>
                <w:rFonts w:hint="eastAsia" w:ascii="宋体" w:hAnsi="宋体" w:cs="宋体"/>
                <w:color w:val="auto"/>
                <w:sz w:val="24"/>
              </w:rPr>
              <w:t>2.3</w:t>
            </w:r>
          </w:p>
        </w:tc>
        <w:tc>
          <w:tcPr>
            <w:tcW w:w="1225" w:type="pct"/>
            <w:vAlign w:val="center"/>
          </w:tcPr>
          <w:p w14:paraId="4815900D">
            <w:pPr>
              <w:spacing w:line="336" w:lineRule="auto"/>
              <w:jc w:val="center"/>
              <w:rPr>
                <w:rFonts w:ascii="宋体" w:hAnsi="宋体" w:cs="宋体"/>
                <w:color w:val="auto"/>
                <w:sz w:val="24"/>
              </w:rPr>
            </w:pPr>
            <w:r>
              <w:rPr>
                <w:rFonts w:hint="eastAsia" w:ascii="宋体" w:hAnsi="宋体" w:cs="宋体"/>
                <w:color w:val="auto"/>
                <w:sz w:val="24"/>
              </w:rPr>
              <w:t>招标文件澄清、修改时间</w:t>
            </w:r>
          </w:p>
        </w:tc>
        <w:tc>
          <w:tcPr>
            <w:tcW w:w="3257" w:type="pct"/>
            <w:vAlign w:val="center"/>
          </w:tcPr>
          <w:p w14:paraId="49B011F2">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投标截止时间15天前</w:t>
            </w:r>
          </w:p>
        </w:tc>
      </w:tr>
      <w:tr w14:paraId="6942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6E1BF4C7">
            <w:pPr>
              <w:spacing w:line="336" w:lineRule="auto"/>
              <w:jc w:val="center"/>
              <w:rPr>
                <w:rFonts w:ascii="宋体" w:hAnsi="宋体" w:cs="宋体"/>
                <w:color w:val="auto"/>
                <w:sz w:val="24"/>
              </w:rPr>
            </w:pPr>
            <w:r>
              <w:rPr>
                <w:rFonts w:hint="eastAsia" w:ascii="宋体" w:hAnsi="宋体" w:cs="宋体"/>
                <w:color w:val="auto"/>
                <w:sz w:val="24"/>
              </w:rPr>
              <w:t>3.3.1</w:t>
            </w:r>
          </w:p>
        </w:tc>
        <w:tc>
          <w:tcPr>
            <w:tcW w:w="1225" w:type="pct"/>
            <w:vAlign w:val="center"/>
          </w:tcPr>
          <w:p w14:paraId="1CE3BC05">
            <w:pPr>
              <w:spacing w:line="336" w:lineRule="auto"/>
              <w:jc w:val="center"/>
              <w:rPr>
                <w:rFonts w:ascii="宋体" w:hAnsi="宋体" w:cs="宋体"/>
                <w:color w:val="auto"/>
                <w:sz w:val="24"/>
              </w:rPr>
            </w:pPr>
            <w:r>
              <w:rPr>
                <w:rFonts w:hint="eastAsia" w:ascii="宋体" w:hAnsi="宋体" w:cs="宋体"/>
                <w:color w:val="auto"/>
                <w:sz w:val="24"/>
              </w:rPr>
              <w:t>投标有效期</w:t>
            </w:r>
          </w:p>
        </w:tc>
        <w:tc>
          <w:tcPr>
            <w:tcW w:w="3257" w:type="pct"/>
            <w:vAlign w:val="center"/>
          </w:tcPr>
          <w:p w14:paraId="08129E0F">
            <w:pPr>
              <w:keepNext w:val="0"/>
              <w:keepLines w:val="0"/>
              <w:pageBreakBefore w:val="0"/>
              <w:kinsoku/>
              <w:wordWrap/>
              <w:overflowPunct/>
              <w:topLinePunct w:val="0"/>
              <w:bidi w:val="0"/>
              <w:snapToGrid/>
              <w:spacing w:line="428" w:lineRule="exact"/>
              <w:rPr>
                <w:rFonts w:ascii="宋体" w:hAnsi="宋体" w:cs="宋体"/>
                <w:color w:val="auto"/>
                <w:sz w:val="24"/>
                <w:szCs w:val="22"/>
              </w:rPr>
            </w:pPr>
            <w:r>
              <w:rPr>
                <w:rFonts w:hint="eastAsia" w:ascii="宋体" w:hAnsi="宋体" w:cs="宋体"/>
                <w:color w:val="auto"/>
                <w:sz w:val="24"/>
                <w:szCs w:val="22"/>
              </w:rPr>
              <w:t>投标截止之日起90天</w:t>
            </w:r>
          </w:p>
        </w:tc>
      </w:tr>
      <w:tr w14:paraId="454B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517" w:type="pct"/>
            <w:vAlign w:val="center"/>
          </w:tcPr>
          <w:p w14:paraId="57402515">
            <w:pPr>
              <w:spacing w:line="336" w:lineRule="auto"/>
              <w:jc w:val="center"/>
              <w:rPr>
                <w:rFonts w:ascii="宋体" w:hAnsi="宋体" w:cs="宋体"/>
                <w:color w:val="auto"/>
                <w:sz w:val="24"/>
              </w:rPr>
            </w:pPr>
            <w:r>
              <w:rPr>
                <w:rFonts w:hint="eastAsia" w:ascii="宋体" w:hAnsi="宋体" w:cs="宋体"/>
                <w:color w:val="auto"/>
                <w:sz w:val="24"/>
              </w:rPr>
              <w:t>3.4</w:t>
            </w:r>
          </w:p>
        </w:tc>
        <w:tc>
          <w:tcPr>
            <w:tcW w:w="1225" w:type="pct"/>
            <w:vAlign w:val="center"/>
          </w:tcPr>
          <w:p w14:paraId="1E322206">
            <w:pPr>
              <w:spacing w:line="336" w:lineRule="auto"/>
              <w:jc w:val="center"/>
              <w:rPr>
                <w:rFonts w:ascii="宋体" w:hAnsi="宋体" w:cs="宋体"/>
                <w:color w:val="auto"/>
                <w:sz w:val="24"/>
              </w:rPr>
            </w:pPr>
            <w:r>
              <w:rPr>
                <w:rFonts w:hint="eastAsia" w:ascii="宋体" w:hAnsi="宋体" w:cs="宋体"/>
                <w:color w:val="auto"/>
                <w:sz w:val="24"/>
              </w:rPr>
              <w:t>投标保证金</w:t>
            </w:r>
          </w:p>
        </w:tc>
        <w:tc>
          <w:tcPr>
            <w:tcW w:w="3257" w:type="pct"/>
            <w:vAlign w:val="center"/>
          </w:tcPr>
          <w:p w14:paraId="3EFE1C78">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szCs w:val="24"/>
              </w:rPr>
              <w:t>根据《河南省财政厅关于优化政府采购营商环境有关问题的通知》（豫财购【2019】4号）第6条的规定，</w:t>
            </w:r>
            <w:r>
              <w:rPr>
                <w:rFonts w:hint="eastAsia" w:ascii="宋体" w:hAnsi="宋体" w:cs="宋体"/>
                <w:color w:val="auto"/>
                <w:sz w:val="24"/>
                <w:szCs w:val="24"/>
                <w:lang w:eastAsia="zh-CN"/>
              </w:rPr>
              <w:t>本项目不收取投标保证金</w:t>
            </w:r>
            <w:r>
              <w:rPr>
                <w:rFonts w:hint="eastAsia" w:ascii="宋体" w:hAnsi="宋体" w:cs="宋体"/>
                <w:color w:val="auto"/>
                <w:sz w:val="24"/>
                <w:szCs w:val="24"/>
              </w:rPr>
              <w:t>。</w:t>
            </w:r>
            <w:r>
              <w:rPr>
                <w:rFonts w:hint="eastAsia" w:ascii="宋体" w:hAnsi="宋体" w:cs="宋体"/>
                <w:color w:val="auto"/>
                <w:sz w:val="24"/>
              </w:rPr>
              <w:t>投标人以投标承诺函的形式替代保证金，投标承诺函应明确承诺事项及违背承诺的责任</w:t>
            </w:r>
            <w:r>
              <w:rPr>
                <w:rFonts w:hint="eastAsia" w:ascii="宋体" w:hAnsi="宋体" w:cs="宋体"/>
                <w:color w:val="auto"/>
                <w:sz w:val="24"/>
                <w:szCs w:val="24"/>
              </w:rPr>
              <w:t>。</w:t>
            </w:r>
          </w:p>
        </w:tc>
      </w:tr>
      <w:tr w14:paraId="67A1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7DE6672E">
            <w:pPr>
              <w:spacing w:line="336" w:lineRule="auto"/>
              <w:jc w:val="center"/>
              <w:rPr>
                <w:rFonts w:ascii="宋体" w:hAnsi="宋体" w:cs="宋体"/>
                <w:color w:val="auto"/>
                <w:sz w:val="24"/>
              </w:rPr>
            </w:pPr>
            <w:r>
              <w:rPr>
                <w:rFonts w:hint="eastAsia" w:ascii="宋体" w:hAnsi="宋体" w:cs="宋体"/>
                <w:color w:val="auto"/>
                <w:sz w:val="24"/>
              </w:rPr>
              <w:t>3.5</w:t>
            </w:r>
          </w:p>
        </w:tc>
        <w:tc>
          <w:tcPr>
            <w:tcW w:w="1225" w:type="pct"/>
            <w:vAlign w:val="center"/>
          </w:tcPr>
          <w:p w14:paraId="09D40EFD">
            <w:pPr>
              <w:spacing w:line="336" w:lineRule="auto"/>
              <w:jc w:val="center"/>
              <w:rPr>
                <w:rFonts w:ascii="宋体" w:hAnsi="宋体" w:cs="宋体"/>
                <w:color w:val="auto"/>
                <w:sz w:val="24"/>
              </w:rPr>
            </w:pPr>
            <w:r>
              <w:rPr>
                <w:rFonts w:hint="eastAsia" w:ascii="宋体" w:hAnsi="宋体" w:cs="宋体"/>
                <w:color w:val="auto"/>
                <w:sz w:val="24"/>
              </w:rPr>
              <w:t>是否允许递交备选投标方案</w:t>
            </w:r>
          </w:p>
        </w:tc>
        <w:tc>
          <w:tcPr>
            <w:tcW w:w="3257" w:type="pct"/>
            <w:vAlign w:val="center"/>
          </w:tcPr>
          <w:p w14:paraId="410B4DB8">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不允许</w:t>
            </w:r>
          </w:p>
        </w:tc>
      </w:tr>
      <w:tr w14:paraId="663C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4DD57EC4">
            <w:pPr>
              <w:spacing w:line="336" w:lineRule="auto"/>
              <w:jc w:val="center"/>
              <w:rPr>
                <w:rFonts w:ascii="宋体" w:hAnsi="宋体" w:cs="宋体"/>
                <w:color w:val="auto"/>
                <w:sz w:val="24"/>
                <w:szCs w:val="24"/>
              </w:rPr>
            </w:pPr>
            <w:r>
              <w:rPr>
                <w:rFonts w:hint="eastAsia" w:ascii="宋体" w:hAnsi="宋体" w:cs="宋体"/>
                <w:color w:val="auto"/>
                <w:sz w:val="24"/>
                <w:szCs w:val="24"/>
              </w:rPr>
              <w:t>3.6</w:t>
            </w:r>
          </w:p>
        </w:tc>
        <w:tc>
          <w:tcPr>
            <w:tcW w:w="1225" w:type="pct"/>
            <w:vAlign w:val="center"/>
          </w:tcPr>
          <w:p w14:paraId="48F09735">
            <w:pPr>
              <w:autoSpaceDE w:val="0"/>
              <w:autoSpaceDN w:val="0"/>
              <w:adjustRightInd w:val="0"/>
              <w:spacing w:line="336" w:lineRule="auto"/>
              <w:jc w:val="center"/>
              <w:rPr>
                <w:rFonts w:ascii="宋体" w:hAnsi="宋体" w:cs="宋体"/>
                <w:color w:val="auto"/>
                <w:sz w:val="24"/>
                <w:szCs w:val="24"/>
              </w:rPr>
            </w:pPr>
            <w:bookmarkStart w:id="6" w:name="_Toc269470318"/>
            <w:bookmarkStart w:id="7" w:name="_Toc277149385"/>
            <w:bookmarkStart w:id="8" w:name="_Toc270604596"/>
            <w:bookmarkStart w:id="9" w:name="_Toc466284473"/>
            <w:bookmarkStart w:id="10" w:name="_Toc380394487"/>
            <w:bookmarkStart w:id="11" w:name="_Toc278155348"/>
            <w:bookmarkStart w:id="12" w:name="_Toc270604823"/>
            <w:r>
              <w:rPr>
                <w:rFonts w:hint="eastAsia" w:ascii="宋体" w:hAnsi="宋体" w:cs="宋体"/>
                <w:color w:val="auto"/>
                <w:sz w:val="24"/>
                <w:szCs w:val="24"/>
              </w:rPr>
              <w:t>投标文件的编制</w:t>
            </w:r>
            <w:bookmarkEnd w:id="6"/>
            <w:bookmarkEnd w:id="7"/>
            <w:bookmarkEnd w:id="8"/>
            <w:bookmarkEnd w:id="9"/>
            <w:bookmarkEnd w:id="10"/>
            <w:bookmarkEnd w:id="11"/>
            <w:bookmarkEnd w:id="12"/>
            <w:r>
              <w:rPr>
                <w:rFonts w:hint="eastAsia" w:ascii="宋体" w:hAnsi="宋体" w:cs="宋体"/>
                <w:color w:val="auto"/>
                <w:sz w:val="24"/>
                <w:szCs w:val="24"/>
              </w:rPr>
              <w:t>和签署</w:t>
            </w:r>
          </w:p>
        </w:tc>
        <w:tc>
          <w:tcPr>
            <w:tcW w:w="3257" w:type="pct"/>
          </w:tcPr>
          <w:p w14:paraId="3F09F204">
            <w:pPr>
              <w:keepNext w:val="0"/>
              <w:keepLines w:val="0"/>
              <w:pageBreakBefore w:val="0"/>
              <w:kinsoku/>
              <w:wordWrap/>
              <w:overflowPunct/>
              <w:topLinePunct w:val="0"/>
              <w:autoSpaceDE w:val="0"/>
              <w:autoSpaceDN w:val="0"/>
              <w:bidi w:val="0"/>
              <w:adjustRightInd w:val="0"/>
              <w:snapToGrid/>
              <w:spacing w:line="428" w:lineRule="exact"/>
              <w:jc w:val="left"/>
              <w:rPr>
                <w:rFonts w:ascii="宋体" w:hAnsi="宋体" w:cs="宋体"/>
                <w:color w:val="auto"/>
                <w:sz w:val="24"/>
              </w:rPr>
            </w:pPr>
            <w:r>
              <w:rPr>
                <w:rFonts w:hint="eastAsia" w:ascii="宋体" w:hAnsi="宋体" w:cs="宋体"/>
                <w:color w:val="auto"/>
                <w:sz w:val="24"/>
              </w:rPr>
              <w:t>1、投标文件应按</w:t>
            </w:r>
            <w:r>
              <w:rPr>
                <w:rFonts w:hint="eastAsia" w:ascii="宋体" w:hAnsi="宋体" w:cs="宋体"/>
                <w:color w:val="auto"/>
                <w:sz w:val="24"/>
                <w:lang w:val="en-US" w:eastAsia="zh-CN"/>
              </w:rPr>
              <w:t>招标文件中</w:t>
            </w:r>
            <w:r>
              <w:rPr>
                <w:rFonts w:hint="eastAsia" w:ascii="宋体" w:hAnsi="宋体" w:cs="宋体"/>
                <w:color w:val="auto"/>
                <w:sz w:val="24"/>
              </w:rPr>
              <w:t>“投标文件格式”进行编写，如有必要，可以增加附页，作为投标文件的组成部分。</w:t>
            </w:r>
          </w:p>
          <w:p w14:paraId="109A8D6D">
            <w:pPr>
              <w:keepNext w:val="0"/>
              <w:keepLines w:val="0"/>
              <w:pageBreakBefore w:val="0"/>
              <w:kinsoku/>
              <w:wordWrap/>
              <w:overflowPunct/>
              <w:topLinePunct w:val="0"/>
              <w:autoSpaceDE w:val="0"/>
              <w:autoSpaceDN w:val="0"/>
              <w:bidi w:val="0"/>
              <w:adjustRightInd w:val="0"/>
              <w:snapToGrid/>
              <w:spacing w:line="428" w:lineRule="exact"/>
              <w:jc w:val="left"/>
              <w:rPr>
                <w:rFonts w:ascii="宋体" w:hAnsi="宋体" w:cs="宋体"/>
                <w:color w:val="auto"/>
                <w:sz w:val="24"/>
              </w:rPr>
            </w:pPr>
            <w:r>
              <w:rPr>
                <w:rFonts w:hint="eastAsia" w:ascii="宋体" w:hAnsi="宋体" w:cs="宋体"/>
                <w:color w:val="auto"/>
                <w:sz w:val="24"/>
              </w:rPr>
              <w:t>2、投标文件应当对招标文件有关交货期限、投标有效期、质量要求、</w:t>
            </w:r>
            <w:r>
              <w:rPr>
                <w:rFonts w:hint="eastAsia" w:ascii="宋体" w:hAnsi="宋体" w:cs="宋体"/>
                <w:color w:val="auto"/>
                <w:sz w:val="24"/>
                <w:lang w:val="en-US" w:eastAsia="zh-CN"/>
              </w:rPr>
              <w:t>招标</w:t>
            </w:r>
            <w:r>
              <w:rPr>
                <w:rFonts w:hint="eastAsia" w:ascii="宋体" w:hAnsi="宋体" w:cs="宋体"/>
                <w:color w:val="auto"/>
                <w:sz w:val="24"/>
              </w:rPr>
              <w:t>范围等实质性内容作出响应。其中，投标函附录在满足招标文件实质性要求的基础上，可以提出比招标文件要求更有利于</w:t>
            </w:r>
            <w:r>
              <w:rPr>
                <w:rFonts w:hint="eastAsia" w:ascii="宋体" w:hAnsi="宋体" w:cs="宋体"/>
                <w:color w:val="auto"/>
                <w:sz w:val="24"/>
                <w:lang w:eastAsia="zh-CN"/>
              </w:rPr>
              <w:t>采购人</w:t>
            </w:r>
            <w:r>
              <w:rPr>
                <w:rFonts w:hint="eastAsia" w:ascii="宋体" w:hAnsi="宋体" w:cs="宋体"/>
                <w:color w:val="auto"/>
                <w:sz w:val="24"/>
              </w:rPr>
              <w:t>的承诺。</w:t>
            </w:r>
          </w:p>
          <w:p w14:paraId="27C4AD53">
            <w:pPr>
              <w:keepNext w:val="0"/>
              <w:keepLines w:val="0"/>
              <w:pageBreakBefore w:val="0"/>
              <w:kinsoku/>
              <w:wordWrap/>
              <w:overflowPunct/>
              <w:topLinePunct w:val="0"/>
              <w:autoSpaceDE w:val="0"/>
              <w:autoSpaceDN w:val="0"/>
              <w:bidi w:val="0"/>
              <w:adjustRightInd w:val="0"/>
              <w:snapToGrid/>
              <w:spacing w:line="428" w:lineRule="exact"/>
              <w:jc w:val="left"/>
              <w:rPr>
                <w:rFonts w:ascii="宋体" w:hAnsi="宋体" w:cs="宋体"/>
                <w:color w:val="auto"/>
                <w:sz w:val="24"/>
              </w:rPr>
            </w:pPr>
            <w:r>
              <w:rPr>
                <w:rFonts w:hint="eastAsia" w:ascii="宋体" w:hAnsi="宋体" w:cs="宋体"/>
                <w:color w:val="auto"/>
                <w:sz w:val="24"/>
              </w:rPr>
              <w:t>3、投标人在生成电子化投标文件后，必须对电子化投标文件进行电子签章，未进行签章的视为无效文件。</w:t>
            </w:r>
          </w:p>
          <w:p w14:paraId="0EE70BF5">
            <w:pPr>
              <w:keepNext w:val="0"/>
              <w:keepLines w:val="0"/>
              <w:pageBreakBefore w:val="0"/>
              <w:kinsoku/>
              <w:wordWrap/>
              <w:overflowPunct/>
              <w:topLinePunct w:val="0"/>
              <w:autoSpaceDE w:val="0"/>
              <w:autoSpaceDN w:val="0"/>
              <w:bidi w:val="0"/>
              <w:adjustRightInd w:val="0"/>
              <w:snapToGrid/>
              <w:spacing w:line="428" w:lineRule="exact"/>
              <w:jc w:val="left"/>
              <w:rPr>
                <w:rFonts w:ascii="宋体" w:hAnsi="宋体" w:cs="宋体"/>
                <w:color w:val="auto"/>
                <w:sz w:val="24"/>
              </w:rPr>
            </w:pPr>
            <w:r>
              <w:rPr>
                <w:rFonts w:hint="eastAsia" w:ascii="宋体" w:hAnsi="宋体" w:cs="宋体"/>
                <w:color w:val="auto"/>
                <w:sz w:val="24"/>
              </w:rPr>
              <w:t>4、招标文件中要求法定代表人或委托代理人签字或盖章的，投标人在进行电子化投标文件签章时，以法定代表人签章为准。</w:t>
            </w:r>
          </w:p>
          <w:p w14:paraId="07CDE96F">
            <w:pPr>
              <w:keepNext w:val="0"/>
              <w:keepLines w:val="0"/>
              <w:pageBreakBefore w:val="0"/>
              <w:kinsoku/>
              <w:wordWrap/>
              <w:overflowPunct/>
              <w:topLinePunct w:val="0"/>
              <w:autoSpaceDE w:val="0"/>
              <w:autoSpaceDN w:val="0"/>
              <w:bidi w:val="0"/>
              <w:adjustRightInd w:val="0"/>
              <w:snapToGrid/>
              <w:spacing w:line="428" w:lineRule="exact"/>
              <w:jc w:val="left"/>
              <w:rPr>
                <w:rFonts w:ascii="宋体" w:hAnsi="宋体" w:cs="宋体"/>
                <w:color w:val="auto"/>
                <w:sz w:val="24"/>
              </w:rPr>
            </w:pPr>
            <w:r>
              <w:rPr>
                <w:rFonts w:hint="eastAsia" w:ascii="宋体" w:hAnsi="宋体" w:cs="宋体"/>
                <w:color w:val="auto"/>
                <w:sz w:val="24"/>
              </w:rPr>
              <w:t>5、电子化投标文件具体制作教材请投标人通过CA证书登录三门峡市公共资源电子化交易系统“交易智库”中查看。电子化投标文件制作软件请点击https://download.bqpoint.com/download/downloaddetail.html?SourceFrom=Ztb&amp;ZtbSoftXiaQuCode=1506&amp;ZtbSoftType=tballinclusive进行下载。</w:t>
            </w:r>
          </w:p>
        </w:tc>
      </w:tr>
      <w:tr w14:paraId="4A71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6E7D8B96">
            <w:pPr>
              <w:spacing w:line="336" w:lineRule="auto"/>
              <w:jc w:val="center"/>
              <w:rPr>
                <w:rFonts w:ascii="宋体" w:hAnsi="宋体" w:cs="宋体"/>
                <w:color w:val="auto"/>
                <w:sz w:val="24"/>
                <w:szCs w:val="24"/>
              </w:rPr>
            </w:pPr>
            <w:r>
              <w:rPr>
                <w:rFonts w:hint="eastAsia" w:ascii="宋体" w:hAnsi="宋体" w:cs="宋体"/>
                <w:color w:val="auto"/>
                <w:sz w:val="24"/>
                <w:szCs w:val="24"/>
              </w:rPr>
              <w:t>3.7</w:t>
            </w:r>
          </w:p>
        </w:tc>
        <w:tc>
          <w:tcPr>
            <w:tcW w:w="1225" w:type="pct"/>
            <w:vAlign w:val="center"/>
          </w:tcPr>
          <w:p w14:paraId="388A0454">
            <w:pPr>
              <w:autoSpaceDE w:val="0"/>
              <w:autoSpaceDN w:val="0"/>
              <w:adjustRightInd w:val="0"/>
              <w:spacing w:line="336" w:lineRule="auto"/>
              <w:jc w:val="center"/>
              <w:rPr>
                <w:rFonts w:ascii="宋体" w:hAnsi="宋体" w:cs="宋体"/>
                <w:color w:val="auto"/>
                <w:sz w:val="24"/>
                <w:szCs w:val="24"/>
              </w:rPr>
            </w:pPr>
            <w:r>
              <w:rPr>
                <w:rFonts w:hint="eastAsia" w:ascii="宋体" w:hAnsi="宋体" w:cs="宋体"/>
                <w:color w:val="auto"/>
                <w:sz w:val="24"/>
              </w:rPr>
              <w:t>电子化投标文件的格式</w:t>
            </w:r>
          </w:p>
        </w:tc>
        <w:tc>
          <w:tcPr>
            <w:tcW w:w="3257" w:type="pct"/>
          </w:tcPr>
          <w:p w14:paraId="7BAB863C">
            <w:pPr>
              <w:pStyle w:val="71"/>
              <w:keepNext w:val="0"/>
              <w:keepLines w:val="0"/>
              <w:pageBreakBefore w:val="0"/>
              <w:tabs>
                <w:tab w:val="left" w:pos="0"/>
              </w:tabs>
              <w:kinsoku/>
              <w:wordWrap/>
              <w:overflowPunct/>
              <w:topLinePunct w:val="0"/>
              <w:bidi w:val="0"/>
              <w:snapToGrid/>
              <w:spacing w:line="428" w:lineRule="exact"/>
              <w:rPr>
                <w:rFonts w:hAnsi="宋体"/>
                <w:color w:val="auto"/>
              </w:rPr>
            </w:pPr>
            <w:r>
              <w:rPr>
                <w:rFonts w:hint="eastAsia" w:hAnsi="宋体"/>
                <w:color w:val="auto"/>
              </w:rPr>
              <w:t>1、投标人所上传的电子化投标文件，应是通过三门峡市公共资源电子化交易系统投标文件制作系统制作的、经过签章和加密后生成的电子版投标文件。生成的电子版投标文件包含用于投标文件上传的主文件（格式后缀为.smxtf）和用于应急补救的投标文件备份文件（格式后缀为.nsmxtf）。备份文件主要用于电子化开标出现技术问题后的补救。</w:t>
            </w:r>
          </w:p>
          <w:p w14:paraId="3AB5B44A">
            <w:pPr>
              <w:pStyle w:val="71"/>
              <w:keepNext w:val="0"/>
              <w:keepLines w:val="0"/>
              <w:pageBreakBefore w:val="0"/>
              <w:tabs>
                <w:tab w:val="left" w:pos="0"/>
              </w:tabs>
              <w:kinsoku/>
              <w:wordWrap/>
              <w:overflowPunct/>
              <w:topLinePunct w:val="0"/>
              <w:bidi w:val="0"/>
              <w:snapToGrid/>
              <w:spacing w:line="428" w:lineRule="exact"/>
              <w:jc w:val="both"/>
              <w:rPr>
                <w:rFonts w:hAnsi="宋体" w:cs="宋体"/>
                <w:color w:val="auto"/>
              </w:rPr>
            </w:pPr>
            <w:r>
              <w:rPr>
                <w:rFonts w:hint="eastAsia" w:hAnsi="宋体"/>
                <w:color w:val="auto"/>
              </w:rPr>
              <w:t>注：投标人投报多个标段的，每个标段需要单独制作电子投标文件。</w:t>
            </w:r>
          </w:p>
        </w:tc>
      </w:tr>
      <w:tr w14:paraId="2D1A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pct"/>
            <w:vAlign w:val="center"/>
          </w:tcPr>
          <w:p w14:paraId="578F3D29">
            <w:pPr>
              <w:spacing w:line="336" w:lineRule="auto"/>
              <w:jc w:val="center"/>
              <w:rPr>
                <w:rFonts w:ascii="宋体" w:hAnsi="宋体" w:cs="宋体"/>
                <w:color w:val="auto"/>
                <w:sz w:val="24"/>
                <w:szCs w:val="24"/>
              </w:rPr>
            </w:pPr>
            <w:r>
              <w:rPr>
                <w:rFonts w:hint="eastAsia" w:ascii="宋体" w:hAnsi="宋体" w:cs="宋体"/>
                <w:color w:val="auto"/>
                <w:sz w:val="24"/>
                <w:szCs w:val="24"/>
              </w:rPr>
              <w:t>3.8</w:t>
            </w:r>
          </w:p>
        </w:tc>
        <w:tc>
          <w:tcPr>
            <w:tcW w:w="1225" w:type="pct"/>
            <w:vAlign w:val="center"/>
          </w:tcPr>
          <w:p w14:paraId="17A97BD7">
            <w:pPr>
              <w:autoSpaceDE w:val="0"/>
              <w:autoSpaceDN w:val="0"/>
              <w:adjustRightInd w:val="0"/>
              <w:spacing w:line="336" w:lineRule="auto"/>
              <w:jc w:val="center"/>
              <w:rPr>
                <w:rFonts w:ascii="宋体" w:hAnsi="宋体" w:cs="宋体"/>
                <w:color w:val="auto"/>
                <w:sz w:val="24"/>
              </w:rPr>
            </w:pPr>
            <w:r>
              <w:rPr>
                <w:rFonts w:hint="eastAsia" w:ascii="宋体" w:hAnsi="宋体" w:cs="宋体"/>
                <w:color w:val="auto"/>
                <w:sz w:val="24"/>
                <w:szCs w:val="28"/>
              </w:rPr>
              <w:t>电子化投标文件的上传</w:t>
            </w:r>
          </w:p>
        </w:tc>
        <w:tc>
          <w:tcPr>
            <w:tcW w:w="3257" w:type="pct"/>
          </w:tcPr>
          <w:p w14:paraId="47A71055">
            <w:pPr>
              <w:pStyle w:val="71"/>
              <w:keepNext w:val="0"/>
              <w:keepLines w:val="0"/>
              <w:pageBreakBefore w:val="0"/>
              <w:tabs>
                <w:tab w:val="left" w:pos="0"/>
              </w:tabs>
              <w:kinsoku/>
              <w:wordWrap/>
              <w:overflowPunct/>
              <w:topLinePunct w:val="0"/>
              <w:bidi w:val="0"/>
              <w:snapToGrid/>
              <w:spacing w:line="428" w:lineRule="exact"/>
              <w:jc w:val="both"/>
              <w:rPr>
                <w:rFonts w:hAnsi="宋体" w:cs="宋体"/>
                <w:color w:val="auto"/>
              </w:rPr>
            </w:pPr>
            <w:r>
              <w:rPr>
                <w:rFonts w:hint="eastAsia" w:hAnsi="宋体" w:cs="宋体"/>
                <w:color w:val="auto"/>
              </w:rPr>
              <w:t>1、电子化投标文件应在投标文件递交截止时间前成功上传至三门峡市公共资源电子化交易系统。逾期上传的投标文件将不予接收。电子交易系统将拒绝在投标文件递交截止时间后送交的投标文件。</w:t>
            </w:r>
          </w:p>
          <w:p w14:paraId="4AA4088A">
            <w:pPr>
              <w:pStyle w:val="71"/>
              <w:keepNext w:val="0"/>
              <w:keepLines w:val="0"/>
              <w:pageBreakBefore w:val="0"/>
              <w:tabs>
                <w:tab w:val="left" w:pos="0"/>
              </w:tabs>
              <w:kinsoku/>
              <w:wordWrap/>
              <w:overflowPunct/>
              <w:topLinePunct w:val="0"/>
              <w:bidi w:val="0"/>
              <w:snapToGrid/>
              <w:spacing w:line="428" w:lineRule="exact"/>
              <w:jc w:val="both"/>
              <w:rPr>
                <w:rFonts w:hAnsi="宋体" w:cs="宋体"/>
                <w:color w:val="auto"/>
              </w:rPr>
            </w:pPr>
            <w:r>
              <w:rPr>
                <w:rFonts w:hint="eastAsia" w:hAnsi="宋体" w:cs="宋体"/>
                <w:color w:val="auto"/>
              </w:rPr>
              <w:t>2、按照电子化投标操作教材制作完成的电子化投标文件无法上传的，投标人应在投标文件递交截止时间前尽早的联系中心技术人员，以便有充分的时间进行处理。</w:t>
            </w:r>
          </w:p>
          <w:p w14:paraId="18F7BB66">
            <w:pPr>
              <w:pStyle w:val="71"/>
              <w:keepNext w:val="0"/>
              <w:keepLines w:val="0"/>
              <w:pageBreakBefore w:val="0"/>
              <w:tabs>
                <w:tab w:val="left" w:pos="0"/>
              </w:tabs>
              <w:kinsoku/>
              <w:wordWrap/>
              <w:overflowPunct/>
              <w:topLinePunct w:val="0"/>
              <w:bidi w:val="0"/>
              <w:snapToGrid/>
              <w:spacing w:line="428" w:lineRule="exact"/>
              <w:jc w:val="both"/>
              <w:rPr>
                <w:rFonts w:hAnsi="宋体" w:cs="宋体"/>
                <w:color w:val="auto"/>
              </w:rPr>
            </w:pPr>
            <w:r>
              <w:rPr>
                <w:rFonts w:hint="eastAsia" w:hAnsi="宋体" w:cs="宋体"/>
                <w:color w:val="auto"/>
              </w:rPr>
              <w:t>技术联系电话：0398-3117871；主体库咨询电话:0398-3117815；CA证书制发:0398-2181635；科技信息科:0398-3117095。</w:t>
            </w:r>
          </w:p>
          <w:p w14:paraId="7C2CF72B">
            <w:pPr>
              <w:pStyle w:val="71"/>
              <w:keepNext w:val="0"/>
              <w:keepLines w:val="0"/>
              <w:pageBreakBefore w:val="0"/>
              <w:tabs>
                <w:tab w:val="left" w:pos="0"/>
              </w:tabs>
              <w:kinsoku/>
              <w:wordWrap/>
              <w:overflowPunct/>
              <w:topLinePunct w:val="0"/>
              <w:bidi w:val="0"/>
              <w:snapToGrid/>
              <w:spacing w:line="428" w:lineRule="exact"/>
              <w:jc w:val="both"/>
              <w:rPr>
                <w:rFonts w:hAnsi="宋体" w:cs="宋体"/>
                <w:color w:val="auto"/>
              </w:rPr>
            </w:pPr>
            <w:r>
              <w:rPr>
                <w:rFonts w:hint="eastAsia" w:hAnsi="宋体" w:cs="宋体"/>
                <w:color w:val="auto"/>
              </w:rPr>
              <w:t>投标人应充分考虑到处理技术问题和上传数据等工作所需的时间问题，未在投标文件递交截止时间前成功上传的投标文件，不予接收。</w:t>
            </w:r>
          </w:p>
        </w:tc>
      </w:tr>
      <w:tr w14:paraId="6A8A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1F29D42F">
            <w:pPr>
              <w:spacing w:line="336" w:lineRule="auto"/>
              <w:jc w:val="center"/>
              <w:rPr>
                <w:rFonts w:ascii="宋体" w:hAnsi="宋体" w:cs="宋体"/>
                <w:color w:val="auto"/>
                <w:sz w:val="24"/>
                <w:szCs w:val="24"/>
              </w:rPr>
            </w:pPr>
            <w:r>
              <w:rPr>
                <w:rFonts w:hint="eastAsia" w:ascii="宋体" w:hAnsi="宋体" w:cs="宋体"/>
                <w:color w:val="auto"/>
                <w:sz w:val="24"/>
                <w:szCs w:val="24"/>
              </w:rPr>
              <w:t>4</w:t>
            </w:r>
          </w:p>
        </w:tc>
        <w:tc>
          <w:tcPr>
            <w:tcW w:w="1225" w:type="pct"/>
            <w:vAlign w:val="center"/>
          </w:tcPr>
          <w:p w14:paraId="312BBAA9">
            <w:pPr>
              <w:autoSpaceDE w:val="0"/>
              <w:autoSpaceDN w:val="0"/>
              <w:adjustRightInd w:val="0"/>
              <w:spacing w:line="336" w:lineRule="auto"/>
              <w:jc w:val="center"/>
              <w:rPr>
                <w:rFonts w:ascii="宋体" w:hAnsi="宋体" w:cs="宋体"/>
                <w:color w:val="auto"/>
                <w:sz w:val="24"/>
                <w:szCs w:val="24"/>
              </w:rPr>
            </w:pPr>
            <w:r>
              <w:rPr>
                <w:rFonts w:hint="eastAsia" w:ascii="宋体" w:hAnsi="宋体" w:cs="宋体"/>
                <w:color w:val="auto"/>
                <w:sz w:val="24"/>
              </w:rPr>
              <w:t>电子化项目开标、解密、唱标</w:t>
            </w:r>
          </w:p>
        </w:tc>
        <w:tc>
          <w:tcPr>
            <w:tcW w:w="3257" w:type="pct"/>
          </w:tcPr>
          <w:p w14:paraId="46DDD563">
            <w:pPr>
              <w:keepNext w:val="0"/>
              <w:keepLines w:val="0"/>
              <w:pageBreakBefore w:val="0"/>
              <w:kinsoku/>
              <w:wordWrap/>
              <w:overflowPunct/>
              <w:topLinePunct w:val="0"/>
              <w:bidi w:val="0"/>
              <w:snapToGrid/>
              <w:spacing w:line="428" w:lineRule="exact"/>
              <w:jc w:val="left"/>
              <w:rPr>
                <w:rFonts w:ascii="宋体" w:hAnsi="宋体" w:cs="宋体"/>
                <w:color w:val="auto"/>
                <w:sz w:val="24"/>
                <w:szCs w:val="24"/>
              </w:rPr>
            </w:pPr>
            <w:r>
              <w:rPr>
                <w:rFonts w:hint="eastAsia" w:ascii="宋体" w:hAnsi="宋体" w:cs="宋体"/>
                <w:color w:val="auto"/>
                <w:sz w:val="24"/>
                <w:szCs w:val="24"/>
              </w:rPr>
              <w:t>1、本项目为不见面开标项目，开标当日投标人不得到开标现场参加开标会议。投标人应当在投标文件提交截止时间前，登陆不见面开标大厅（网址为http://120.194.249.36:10094/BidOpening/bidopeninghallaction/hall/login），选择登陆三门峡市公共资源电子招投标系统进行登陆,在线准时参加开标活动，</w:t>
            </w:r>
            <w:r>
              <w:rPr>
                <w:rFonts w:hint="eastAsia" w:ascii="宋体" w:hAnsi="宋体" w:cs="宋体"/>
                <w:color w:val="auto"/>
                <w:sz w:val="24"/>
                <w:szCs w:val="24"/>
                <w:lang w:eastAsia="zh-CN"/>
              </w:rPr>
              <w:t>并进行投标文件解密等</w:t>
            </w:r>
            <w:r>
              <w:rPr>
                <w:rFonts w:hint="eastAsia" w:ascii="宋体" w:hAnsi="宋体" w:cs="宋体"/>
                <w:color w:val="auto"/>
                <w:sz w:val="24"/>
                <w:szCs w:val="24"/>
              </w:rPr>
              <w:t>。</w:t>
            </w:r>
          </w:p>
          <w:p w14:paraId="25F640F5">
            <w:pPr>
              <w:keepNext w:val="0"/>
              <w:keepLines w:val="0"/>
              <w:pageBreakBefore w:val="0"/>
              <w:kinsoku/>
              <w:wordWrap/>
              <w:overflowPunct/>
              <w:topLinePunct w:val="0"/>
              <w:bidi w:val="0"/>
              <w:snapToGrid/>
              <w:spacing w:line="428" w:lineRule="exact"/>
              <w:rPr>
                <w:rFonts w:ascii="宋体" w:hAnsi="宋体" w:cs="宋体"/>
                <w:color w:val="auto"/>
                <w:sz w:val="24"/>
                <w:szCs w:val="24"/>
              </w:rPr>
            </w:pPr>
            <w:r>
              <w:rPr>
                <w:rFonts w:hint="eastAsia" w:ascii="宋体" w:hAnsi="宋体" w:cs="宋体"/>
                <w:color w:val="auto"/>
                <w:sz w:val="24"/>
                <w:szCs w:val="24"/>
              </w:rPr>
              <w:t>2、电子化投标文件采用一次加密方式。开标时，由投标人使用CA 证书，在规定时间内对其电子化投标文件进行解密。每位投标人的解密时间为</w:t>
            </w:r>
            <w:r>
              <w:rPr>
                <w:rFonts w:hint="eastAsia" w:ascii="宋体" w:hAnsi="宋体" w:cs="宋体"/>
                <w:color w:val="auto"/>
                <w:sz w:val="24"/>
                <w:szCs w:val="24"/>
                <w:lang w:eastAsia="zh-CN"/>
              </w:rPr>
              <w:t>开始时间起30</w:t>
            </w:r>
            <w:r>
              <w:rPr>
                <w:rFonts w:hint="eastAsia" w:ascii="宋体" w:hAnsi="宋体" w:cs="宋体"/>
                <w:color w:val="auto"/>
                <w:sz w:val="24"/>
                <w:szCs w:val="24"/>
              </w:rPr>
              <w:t xml:space="preserve"> 分钟内完成。在规定时间内未完成解密的，其投标文件不予开标、唱标。</w:t>
            </w:r>
          </w:p>
          <w:p w14:paraId="321284D6">
            <w:pPr>
              <w:keepNext w:val="0"/>
              <w:keepLines w:val="0"/>
              <w:pageBreakBefore w:val="0"/>
              <w:kinsoku/>
              <w:wordWrap/>
              <w:overflowPunct/>
              <w:topLinePunct w:val="0"/>
              <w:bidi w:val="0"/>
              <w:snapToGrid/>
              <w:spacing w:line="428" w:lineRule="exact"/>
              <w:rPr>
                <w:rFonts w:ascii="宋体" w:hAnsi="宋体" w:cs="宋体"/>
                <w:color w:val="auto"/>
                <w:sz w:val="24"/>
                <w:szCs w:val="24"/>
              </w:rPr>
            </w:pPr>
            <w:r>
              <w:rPr>
                <w:rFonts w:hint="eastAsia" w:ascii="宋体" w:hAnsi="宋体" w:cs="宋体"/>
                <w:color w:val="auto"/>
                <w:sz w:val="24"/>
                <w:szCs w:val="24"/>
              </w:rPr>
              <w:t>3、电子化投标文件解密异常的处理</w:t>
            </w:r>
          </w:p>
          <w:p w14:paraId="50C44790">
            <w:pPr>
              <w:keepNext w:val="0"/>
              <w:keepLines w:val="0"/>
              <w:pageBreakBefore w:val="0"/>
              <w:kinsoku/>
              <w:wordWrap/>
              <w:overflowPunct/>
              <w:topLinePunct w:val="0"/>
              <w:bidi w:val="0"/>
              <w:snapToGrid/>
              <w:spacing w:line="428" w:lineRule="exact"/>
              <w:rPr>
                <w:rFonts w:ascii="宋体" w:hAnsi="宋体" w:cs="宋体"/>
                <w:color w:val="auto"/>
                <w:sz w:val="24"/>
                <w:szCs w:val="24"/>
              </w:rPr>
            </w:pPr>
            <w:r>
              <w:rPr>
                <w:rFonts w:hint="eastAsia" w:ascii="宋体" w:hAnsi="宋体" w:cs="宋体"/>
                <w:color w:val="auto"/>
                <w:sz w:val="24"/>
                <w:szCs w:val="24"/>
              </w:rPr>
              <w:t>如出现投标人的电子投标文件无法解密等异常情况，投标人应及时致电代理机构说明。投标文件异常，按以下步骤进行处理：</w:t>
            </w:r>
          </w:p>
          <w:p w14:paraId="60E78C48">
            <w:pPr>
              <w:keepNext w:val="0"/>
              <w:keepLines w:val="0"/>
              <w:pageBreakBefore w:val="0"/>
              <w:kinsoku/>
              <w:wordWrap/>
              <w:overflowPunct/>
              <w:topLinePunct w:val="0"/>
              <w:bidi w:val="0"/>
              <w:snapToGrid/>
              <w:spacing w:line="428" w:lineRule="exact"/>
              <w:rPr>
                <w:rFonts w:ascii="宋体" w:hAnsi="宋体" w:cs="宋体"/>
                <w:color w:val="auto"/>
                <w:sz w:val="24"/>
                <w:szCs w:val="24"/>
              </w:rPr>
            </w:pPr>
            <w:r>
              <w:rPr>
                <w:rFonts w:hint="eastAsia" w:ascii="宋体" w:hAnsi="宋体" w:cs="宋体"/>
                <w:color w:val="auto"/>
                <w:sz w:val="24"/>
                <w:szCs w:val="24"/>
              </w:rPr>
              <w:t>（1）首先由技术人员进行问题排查。</w:t>
            </w:r>
          </w:p>
          <w:p w14:paraId="26589119">
            <w:pPr>
              <w:keepNext w:val="0"/>
              <w:keepLines w:val="0"/>
              <w:pageBreakBefore w:val="0"/>
              <w:kinsoku/>
              <w:wordWrap/>
              <w:overflowPunct/>
              <w:topLinePunct w:val="0"/>
              <w:bidi w:val="0"/>
              <w:snapToGrid/>
              <w:spacing w:line="428" w:lineRule="exact"/>
              <w:rPr>
                <w:rFonts w:ascii="宋体" w:hAnsi="宋体" w:cs="宋体"/>
                <w:color w:val="auto"/>
                <w:sz w:val="24"/>
                <w:szCs w:val="24"/>
              </w:rPr>
            </w:pPr>
            <w:r>
              <w:rPr>
                <w:rFonts w:hint="eastAsia" w:ascii="宋体" w:hAnsi="宋体" w:cs="宋体"/>
                <w:color w:val="auto"/>
                <w:sz w:val="24"/>
                <w:szCs w:val="24"/>
              </w:rPr>
              <w:t>（2）经技术人员排查后，是投标人自身问题导致投标文件无法解密的，该投标文件将不予接收、解密和唱标；如果是电子化交易系统问题造成投标文件无法解密的，将由技术人员对问题进行处理。如短时间内问题无法解决的，将由代理机构向监督部门申请，经监督部门同意后，暂停开标会议，待问题解决后继续开标。</w:t>
            </w:r>
          </w:p>
          <w:p w14:paraId="33AC04C7">
            <w:pPr>
              <w:keepNext w:val="0"/>
              <w:keepLines w:val="0"/>
              <w:pageBreakBefore w:val="0"/>
              <w:kinsoku/>
              <w:wordWrap/>
              <w:overflowPunct/>
              <w:topLinePunct w:val="0"/>
              <w:bidi w:val="0"/>
              <w:snapToGrid/>
              <w:spacing w:line="428" w:lineRule="exact"/>
              <w:rPr>
                <w:rFonts w:ascii="宋体" w:hAnsi="宋体" w:cs="宋体"/>
                <w:color w:val="auto"/>
                <w:sz w:val="24"/>
                <w:szCs w:val="24"/>
              </w:rPr>
            </w:pPr>
            <w:r>
              <w:rPr>
                <w:rFonts w:hint="eastAsia" w:ascii="宋体" w:hAnsi="宋体" w:cs="宋体"/>
                <w:color w:val="auto"/>
                <w:sz w:val="24"/>
                <w:szCs w:val="24"/>
              </w:rPr>
              <w:t>4、待所有投标文件解密完成后，由代理机构操作，对所有已解密投标文件进行电子唱标。投标人应保证在开标期间电话、电脑、网络能够正常工作，投标人因停电、电脑病毒、网络堵塞等原因，未在规定的解密时间内对投标文件进行解密的，其投标文件不予接收、唱标。</w:t>
            </w:r>
          </w:p>
          <w:p w14:paraId="2D3015F5">
            <w:pPr>
              <w:keepNext w:val="0"/>
              <w:keepLines w:val="0"/>
              <w:pageBreakBefore w:val="0"/>
              <w:kinsoku/>
              <w:wordWrap/>
              <w:overflowPunct/>
              <w:topLinePunct w:val="0"/>
              <w:bidi w:val="0"/>
              <w:snapToGrid/>
              <w:spacing w:line="428" w:lineRule="exact"/>
              <w:rPr>
                <w:rFonts w:ascii="宋体" w:hAnsi="宋体" w:cs="宋体"/>
                <w:color w:val="auto"/>
                <w:sz w:val="24"/>
                <w:szCs w:val="24"/>
              </w:rPr>
            </w:pPr>
            <w:r>
              <w:rPr>
                <w:rFonts w:hint="eastAsia" w:ascii="宋体" w:hAnsi="宋体" w:cs="宋体"/>
                <w:color w:val="auto"/>
                <w:sz w:val="24"/>
                <w:szCs w:val="24"/>
              </w:rPr>
              <w:t>5、开标时投标人可登录到交易系统中在开标解密栏中点击“开标一览表”查看各自的报价信息。如对报价信息有异议，应在唱标结束后10分钟内向代理机构提出质疑。代理机构应在监督人员的监督下接受投标人的质疑，并做好书面记录。投标人未在规定时间内提出质疑的，视为认可唱标内容。</w:t>
            </w:r>
          </w:p>
        </w:tc>
      </w:tr>
      <w:tr w14:paraId="3075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17" w:type="pct"/>
            <w:vAlign w:val="center"/>
          </w:tcPr>
          <w:p w14:paraId="1BAA05FA">
            <w:pPr>
              <w:spacing w:line="336" w:lineRule="auto"/>
              <w:jc w:val="center"/>
              <w:rPr>
                <w:rFonts w:ascii="宋体" w:hAnsi="宋体" w:cs="宋体"/>
                <w:color w:val="auto"/>
                <w:sz w:val="24"/>
              </w:rPr>
            </w:pPr>
            <w:r>
              <w:rPr>
                <w:rFonts w:hint="eastAsia" w:ascii="宋体" w:hAnsi="宋体" w:cs="宋体"/>
                <w:color w:val="auto"/>
                <w:sz w:val="24"/>
              </w:rPr>
              <w:t>4.11</w:t>
            </w:r>
          </w:p>
        </w:tc>
        <w:tc>
          <w:tcPr>
            <w:tcW w:w="1225" w:type="pct"/>
            <w:vAlign w:val="center"/>
          </w:tcPr>
          <w:p w14:paraId="27A81D03">
            <w:pPr>
              <w:spacing w:line="336" w:lineRule="auto"/>
              <w:jc w:val="center"/>
              <w:rPr>
                <w:rFonts w:ascii="宋体" w:hAnsi="宋体" w:cs="宋体"/>
                <w:color w:val="auto"/>
                <w:sz w:val="24"/>
              </w:rPr>
            </w:pPr>
            <w:r>
              <w:rPr>
                <w:rFonts w:hint="eastAsia" w:ascii="宋体" w:hAnsi="宋体" w:cs="宋体"/>
                <w:color w:val="auto"/>
                <w:sz w:val="24"/>
              </w:rPr>
              <w:t>开标时间</w:t>
            </w:r>
          </w:p>
        </w:tc>
        <w:tc>
          <w:tcPr>
            <w:tcW w:w="3257" w:type="pct"/>
            <w:vAlign w:val="center"/>
          </w:tcPr>
          <w:p w14:paraId="4535FAF1">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lang w:eastAsia="zh-CN"/>
              </w:rPr>
            </w:pPr>
            <w:r>
              <w:rPr>
                <w:rFonts w:hint="eastAsia" w:ascii="宋体" w:hAnsi="宋体" w:cs="宋体"/>
                <w:color w:val="auto"/>
                <w:sz w:val="24"/>
                <w:lang w:eastAsia="zh-CN"/>
              </w:rPr>
              <w:t>2026年1月6日8时30分</w:t>
            </w:r>
          </w:p>
        </w:tc>
      </w:tr>
      <w:tr w14:paraId="6F00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17" w:type="pct"/>
            <w:vAlign w:val="center"/>
          </w:tcPr>
          <w:p w14:paraId="752F4D22">
            <w:pPr>
              <w:spacing w:line="336" w:lineRule="auto"/>
              <w:jc w:val="center"/>
              <w:rPr>
                <w:rFonts w:ascii="宋体" w:hAnsi="宋体" w:cs="宋体"/>
                <w:color w:val="auto"/>
                <w:sz w:val="24"/>
                <w:szCs w:val="24"/>
              </w:rPr>
            </w:pPr>
            <w:r>
              <w:rPr>
                <w:rFonts w:hint="eastAsia" w:ascii="宋体" w:hAnsi="宋体" w:cs="宋体"/>
                <w:color w:val="auto"/>
                <w:sz w:val="24"/>
                <w:szCs w:val="24"/>
              </w:rPr>
              <w:t>4.12</w:t>
            </w:r>
          </w:p>
        </w:tc>
        <w:tc>
          <w:tcPr>
            <w:tcW w:w="1225" w:type="pct"/>
            <w:vAlign w:val="center"/>
          </w:tcPr>
          <w:p w14:paraId="72A87D42">
            <w:pPr>
              <w:autoSpaceDE w:val="0"/>
              <w:autoSpaceDN w:val="0"/>
              <w:adjustRightInd w:val="0"/>
              <w:spacing w:line="336" w:lineRule="auto"/>
              <w:jc w:val="center"/>
              <w:rPr>
                <w:rFonts w:ascii="宋体" w:hAnsi="宋体" w:cs="宋体"/>
                <w:color w:val="auto"/>
                <w:sz w:val="24"/>
              </w:rPr>
            </w:pPr>
            <w:r>
              <w:rPr>
                <w:rFonts w:hint="eastAsia" w:ascii="宋体" w:hAnsi="宋体" w:cs="宋体"/>
                <w:color w:val="auto"/>
                <w:sz w:val="24"/>
              </w:rPr>
              <w:t>开标地点</w:t>
            </w:r>
          </w:p>
        </w:tc>
        <w:tc>
          <w:tcPr>
            <w:tcW w:w="3257" w:type="pct"/>
          </w:tcPr>
          <w:p w14:paraId="740848F5">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lang w:eastAsia="zh-CN"/>
              </w:rPr>
            </w:pPr>
            <w:r>
              <w:rPr>
                <w:rFonts w:hint="eastAsia" w:ascii="宋体" w:hAnsi="宋体" w:cs="宋体"/>
                <w:color w:val="auto"/>
                <w:sz w:val="24"/>
                <w:lang w:eastAsia="zh-CN"/>
              </w:rPr>
              <w:t>义马市公共资源交易中心开标一室</w:t>
            </w:r>
          </w:p>
        </w:tc>
      </w:tr>
      <w:tr w14:paraId="4253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782BC6F1">
            <w:pPr>
              <w:spacing w:line="336" w:lineRule="auto"/>
              <w:jc w:val="center"/>
              <w:rPr>
                <w:rFonts w:ascii="宋体" w:hAnsi="宋体" w:cs="宋体"/>
                <w:color w:val="auto"/>
                <w:sz w:val="24"/>
                <w:szCs w:val="24"/>
              </w:rPr>
            </w:pPr>
            <w:r>
              <w:rPr>
                <w:rFonts w:hint="eastAsia" w:ascii="宋体" w:hAnsi="宋体" w:cs="宋体"/>
                <w:color w:val="auto"/>
                <w:sz w:val="24"/>
                <w:szCs w:val="24"/>
              </w:rPr>
              <w:t>5.1</w:t>
            </w:r>
          </w:p>
        </w:tc>
        <w:tc>
          <w:tcPr>
            <w:tcW w:w="1225" w:type="pct"/>
            <w:vAlign w:val="center"/>
          </w:tcPr>
          <w:p w14:paraId="622A9C27">
            <w:pPr>
              <w:autoSpaceDE w:val="0"/>
              <w:autoSpaceDN w:val="0"/>
              <w:adjustRightInd w:val="0"/>
              <w:spacing w:line="336" w:lineRule="auto"/>
              <w:jc w:val="center"/>
              <w:rPr>
                <w:rFonts w:ascii="宋体" w:hAnsi="宋体" w:cs="宋体"/>
                <w:color w:val="auto"/>
                <w:sz w:val="24"/>
                <w:szCs w:val="24"/>
              </w:rPr>
            </w:pPr>
            <w:r>
              <w:rPr>
                <w:rFonts w:hint="eastAsia" w:ascii="宋体" w:hAnsi="宋体" w:cs="宋体"/>
                <w:color w:val="auto"/>
                <w:sz w:val="24"/>
              </w:rPr>
              <w:t>资格审查</w:t>
            </w:r>
          </w:p>
        </w:tc>
        <w:tc>
          <w:tcPr>
            <w:tcW w:w="3257" w:type="pct"/>
          </w:tcPr>
          <w:p w14:paraId="26D4519F">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1、本项目为资格后审，项目开标结束后，</w:t>
            </w:r>
            <w:r>
              <w:rPr>
                <w:rFonts w:hint="eastAsia" w:ascii="宋体" w:hAnsi="宋体" w:cs="宋体"/>
                <w:color w:val="auto"/>
                <w:sz w:val="24"/>
                <w:lang w:eastAsia="zh-CN"/>
              </w:rPr>
              <w:t>由采购人或其委托的代理机构负责对投标人资格进行审查</w:t>
            </w:r>
            <w:r>
              <w:rPr>
                <w:rFonts w:hint="eastAsia" w:ascii="宋体" w:hAnsi="宋体" w:cs="宋体"/>
                <w:color w:val="auto"/>
                <w:sz w:val="24"/>
              </w:rPr>
              <w:t>。</w:t>
            </w:r>
          </w:p>
          <w:p w14:paraId="5AD05F6D">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2、投标人资格审查内容以投标人在其投标文件“投标人资格证明文件”</w:t>
            </w:r>
            <w:r>
              <w:rPr>
                <w:rFonts w:hint="eastAsia" w:ascii="宋体" w:hAnsi="宋体" w:cs="宋体"/>
                <w:color w:val="auto"/>
                <w:sz w:val="24"/>
                <w:lang w:eastAsia="zh-CN"/>
              </w:rPr>
              <w:t>中提供的信息、资料为准</w:t>
            </w:r>
            <w:r>
              <w:rPr>
                <w:rFonts w:hint="eastAsia" w:ascii="宋体" w:hAnsi="宋体" w:cs="宋体"/>
                <w:color w:val="auto"/>
                <w:sz w:val="24"/>
              </w:rPr>
              <w:t>。</w:t>
            </w:r>
            <w:r>
              <w:rPr>
                <w:rFonts w:hint="eastAsia" w:ascii="宋体" w:hAnsi="宋体" w:cs="宋体"/>
                <w:color w:val="auto"/>
                <w:sz w:val="24"/>
                <w:lang w:eastAsia="zh-CN"/>
              </w:rPr>
              <w:t>投标人提供的信息资料扫描件必须清晰可辨</w:t>
            </w:r>
            <w:r>
              <w:rPr>
                <w:rFonts w:hint="eastAsia" w:ascii="宋体" w:hAnsi="宋体" w:cs="宋体"/>
                <w:color w:val="auto"/>
                <w:sz w:val="24"/>
              </w:rPr>
              <w:t>、真实有效（投标人对其真实性负责）。否则，由此造成的资格审查不合格或应得分而未得分等情况的，由投标人承担责任。</w:t>
            </w:r>
          </w:p>
          <w:p w14:paraId="53C9A597">
            <w:pPr>
              <w:keepNext w:val="0"/>
              <w:keepLines w:val="0"/>
              <w:pageBreakBefore w:val="0"/>
              <w:kinsoku/>
              <w:wordWrap/>
              <w:overflowPunct/>
              <w:topLinePunct w:val="0"/>
              <w:bidi w:val="0"/>
              <w:snapToGrid/>
              <w:spacing w:line="428" w:lineRule="exact"/>
              <w:jc w:val="left"/>
              <w:rPr>
                <w:rFonts w:ascii="宋体" w:hAnsi="宋体" w:cs="宋体"/>
                <w:color w:val="auto"/>
                <w:sz w:val="24"/>
              </w:rPr>
            </w:pPr>
            <w:r>
              <w:rPr>
                <w:rFonts w:hint="eastAsia" w:ascii="宋体" w:hAnsi="宋体" w:cs="宋体"/>
                <w:color w:val="auto"/>
                <w:sz w:val="24"/>
              </w:rPr>
              <w:t>注：投标人</w:t>
            </w:r>
            <w:r>
              <w:rPr>
                <w:rFonts w:hint="eastAsia" w:ascii="宋体" w:hAnsi="宋体" w:cs="宋体"/>
                <w:color w:val="auto"/>
                <w:sz w:val="24"/>
                <w:lang w:eastAsia="zh-CN"/>
              </w:rPr>
              <w:t>应及时维护、完善、更新主体信息库信息</w:t>
            </w:r>
            <w:r>
              <w:rPr>
                <w:rFonts w:hint="eastAsia" w:ascii="宋体" w:hAnsi="宋体" w:cs="宋体"/>
                <w:color w:val="auto"/>
                <w:sz w:val="24"/>
              </w:rPr>
              <w:t>。具体操作详见《三门峡市公共资源交易服务平台（市场主体信息库）操作手册》。链接地址：http://gzjy.smx.gov.cn/fwzn/004003/20200325/b13aa3fa-a543-403f-b537-82cb417132bd.html</w:t>
            </w:r>
          </w:p>
        </w:tc>
      </w:tr>
      <w:tr w14:paraId="2175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0D259646">
            <w:pPr>
              <w:spacing w:line="336" w:lineRule="auto"/>
              <w:jc w:val="center"/>
              <w:rPr>
                <w:rFonts w:ascii="宋体" w:hAnsi="宋体" w:cs="宋体"/>
                <w:color w:val="auto"/>
                <w:sz w:val="24"/>
                <w:szCs w:val="24"/>
              </w:rPr>
            </w:pPr>
            <w:r>
              <w:rPr>
                <w:rFonts w:hint="eastAsia" w:ascii="宋体" w:hAnsi="宋体" w:cs="宋体"/>
                <w:color w:val="auto"/>
                <w:sz w:val="24"/>
                <w:szCs w:val="24"/>
              </w:rPr>
              <w:t>6.1</w:t>
            </w:r>
          </w:p>
        </w:tc>
        <w:tc>
          <w:tcPr>
            <w:tcW w:w="1225" w:type="pct"/>
            <w:vAlign w:val="center"/>
          </w:tcPr>
          <w:p w14:paraId="078063D0">
            <w:pPr>
              <w:spacing w:line="336" w:lineRule="auto"/>
              <w:jc w:val="center"/>
              <w:rPr>
                <w:rFonts w:ascii="宋体" w:hAnsi="宋体" w:cs="宋体"/>
                <w:color w:val="auto"/>
                <w:sz w:val="24"/>
                <w:szCs w:val="24"/>
              </w:rPr>
            </w:pPr>
            <w:r>
              <w:rPr>
                <w:rFonts w:hint="eastAsia" w:ascii="宋体" w:hAnsi="宋体" w:cs="宋体"/>
                <w:color w:val="auto"/>
                <w:sz w:val="24"/>
                <w:szCs w:val="24"/>
              </w:rPr>
              <w:t>评标委员会的组建</w:t>
            </w:r>
          </w:p>
        </w:tc>
        <w:tc>
          <w:tcPr>
            <w:tcW w:w="3257" w:type="pct"/>
            <w:vAlign w:val="center"/>
          </w:tcPr>
          <w:p w14:paraId="47A7868B">
            <w:pPr>
              <w:keepNext w:val="0"/>
              <w:keepLines w:val="0"/>
              <w:pageBreakBefore w:val="0"/>
              <w:kinsoku/>
              <w:wordWrap/>
              <w:overflowPunct/>
              <w:topLinePunct w:val="0"/>
              <w:bidi w:val="0"/>
              <w:snapToGrid/>
              <w:spacing w:line="428" w:lineRule="exact"/>
              <w:jc w:val="left"/>
              <w:rPr>
                <w:rFonts w:ascii="宋体" w:hAnsi="宋体" w:cs="宋体"/>
                <w:color w:val="auto"/>
                <w:sz w:val="24"/>
              </w:rPr>
            </w:pPr>
            <w:r>
              <w:rPr>
                <w:rFonts w:hint="eastAsia" w:ascii="宋体" w:hAnsi="宋体" w:cs="宋体"/>
                <w:color w:val="auto"/>
                <w:sz w:val="24"/>
              </w:rPr>
              <w:t>评标委员会构成：5人，其中</w:t>
            </w:r>
            <w:r>
              <w:rPr>
                <w:rFonts w:hint="eastAsia" w:ascii="宋体" w:hAnsi="宋体" w:cs="宋体"/>
                <w:color w:val="auto"/>
                <w:sz w:val="24"/>
                <w:lang w:eastAsia="zh-CN"/>
              </w:rPr>
              <w:t>采购人</w:t>
            </w:r>
            <w:r>
              <w:rPr>
                <w:rFonts w:hint="eastAsia" w:ascii="宋体" w:hAnsi="宋体" w:cs="宋体"/>
                <w:color w:val="auto"/>
                <w:sz w:val="24"/>
              </w:rPr>
              <w:t>代表1人，经济、技术方面专家4人；</w:t>
            </w:r>
          </w:p>
          <w:p w14:paraId="4946FEAD">
            <w:pPr>
              <w:keepNext w:val="0"/>
              <w:keepLines w:val="0"/>
              <w:pageBreakBefore w:val="0"/>
              <w:kinsoku/>
              <w:wordWrap/>
              <w:overflowPunct/>
              <w:topLinePunct w:val="0"/>
              <w:bidi w:val="0"/>
              <w:snapToGrid/>
              <w:spacing w:line="428" w:lineRule="exact"/>
              <w:rPr>
                <w:rFonts w:ascii="宋体" w:hAnsi="宋体" w:cs="宋体"/>
                <w:color w:val="auto"/>
                <w:sz w:val="24"/>
                <w:szCs w:val="24"/>
              </w:rPr>
            </w:pPr>
            <w:r>
              <w:rPr>
                <w:rFonts w:hint="eastAsia" w:ascii="宋体" w:hAnsi="宋体" w:cs="宋体"/>
                <w:color w:val="auto"/>
                <w:sz w:val="24"/>
              </w:rPr>
              <w:t>评标专家确定方式:开标后从相关评标专家库中随机抽取。</w:t>
            </w:r>
          </w:p>
        </w:tc>
      </w:tr>
      <w:tr w14:paraId="32CA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pct"/>
            <w:vAlign w:val="center"/>
          </w:tcPr>
          <w:p w14:paraId="36D95C92">
            <w:pPr>
              <w:spacing w:line="336" w:lineRule="auto"/>
              <w:jc w:val="center"/>
              <w:rPr>
                <w:rFonts w:ascii="宋体" w:hAnsi="宋体" w:cs="宋体"/>
                <w:color w:val="auto"/>
                <w:sz w:val="24"/>
              </w:rPr>
            </w:pPr>
            <w:r>
              <w:rPr>
                <w:rFonts w:hint="eastAsia" w:ascii="宋体" w:hAnsi="宋体" w:cs="宋体"/>
                <w:color w:val="auto"/>
                <w:sz w:val="24"/>
              </w:rPr>
              <w:t>6.3.2</w:t>
            </w:r>
          </w:p>
        </w:tc>
        <w:tc>
          <w:tcPr>
            <w:tcW w:w="1225" w:type="pct"/>
            <w:vAlign w:val="center"/>
          </w:tcPr>
          <w:p w14:paraId="48E679F2">
            <w:pPr>
              <w:spacing w:line="336" w:lineRule="auto"/>
              <w:jc w:val="center"/>
              <w:rPr>
                <w:rFonts w:ascii="宋体" w:hAnsi="宋体" w:cs="宋体"/>
                <w:color w:val="auto"/>
                <w:sz w:val="24"/>
              </w:rPr>
            </w:pPr>
            <w:r>
              <w:rPr>
                <w:rFonts w:hint="eastAsia" w:ascii="宋体" w:hAnsi="宋体" w:cs="宋体"/>
                <w:color w:val="auto"/>
                <w:sz w:val="24"/>
              </w:rPr>
              <w:t>是否授权评标委员会确定中标人</w:t>
            </w:r>
          </w:p>
        </w:tc>
        <w:tc>
          <w:tcPr>
            <w:tcW w:w="3257" w:type="pct"/>
            <w:vAlign w:val="center"/>
          </w:tcPr>
          <w:p w14:paraId="7ED01F6C">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否。评标委员会向</w:t>
            </w:r>
            <w:r>
              <w:rPr>
                <w:rFonts w:hint="eastAsia" w:ascii="宋体" w:hAnsi="宋体" w:cs="宋体"/>
                <w:color w:val="auto"/>
                <w:sz w:val="24"/>
                <w:lang w:eastAsia="zh-CN"/>
              </w:rPr>
              <w:t>采购人</w:t>
            </w:r>
            <w:r>
              <w:rPr>
                <w:rFonts w:hint="eastAsia" w:ascii="宋体" w:hAnsi="宋体" w:cs="宋体"/>
                <w:color w:val="auto"/>
                <w:sz w:val="24"/>
              </w:rPr>
              <w:t>推荐3名中标候选人</w:t>
            </w:r>
            <w:r>
              <w:rPr>
                <w:rFonts w:hint="eastAsia" w:ascii="宋体" w:hAnsi="宋体" w:cs="宋体"/>
                <w:color w:val="auto"/>
                <w:sz w:val="24"/>
                <w:lang w:val="en-US" w:eastAsia="zh-CN"/>
              </w:rPr>
              <w:t>并排序</w:t>
            </w:r>
            <w:r>
              <w:rPr>
                <w:rFonts w:hint="eastAsia" w:ascii="宋体" w:hAnsi="宋体" w:cs="宋体"/>
                <w:color w:val="auto"/>
                <w:sz w:val="24"/>
              </w:rPr>
              <w:t>。</w:t>
            </w:r>
          </w:p>
        </w:tc>
      </w:tr>
      <w:tr w14:paraId="6D71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17" w:type="pct"/>
            <w:vAlign w:val="center"/>
          </w:tcPr>
          <w:p w14:paraId="5E05A001">
            <w:pPr>
              <w:spacing w:line="336" w:lineRule="auto"/>
              <w:jc w:val="center"/>
              <w:rPr>
                <w:rFonts w:ascii="宋体" w:hAnsi="宋体" w:cs="宋体"/>
                <w:color w:val="auto"/>
                <w:sz w:val="24"/>
              </w:rPr>
            </w:pPr>
            <w:r>
              <w:rPr>
                <w:rFonts w:hint="eastAsia" w:ascii="宋体" w:hAnsi="宋体" w:cs="宋体"/>
                <w:color w:val="auto"/>
                <w:sz w:val="24"/>
              </w:rPr>
              <w:t>6.3.3</w:t>
            </w:r>
          </w:p>
        </w:tc>
        <w:tc>
          <w:tcPr>
            <w:tcW w:w="1225" w:type="pct"/>
            <w:vAlign w:val="center"/>
          </w:tcPr>
          <w:p w14:paraId="3E16C26B">
            <w:pPr>
              <w:spacing w:line="336" w:lineRule="auto"/>
              <w:jc w:val="center"/>
              <w:rPr>
                <w:rFonts w:ascii="宋体" w:hAnsi="宋体" w:cs="宋体"/>
                <w:color w:val="auto"/>
                <w:sz w:val="24"/>
              </w:rPr>
            </w:pPr>
            <w:r>
              <w:rPr>
                <w:rFonts w:hint="eastAsia" w:ascii="宋体" w:hAnsi="宋体" w:cs="宋体"/>
                <w:color w:val="auto"/>
                <w:sz w:val="24"/>
              </w:rPr>
              <w:t>是否退还投标文件</w:t>
            </w:r>
          </w:p>
        </w:tc>
        <w:tc>
          <w:tcPr>
            <w:tcW w:w="3257" w:type="pct"/>
            <w:vAlign w:val="center"/>
          </w:tcPr>
          <w:p w14:paraId="25235265">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否</w:t>
            </w:r>
          </w:p>
        </w:tc>
      </w:tr>
      <w:tr w14:paraId="361F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19" w:type="dxa"/>
            <w:vAlign w:val="center"/>
          </w:tcPr>
          <w:p w14:paraId="39A74D6B">
            <w:pPr>
              <w:spacing w:line="336" w:lineRule="auto"/>
              <w:jc w:val="center"/>
              <w:rPr>
                <w:rFonts w:hint="eastAsia" w:ascii="宋体" w:hAnsi="宋体" w:cs="宋体"/>
                <w:color w:val="auto"/>
                <w:sz w:val="24"/>
              </w:rPr>
            </w:pPr>
            <w:r>
              <w:rPr>
                <w:rFonts w:hint="eastAsia" w:ascii="宋体" w:hAnsi="宋体" w:cs="宋体"/>
                <w:color w:val="auto"/>
                <w:sz w:val="24"/>
                <w:lang w:val="en-US" w:eastAsia="zh-CN"/>
              </w:rPr>
              <w:t>7.2</w:t>
            </w:r>
          </w:p>
        </w:tc>
        <w:tc>
          <w:tcPr>
            <w:tcW w:w="2414" w:type="dxa"/>
            <w:vAlign w:val="center"/>
          </w:tcPr>
          <w:p w14:paraId="6AD6E63D">
            <w:pPr>
              <w:spacing w:line="336" w:lineRule="auto"/>
              <w:jc w:val="center"/>
              <w:rPr>
                <w:rFonts w:hint="eastAsia" w:ascii="宋体" w:hAnsi="宋体" w:cs="宋体"/>
                <w:color w:val="auto"/>
                <w:sz w:val="24"/>
              </w:rPr>
            </w:pPr>
            <w:r>
              <w:rPr>
                <w:rFonts w:hint="eastAsia" w:ascii="宋体" w:hAnsi="宋体" w:cs="宋体"/>
                <w:color w:val="auto"/>
                <w:sz w:val="24"/>
                <w:lang w:val="en-US" w:eastAsia="zh-CN"/>
              </w:rPr>
              <w:t>中标公告发布媒介</w:t>
            </w:r>
          </w:p>
        </w:tc>
        <w:tc>
          <w:tcPr>
            <w:tcW w:w="6420" w:type="dxa"/>
            <w:vAlign w:val="center"/>
          </w:tcPr>
          <w:p w14:paraId="16C331A0">
            <w:pPr>
              <w:keepNext w:val="0"/>
              <w:keepLines w:val="0"/>
              <w:pageBreakBefore w:val="0"/>
              <w:kinsoku/>
              <w:wordWrap/>
              <w:overflowPunct/>
              <w:topLinePunct w:val="0"/>
              <w:bidi w:val="0"/>
              <w:snapToGrid/>
              <w:spacing w:line="428" w:lineRule="exact"/>
              <w:jc w:val="both"/>
              <w:rPr>
                <w:rFonts w:hint="eastAsia" w:ascii="宋体" w:hAnsi="宋体" w:cs="宋体"/>
                <w:color w:val="auto"/>
                <w:sz w:val="24"/>
              </w:rPr>
            </w:pPr>
            <w:r>
              <w:rPr>
                <w:rFonts w:hint="eastAsia" w:ascii="宋体" w:hAnsi="宋体" w:cs="宋体"/>
                <w:color w:val="auto"/>
                <w:sz w:val="24"/>
                <w:szCs w:val="24"/>
              </w:rPr>
              <w:t>《中国招标投标公共服务平台》《河南省政府采购网》《三门峡市公共资源交易中心网》</w:t>
            </w:r>
          </w:p>
        </w:tc>
      </w:tr>
      <w:tr w14:paraId="2603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3D367B9F">
            <w:pPr>
              <w:spacing w:line="336" w:lineRule="auto"/>
              <w:jc w:val="center"/>
              <w:rPr>
                <w:rFonts w:ascii="宋体" w:hAnsi="宋体" w:cs="宋体"/>
                <w:color w:val="auto"/>
                <w:sz w:val="24"/>
              </w:rPr>
            </w:pPr>
            <w:r>
              <w:rPr>
                <w:rFonts w:hint="eastAsia" w:ascii="宋体" w:hAnsi="宋体" w:cs="宋体"/>
                <w:color w:val="auto"/>
                <w:sz w:val="24"/>
              </w:rPr>
              <w:t>7.6</w:t>
            </w:r>
          </w:p>
        </w:tc>
        <w:tc>
          <w:tcPr>
            <w:tcW w:w="1225" w:type="pct"/>
            <w:vAlign w:val="center"/>
          </w:tcPr>
          <w:p w14:paraId="6E5B4D81">
            <w:pPr>
              <w:spacing w:line="336" w:lineRule="auto"/>
              <w:jc w:val="center"/>
              <w:rPr>
                <w:rFonts w:ascii="宋体" w:hAnsi="宋体" w:cs="宋体"/>
                <w:color w:val="auto"/>
                <w:sz w:val="24"/>
              </w:rPr>
            </w:pPr>
            <w:r>
              <w:rPr>
                <w:rFonts w:hint="eastAsia" w:ascii="宋体" w:hAnsi="宋体" w:cs="宋体"/>
                <w:color w:val="auto"/>
                <w:sz w:val="24"/>
              </w:rPr>
              <w:t>履约保证金</w:t>
            </w:r>
          </w:p>
        </w:tc>
        <w:tc>
          <w:tcPr>
            <w:tcW w:w="3257" w:type="pct"/>
            <w:vAlign w:val="center"/>
          </w:tcPr>
          <w:p w14:paraId="3E593ABA">
            <w:pPr>
              <w:keepNext w:val="0"/>
              <w:keepLines w:val="0"/>
              <w:pageBreakBefore w:val="0"/>
              <w:kinsoku/>
              <w:wordWrap/>
              <w:overflowPunct/>
              <w:topLinePunct w:val="0"/>
              <w:bidi w:val="0"/>
              <w:snapToGrid/>
              <w:spacing w:line="428" w:lineRule="exact"/>
              <w:rPr>
                <w:rFonts w:ascii="宋体" w:hAnsi="宋体" w:cs="宋体"/>
                <w:color w:val="auto"/>
                <w:sz w:val="24"/>
                <w:szCs w:val="24"/>
              </w:rPr>
            </w:pPr>
            <w:r>
              <w:rPr>
                <w:rFonts w:hint="eastAsia" w:ascii="宋体" w:hAnsi="宋体" w:cs="宋体"/>
                <w:color w:val="auto"/>
                <w:sz w:val="24"/>
                <w:szCs w:val="24"/>
              </w:rPr>
              <w:t>本项目不收取履约保证金。</w:t>
            </w:r>
          </w:p>
          <w:p w14:paraId="5E19D39C">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szCs w:val="24"/>
              </w:rPr>
              <w:t>中标人必须严格、诚信履约，非因不可抗因素外，不得违约；因中标人违约给</w:t>
            </w:r>
            <w:r>
              <w:rPr>
                <w:rFonts w:hint="eastAsia" w:ascii="宋体" w:hAnsi="宋体" w:cs="宋体"/>
                <w:color w:val="auto"/>
                <w:sz w:val="24"/>
                <w:szCs w:val="24"/>
                <w:lang w:eastAsia="zh-CN"/>
              </w:rPr>
              <w:t>采购人</w:t>
            </w:r>
            <w:r>
              <w:rPr>
                <w:rFonts w:hint="eastAsia" w:ascii="宋体" w:hAnsi="宋体" w:cs="宋体"/>
                <w:color w:val="auto"/>
                <w:sz w:val="24"/>
                <w:szCs w:val="24"/>
              </w:rPr>
              <w:t>造成损失的，中标人应赔偿</w:t>
            </w:r>
            <w:r>
              <w:rPr>
                <w:rFonts w:hint="eastAsia" w:ascii="宋体" w:hAnsi="宋体" w:cs="宋体"/>
                <w:color w:val="auto"/>
                <w:sz w:val="24"/>
                <w:szCs w:val="24"/>
                <w:lang w:eastAsia="zh-CN"/>
              </w:rPr>
              <w:t>采购人</w:t>
            </w:r>
            <w:r>
              <w:rPr>
                <w:rFonts w:hint="eastAsia" w:ascii="宋体" w:hAnsi="宋体" w:cs="宋体"/>
                <w:color w:val="auto"/>
                <w:sz w:val="24"/>
                <w:szCs w:val="24"/>
              </w:rPr>
              <w:t>相应损失，否则，</w:t>
            </w:r>
            <w:r>
              <w:rPr>
                <w:rFonts w:hint="eastAsia" w:ascii="宋体" w:hAnsi="宋体" w:cs="宋体"/>
                <w:color w:val="auto"/>
                <w:sz w:val="24"/>
                <w:szCs w:val="24"/>
                <w:lang w:eastAsia="zh-CN"/>
              </w:rPr>
              <w:t>采购人</w:t>
            </w:r>
            <w:r>
              <w:rPr>
                <w:rFonts w:hint="eastAsia" w:ascii="宋体" w:hAnsi="宋体" w:cs="宋体"/>
                <w:color w:val="auto"/>
                <w:sz w:val="24"/>
                <w:szCs w:val="24"/>
              </w:rPr>
              <w:t>有权向监督部门请求将该投标人列入政府采购严重违法失信行为记录名单，并向所在地人民法院起诉，维护自身合法权益。</w:t>
            </w:r>
          </w:p>
        </w:tc>
      </w:tr>
      <w:tr w14:paraId="0FD9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pct"/>
            <w:vAlign w:val="center"/>
          </w:tcPr>
          <w:p w14:paraId="54B8F5E4">
            <w:pPr>
              <w:spacing w:line="336" w:lineRule="auto"/>
              <w:jc w:val="center"/>
              <w:rPr>
                <w:rFonts w:ascii="宋体" w:hAnsi="宋体" w:cs="宋体"/>
                <w:color w:val="auto"/>
                <w:sz w:val="24"/>
              </w:rPr>
            </w:pPr>
            <w:r>
              <w:rPr>
                <w:rFonts w:hint="eastAsia" w:ascii="宋体" w:hAnsi="宋体" w:cs="宋体"/>
                <w:color w:val="auto"/>
                <w:sz w:val="24"/>
              </w:rPr>
              <w:t>9</w:t>
            </w:r>
          </w:p>
        </w:tc>
        <w:tc>
          <w:tcPr>
            <w:tcW w:w="4482" w:type="pct"/>
            <w:gridSpan w:val="2"/>
            <w:vAlign w:val="center"/>
          </w:tcPr>
          <w:p w14:paraId="615DB8DC">
            <w:pPr>
              <w:keepNext w:val="0"/>
              <w:keepLines w:val="0"/>
              <w:pageBreakBefore w:val="0"/>
              <w:kinsoku/>
              <w:wordWrap/>
              <w:overflowPunct/>
              <w:topLinePunct w:val="0"/>
              <w:bidi w:val="0"/>
              <w:snapToGrid/>
              <w:spacing w:line="428" w:lineRule="exact"/>
              <w:rPr>
                <w:rFonts w:ascii="宋体" w:hAnsi="宋体" w:cs="宋体"/>
                <w:color w:val="auto"/>
                <w:sz w:val="24"/>
                <w:szCs w:val="24"/>
              </w:rPr>
            </w:pPr>
            <w:r>
              <w:rPr>
                <w:rFonts w:hint="eastAsia" w:ascii="宋体" w:hAnsi="宋体" w:cs="宋体"/>
                <w:color w:val="auto"/>
                <w:sz w:val="24"/>
              </w:rPr>
              <w:t xml:space="preserve"> 需要补充的其他内容</w:t>
            </w:r>
          </w:p>
        </w:tc>
      </w:tr>
      <w:tr w14:paraId="1C42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384F803E">
            <w:pPr>
              <w:spacing w:line="336" w:lineRule="auto"/>
              <w:jc w:val="center"/>
              <w:rPr>
                <w:rFonts w:ascii="宋体" w:hAnsi="宋体" w:cs="宋体"/>
                <w:color w:val="auto"/>
                <w:sz w:val="24"/>
              </w:rPr>
            </w:pPr>
            <w:r>
              <w:rPr>
                <w:rFonts w:hint="eastAsia" w:ascii="宋体" w:hAnsi="宋体" w:cs="宋体"/>
                <w:color w:val="auto"/>
                <w:sz w:val="24"/>
              </w:rPr>
              <w:t>9.1</w:t>
            </w:r>
          </w:p>
        </w:tc>
        <w:tc>
          <w:tcPr>
            <w:tcW w:w="1225" w:type="pct"/>
            <w:vAlign w:val="center"/>
          </w:tcPr>
          <w:p w14:paraId="240D16A5">
            <w:pPr>
              <w:spacing w:line="336" w:lineRule="auto"/>
              <w:jc w:val="center"/>
              <w:rPr>
                <w:rFonts w:ascii="宋体" w:hAnsi="宋体" w:cs="宋体"/>
                <w:color w:val="auto"/>
                <w:sz w:val="24"/>
              </w:rPr>
            </w:pPr>
            <w:r>
              <w:rPr>
                <w:rFonts w:hint="eastAsia" w:ascii="宋体" w:hAnsi="宋体" w:cs="宋体"/>
                <w:color w:val="auto"/>
                <w:sz w:val="24"/>
              </w:rPr>
              <w:t>招标控制价</w:t>
            </w:r>
          </w:p>
          <w:p w14:paraId="7B32B477">
            <w:pPr>
              <w:spacing w:line="336" w:lineRule="auto"/>
              <w:jc w:val="center"/>
              <w:rPr>
                <w:rFonts w:ascii="宋体" w:hAnsi="宋体" w:cs="宋体"/>
                <w:color w:val="auto"/>
                <w:sz w:val="24"/>
              </w:rPr>
            </w:pPr>
            <w:r>
              <w:rPr>
                <w:rFonts w:hint="eastAsia" w:ascii="宋体" w:hAnsi="宋体" w:cs="宋体"/>
                <w:color w:val="auto"/>
                <w:sz w:val="24"/>
              </w:rPr>
              <w:t>（最高投标限价）</w:t>
            </w:r>
          </w:p>
        </w:tc>
        <w:tc>
          <w:tcPr>
            <w:tcW w:w="3257" w:type="pct"/>
            <w:tcMar>
              <w:top w:w="0" w:type="dxa"/>
              <w:left w:w="164" w:type="dxa"/>
              <w:bottom w:w="0" w:type="dxa"/>
              <w:right w:w="164" w:type="dxa"/>
            </w:tcMar>
            <w:vAlign w:val="center"/>
          </w:tcPr>
          <w:p w14:paraId="41E18343">
            <w:pPr>
              <w:keepNext w:val="0"/>
              <w:keepLines w:val="0"/>
              <w:pageBreakBefore w:val="0"/>
              <w:kinsoku/>
              <w:wordWrap/>
              <w:overflowPunct/>
              <w:topLinePunct w:val="0"/>
              <w:bidi w:val="0"/>
              <w:snapToGrid/>
              <w:spacing w:line="428" w:lineRule="exact"/>
              <w:rPr>
                <w:rFonts w:hint="default" w:ascii="宋体" w:hAnsi="宋体" w:eastAsia="宋体" w:cs="宋体"/>
                <w:color w:val="auto"/>
                <w:sz w:val="24"/>
                <w:szCs w:val="24"/>
                <w:lang w:val="en-US" w:eastAsia="zh-CN"/>
              </w:rPr>
            </w:pPr>
            <w:r>
              <w:rPr>
                <w:rFonts w:hint="eastAsia" w:ascii="宋体" w:hAnsi="宋体" w:cs="宋体"/>
                <w:color w:val="auto"/>
                <w:sz w:val="24"/>
              </w:rPr>
              <w:t>招标控制价（最高投标限价）</w:t>
            </w:r>
            <w:r>
              <w:rPr>
                <w:rFonts w:hint="eastAsia" w:ascii="宋体" w:hAnsi="宋体" w:cs="宋体"/>
                <w:color w:val="auto"/>
                <w:sz w:val="24"/>
                <w:szCs w:val="24"/>
              </w:rPr>
              <w:t>：</w:t>
            </w:r>
            <w:r>
              <w:rPr>
                <w:rFonts w:hint="eastAsia" w:ascii="宋体" w:hAnsi="宋体" w:cs="宋体"/>
                <w:color w:val="auto"/>
                <w:sz w:val="24"/>
                <w:szCs w:val="24"/>
                <w:lang w:val="en-US" w:eastAsia="zh-CN"/>
              </w:rPr>
              <w:t>1600000.00元</w:t>
            </w:r>
          </w:p>
          <w:p w14:paraId="4EAC4BC2">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投标人的投标报价高于招标控制价的，其投标将予以否决。</w:t>
            </w:r>
          </w:p>
        </w:tc>
      </w:tr>
      <w:tr w14:paraId="7416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365DEB22">
            <w:pPr>
              <w:spacing w:line="336"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9.2</w:t>
            </w:r>
          </w:p>
        </w:tc>
        <w:tc>
          <w:tcPr>
            <w:tcW w:w="2414" w:type="dxa"/>
            <w:vAlign w:val="center"/>
          </w:tcPr>
          <w:p w14:paraId="1BA17DFE">
            <w:pPr>
              <w:autoSpaceDE w:val="0"/>
              <w:autoSpaceDN w:val="0"/>
              <w:adjustRightInd w:val="0"/>
              <w:spacing w:line="400" w:lineRule="exact"/>
              <w:jc w:val="center"/>
              <w:rPr>
                <w:rFonts w:hint="eastAsia" w:ascii="宋体" w:hAnsi="宋体" w:cs="宋体"/>
                <w:color w:val="auto"/>
                <w:sz w:val="24"/>
              </w:rPr>
            </w:pPr>
            <w:r>
              <w:rPr>
                <w:rFonts w:hint="eastAsia" w:ascii="宋体" w:hAnsi="宋体" w:cs="宋体"/>
                <w:color w:val="auto"/>
                <w:kern w:val="0"/>
                <w:sz w:val="24"/>
              </w:rPr>
              <w:t>付款方式</w:t>
            </w:r>
          </w:p>
        </w:tc>
        <w:tc>
          <w:tcPr>
            <w:tcW w:w="6420" w:type="dxa"/>
            <w:tcMar>
              <w:top w:w="0" w:type="dxa"/>
              <w:left w:w="164" w:type="dxa"/>
              <w:bottom w:w="0" w:type="dxa"/>
              <w:right w:w="164" w:type="dxa"/>
            </w:tcMar>
            <w:vAlign w:val="center"/>
          </w:tcPr>
          <w:p w14:paraId="137DE7C3">
            <w:pPr>
              <w:keepNext w:val="0"/>
              <w:keepLines w:val="0"/>
              <w:pageBreakBefore w:val="0"/>
              <w:widowControl w:val="0"/>
              <w:kinsoku/>
              <w:wordWrap/>
              <w:overflowPunct/>
              <w:topLinePunct w:val="0"/>
              <w:bidi w:val="0"/>
              <w:snapToGrid/>
              <w:spacing w:line="428" w:lineRule="exact"/>
              <w:textAlignment w:val="auto"/>
              <w:rPr>
                <w:rFonts w:hint="eastAsia" w:ascii="宋体" w:hAnsi="宋体" w:cs="宋体"/>
                <w:color w:val="auto"/>
                <w:sz w:val="24"/>
              </w:rPr>
            </w:pPr>
            <w:r>
              <w:rPr>
                <w:rFonts w:hint="eastAsia" w:ascii="宋体" w:hAnsi="宋体" w:cs="宋体"/>
                <w:color w:val="auto"/>
                <w:sz w:val="24"/>
              </w:rPr>
              <w:t>双方在合同中协商约定,但不得违反国家、省、市相关规定。</w:t>
            </w:r>
          </w:p>
        </w:tc>
      </w:tr>
      <w:tr w14:paraId="37BB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5A96C874">
            <w:pPr>
              <w:spacing w:line="336"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9.3</w:t>
            </w:r>
          </w:p>
        </w:tc>
        <w:tc>
          <w:tcPr>
            <w:tcW w:w="2414" w:type="dxa"/>
            <w:vAlign w:val="center"/>
          </w:tcPr>
          <w:p w14:paraId="7FA3BF4C">
            <w:pPr>
              <w:autoSpaceDE w:val="0"/>
              <w:autoSpaceDN w:val="0"/>
              <w:adjustRightInd w:val="0"/>
              <w:spacing w:line="400" w:lineRule="exact"/>
              <w:jc w:val="center"/>
              <w:rPr>
                <w:rFonts w:hint="eastAsia" w:ascii="宋体" w:hAnsi="宋体" w:cs="宋体"/>
                <w:color w:val="auto"/>
                <w:sz w:val="24"/>
              </w:rPr>
            </w:pPr>
            <w:r>
              <w:rPr>
                <w:rFonts w:hint="eastAsia" w:ascii="宋体" w:hAnsi="宋体" w:cs="宋体"/>
                <w:color w:val="auto"/>
                <w:sz w:val="24"/>
                <w:lang w:val="en-US" w:eastAsia="zh-CN"/>
              </w:rPr>
              <w:t>采购</w:t>
            </w:r>
            <w:r>
              <w:rPr>
                <w:rFonts w:hint="eastAsia" w:ascii="宋体" w:hAnsi="宋体" w:cs="宋体"/>
                <w:color w:val="auto"/>
                <w:sz w:val="24"/>
              </w:rPr>
              <w:t>代理服务费</w:t>
            </w:r>
          </w:p>
        </w:tc>
        <w:tc>
          <w:tcPr>
            <w:tcW w:w="6420" w:type="dxa"/>
            <w:tcMar>
              <w:top w:w="0" w:type="dxa"/>
              <w:left w:w="164" w:type="dxa"/>
              <w:bottom w:w="0" w:type="dxa"/>
              <w:right w:w="164" w:type="dxa"/>
            </w:tcMar>
            <w:vAlign w:val="center"/>
          </w:tcPr>
          <w:p w14:paraId="20DC51C2">
            <w:pPr>
              <w:keepNext w:val="0"/>
              <w:keepLines w:val="0"/>
              <w:pageBreakBefore w:val="0"/>
              <w:widowControl w:val="0"/>
              <w:kinsoku/>
              <w:wordWrap/>
              <w:overflowPunct/>
              <w:topLinePunct w:val="0"/>
              <w:autoSpaceDE/>
              <w:autoSpaceDN/>
              <w:bidi w:val="0"/>
              <w:adjustRightInd/>
              <w:snapToGrid/>
              <w:spacing w:line="428" w:lineRule="exact"/>
              <w:textAlignment w:val="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本项目代理服务费根据《河南省招标代理服务收费指导意见（豫招协【2023】002号）》有关规定收取，收取金额为：</w:t>
            </w:r>
            <w:r>
              <w:rPr>
                <w:rFonts w:hint="eastAsia" w:ascii="宋体" w:hAnsi="宋体" w:cs="宋体"/>
                <w:color w:val="auto"/>
                <w:kern w:val="0"/>
                <w:sz w:val="24"/>
                <w:lang w:val="en-US" w:eastAsia="zh-CN"/>
              </w:rPr>
              <w:t>24200</w:t>
            </w:r>
            <w:r>
              <w:rPr>
                <w:rFonts w:hint="eastAsia" w:ascii="宋体" w:hAnsi="宋体" w:eastAsia="宋体" w:cs="宋体"/>
                <w:color w:val="auto"/>
                <w:kern w:val="0"/>
                <w:sz w:val="24"/>
                <w:lang w:val="en-US" w:eastAsia="zh-CN"/>
              </w:rPr>
              <w:t>元，由中标供应商支付。收款账户信息如下：</w:t>
            </w:r>
          </w:p>
          <w:p w14:paraId="08DE810E">
            <w:pPr>
              <w:keepNext w:val="0"/>
              <w:keepLines w:val="0"/>
              <w:pageBreakBefore w:val="0"/>
              <w:widowControl w:val="0"/>
              <w:kinsoku/>
              <w:wordWrap/>
              <w:overflowPunct/>
              <w:topLinePunct w:val="0"/>
              <w:autoSpaceDE/>
              <w:autoSpaceDN/>
              <w:bidi w:val="0"/>
              <w:adjustRightInd/>
              <w:snapToGrid/>
              <w:spacing w:line="428" w:lineRule="exac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收款单位：河南盛美工程管理服务有限公司</w:t>
            </w:r>
          </w:p>
          <w:p w14:paraId="791BBB84">
            <w:pPr>
              <w:keepNext w:val="0"/>
              <w:keepLines w:val="0"/>
              <w:pageBreakBefore w:val="0"/>
              <w:widowControl w:val="0"/>
              <w:kinsoku/>
              <w:wordWrap/>
              <w:overflowPunct/>
              <w:topLinePunct w:val="0"/>
              <w:autoSpaceDE/>
              <w:autoSpaceDN/>
              <w:bidi w:val="0"/>
              <w:adjustRightInd/>
              <w:snapToGrid/>
              <w:spacing w:line="428" w:lineRule="exac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开户行：河南渑池农村商业银行股份有限公司</w:t>
            </w:r>
          </w:p>
          <w:p w14:paraId="411EA825">
            <w:pPr>
              <w:keepNext w:val="0"/>
              <w:keepLines w:val="0"/>
              <w:pageBreakBefore w:val="0"/>
              <w:widowControl w:val="0"/>
              <w:kinsoku/>
              <w:wordWrap/>
              <w:overflowPunct/>
              <w:topLinePunct w:val="0"/>
              <w:autoSpaceDE/>
              <w:autoSpaceDN/>
              <w:bidi w:val="0"/>
              <w:adjustRightInd/>
              <w:snapToGrid/>
              <w:spacing w:line="428" w:lineRule="exact"/>
              <w:textAlignment w:val="auto"/>
              <w:rPr>
                <w:rFonts w:hint="eastAsia" w:ascii="宋体" w:hAnsi="宋体" w:cs="宋体"/>
                <w:color w:val="auto"/>
                <w:sz w:val="24"/>
              </w:rPr>
            </w:pPr>
            <w:r>
              <w:rPr>
                <w:rFonts w:hint="eastAsia" w:ascii="宋体" w:hAnsi="宋体" w:eastAsia="宋体" w:cs="宋体"/>
                <w:color w:val="auto"/>
                <w:kern w:val="0"/>
                <w:sz w:val="24"/>
                <w:lang w:val="en-US" w:eastAsia="zh-CN"/>
              </w:rPr>
              <w:t>账号：09101001500000826</w:t>
            </w:r>
          </w:p>
        </w:tc>
      </w:tr>
      <w:tr w14:paraId="6F47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5A5F5CA7">
            <w:pPr>
              <w:spacing w:line="336" w:lineRule="auto"/>
              <w:jc w:val="center"/>
              <w:rPr>
                <w:rFonts w:hint="eastAsia" w:ascii="宋体" w:hAnsi="宋体" w:eastAsia="宋体" w:cs="宋体"/>
                <w:color w:val="auto"/>
                <w:sz w:val="24"/>
                <w:lang w:eastAsia="zh-CN"/>
              </w:rPr>
            </w:pPr>
            <w:r>
              <w:rPr>
                <w:rFonts w:hint="eastAsia" w:ascii="宋体" w:hAnsi="宋体" w:cs="宋体"/>
                <w:color w:val="auto"/>
                <w:sz w:val="24"/>
              </w:rPr>
              <w:t>9.</w:t>
            </w:r>
            <w:r>
              <w:rPr>
                <w:rFonts w:hint="eastAsia" w:ascii="宋体" w:hAnsi="宋体" w:cs="宋体"/>
                <w:color w:val="auto"/>
                <w:sz w:val="24"/>
                <w:lang w:val="en-US" w:eastAsia="zh-CN"/>
              </w:rPr>
              <w:t>4</w:t>
            </w:r>
          </w:p>
        </w:tc>
        <w:tc>
          <w:tcPr>
            <w:tcW w:w="1225" w:type="pct"/>
            <w:vAlign w:val="center"/>
          </w:tcPr>
          <w:p w14:paraId="24D3E4B9">
            <w:pPr>
              <w:spacing w:line="336" w:lineRule="auto"/>
              <w:jc w:val="center"/>
              <w:rPr>
                <w:rFonts w:ascii="宋体" w:hAnsi="宋体" w:cs="宋体"/>
                <w:color w:val="auto"/>
                <w:sz w:val="24"/>
              </w:rPr>
            </w:pPr>
            <w:r>
              <w:rPr>
                <w:rFonts w:hint="eastAsia" w:ascii="宋体" w:hAnsi="宋体" w:cs="宋体"/>
                <w:color w:val="auto"/>
                <w:sz w:val="24"/>
              </w:rPr>
              <w:t>重新招标</w:t>
            </w:r>
          </w:p>
        </w:tc>
        <w:tc>
          <w:tcPr>
            <w:tcW w:w="3257" w:type="pct"/>
            <w:tcMar>
              <w:top w:w="0" w:type="dxa"/>
              <w:left w:w="164" w:type="dxa"/>
              <w:bottom w:w="0" w:type="dxa"/>
              <w:right w:w="164" w:type="dxa"/>
            </w:tcMar>
            <w:vAlign w:val="center"/>
          </w:tcPr>
          <w:p w14:paraId="60CB3B75">
            <w:pPr>
              <w:keepNext w:val="0"/>
              <w:keepLines w:val="0"/>
              <w:pageBreakBefore w:val="0"/>
              <w:kinsoku/>
              <w:wordWrap/>
              <w:overflowPunct/>
              <w:topLinePunct w:val="0"/>
              <w:bidi w:val="0"/>
              <w:snapToGrid/>
              <w:spacing w:line="428" w:lineRule="exact"/>
              <w:ind w:right="-153" w:rightChars="-73"/>
              <w:jc w:val="left"/>
              <w:rPr>
                <w:rFonts w:ascii="宋体" w:hAnsi="宋体" w:cs="宋体"/>
                <w:color w:val="auto"/>
                <w:sz w:val="24"/>
              </w:rPr>
            </w:pPr>
            <w:r>
              <w:rPr>
                <w:rFonts w:hint="eastAsia" w:ascii="宋体" w:hAnsi="宋体" w:cs="宋体"/>
                <w:color w:val="auto"/>
                <w:sz w:val="24"/>
              </w:rPr>
              <w:t>投标截止后投标人不足3家或者</w:t>
            </w:r>
            <w:r>
              <w:rPr>
                <w:rFonts w:hint="eastAsia" w:ascii="宋体" w:hAnsi="宋体" w:cs="宋体"/>
                <w:color w:val="auto"/>
                <w:sz w:val="24"/>
                <w:lang w:eastAsia="zh-CN"/>
              </w:rPr>
              <w:t>经评审的有效投标</w:t>
            </w:r>
            <w:r>
              <w:rPr>
                <w:rFonts w:hint="eastAsia" w:ascii="宋体" w:hAnsi="宋体" w:cs="宋体"/>
                <w:color w:val="auto"/>
                <w:sz w:val="24"/>
              </w:rPr>
              <w:t>不足3家的，评标委员会不得评标。除采购任务取消情形外，</w:t>
            </w:r>
            <w:r>
              <w:rPr>
                <w:rFonts w:hint="eastAsia" w:ascii="宋体" w:hAnsi="宋体" w:cs="宋体"/>
                <w:color w:val="auto"/>
                <w:sz w:val="24"/>
                <w:lang w:eastAsia="zh-CN"/>
              </w:rPr>
              <w:t>采购人</w:t>
            </w:r>
            <w:r>
              <w:rPr>
                <w:rFonts w:hint="eastAsia" w:ascii="宋体" w:hAnsi="宋体" w:cs="宋体"/>
                <w:color w:val="auto"/>
                <w:sz w:val="24"/>
              </w:rPr>
              <w:t>应当依法重新招标；</w:t>
            </w:r>
          </w:p>
        </w:tc>
      </w:tr>
      <w:tr w14:paraId="0187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7" w:type="pct"/>
            <w:vAlign w:val="center"/>
          </w:tcPr>
          <w:p w14:paraId="579A3737">
            <w:pPr>
              <w:spacing w:line="336" w:lineRule="auto"/>
              <w:jc w:val="center"/>
              <w:rPr>
                <w:rFonts w:hint="eastAsia" w:ascii="宋体" w:hAnsi="宋体" w:eastAsia="宋体" w:cs="宋体"/>
                <w:color w:val="auto"/>
                <w:sz w:val="24"/>
                <w:lang w:eastAsia="zh-CN"/>
              </w:rPr>
            </w:pPr>
            <w:r>
              <w:rPr>
                <w:rFonts w:hint="eastAsia" w:ascii="宋体" w:hAnsi="宋体" w:cs="宋体"/>
                <w:color w:val="auto"/>
                <w:sz w:val="24"/>
              </w:rPr>
              <w:t>9.</w:t>
            </w:r>
            <w:r>
              <w:rPr>
                <w:rFonts w:hint="eastAsia" w:ascii="宋体" w:hAnsi="宋体" w:cs="宋体"/>
                <w:color w:val="auto"/>
                <w:sz w:val="24"/>
                <w:lang w:val="en-US" w:eastAsia="zh-CN"/>
              </w:rPr>
              <w:t>5</w:t>
            </w:r>
          </w:p>
        </w:tc>
        <w:tc>
          <w:tcPr>
            <w:tcW w:w="1225" w:type="pct"/>
            <w:vAlign w:val="center"/>
          </w:tcPr>
          <w:p w14:paraId="05B9874A">
            <w:pPr>
              <w:spacing w:line="336" w:lineRule="auto"/>
              <w:jc w:val="center"/>
              <w:rPr>
                <w:rFonts w:ascii="宋体" w:hAnsi="宋体" w:cs="宋体"/>
                <w:color w:val="auto"/>
                <w:sz w:val="24"/>
              </w:rPr>
            </w:pPr>
            <w:r>
              <w:rPr>
                <w:rFonts w:hint="eastAsia" w:ascii="宋体" w:hAnsi="宋体" w:cs="宋体"/>
                <w:color w:val="auto"/>
                <w:sz w:val="24"/>
              </w:rPr>
              <w:t>其他</w:t>
            </w:r>
          </w:p>
        </w:tc>
        <w:tc>
          <w:tcPr>
            <w:tcW w:w="3257" w:type="pct"/>
            <w:tcMar>
              <w:top w:w="0" w:type="dxa"/>
              <w:left w:w="164" w:type="dxa"/>
              <w:bottom w:w="0" w:type="dxa"/>
              <w:right w:w="164" w:type="dxa"/>
            </w:tcMar>
            <w:vAlign w:val="center"/>
          </w:tcPr>
          <w:p w14:paraId="62C38080">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1、本项目为电子化、无纸化交易项目，开标时不再接受任何纸质资料，投标人按要求在三门峡市公共资源电子化交易系统中提交电子化投标文件即可。为保证您能成功参加竞标，请需仔细阅读招标文件和三门峡市公共资源交易中心官网业务办理指南；</w:t>
            </w:r>
          </w:p>
          <w:p w14:paraId="6B973183">
            <w:pPr>
              <w:keepNext w:val="0"/>
              <w:keepLines w:val="0"/>
              <w:pageBreakBefore w:val="0"/>
              <w:kinsoku/>
              <w:wordWrap/>
              <w:overflowPunct/>
              <w:topLinePunct w:val="0"/>
              <w:bidi w:val="0"/>
              <w:snapToGrid/>
              <w:spacing w:line="428" w:lineRule="exact"/>
              <w:rPr>
                <w:rFonts w:hint="eastAsia" w:ascii="宋体" w:hAnsi="宋体" w:cs="宋体"/>
                <w:color w:val="auto"/>
                <w:sz w:val="24"/>
                <w:szCs w:val="24"/>
              </w:rPr>
            </w:pPr>
            <w:r>
              <w:rPr>
                <w:rFonts w:hint="eastAsia" w:ascii="宋体" w:hAnsi="宋体" w:cs="宋体"/>
                <w:color w:val="auto"/>
                <w:sz w:val="24"/>
              </w:rPr>
              <w:t>2、</w:t>
            </w:r>
            <w:r>
              <w:rPr>
                <w:rFonts w:hint="eastAsia" w:ascii="宋体" w:hAnsi="宋体" w:cs="宋体"/>
                <w:color w:val="auto"/>
                <w:sz w:val="24"/>
                <w:szCs w:val="24"/>
                <w:lang w:val="en-US" w:eastAsia="zh-CN"/>
              </w:rPr>
              <w:t>招标</w:t>
            </w:r>
            <w:r>
              <w:rPr>
                <w:rFonts w:hint="eastAsia" w:ascii="宋体" w:hAnsi="宋体" w:cs="宋体"/>
                <w:color w:val="auto"/>
                <w:sz w:val="24"/>
                <w:szCs w:val="24"/>
              </w:rPr>
              <w:t>文件要求</w:t>
            </w:r>
            <w:r>
              <w:rPr>
                <w:rFonts w:hint="eastAsia" w:ascii="宋体" w:hAnsi="宋体" w:cs="宋体"/>
                <w:color w:val="auto"/>
                <w:sz w:val="24"/>
                <w:szCs w:val="24"/>
                <w:lang w:val="en-US" w:eastAsia="zh-CN"/>
              </w:rPr>
              <w:t>投标人</w:t>
            </w:r>
            <w:r>
              <w:rPr>
                <w:rFonts w:hint="eastAsia" w:ascii="宋体" w:hAnsi="宋体" w:cs="宋体"/>
                <w:color w:val="auto"/>
                <w:sz w:val="24"/>
                <w:szCs w:val="24"/>
              </w:rPr>
              <w:t>提供的证明材料但没有给定具体文本格式的，其格式由</w:t>
            </w:r>
            <w:r>
              <w:rPr>
                <w:rFonts w:hint="eastAsia" w:ascii="宋体" w:hAnsi="宋体" w:cs="宋体"/>
                <w:color w:val="auto"/>
                <w:sz w:val="24"/>
                <w:szCs w:val="24"/>
                <w:lang w:eastAsia="zh-CN"/>
              </w:rPr>
              <w:t>投标人</w:t>
            </w:r>
            <w:r>
              <w:rPr>
                <w:rFonts w:hint="eastAsia" w:ascii="宋体" w:hAnsi="宋体" w:cs="宋体"/>
                <w:color w:val="auto"/>
                <w:sz w:val="24"/>
                <w:szCs w:val="24"/>
              </w:rPr>
              <w:t>自拟；</w:t>
            </w:r>
          </w:p>
          <w:p w14:paraId="2674E795">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default" w:ascii="宋体" w:hAnsi="宋体" w:cs="宋体"/>
                <w:color w:val="auto"/>
                <w:sz w:val="24"/>
                <w:lang w:val="en-US" w:eastAsia="zh-CN"/>
              </w:rPr>
              <w:t>投标人在中标后可以持政府采购合同向融资机构申请贷款，投标人可在河南省政府采购网“河南省政府采购合同融资平台”获取融资渠道和方式。</w:t>
            </w:r>
          </w:p>
          <w:p w14:paraId="72AE4B5C">
            <w:pPr>
              <w:keepNext w:val="0"/>
              <w:keepLines w:val="0"/>
              <w:pageBreakBefore w:val="0"/>
              <w:kinsoku/>
              <w:wordWrap/>
              <w:overflowPunct/>
              <w:topLinePunct w:val="0"/>
              <w:bidi w:val="0"/>
              <w:snapToGrid/>
              <w:spacing w:line="428" w:lineRule="exact"/>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在符合相关法律法规的前题下，招标文件的解释权归</w:t>
            </w:r>
            <w:r>
              <w:rPr>
                <w:rFonts w:hint="eastAsia" w:ascii="宋体" w:hAnsi="宋体" w:cs="宋体"/>
                <w:color w:val="auto"/>
                <w:sz w:val="24"/>
                <w:lang w:eastAsia="zh-CN"/>
              </w:rPr>
              <w:t>采购人</w:t>
            </w:r>
            <w:r>
              <w:rPr>
                <w:rFonts w:hint="eastAsia" w:ascii="宋体" w:hAnsi="宋体" w:cs="宋体"/>
                <w:color w:val="auto"/>
                <w:sz w:val="24"/>
              </w:rPr>
              <w:t>所有。本招标文件中其他部分内容与投标人须知前附表不一致的，以投标人须知前附表为准。</w:t>
            </w:r>
          </w:p>
          <w:p w14:paraId="6A93D31E">
            <w:pPr>
              <w:keepNext w:val="0"/>
              <w:keepLines w:val="0"/>
              <w:pageBreakBefore w:val="0"/>
              <w:kinsoku/>
              <w:wordWrap/>
              <w:overflowPunct/>
              <w:topLinePunct w:val="0"/>
              <w:bidi w:val="0"/>
              <w:snapToGrid/>
              <w:spacing w:line="428" w:lineRule="exact"/>
              <w:ind w:right="-153" w:rightChars="-73"/>
              <w:jc w:val="left"/>
              <w:rPr>
                <w:rFonts w:hint="eastAsia" w:ascii="宋体" w:hAnsi="宋体" w:cs="宋体"/>
                <w:color w:val="auto"/>
                <w:sz w:val="24"/>
                <w:lang w:val="en-US" w:eastAsia="zh-CN"/>
              </w:rPr>
            </w:pPr>
            <w:r>
              <w:rPr>
                <w:rFonts w:hint="eastAsia" w:ascii="宋体" w:hAnsi="宋体" w:cs="宋体"/>
                <w:color w:val="auto"/>
                <w:sz w:val="24"/>
                <w:lang w:val="en-US" w:eastAsia="zh-CN"/>
              </w:rPr>
              <w:t>5、</w:t>
            </w:r>
            <w:r>
              <w:rPr>
                <w:rFonts w:hint="eastAsia" w:ascii="宋体" w:hAnsi="宋体" w:cs="宋体"/>
                <w:color w:val="auto"/>
                <w:sz w:val="24"/>
                <w:szCs w:val="24"/>
                <w:lang w:val="en-US" w:eastAsia="zh-CN"/>
              </w:rPr>
              <w:t>本项目属于</w:t>
            </w:r>
            <w:r>
              <w:rPr>
                <w:rFonts w:hint="eastAsia" w:ascii="宋体" w:hAnsi="宋体" w:cs="宋体"/>
                <w:color w:val="auto"/>
                <w:sz w:val="24"/>
                <w:szCs w:val="24"/>
              </w:rPr>
              <w:t>工信部《关于印发中小企业划型标准规定的通知（工信部联企业[2011]300号）》</w:t>
            </w:r>
            <w:r>
              <w:rPr>
                <w:rFonts w:hint="eastAsia" w:ascii="宋体" w:hAnsi="宋体" w:cs="宋体"/>
                <w:color w:val="auto"/>
                <w:sz w:val="24"/>
                <w:szCs w:val="24"/>
                <w:lang w:val="en-US" w:eastAsia="zh-CN"/>
              </w:rPr>
              <w:t>规定的“工业”。</w:t>
            </w:r>
          </w:p>
          <w:p w14:paraId="532B820B">
            <w:pPr>
              <w:keepNext w:val="0"/>
              <w:keepLines w:val="0"/>
              <w:pageBreakBefore w:val="0"/>
              <w:kinsoku/>
              <w:wordWrap/>
              <w:overflowPunct/>
              <w:topLinePunct w:val="0"/>
              <w:bidi w:val="0"/>
              <w:snapToGrid/>
              <w:spacing w:line="428" w:lineRule="exact"/>
              <w:ind w:right="-153" w:rightChars="-73"/>
              <w:jc w:val="left"/>
              <w:rPr>
                <w:rFonts w:ascii="宋体" w:hAnsi="宋体" w:cs="宋体"/>
                <w:color w:val="auto"/>
                <w:sz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w:t>
            </w:r>
            <w:r>
              <w:rPr>
                <w:rFonts w:hint="eastAsia" w:ascii="宋体" w:hAnsi="宋体" w:cs="宋体"/>
                <w:color w:val="auto"/>
                <w:sz w:val="24"/>
              </w:rPr>
              <w:t>本招标文件未尽事宜，执行国家、省、市相关规定。</w:t>
            </w:r>
          </w:p>
        </w:tc>
      </w:tr>
    </w:tbl>
    <w:p w14:paraId="729D4D79">
      <w:pPr>
        <w:spacing w:line="348" w:lineRule="auto"/>
        <w:rPr>
          <w:color w:val="auto"/>
        </w:rPr>
      </w:pPr>
      <w:bookmarkStart w:id="13" w:name="_Toc466759704"/>
      <w:bookmarkStart w:id="14" w:name="_Toc454525914"/>
      <w:bookmarkStart w:id="15" w:name="_Toc452908014"/>
      <w:bookmarkStart w:id="16" w:name="_Toc452907944"/>
    </w:p>
    <w:p w14:paraId="4B25B5C2">
      <w:pPr>
        <w:spacing w:line="348" w:lineRule="auto"/>
        <w:rPr>
          <w:color w:val="auto"/>
        </w:rPr>
      </w:pPr>
    </w:p>
    <w:p w14:paraId="38BF27C5">
      <w:pPr>
        <w:spacing w:line="348" w:lineRule="auto"/>
        <w:rPr>
          <w:color w:val="auto"/>
        </w:rPr>
      </w:pPr>
    </w:p>
    <w:bookmarkEnd w:id="13"/>
    <w:p w14:paraId="29A77A67">
      <w:pPr>
        <w:pStyle w:val="4"/>
        <w:rPr>
          <w:rFonts w:hint="default" w:eastAsia="宋体"/>
          <w:color w:val="auto"/>
          <w:lang w:val="en-US" w:eastAsia="zh-CN"/>
        </w:rPr>
      </w:pPr>
      <w:bookmarkStart w:id="17" w:name="_Toc466759705"/>
      <w:r>
        <w:rPr>
          <w:rFonts w:hint="eastAsia"/>
          <w:color w:val="auto"/>
          <w:lang w:val="en-US" w:eastAsia="zh-CN"/>
        </w:rPr>
        <w:t>1.总则</w:t>
      </w:r>
    </w:p>
    <w:p w14:paraId="375EE24D">
      <w:pPr>
        <w:pStyle w:val="4"/>
        <w:rPr>
          <w:color w:val="auto"/>
        </w:rPr>
      </w:pPr>
      <w:r>
        <w:rPr>
          <w:rFonts w:hint="eastAsia"/>
          <w:color w:val="auto"/>
        </w:rPr>
        <w:t>1.1 招标项目概况</w:t>
      </w:r>
      <w:bookmarkEnd w:id="17"/>
    </w:p>
    <w:p w14:paraId="6070D22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1.1.1根据《中华人民共和国招标投标法》及其实施条例、《政府采购货物和服务招标投标管理办法》等有关法律、法规和规章的规定，本招标项目已具备招标条件，现进行招标。</w:t>
      </w:r>
    </w:p>
    <w:p w14:paraId="2FFA7A3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1.1.2 </w:t>
      </w:r>
      <w:r>
        <w:rPr>
          <w:rFonts w:hint="eastAsia" w:ascii="宋体" w:hAnsi="宋体" w:cs="宋体"/>
          <w:color w:val="auto"/>
          <w:sz w:val="24"/>
          <w:szCs w:val="24"/>
          <w:lang w:eastAsia="zh-CN"/>
        </w:rPr>
        <w:t>采购人</w:t>
      </w:r>
      <w:r>
        <w:rPr>
          <w:rFonts w:hint="eastAsia" w:ascii="宋体" w:hAnsi="宋体" w:cs="宋体"/>
          <w:color w:val="auto"/>
          <w:sz w:val="24"/>
          <w:szCs w:val="24"/>
        </w:rPr>
        <w:t>：见投标人须知前附表。</w:t>
      </w:r>
    </w:p>
    <w:p w14:paraId="7FD63AA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1.1.3 招标代理机构：见投标人须知前附表。</w:t>
      </w:r>
    </w:p>
    <w:p w14:paraId="02E87AF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1.1.4 项目名称：见投标人须知前附表。</w:t>
      </w:r>
    </w:p>
    <w:p w14:paraId="71410783">
      <w:pPr>
        <w:pStyle w:val="113"/>
        <w:ind w:firstLine="480"/>
        <w:rPr>
          <w:color w:val="auto"/>
        </w:rPr>
      </w:pPr>
      <w:r>
        <w:rPr>
          <w:rFonts w:hint="eastAsia" w:hAnsi="宋体" w:cs="宋体"/>
          <w:color w:val="auto"/>
          <w:szCs w:val="24"/>
        </w:rPr>
        <w:t>1.1.5 项目概况：见投标人须知前附表</w:t>
      </w:r>
    </w:p>
    <w:p w14:paraId="293A97B5">
      <w:pPr>
        <w:pStyle w:val="4"/>
        <w:spacing w:line="360" w:lineRule="auto"/>
        <w:ind w:firstLine="137"/>
        <w:rPr>
          <w:rFonts w:ascii="宋体" w:hAnsi="宋体" w:cs="宋体"/>
          <w:color w:val="auto"/>
          <w:szCs w:val="24"/>
        </w:rPr>
      </w:pPr>
      <w:bookmarkStart w:id="18" w:name="_Toc466759706"/>
      <w:r>
        <w:rPr>
          <w:rFonts w:hint="eastAsia" w:ascii="宋体" w:hAnsi="宋体" w:cs="宋体"/>
          <w:color w:val="auto"/>
          <w:szCs w:val="24"/>
        </w:rPr>
        <w:t>1.2 招标项目的资金来源和落实情况</w:t>
      </w:r>
      <w:bookmarkEnd w:id="18"/>
    </w:p>
    <w:p w14:paraId="53C15BE0">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1.2.1 资金来源：见投标人须知前附表。</w:t>
      </w:r>
    </w:p>
    <w:p w14:paraId="1E56AF3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1.2.2 资金落实情况：见投标人须知前附表。</w:t>
      </w:r>
    </w:p>
    <w:p w14:paraId="7F5B73EB">
      <w:pPr>
        <w:pStyle w:val="4"/>
        <w:spacing w:line="360" w:lineRule="auto"/>
        <w:ind w:firstLine="137"/>
        <w:rPr>
          <w:rFonts w:hint="default" w:ascii="宋体" w:hAnsi="宋体" w:eastAsia="宋体" w:cs="宋体"/>
          <w:color w:val="auto"/>
          <w:szCs w:val="24"/>
          <w:lang w:val="en-US" w:eastAsia="zh-CN"/>
        </w:rPr>
      </w:pPr>
      <w:bookmarkStart w:id="19" w:name="_Toc466759707"/>
      <w:r>
        <w:rPr>
          <w:rFonts w:hint="eastAsia" w:ascii="宋体" w:hAnsi="宋体" w:cs="宋体"/>
          <w:color w:val="auto"/>
          <w:szCs w:val="24"/>
        </w:rPr>
        <w:t>1.3 招标范围、交货期限</w:t>
      </w:r>
      <w:r>
        <w:rPr>
          <w:rFonts w:hint="eastAsia" w:ascii="宋体" w:hAnsi="宋体" w:cs="宋体"/>
          <w:color w:val="auto"/>
          <w:szCs w:val="24"/>
          <w:lang w:eastAsia="zh-CN"/>
        </w:rPr>
        <w:t>、</w:t>
      </w:r>
      <w:r>
        <w:rPr>
          <w:rFonts w:hint="eastAsia" w:ascii="宋体" w:hAnsi="宋体" w:cs="宋体"/>
          <w:color w:val="auto"/>
          <w:szCs w:val="24"/>
        </w:rPr>
        <w:t>质量标准</w:t>
      </w:r>
      <w:bookmarkEnd w:id="19"/>
      <w:r>
        <w:rPr>
          <w:rFonts w:hint="eastAsia" w:ascii="宋体" w:hAnsi="宋体" w:cs="宋体"/>
          <w:color w:val="auto"/>
          <w:szCs w:val="24"/>
          <w:lang w:val="en-US" w:eastAsia="zh-CN"/>
        </w:rPr>
        <w:t>和质保期</w:t>
      </w:r>
    </w:p>
    <w:p w14:paraId="7B326730">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1.3.1 招标范围：见投标人须知前附表。</w:t>
      </w:r>
    </w:p>
    <w:p w14:paraId="68F22D0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1.3.2 交货期限：见投标人须知前附表。</w:t>
      </w:r>
    </w:p>
    <w:p w14:paraId="177DED0C">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1.3.3 质量标准：见投标人须知前附表。</w:t>
      </w:r>
    </w:p>
    <w:p w14:paraId="7223BF93">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1.3.4 质保期：见投标人须知前附表。</w:t>
      </w:r>
    </w:p>
    <w:p w14:paraId="0D0771D6">
      <w:pPr>
        <w:pStyle w:val="4"/>
        <w:spacing w:line="360" w:lineRule="auto"/>
        <w:ind w:firstLine="137"/>
        <w:rPr>
          <w:rFonts w:ascii="宋体" w:hAnsi="宋体" w:cs="宋体"/>
          <w:color w:val="auto"/>
          <w:szCs w:val="24"/>
        </w:rPr>
      </w:pPr>
      <w:bookmarkStart w:id="20" w:name="_Toc466759708"/>
      <w:r>
        <w:rPr>
          <w:rFonts w:hint="eastAsia" w:ascii="宋体" w:hAnsi="宋体" w:cs="宋体"/>
          <w:color w:val="auto"/>
          <w:szCs w:val="24"/>
        </w:rPr>
        <w:t>1.4 投标人资格</w:t>
      </w:r>
      <w:bookmarkEnd w:id="20"/>
      <w:r>
        <w:rPr>
          <w:rFonts w:hint="eastAsia" w:ascii="宋体" w:hAnsi="宋体" w:cs="宋体"/>
          <w:color w:val="auto"/>
          <w:szCs w:val="24"/>
        </w:rPr>
        <w:t>条件</w:t>
      </w:r>
    </w:p>
    <w:p w14:paraId="49A9996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1.4.1 投标人应具备的资质条件见投标人须知前附表；</w:t>
      </w:r>
    </w:p>
    <w:p w14:paraId="1B65941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1.4.2 本项目不接受联合体投标；</w:t>
      </w:r>
    </w:p>
    <w:p w14:paraId="065C6E30">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1.4.3投标人不得存在下列情形之一：</w:t>
      </w:r>
    </w:p>
    <w:p w14:paraId="5E3A2617">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（1）与</w:t>
      </w:r>
      <w:r>
        <w:rPr>
          <w:rFonts w:hint="eastAsia" w:ascii="宋体" w:hAnsi="宋体" w:cs="宋体"/>
          <w:color w:val="auto"/>
          <w:sz w:val="24"/>
          <w:szCs w:val="24"/>
          <w:lang w:eastAsia="zh-CN"/>
        </w:rPr>
        <w:t>采购人</w:t>
      </w:r>
      <w:r>
        <w:rPr>
          <w:rFonts w:hint="eastAsia" w:ascii="宋体" w:hAnsi="宋体" w:cs="宋体"/>
          <w:color w:val="auto"/>
          <w:sz w:val="24"/>
          <w:szCs w:val="24"/>
        </w:rPr>
        <w:t>存在利害关系可能影响招标公正性；</w:t>
      </w:r>
    </w:p>
    <w:p w14:paraId="47A9B8EC">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（2）法定代表人（单位负责人）为同一人或者存在控股、管理关系的不同法人或其他组织同时参加投标；</w:t>
      </w:r>
    </w:p>
    <w:p w14:paraId="403C9F3F">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）为本招标项目的招标代理机构，或者由本招标项目的招标代理机构代理投标，或者接受过本招标项目的招标代理机构为本招标项目提供的咨询；</w:t>
      </w:r>
    </w:p>
    <w:p w14:paraId="6D9760F9">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）为本项目的相关监理人，或者与本项目的相关监理人存在隶属关系或者其他利害关系；</w:t>
      </w:r>
    </w:p>
    <w:p w14:paraId="093B2AD9">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）为本招标项目提供过设计、编制技术规范和其他文件的咨询服务，或者接受为本招标项目提供过设计、编制技术规范和其他文件的咨询服务的单位为本招标项目编制投标文件或提供咨询服务；</w:t>
      </w:r>
    </w:p>
    <w:p w14:paraId="2241FF44">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6</w:t>
      </w:r>
      <w:r>
        <w:rPr>
          <w:rFonts w:hint="eastAsia" w:ascii="宋体" w:hAnsi="宋体" w:cs="宋体"/>
          <w:color w:val="auto"/>
          <w:sz w:val="24"/>
          <w:szCs w:val="24"/>
        </w:rPr>
        <w:t xml:space="preserve">）被依法暂停或者取消投标资格； </w:t>
      </w:r>
    </w:p>
    <w:p w14:paraId="3AB4C07E">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7</w:t>
      </w:r>
      <w:r>
        <w:rPr>
          <w:rFonts w:hint="eastAsia" w:ascii="宋体" w:hAnsi="宋体" w:cs="宋体"/>
          <w:color w:val="auto"/>
          <w:sz w:val="24"/>
          <w:szCs w:val="24"/>
        </w:rPr>
        <w:t>）被责令停产停业、暂扣或者吊销许可证、暂扣或者吊销执照；</w:t>
      </w:r>
    </w:p>
    <w:p w14:paraId="3B41A986">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8</w:t>
      </w:r>
      <w:r>
        <w:rPr>
          <w:rFonts w:hint="eastAsia" w:ascii="宋体" w:hAnsi="宋体" w:cs="宋体"/>
          <w:color w:val="auto"/>
          <w:sz w:val="24"/>
          <w:szCs w:val="24"/>
        </w:rPr>
        <w:t>）进入清算程序，或被宣告破产，或其他丧失履约能力的情形；</w:t>
      </w:r>
    </w:p>
    <w:p w14:paraId="4DF201C8">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9</w:t>
      </w:r>
      <w:r>
        <w:rPr>
          <w:rFonts w:hint="eastAsia" w:ascii="宋体" w:hAnsi="宋体" w:cs="宋体"/>
          <w:color w:val="auto"/>
          <w:sz w:val="24"/>
          <w:szCs w:val="24"/>
        </w:rPr>
        <w:t>）在最近三年内发生重大产品质量问题；</w:t>
      </w:r>
    </w:p>
    <w:p w14:paraId="16DA9AD8">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0</w:t>
      </w:r>
      <w:r>
        <w:rPr>
          <w:rFonts w:hint="eastAsia" w:ascii="宋体" w:hAnsi="宋体" w:cs="宋体"/>
          <w:color w:val="auto"/>
          <w:sz w:val="24"/>
          <w:szCs w:val="24"/>
        </w:rPr>
        <w:t>）法律法规或投标人须知前附表规定的其他情形。</w:t>
      </w:r>
    </w:p>
    <w:p w14:paraId="24DDD04F">
      <w:pPr>
        <w:pStyle w:val="4"/>
        <w:spacing w:line="360" w:lineRule="auto"/>
        <w:ind w:firstLine="137"/>
        <w:rPr>
          <w:rFonts w:ascii="宋体" w:hAnsi="宋体" w:cs="宋体"/>
          <w:color w:val="auto"/>
          <w:szCs w:val="24"/>
        </w:rPr>
      </w:pPr>
      <w:bookmarkStart w:id="21" w:name="_Toc466759709"/>
      <w:r>
        <w:rPr>
          <w:rFonts w:hint="eastAsia" w:ascii="宋体" w:hAnsi="宋体" w:cs="宋体"/>
          <w:color w:val="auto"/>
          <w:szCs w:val="24"/>
        </w:rPr>
        <w:t>1.5 费用承担</w:t>
      </w:r>
      <w:bookmarkEnd w:id="21"/>
    </w:p>
    <w:p w14:paraId="6880DF5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投标人准备和参加投标活动发生的费用自理。</w:t>
      </w:r>
    </w:p>
    <w:p w14:paraId="465852D1">
      <w:pPr>
        <w:pStyle w:val="4"/>
        <w:spacing w:line="360" w:lineRule="auto"/>
        <w:ind w:firstLine="137"/>
        <w:rPr>
          <w:rFonts w:ascii="宋体" w:hAnsi="宋体" w:cs="宋体"/>
          <w:color w:val="auto"/>
          <w:szCs w:val="24"/>
        </w:rPr>
      </w:pPr>
      <w:bookmarkStart w:id="22" w:name="_Toc466759710"/>
      <w:r>
        <w:rPr>
          <w:rFonts w:hint="eastAsia" w:ascii="宋体" w:hAnsi="宋体" w:cs="宋体"/>
          <w:color w:val="auto"/>
          <w:szCs w:val="24"/>
        </w:rPr>
        <w:t>1.6 保密</w:t>
      </w:r>
      <w:bookmarkEnd w:id="22"/>
    </w:p>
    <w:p w14:paraId="3381D09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参与招标投标活动的各方应对招标文件和投标文件中</w:t>
      </w:r>
      <w:bookmarkStart w:id="23" w:name="_Toc369531519"/>
      <w:bookmarkStart w:id="24" w:name="_Toc361508589"/>
      <w:bookmarkStart w:id="25" w:name="_Toc5326"/>
      <w:bookmarkStart w:id="26" w:name="_Toc384308214"/>
      <w:bookmarkStart w:id="27" w:name="_Toc352691477"/>
      <w:r>
        <w:rPr>
          <w:rFonts w:hint="eastAsia" w:ascii="宋体" w:hAnsi="宋体" w:cs="宋体"/>
          <w:color w:val="auto"/>
          <w:sz w:val="24"/>
          <w:szCs w:val="24"/>
        </w:rPr>
        <w:t>的商业和技术等秘密保密</w:t>
      </w:r>
      <w:bookmarkEnd w:id="23"/>
      <w:bookmarkEnd w:id="24"/>
      <w:bookmarkEnd w:id="25"/>
      <w:bookmarkEnd w:id="26"/>
      <w:bookmarkEnd w:id="27"/>
      <w:r>
        <w:rPr>
          <w:rFonts w:hint="eastAsia" w:ascii="宋体" w:hAnsi="宋体" w:cs="宋体"/>
          <w:color w:val="auto"/>
          <w:sz w:val="24"/>
          <w:szCs w:val="24"/>
        </w:rPr>
        <w:t>，否则应承担相应的法律责任。</w:t>
      </w:r>
    </w:p>
    <w:p w14:paraId="6DACB816">
      <w:pPr>
        <w:pStyle w:val="4"/>
        <w:spacing w:line="360" w:lineRule="auto"/>
        <w:ind w:firstLine="137"/>
        <w:rPr>
          <w:rFonts w:ascii="宋体" w:hAnsi="宋体" w:cs="宋体"/>
          <w:color w:val="auto"/>
          <w:szCs w:val="24"/>
        </w:rPr>
      </w:pPr>
      <w:bookmarkStart w:id="28" w:name="_Toc466759711"/>
      <w:r>
        <w:rPr>
          <w:rFonts w:hint="eastAsia" w:ascii="宋体" w:hAnsi="宋体" w:cs="宋体"/>
          <w:color w:val="auto"/>
          <w:szCs w:val="24"/>
        </w:rPr>
        <w:t>1.7 语言文字</w:t>
      </w:r>
      <w:bookmarkEnd w:id="28"/>
    </w:p>
    <w:p w14:paraId="4564B31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招标投标文件使用的语言文字为中文。专用术语使用外文的，应附有中文注释。</w:t>
      </w:r>
    </w:p>
    <w:p w14:paraId="5BD5FEB9">
      <w:pPr>
        <w:pStyle w:val="4"/>
        <w:spacing w:line="360" w:lineRule="auto"/>
        <w:ind w:firstLine="137"/>
        <w:rPr>
          <w:rFonts w:ascii="宋体" w:hAnsi="宋体" w:cs="宋体"/>
          <w:color w:val="auto"/>
          <w:szCs w:val="24"/>
        </w:rPr>
      </w:pPr>
      <w:bookmarkStart w:id="29" w:name="_Toc466759712"/>
      <w:r>
        <w:rPr>
          <w:rFonts w:hint="eastAsia" w:ascii="宋体" w:hAnsi="宋体" w:cs="宋体"/>
          <w:color w:val="auto"/>
          <w:szCs w:val="24"/>
        </w:rPr>
        <w:t>1.8计量单位</w:t>
      </w:r>
      <w:bookmarkEnd w:id="29"/>
    </w:p>
    <w:p w14:paraId="527E42A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所有计量均采用中华人民共和国法定计量单位。</w:t>
      </w:r>
    </w:p>
    <w:p w14:paraId="71A1BA1C">
      <w:pPr>
        <w:pStyle w:val="4"/>
        <w:spacing w:line="360" w:lineRule="auto"/>
        <w:ind w:firstLine="137"/>
        <w:rPr>
          <w:rFonts w:ascii="宋体" w:hAnsi="宋体" w:cs="宋体"/>
          <w:color w:val="auto"/>
          <w:szCs w:val="24"/>
        </w:rPr>
      </w:pPr>
      <w:bookmarkStart w:id="30" w:name="_Toc466759713"/>
      <w:r>
        <w:rPr>
          <w:rFonts w:hint="eastAsia" w:ascii="宋体" w:hAnsi="宋体" w:cs="宋体"/>
          <w:color w:val="auto"/>
          <w:szCs w:val="24"/>
        </w:rPr>
        <w:t>1.9 踏勘现场</w:t>
      </w:r>
    </w:p>
    <w:p w14:paraId="42BA5F2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1.9.1 本项目不统一组织踏勘现场。投标人自行踏勘现场的，所发生的费用自理。</w:t>
      </w:r>
    </w:p>
    <w:p w14:paraId="3CFD606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1.9.2除</w:t>
      </w:r>
      <w:r>
        <w:rPr>
          <w:rFonts w:hint="eastAsia" w:ascii="宋体" w:hAnsi="宋体" w:cs="宋体"/>
          <w:color w:val="auto"/>
          <w:sz w:val="24"/>
          <w:szCs w:val="24"/>
          <w:lang w:eastAsia="zh-CN"/>
        </w:rPr>
        <w:t>采购人</w:t>
      </w:r>
      <w:r>
        <w:rPr>
          <w:rFonts w:hint="eastAsia" w:ascii="宋体" w:hAnsi="宋体" w:cs="宋体"/>
          <w:color w:val="auto"/>
          <w:sz w:val="24"/>
          <w:szCs w:val="24"/>
        </w:rPr>
        <w:t>的原因外，投标人自行承担在踏勘现场中所发生的人员伤亡和财产损失。</w:t>
      </w:r>
    </w:p>
    <w:p w14:paraId="0304AA92">
      <w:pPr>
        <w:pStyle w:val="4"/>
        <w:spacing w:line="360" w:lineRule="auto"/>
        <w:ind w:firstLine="137"/>
        <w:rPr>
          <w:rFonts w:ascii="宋体" w:hAnsi="宋体" w:cs="宋体"/>
          <w:color w:val="auto"/>
          <w:szCs w:val="24"/>
        </w:rPr>
      </w:pPr>
      <w:r>
        <w:rPr>
          <w:rFonts w:hint="eastAsia" w:ascii="宋体" w:hAnsi="宋体" w:cs="宋体"/>
          <w:color w:val="auto"/>
          <w:szCs w:val="24"/>
        </w:rPr>
        <w:t>1.10 投标预备会</w:t>
      </w:r>
      <w:bookmarkEnd w:id="30"/>
    </w:p>
    <w:p w14:paraId="1A27EB9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1.10.1 本项目不召开投标预备会，投标人如有疑问，应通过交易系统提出问题，</w:t>
      </w:r>
      <w:r>
        <w:rPr>
          <w:rFonts w:hint="eastAsia" w:ascii="宋体" w:hAnsi="宋体" w:cs="宋体"/>
          <w:color w:val="auto"/>
          <w:sz w:val="24"/>
          <w:szCs w:val="24"/>
          <w:lang w:eastAsia="zh-CN"/>
        </w:rPr>
        <w:t>采购人</w:t>
      </w:r>
      <w:r>
        <w:rPr>
          <w:rFonts w:hint="eastAsia" w:ascii="宋体" w:hAnsi="宋体" w:cs="宋体"/>
          <w:color w:val="auto"/>
          <w:sz w:val="24"/>
          <w:szCs w:val="24"/>
        </w:rPr>
        <w:t>通过发布公告的形式通知所有潜在投标人。该部分内容为招标文件的组成部分。</w:t>
      </w:r>
    </w:p>
    <w:p w14:paraId="33712648">
      <w:pPr>
        <w:pStyle w:val="4"/>
        <w:spacing w:line="360" w:lineRule="auto"/>
        <w:ind w:firstLine="137"/>
        <w:rPr>
          <w:rFonts w:ascii="宋体" w:hAnsi="宋体" w:cs="宋体"/>
          <w:color w:val="auto"/>
          <w:szCs w:val="24"/>
        </w:rPr>
      </w:pPr>
      <w:bookmarkStart w:id="31" w:name="_Toc466759714"/>
      <w:r>
        <w:rPr>
          <w:rFonts w:hint="eastAsia" w:ascii="宋体" w:hAnsi="宋体" w:cs="宋体"/>
          <w:color w:val="auto"/>
          <w:szCs w:val="24"/>
        </w:rPr>
        <w:t>1.11 分包</w:t>
      </w:r>
    </w:p>
    <w:p w14:paraId="65C6D04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本项目不允许分包。</w:t>
      </w:r>
    </w:p>
    <w:bookmarkEnd w:id="31"/>
    <w:p w14:paraId="77F1E6AC">
      <w:pPr>
        <w:pStyle w:val="4"/>
        <w:rPr>
          <w:color w:val="auto"/>
        </w:rPr>
      </w:pPr>
      <w:bookmarkStart w:id="32" w:name="_Toc466759715"/>
      <w:r>
        <w:rPr>
          <w:rFonts w:hint="eastAsia"/>
          <w:color w:val="auto"/>
        </w:rPr>
        <w:t>2. 招标文件</w:t>
      </w:r>
      <w:bookmarkEnd w:id="32"/>
    </w:p>
    <w:p w14:paraId="02E4FD2C">
      <w:pPr>
        <w:pStyle w:val="4"/>
        <w:spacing w:line="360" w:lineRule="auto"/>
        <w:ind w:firstLine="137"/>
        <w:rPr>
          <w:rFonts w:ascii="宋体" w:hAnsi="宋体" w:cs="宋体"/>
          <w:color w:val="auto"/>
          <w:szCs w:val="24"/>
        </w:rPr>
      </w:pPr>
      <w:bookmarkStart w:id="33" w:name="_Toc466759716"/>
      <w:r>
        <w:rPr>
          <w:rFonts w:hint="eastAsia" w:ascii="宋体" w:hAnsi="宋体" w:cs="宋体"/>
          <w:color w:val="auto"/>
          <w:szCs w:val="24"/>
        </w:rPr>
        <w:t>2.1 招标文件的组成</w:t>
      </w:r>
      <w:bookmarkEnd w:id="33"/>
    </w:p>
    <w:p w14:paraId="5E882FC5">
      <w:pPr>
        <w:spacing w:line="360" w:lineRule="auto"/>
        <w:rPr>
          <w:rFonts w:ascii="宋体" w:hAnsi="宋体" w:cs="宋体"/>
          <w:color w:val="auto"/>
          <w:sz w:val="24"/>
          <w:szCs w:val="24"/>
        </w:rPr>
      </w:pPr>
      <w:r>
        <w:rPr>
          <w:rFonts w:hint="eastAsia" w:ascii="宋体" w:hAnsi="宋体" w:cs="宋体"/>
          <w:color w:val="auto"/>
          <w:sz w:val="24"/>
          <w:szCs w:val="24"/>
        </w:rPr>
        <w:t>　　本招标文件包括：</w:t>
      </w:r>
    </w:p>
    <w:p w14:paraId="160FB381">
      <w:pPr>
        <w:spacing w:line="360" w:lineRule="auto"/>
        <w:ind w:firstLine="410" w:firstLineChars="171"/>
        <w:rPr>
          <w:rFonts w:ascii="宋体" w:hAnsi="宋体" w:cs="宋体"/>
          <w:color w:val="auto"/>
          <w:sz w:val="24"/>
          <w:szCs w:val="24"/>
        </w:rPr>
      </w:pPr>
      <w:r>
        <w:rPr>
          <w:rFonts w:hint="eastAsia" w:ascii="宋体" w:hAnsi="宋体" w:cs="宋体"/>
          <w:color w:val="auto"/>
          <w:sz w:val="24"/>
          <w:szCs w:val="24"/>
        </w:rPr>
        <w:t>（1）招标公告；</w:t>
      </w:r>
    </w:p>
    <w:p w14:paraId="01BF3979">
      <w:pPr>
        <w:spacing w:line="360" w:lineRule="auto"/>
        <w:ind w:firstLine="410" w:firstLineChars="171"/>
        <w:rPr>
          <w:rFonts w:ascii="宋体" w:hAnsi="宋体" w:cs="宋体"/>
          <w:color w:val="auto"/>
          <w:sz w:val="24"/>
          <w:szCs w:val="24"/>
        </w:rPr>
      </w:pPr>
      <w:r>
        <w:rPr>
          <w:rFonts w:hint="eastAsia" w:ascii="宋体" w:hAnsi="宋体" w:cs="宋体"/>
          <w:color w:val="auto"/>
          <w:sz w:val="24"/>
          <w:szCs w:val="24"/>
        </w:rPr>
        <w:t>（2）投标人须知；</w:t>
      </w:r>
    </w:p>
    <w:p w14:paraId="4D4BC654">
      <w:pPr>
        <w:spacing w:line="360" w:lineRule="auto"/>
        <w:ind w:firstLine="410" w:firstLineChars="171"/>
        <w:rPr>
          <w:rFonts w:ascii="宋体" w:hAnsi="宋体" w:cs="宋体"/>
          <w:color w:val="auto"/>
          <w:sz w:val="24"/>
          <w:szCs w:val="24"/>
        </w:rPr>
      </w:pPr>
      <w:r>
        <w:rPr>
          <w:rFonts w:hint="eastAsia" w:ascii="宋体" w:hAnsi="宋体" w:cs="宋体"/>
          <w:color w:val="auto"/>
          <w:sz w:val="24"/>
          <w:szCs w:val="24"/>
        </w:rPr>
        <w:t>（3）评标办法；</w:t>
      </w:r>
    </w:p>
    <w:p w14:paraId="58B37DF6">
      <w:pPr>
        <w:spacing w:line="360" w:lineRule="auto"/>
        <w:ind w:firstLine="410" w:firstLineChars="171"/>
        <w:rPr>
          <w:rFonts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lang w:eastAsia="zh-CN"/>
        </w:rPr>
        <w:t>采购清单及参数要求</w:t>
      </w:r>
      <w:r>
        <w:rPr>
          <w:rFonts w:hint="eastAsia" w:ascii="宋体" w:hAnsi="宋体" w:cs="宋体"/>
          <w:color w:val="auto"/>
          <w:sz w:val="24"/>
          <w:szCs w:val="24"/>
        </w:rPr>
        <w:t>；</w:t>
      </w:r>
    </w:p>
    <w:p w14:paraId="7B456FE6">
      <w:pPr>
        <w:spacing w:line="360" w:lineRule="auto"/>
        <w:ind w:firstLine="410" w:firstLineChars="171"/>
        <w:rPr>
          <w:rFonts w:ascii="宋体" w:hAnsi="宋体" w:cs="宋体"/>
          <w:color w:val="auto"/>
          <w:sz w:val="24"/>
          <w:szCs w:val="24"/>
        </w:rPr>
      </w:pPr>
      <w:r>
        <w:rPr>
          <w:rFonts w:hint="eastAsia" w:ascii="宋体" w:hAnsi="宋体" w:cs="宋体"/>
          <w:color w:val="auto"/>
          <w:sz w:val="24"/>
          <w:szCs w:val="24"/>
        </w:rPr>
        <w:t>（5）合同条款及格式；</w:t>
      </w:r>
    </w:p>
    <w:p w14:paraId="17E2F161">
      <w:pPr>
        <w:spacing w:line="360" w:lineRule="auto"/>
        <w:ind w:firstLine="410" w:firstLineChars="171"/>
        <w:rPr>
          <w:rFonts w:ascii="宋体" w:hAnsi="宋体" w:cs="宋体"/>
          <w:color w:val="auto"/>
          <w:sz w:val="24"/>
          <w:szCs w:val="24"/>
        </w:rPr>
      </w:pPr>
      <w:r>
        <w:rPr>
          <w:rFonts w:hint="eastAsia" w:ascii="宋体" w:hAnsi="宋体" w:cs="宋体"/>
          <w:color w:val="auto"/>
          <w:sz w:val="24"/>
          <w:szCs w:val="24"/>
        </w:rPr>
        <w:t>（6）投标文件格式；</w:t>
      </w:r>
    </w:p>
    <w:p w14:paraId="1511B6C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根据本章第1.10款、第2.2款和第2.3款对招标文件所作的澄清、修改，构成招标文件的组成部分。</w:t>
      </w:r>
    </w:p>
    <w:p w14:paraId="3746F955">
      <w:pPr>
        <w:pStyle w:val="4"/>
        <w:spacing w:line="360" w:lineRule="auto"/>
        <w:ind w:firstLine="137"/>
        <w:rPr>
          <w:rFonts w:ascii="宋体" w:hAnsi="宋体" w:cs="宋体"/>
          <w:color w:val="auto"/>
          <w:szCs w:val="24"/>
        </w:rPr>
      </w:pPr>
      <w:bookmarkStart w:id="34" w:name="_Toc466759717"/>
      <w:r>
        <w:rPr>
          <w:rFonts w:hint="eastAsia" w:ascii="宋体" w:hAnsi="宋体" w:cs="宋体"/>
          <w:color w:val="auto"/>
          <w:szCs w:val="24"/>
        </w:rPr>
        <w:t>2.2 招标文件的澄清</w:t>
      </w:r>
      <w:bookmarkEnd w:id="34"/>
    </w:p>
    <w:p w14:paraId="50F02AA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2.2.1 投标人应仔细阅读和检查招标文件的全部内容。如发现缺页或附件不全，应当及时向</w:t>
      </w:r>
      <w:r>
        <w:rPr>
          <w:rFonts w:hint="eastAsia" w:ascii="宋体" w:hAnsi="宋体" w:cs="宋体"/>
          <w:color w:val="auto"/>
          <w:sz w:val="24"/>
          <w:szCs w:val="24"/>
          <w:lang w:eastAsia="zh-CN"/>
        </w:rPr>
        <w:t>采购人</w:t>
      </w:r>
      <w:r>
        <w:rPr>
          <w:rFonts w:hint="eastAsia" w:ascii="宋体" w:hAnsi="宋体" w:cs="宋体"/>
          <w:color w:val="auto"/>
          <w:sz w:val="24"/>
          <w:szCs w:val="24"/>
        </w:rPr>
        <w:t>提出，以便补齐。如有疑问，应在投标截止时间1</w:t>
      </w:r>
      <w:r>
        <w:rPr>
          <w:rFonts w:hint="eastAsia" w:ascii="宋体" w:hAnsi="宋体" w:cs="宋体"/>
          <w:color w:val="auto"/>
          <w:sz w:val="24"/>
          <w:szCs w:val="24"/>
          <w:lang w:val="en-US" w:eastAsia="zh-CN"/>
        </w:rPr>
        <w:t>0</w:t>
      </w:r>
      <w:r>
        <w:rPr>
          <w:rFonts w:hint="eastAsia" w:ascii="宋体" w:hAnsi="宋体" w:cs="宋体"/>
          <w:color w:val="auto"/>
          <w:sz w:val="24"/>
          <w:szCs w:val="24"/>
        </w:rPr>
        <w:t>日前在电子交易系统中向</w:t>
      </w:r>
      <w:r>
        <w:rPr>
          <w:rFonts w:hint="eastAsia" w:ascii="宋体" w:hAnsi="宋体" w:cs="宋体"/>
          <w:color w:val="auto"/>
          <w:sz w:val="24"/>
          <w:szCs w:val="24"/>
          <w:lang w:eastAsia="zh-CN"/>
        </w:rPr>
        <w:t>采购人</w:t>
      </w:r>
      <w:r>
        <w:rPr>
          <w:rFonts w:hint="eastAsia" w:ascii="宋体" w:hAnsi="宋体" w:cs="宋体"/>
          <w:color w:val="auto"/>
          <w:sz w:val="24"/>
          <w:szCs w:val="24"/>
        </w:rPr>
        <w:t>提出，要求</w:t>
      </w:r>
      <w:r>
        <w:rPr>
          <w:rFonts w:hint="eastAsia" w:ascii="宋体" w:hAnsi="宋体" w:cs="宋体"/>
          <w:color w:val="auto"/>
          <w:sz w:val="24"/>
          <w:szCs w:val="24"/>
          <w:lang w:eastAsia="zh-CN"/>
        </w:rPr>
        <w:t>采购人</w:t>
      </w:r>
      <w:r>
        <w:rPr>
          <w:rFonts w:hint="eastAsia" w:ascii="宋体" w:hAnsi="宋体" w:cs="宋体"/>
          <w:color w:val="auto"/>
          <w:sz w:val="24"/>
          <w:szCs w:val="24"/>
        </w:rPr>
        <w:t>对招标文件予以澄清。</w:t>
      </w:r>
      <w:r>
        <w:rPr>
          <w:rFonts w:hint="eastAsia" w:ascii="宋体" w:hAnsi="宋体" w:cs="宋体"/>
          <w:color w:val="auto"/>
          <w:sz w:val="24"/>
        </w:rPr>
        <w:t>否则，将视为对本招标文件要求无任何异议。</w:t>
      </w:r>
    </w:p>
    <w:p w14:paraId="186634E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2.2.2招标文件的</w:t>
      </w:r>
      <w:r>
        <w:rPr>
          <w:rFonts w:hint="eastAsia" w:ascii="宋体" w:hAnsi="宋体" w:cs="宋体"/>
          <w:color w:val="auto"/>
          <w:sz w:val="24"/>
        </w:rPr>
        <w:t>澄清将在投标人须知前附表规定的投标截止时间前在电子交易系统中以澄清公告的形式告知所有潜在投标人，但不指明澄清问题的来源</w:t>
      </w:r>
      <w:r>
        <w:rPr>
          <w:rFonts w:hint="eastAsia" w:ascii="宋体" w:hAnsi="宋体" w:cs="宋体"/>
          <w:color w:val="auto"/>
          <w:sz w:val="24"/>
          <w:szCs w:val="24"/>
        </w:rPr>
        <w:t>。澄清发出的时间距投标截止时间不足15日的，并且澄清内容可能影响投标文件编制的，将相应延长投标截止时间。</w:t>
      </w:r>
    </w:p>
    <w:p w14:paraId="2A51DAE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2.2.3 各投标人应当及时关注、获取投标网站中发布的信息。澄清公告一经发布，无论投标人是否看到，</w:t>
      </w:r>
      <w:r>
        <w:rPr>
          <w:rFonts w:hint="eastAsia" w:ascii="宋体" w:hAnsi="宋体" w:cs="宋体"/>
          <w:color w:val="auto"/>
          <w:sz w:val="24"/>
          <w:szCs w:val="24"/>
          <w:lang w:eastAsia="zh-CN"/>
        </w:rPr>
        <w:t>采购人</w:t>
      </w:r>
      <w:r>
        <w:rPr>
          <w:rFonts w:hint="eastAsia" w:ascii="宋体" w:hAnsi="宋体" w:cs="宋体"/>
          <w:color w:val="auto"/>
          <w:sz w:val="24"/>
          <w:szCs w:val="24"/>
        </w:rPr>
        <w:t>将视为所有投标人均已收到澄清内容。</w:t>
      </w:r>
    </w:p>
    <w:p w14:paraId="5E32B60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2.2.4 除非</w:t>
      </w:r>
      <w:r>
        <w:rPr>
          <w:rFonts w:hint="eastAsia" w:ascii="宋体" w:hAnsi="宋体" w:cs="宋体"/>
          <w:color w:val="auto"/>
          <w:sz w:val="24"/>
          <w:szCs w:val="24"/>
          <w:lang w:eastAsia="zh-CN"/>
        </w:rPr>
        <w:t>采购人</w:t>
      </w:r>
      <w:r>
        <w:rPr>
          <w:rFonts w:hint="eastAsia" w:ascii="宋体" w:hAnsi="宋体" w:cs="宋体"/>
          <w:color w:val="auto"/>
          <w:sz w:val="24"/>
          <w:szCs w:val="24"/>
        </w:rPr>
        <w:t>认为确有必要答复，否则，</w:t>
      </w:r>
      <w:r>
        <w:rPr>
          <w:rFonts w:hint="eastAsia" w:ascii="宋体" w:hAnsi="宋体" w:cs="宋体"/>
          <w:color w:val="auto"/>
          <w:sz w:val="24"/>
          <w:szCs w:val="24"/>
          <w:lang w:eastAsia="zh-CN"/>
        </w:rPr>
        <w:t>采购人</w:t>
      </w:r>
      <w:r>
        <w:rPr>
          <w:rFonts w:hint="eastAsia" w:ascii="宋体" w:hAnsi="宋体" w:cs="宋体"/>
          <w:color w:val="auto"/>
          <w:sz w:val="24"/>
          <w:szCs w:val="24"/>
        </w:rPr>
        <w:t>有权拒绝</w:t>
      </w:r>
      <w:bookmarkStart w:id="35" w:name="_Toc27980"/>
      <w:bookmarkStart w:id="36" w:name="_Toc369531520"/>
      <w:bookmarkStart w:id="37" w:name="_Toc352691478"/>
      <w:r>
        <w:rPr>
          <w:rFonts w:hint="eastAsia" w:ascii="宋体" w:hAnsi="宋体" w:cs="宋体"/>
          <w:color w:val="auto"/>
          <w:sz w:val="24"/>
          <w:szCs w:val="24"/>
        </w:rPr>
        <w:t>回复投标人在</w:t>
      </w:r>
      <w:bookmarkEnd w:id="35"/>
      <w:bookmarkEnd w:id="36"/>
      <w:bookmarkEnd w:id="37"/>
      <w:bookmarkStart w:id="38" w:name="_Toc352691479"/>
      <w:r>
        <w:rPr>
          <w:rFonts w:hint="eastAsia" w:ascii="宋体" w:hAnsi="宋体" w:cs="宋体"/>
          <w:color w:val="auto"/>
          <w:sz w:val="24"/>
          <w:szCs w:val="24"/>
        </w:rPr>
        <w:t>澄清截止时间以后提出的任何澄清要求。</w:t>
      </w:r>
    </w:p>
    <w:p w14:paraId="5F3FCF51">
      <w:pPr>
        <w:pStyle w:val="4"/>
        <w:spacing w:line="360" w:lineRule="auto"/>
        <w:ind w:firstLine="137"/>
        <w:rPr>
          <w:rFonts w:ascii="宋体" w:hAnsi="宋体" w:cs="宋体"/>
          <w:color w:val="auto"/>
          <w:szCs w:val="24"/>
        </w:rPr>
      </w:pPr>
      <w:bookmarkStart w:id="39" w:name="_Toc466759718"/>
      <w:r>
        <w:rPr>
          <w:rFonts w:hint="eastAsia" w:ascii="宋体" w:hAnsi="宋体" w:cs="宋体"/>
          <w:color w:val="auto"/>
          <w:szCs w:val="24"/>
        </w:rPr>
        <w:t>2.3 招标文件的修</w:t>
      </w:r>
      <w:bookmarkStart w:id="40" w:name="_Toc369531521"/>
      <w:bookmarkStart w:id="41" w:name="_Toc16514"/>
      <w:r>
        <w:rPr>
          <w:rFonts w:hint="eastAsia" w:ascii="宋体" w:hAnsi="宋体" w:cs="宋体"/>
          <w:color w:val="auto"/>
          <w:szCs w:val="24"/>
        </w:rPr>
        <w:t>改</w:t>
      </w:r>
      <w:bookmarkEnd w:id="39"/>
    </w:p>
    <w:bookmarkEnd w:id="38"/>
    <w:bookmarkEnd w:id="40"/>
    <w:bookmarkEnd w:id="41"/>
    <w:p w14:paraId="5F086DBA">
      <w:pPr>
        <w:autoSpaceDE w:val="0"/>
        <w:autoSpaceDN w:val="0"/>
        <w:adjustRightInd w:val="0"/>
        <w:spacing w:line="360" w:lineRule="auto"/>
        <w:ind w:left="-5" w:firstLine="425"/>
        <w:jc w:val="left"/>
        <w:rPr>
          <w:rFonts w:ascii="宋体" w:hAnsi="宋体" w:cs="宋体"/>
          <w:color w:val="auto"/>
          <w:sz w:val="24"/>
        </w:rPr>
      </w:pPr>
      <w:bookmarkStart w:id="42" w:name="_Toc466759719"/>
      <w:bookmarkStart w:id="43" w:name="_Toc384308220"/>
      <w:bookmarkStart w:id="44" w:name="_Toc352691484"/>
      <w:bookmarkStart w:id="45" w:name="_Toc152042316"/>
      <w:bookmarkStart w:id="46" w:name="_Toc369531526"/>
      <w:bookmarkStart w:id="47" w:name="_Toc247527564"/>
      <w:bookmarkStart w:id="48" w:name="_Toc361508595"/>
      <w:bookmarkStart w:id="49" w:name="_Toc300834960"/>
      <w:bookmarkStart w:id="50" w:name="_Toc16623"/>
      <w:bookmarkStart w:id="51" w:name="_Toc144974508"/>
      <w:bookmarkStart w:id="52" w:name="_Toc152045540"/>
      <w:bookmarkStart w:id="53" w:name="_Toc247513963"/>
      <w:r>
        <w:rPr>
          <w:rFonts w:hint="eastAsia" w:ascii="宋体" w:hAnsi="宋体" w:cs="宋体"/>
          <w:color w:val="auto"/>
          <w:sz w:val="24"/>
        </w:rPr>
        <w:t>2.3.1 在投标截止时间15天前，</w:t>
      </w:r>
      <w:r>
        <w:rPr>
          <w:rFonts w:hint="eastAsia" w:ascii="宋体" w:hAnsi="宋体" w:cs="宋体"/>
          <w:color w:val="auto"/>
          <w:sz w:val="24"/>
          <w:lang w:eastAsia="zh-CN"/>
        </w:rPr>
        <w:t>采购人</w:t>
      </w:r>
      <w:r>
        <w:rPr>
          <w:rFonts w:hint="eastAsia" w:ascii="宋体" w:hAnsi="宋体" w:cs="宋体"/>
          <w:color w:val="auto"/>
          <w:sz w:val="24"/>
        </w:rPr>
        <w:t>可以在电子交易系统中修改招标文件，并以公告的形式告知所有潜在投标人。如果修改招标文件的时间距投标截止时间不足15天，相应延长投标截止时间。同时，</w:t>
      </w:r>
      <w:r>
        <w:rPr>
          <w:rFonts w:hint="eastAsia" w:ascii="宋体" w:hAnsi="宋体" w:cs="宋体"/>
          <w:color w:val="auto"/>
          <w:sz w:val="24"/>
          <w:lang w:eastAsia="zh-CN"/>
        </w:rPr>
        <w:t>采购人</w:t>
      </w:r>
      <w:r>
        <w:rPr>
          <w:rFonts w:hint="eastAsia" w:ascii="宋体" w:hAnsi="宋体" w:cs="宋体"/>
          <w:color w:val="auto"/>
          <w:sz w:val="24"/>
        </w:rPr>
        <w:t>和投标人的权利及义务将受到新的截止期的约束。</w:t>
      </w:r>
    </w:p>
    <w:p w14:paraId="47630C27">
      <w:pPr>
        <w:autoSpaceDE w:val="0"/>
        <w:autoSpaceDN w:val="0"/>
        <w:adjustRightInd w:val="0"/>
        <w:spacing w:line="360" w:lineRule="auto"/>
        <w:ind w:left="-5" w:firstLine="425"/>
        <w:jc w:val="left"/>
        <w:rPr>
          <w:rFonts w:ascii="宋体" w:hAnsi="宋体" w:cs="宋体"/>
          <w:color w:val="auto"/>
          <w:sz w:val="24"/>
        </w:rPr>
      </w:pPr>
      <w:r>
        <w:rPr>
          <w:rFonts w:hint="eastAsia" w:ascii="宋体" w:hAnsi="宋体" w:cs="宋体"/>
          <w:color w:val="auto"/>
          <w:sz w:val="24"/>
        </w:rPr>
        <w:t xml:space="preserve">2.3.2 </w:t>
      </w:r>
      <w:r>
        <w:rPr>
          <w:rFonts w:hint="eastAsia" w:ascii="宋体" w:hAnsi="宋体" w:cs="宋体"/>
          <w:color w:val="auto"/>
          <w:sz w:val="24"/>
          <w:lang w:eastAsia="zh-CN"/>
        </w:rPr>
        <w:t>采购人</w:t>
      </w:r>
      <w:r>
        <w:rPr>
          <w:rFonts w:hint="eastAsia" w:ascii="宋体" w:hAnsi="宋体" w:cs="宋体"/>
          <w:color w:val="auto"/>
          <w:sz w:val="24"/>
        </w:rPr>
        <w:t>一旦对招标文件作出了澄清、修改，即刻发生效力，</w:t>
      </w:r>
      <w:r>
        <w:rPr>
          <w:rFonts w:hint="eastAsia" w:ascii="宋体" w:hAnsi="宋体" w:cs="宋体"/>
          <w:color w:val="auto"/>
          <w:sz w:val="24"/>
          <w:lang w:eastAsia="zh-CN"/>
        </w:rPr>
        <w:t>采购人</w:t>
      </w:r>
      <w:r>
        <w:rPr>
          <w:rFonts w:hint="eastAsia" w:ascii="宋体" w:hAnsi="宋体" w:cs="宋体"/>
          <w:color w:val="auto"/>
          <w:sz w:val="24"/>
        </w:rPr>
        <w:t>有关的补充文件，将作为招标文件的组成部分。无论潜在的投标人是否实际收到该澄清和修改文件，招标文件澄清、修改均对其具有约束力。</w:t>
      </w:r>
    </w:p>
    <w:p w14:paraId="14D5BB23">
      <w:pPr>
        <w:autoSpaceDE w:val="0"/>
        <w:autoSpaceDN w:val="0"/>
        <w:adjustRightInd w:val="0"/>
        <w:spacing w:line="360" w:lineRule="auto"/>
        <w:ind w:left="-5" w:firstLine="425"/>
        <w:jc w:val="left"/>
        <w:rPr>
          <w:rFonts w:ascii="宋体" w:hAnsi="宋体" w:cs="宋体"/>
          <w:color w:val="auto"/>
          <w:sz w:val="24"/>
        </w:rPr>
      </w:pPr>
      <w:r>
        <w:rPr>
          <w:rFonts w:hint="eastAsia" w:ascii="宋体" w:hAnsi="宋体" w:cs="宋体"/>
          <w:color w:val="auto"/>
          <w:sz w:val="24"/>
        </w:rPr>
        <w:t>2.3.4 修改（更正）或补充文件将作为招标文件的组成部分，对所有投标人具有约束力。当招标文件与修改（更正）或补充文件相矛盾时，以最后发出的修改（更正）或补充文件为准。</w:t>
      </w:r>
    </w:p>
    <w:bookmarkEnd w:id="42"/>
    <w:bookmarkEnd w:id="43"/>
    <w:bookmarkEnd w:id="44"/>
    <w:bookmarkEnd w:id="45"/>
    <w:bookmarkEnd w:id="46"/>
    <w:bookmarkEnd w:id="47"/>
    <w:bookmarkEnd w:id="48"/>
    <w:bookmarkEnd w:id="49"/>
    <w:bookmarkEnd w:id="50"/>
    <w:bookmarkEnd w:id="51"/>
    <w:bookmarkEnd w:id="52"/>
    <w:bookmarkEnd w:id="53"/>
    <w:p w14:paraId="6DF6B9DE">
      <w:pPr>
        <w:pStyle w:val="4"/>
        <w:rPr>
          <w:color w:val="auto"/>
        </w:rPr>
      </w:pPr>
      <w:bookmarkStart w:id="54" w:name="_Toc466759720"/>
      <w:r>
        <w:rPr>
          <w:rFonts w:hint="eastAsia"/>
          <w:color w:val="auto"/>
        </w:rPr>
        <w:t>3. 投标文件</w:t>
      </w:r>
      <w:bookmarkEnd w:id="54"/>
    </w:p>
    <w:p w14:paraId="6D9E9157">
      <w:pPr>
        <w:pStyle w:val="4"/>
        <w:spacing w:line="360" w:lineRule="auto"/>
        <w:ind w:firstLine="137"/>
        <w:rPr>
          <w:rFonts w:ascii="宋体" w:hAnsi="宋体" w:cs="宋体"/>
          <w:color w:val="auto"/>
          <w:szCs w:val="24"/>
        </w:rPr>
      </w:pPr>
      <w:bookmarkStart w:id="55" w:name="_Toc466759721"/>
      <w:r>
        <w:rPr>
          <w:rFonts w:hint="eastAsia" w:ascii="宋体" w:hAnsi="宋体" w:cs="宋体"/>
          <w:color w:val="auto"/>
          <w:szCs w:val="24"/>
        </w:rPr>
        <w:t>3.1 投标文件的组成</w:t>
      </w:r>
      <w:bookmarkEnd w:id="55"/>
    </w:p>
    <w:p w14:paraId="6FC102CD">
      <w:pPr>
        <w:spacing w:line="360" w:lineRule="auto"/>
        <w:rPr>
          <w:rFonts w:ascii="宋体" w:hAnsi="宋体" w:cs="宋体"/>
          <w:color w:val="auto"/>
          <w:sz w:val="24"/>
          <w:szCs w:val="24"/>
        </w:rPr>
      </w:pPr>
      <w:r>
        <w:rPr>
          <w:rFonts w:hint="eastAsia" w:ascii="宋体" w:hAnsi="宋体" w:cs="宋体"/>
          <w:color w:val="auto"/>
          <w:sz w:val="24"/>
          <w:szCs w:val="24"/>
        </w:rPr>
        <w:t>　　3.1.1 投标文件应包括下列内容：</w:t>
      </w:r>
    </w:p>
    <w:p w14:paraId="19C6E11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（一）投标函；</w:t>
      </w:r>
    </w:p>
    <w:p w14:paraId="6521496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（二）开标一览表</w:t>
      </w:r>
    </w:p>
    <w:p w14:paraId="42375C9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（三）分项报价表</w:t>
      </w:r>
    </w:p>
    <w:p w14:paraId="2134004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（四）技术规格响应/偏离表</w:t>
      </w:r>
    </w:p>
    <w:p w14:paraId="26FA593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（五）项目实施方案</w:t>
      </w:r>
    </w:p>
    <w:p w14:paraId="213CEC5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（六）投标承诺函</w:t>
      </w:r>
    </w:p>
    <w:p w14:paraId="5C2D8D50">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（七）法定代表人身份证明</w:t>
      </w:r>
      <w:r>
        <w:rPr>
          <w:rFonts w:hint="eastAsia" w:ascii="宋体" w:hAnsi="宋体" w:cs="宋体"/>
          <w:color w:val="auto"/>
          <w:sz w:val="24"/>
          <w:szCs w:val="24"/>
          <w:lang w:val="en-US" w:eastAsia="zh-CN"/>
        </w:rPr>
        <w:t>书</w:t>
      </w:r>
    </w:p>
    <w:p w14:paraId="1B9DEE6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（八）法定代表人授权委托书</w:t>
      </w:r>
    </w:p>
    <w:p w14:paraId="2321570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（九）</w:t>
      </w:r>
      <w:r>
        <w:rPr>
          <w:rFonts w:hint="eastAsia" w:ascii="宋体" w:hAnsi="宋体" w:cs="宋体"/>
          <w:color w:val="auto"/>
          <w:sz w:val="24"/>
          <w:szCs w:val="24"/>
          <w:lang w:eastAsia="zh-CN"/>
        </w:rPr>
        <w:t>资格审查资料</w:t>
      </w:r>
      <w:r>
        <w:rPr>
          <w:rFonts w:hint="eastAsia" w:ascii="宋体" w:hAnsi="宋体" w:cs="宋体"/>
          <w:color w:val="auto"/>
          <w:sz w:val="24"/>
          <w:szCs w:val="24"/>
        </w:rPr>
        <w:t>；</w:t>
      </w:r>
    </w:p>
    <w:p w14:paraId="49B011B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（十）投标人认为应附的其他资料。</w:t>
      </w:r>
    </w:p>
    <w:p w14:paraId="2EAD328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投标人根据评标委员会在评标过程中提出的质询，按招标文件要求依法作出的答复、澄清等文件，构成投标文件的组成部分。</w:t>
      </w:r>
    </w:p>
    <w:p w14:paraId="1A8BAD7F">
      <w:pPr>
        <w:pStyle w:val="4"/>
        <w:spacing w:line="360" w:lineRule="auto"/>
        <w:ind w:firstLine="137"/>
        <w:rPr>
          <w:rFonts w:ascii="宋体" w:hAnsi="宋体" w:cs="宋体"/>
          <w:color w:val="auto"/>
          <w:szCs w:val="24"/>
        </w:rPr>
      </w:pPr>
      <w:bookmarkStart w:id="56" w:name="_Toc466759722"/>
      <w:r>
        <w:rPr>
          <w:rFonts w:hint="eastAsia" w:ascii="宋体" w:hAnsi="宋体" w:cs="宋体"/>
          <w:color w:val="auto"/>
          <w:szCs w:val="24"/>
        </w:rPr>
        <w:t>3.2 投标报价</w:t>
      </w:r>
      <w:bookmarkEnd w:id="56"/>
    </w:p>
    <w:p w14:paraId="73F4DFE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3.2.1投标人应按第六章“投标文件格式”的要求在投标函中进行报价并填写分项报价表。</w:t>
      </w:r>
      <w:r>
        <w:rPr>
          <w:rFonts w:hint="eastAsia" w:ascii="宋体" w:hAnsi="宋体" w:cs="宋体"/>
          <w:color w:val="auto"/>
          <w:sz w:val="24"/>
          <w:szCs w:val="24"/>
          <w:lang w:eastAsia="zh-CN"/>
        </w:rPr>
        <w:t>报价</w:t>
      </w:r>
      <w:r>
        <w:rPr>
          <w:rFonts w:hint="eastAsia" w:ascii="宋体" w:hAnsi="宋体" w:cs="宋体"/>
          <w:color w:val="auto"/>
          <w:sz w:val="24"/>
          <w:szCs w:val="24"/>
          <w:lang w:val="en-US" w:eastAsia="zh-CN"/>
        </w:rPr>
        <w:t>须</w:t>
      </w:r>
      <w:r>
        <w:rPr>
          <w:rFonts w:hint="eastAsia" w:ascii="宋体" w:hAnsi="宋体" w:cs="宋体"/>
          <w:color w:val="auto"/>
          <w:sz w:val="24"/>
          <w:szCs w:val="24"/>
          <w:lang w:eastAsia="zh-CN"/>
        </w:rPr>
        <w:t>包含货款、标准附件、备品备件、专用工具、包装、运输、装卸、保险、税金、交货到位以及安装、调试、培训、售后服务等一切费用</w:t>
      </w:r>
      <w:r>
        <w:rPr>
          <w:rFonts w:hint="eastAsia" w:ascii="宋体" w:hAnsi="宋体" w:cs="宋体"/>
          <w:color w:val="auto"/>
          <w:sz w:val="24"/>
          <w:szCs w:val="24"/>
        </w:rPr>
        <w:t>。</w:t>
      </w:r>
    </w:p>
    <w:p w14:paraId="48CD081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3.2.2 投标人应充分了解该项目的总体情况，并充分考虑影响投标报价的其他要素。</w:t>
      </w:r>
    </w:p>
    <w:p w14:paraId="7A3DAE9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3.2.3投标人在投标截止时间前修改投标函中的投标报价总额，应同时修</w:t>
      </w:r>
      <w:bookmarkStart w:id="57" w:name="_Toc152042318"/>
      <w:bookmarkStart w:id="58" w:name="_Toc152045542"/>
      <w:bookmarkStart w:id="59" w:name="_Toc361508598"/>
      <w:bookmarkStart w:id="60" w:name="_Toc247513966"/>
      <w:bookmarkStart w:id="61" w:name="_Toc352691486"/>
      <w:bookmarkStart w:id="62" w:name="_Toc144974510"/>
      <w:bookmarkStart w:id="63" w:name="_Toc25772"/>
      <w:bookmarkStart w:id="64" w:name="_Toc369531529"/>
      <w:bookmarkStart w:id="65" w:name="_Toc300834963"/>
      <w:bookmarkStart w:id="66" w:name="_Toc247527567"/>
      <w:bookmarkStart w:id="67" w:name="_Toc384308223"/>
      <w:r>
        <w:rPr>
          <w:rFonts w:hint="eastAsia" w:ascii="宋体" w:hAnsi="宋体" w:cs="宋体"/>
          <w:color w:val="auto"/>
          <w:sz w:val="24"/>
          <w:szCs w:val="24"/>
        </w:rPr>
        <w:t>改投标文件“</w:t>
      </w:r>
      <w:bookmarkEnd w:id="57"/>
      <w:bookmarkEnd w:id="58"/>
      <w:bookmarkEnd w:id="59"/>
      <w:bookmarkEnd w:id="60"/>
      <w:bookmarkEnd w:id="61"/>
      <w:bookmarkEnd w:id="62"/>
      <w:bookmarkEnd w:id="63"/>
      <w:bookmarkEnd w:id="64"/>
      <w:bookmarkEnd w:id="65"/>
      <w:bookmarkEnd w:id="66"/>
      <w:bookmarkEnd w:id="67"/>
      <w:bookmarkStart w:id="68" w:name="_Toc300834964"/>
      <w:bookmarkStart w:id="69" w:name="_Toc384308224"/>
      <w:bookmarkStart w:id="70" w:name="_Toc352691487"/>
      <w:bookmarkStart w:id="71" w:name="_Toc361508599"/>
      <w:bookmarkStart w:id="72" w:name="_Toc247527568"/>
      <w:bookmarkStart w:id="73" w:name="_Toc152045543"/>
      <w:bookmarkStart w:id="74" w:name="_Toc152042319"/>
      <w:bookmarkStart w:id="75" w:name="_Toc144974511"/>
      <w:bookmarkStart w:id="76" w:name="_Toc369531530"/>
      <w:bookmarkStart w:id="77" w:name="_Toc15242"/>
      <w:bookmarkStart w:id="78" w:name="_Toc247513967"/>
      <w:r>
        <w:rPr>
          <w:rFonts w:hint="eastAsia" w:ascii="宋体" w:hAnsi="宋体" w:cs="宋体"/>
          <w:color w:val="auto"/>
          <w:sz w:val="24"/>
          <w:szCs w:val="24"/>
        </w:rPr>
        <w:t>分项报价表”中的相应报价。</w:t>
      </w:r>
      <w:bookmarkEnd w:id="68"/>
      <w:bookmarkEnd w:id="69"/>
      <w:bookmarkEnd w:id="70"/>
      <w:bookmarkEnd w:id="71"/>
      <w:bookmarkEnd w:id="72"/>
      <w:bookmarkEnd w:id="73"/>
      <w:bookmarkEnd w:id="74"/>
      <w:bookmarkEnd w:id="75"/>
      <w:bookmarkEnd w:id="76"/>
      <w:bookmarkEnd w:id="77"/>
      <w:bookmarkEnd w:id="78"/>
    </w:p>
    <w:p w14:paraId="444D65A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3.2.4 投标报价为各分项报价金额之和，投标报价与分项报价的合价不一致的，以投标报价为准；如分项报价中存在缺漏项，则视为缺漏项价格已包含在其他分项报价之中。</w:t>
      </w:r>
    </w:p>
    <w:p w14:paraId="7AFD9BC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3.2.5投标人的投标报价不得超过</w:t>
      </w:r>
      <w:r>
        <w:rPr>
          <w:rFonts w:hint="eastAsia" w:ascii="宋体" w:hAnsi="宋体" w:cs="宋体"/>
          <w:color w:val="auto"/>
          <w:sz w:val="24"/>
          <w:szCs w:val="24"/>
          <w:lang w:eastAsia="zh-CN"/>
        </w:rPr>
        <w:t>采购人</w:t>
      </w:r>
      <w:r>
        <w:rPr>
          <w:rFonts w:hint="eastAsia" w:ascii="宋体" w:hAnsi="宋体" w:cs="宋体"/>
          <w:color w:val="auto"/>
          <w:sz w:val="24"/>
          <w:szCs w:val="24"/>
        </w:rPr>
        <w:t>设定的最高投标限价</w:t>
      </w:r>
      <w:bookmarkStart w:id="79" w:name="_Toc144974512"/>
      <w:bookmarkStart w:id="80" w:name="_Toc10429"/>
      <w:bookmarkStart w:id="81" w:name="_Toc384308225"/>
      <w:bookmarkStart w:id="82" w:name="_Toc361508600"/>
      <w:bookmarkStart w:id="83" w:name="_Toc247513968"/>
      <w:bookmarkStart w:id="84" w:name="_Toc352691488"/>
      <w:bookmarkStart w:id="85" w:name="_Toc369531531"/>
      <w:bookmarkStart w:id="86" w:name="_Toc152042320"/>
      <w:bookmarkStart w:id="87" w:name="_Toc152045544"/>
      <w:bookmarkStart w:id="88" w:name="_Toc300834965"/>
      <w:bookmarkStart w:id="89" w:name="_Toc247527569"/>
      <w:r>
        <w:rPr>
          <w:rFonts w:hint="eastAsia" w:ascii="宋体" w:hAnsi="宋体" w:cs="宋体"/>
          <w:color w:val="auto"/>
          <w:sz w:val="24"/>
          <w:szCs w:val="24"/>
        </w:rPr>
        <w:t>。</w:t>
      </w:r>
      <w:bookmarkEnd w:id="79"/>
      <w:bookmarkEnd w:id="80"/>
      <w:bookmarkEnd w:id="81"/>
      <w:bookmarkEnd w:id="82"/>
      <w:bookmarkEnd w:id="83"/>
      <w:bookmarkEnd w:id="84"/>
      <w:bookmarkEnd w:id="85"/>
      <w:bookmarkEnd w:id="86"/>
      <w:bookmarkEnd w:id="87"/>
      <w:bookmarkEnd w:id="88"/>
      <w:bookmarkEnd w:id="89"/>
    </w:p>
    <w:p w14:paraId="7BD86DDA">
      <w:pPr>
        <w:pStyle w:val="4"/>
        <w:spacing w:line="360" w:lineRule="auto"/>
        <w:ind w:firstLine="137"/>
        <w:rPr>
          <w:rFonts w:ascii="宋体" w:hAnsi="宋体" w:cs="宋体"/>
          <w:color w:val="auto"/>
          <w:szCs w:val="24"/>
        </w:rPr>
      </w:pPr>
      <w:bookmarkStart w:id="90" w:name="_Toc466759723"/>
      <w:r>
        <w:rPr>
          <w:rFonts w:hint="eastAsia" w:ascii="宋体" w:hAnsi="宋体" w:cs="宋体"/>
          <w:color w:val="auto"/>
          <w:szCs w:val="24"/>
        </w:rPr>
        <w:t>3.3 投标有效期</w:t>
      </w:r>
      <w:bookmarkEnd w:id="90"/>
    </w:p>
    <w:p w14:paraId="0CEBE230">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3.3.1 投标有效期见投标人须知前附表规定；</w:t>
      </w:r>
    </w:p>
    <w:p w14:paraId="4A90933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3.3.2 在投标有效期内，投标人撤销投标文件的，应承担招标文件和法律规定的责任。</w:t>
      </w:r>
    </w:p>
    <w:p w14:paraId="18F8E73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3.3.3 出现特殊情况需要延长投标有效期的，</w:t>
      </w:r>
      <w:r>
        <w:rPr>
          <w:rFonts w:hint="eastAsia" w:ascii="宋体" w:hAnsi="宋体" w:cs="宋体"/>
          <w:color w:val="auto"/>
          <w:sz w:val="24"/>
          <w:szCs w:val="24"/>
          <w:lang w:eastAsia="zh-CN"/>
        </w:rPr>
        <w:t>采购人</w:t>
      </w:r>
      <w:r>
        <w:rPr>
          <w:rFonts w:hint="eastAsia" w:ascii="宋体" w:hAnsi="宋体" w:cs="宋体"/>
          <w:color w:val="auto"/>
          <w:sz w:val="24"/>
          <w:szCs w:val="24"/>
        </w:rPr>
        <w:t>以书面形式通知所有投标人延长投标有效期。投标人应予以书面答复，同意延长的，投标人在投标有效期内不得要求或被允许修改其投标文件；投标人拒绝延长的，其投标作废。</w:t>
      </w:r>
    </w:p>
    <w:p w14:paraId="243118C8">
      <w:pPr>
        <w:pStyle w:val="4"/>
        <w:spacing w:line="360" w:lineRule="auto"/>
        <w:ind w:firstLine="137"/>
        <w:rPr>
          <w:rFonts w:ascii="宋体" w:hAnsi="宋体" w:cs="宋体"/>
          <w:color w:val="auto"/>
          <w:szCs w:val="24"/>
        </w:rPr>
      </w:pPr>
      <w:bookmarkStart w:id="91" w:name="_Toc466759724"/>
      <w:r>
        <w:rPr>
          <w:rFonts w:hint="eastAsia" w:ascii="宋体" w:hAnsi="宋体" w:cs="宋体"/>
          <w:color w:val="auto"/>
          <w:szCs w:val="24"/>
        </w:rPr>
        <w:t>3.4 投标保证金</w:t>
      </w:r>
      <w:bookmarkEnd w:id="91"/>
    </w:p>
    <w:p w14:paraId="0EFCB39C">
      <w:pPr>
        <w:spacing w:line="360" w:lineRule="auto"/>
        <w:ind w:firstLine="360" w:firstLineChars="150"/>
        <w:rPr>
          <w:rFonts w:ascii="宋体" w:hAnsi="宋体" w:cs="宋体"/>
          <w:color w:val="auto"/>
          <w:sz w:val="24"/>
          <w:szCs w:val="24"/>
        </w:rPr>
      </w:pPr>
      <w:r>
        <w:rPr>
          <w:rFonts w:hint="eastAsia" w:ascii="宋体" w:hAnsi="宋体" w:cs="宋体"/>
          <w:color w:val="auto"/>
          <w:sz w:val="24"/>
        </w:rPr>
        <w:t>根据“豫财购[2019]4号”文规定，本项目不收取投标保证金；投标人以投标承诺函的形式替代保证金，投标承诺函应明确承诺事项及违背承诺的责任。</w:t>
      </w:r>
    </w:p>
    <w:p w14:paraId="0310F2CB">
      <w:pPr>
        <w:pStyle w:val="4"/>
        <w:spacing w:line="360" w:lineRule="auto"/>
        <w:ind w:firstLine="137"/>
        <w:rPr>
          <w:rFonts w:ascii="宋体" w:hAnsi="宋体" w:cs="宋体"/>
          <w:color w:val="auto"/>
          <w:szCs w:val="24"/>
        </w:rPr>
      </w:pPr>
      <w:bookmarkStart w:id="92" w:name="_Toc466759726"/>
      <w:r>
        <w:rPr>
          <w:rFonts w:hint="eastAsia" w:ascii="宋体" w:hAnsi="宋体" w:cs="宋体"/>
          <w:color w:val="auto"/>
          <w:szCs w:val="24"/>
        </w:rPr>
        <w:t>3.5 备选投标方案</w:t>
      </w:r>
      <w:bookmarkEnd w:id="92"/>
    </w:p>
    <w:p w14:paraId="6C14550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投标人不得递交备选投标方案，否则其投标将被否决。</w:t>
      </w:r>
    </w:p>
    <w:p w14:paraId="5BBA3DF5">
      <w:pPr>
        <w:pStyle w:val="4"/>
        <w:spacing w:line="360" w:lineRule="auto"/>
        <w:ind w:firstLine="137"/>
        <w:rPr>
          <w:rFonts w:ascii="宋体" w:hAnsi="宋体" w:cs="宋体"/>
          <w:color w:val="auto"/>
          <w:szCs w:val="24"/>
        </w:rPr>
      </w:pPr>
      <w:bookmarkStart w:id="93" w:name="_Toc466759727"/>
      <w:r>
        <w:rPr>
          <w:rFonts w:hint="eastAsia" w:ascii="宋体" w:hAnsi="宋体" w:cs="宋体"/>
          <w:color w:val="auto"/>
          <w:szCs w:val="24"/>
        </w:rPr>
        <w:t xml:space="preserve">3.6 </w:t>
      </w:r>
      <w:bookmarkEnd w:id="93"/>
      <w:r>
        <w:rPr>
          <w:rFonts w:hint="eastAsia" w:ascii="宋体" w:hAnsi="宋体" w:cs="宋体"/>
          <w:color w:val="auto"/>
          <w:szCs w:val="24"/>
        </w:rPr>
        <w:t>投标文件的编制和签署</w:t>
      </w:r>
    </w:p>
    <w:p w14:paraId="1792615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3.6.1投标文件应按第六章“投标文件格式”进行编写，如有必要，可以增加附页，作为投标文件的组成部分。</w:t>
      </w:r>
    </w:p>
    <w:p w14:paraId="535EBCC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3.6.2 投标文件应当对招标文件有关交货期限、投标有效期、质量要求、</w:t>
      </w:r>
      <w:r>
        <w:rPr>
          <w:rFonts w:hint="eastAsia" w:ascii="宋体" w:hAnsi="宋体" w:cs="宋体"/>
          <w:color w:val="auto"/>
          <w:sz w:val="24"/>
          <w:szCs w:val="24"/>
          <w:lang w:val="en-US" w:eastAsia="zh-CN"/>
        </w:rPr>
        <w:t>招标</w:t>
      </w:r>
      <w:r>
        <w:rPr>
          <w:rFonts w:hint="eastAsia" w:ascii="宋体" w:hAnsi="宋体" w:cs="宋体"/>
          <w:color w:val="auto"/>
          <w:sz w:val="24"/>
          <w:szCs w:val="24"/>
        </w:rPr>
        <w:t>范围等实质性内容作出响应。其中，投标函附录在满足招标文件实质性要求的基础上，可以提出比招标文件要求更有利于</w:t>
      </w:r>
      <w:r>
        <w:rPr>
          <w:rFonts w:hint="eastAsia" w:ascii="宋体" w:hAnsi="宋体" w:cs="宋体"/>
          <w:color w:val="auto"/>
          <w:sz w:val="24"/>
          <w:szCs w:val="24"/>
          <w:lang w:eastAsia="zh-CN"/>
        </w:rPr>
        <w:t>采购人</w:t>
      </w:r>
      <w:r>
        <w:rPr>
          <w:rFonts w:hint="eastAsia" w:ascii="宋体" w:hAnsi="宋体" w:cs="宋体"/>
          <w:color w:val="auto"/>
          <w:sz w:val="24"/>
          <w:szCs w:val="24"/>
        </w:rPr>
        <w:t>的承诺。</w:t>
      </w:r>
    </w:p>
    <w:p w14:paraId="50D355E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3.6.3投标人在生成电子化投标文件后，必须对电子化投标文件进行电子签章，未进行签章的视为无效文件。</w:t>
      </w:r>
    </w:p>
    <w:p w14:paraId="315FD25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3.6.4招标文件中要求法定代表人或委托代理人签字或盖章的，投标人在进行电子化投标文件签章时，以法定代表人签章为准。</w:t>
      </w:r>
    </w:p>
    <w:p w14:paraId="3C6D7DE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3.6.5电子化投标文件具体制作教材请投标人通过CA证书登录三门峡市公共资源电子化交易系统“交易智库”中查看。电子化投标文件制作软件请点击https://download.bqpoint.com/download/downloaddetail.html?SourceFrom=Ztb&amp;ZtbSoftXiaQuCode=1506&amp;ZtbSoftType=tballinclusive进行下载。</w:t>
      </w:r>
    </w:p>
    <w:p w14:paraId="7806F298">
      <w:pPr>
        <w:spacing w:line="360" w:lineRule="auto"/>
        <w:rPr>
          <w:rFonts w:ascii="宋体" w:hAnsi="宋体" w:cs="宋体"/>
          <w:b/>
          <w:color w:val="auto"/>
          <w:sz w:val="24"/>
          <w:szCs w:val="28"/>
        </w:rPr>
      </w:pPr>
      <w:r>
        <w:rPr>
          <w:rFonts w:hint="eastAsia" w:ascii="宋体" w:hAnsi="宋体" w:cs="宋体"/>
          <w:b/>
          <w:color w:val="auto"/>
          <w:sz w:val="24"/>
          <w:szCs w:val="28"/>
        </w:rPr>
        <w:t>3.7 电子化投标文件的格式</w:t>
      </w:r>
    </w:p>
    <w:p w14:paraId="5EFF43CD">
      <w:pPr>
        <w:spacing w:line="360" w:lineRule="auto"/>
        <w:ind w:firstLine="480" w:firstLineChars="200"/>
        <w:rPr>
          <w:rFonts w:ascii="宋体" w:hAnsi="宋体" w:cs="宋体"/>
          <w:color w:val="auto"/>
          <w:sz w:val="24"/>
          <w:szCs w:val="24"/>
        </w:rPr>
      </w:pPr>
      <w:bookmarkStart w:id="94" w:name="_Toc503886951"/>
      <w:bookmarkStart w:id="95" w:name="_Toc503885615"/>
      <w:bookmarkStart w:id="96" w:name="_Toc503112358"/>
      <w:bookmarkStart w:id="97" w:name="_Toc428276593"/>
      <w:r>
        <w:rPr>
          <w:rFonts w:hint="eastAsia" w:ascii="宋体" w:hAnsi="宋体" w:cs="宋体"/>
          <w:color w:val="auto"/>
          <w:sz w:val="24"/>
          <w:szCs w:val="24"/>
        </w:rPr>
        <w:t>3.7.1投标人所上传的电子化投标文件，应是通过三门峡市公共资源电子化交易系统投标文件制作系统制作的、经过签章和加密后生成的电子版投标文件。生成的电子版投标文件包含用于投标文件上传的主文件（格式后缀为.smxtf）和用于应急补救的投标文件备份文件（格式后缀为.nsmxtf）。备份文件主要用于电子化开标出现技术问题后的补救。</w:t>
      </w:r>
    </w:p>
    <w:p w14:paraId="7C4FBF4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注：投标人投报多个标段的，每个标段需要单独制作电子投标文件。</w:t>
      </w:r>
    </w:p>
    <w:p w14:paraId="56A32841">
      <w:pPr>
        <w:spacing w:line="360" w:lineRule="auto"/>
        <w:rPr>
          <w:rFonts w:ascii="宋体" w:hAnsi="宋体" w:cs="宋体"/>
          <w:b/>
          <w:color w:val="auto"/>
          <w:sz w:val="24"/>
          <w:szCs w:val="28"/>
        </w:rPr>
      </w:pPr>
      <w:r>
        <w:rPr>
          <w:rFonts w:hint="eastAsia" w:ascii="宋体" w:hAnsi="宋体" w:cs="宋体"/>
          <w:b/>
          <w:color w:val="auto"/>
          <w:sz w:val="24"/>
          <w:szCs w:val="28"/>
        </w:rPr>
        <w:t>3.8 电子化投标文件的上传</w:t>
      </w:r>
    </w:p>
    <w:p w14:paraId="4CF1543C">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3.8.1电子化投标文件应在投标文件递交截止时间前成功上传至三门峡市公共资源电子化交易系统。逾期上传的投标文件将不予接收。电子交易系统将拒绝在投标文件递交截止时间后送交的投标文件。</w:t>
      </w:r>
    </w:p>
    <w:p w14:paraId="77179B68">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3.8.2按照电子化投标操作教材制作完成的电子化投标文件无法上传的，投标人应在投标文件递交截止时间前尽早的联系中心技术人员，以便有充分的时间进行处理。</w:t>
      </w:r>
    </w:p>
    <w:p w14:paraId="66D0C02D">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技术联系电话：0398-3117871；主体库咨询电话:0398-3117815；</w:t>
      </w:r>
    </w:p>
    <w:p w14:paraId="5419525D">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CA证书制发:0398-2181635；科技信息科:0398-3117095。</w:t>
      </w:r>
    </w:p>
    <w:p w14:paraId="6C84C177">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投标人应充分考虑到处理技术问题和上传数据等工作所需的时间问题，未在投标文件递交截止时间前成功上传的投标文件，不予接收。</w:t>
      </w:r>
    </w:p>
    <w:p w14:paraId="5717C166">
      <w:pPr>
        <w:spacing w:line="360" w:lineRule="auto"/>
        <w:rPr>
          <w:rFonts w:ascii="宋体" w:hAnsi="宋体" w:cs="宋体"/>
          <w:b/>
          <w:color w:val="auto"/>
          <w:sz w:val="24"/>
          <w:szCs w:val="28"/>
        </w:rPr>
      </w:pPr>
      <w:r>
        <w:rPr>
          <w:rFonts w:hint="eastAsia" w:ascii="宋体" w:hAnsi="宋体" w:cs="宋体"/>
          <w:b/>
          <w:color w:val="auto"/>
          <w:sz w:val="24"/>
          <w:szCs w:val="28"/>
        </w:rPr>
        <w:t>3.9 投标文件的修改或撤回</w:t>
      </w:r>
    </w:p>
    <w:bookmarkEnd w:id="94"/>
    <w:bookmarkEnd w:id="95"/>
    <w:bookmarkEnd w:id="96"/>
    <w:bookmarkEnd w:id="97"/>
    <w:p w14:paraId="083DFC36">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在本章前附表规定的投标文件递交截止时间前，投标人可以修改或撤回已递交的投标文件。</w:t>
      </w:r>
    </w:p>
    <w:p w14:paraId="4FC21C15">
      <w:pPr>
        <w:pStyle w:val="4"/>
        <w:rPr>
          <w:color w:val="auto"/>
        </w:rPr>
      </w:pPr>
      <w:r>
        <w:rPr>
          <w:rFonts w:hint="eastAsia"/>
          <w:color w:val="auto"/>
        </w:rPr>
        <w:t>4.电子化项目开标、解密、唱标</w:t>
      </w:r>
    </w:p>
    <w:p w14:paraId="2B3E2573">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4.1 本项目为不见面开标项目，开标当日投标人不得到开标现场参加开标会议。投标人应当在投标文件提交截止时间前，登陆不见面开标大厅（网址为http://120.194.249.36:10094/BidOpening/bidopeninghallaction/hall/login），选择登陆三门峡市公共资源电子招投标系统进行登陆,在线准时参加开标活动，</w:t>
      </w:r>
      <w:r>
        <w:rPr>
          <w:rFonts w:hint="eastAsia" w:ascii="宋体" w:hAnsi="宋体" w:cs="宋体"/>
          <w:color w:val="auto"/>
          <w:sz w:val="24"/>
          <w:lang w:eastAsia="zh-CN"/>
        </w:rPr>
        <w:t>并进行投标文件解密等</w:t>
      </w:r>
      <w:r>
        <w:rPr>
          <w:rFonts w:hint="eastAsia" w:ascii="宋体" w:hAnsi="宋体" w:cs="宋体"/>
          <w:color w:val="auto"/>
          <w:sz w:val="24"/>
        </w:rPr>
        <w:t>。</w:t>
      </w:r>
    </w:p>
    <w:p w14:paraId="3A9C74E9">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4.2 电子化投标文件采用一次加密方式。开标时，由投标人使用CA 证书，在规定时间内对其电子化投标文件进行解密。每位投标人的解密时间为</w:t>
      </w:r>
      <w:r>
        <w:rPr>
          <w:rFonts w:hint="eastAsia" w:ascii="宋体" w:hAnsi="宋体" w:cs="宋体"/>
          <w:color w:val="auto"/>
          <w:sz w:val="24"/>
          <w:lang w:eastAsia="zh-CN"/>
        </w:rPr>
        <w:t>开始时间起30</w:t>
      </w:r>
      <w:r>
        <w:rPr>
          <w:rFonts w:hint="eastAsia" w:ascii="宋体" w:hAnsi="宋体" w:cs="宋体"/>
          <w:color w:val="auto"/>
          <w:sz w:val="24"/>
        </w:rPr>
        <w:t xml:space="preserve"> 分钟内完成。在规定时间内未完成解密的，其投标文件不予开标、唱标。</w:t>
      </w:r>
    </w:p>
    <w:p w14:paraId="02CE74A7">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4.3 电子化投标文件解密异常的处理</w:t>
      </w:r>
    </w:p>
    <w:p w14:paraId="34F81058">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如出现投标人的电子投标文件无法解密等异常情况，投标人应及时致电代理机构说明。投标文件异常，按以下步骤进行处理：</w:t>
      </w:r>
    </w:p>
    <w:p w14:paraId="26C13947">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（1）首先由技术人员进行问题排查。</w:t>
      </w:r>
    </w:p>
    <w:p w14:paraId="06C5FD2C">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2）经技术人员排查后，是投标人自身问题导致投标文件无法解密的，该投标文件将不予接收、解密和唱标；如果是电子化交易系统问题造成投标文件无法解密的，将由技术人员对问题进行处理。如短时间内问题无法解决的，将由代理机构向监督部门申请，经监督部门同意后，暂停开标会议，待问题解决后继续开标。</w:t>
      </w:r>
    </w:p>
    <w:p w14:paraId="31764463">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4.4 待所有投标文件解密完成后，由代理机构操作，对所有已解密投标文件进行电子唱标。投标人应保证在开标期间电话、电脑、网络能够正常工作，投标人因停电、电脑病毒、网络堵塞等原因，未在规定的解密时间内对投标文件进行解密的，其投标文件不予接收、唱标。</w:t>
      </w:r>
    </w:p>
    <w:p w14:paraId="0342CC5E">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4.5 开标时投标人可登录到交易系统中在开标解密栏中点击“开标一览表”查看各自的报价信息。如对报价信息有异议，应在唱标结束后10分钟内向代理机构提出质疑。代理机构应在监督人员的监督下接受投标人的质疑，并做好书面记录。投标人未在规定时间内提出质疑的，视为认可唱标内容。</w:t>
      </w:r>
    </w:p>
    <w:p w14:paraId="073F6C16">
      <w:pPr>
        <w:pStyle w:val="4"/>
        <w:rPr>
          <w:color w:val="auto"/>
        </w:rPr>
      </w:pPr>
      <w:r>
        <w:rPr>
          <w:rFonts w:hint="eastAsia"/>
          <w:color w:val="auto"/>
        </w:rPr>
        <w:t>5.投标人资格审查</w:t>
      </w:r>
    </w:p>
    <w:p w14:paraId="09F9ACE5">
      <w:pPr>
        <w:spacing w:line="360" w:lineRule="auto"/>
        <w:ind w:firstLine="361" w:firstLineChars="150"/>
        <w:rPr>
          <w:rFonts w:ascii="宋体" w:hAnsi="宋体" w:cs="宋体"/>
          <w:color w:val="auto"/>
          <w:sz w:val="24"/>
        </w:rPr>
      </w:pPr>
      <w:r>
        <w:rPr>
          <w:rFonts w:hint="eastAsia" w:ascii="宋体" w:hAnsi="宋体" w:cs="宋体"/>
          <w:b/>
          <w:color w:val="auto"/>
          <w:sz w:val="24"/>
          <w:szCs w:val="28"/>
        </w:rPr>
        <w:t xml:space="preserve">5.1 </w:t>
      </w:r>
      <w:r>
        <w:rPr>
          <w:rFonts w:hint="eastAsia" w:ascii="宋体" w:hAnsi="宋体" w:cs="宋体"/>
          <w:color w:val="auto"/>
          <w:sz w:val="24"/>
        </w:rPr>
        <w:t>本项目为资格后审，项目开标结束后，由</w:t>
      </w:r>
      <w:r>
        <w:rPr>
          <w:rFonts w:hint="eastAsia" w:ascii="宋体" w:hAnsi="宋体" w:cs="宋体"/>
          <w:color w:val="auto"/>
          <w:sz w:val="24"/>
          <w:lang w:eastAsia="zh-CN"/>
        </w:rPr>
        <w:t>采购人</w:t>
      </w:r>
      <w:r>
        <w:rPr>
          <w:rFonts w:hint="eastAsia" w:ascii="宋体" w:hAnsi="宋体" w:cs="宋体"/>
          <w:color w:val="auto"/>
          <w:sz w:val="24"/>
        </w:rPr>
        <w:t>或其委托的代理机构负责对投标人资格进行审查，评标委员会评标时不再审查投标人资格。投标人资格审查内容以投标人在其投标文件“投标人资格证明文件”</w:t>
      </w:r>
      <w:r>
        <w:rPr>
          <w:rFonts w:hint="eastAsia" w:ascii="宋体" w:hAnsi="宋体" w:cs="宋体"/>
          <w:color w:val="auto"/>
          <w:sz w:val="24"/>
          <w:lang w:eastAsia="zh-CN"/>
        </w:rPr>
        <w:t>中提供的信息、资料为准</w:t>
      </w:r>
      <w:r>
        <w:rPr>
          <w:rFonts w:hint="eastAsia" w:ascii="宋体" w:hAnsi="宋体" w:cs="宋体"/>
          <w:color w:val="auto"/>
          <w:sz w:val="24"/>
        </w:rPr>
        <w:t>。</w:t>
      </w:r>
      <w:r>
        <w:rPr>
          <w:rFonts w:hint="eastAsia" w:ascii="宋体" w:hAnsi="宋体" w:cs="宋体"/>
          <w:color w:val="auto"/>
          <w:sz w:val="24"/>
          <w:lang w:eastAsia="zh-CN"/>
        </w:rPr>
        <w:t>投标人提供的信息资料扫描件必须清晰可辨</w:t>
      </w:r>
      <w:r>
        <w:rPr>
          <w:rFonts w:hint="eastAsia" w:ascii="宋体" w:hAnsi="宋体" w:cs="宋体"/>
          <w:color w:val="auto"/>
          <w:sz w:val="24"/>
        </w:rPr>
        <w:t>、真实有效（投标人对其真实性负责）。否则，由此造成的资格审查不合格或应得分而未得分等情况的，由投标人承担责任。</w:t>
      </w:r>
    </w:p>
    <w:p w14:paraId="012870E5">
      <w:pPr>
        <w:spacing w:line="360" w:lineRule="auto"/>
        <w:ind w:firstLine="360" w:firstLineChars="150"/>
        <w:rPr>
          <w:rFonts w:ascii="宋体" w:hAnsi="宋体" w:cs="宋体"/>
          <w:color w:val="auto"/>
          <w:sz w:val="24"/>
        </w:rPr>
      </w:pPr>
      <w:r>
        <w:rPr>
          <w:rFonts w:hint="eastAsia" w:ascii="宋体" w:hAnsi="宋体" w:cs="宋体"/>
          <w:color w:val="auto"/>
          <w:sz w:val="24"/>
        </w:rPr>
        <w:t>资格审查将按照以下标准进行：</w:t>
      </w:r>
    </w:p>
    <w:p w14:paraId="6439BE11">
      <w:pPr>
        <w:spacing w:line="360" w:lineRule="auto"/>
        <w:ind w:firstLine="360" w:firstLineChars="150"/>
        <w:rPr>
          <w:rFonts w:hint="eastAsia" w:ascii="宋体" w:hAnsi="宋体" w:eastAsia="宋体" w:cs="宋体"/>
          <w:color w:val="auto"/>
          <w:sz w:val="24"/>
          <w:lang w:eastAsia="zh-CN"/>
        </w:rPr>
      </w:pPr>
      <w:r>
        <w:rPr>
          <w:rFonts w:hint="eastAsia" w:ascii="宋体" w:hAnsi="宋体" w:cs="宋体"/>
          <w:color w:val="auto"/>
          <w:sz w:val="24"/>
        </w:rPr>
        <w:t>注：1.投标人</w:t>
      </w:r>
      <w:r>
        <w:rPr>
          <w:rFonts w:hint="eastAsia" w:ascii="宋体" w:hAnsi="宋体" w:cs="宋体"/>
          <w:color w:val="auto"/>
          <w:sz w:val="24"/>
          <w:lang w:eastAsia="zh-CN"/>
        </w:rPr>
        <w:t>应及时维护、完善、更新主体信息库信息</w:t>
      </w:r>
      <w:r>
        <w:rPr>
          <w:rFonts w:hint="eastAsia" w:ascii="宋体" w:hAnsi="宋体" w:cs="宋体"/>
          <w:color w:val="auto"/>
          <w:sz w:val="24"/>
        </w:rPr>
        <w:t>。</w:t>
      </w:r>
    </w:p>
    <w:p w14:paraId="48AF0AE6">
      <w:pPr>
        <w:spacing w:line="360" w:lineRule="auto"/>
        <w:ind w:firstLine="360" w:firstLineChars="150"/>
        <w:rPr>
          <w:rFonts w:ascii="宋体" w:hAnsi="宋体" w:cs="宋体"/>
          <w:color w:val="auto"/>
          <w:sz w:val="24"/>
        </w:rPr>
      </w:pPr>
      <w:r>
        <w:rPr>
          <w:rFonts w:hint="eastAsia" w:ascii="宋体" w:hAnsi="宋体" w:cs="宋体"/>
          <w:color w:val="auto"/>
          <w:sz w:val="24"/>
        </w:rPr>
        <w:t>具体操作详见《三门峡市公共资源交易服务平台（市场主体信息库）操作手册》。链接地址：</w:t>
      </w:r>
    </w:p>
    <w:p w14:paraId="664DD28C">
      <w:pPr>
        <w:spacing w:line="360" w:lineRule="auto"/>
        <w:rPr>
          <w:rFonts w:ascii="宋体" w:hAnsi="宋体" w:cs="宋体"/>
          <w:color w:val="auto"/>
          <w:sz w:val="24"/>
        </w:rPr>
      </w:pPr>
      <w:r>
        <w:rPr>
          <w:rFonts w:hint="eastAsia" w:ascii="宋体" w:hAnsi="宋体" w:cs="宋体"/>
          <w:color w:val="auto"/>
          <w:sz w:val="24"/>
        </w:rPr>
        <w:t>http://gzjy.smx.gov.cn/fwzn/004003/20200325/b13aa3fa-a543-403f-b537-82cb417132bd.html</w:t>
      </w:r>
    </w:p>
    <w:p w14:paraId="738A6FD9">
      <w:pPr>
        <w:pStyle w:val="4"/>
        <w:rPr>
          <w:color w:val="auto"/>
        </w:rPr>
      </w:pPr>
      <w:bookmarkStart w:id="98" w:name="_Toc466759736"/>
      <w:r>
        <w:rPr>
          <w:rFonts w:hint="eastAsia"/>
          <w:color w:val="auto"/>
        </w:rPr>
        <w:t>6. 评标</w:t>
      </w:r>
      <w:bookmarkEnd w:id="98"/>
    </w:p>
    <w:p w14:paraId="120B243F">
      <w:pPr>
        <w:pStyle w:val="4"/>
        <w:spacing w:line="360" w:lineRule="auto"/>
        <w:ind w:firstLine="137"/>
        <w:rPr>
          <w:rFonts w:ascii="宋体" w:hAnsi="宋体" w:cs="宋体"/>
          <w:color w:val="auto"/>
          <w:szCs w:val="24"/>
        </w:rPr>
      </w:pPr>
      <w:bookmarkStart w:id="99" w:name="_Toc466759737"/>
      <w:r>
        <w:rPr>
          <w:rFonts w:hint="eastAsia" w:ascii="宋体" w:hAnsi="宋体" w:cs="宋体"/>
          <w:color w:val="auto"/>
          <w:szCs w:val="24"/>
        </w:rPr>
        <w:t>6.1 评标委员会</w:t>
      </w:r>
      <w:bookmarkEnd w:id="99"/>
    </w:p>
    <w:p w14:paraId="7E76E6A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6.1.1 评标由</w:t>
      </w:r>
      <w:r>
        <w:rPr>
          <w:rFonts w:hint="eastAsia" w:ascii="宋体" w:hAnsi="宋体" w:cs="宋体"/>
          <w:color w:val="auto"/>
          <w:sz w:val="24"/>
          <w:szCs w:val="24"/>
          <w:lang w:eastAsia="zh-CN"/>
        </w:rPr>
        <w:t>采购人</w:t>
      </w:r>
      <w:r>
        <w:rPr>
          <w:rFonts w:hint="eastAsia" w:ascii="宋体" w:hAnsi="宋体" w:cs="宋体"/>
          <w:color w:val="auto"/>
          <w:sz w:val="24"/>
          <w:szCs w:val="24"/>
        </w:rPr>
        <w:t>依法组建的评标委员会负责。</w:t>
      </w:r>
      <w:r>
        <w:rPr>
          <w:rFonts w:hint="eastAsia" w:ascii="宋体" w:hAnsi="宋体" w:cs="宋体"/>
          <w:color w:val="auto"/>
          <w:sz w:val="24"/>
          <w:szCs w:val="24"/>
          <w:lang w:eastAsia="zh-CN"/>
        </w:rPr>
        <w:t>评标委员会由采购人</w:t>
      </w:r>
      <w:r>
        <w:rPr>
          <w:rFonts w:hint="eastAsia" w:ascii="宋体" w:hAnsi="宋体" w:cs="宋体"/>
          <w:color w:val="auto"/>
          <w:sz w:val="24"/>
          <w:szCs w:val="24"/>
          <w:lang w:val="en-US" w:eastAsia="zh-CN"/>
        </w:rPr>
        <w:t>代表</w:t>
      </w:r>
      <w:r>
        <w:rPr>
          <w:rFonts w:hint="eastAsia" w:ascii="宋体" w:hAnsi="宋体" w:cs="宋体"/>
          <w:color w:val="auto"/>
          <w:sz w:val="24"/>
          <w:szCs w:val="24"/>
          <w:lang w:eastAsia="zh-CN"/>
        </w:rPr>
        <w:t>或其委托熟悉相关业务的代表</w:t>
      </w:r>
      <w:r>
        <w:rPr>
          <w:rFonts w:hint="eastAsia" w:ascii="宋体" w:hAnsi="宋体" w:cs="宋体"/>
          <w:color w:val="auto"/>
          <w:sz w:val="24"/>
          <w:szCs w:val="24"/>
        </w:rPr>
        <w:t>，以及有关技术、经济等方面的专家组成。评标委员会成员人数以及技术、经济等方面专家的确定方式见投标人须知前附表。</w:t>
      </w:r>
    </w:p>
    <w:p w14:paraId="4E859C2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6.1.2 评标委员会成员有下列情形之一的，应当回避：</w:t>
      </w:r>
    </w:p>
    <w:p w14:paraId="51AEF630">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（1）投标人或投标人主要负责人的近亲属；</w:t>
      </w:r>
    </w:p>
    <w:p w14:paraId="364B517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（2）项目主管部门或者行政监督部门的人员；</w:t>
      </w:r>
    </w:p>
    <w:p w14:paraId="0B372C8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（3）与投标人有经济利益关系，可能影响对投标公正评审的；</w:t>
      </w:r>
    </w:p>
    <w:p w14:paraId="606CBB9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（4）曾因在招标、评</w:t>
      </w:r>
      <w:bookmarkStart w:id="100" w:name="_Toc300834976"/>
      <w:bookmarkStart w:id="101" w:name="_Toc384308237"/>
      <w:bookmarkStart w:id="102" w:name="_Toc247513979"/>
      <w:bookmarkStart w:id="103" w:name="_Toc152045555"/>
      <w:bookmarkStart w:id="104" w:name="_Toc352691499"/>
      <w:bookmarkStart w:id="105" w:name="_Toc361508612"/>
      <w:bookmarkStart w:id="106" w:name="_Toc369531543"/>
      <w:bookmarkStart w:id="107" w:name="_Toc247527580"/>
      <w:bookmarkStart w:id="108" w:name="_Toc144974523"/>
      <w:bookmarkStart w:id="109" w:name="_Toc152042331"/>
      <w:bookmarkStart w:id="110" w:name="_Toc6230"/>
      <w:r>
        <w:rPr>
          <w:rFonts w:hint="eastAsia" w:ascii="宋体" w:hAnsi="宋体" w:cs="宋体"/>
          <w:color w:val="auto"/>
          <w:sz w:val="24"/>
          <w:szCs w:val="24"/>
        </w:rPr>
        <w:t>标以及其他</w:t>
      </w:r>
      <w:bookmarkEnd w:id="100"/>
      <w:bookmarkEnd w:id="101"/>
      <w:bookmarkEnd w:id="102"/>
      <w:bookmarkEnd w:id="103"/>
      <w:bookmarkEnd w:id="104"/>
      <w:bookmarkEnd w:id="105"/>
      <w:bookmarkEnd w:id="106"/>
      <w:bookmarkEnd w:id="107"/>
      <w:bookmarkEnd w:id="108"/>
      <w:bookmarkEnd w:id="109"/>
      <w:bookmarkEnd w:id="110"/>
      <w:r>
        <w:rPr>
          <w:rFonts w:hint="eastAsia" w:ascii="宋体" w:hAnsi="宋体" w:cs="宋体"/>
          <w:color w:val="auto"/>
          <w:sz w:val="24"/>
          <w:szCs w:val="24"/>
        </w:rPr>
        <w:t>与</w:t>
      </w:r>
      <w:bookmarkStart w:id="111" w:name="_Toc384308238"/>
      <w:bookmarkStart w:id="112" w:name="_Toc300834977"/>
      <w:bookmarkStart w:id="113" w:name="_Toc247513980"/>
      <w:bookmarkStart w:id="114" w:name="_Toc17703"/>
      <w:bookmarkStart w:id="115" w:name="_Toc152042332"/>
      <w:bookmarkStart w:id="116" w:name="_Toc247527581"/>
      <w:bookmarkStart w:id="117" w:name="_Toc361508613"/>
      <w:bookmarkStart w:id="118" w:name="_Toc352691500"/>
      <w:bookmarkStart w:id="119" w:name="_Toc369531544"/>
      <w:bookmarkStart w:id="120" w:name="_Toc144974524"/>
      <w:bookmarkStart w:id="121" w:name="_Toc152045556"/>
      <w:r>
        <w:rPr>
          <w:rFonts w:hint="eastAsia" w:ascii="宋体" w:hAnsi="宋体" w:cs="宋体"/>
          <w:color w:val="auto"/>
          <w:sz w:val="24"/>
          <w:szCs w:val="24"/>
        </w:rPr>
        <w:t>招标投标有关活动中从事违法行</w:t>
      </w:r>
      <w:bookmarkEnd w:id="111"/>
      <w:bookmarkEnd w:id="112"/>
      <w:bookmarkEnd w:id="113"/>
      <w:bookmarkEnd w:id="114"/>
      <w:bookmarkEnd w:id="115"/>
      <w:bookmarkEnd w:id="116"/>
      <w:bookmarkEnd w:id="117"/>
      <w:bookmarkEnd w:id="118"/>
      <w:bookmarkEnd w:id="119"/>
      <w:bookmarkEnd w:id="120"/>
      <w:bookmarkEnd w:id="121"/>
      <w:r>
        <w:rPr>
          <w:rFonts w:hint="eastAsia" w:ascii="宋体" w:hAnsi="宋体" w:cs="宋体"/>
          <w:color w:val="auto"/>
          <w:sz w:val="24"/>
          <w:szCs w:val="24"/>
        </w:rPr>
        <w:t>为而受过行政处罚或刑事处罚的；</w:t>
      </w:r>
    </w:p>
    <w:p w14:paraId="3E571CD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（5）投标人须知前附表规定的回避其他情形。</w:t>
      </w:r>
    </w:p>
    <w:p w14:paraId="26AB53F0">
      <w:pPr>
        <w:spacing w:line="360" w:lineRule="auto"/>
        <w:rPr>
          <w:rFonts w:ascii="宋体" w:hAnsi="宋体" w:cs="宋体"/>
          <w:color w:val="auto"/>
          <w:sz w:val="24"/>
          <w:szCs w:val="24"/>
        </w:rPr>
      </w:pPr>
      <w:r>
        <w:rPr>
          <w:rFonts w:hint="eastAsia" w:ascii="宋体" w:hAnsi="宋体" w:cs="宋体"/>
          <w:color w:val="auto"/>
          <w:sz w:val="24"/>
          <w:szCs w:val="24"/>
        </w:rPr>
        <w:t xml:space="preserve">    6.1.3 评标过程中，评标委员会成员有回避事由、擅离职守或者因健康等原因不能继续评标的，</w:t>
      </w:r>
      <w:r>
        <w:rPr>
          <w:rFonts w:hint="eastAsia" w:ascii="宋体" w:hAnsi="宋体" w:cs="宋体"/>
          <w:color w:val="auto"/>
          <w:sz w:val="24"/>
          <w:szCs w:val="24"/>
          <w:lang w:eastAsia="zh-CN"/>
        </w:rPr>
        <w:t>采购人</w:t>
      </w:r>
      <w:r>
        <w:rPr>
          <w:rFonts w:hint="eastAsia" w:ascii="宋体" w:hAnsi="宋体" w:cs="宋体"/>
          <w:color w:val="auto"/>
          <w:sz w:val="24"/>
          <w:szCs w:val="24"/>
        </w:rPr>
        <w:t>有权更换。被更换的评标委员会成员作出的评审结论无效，由更换后的评标委员会成员重新进行评审。</w:t>
      </w:r>
    </w:p>
    <w:p w14:paraId="32911EBE">
      <w:pPr>
        <w:pStyle w:val="4"/>
        <w:spacing w:line="360" w:lineRule="auto"/>
        <w:ind w:firstLine="137"/>
        <w:rPr>
          <w:rFonts w:ascii="宋体" w:hAnsi="宋体" w:cs="宋体"/>
          <w:color w:val="auto"/>
          <w:szCs w:val="24"/>
        </w:rPr>
      </w:pPr>
      <w:bookmarkStart w:id="122" w:name="_Toc466759738"/>
      <w:r>
        <w:rPr>
          <w:rFonts w:hint="eastAsia" w:ascii="宋体" w:hAnsi="宋体" w:cs="宋体"/>
          <w:color w:val="auto"/>
          <w:szCs w:val="24"/>
        </w:rPr>
        <w:t>6.2 评标原则</w:t>
      </w:r>
      <w:bookmarkEnd w:id="122"/>
      <w:r>
        <w:rPr>
          <w:rFonts w:hint="eastAsia" w:ascii="宋体" w:hAnsi="宋体" w:cs="宋体"/>
          <w:color w:val="auto"/>
          <w:szCs w:val="24"/>
        </w:rPr>
        <w:tab/>
      </w:r>
    </w:p>
    <w:p w14:paraId="600C7850">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评标活动遵循公平、公正、科学和择优的原</w:t>
      </w:r>
      <w:bookmarkStart w:id="123" w:name="_Toc361508614"/>
      <w:bookmarkStart w:id="124" w:name="_Toc369531545"/>
      <w:bookmarkStart w:id="125" w:name="_Toc384308239"/>
      <w:bookmarkStart w:id="126" w:name="_Toc152045557"/>
      <w:bookmarkStart w:id="127" w:name="_Toc247513981"/>
      <w:bookmarkStart w:id="128" w:name="_Toc144974525"/>
      <w:bookmarkStart w:id="129" w:name="_Toc152042333"/>
      <w:bookmarkStart w:id="130" w:name="_Toc352691501"/>
      <w:bookmarkStart w:id="131" w:name="_Toc18949"/>
      <w:bookmarkStart w:id="132" w:name="_Toc247527582"/>
      <w:bookmarkStart w:id="133" w:name="_Toc300834978"/>
      <w:r>
        <w:rPr>
          <w:rFonts w:hint="eastAsia" w:ascii="宋体" w:hAnsi="宋体" w:cs="宋体"/>
          <w:color w:val="auto"/>
          <w:sz w:val="24"/>
          <w:szCs w:val="24"/>
        </w:rPr>
        <w:t>则。</w:t>
      </w:r>
    </w:p>
    <w:p w14:paraId="0CFD4BDB">
      <w:pPr>
        <w:pStyle w:val="4"/>
        <w:spacing w:line="360" w:lineRule="auto"/>
        <w:ind w:firstLine="137"/>
        <w:rPr>
          <w:rFonts w:ascii="宋体" w:hAnsi="宋体" w:cs="宋体"/>
          <w:color w:val="auto"/>
          <w:szCs w:val="24"/>
        </w:rPr>
      </w:pPr>
      <w:bookmarkStart w:id="134" w:name="_Toc466759739"/>
      <w:r>
        <w:rPr>
          <w:rFonts w:hint="eastAsia" w:ascii="宋体" w:hAnsi="宋体" w:cs="宋体"/>
          <w:color w:val="auto"/>
          <w:szCs w:val="24"/>
        </w:rPr>
        <w:t>6.3 评标</w:t>
      </w:r>
      <w:bookmarkEnd w:id="134"/>
    </w:p>
    <w:bookmarkEnd w:id="123"/>
    <w:bookmarkEnd w:id="124"/>
    <w:bookmarkEnd w:id="125"/>
    <w:bookmarkEnd w:id="126"/>
    <w:bookmarkEnd w:id="127"/>
    <w:bookmarkEnd w:id="128"/>
    <w:bookmarkEnd w:id="129"/>
    <w:bookmarkEnd w:id="130"/>
    <w:bookmarkEnd w:id="131"/>
    <w:bookmarkEnd w:id="132"/>
    <w:bookmarkEnd w:id="133"/>
    <w:p w14:paraId="7C6A4E7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6.3.1评标委员会按照第三章“评标办法”规定的方法、评审因素、标准和程序对投标文件进行评审。第三章“评标办法”没有规定的方法、评审因素和标准，不作为评标依据。</w:t>
      </w:r>
    </w:p>
    <w:p w14:paraId="2F2F455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6.3.2评标完成后，评标委员会应当向</w:t>
      </w:r>
      <w:r>
        <w:rPr>
          <w:rFonts w:hint="eastAsia" w:ascii="宋体" w:hAnsi="宋体" w:cs="宋体"/>
          <w:color w:val="auto"/>
          <w:sz w:val="24"/>
          <w:szCs w:val="24"/>
          <w:lang w:eastAsia="zh-CN"/>
        </w:rPr>
        <w:t>采购人</w:t>
      </w:r>
      <w:r>
        <w:rPr>
          <w:rFonts w:hint="eastAsia" w:ascii="宋体" w:hAnsi="宋体" w:cs="宋体"/>
          <w:color w:val="auto"/>
          <w:sz w:val="24"/>
          <w:szCs w:val="24"/>
        </w:rPr>
        <w:t>提交书面评标报告和中标候选人名单。评标委员会推荐中标</w:t>
      </w:r>
      <w:bookmarkStart w:id="135" w:name="_Toc247513982"/>
      <w:bookmarkStart w:id="136" w:name="_Toc384308240"/>
      <w:bookmarkStart w:id="137" w:name="_Toc247527583"/>
      <w:bookmarkStart w:id="138" w:name="_Toc300834979"/>
      <w:bookmarkStart w:id="139" w:name="_Toc361508615"/>
      <w:bookmarkStart w:id="140" w:name="_Toc12259"/>
      <w:bookmarkStart w:id="141" w:name="_Toc152042334"/>
      <w:bookmarkStart w:id="142" w:name="_Toc152045558"/>
      <w:bookmarkStart w:id="143" w:name="_Toc352691502"/>
      <w:bookmarkStart w:id="144" w:name="_Toc369531546"/>
      <w:bookmarkStart w:id="145" w:name="_Toc144974526"/>
      <w:r>
        <w:rPr>
          <w:rFonts w:hint="eastAsia" w:ascii="宋体" w:hAnsi="宋体" w:cs="宋体"/>
          <w:color w:val="auto"/>
          <w:sz w:val="24"/>
          <w:szCs w:val="24"/>
        </w:rPr>
        <w:t>候选人的人数见投标人须知前附</w:t>
      </w:r>
      <w:bookmarkEnd w:id="135"/>
      <w:bookmarkEnd w:id="136"/>
      <w:bookmarkEnd w:id="137"/>
      <w:bookmarkEnd w:id="138"/>
      <w:bookmarkEnd w:id="139"/>
      <w:bookmarkEnd w:id="140"/>
      <w:bookmarkEnd w:id="141"/>
      <w:bookmarkEnd w:id="142"/>
      <w:bookmarkEnd w:id="143"/>
      <w:bookmarkEnd w:id="144"/>
      <w:bookmarkEnd w:id="145"/>
      <w:r>
        <w:rPr>
          <w:rFonts w:hint="eastAsia" w:ascii="宋体" w:hAnsi="宋体" w:cs="宋体"/>
          <w:color w:val="auto"/>
          <w:sz w:val="24"/>
          <w:szCs w:val="24"/>
        </w:rPr>
        <w:t>表。</w:t>
      </w:r>
    </w:p>
    <w:p w14:paraId="3360E49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6.3.3投标人在投标截止时间前递交的投标文件，无论其中标与否，概不退还。</w:t>
      </w:r>
    </w:p>
    <w:p w14:paraId="7C6F2CCA">
      <w:pPr>
        <w:pStyle w:val="4"/>
        <w:rPr>
          <w:color w:val="auto"/>
        </w:rPr>
      </w:pPr>
      <w:bookmarkStart w:id="146" w:name="_Toc466759740"/>
      <w:r>
        <w:rPr>
          <w:rFonts w:hint="eastAsia"/>
          <w:color w:val="auto"/>
        </w:rPr>
        <w:t xml:space="preserve">7. </w:t>
      </w:r>
      <w:r>
        <w:rPr>
          <w:rFonts w:hint="eastAsia"/>
          <w:color w:val="auto"/>
          <w:lang w:val="en-US" w:eastAsia="zh-CN"/>
        </w:rPr>
        <w:t>中标和</w:t>
      </w:r>
      <w:r>
        <w:rPr>
          <w:rFonts w:hint="eastAsia"/>
          <w:color w:val="auto"/>
        </w:rPr>
        <w:t>合同授予</w:t>
      </w:r>
      <w:bookmarkEnd w:id="146"/>
    </w:p>
    <w:p w14:paraId="14887E23">
      <w:pPr>
        <w:pStyle w:val="4"/>
        <w:spacing w:line="360" w:lineRule="auto"/>
        <w:ind w:firstLine="137"/>
        <w:rPr>
          <w:rFonts w:ascii="宋体" w:hAnsi="宋体" w:cs="宋体"/>
          <w:color w:val="auto"/>
          <w:szCs w:val="24"/>
        </w:rPr>
      </w:pPr>
      <w:bookmarkStart w:id="147" w:name="_Toc466759741"/>
      <w:r>
        <w:rPr>
          <w:rFonts w:hint="eastAsia" w:ascii="宋体" w:hAnsi="宋体" w:cs="宋体"/>
          <w:color w:val="auto"/>
          <w:szCs w:val="24"/>
        </w:rPr>
        <w:t xml:space="preserve">7.1 </w:t>
      </w:r>
      <w:bookmarkEnd w:id="147"/>
      <w:r>
        <w:rPr>
          <w:rFonts w:hint="eastAsia" w:ascii="宋体" w:hAnsi="宋体" w:cs="宋体"/>
          <w:color w:val="auto"/>
          <w:szCs w:val="24"/>
        </w:rPr>
        <w:t>定标</w:t>
      </w:r>
    </w:p>
    <w:p w14:paraId="3717E84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eastAsia="zh-CN"/>
        </w:rPr>
        <w:t>采购人</w:t>
      </w:r>
      <w:r>
        <w:rPr>
          <w:rFonts w:hint="eastAsia" w:ascii="宋体" w:hAnsi="宋体" w:cs="宋体"/>
          <w:color w:val="auto"/>
          <w:sz w:val="24"/>
          <w:szCs w:val="24"/>
        </w:rPr>
        <w:t>根据评标委员会提交的评标报告，依法确定中标人。</w:t>
      </w:r>
    </w:p>
    <w:p w14:paraId="331FE0F6">
      <w:pPr>
        <w:pStyle w:val="4"/>
        <w:spacing w:line="360" w:lineRule="auto"/>
        <w:ind w:firstLine="137"/>
        <w:rPr>
          <w:rFonts w:hint="default" w:ascii="宋体" w:hAnsi="宋体" w:eastAsia="宋体" w:cs="宋体"/>
          <w:color w:val="auto"/>
          <w:szCs w:val="24"/>
          <w:lang w:val="en-US" w:eastAsia="zh-CN"/>
        </w:rPr>
      </w:pPr>
      <w:bookmarkStart w:id="148" w:name="_Toc466759742"/>
      <w:r>
        <w:rPr>
          <w:rFonts w:hint="eastAsia" w:ascii="宋体" w:hAnsi="宋体" w:cs="宋体"/>
          <w:color w:val="auto"/>
          <w:szCs w:val="24"/>
        </w:rPr>
        <w:t xml:space="preserve">7.2 </w:t>
      </w:r>
      <w:bookmarkEnd w:id="148"/>
      <w:r>
        <w:rPr>
          <w:rFonts w:hint="eastAsia" w:ascii="宋体" w:hAnsi="宋体" w:cs="宋体"/>
          <w:color w:val="auto"/>
          <w:szCs w:val="24"/>
          <w:lang w:val="en-US" w:eastAsia="zh-CN"/>
        </w:rPr>
        <w:t>中标结果公告</w:t>
      </w:r>
    </w:p>
    <w:p w14:paraId="525DA36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采购人</w:t>
      </w:r>
      <w:r>
        <w:rPr>
          <w:rFonts w:hint="eastAsia" w:ascii="宋体" w:hAnsi="宋体" w:cs="宋体"/>
          <w:color w:val="auto"/>
          <w:sz w:val="24"/>
          <w:szCs w:val="24"/>
        </w:rPr>
        <w:t>或者采购代理机构应当自中标人确定之日起2个工作日内，在</w:t>
      </w:r>
      <w:r>
        <w:rPr>
          <w:rFonts w:hint="eastAsia" w:ascii="宋体" w:hAnsi="宋体" w:cs="宋体"/>
          <w:color w:val="auto"/>
          <w:sz w:val="24"/>
          <w:szCs w:val="24"/>
          <w:lang w:val="en-US" w:eastAsia="zh-CN"/>
        </w:rPr>
        <w:t>投标人须知前附表中规</w:t>
      </w:r>
      <w:r>
        <w:rPr>
          <w:rFonts w:hint="eastAsia" w:ascii="宋体" w:hAnsi="宋体" w:cs="宋体"/>
          <w:color w:val="auto"/>
          <w:sz w:val="24"/>
          <w:szCs w:val="24"/>
        </w:rPr>
        <w:t>定的媒体上公告中标结果，招标文件应当随中标结果同时公告</w:t>
      </w:r>
      <w:r>
        <w:rPr>
          <w:rFonts w:hint="eastAsia" w:ascii="宋体" w:hAnsi="宋体" w:cs="宋体"/>
          <w:color w:val="auto"/>
          <w:sz w:val="24"/>
          <w:szCs w:val="24"/>
          <w:lang w:eastAsia="zh-CN"/>
        </w:rPr>
        <w:t>。中标公告期限为1个工作日。</w:t>
      </w:r>
    </w:p>
    <w:p w14:paraId="07B8DAC6">
      <w:pPr>
        <w:pStyle w:val="4"/>
        <w:spacing w:line="360" w:lineRule="auto"/>
        <w:ind w:firstLine="137"/>
        <w:rPr>
          <w:rFonts w:hint="eastAsia" w:ascii="宋体" w:hAnsi="宋体" w:eastAsia="宋体" w:cs="宋体"/>
          <w:color w:val="auto"/>
          <w:szCs w:val="24"/>
          <w:lang w:eastAsia="zh-CN"/>
        </w:rPr>
      </w:pPr>
      <w:bookmarkStart w:id="149" w:name="_Toc466759744"/>
      <w:r>
        <w:rPr>
          <w:rFonts w:hint="eastAsia" w:ascii="宋体" w:hAnsi="宋体" w:cs="宋体"/>
          <w:color w:val="auto"/>
          <w:szCs w:val="24"/>
        </w:rPr>
        <w:t xml:space="preserve">7.3 </w:t>
      </w:r>
      <w:bookmarkEnd w:id="149"/>
      <w:r>
        <w:rPr>
          <w:rFonts w:hint="eastAsia" w:ascii="宋体" w:hAnsi="宋体" w:cs="宋体"/>
          <w:color w:val="auto"/>
          <w:szCs w:val="24"/>
          <w:lang w:eastAsia="zh-CN"/>
        </w:rPr>
        <w:t>中标结果异议</w:t>
      </w:r>
    </w:p>
    <w:p w14:paraId="627B943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投标人或者其他利</w:t>
      </w:r>
      <w:bookmarkStart w:id="150" w:name="_Toc384308243"/>
      <w:bookmarkStart w:id="151" w:name="_Toc369531549"/>
      <w:bookmarkStart w:id="152" w:name="_Toc300834982"/>
      <w:bookmarkStart w:id="153" w:name="_Toc352691505"/>
      <w:bookmarkStart w:id="154" w:name="_Toc361508618"/>
      <w:bookmarkStart w:id="155" w:name="_Toc144974529"/>
      <w:bookmarkStart w:id="156" w:name="_Toc247527586"/>
      <w:bookmarkStart w:id="157" w:name="_Toc247513985"/>
      <w:bookmarkStart w:id="158" w:name="_Toc152042337"/>
      <w:bookmarkStart w:id="159" w:name="_Toc30095"/>
      <w:bookmarkStart w:id="160" w:name="_Toc152045561"/>
      <w:r>
        <w:rPr>
          <w:rFonts w:hint="eastAsia" w:ascii="宋体" w:hAnsi="宋体" w:cs="宋体"/>
          <w:color w:val="auto"/>
          <w:sz w:val="24"/>
          <w:szCs w:val="24"/>
        </w:rPr>
        <w:t>害关系人对</w:t>
      </w:r>
      <w:r>
        <w:rPr>
          <w:rFonts w:hint="eastAsia" w:ascii="宋体" w:hAnsi="宋体" w:cs="宋体"/>
          <w:color w:val="auto"/>
          <w:sz w:val="24"/>
          <w:szCs w:val="24"/>
          <w:lang w:val="en-US" w:eastAsia="zh-CN"/>
        </w:rPr>
        <w:t>中标</w:t>
      </w:r>
      <w:r>
        <w:rPr>
          <w:rFonts w:hint="eastAsia" w:ascii="宋体" w:hAnsi="宋体" w:cs="宋体"/>
          <w:color w:val="auto"/>
          <w:sz w:val="24"/>
          <w:szCs w:val="24"/>
        </w:rPr>
        <w:t>结</w:t>
      </w:r>
      <w:bookmarkEnd w:id="150"/>
      <w:bookmarkEnd w:id="151"/>
      <w:bookmarkEnd w:id="152"/>
      <w:bookmarkEnd w:id="153"/>
      <w:bookmarkEnd w:id="154"/>
      <w:bookmarkEnd w:id="155"/>
      <w:bookmarkEnd w:id="156"/>
      <w:bookmarkEnd w:id="157"/>
      <w:bookmarkEnd w:id="158"/>
      <w:bookmarkEnd w:id="159"/>
      <w:bookmarkEnd w:id="160"/>
      <w:r>
        <w:rPr>
          <w:rFonts w:hint="eastAsia" w:ascii="宋体" w:hAnsi="宋体" w:cs="宋体"/>
          <w:color w:val="auto"/>
          <w:sz w:val="24"/>
          <w:szCs w:val="24"/>
        </w:rPr>
        <w:t>果有异议的，</w:t>
      </w:r>
      <w:r>
        <w:rPr>
          <w:rFonts w:ascii="Arial" w:hAnsi="Arial" w:eastAsia="宋体" w:cs="Arial"/>
          <w:color w:val="auto"/>
          <w:kern w:val="0"/>
          <w:sz w:val="24"/>
          <w:szCs w:val="24"/>
        </w:rPr>
        <w:t>可以在</w:t>
      </w:r>
      <w:r>
        <w:rPr>
          <w:rFonts w:hint="eastAsia" w:ascii="Arial" w:hAnsi="Arial" w:eastAsia="宋体" w:cs="Arial"/>
          <w:color w:val="auto"/>
          <w:kern w:val="0"/>
          <w:sz w:val="24"/>
          <w:szCs w:val="24"/>
          <w:lang w:val="en-US" w:eastAsia="zh-CN"/>
        </w:rPr>
        <w:t>中标公告发布</w:t>
      </w:r>
      <w:r>
        <w:rPr>
          <w:rFonts w:ascii="Arial" w:hAnsi="Arial" w:eastAsia="宋体" w:cs="Arial"/>
          <w:color w:val="auto"/>
          <w:kern w:val="0"/>
          <w:sz w:val="24"/>
          <w:szCs w:val="24"/>
        </w:rPr>
        <w:t>之日起</w:t>
      </w:r>
      <w:r>
        <w:rPr>
          <w:rFonts w:hint="eastAsia" w:ascii="宋体" w:hAnsi="宋体" w:eastAsia="宋体" w:cs="宋体"/>
          <w:color w:val="auto"/>
          <w:kern w:val="0"/>
          <w:sz w:val="24"/>
          <w:szCs w:val="24"/>
        </w:rPr>
        <w:t>7</w:t>
      </w:r>
      <w:r>
        <w:rPr>
          <w:rFonts w:ascii="Arial" w:hAnsi="Arial" w:eastAsia="宋体" w:cs="Arial"/>
          <w:color w:val="auto"/>
          <w:kern w:val="0"/>
          <w:sz w:val="24"/>
          <w:szCs w:val="24"/>
        </w:rPr>
        <w:t>个工作日内，以书面形式向</w:t>
      </w:r>
      <w:r>
        <w:rPr>
          <w:rFonts w:hint="eastAsia" w:ascii="Arial" w:hAnsi="Arial" w:cs="Arial"/>
          <w:color w:val="auto"/>
          <w:kern w:val="0"/>
          <w:sz w:val="24"/>
          <w:szCs w:val="24"/>
          <w:lang w:val="en-US" w:eastAsia="zh-CN"/>
        </w:rPr>
        <w:t>采购人</w:t>
      </w:r>
      <w:r>
        <w:rPr>
          <w:rFonts w:ascii="Arial" w:hAnsi="Arial" w:eastAsia="宋体" w:cs="Arial"/>
          <w:color w:val="auto"/>
          <w:kern w:val="0"/>
          <w:sz w:val="24"/>
          <w:szCs w:val="24"/>
        </w:rPr>
        <w:t>、采购代理机构提出质疑。</w:t>
      </w:r>
      <w:r>
        <w:rPr>
          <w:rFonts w:hint="eastAsia" w:ascii="Arial" w:hAnsi="Arial" w:cs="Arial"/>
          <w:color w:val="auto"/>
          <w:kern w:val="0"/>
          <w:sz w:val="24"/>
          <w:szCs w:val="24"/>
          <w:lang w:val="en-US" w:eastAsia="zh-CN"/>
        </w:rPr>
        <w:t>采购人</w:t>
      </w:r>
      <w:r>
        <w:rPr>
          <w:rFonts w:ascii="Arial" w:hAnsi="Arial" w:eastAsia="宋体" w:cs="Arial"/>
          <w:color w:val="auto"/>
          <w:kern w:val="0"/>
          <w:sz w:val="24"/>
          <w:szCs w:val="24"/>
        </w:rPr>
        <w:t>、采购代理机构应当在收到质疑函后</w:t>
      </w:r>
      <w:r>
        <w:rPr>
          <w:rFonts w:hint="eastAsia" w:ascii="宋体" w:hAnsi="宋体" w:eastAsia="宋体" w:cs="宋体"/>
          <w:color w:val="auto"/>
          <w:kern w:val="0"/>
          <w:sz w:val="24"/>
          <w:szCs w:val="24"/>
        </w:rPr>
        <w:t>7</w:t>
      </w:r>
      <w:r>
        <w:rPr>
          <w:rFonts w:ascii="Arial" w:hAnsi="Arial" w:eastAsia="宋体" w:cs="Arial"/>
          <w:color w:val="auto"/>
          <w:kern w:val="0"/>
          <w:sz w:val="24"/>
          <w:szCs w:val="24"/>
        </w:rPr>
        <w:t>个工作日内作出答复，并以书面形式通知质疑</w:t>
      </w:r>
      <w:r>
        <w:rPr>
          <w:rFonts w:hint="eastAsia" w:ascii="Arial" w:hAnsi="Arial" w:cs="Arial"/>
          <w:color w:val="auto"/>
          <w:kern w:val="0"/>
          <w:sz w:val="24"/>
          <w:szCs w:val="24"/>
          <w:lang w:val="en-US" w:eastAsia="zh-CN"/>
        </w:rPr>
        <w:t>投标人</w:t>
      </w:r>
      <w:r>
        <w:rPr>
          <w:rFonts w:ascii="Arial" w:hAnsi="Arial" w:eastAsia="宋体" w:cs="Arial"/>
          <w:color w:val="auto"/>
          <w:kern w:val="0"/>
          <w:sz w:val="24"/>
          <w:szCs w:val="24"/>
        </w:rPr>
        <w:t>和其他有关</w:t>
      </w:r>
      <w:r>
        <w:rPr>
          <w:rFonts w:hint="eastAsia" w:ascii="Arial" w:hAnsi="Arial" w:cs="Arial"/>
          <w:color w:val="auto"/>
          <w:kern w:val="0"/>
          <w:sz w:val="24"/>
          <w:szCs w:val="24"/>
          <w:lang w:val="en-US" w:eastAsia="zh-CN"/>
        </w:rPr>
        <w:t>投标人</w:t>
      </w:r>
      <w:r>
        <w:rPr>
          <w:rFonts w:hint="eastAsia" w:ascii="Arial" w:hAnsi="Arial" w:eastAsia="宋体" w:cs="Arial"/>
          <w:color w:val="auto"/>
          <w:kern w:val="0"/>
          <w:sz w:val="24"/>
          <w:szCs w:val="24"/>
          <w:lang w:eastAsia="zh-CN"/>
        </w:rPr>
        <w:t>。</w:t>
      </w:r>
    </w:p>
    <w:p w14:paraId="574A0564">
      <w:pPr>
        <w:pStyle w:val="4"/>
        <w:spacing w:line="360" w:lineRule="auto"/>
        <w:ind w:firstLine="137"/>
        <w:rPr>
          <w:rFonts w:ascii="宋体" w:hAnsi="宋体" w:cs="宋体"/>
          <w:color w:val="auto"/>
          <w:szCs w:val="24"/>
        </w:rPr>
      </w:pPr>
      <w:bookmarkStart w:id="161" w:name="_Toc466759745"/>
      <w:r>
        <w:rPr>
          <w:rFonts w:hint="eastAsia" w:ascii="宋体" w:hAnsi="宋体" w:cs="宋体"/>
          <w:color w:val="auto"/>
          <w:szCs w:val="24"/>
        </w:rPr>
        <w:t>7.4 中标通知</w:t>
      </w:r>
      <w:bookmarkEnd w:id="161"/>
    </w:p>
    <w:p w14:paraId="22328EF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在本章第3.3款规定的投标有效期内，</w:t>
      </w:r>
      <w:r>
        <w:rPr>
          <w:rFonts w:hint="eastAsia" w:ascii="宋体" w:hAnsi="宋体" w:cs="宋体"/>
          <w:color w:val="auto"/>
          <w:sz w:val="24"/>
          <w:szCs w:val="24"/>
          <w:lang w:eastAsia="zh-CN"/>
        </w:rPr>
        <w:t>采购人</w:t>
      </w:r>
      <w:r>
        <w:rPr>
          <w:rFonts w:hint="eastAsia" w:ascii="宋体" w:hAnsi="宋体" w:cs="宋体"/>
          <w:color w:val="auto"/>
          <w:sz w:val="24"/>
          <w:szCs w:val="24"/>
        </w:rPr>
        <w:t>以书面形式向中标人发出中标</w:t>
      </w:r>
      <w:bookmarkStart w:id="162" w:name="_Toc369531550"/>
      <w:bookmarkStart w:id="163" w:name="_Toc352691506"/>
      <w:bookmarkStart w:id="164" w:name="_Toc300834983"/>
      <w:bookmarkStart w:id="165" w:name="_Toc384308244"/>
      <w:bookmarkStart w:id="166" w:name="_Toc5668"/>
      <w:bookmarkStart w:id="167" w:name="_Toc361508619"/>
      <w:r>
        <w:rPr>
          <w:rFonts w:hint="eastAsia" w:ascii="宋体" w:hAnsi="宋体" w:cs="宋体"/>
          <w:color w:val="auto"/>
          <w:sz w:val="24"/>
          <w:szCs w:val="24"/>
        </w:rPr>
        <w:t>通知书，同时将中</w:t>
      </w:r>
      <w:bookmarkEnd w:id="162"/>
      <w:bookmarkEnd w:id="163"/>
      <w:bookmarkEnd w:id="164"/>
      <w:bookmarkEnd w:id="165"/>
      <w:bookmarkEnd w:id="166"/>
      <w:bookmarkEnd w:id="167"/>
      <w:r>
        <w:rPr>
          <w:rFonts w:hint="eastAsia" w:ascii="宋体" w:hAnsi="宋体" w:cs="宋体"/>
          <w:color w:val="auto"/>
          <w:sz w:val="24"/>
          <w:szCs w:val="24"/>
        </w:rPr>
        <w:t>标结果通知未中标的投标人。</w:t>
      </w:r>
    </w:p>
    <w:p w14:paraId="77F72A5B">
      <w:pPr>
        <w:pStyle w:val="4"/>
        <w:spacing w:line="360" w:lineRule="auto"/>
        <w:ind w:firstLine="137"/>
        <w:rPr>
          <w:rFonts w:ascii="宋体" w:hAnsi="宋体" w:cs="宋体"/>
          <w:color w:val="auto"/>
          <w:szCs w:val="24"/>
        </w:rPr>
      </w:pPr>
      <w:bookmarkStart w:id="168" w:name="_Toc466759746"/>
      <w:r>
        <w:rPr>
          <w:rFonts w:hint="eastAsia" w:ascii="宋体" w:hAnsi="宋体" w:cs="宋体"/>
          <w:color w:val="auto"/>
          <w:szCs w:val="24"/>
        </w:rPr>
        <w:t>7.6 履约担保</w:t>
      </w:r>
      <w:bookmarkEnd w:id="168"/>
    </w:p>
    <w:p w14:paraId="270D1E2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本项目不收取履约保证金。中标人必须严格、诚信履约，非因不可抗因素外，不得违约；因中标人违约给</w:t>
      </w:r>
      <w:r>
        <w:rPr>
          <w:rFonts w:hint="eastAsia" w:ascii="宋体" w:hAnsi="宋体" w:cs="宋体"/>
          <w:color w:val="auto"/>
          <w:sz w:val="24"/>
          <w:szCs w:val="24"/>
          <w:lang w:eastAsia="zh-CN"/>
        </w:rPr>
        <w:t>采购人</w:t>
      </w:r>
      <w:r>
        <w:rPr>
          <w:rFonts w:hint="eastAsia" w:ascii="宋体" w:hAnsi="宋体" w:cs="宋体"/>
          <w:color w:val="auto"/>
          <w:sz w:val="24"/>
          <w:szCs w:val="24"/>
        </w:rPr>
        <w:t>造成损失的，中标人应赔偿</w:t>
      </w:r>
      <w:r>
        <w:rPr>
          <w:rFonts w:hint="eastAsia" w:ascii="宋体" w:hAnsi="宋体" w:cs="宋体"/>
          <w:color w:val="auto"/>
          <w:sz w:val="24"/>
          <w:szCs w:val="24"/>
          <w:lang w:eastAsia="zh-CN"/>
        </w:rPr>
        <w:t>采购人</w:t>
      </w:r>
      <w:r>
        <w:rPr>
          <w:rFonts w:hint="eastAsia" w:ascii="宋体" w:hAnsi="宋体" w:cs="宋体"/>
          <w:color w:val="auto"/>
          <w:sz w:val="24"/>
          <w:szCs w:val="24"/>
        </w:rPr>
        <w:t>相应损失，否则，</w:t>
      </w:r>
      <w:r>
        <w:rPr>
          <w:rFonts w:hint="eastAsia" w:ascii="宋体" w:hAnsi="宋体" w:cs="宋体"/>
          <w:color w:val="auto"/>
          <w:sz w:val="24"/>
          <w:szCs w:val="24"/>
          <w:lang w:eastAsia="zh-CN"/>
        </w:rPr>
        <w:t>采购人</w:t>
      </w:r>
      <w:r>
        <w:rPr>
          <w:rFonts w:hint="eastAsia" w:ascii="宋体" w:hAnsi="宋体" w:cs="宋体"/>
          <w:color w:val="auto"/>
          <w:sz w:val="24"/>
          <w:szCs w:val="24"/>
        </w:rPr>
        <w:t>有权向监督部门请求将该投标人列入政府采购严重违法失信行为记录名单，并向所在地人民法院起诉，维护自身合法权益。</w:t>
      </w:r>
    </w:p>
    <w:p w14:paraId="21C19D76">
      <w:pPr>
        <w:pStyle w:val="4"/>
        <w:spacing w:line="360" w:lineRule="auto"/>
        <w:ind w:firstLine="137"/>
        <w:rPr>
          <w:rFonts w:ascii="宋体" w:hAnsi="宋体" w:cs="宋体"/>
          <w:color w:val="auto"/>
          <w:szCs w:val="24"/>
        </w:rPr>
      </w:pPr>
      <w:bookmarkStart w:id="169" w:name="_Toc466759747"/>
      <w:r>
        <w:rPr>
          <w:rFonts w:hint="eastAsia" w:ascii="宋体" w:hAnsi="宋体" w:cs="宋体"/>
          <w:color w:val="auto"/>
          <w:szCs w:val="24"/>
        </w:rPr>
        <w:t>7.7 签订合同</w:t>
      </w:r>
      <w:bookmarkEnd w:id="169"/>
    </w:p>
    <w:p w14:paraId="2514DD4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7.7.1 </w:t>
      </w:r>
      <w:r>
        <w:rPr>
          <w:rFonts w:hint="eastAsia" w:ascii="宋体" w:hAnsi="宋体" w:cs="宋体"/>
          <w:color w:val="auto"/>
          <w:sz w:val="24"/>
          <w:szCs w:val="24"/>
          <w:lang w:eastAsia="zh-CN"/>
        </w:rPr>
        <w:t>采购人</w:t>
      </w:r>
      <w:r>
        <w:rPr>
          <w:rFonts w:hint="eastAsia" w:ascii="宋体" w:hAnsi="宋体" w:cs="宋体"/>
          <w:color w:val="auto"/>
          <w:sz w:val="24"/>
          <w:szCs w:val="24"/>
        </w:rPr>
        <w:t>和中标人应当在中标通知书发出之日起</w:t>
      </w:r>
      <w:bookmarkStart w:id="170" w:name="_Toc247527589"/>
      <w:bookmarkStart w:id="171" w:name="_Toc247513988"/>
      <w:bookmarkStart w:id="172" w:name="_Toc361508622"/>
      <w:bookmarkStart w:id="173" w:name="_Toc369531553"/>
      <w:bookmarkStart w:id="174" w:name="_Toc300834986"/>
      <w:bookmarkStart w:id="175" w:name="_Toc4656"/>
      <w:bookmarkStart w:id="176" w:name="_Toc152045564"/>
      <w:bookmarkStart w:id="177" w:name="_Toc384308247"/>
      <w:bookmarkStart w:id="178" w:name="_Toc352691509"/>
      <w:bookmarkStart w:id="179" w:name="_Toc144974532"/>
      <w:bookmarkStart w:id="180" w:name="_Toc152042340"/>
      <w:r>
        <w:rPr>
          <w:rFonts w:hint="eastAsia" w:ascii="宋体" w:hAnsi="宋体" w:cs="宋体"/>
          <w:color w:val="auto"/>
          <w:sz w:val="24"/>
          <w:szCs w:val="24"/>
        </w:rPr>
        <w:t>30日内，根据招</w:t>
      </w:r>
      <w:bookmarkEnd w:id="170"/>
      <w:bookmarkEnd w:id="171"/>
      <w:bookmarkEnd w:id="172"/>
      <w:bookmarkEnd w:id="173"/>
      <w:bookmarkEnd w:id="174"/>
      <w:bookmarkEnd w:id="175"/>
      <w:bookmarkEnd w:id="176"/>
      <w:bookmarkEnd w:id="177"/>
      <w:bookmarkEnd w:id="178"/>
      <w:bookmarkEnd w:id="179"/>
      <w:bookmarkEnd w:id="180"/>
      <w:r>
        <w:rPr>
          <w:rFonts w:hint="eastAsia" w:ascii="宋体" w:hAnsi="宋体" w:cs="宋体"/>
          <w:color w:val="auto"/>
          <w:sz w:val="24"/>
          <w:szCs w:val="24"/>
        </w:rPr>
        <w:t>标文件和中标人的投标文件订立书面合同。中标人无正</w:t>
      </w:r>
      <w:bookmarkStart w:id="181" w:name="_Toc352691510"/>
      <w:bookmarkStart w:id="182" w:name="_Toc300834987"/>
      <w:bookmarkStart w:id="183" w:name="_Toc247527590"/>
      <w:bookmarkStart w:id="184" w:name="_Toc384308248"/>
      <w:bookmarkStart w:id="185" w:name="_Toc369531554"/>
      <w:bookmarkStart w:id="186" w:name="_Toc144974533"/>
      <w:bookmarkStart w:id="187" w:name="_Toc18247"/>
      <w:bookmarkStart w:id="188" w:name="_Toc247513989"/>
      <w:bookmarkStart w:id="189" w:name="_Toc152042341"/>
      <w:bookmarkStart w:id="190" w:name="_Toc361508623"/>
      <w:bookmarkStart w:id="191" w:name="_Toc152045565"/>
      <w:r>
        <w:rPr>
          <w:rFonts w:hint="eastAsia" w:ascii="宋体" w:hAnsi="宋体" w:cs="宋体"/>
          <w:color w:val="auto"/>
          <w:sz w:val="24"/>
          <w:szCs w:val="24"/>
        </w:rPr>
        <w:t>当理由拒签合</w:t>
      </w:r>
      <w:bookmarkEnd w:id="181"/>
      <w:bookmarkEnd w:id="182"/>
      <w:bookmarkEnd w:id="183"/>
      <w:bookmarkEnd w:id="184"/>
      <w:bookmarkEnd w:id="185"/>
      <w:bookmarkEnd w:id="186"/>
      <w:bookmarkEnd w:id="187"/>
      <w:bookmarkEnd w:id="188"/>
      <w:bookmarkEnd w:id="189"/>
      <w:bookmarkEnd w:id="190"/>
      <w:bookmarkEnd w:id="191"/>
      <w:r>
        <w:rPr>
          <w:rFonts w:hint="eastAsia" w:ascii="宋体" w:hAnsi="宋体" w:cs="宋体"/>
          <w:color w:val="auto"/>
          <w:sz w:val="24"/>
          <w:szCs w:val="24"/>
        </w:rPr>
        <w:t>同，或者提出其他附加条件的，</w:t>
      </w:r>
      <w:r>
        <w:rPr>
          <w:rFonts w:hint="eastAsia" w:ascii="宋体" w:hAnsi="宋体" w:cs="宋体"/>
          <w:color w:val="auto"/>
          <w:sz w:val="24"/>
          <w:szCs w:val="24"/>
          <w:lang w:eastAsia="zh-CN"/>
        </w:rPr>
        <w:t>采购人</w:t>
      </w:r>
      <w:r>
        <w:rPr>
          <w:rFonts w:hint="eastAsia" w:ascii="宋体" w:hAnsi="宋体" w:cs="宋体"/>
          <w:color w:val="auto"/>
          <w:sz w:val="24"/>
          <w:szCs w:val="24"/>
        </w:rPr>
        <w:t>有权取消其中标资格；给</w:t>
      </w:r>
      <w:r>
        <w:rPr>
          <w:rFonts w:hint="eastAsia" w:ascii="宋体" w:hAnsi="宋体" w:cs="宋体"/>
          <w:color w:val="auto"/>
          <w:sz w:val="24"/>
          <w:szCs w:val="24"/>
          <w:lang w:eastAsia="zh-CN"/>
        </w:rPr>
        <w:t>采购人</w:t>
      </w:r>
      <w:r>
        <w:rPr>
          <w:rFonts w:hint="eastAsia" w:ascii="宋体" w:hAnsi="宋体" w:cs="宋体"/>
          <w:color w:val="auto"/>
          <w:sz w:val="24"/>
          <w:szCs w:val="24"/>
        </w:rPr>
        <w:t>造成损失的，中标人应当赔偿。</w:t>
      </w:r>
    </w:p>
    <w:p w14:paraId="3193094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7.7.2 发出中标通知书后，</w:t>
      </w:r>
      <w:r>
        <w:rPr>
          <w:rFonts w:hint="eastAsia" w:ascii="宋体" w:hAnsi="宋体" w:cs="宋体"/>
          <w:color w:val="auto"/>
          <w:sz w:val="24"/>
          <w:szCs w:val="24"/>
          <w:lang w:eastAsia="zh-CN"/>
        </w:rPr>
        <w:t>采购人</w:t>
      </w:r>
      <w:r>
        <w:rPr>
          <w:rFonts w:hint="eastAsia" w:ascii="宋体" w:hAnsi="宋体" w:cs="宋体"/>
          <w:color w:val="auto"/>
          <w:sz w:val="24"/>
          <w:szCs w:val="24"/>
        </w:rPr>
        <w:t>无正当理由拒签合同的，或者提出其他附加条件的，</w:t>
      </w:r>
      <w:r>
        <w:rPr>
          <w:rFonts w:hint="eastAsia" w:ascii="宋体" w:hAnsi="宋体" w:cs="宋体"/>
          <w:color w:val="auto"/>
          <w:sz w:val="24"/>
          <w:szCs w:val="24"/>
          <w:lang w:eastAsia="zh-CN"/>
        </w:rPr>
        <w:t>采购人</w:t>
      </w:r>
      <w:r>
        <w:rPr>
          <w:rFonts w:hint="eastAsia" w:ascii="宋体" w:hAnsi="宋体" w:cs="宋体"/>
          <w:color w:val="auto"/>
          <w:sz w:val="24"/>
          <w:szCs w:val="24"/>
        </w:rPr>
        <w:t>应当赔偿中标人经济损失。</w:t>
      </w:r>
    </w:p>
    <w:p w14:paraId="6DB3D21F">
      <w:pPr>
        <w:pStyle w:val="4"/>
        <w:rPr>
          <w:color w:val="auto"/>
        </w:rPr>
      </w:pPr>
      <w:bookmarkStart w:id="192" w:name="_Toc361508627"/>
      <w:bookmarkStart w:id="193" w:name="_Toc384308252"/>
      <w:bookmarkStart w:id="194" w:name="_Toc24067"/>
      <w:bookmarkStart w:id="195" w:name="_Toc466759748"/>
      <w:bookmarkStart w:id="196" w:name="_Toc300834991"/>
      <w:bookmarkStart w:id="197" w:name="_Toc152042344"/>
      <w:bookmarkStart w:id="198" w:name="_Toc144974536"/>
      <w:bookmarkStart w:id="199" w:name="_Toc247513992"/>
      <w:bookmarkStart w:id="200" w:name="_Toc247527593"/>
      <w:bookmarkStart w:id="201" w:name="_Toc152045568"/>
      <w:r>
        <w:rPr>
          <w:rFonts w:hint="eastAsia"/>
          <w:color w:val="auto"/>
        </w:rPr>
        <w:t>8.</w:t>
      </w:r>
      <w:bookmarkEnd w:id="192"/>
      <w:bookmarkEnd w:id="193"/>
      <w:bookmarkEnd w:id="194"/>
      <w:r>
        <w:rPr>
          <w:rFonts w:hint="eastAsia"/>
          <w:color w:val="auto"/>
        </w:rPr>
        <w:t>纪律和监督</w:t>
      </w:r>
      <w:bookmarkEnd w:id="195"/>
    </w:p>
    <w:p w14:paraId="34EECCE5">
      <w:pPr>
        <w:pStyle w:val="4"/>
        <w:spacing w:line="360" w:lineRule="auto"/>
        <w:ind w:firstLine="137"/>
        <w:rPr>
          <w:rFonts w:ascii="宋体" w:hAnsi="宋体" w:cs="宋体"/>
          <w:color w:val="auto"/>
          <w:szCs w:val="24"/>
        </w:rPr>
      </w:pPr>
      <w:bookmarkStart w:id="202" w:name="_Toc466759749"/>
      <w:r>
        <w:rPr>
          <w:rFonts w:hint="eastAsia" w:ascii="宋体" w:hAnsi="宋体" w:cs="宋体"/>
          <w:color w:val="auto"/>
          <w:szCs w:val="24"/>
        </w:rPr>
        <w:t>8.1 对</w:t>
      </w:r>
      <w:r>
        <w:rPr>
          <w:rFonts w:hint="eastAsia" w:ascii="宋体" w:hAnsi="宋体" w:cs="宋体"/>
          <w:color w:val="auto"/>
          <w:szCs w:val="24"/>
          <w:lang w:eastAsia="zh-CN"/>
        </w:rPr>
        <w:t>采购人</w:t>
      </w:r>
      <w:r>
        <w:rPr>
          <w:rFonts w:hint="eastAsia" w:ascii="宋体" w:hAnsi="宋体" w:cs="宋体"/>
          <w:color w:val="auto"/>
          <w:szCs w:val="24"/>
        </w:rPr>
        <w:t>的纪律要求</w:t>
      </w:r>
      <w:bookmarkEnd w:id="202"/>
    </w:p>
    <w:p w14:paraId="426459E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eastAsia="zh-CN"/>
        </w:rPr>
        <w:t>采购人</w:t>
      </w:r>
      <w:r>
        <w:rPr>
          <w:rFonts w:hint="eastAsia" w:ascii="宋体" w:hAnsi="宋体" w:cs="宋体"/>
          <w:color w:val="auto"/>
          <w:sz w:val="24"/>
          <w:szCs w:val="24"/>
        </w:rPr>
        <w:t>不得泄露招标投标活动中应当保密的情况和资料，不得与投标人串通损害国家利益、社会公共利益或者他人合法权益。</w:t>
      </w:r>
    </w:p>
    <w:p w14:paraId="4E443406">
      <w:pPr>
        <w:pStyle w:val="4"/>
        <w:spacing w:line="360" w:lineRule="auto"/>
        <w:ind w:firstLine="137"/>
        <w:rPr>
          <w:rFonts w:ascii="宋体" w:hAnsi="宋体" w:cs="宋体"/>
          <w:color w:val="auto"/>
          <w:szCs w:val="24"/>
        </w:rPr>
      </w:pPr>
      <w:bookmarkStart w:id="203" w:name="_Toc466759750"/>
      <w:r>
        <w:rPr>
          <w:rFonts w:hint="eastAsia" w:ascii="宋体" w:hAnsi="宋体" w:cs="宋体"/>
          <w:color w:val="auto"/>
          <w:szCs w:val="24"/>
        </w:rPr>
        <w:t>8.2 对投标人的纪律要求</w:t>
      </w:r>
      <w:bookmarkEnd w:id="203"/>
    </w:p>
    <w:p w14:paraId="7EB37D9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投标人不得相互串通投标或者与</w:t>
      </w:r>
      <w:r>
        <w:rPr>
          <w:rFonts w:hint="eastAsia" w:ascii="宋体" w:hAnsi="宋体" w:cs="宋体"/>
          <w:color w:val="auto"/>
          <w:sz w:val="24"/>
          <w:szCs w:val="24"/>
          <w:lang w:eastAsia="zh-CN"/>
        </w:rPr>
        <w:t>采购人</w:t>
      </w:r>
      <w:r>
        <w:rPr>
          <w:rFonts w:hint="eastAsia" w:ascii="宋体" w:hAnsi="宋体" w:cs="宋体"/>
          <w:color w:val="auto"/>
          <w:sz w:val="24"/>
          <w:szCs w:val="24"/>
        </w:rPr>
        <w:t>串通投标，不得向</w:t>
      </w:r>
      <w:r>
        <w:rPr>
          <w:rFonts w:hint="eastAsia" w:ascii="宋体" w:hAnsi="宋体" w:cs="宋体"/>
          <w:color w:val="auto"/>
          <w:sz w:val="24"/>
          <w:szCs w:val="24"/>
          <w:lang w:eastAsia="zh-CN"/>
        </w:rPr>
        <w:t>采购人</w:t>
      </w:r>
      <w:r>
        <w:rPr>
          <w:rFonts w:hint="eastAsia" w:ascii="宋体" w:hAnsi="宋体" w:cs="宋体"/>
          <w:color w:val="auto"/>
          <w:sz w:val="24"/>
          <w:szCs w:val="24"/>
        </w:rPr>
        <w:t>或者评标委员会成员行贿谋取中标，不得以他人名义投标或者以其他方式弄虚作假骗取中标；投标人不得以任何方式干扰、影响评标工作。</w:t>
      </w:r>
    </w:p>
    <w:p w14:paraId="4E81ABF5">
      <w:pPr>
        <w:pStyle w:val="4"/>
        <w:spacing w:line="360" w:lineRule="auto"/>
        <w:ind w:firstLine="137"/>
        <w:rPr>
          <w:rFonts w:ascii="宋体" w:hAnsi="宋体" w:cs="宋体"/>
          <w:color w:val="auto"/>
          <w:szCs w:val="24"/>
        </w:rPr>
      </w:pPr>
      <w:bookmarkStart w:id="204" w:name="_Toc466759751"/>
      <w:r>
        <w:rPr>
          <w:rFonts w:hint="eastAsia" w:ascii="宋体" w:hAnsi="宋体" w:cs="宋体"/>
          <w:color w:val="auto"/>
          <w:szCs w:val="24"/>
        </w:rPr>
        <w:t>8.3 对评标委员会成员的纪律要求</w:t>
      </w:r>
      <w:bookmarkEnd w:id="204"/>
    </w:p>
    <w:p w14:paraId="7B77E9C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评标委员会成员不得收受他人的财物或者其他好处，不得向他人透露对投标文件的评审</w:t>
      </w:r>
      <w:bookmarkStart w:id="205" w:name="_Toc361508628"/>
      <w:bookmarkStart w:id="206" w:name="_Toc13644"/>
      <w:bookmarkStart w:id="207" w:name="_Toc352691515"/>
      <w:bookmarkStart w:id="208" w:name="_Toc369531559"/>
      <w:bookmarkStart w:id="209" w:name="_Toc384308253"/>
      <w:r>
        <w:rPr>
          <w:rFonts w:hint="eastAsia" w:ascii="宋体" w:hAnsi="宋体" w:cs="宋体"/>
          <w:color w:val="auto"/>
          <w:sz w:val="24"/>
          <w:szCs w:val="24"/>
        </w:rPr>
        <w:t>和比较、中标候选人</w:t>
      </w:r>
      <w:bookmarkEnd w:id="196"/>
      <w:bookmarkEnd w:id="197"/>
      <w:bookmarkEnd w:id="198"/>
      <w:bookmarkEnd w:id="199"/>
      <w:bookmarkEnd w:id="200"/>
      <w:bookmarkEnd w:id="201"/>
      <w:bookmarkEnd w:id="205"/>
      <w:bookmarkEnd w:id="206"/>
      <w:bookmarkEnd w:id="207"/>
      <w:bookmarkEnd w:id="208"/>
      <w:bookmarkEnd w:id="209"/>
      <w:r>
        <w:rPr>
          <w:rFonts w:hint="eastAsia" w:ascii="宋体" w:hAnsi="宋体" w:cs="宋体"/>
          <w:color w:val="auto"/>
          <w:sz w:val="24"/>
          <w:szCs w:val="24"/>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FE7240D">
      <w:pPr>
        <w:pStyle w:val="4"/>
        <w:spacing w:line="360" w:lineRule="auto"/>
        <w:ind w:firstLine="137"/>
        <w:rPr>
          <w:rFonts w:ascii="宋体" w:hAnsi="宋体" w:cs="宋体"/>
          <w:color w:val="auto"/>
          <w:szCs w:val="24"/>
        </w:rPr>
      </w:pPr>
      <w:bookmarkStart w:id="210" w:name="_Toc466759752"/>
      <w:r>
        <w:rPr>
          <w:rFonts w:hint="eastAsia" w:ascii="宋体" w:hAnsi="宋体" w:cs="宋体"/>
          <w:color w:val="auto"/>
          <w:szCs w:val="24"/>
        </w:rPr>
        <w:t>8.4 对与评标活动有关的工作人员的纪律要求</w:t>
      </w:r>
      <w:bookmarkEnd w:id="210"/>
    </w:p>
    <w:p w14:paraId="675891E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与评标活动有关的工作人员不得收受他人的财物或者其他好处，不得向他人透露对投标文件</w:t>
      </w:r>
      <w:bookmarkStart w:id="211" w:name="_Toc19429"/>
      <w:bookmarkStart w:id="212" w:name="_Toc247513993"/>
      <w:bookmarkStart w:id="213" w:name="_Toc152045569"/>
      <w:bookmarkStart w:id="214" w:name="_Toc247527594"/>
      <w:bookmarkStart w:id="215" w:name="_Toc361508629"/>
      <w:bookmarkStart w:id="216" w:name="_Toc369531560"/>
      <w:bookmarkStart w:id="217" w:name="_Toc144974537"/>
      <w:bookmarkStart w:id="218" w:name="_Toc352691516"/>
      <w:bookmarkStart w:id="219" w:name="_Toc152042345"/>
      <w:bookmarkStart w:id="220" w:name="_Toc300834992"/>
      <w:bookmarkStart w:id="221" w:name="_Toc384308254"/>
      <w:r>
        <w:rPr>
          <w:rFonts w:hint="eastAsia" w:ascii="宋体" w:hAnsi="宋体" w:cs="宋体"/>
          <w:color w:val="auto"/>
          <w:sz w:val="24"/>
          <w:szCs w:val="24"/>
        </w:rPr>
        <w:t>的评审和比较、中标</w:t>
      </w:r>
      <w:bookmarkEnd w:id="211"/>
      <w:bookmarkEnd w:id="212"/>
      <w:bookmarkEnd w:id="213"/>
      <w:bookmarkEnd w:id="214"/>
      <w:bookmarkEnd w:id="215"/>
      <w:bookmarkEnd w:id="216"/>
      <w:bookmarkEnd w:id="217"/>
      <w:bookmarkEnd w:id="218"/>
      <w:bookmarkEnd w:id="219"/>
      <w:bookmarkEnd w:id="220"/>
      <w:bookmarkEnd w:id="221"/>
      <w:r>
        <w:rPr>
          <w:rFonts w:hint="eastAsia" w:ascii="宋体" w:hAnsi="宋体" w:cs="宋体"/>
          <w:color w:val="auto"/>
          <w:sz w:val="24"/>
          <w:szCs w:val="24"/>
        </w:rPr>
        <w:t>候选人的推荐情况以及评标有关的其他情况。在评标活动中，与评标活动有关的工作人员不得擅离职守，影响评标程序正常进行。</w:t>
      </w:r>
    </w:p>
    <w:p w14:paraId="18060924">
      <w:pPr>
        <w:pStyle w:val="4"/>
        <w:spacing w:line="360" w:lineRule="auto"/>
        <w:ind w:firstLine="137"/>
        <w:rPr>
          <w:rFonts w:ascii="宋体" w:hAnsi="宋体" w:cs="宋体"/>
          <w:color w:val="auto"/>
          <w:szCs w:val="24"/>
        </w:rPr>
      </w:pPr>
      <w:bookmarkStart w:id="222" w:name="_Toc466759753"/>
      <w:r>
        <w:rPr>
          <w:rFonts w:hint="eastAsia" w:ascii="宋体" w:hAnsi="宋体" w:cs="宋体"/>
          <w:color w:val="auto"/>
          <w:szCs w:val="24"/>
        </w:rPr>
        <w:t>8.5 投诉</w:t>
      </w:r>
      <w:bookmarkEnd w:id="222"/>
    </w:p>
    <w:p w14:paraId="2F1EB18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8</w:t>
      </w:r>
      <w:r>
        <w:rPr>
          <w:rFonts w:hint="eastAsia" w:ascii="宋体" w:hAnsi="宋体" w:cs="宋体"/>
          <w:color w:val="auto"/>
          <w:sz w:val="24"/>
          <w:szCs w:val="24"/>
        </w:rPr>
        <w:t>.5.1 投标人或者其他利害关系人认为招标投标活动不符合法律、行政法规规定的，可以自知道或者应当知道之日起10日内向有关行政监督部门投诉。投诉应当有明确的请求和必要的证明材料。</w:t>
      </w:r>
    </w:p>
    <w:p w14:paraId="1D40A4F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8</w:t>
      </w:r>
      <w:r>
        <w:rPr>
          <w:rFonts w:hint="eastAsia" w:ascii="宋体" w:hAnsi="宋体" w:cs="宋体"/>
          <w:color w:val="auto"/>
          <w:sz w:val="24"/>
          <w:szCs w:val="24"/>
        </w:rPr>
        <w:t>.5.2 投标人或者其他利害关系人对招标文件、开标和评标结果提出投诉的，应当</w:t>
      </w:r>
      <w:r>
        <w:rPr>
          <w:rFonts w:hint="eastAsia" w:ascii="宋体" w:hAnsi="宋体" w:cs="宋体"/>
          <w:color w:val="auto"/>
          <w:sz w:val="24"/>
          <w:szCs w:val="24"/>
          <w:lang w:val="en-US" w:eastAsia="zh-CN"/>
        </w:rPr>
        <w:t>按</w:t>
      </w:r>
      <w:r>
        <w:rPr>
          <w:rFonts w:hint="eastAsia" w:ascii="宋体" w:hAnsi="宋体" w:cs="宋体"/>
          <w:color w:val="auto"/>
          <w:sz w:val="24"/>
          <w:szCs w:val="24"/>
        </w:rPr>
        <w:t>投标人须知第2.</w:t>
      </w:r>
      <w:r>
        <w:rPr>
          <w:rFonts w:hint="eastAsia" w:ascii="宋体" w:hAnsi="宋体" w:cs="宋体"/>
          <w:color w:val="auto"/>
          <w:sz w:val="24"/>
          <w:szCs w:val="24"/>
          <w:lang w:val="en-US" w:eastAsia="zh-CN"/>
        </w:rPr>
        <w:t>2</w:t>
      </w:r>
      <w:r>
        <w:rPr>
          <w:rFonts w:hint="eastAsia" w:ascii="宋体" w:hAnsi="宋体" w:cs="宋体"/>
          <w:color w:val="auto"/>
          <w:sz w:val="24"/>
          <w:szCs w:val="24"/>
        </w:rPr>
        <w:t>款、第</w:t>
      </w:r>
      <w:r>
        <w:rPr>
          <w:rFonts w:hint="eastAsia" w:ascii="宋体" w:hAnsi="宋体" w:cs="宋体"/>
          <w:color w:val="auto"/>
          <w:sz w:val="24"/>
          <w:szCs w:val="24"/>
          <w:lang w:val="en-US" w:eastAsia="zh-CN"/>
        </w:rPr>
        <w:t>4.5</w:t>
      </w:r>
      <w:r>
        <w:rPr>
          <w:rFonts w:hint="eastAsia" w:ascii="宋体" w:hAnsi="宋体" w:cs="宋体"/>
          <w:color w:val="auto"/>
          <w:sz w:val="24"/>
          <w:szCs w:val="24"/>
        </w:rPr>
        <w:t>款和第7.</w:t>
      </w:r>
      <w:r>
        <w:rPr>
          <w:rFonts w:hint="eastAsia" w:ascii="宋体" w:hAnsi="宋体" w:cs="宋体"/>
          <w:color w:val="auto"/>
          <w:sz w:val="24"/>
          <w:szCs w:val="24"/>
          <w:lang w:val="en-US" w:eastAsia="zh-CN"/>
        </w:rPr>
        <w:t>3</w:t>
      </w:r>
      <w:r>
        <w:rPr>
          <w:rFonts w:hint="eastAsia" w:ascii="宋体" w:hAnsi="宋体" w:cs="宋体"/>
          <w:color w:val="auto"/>
          <w:sz w:val="24"/>
          <w:szCs w:val="24"/>
        </w:rPr>
        <w:t>款</w:t>
      </w:r>
      <w:r>
        <w:rPr>
          <w:rFonts w:hint="eastAsia" w:ascii="宋体" w:hAnsi="宋体" w:cs="宋体"/>
          <w:color w:val="auto"/>
          <w:sz w:val="24"/>
          <w:szCs w:val="24"/>
          <w:lang w:eastAsia="zh-CN"/>
        </w:rPr>
        <w:t>的</w:t>
      </w:r>
      <w:r>
        <w:rPr>
          <w:rFonts w:hint="eastAsia" w:ascii="宋体" w:hAnsi="宋体" w:cs="宋体"/>
          <w:color w:val="auto"/>
          <w:sz w:val="24"/>
          <w:szCs w:val="24"/>
          <w:lang w:val="en-US" w:eastAsia="zh-CN"/>
        </w:rPr>
        <w:t>规定</w:t>
      </w:r>
      <w:r>
        <w:rPr>
          <w:rFonts w:hint="eastAsia" w:ascii="宋体" w:hAnsi="宋体" w:cs="宋体"/>
          <w:color w:val="auto"/>
          <w:sz w:val="24"/>
          <w:szCs w:val="24"/>
        </w:rPr>
        <w:t>先向</w:t>
      </w:r>
      <w:r>
        <w:rPr>
          <w:rFonts w:hint="eastAsia" w:ascii="宋体" w:hAnsi="宋体" w:cs="宋体"/>
          <w:color w:val="auto"/>
          <w:sz w:val="24"/>
          <w:szCs w:val="24"/>
          <w:lang w:eastAsia="zh-CN"/>
        </w:rPr>
        <w:t>采购人</w:t>
      </w:r>
      <w:r>
        <w:rPr>
          <w:rFonts w:hint="eastAsia" w:ascii="宋体" w:hAnsi="宋体" w:cs="宋体"/>
          <w:color w:val="auto"/>
          <w:sz w:val="24"/>
          <w:szCs w:val="24"/>
        </w:rPr>
        <w:t>提出异议。异议答复期间</w:t>
      </w:r>
      <w:bookmarkStart w:id="223" w:name="_Toc144974538"/>
      <w:bookmarkStart w:id="224" w:name="_Toc152042346"/>
      <w:bookmarkStart w:id="225" w:name="_Toc384308255"/>
      <w:bookmarkStart w:id="226" w:name="_Toc361508630"/>
      <w:bookmarkStart w:id="227" w:name="_Toc247527595"/>
      <w:bookmarkStart w:id="228" w:name="_Toc12776"/>
      <w:bookmarkStart w:id="229" w:name="_Toc352691517"/>
      <w:bookmarkStart w:id="230" w:name="_Toc247513994"/>
      <w:bookmarkStart w:id="231" w:name="_Toc300834993"/>
      <w:bookmarkStart w:id="232" w:name="_Toc152045570"/>
      <w:bookmarkStart w:id="233" w:name="_Toc369531561"/>
      <w:r>
        <w:rPr>
          <w:rFonts w:hint="eastAsia" w:ascii="宋体" w:hAnsi="宋体" w:cs="宋体"/>
          <w:color w:val="auto"/>
          <w:sz w:val="24"/>
          <w:szCs w:val="24"/>
        </w:rPr>
        <w:t>不计算在第8.5.</w:t>
      </w:r>
      <w:bookmarkEnd w:id="223"/>
      <w:bookmarkEnd w:id="224"/>
      <w:bookmarkEnd w:id="225"/>
      <w:bookmarkEnd w:id="226"/>
      <w:bookmarkEnd w:id="227"/>
      <w:bookmarkEnd w:id="228"/>
      <w:bookmarkEnd w:id="229"/>
      <w:bookmarkEnd w:id="230"/>
      <w:bookmarkEnd w:id="231"/>
      <w:bookmarkEnd w:id="232"/>
      <w:bookmarkEnd w:id="233"/>
      <w:r>
        <w:rPr>
          <w:rFonts w:hint="eastAsia" w:ascii="宋体" w:hAnsi="宋体" w:cs="宋体"/>
          <w:color w:val="auto"/>
          <w:sz w:val="24"/>
          <w:szCs w:val="24"/>
        </w:rPr>
        <w:t>1项规定的期限内。</w:t>
      </w:r>
    </w:p>
    <w:p w14:paraId="4400D5E6">
      <w:pPr>
        <w:pStyle w:val="4"/>
        <w:rPr>
          <w:color w:val="auto"/>
        </w:rPr>
      </w:pPr>
      <w:bookmarkStart w:id="234" w:name="_Toc466759754"/>
      <w:r>
        <w:rPr>
          <w:rFonts w:hint="eastAsia"/>
          <w:color w:val="auto"/>
        </w:rPr>
        <w:t>9. 需要补充的其他内容</w:t>
      </w:r>
      <w:bookmarkEnd w:id="234"/>
    </w:p>
    <w:p w14:paraId="4705E4F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需要补充的其他内容：见投标人须知前附表。</w:t>
      </w:r>
    </w:p>
    <w:p w14:paraId="1E61C94B">
      <w:pPr>
        <w:spacing w:line="360" w:lineRule="auto"/>
        <w:rPr>
          <w:rFonts w:ascii="宋体" w:hAnsi="宋体" w:eastAsia="宋体" w:cs="宋体"/>
          <w:color w:val="auto"/>
          <w:sz w:val="24"/>
          <w:szCs w:val="24"/>
        </w:rPr>
      </w:pPr>
    </w:p>
    <w:p w14:paraId="0079D39F">
      <w:pPr>
        <w:spacing w:line="360" w:lineRule="auto"/>
        <w:rPr>
          <w:rFonts w:ascii="宋体" w:hAnsi="宋体" w:eastAsia="宋体" w:cs="宋体"/>
          <w:color w:val="auto"/>
          <w:sz w:val="24"/>
          <w:szCs w:val="24"/>
        </w:rPr>
      </w:pPr>
    </w:p>
    <w:p w14:paraId="0A252A92">
      <w:pPr>
        <w:pStyle w:val="2"/>
        <w:rPr>
          <w:color w:val="auto"/>
        </w:rPr>
      </w:pPr>
      <w:bookmarkStart w:id="235" w:name="_Toc4203"/>
      <w:r>
        <w:rPr>
          <w:rFonts w:hint="eastAsia"/>
          <w:color w:val="auto"/>
        </w:rPr>
        <w:t>第三章  评标办法</w:t>
      </w:r>
      <w:bookmarkEnd w:id="235"/>
    </w:p>
    <w:p w14:paraId="634BC851">
      <w:pPr>
        <w:jc w:val="center"/>
        <w:rPr>
          <w:rFonts w:hint="eastAsia" w:ascii="宋体" w:hAnsi="宋体" w:cs="宋体"/>
          <w:b/>
          <w:color w:val="auto"/>
          <w:sz w:val="24"/>
          <w:szCs w:val="24"/>
        </w:rPr>
      </w:pPr>
      <w:r>
        <w:rPr>
          <w:rFonts w:hint="eastAsia" w:ascii="宋体" w:hAnsi="宋体" w:cs="宋体"/>
          <w:b/>
          <w:color w:val="auto"/>
          <w:sz w:val="24"/>
          <w:szCs w:val="24"/>
        </w:rPr>
        <w:t>评标办法前附表</w:t>
      </w:r>
    </w:p>
    <w:tbl>
      <w:tblPr>
        <w:tblStyle w:val="29"/>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
        <w:gridCol w:w="402"/>
        <w:gridCol w:w="1371"/>
        <w:gridCol w:w="3150"/>
        <w:gridCol w:w="4894"/>
      </w:tblGrid>
      <w:tr w14:paraId="1E78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03" w:type="pct"/>
            <w:gridSpan w:val="3"/>
            <w:vAlign w:val="center"/>
          </w:tcPr>
          <w:p w14:paraId="457AF6B4">
            <w:pPr>
              <w:spacing w:line="360" w:lineRule="auto"/>
              <w:rPr>
                <w:rFonts w:ascii="宋体" w:hAnsi="宋体" w:cs="宋体"/>
                <w:color w:val="auto"/>
                <w:sz w:val="24"/>
                <w:szCs w:val="24"/>
              </w:rPr>
            </w:pPr>
            <w:r>
              <w:rPr>
                <w:rFonts w:hint="eastAsia" w:ascii="宋体" w:hAnsi="宋体" w:cs="宋体"/>
                <w:color w:val="auto"/>
                <w:sz w:val="24"/>
                <w:szCs w:val="24"/>
              </w:rPr>
              <w:t>条款</w:t>
            </w:r>
          </w:p>
        </w:tc>
        <w:tc>
          <w:tcPr>
            <w:tcW w:w="1604" w:type="pct"/>
            <w:vAlign w:val="center"/>
          </w:tcPr>
          <w:p w14:paraId="7F3728F8">
            <w:pPr>
              <w:spacing w:line="360" w:lineRule="auto"/>
              <w:rPr>
                <w:rFonts w:ascii="宋体" w:hAnsi="宋体" w:cs="宋体"/>
                <w:color w:val="auto"/>
                <w:sz w:val="24"/>
                <w:szCs w:val="24"/>
              </w:rPr>
            </w:pPr>
            <w:r>
              <w:rPr>
                <w:rFonts w:hint="eastAsia" w:ascii="宋体" w:hAnsi="宋体" w:cs="宋体"/>
                <w:color w:val="auto"/>
                <w:sz w:val="24"/>
                <w:szCs w:val="24"/>
              </w:rPr>
              <w:t>评审因素</w:t>
            </w:r>
          </w:p>
        </w:tc>
        <w:tc>
          <w:tcPr>
            <w:tcW w:w="2492" w:type="pct"/>
            <w:vAlign w:val="center"/>
          </w:tcPr>
          <w:p w14:paraId="5BECB332">
            <w:pPr>
              <w:spacing w:line="360" w:lineRule="auto"/>
              <w:rPr>
                <w:rFonts w:ascii="宋体" w:hAnsi="宋体" w:cs="宋体"/>
                <w:color w:val="auto"/>
                <w:sz w:val="24"/>
                <w:szCs w:val="24"/>
              </w:rPr>
            </w:pPr>
            <w:r>
              <w:rPr>
                <w:rFonts w:hint="eastAsia" w:ascii="宋体" w:hAnsi="宋体" w:cs="宋体"/>
                <w:color w:val="auto"/>
                <w:sz w:val="24"/>
                <w:szCs w:val="24"/>
              </w:rPr>
              <w:t>评审标准</w:t>
            </w:r>
          </w:p>
        </w:tc>
      </w:tr>
      <w:tr w14:paraId="725E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 w:type="pct"/>
            <w:gridSpan w:val="2"/>
            <w:vMerge w:val="restart"/>
            <w:vAlign w:val="center"/>
          </w:tcPr>
          <w:p w14:paraId="7DDC2CD6">
            <w:pPr>
              <w:spacing w:line="360" w:lineRule="auto"/>
              <w:rPr>
                <w:rFonts w:ascii="宋体" w:hAnsi="宋体" w:cs="宋体"/>
                <w:color w:val="auto"/>
                <w:sz w:val="24"/>
                <w:szCs w:val="24"/>
              </w:rPr>
            </w:pPr>
            <w:r>
              <w:rPr>
                <w:rFonts w:hint="eastAsia" w:ascii="宋体" w:hAnsi="宋体" w:cs="宋体"/>
                <w:color w:val="auto"/>
                <w:sz w:val="24"/>
                <w:szCs w:val="24"/>
              </w:rPr>
              <w:t>初步评审</w:t>
            </w:r>
          </w:p>
        </w:tc>
        <w:tc>
          <w:tcPr>
            <w:tcW w:w="698" w:type="pct"/>
            <w:vMerge w:val="restart"/>
            <w:vAlign w:val="center"/>
          </w:tcPr>
          <w:p w14:paraId="604E6266">
            <w:pPr>
              <w:spacing w:line="360" w:lineRule="auto"/>
              <w:jc w:val="center"/>
              <w:rPr>
                <w:rFonts w:ascii="宋体" w:hAnsi="宋体" w:cs="宋体"/>
                <w:color w:val="auto"/>
                <w:sz w:val="24"/>
                <w:szCs w:val="24"/>
              </w:rPr>
            </w:pPr>
            <w:r>
              <w:rPr>
                <w:rFonts w:hint="eastAsia" w:ascii="宋体" w:hAnsi="宋体" w:cs="宋体"/>
                <w:color w:val="auto"/>
                <w:sz w:val="24"/>
                <w:szCs w:val="24"/>
              </w:rPr>
              <w:t>资格评审标准</w:t>
            </w:r>
          </w:p>
        </w:tc>
        <w:tc>
          <w:tcPr>
            <w:tcW w:w="1604" w:type="pct"/>
            <w:vAlign w:val="center"/>
          </w:tcPr>
          <w:p w14:paraId="560339E3">
            <w:pPr>
              <w:spacing w:line="360" w:lineRule="auto"/>
              <w:rPr>
                <w:rFonts w:ascii="宋体" w:hAnsi="宋体" w:cs="宋体"/>
                <w:color w:val="auto"/>
                <w:sz w:val="24"/>
                <w:szCs w:val="24"/>
              </w:rPr>
            </w:pPr>
            <w:r>
              <w:rPr>
                <w:rFonts w:hint="eastAsia" w:ascii="宋体" w:hAnsi="宋体" w:cs="宋体"/>
                <w:color w:val="auto"/>
                <w:sz w:val="24"/>
                <w:szCs w:val="24"/>
              </w:rPr>
              <w:t>投标人满足《中华人民共和国政府采购法》第二十二条规定</w:t>
            </w:r>
          </w:p>
        </w:tc>
        <w:tc>
          <w:tcPr>
            <w:tcW w:w="2492" w:type="pct"/>
            <w:vAlign w:val="center"/>
          </w:tcPr>
          <w:p w14:paraId="24FD85D7">
            <w:pPr>
              <w:spacing w:line="360" w:lineRule="auto"/>
              <w:rPr>
                <w:rFonts w:ascii="宋体" w:hAnsi="宋体" w:cs="宋体"/>
                <w:color w:val="auto"/>
                <w:sz w:val="24"/>
                <w:szCs w:val="24"/>
              </w:rPr>
            </w:pPr>
            <w:r>
              <w:rPr>
                <w:rFonts w:hint="eastAsia" w:ascii="宋体" w:hAnsi="宋体" w:cs="宋体"/>
                <w:color w:val="auto"/>
                <w:sz w:val="24"/>
                <w:szCs w:val="24"/>
              </w:rPr>
              <w:t>提供满足《中华人民共和国政府采购法》第二十二条规定的</w:t>
            </w:r>
            <w:r>
              <w:rPr>
                <w:rFonts w:hint="eastAsia" w:ascii="宋体" w:hAnsi="宋体" w:cs="宋体"/>
                <w:color w:val="auto"/>
                <w:sz w:val="24"/>
                <w:szCs w:val="24"/>
                <w:lang w:val="en-US" w:eastAsia="zh-CN"/>
              </w:rPr>
              <w:t>相关证明材料或</w:t>
            </w:r>
            <w:r>
              <w:rPr>
                <w:rFonts w:hint="eastAsia" w:ascii="宋体" w:hAnsi="宋体" w:cs="宋体"/>
                <w:color w:val="auto"/>
                <w:sz w:val="24"/>
                <w:szCs w:val="24"/>
              </w:rPr>
              <w:t>承诺书</w:t>
            </w:r>
          </w:p>
        </w:tc>
      </w:tr>
      <w:tr w14:paraId="7E6B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 w:type="pct"/>
            <w:gridSpan w:val="2"/>
            <w:vMerge w:val="continue"/>
            <w:vAlign w:val="center"/>
          </w:tcPr>
          <w:p w14:paraId="13A470D8">
            <w:pPr>
              <w:spacing w:line="360" w:lineRule="auto"/>
              <w:rPr>
                <w:rFonts w:ascii="宋体" w:hAnsi="宋体" w:cs="宋体"/>
                <w:color w:val="auto"/>
                <w:sz w:val="24"/>
                <w:szCs w:val="24"/>
              </w:rPr>
            </w:pPr>
          </w:p>
        </w:tc>
        <w:tc>
          <w:tcPr>
            <w:tcW w:w="698" w:type="pct"/>
            <w:vMerge w:val="continue"/>
            <w:vAlign w:val="center"/>
          </w:tcPr>
          <w:p w14:paraId="0DF98030">
            <w:pPr>
              <w:spacing w:line="360" w:lineRule="auto"/>
              <w:rPr>
                <w:rFonts w:ascii="宋体" w:hAnsi="宋体" w:cs="宋体"/>
                <w:color w:val="auto"/>
                <w:sz w:val="24"/>
                <w:szCs w:val="24"/>
              </w:rPr>
            </w:pPr>
          </w:p>
        </w:tc>
        <w:tc>
          <w:tcPr>
            <w:tcW w:w="1604" w:type="pct"/>
            <w:vAlign w:val="center"/>
          </w:tcPr>
          <w:p w14:paraId="5B74D13C">
            <w:pPr>
              <w:spacing w:line="360" w:lineRule="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投标人须是本项目采购产品的制造商或经销商，具有有效的营业执照，并在人员、资金、设备及专业技术等方面具有与本项目相匹配的合同履约能力</w:t>
            </w:r>
          </w:p>
        </w:tc>
        <w:tc>
          <w:tcPr>
            <w:tcW w:w="2492" w:type="pct"/>
            <w:vAlign w:val="center"/>
          </w:tcPr>
          <w:p w14:paraId="593C94BE">
            <w:pPr>
              <w:spacing w:line="360" w:lineRule="auto"/>
              <w:rPr>
                <w:rFonts w:ascii="宋体" w:hAnsi="宋体" w:cs="宋体"/>
                <w:color w:val="auto"/>
                <w:sz w:val="24"/>
                <w:szCs w:val="24"/>
              </w:rPr>
            </w:pPr>
            <w:r>
              <w:rPr>
                <w:rFonts w:hint="eastAsia" w:ascii="宋体" w:hAnsi="宋体" w:cs="宋体"/>
                <w:color w:val="auto"/>
                <w:sz w:val="24"/>
                <w:szCs w:val="24"/>
              </w:rPr>
              <w:t>提供营业执照副本及在人员、资金、设备</w:t>
            </w:r>
            <w:r>
              <w:rPr>
                <w:rFonts w:hint="eastAsia" w:ascii="宋体" w:hAnsi="宋体" w:cs="宋体"/>
                <w:color w:val="auto"/>
                <w:sz w:val="24"/>
                <w:szCs w:val="24"/>
                <w:lang w:val="en-US" w:eastAsia="zh-CN"/>
              </w:rPr>
              <w:t>及专业技术</w:t>
            </w:r>
            <w:r>
              <w:rPr>
                <w:rFonts w:hint="eastAsia" w:ascii="宋体" w:hAnsi="宋体" w:cs="宋体"/>
                <w:color w:val="auto"/>
                <w:sz w:val="24"/>
                <w:szCs w:val="24"/>
              </w:rPr>
              <w:t>等方面具有与本项目相匹配的合同履约能力的承诺书</w:t>
            </w:r>
          </w:p>
        </w:tc>
      </w:tr>
      <w:tr w14:paraId="230B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 w:type="pct"/>
            <w:gridSpan w:val="2"/>
            <w:vMerge w:val="continue"/>
            <w:vAlign w:val="center"/>
          </w:tcPr>
          <w:p w14:paraId="3126B26E">
            <w:pPr>
              <w:spacing w:line="360" w:lineRule="auto"/>
              <w:ind w:firstLine="420" w:firstLineChars="175"/>
              <w:rPr>
                <w:rFonts w:hint="eastAsia" w:ascii="宋体" w:hAnsi="宋体" w:eastAsia="宋体" w:cs="宋体"/>
                <w:color w:val="auto"/>
                <w:sz w:val="24"/>
                <w:szCs w:val="24"/>
                <w:lang w:eastAsia="zh-CN"/>
              </w:rPr>
            </w:pPr>
            <w:r>
              <w:rPr>
                <w:rFonts w:hint="eastAsia" w:ascii="宋体" w:hAnsi="宋体" w:cs="宋体"/>
                <w:color w:val="auto"/>
                <w:sz w:val="24"/>
                <w:szCs w:val="24"/>
              </w:rPr>
              <w:t>（1）</w:t>
            </w:r>
            <w:r>
              <w:rPr>
                <w:rFonts w:hint="eastAsia" w:ascii="宋体" w:hAnsi="宋体" w:cs="宋体"/>
                <w:color w:val="auto"/>
                <w:sz w:val="24"/>
                <w:szCs w:val="24"/>
                <w:lang w:eastAsia="zh-CN"/>
              </w:rPr>
              <w:t>投标人须是本项目采购产品的制造商或经销商，具有有效的营业执照，并在人员、资金、设备及专业技术等方面具有与本项目相匹配的合同履约能力；</w:t>
            </w:r>
          </w:p>
          <w:p w14:paraId="73E73CBE">
            <w:pPr>
              <w:spacing w:line="360" w:lineRule="auto"/>
              <w:ind w:firstLine="420" w:firstLineChars="175"/>
              <w:rPr>
                <w:rFonts w:hint="eastAsia" w:ascii="Segoe UI" w:hAnsi="Segoe UI" w:eastAsia="宋体" w:cs="Segoe UI"/>
                <w:i w:val="0"/>
                <w:iCs w:val="0"/>
                <w:caps w:val="0"/>
                <w:color w:val="auto"/>
                <w:spacing w:val="0"/>
                <w:sz w:val="22"/>
                <w:szCs w:val="22"/>
                <w:lang w:eastAsia="zh-CN"/>
              </w:rPr>
            </w:pPr>
            <w:r>
              <w:rPr>
                <w:rFonts w:hint="eastAsia" w:ascii="宋体" w:hAnsi="宋体" w:cs="宋体"/>
                <w:color w:val="auto"/>
                <w:sz w:val="24"/>
                <w:szCs w:val="24"/>
              </w:rPr>
              <w:t>（2）</w:t>
            </w:r>
            <w:r>
              <w:rPr>
                <w:rFonts w:hint="eastAsia" w:ascii="宋体" w:hAnsi="宋体" w:cs="宋体"/>
                <w:color w:val="auto"/>
                <w:sz w:val="24"/>
                <w:szCs w:val="24"/>
                <w:lang w:val="en-US" w:eastAsia="zh-CN"/>
              </w:rPr>
              <w:t>投标人是制造商的，须具有《医疗器械生产许可证》；是经销商的，须具有《医疗器械经营许可证》或备案凭证</w:t>
            </w:r>
            <w:r>
              <w:rPr>
                <w:rFonts w:hint="eastAsia" w:ascii="Segoe UI" w:hAnsi="Segoe UI" w:eastAsia="宋体" w:cs="Segoe UI"/>
                <w:i w:val="0"/>
                <w:iCs w:val="0"/>
                <w:caps w:val="0"/>
                <w:color w:val="auto"/>
                <w:spacing w:val="0"/>
                <w:sz w:val="22"/>
                <w:szCs w:val="22"/>
                <w:lang w:eastAsia="zh-CN"/>
              </w:rPr>
              <w:t>；</w:t>
            </w:r>
          </w:p>
          <w:p w14:paraId="4708C0A8">
            <w:pPr>
              <w:spacing w:line="360" w:lineRule="auto"/>
              <w:ind w:firstLine="420" w:firstLineChars="175"/>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投标人没有被列入失信被执行人名单【以“中国执行信息公开网”（http://zxgk.court.gov.cn/shixin/）查询结果为准】、重大税收违法失信主体【以“信用中国”网站（www.creditchina.gov.cn）查询结果为准】、政府采购严重违法失信行为记录名单【</w:t>
            </w:r>
            <w:r>
              <w:rPr>
                <w:rFonts w:hint="eastAsia" w:ascii="宋体" w:hAnsi="宋体" w:cs="宋体"/>
                <w:color w:val="auto"/>
                <w:sz w:val="24"/>
                <w:lang w:eastAsia="zh-CN"/>
              </w:rPr>
              <w:t>以在“中国政府采购网”（http://www.ccgp.gov.cn/）及“信用中国”网站（www.creditchina.gov.cn）查询结果均无记录为准</w:t>
            </w:r>
            <w:r>
              <w:rPr>
                <w:rFonts w:hint="eastAsia" w:ascii="宋体" w:hAnsi="宋体" w:cs="宋体"/>
                <w:color w:val="auto"/>
                <w:sz w:val="24"/>
              </w:rPr>
              <w:t>】；</w:t>
            </w:r>
          </w:p>
          <w:p w14:paraId="1E361FD6">
            <w:pPr>
              <w:spacing w:line="360" w:lineRule="auto"/>
              <w:ind w:firstLine="420" w:firstLineChars="175"/>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4</w:t>
            </w:r>
            <w:r>
              <w:rPr>
                <w:rFonts w:hint="eastAsia" w:ascii="宋体" w:hAnsi="宋体" w:cs="宋体"/>
                <w:color w:val="auto"/>
                <w:sz w:val="24"/>
              </w:rPr>
              <w:t>）投标人及法定代表人不得存在行贿犯罪记录【以中国裁判文书网（http://wenshu.court.gov.cn/）查询截图或</w:t>
            </w:r>
            <w:r>
              <w:rPr>
                <w:rFonts w:hint="eastAsia" w:ascii="宋体" w:hAnsi="宋体" w:cs="宋体"/>
                <w:color w:val="auto"/>
                <w:sz w:val="24"/>
                <w:lang w:eastAsia="zh-CN"/>
              </w:rPr>
              <w:t>提供无行贿犯罪记录承诺书为准</w:t>
            </w:r>
            <w:r>
              <w:rPr>
                <w:rFonts w:hint="eastAsia" w:ascii="宋体" w:hAnsi="宋体" w:cs="宋体"/>
                <w:color w:val="auto"/>
                <w:sz w:val="24"/>
              </w:rPr>
              <w:t>】；</w:t>
            </w:r>
          </w:p>
          <w:p w14:paraId="6EF72AA1">
            <w:pPr>
              <w:spacing w:line="360" w:lineRule="auto"/>
              <w:rPr>
                <w:rFonts w:ascii="宋体" w:hAnsi="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投标人及法定代表人不得存在商业贿赂和不正当竞争行为记录</w:t>
            </w:r>
            <w:r>
              <w:rPr>
                <w:rFonts w:hint="eastAsia" w:ascii="宋体" w:hAnsi="宋体" w:eastAsia="宋体" w:cs="宋体"/>
                <w:color w:val="auto"/>
                <w:sz w:val="24"/>
                <w:szCs w:val="24"/>
                <w:lang w:val="en-US" w:eastAsia="zh-CN"/>
              </w:rPr>
              <w:t>。</w:t>
            </w:r>
          </w:p>
        </w:tc>
        <w:tc>
          <w:tcPr>
            <w:tcW w:w="698" w:type="pct"/>
            <w:vMerge w:val="continue"/>
            <w:vAlign w:val="center"/>
          </w:tcPr>
          <w:p w14:paraId="11255798">
            <w:pPr>
              <w:spacing w:line="360" w:lineRule="auto"/>
              <w:rPr>
                <w:rFonts w:ascii="宋体" w:hAnsi="宋体" w:cs="宋体"/>
                <w:color w:val="auto"/>
                <w:sz w:val="24"/>
                <w:szCs w:val="24"/>
              </w:rPr>
            </w:pPr>
          </w:p>
        </w:tc>
        <w:tc>
          <w:tcPr>
            <w:tcW w:w="1604" w:type="pct"/>
            <w:vAlign w:val="center"/>
          </w:tcPr>
          <w:p w14:paraId="2307E3BF">
            <w:pPr>
              <w:spacing w:line="360" w:lineRule="auto"/>
              <w:rPr>
                <w:rFonts w:hint="eastAsia" w:ascii="宋体" w:hAnsi="宋体" w:cs="宋体"/>
                <w:color w:val="auto"/>
                <w:sz w:val="24"/>
                <w:szCs w:val="24"/>
                <w:lang w:eastAsia="zh-CN"/>
              </w:rPr>
            </w:pPr>
            <w:r>
              <w:rPr>
                <w:rFonts w:hint="eastAsia" w:ascii="宋体" w:hAnsi="宋体" w:cs="宋体"/>
                <w:color w:val="auto"/>
                <w:sz w:val="24"/>
                <w:szCs w:val="24"/>
                <w:lang w:val="en-US" w:eastAsia="zh-CN"/>
              </w:rPr>
              <w:t>投标人是制造商的，须具有《医疗器械生产许可证》；是经销商的，须具有《医疗器械经营许可证》或备案凭证</w:t>
            </w:r>
          </w:p>
        </w:tc>
        <w:tc>
          <w:tcPr>
            <w:tcW w:w="2492" w:type="pct"/>
            <w:vAlign w:val="center"/>
          </w:tcPr>
          <w:p w14:paraId="715E9BD7">
            <w:pPr>
              <w:spacing w:line="360" w:lineRule="auto"/>
              <w:rPr>
                <w:rFonts w:hint="default" w:ascii="宋体" w:hAnsi="宋体" w:cs="宋体"/>
                <w:color w:val="auto"/>
                <w:sz w:val="24"/>
                <w:szCs w:val="24"/>
                <w:lang w:val="en-US"/>
              </w:rPr>
            </w:pPr>
            <w:r>
              <w:rPr>
                <w:rFonts w:hint="eastAsia" w:ascii="宋体" w:hAnsi="宋体" w:cs="宋体"/>
                <w:color w:val="auto"/>
                <w:sz w:val="24"/>
                <w:szCs w:val="24"/>
                <w:lang w:val="en-US" w:eastAsia="zh-CN"/>
              </w:rPr>
              <w:t>制造商投标的，提供有效的《医疗器械生产许可证》；经销商投标的，提供有效的《医疗器械经营许可证》或备案凭证</w:t>
            </w:r>
          </w:p>
        </w:tc>
      </w:tr>
      <w:tr w14:paraId="7A35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 w:type="pct"/>
            <w:gridSpan w:val="2"/>
            <w:vMerge w:val="continue"/>
            <w:vAlign w:val="center"/>
          </w:tcPr>
          <w:p w14:paraId="3A7C55EC">
            <w:pPr>
              <w:spacing w:line="360" w:lineRule="auto"/>
              <w:rPr>
                <w:rFonts w:ascii="宋体" w:hAnsi="宋体" w:cs="宋体"/>
                <w:color w:val="auto"/>
                <w:sz w:val="24"/>
                <w:szCs w:val="24"/>
              </w:rPr>
            </w:pPr>
          </w:p>
        </w:tc>
        <w:tc>
          <w:tcPr>
            <w:tcW w:w="698" w:type="pct"/>
            <w:vMerge w:val="continue"/>
            <w:vAlign w:val="center"/>
          </w:tcPr>
          <w:p w14:paraId="6C63AE82">
            <w:pPr>
              <w:spacing w:line="360" w:lineRule="auto"/>
              <w:rPr>
                <w:rFonts w:ascii="宋体" w:hAnsi="宋体" w:cs="宋体"/>
                <w:color w:val="auto"/>
                <w:sz w:val="24"/>
                <w:szCs w:val="24"/>
              </w:rPr>
            </w:pPr>
          </w:p>
        </w:tc>
        <w:tc>
          <w:tcPr>
            <w:tcW w:w="1604" w:type="pct"/>
            <w:vAlign w:val="center"/>
          </w:tcPr>
          <w:p w14:paraId="7F369412">
            <w:pPr>
              <w:spacing w:line="360" w:lineRule="auto"/>
              <w:rPr>
                <w:rFonts w:ascii="宋体" w:hAnsi="宋体" w:cs="宋体"/>
                <w:color w:val="auto"/>
                <w:sz w:val="24"/>
                <w:szCs w:val="24"/>
              </w:rPr>
            </w:pPr>
            <w:r>
              <w:rPr>
                <w:rFonts w:hint="eastAsia" w:ascii="宋体" w:hAnsi="宋体" w:cs="宋体"/>
                <w:color w:val="auto"/>
                <w:sz w:val="24"/>
                <w:szCs w:val="24"/>
              </w:rPr>
              <w:t>投标人没有被列入失信被执行人名单、重大税收违法失信主体、政府采购严重违法失信行为记录名单</w:t>
            </w:r>
          </w:p>
        </w:tc>
        <w:tc>
          <w:tcPr>
            <w:tcW w:w="2492" w:type="pct"/>
            <w:vAlign w:val="center"/>
          </w:tcPr>
          <w:p w14:paraId="081B4C2E">
            <w:pPr>
              <w:spacing w:line="360" w:lineRule="auto"/>
              <w:rPr>
                <w:rFonts w:ascii="宋体" w:hAnsi="宋体" w:cs="宋体"/>
                <w:color w:val="auto"/>
                <w:sz w:val="24"/>
                <w:szCs w:val="24"/>
              </w:rPr>
            </w:pPr>
            <w:r>
              <w:rPr>
                <w:rFonts w:hint="eastAsia" w:ascii="宋体" w:hAnsi="宋体" w:cs="宋体"/>
                <w:color w:val="auto"/>
                <w:sz w:val="24"/>
                <w:szCs w:val="24"/>
              </w:rPr>
              <w:t>提供“中国执行信息公开网”投标人没有被列入失信被执行人名单的查询截图；“信用中国”投标人没有被列入重大税收违法失信主体的查询截图；“中国政府采购网”</w:t>
            </w:r>
            <w:r>
              <w:rPr>
                <w:rFonts w:hint="eastAsia" w:ascii="宋体" w:hAnsi="宋体" w:cs="宋体"/>
                <w:color w:val="auto"/>
                <w:sz w:val="24"/>
                <w:szCs w:val="24"/>
                <w:lang w:val="en-US" w:eastAsia="zh-CN"/>
              </w:rPr>
              <w:t>及</w:t>
            </w:r>
            <w:r>
              <w:rPr>
                <w:rFonts w:hint="eastAsia" w:ascii="宋体" w:hAnsi="宋体" w:cs="宋体"/>
                <w:color w:val="auto"/>
                <w:sz w:val="24"/>
                <w:szCs w:val="24"/>
              </w:rPr>
              <w:t>“信用中国”投标人</w:t>
            </w:r>
            <w:r>
              <w:rPr>
                <w:rFonts w:hint="eastAsia" w:ascii="宋体" w:hAnsi="宋体" w:cs="宋体"/>
                <w:color w:val="auto"/>
                <w:sz w:val="24"/>
                <w:szCs w:val="24"/>
                <w:lang w:val="en-US" w:eastAsia="zh-CN"/>
              </w:rPr>
              <w:t>均</w:t>
            </w:r>
            <w:r>
              <w:rPr>
                <w:rFonts w:hint="eastAsia" w:ascii="宋体" w:hAnsi="宋体" w:cs="宋体"/>
                <w:color w:val="auto"/>
                <w:sz w:val="24"/>
                <w:szCs w:val="24"/>
              </w:rPr>
              <w:t>没有被列入政府采购严重违法失信行为记录名单的查询截图</w:t>
            </w:r>
          </w:p>
        </w:tc>
      </w:tr>
      <w:tr w14:paraId="6773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 w:type="pct"/>
            <w:gridSpan w:val="2"/>
            <w:vMerge w:val="continue"/>
            <w:vAlign w:val="center"/>
          </w:tcPr>
          <w:p w14:paraId="64B7F76A">
            <w:pPr>
              <w:spacing w:line="360" w:lineRule="auto"/>
              <w:rPr>
                <w:rFonts w:ascii="宋体" w:hAnsi="宋体" w:cs="宋体"/>
                <w:color w:val="auto"/>
                <w:sz w:val="24"/>
                <w:szCs w:val="24"/>
              </w:rPr>
            </w:pPr>
          </w:p>
        </w:tc>
        <w:tc>
          <w:tcPr>
            <w:tcW w:w="698" w:type="pct"/>
            <w:vMerge w:val="continue"/>
            <w:vAlign w:val="center"/>
          </w:tcPr>
          <w:p w14:paraId="648709EC">
            <w:pPr>
              <w:spacing w:line="360" w:lineRule="auto"/>
              <w:rPr>
                <w:rFonts w:ascii="宋体" w:hAnsi="宋体" w:cs="宋体"/>
                <w:color w:val="auto"/>
                <w:sz w:val="24"/>
                <w:szCs w:val="24"/>
              </w:rPr>
            </w:pPr>
          </w:p>
        </w:tc>
        <w:tc>
          <w:tcPr>
            <w:tcW w:w="1604" w:type="pct"/>
            <w:vAlign w:val="center"/>
          </w:tcPr>
          <w:p w14:paraId="2C3B5B15">
            <w:pPr>
              <w:spacing w:line="360" w:lineRule="auto"/>
              <w:rPr>
                <w:rFonts w:ascii="宋体" w:hAnsi="宋体" w:cs="宋体"/>
                <w:color w:val="auto"/>
                <w:sz w:val="24"/>
                <w:szCs w:val="24"/>
              </w:rPr>
            </w:pPr>
            <w:r>
              <w:rPr>
                <w:rFonts w:hint="eastAsia" w:ascii="宋体" w:hAnsi="宋体" w:cs="宋体"/>
                <w:color w:val="auto"/>
                <w:sz w:val="24"/>
                <w:szCs w:val="24"/>
              </w:rPr>
              <w:t>投标人及法定代表人不得存在行贿犯罪记录</w:t>
            </w:r>
          </w:p>
        </w:tc>
        <w:tc>
          <w:tcPr>
            <w:tcW w:w="2492" w:type="pct"/>
            <w:vAlign w:val="center"/>
          </w:tcPr>
          <w:p w14:paraId="7A21FBE5">
            <w:pPr>
              <w:spacing w:line="360" w:lineRule="auto"/>
              <w:rPr>
                <w:rFonts w:ascii="宋体" w:hAnsi="宋体" w:cs="宋体"/>
                <w:color w:val="auto"/>
                <w:sz w:val="24"/>
                <w:szCs w:val="24"/>
              </w:rPr>
            </w:pPr>
            <w:r>
              <w:rPr>
                <w:rFonts w:hint="eastAsia" w:ascii="宋体" w:hAnsi="宋体" w:cs="宋体"/>
                <w:color w:val="auto"/>
                <w:sz w:val="24"/>
                <w:szCs w:val="24"/>
              </w:rPr>
              <w:t>提供“中国裁判文书网”投标人及法定代表人无行贿犯罪记录查询截图（或投标人提供无行贿犯罪记录承诺书）</w:t>
            </w:r>
          </w:p>
        </w:tc>
      </w:tr>
      <w:tr w14:paraId="2A97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 w:type="pct"/>
            <w:gridSpan w:val="2"/>
            <w:vMerge w:val="continue"/>
            <w:vAlign w:val="center"/>
          </w:tcPr>
          <w:p w14:paraId="3A644CBD">
            <w:pPr>
              <w:spacing w:line="360" w:lineRule="auto"/>
              <w:rPr>
                <w:rFonts w:ascii="宋体" w:hAnsi="宋体" w:cs="宋体"/>
                <w:color w:val="auto"/>
                <w:sz w:val="24"/>
                <w:szCs w:val="24"/>
              </w:rPr>
            </w:pPr>
          </w:p>
        </w:tc>
        <w:tc>
          <w:tcPr>
            <w:tcW w:w="698" w:type="pct"/>
            <w:vMerge w:val="continue"/>
            <w:vAlign w:val="center"/>
          </w:tcPr>
          <w:p w14:paraId="5626C2BF">
            <w:pPr>
              <w:spacing w:line="360" w:lineRule="auto"/>
              <w:rPr>
                <w:rFonts w:ascii="宋体" w:hAnsi="宋体" w:cs="宋体"/>
                <w:color w:val="auto"/>
                <w:sz w:val="24"/>
                <w:szCs w:val="24"/>
              </w:rPr>
            </w:pPr>
          </w:p>
        </w:tc>
        <w:tc>
          <w:tcPr>
            <w:tcW w:w="1604" w:type="pct"/>
            <w:vAlign w:val="center"/>
          </w:tcPr>
          <w:p w14:paraId="53FA6A2D">
            <w:pPr>
              <w:spacing w:line="360" w:lineRule="auto"/>
              <w:rPr>
                <w:rFonts w:ascii="宋体" w:hAnsi="宋体" w:cs="宋体"/>
                <w:color w:val="auto"/>
                <w:sz w:val="24"/>
                <w:szCs w:val="24"/>
              </w:rPr>
            </w:pPr>
            <w:r>
              <w:rPr>
                <w:rFonts w:hint="eastAsia" w:ascii="宋体" w:hAnsi="宋体" w:cs="宋体"/>
                <w:color w:val="auto"/>
                <w:sz w:val="24"/>
                <w:szCs w:val="24"/>
                <w:lang w:val="en-US" w:eastAsia="zh-CN"/>
              </w:rPr>
              <w:t>投标人及法定代表人不得存在商业贿赂和不正当竞争行为记录</w:t>
            </w:r>
          </w:p>
        </w:tc>
        <w:tc>
          <w:tcPr>
            <w:tcW w:w="2492" w:type="pct"/>
            <w:vAlign w:val="center"/>
          </w:tcPr>
          <w:p w14:paraId="564B1A4F">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提供投标人及法定代表人无商业贿赂和不正当竞争行为的承诺书</w:t>
            </w:r>
          </w:p>
        </w:tc>
      </w:tr>
      <w:tr w14:paraId="5AC4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jc w:val="center"/>
        </w:trPr>
        <w:tc>
          <w:tcPr>
            <w:tcW w:w="205" w:type="pct"/>
            <w:gridSpan w:val="2"/>
            <w:vMerge w:val="continue"/>
            <w:vAlign w:val="center"/>
          </w:tcPr>
          <w:p w14:paraId="58CE1A99">
            <w:pPr>
              <w:spacing w:line="360" w:lineRule="auto"/>
              <w:rPr>
                <w:rFonts w:ascii="宋体" w:hAnsi="宋体" w:cs="宋体"/>
                <w:color w:val="auto"/>
                <w:sz w:val="24"/>
                <w:szCs w:val="24"/>
              </w:rPr>
            </w:pPr>
          </w:p>
        </w:tc>
        <w:tc>
          <w:tcPr>
            <w:tcW w:w="698" w:type="pct"/>
            <w:vMerge w:val="continue"/>
            <w:vAlign w:val="center"/>
          </w:tcPr>
          <w:p w14:paraId="174F73A0">
            <w:pPr>
              <w:spacing w:line="360" w:lineRule="auto"/>
              <w:rPr>
                <w:rFonts w:ascii="宋体" w:hAnsi="宋体" w:cs="宋体"/>
                <w:color w:val="auto"/>
                <w:sz w:val="24"/>
                <w:szCs w:val="24"/>
              </w:rPr>
            </w:pPr>
          </w:p>
        </w:tc>
        <w:tc>
          <w:tcPr>
            <w:tcW w:w="4096" w:type="pct"/>
            <w:gridSpan w:val="2"/>
            <w:vAlign w:val="center"/>
          </w:tcPr>
          <w:p w14:paraId="02AD1BEE">
            <w:pPr>
              <w:spacing w:line="360" w:lineRule="auto"/>
              <w:rPr>
                <w:rFonts w:hint="eastAsia" w:ascii="宋体" w:hAnsi="宋体" w:cs="宋体"/>
                <w:color w:val="auto"/>
                <w:sz w:val="24"/>
                <w:szCs w:val="24"/>
                <w:lang w:val="en-US" w:eastAsia="zh-CN"/>
              </w:rPr>
            </w:pPr>
            <w:r>
              <w:rPr>
                <w:rFonts w:hint="eastAsia" w:ascii="宋体" w:hAnsi="宋体" w:cs="宋体"/>
                <w:color w:val="auto"/>
                <w:sz w:val="24"/>
                <w:lang w:val="en-US" w:eastAsia="zh-CN"/>
              </w:rPr>
              <w:t>注：</w:t>
            </w:r>
            <w:r>
              <w:rPr>
                <w:rFonts w:hint="eastAsia" w:ascii="宋体" w:hAnsi="宋体" w:cs="宋体"/>
                <w:color w:val="auto"/>
                <w:sz w:val="24"/>
              </w:rPr>
              <w:t>本项目为资格后审，项目开标结束后，由</w:t>
            </w:r>
            <w:r>
              <w:rPr>
                <w:rFonts w:hint="eastAsia" w:ascii="宋体" w:hAnsi="宋体" w:cs="宋体"/>
                <w:color w:val="auto"/>
                <w:sz w:val="24"/>
                <w:lang w:val="en-US" w:eastAsia="zh-CN"/>
              </w:rPr>
              <w:t>采购人</w:t>
            </w:r>
            <w:r>
              <w:rPr>
                <w:rFonts w:hint="eastAsia" w:ascii="宋体" w:hAnsi="宋体" w:cs="宋体"/>
                <w:color w:val="auto"/>
                <w:sz w:val="24"/>
              </w:rPr>
              <w:t>或其委托的代理机构负责对投标人资格进行审查，评标委员会评标时不再审查投标人资格。投标人资格审查内容以投标人在其投标文件“投标人资格证明文件”</w:t>
            </w:r>
            <w:r>
              <w:rPr>
                <w:rFonts w:hint="eastAsia" w:ascii="宋体" w:hAnsi="宋体" w:cs="宋体"/>
                <w:color w:val="auto"/>
                <w:sz w:val="24"/>
                <w:lang w:eastAsia="zh-CN"/>
              </w:rPr>
              <w:t>中提供的信息、资料为准</w:t>
            </w:r>
            <w:r>
              <w:rPr>
                <w:rFonts w:hint="eastAsia" w:ascii="宋体" w:hAnsi="宋体" w:cs="宋体"/>
                <w:color w:val="auto"/>
                <w:sz w:val="24"/>
              </w:rPr>
              <w:t>。</w:t>
            </w:r>
            <w:r>
              <w:rPr>
                <w:rFonts w:hint="eastAsia" w:ascii="宋体" w:hAnsi="宋体" w:cs="宋体"/>
                <w:color w:val="auto"/>
                <w:sz w:val="24"/>
                <w:lang w:eastAsia="zh-CN"/>
              </w:rPr>
              <w:t>投标人提供的信息资料扫描件必须清晰可辨</w:t>
            </w:r>
            <w:r>
              <w:rPr>
                <w:rFonts w:hint="eastAsia" w:ascii="宋体" w:hAnsi="宋体" w:cs="宋体"/>
                <w:color w:val="auto"/>
                <w:sz w:val="24"/>
              </w:rPr>
              <w:t>、真实有效（投标人对其真实性负责）。</w:t>
            </w:r>
          </w:p>
        </w:tc>
      </w:tr>
      <w:tr w14:paraId="3779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737" w:hRule="atLeast"/>
          <w:jc w:val="center"/>
        </w:trPr>
        <w:tc>
          <w:tcPr>
            <w:tcW w:w="204" w:type="pct"/>
            <w:vMerge w:val="continue"/>
            <w:tcBorders>
              <w:tl2br w:val="nil"/>
              <w:tr2bl w:val="nil"/>
            </w:tcBorders>
            <w:vAlign w:val="center"/>
          </w:tcPr>
          <w:p w14:paraId="0D5AA25C">
            <w:pPr>
              <w:spacing w:line="360" w:lineRule="auto"/>
              <w:rPr>
                <w:rFonts w:ascii="宋体" w:hAnsi="宋体" w:cs="宋体"/>
                <w:color w:val="auto"/>
                <w:sz w:val="24"/>
                <w:szCs w:val="24"/>
              </w:rPr>
            </w:pPr>
          </w:p>
        </w:tc>
        <w:tc>
          <w:tcPr>
            <w:tcW w:w="698" w:type="pct"/>
            <w:vMerge w:val="restart"/>
            <w:tcBorders>
              <w:tl2br w:val="nil"/>
              <w:tr2bl w:val="nil"/>
            </w:tcBorders>
            <w:vAlign w:val="center"/>
          </w:tcPr>
          <w:p w14:paraId="3990484E">
            <w:pPr>
              <w:spacing w:line="360" w:lineRule="auto"/>
              <w:jc w:val="center"/>
              <w:rPr>
                <w:rFonts w:ascii="宋体" w:hAnsi="宋体" w:cs="宋体"/>
                <w:color w:val="auto"/>
                <w:sz w:val="24"/>
                <w:szCs w:val="24"/>
              </w:rPr>
            </w:pPr>
            <w:r>
              <w:rPr>
                <w:rFonts w:hint="eastAsia" w:ascii="宋体" w:hAnsi="宋体" w:cs="宋体"/>
                <w:color w:val="auto"/>
                <w:sz w:val="24"/>
                <w:szCs w:val="24"/>
              </w:rPr>
              <w:t>符合性评审标准</w:t>
            </w:r>
          </w:p>
        </w:tc>
        <w:tc>
          <w:tcPr>
            <w:tcW w:w="1604" w:type="pct"/>
            <w:tcBorders>
              <w:tl2br w:val="nil"/>
              <w:tr2bl w:val="nil"/>
            </w:tcBorders>
            <w:vAlign w:val="center"/>
          </w:tcPr>
          <w:p w14:paraId="0DCA031D">
            <w:pPr>
              <w:spacing w:line="360" w:lineRule="auto"/>
              <w:rPr>
                <w:rFonts w:ascii="宋体" w:hAnsi="宋体" w:cs="宋体"/>
                <w:color w:val="auto"/>
                <w:sz w:val="24"/>
                <w:szCs w:val="24"/>
              </w:rPr>
            </w:pPr>
            <w:r>
              <w:rPr>
                <w:rFonts w:hint="eastAsia" w:ascii="宋体" w:hAnsi="宋体" w:cs="宋体"/>
                <w:color w:val="auto"/>
                <w:sz w:val="24"/>
                <w:szCs w:val="24"/>
              </w:rPr>
              <w:t>投标人名称</w:t>
            </w:r>
          </w:p>
        </w:tc>
        <w:tc>
          <w:tcPr>
            <w:tcW w:w="2492" w:type="pct"/>
            <w:tcBorders>
              <w:tl2br w:val="nil"/>
              <w:tr2bl w:val="nil"/>
            </w:tcBorders>
            <w:vAlign w:val="center"/>
          </w:tcPr>
          <w:p w14:paraId="0E6AC6B9">
            <w:pPr>
              <w:spacing w:line="360" w:lineRule="auto"/>
              <w:rPr>
                <w:rFonts w:ascii="宋体" w:hAnsi="宋体" w:cs="宋体"/>
                <w:color w:val="auto"/>
                <w:sz w:val="24"/>
                <w:szCs w:val="24"/>
              </w:rPr>
            </w:pPr>
            <w:r>
              <w:rPr>
                <w:rFonts w:hint="eastAsia" w:ascii="宋体" w:hAnsi="宋体" w:cs="宋体"/>
                <w:color w:val="auto"/>
                <w:sz w:val="24"/>
                <w:szCs w:val="24"/>
              </w:rPr>
              <w:t>与营业执照一致</w:t>
            </w:r>
          </w:p>
        </w:tc>
      </w:tr>
      <w:tr w14:paraId="1E18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737" w:hRule="atLeast"/>
          <w:jc w:val="center"/>
        </w:trPr>
        <w:tc>
          <w:tcPr>
            <w:tcW w:w="204" w:type="pct"/>
            <w:vMerge w:val="continue"/>
            <w:tcBorders>
              <w:tl2br w:val="nil"/>
              <w:tr2bl w:val="nil"/>
            </w:tcBorders>
            <w:vAlign w:val="center"/>
          </w:tcPr>
          <w:p w14:paraId="101C61EB">
            <w:pPr>
              <w:spacing w:line="360" w:lineRule="auto"/>
              <w:rPr>
                <w:rFonts w:ascii="宋体" w:hAnsi="宋体" w:cs="宋体"/>
                <w:color w:val="auto"/>
                <w:sz w:val="24"/>
                <w:szCs w:val="24"/>
              </w:rPr>
            </w:pPr>
          </w:p>
        </w:tc>
        <w:tc>
          <w:tcPr>
            <w:tcW w:w="698" w:type="pct"/>
            <w:vMerge w:val="continue"/>
            <w:tcBorders>
              <w:tl2br w:val="nil"/>
              <w:tr2bl w:val="nil"/>
            </w:tcBorders>
            <w:vAlign w:val="center"/>
          </w:tcPr>
          <w:p w14:paraId="3598F517">
            <w:pPr>
              <w:spacing w:line="360" w:lineRule="auto"/>
              <w:jc w:val="center"/>
              <w:rPr>
                <w:rFonts w:ascii="宋体" w:hAnsi="宋体" w:cs="宋体"/>
                <w:color w:val="auto"/>
                <w:sz w:val="24"/>
                <w:szCs w:val="24"/>
              </w:rPr>
            </w:pPr>
          </w:p>
        </w:tc>
        <w:tc>
          <w:tcPr>
            <w:tcW w:w="1604" w:type="pct"/>
            <w:tcBorders>
              <w:tl2br w:val="nil"/>
              <w:tr2bl w:val="nil"/>
            </w:tcBorders>
            <w:vAlign w:val="center"/>
          </w:tcPr>
          <w:p w14:paraId="60E14A10">
            <w:pPr>
              <w:spacing w:line="360" w:lineRule="auto"/>
              <w:rPr>
                <w:rFonts w:ascii="宋体" w:hAnsi="宋体" w:cs="宋体"/>
                <w:color w:val="auto"/>
                <w:sz w:val="24"/>
                <w:szCs w:val="24"/>
              </w:rPr>
            </w:pPr>
            <w:r>
              <w:rPr>
                <w:rFonts w:hint="eastAsia" w:ascii="宋体" w:hAnsi="宋体" w:cs="宋体"/>
                <w:color w:val="auto"/>
                <w:sz w:val="24"/>
                <w:szCs w:val="24"/>
              </w:rPr>
              <w:t>投标文件签署、盖章</w:t>
            </w:r>
          </w:p>
        </w:tc>
        <w:tc>
          <w:tcPr>
            <w:tcW w:w="2492" w:type="pct"/>
            <w:tcBorders>
              <w:tl2br w:val="nil"/>
              <w:tr2bl w:val="nil"/>
            </w:tcBorders>
            <w:vAlign w:val="center"/>
          </w:tcPr>
          <w:p w14:paraId="32654F73">
            <w:pPr>
              <w:spacing w:line="360" w:lineRule="auto"/>
              <w:rPr>
                <w:rFonts w:ascii="宋体" w:hAnsi="宋体" w:cs="宋体"/>
                <w:color w:val="auto"/>
                <w:sz w:val="24"/>
                <w:szCs w:val="24"/>
              </w:rPr>
            </w:pPr>
            <w:r>
              <w:rPr>
                <w:rFonts w:hint="eastAsia" w:ascii="宋体" w:hAnsi="宋体" w:cs="宋体"/>
                <w:color w:val="auto"/>
                <w:sz w:val="24"/>
                <w:szCs w:val="24"/>
              </w:rPr>
              <w:t>按招标文件要求签署、盖章</w:t>
            </w:r>
          </w:p>
        </w:tc>
      </w:tr>
      <w:tr w14:paraId="5A4A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737" w:hRule="atLeast"/>
          <w:jc w:val="center"/>
        </w:trPr>
        <w:tc>
          <w:tcPr>
            <w:tcW w:w="204" w:type="pct"/>
            <w:vMerge w:val="continue"/>
            <w:tcBorders>
              <w:tl2br w:val="nil"/>
              <w:tr2bl w:val="nil"/>
            </w:tcBorders>
            <w:vAlign w:val="center"/>
          </w:tcPr>
          <w:p w14:paraId="3EC5E67C">
            <w:pPr>
              <w:spacing w:line="360" w:lineRule="auto"/>
              <w:rPr>
                <w:rFonts w:ascii="宋体" w:hAnsi="宋体" w:cs="宋体"/>
                <w:color w:val="auto"/>
                <w:sz w:val="24"/>
                <w:szCs w:val="24"/>
              </w:rPr>
            </w:pPr>
          </w:p>
        </w:tc>
        <w:tc>
          <w:tcPr>
            <w:tcW w:w="698" w:type="pct"/>
            <w:vMerge w:val="continue"/>
            <w:tcBorders>
              <w:tl2br w:val="nil"/>
              <w:tr2bl w:val="nil"/>
            </w:tcBorders>
            <w:vAlign w:val="center"/>
          </w:tcPr>
          <w:p w14:paraId="5FF170CA">
            <w:pPr>
              <w:spacing w:line="360" w:lineRule="auto"/>
              <w:jc w:val="center"/>
              <w:rPr>
                <w:rFonts w:ascii="宋体" w:hAnsi="宋体" w:cs="宋体"/>
                <w:color w:val="auto"/>
                <w:sz w:val="24"/>
                <w:szCs w:val="24"/>
              </w:rPr>
            </w:pPr>
          </w:p>
        </w:tc>
        <w:tc>
          <w:tcPr>
            <w:tcW w:w="1604" w:type="pct"/>
            <w:tcBorders>
              <w:tl2br w:val="nil"/>
              <w:tr2bl w:val="nil"/>
            </w:tcBorders>
            <w:vAlign w:val="center"/>
          </w:tcPr>
          <w:p w14:paraId="274F15C9">
            <w:pPr>
              <w:spacing w:line="360" w:lineRule="auto"/>
              <w:rPr>
                <w:rFonts w:ascii="宋体" w:hAnsi="宋体" w:cs="宋体"/>
                <w:color w:val="auto"/>
                <w:sz w:val="24"/>
                <w:szCs w:val="24"/>
              </w:rPr>
            </w:pPr>
            <w:r>
              <w:rPr>
                <w:rFonts w:hint="eastAsia" w:ascii="宋体" w:hAnsi="宋体" w:cs="宋体"/>
                <w:color w:val="auto"/>
                <w:sz w:val="24"/>
                <w:szCs w:val="24"/>
              </w:rPr>
              <w:t>报价唯一</w:t>
            </w:r>
          </w:p>
        </w:tc>
        <w:tc>
          <w:tcPr>
            <w:tcW w:w="2492" w:type="pct"/>
            <w:tcBorders>
              <w:tl2br w:val="nil"/>
              <w:tr2bl w:val="nil"/>
            </w:tcBorders>
            <w:vAlign w:val="center"/>
          </w:tcPr>
          <w:p w14:paraId="6AE77323">
            <w:pPr>
              <w:spacing w:line="360" w:lineRule="auto"/>
              <w:rPr>
                <w:rFonts w:ascii="宋体" w:hAnsi="宋体" w:cs="宋体"/>
                <w:color w:val="auto"/>
                <w:sz w:val="24"/>
                <w:szCs w:val="24"/>
              </w:rPr>
            </w:pPr>
            <w:r>
              <w:rPr>
                <w:rFonts w:hint="eastAsia" w:ascii="宋体" w:hAnsi="宋体" w:cs="宋体"/>
                <w:color w:val="auto"/>
                <w:sz w:val="24"/>
                <w:szCs w:val="24"/>
              </w:rPr>
              <w:t>只能有一个有效报价，且不超过最高投标限价</w:t>
            </w:r>
          </w:p>
        </w:tc>
      </w:tr>
      <w:tr w14:paraId="1761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737" w:hRule="atLeast"/>
          <w:jc w:val="center"/>
        </w:trPr>
        <w:tc>
          <w:tcPr>
            <w:tcW w:w="204" w:type="pct"/>
            <w:vMerge w:val="continue"/>
            <w:tcBorders>
              <w:tl2br w:val="nil"/>
              <w:tr2bl w:val="nil"/>
            </w:tcBorders>
            <w:vAlign w:val="center"/>
          </w:tcPr>
          <w:p w14:paraId="523FCFE8">
            <w:pPr>
              <w:spacing w:line="360" w:lineRule="auto"/>
              <w:rPr>
                <w:rFonts w:ascii="宋体" w:hAnsi="宋体" w:cs="宋体"/>
                <w:color w:val="auto"/>
                <w:sz w:val="24"/>
                <w:szCs w:val="24"/>
              </w:rPr>
            </w:pPr>
          </w:p>
        </w:tc>
        <w:tc>
          <w:tcPr>
            <w:tcW w:w="698" w:type="pct"/>
            <w:vMerge w:val="restart"/>
            <w:tcBorders>
              <w:tl2br w:val="nil"/>
              <w:tr2bl w:val="nil"/>
            </w:tcBorders>
            <w:vAlign w:val="center"/>
          </w:tcPr>
          <w:p w14:paraId="07C79BE8">
            <w:pPr>
              <w:spacing w:line="360" w:lineRule="auto"/>
              <w:jc w:val="center"/>
              <w:rPr>
                <w:rFonts w:ascii="宋体" w:hAnsi="宋体" w:cs="宋体"/>
                <w:color w:val="auto"/>
                <w:sz w:val="24"/>
                <w:szCs w:val="24"/>
              </w:rPr>
            </w:pPr>
            <w:r>
              <w:rPr>
                <w:rFonts w:hint="eastAsia" w:ascii="宋体" w:hAnsi="宋体" w:cs="宋体"/>
                <w:color w:val="auto"/>
                <w:sz w:val="24"/>
                <w:szCs w:val="24"/>
              </w:rPr>
              <w:t>响应性评审标准</w:t>
            </w:r>
          </w:p>
        </w:tc>
        <w:tc>
          <w:tcPr>
            <w:tcW w:w="1604" w:type="pct"/>
            <w:tcBorders>
              <w:tl2br w:val="nil"/>
              <w:tr2bl w:val="nil"/>
            </w:tcBorders>
            <w:vAlign w:val="center"/>
          </w:tcPr>
          <w:p w14:paraId="7C1D70A4">
            <w:pPr>
              <w:spacing w:line="360" w:lineRule="auto"/>
              <w:rPr>
                <w:rFonts w:ascii="宋体" w:hAnsi="宋体" w:cs="宋体"/>
                <w:color w:val="auto"/>
                <w:sz w:val="24"/>
                <w:szCs w:val="24"/>
              </w:rPr>
            </w:pPr>
            <w:r>
              <w:rPr>
                <w:rFonts w:hint="eastAsia" w:ascii="宋体" w:hAnsi="宋体" w:cs="宋体"/>
                <w:color w:val="auto"/>
                <w:sz w:val="24"/>
                <w:szCs w:val="24"/>
              </w:rPr>
              <w:t>投标有效期</w:t>
            </w:r>
          </w:p>
        </w:tc>
        <w:tc>
          <w:tcPr>
            <w:tcW w:w="2492" w:type="pct"/>
            <w:tcBorders>
              <w:tl2br w:val="nil"/>
              <w:tr2bl w:val="nil"/>
            </w:tcBorders>
            <w:vAlign w:val="center"/>
          </w:tcPr>
          <w:p w14:paraId="6A270953">
            <w:pPr>
              <w:spacing w:line="360" w:lineRule="auto"/>
              <w:rPr>
                <w:rFonts w:ascii="宋体" w:hAnsi="宋体" w:cs="宋体"/>
                <w:color w:val="auto"/>
                <w:sz w:val="24"/>
                <w:szCs w:val="24"/>
              </w:rPr>
            </w:pPr>
            <w:r>
              <w:rPr>
                <w:rFonts w:hint="eastAsia" w:ascii="宋体" w:hAnsi="宋体" w:cs="宋体"/>
                <w:color w:val="auto"/>
                <w:sz w:val="24"/>
                <w:szCs w:val="24"/>
              </w:rPr>
              <w:t>投标截止之日起90天</w:t>
            </w:r>
          </w:p>
        </w:tc>
      </w:tr>
      <w:tr w14:paraId="7909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737" w:hRule="atLeast"/>
          <w:jc w:val="center"/>
        </w:trPr>
        <w:tc>
          <w:tcPr>
            <w:tcW w:w="204" w:type="pct"/>
            <w:vMerge w:val="continue"/>
            <w:tcBorders>
              <w:tl2br w:val="nil"/>
              <w:tr2bl w:val="nil"/>
            </w:tcBorders>
            <w:vAlign w:val="center"/>
          </w:tcPr>
          <w:p w14:paraId="5331EC97">
            <w:pPr>
              <w:spacing w:line="360" w:lineRule="auto"/>
              <w:rPr>
                <w:rFonts w:ascii="宋体" w:hAnsi="宋体" w:cs="宋体"/>
                <w:color w:val="auto"/>
                <w:sz w:val="24"/>
                <w:szCs w:val="24"/>
              </w:rPr>
            </w:pPr>
          </w:p>
        </w:tc>
        <w:tc>
          <w:tcPr>
            <w:tcW w:w="698" w:type="pct"/>
            <w:vMerge w:val="continue"/>
            <w:tcBorders>
              <w:tl2br w:val="nil"/>
              <w:tr2bl w:val="nil"/>
            </w:tcBorders>
            <w:vAlign w:val="center"/>
          </w:tcPr>
          <w:p w14:paraId="4CB64EA9">
            <w:pPr>
              <w:spacing w:line="360" w:lineRule="auto"/>
              <w:rPr>
                <w:rFonts w:ascii="宋体" w:hAnsi="宋体" w:cs="宋体"/>
                <w:color w:val="auto"/>
                <w:sz w:val="24"/>
                <w:szCs w:val="24"/>
              </w:rPr>
            </w:pPr>
          </w:p>
        </w:tc>
        <w:tc>
          <w:tcPr>
            <w:tcW w:w="1604" w:type="pct"/>
            <w:tcBorders>
              <w:tl2br w:val="nil"/>
              <w:tr2bl w:val="nil"/>
            </w:tcBorders>
            <w:vAlign w:val="center"/>
          </w:tcPr>
          <w:p w14:paraId="3414A68E">
            <w:pPr>
              <w:spacing w:line="360" w:lineRule="auto"/>
              <w:rPr>
                <w:rFonts w:ascii="宋体" w:hAnsi="宋体" w:cs="宋体"/>
                <w:color w:val="auto"/>
                <w:sz w:val="24"/>
                <w:szCs w:val="24"/>
              </w:rPr>
            </w:pPr>
            <w:r>
              <w:rPr>
                <w:rFonts w:hint="eastAsia" w:ascii="宋体" w:hAnsi="宋体" w:cs="宋体"/>
                <w:color w:val="auto"/>
                <w:sz w:val="24"/>
                <w:szCs w:val="24"/>
              </w:rPr>
              <w:t>交货期限</w:t>
            </w:r>
          </w:p>
        </w:tc>
        <w:tc>
          <w:tcPr>
            <w:tcW w:w="2492" w:type="pct"/>
            <w:tcBorders>
              <w:tl2br w:val="nil"/>
              <w:tr2bl w:val="nil"/>
            </w:tcBorders>
            <w:vAlign w:val="center"/>
          </w:tcPr>
          <w:p w14:paraId="7BA6E4AE">
            <w:pPr>
              <w:spacing w:line="360" w:lineRule="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合同签订后30日历天内供货、安装及调试完毕</w:t>
            </w:r>
          </w:p>
        </w:tc>
      </w:tr>
      <w:tr w14:paraId="0BBE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737" w:hRule="atLeast"/>
          <w:jc w:val="center"/>
        </w:trPr>
        <w:tc>
          <w:tcPr>
            <w:tcW w:w="204" w:type="pct"/>
            <w:vMerge w:val="continue"/>
            <w:tcBorders>
              <w:tl2br w:val="nil"/>
              <w:tr2bl w:val="nil"/>
            </w:tcBorders>
            <w:vAlign w:val="center"/>
          </w:tcPr>
          <w:p w14:paraId="549F5215">
            <w:pPr>
              <w:spacing w:line="360" w:lineRule="auto"/>
              <w:rPr>
                <w:rFonts w:ascii="宋体" w:hAnsi="宋体" w:cs="宋体"/>
                <w:color w:val="auto"/>
                <w:sz w:val="24"/>
                <w:szCs w:val="24"/>
              </w:rPr>
            </w:pPr>
          </w:p>
        </w:tc>
        <w:tc>
          <w:tcPr>
            <w:tcW w:w="698" w:type="pct"/>
            <w:vMerge w:val="continue"/>
            <w:tcBorders>
              <w:tl2br w:val="nil"/>
              <w:tr2bl w:val="nil"/>
            </w:tcBorders>
            <w:vAlign w:val="center"/>
          </w:tcPr>
          <w:p w14:paraId="161EBB9E">
            <w:pPr>
              <w:spacing w:line="360" w:lineRule="auto"/>
              <w:rPr>
                <w:rFonts w:ascii="宋体" w:hAnsi="宋体" w:cs="宋体"/>
                <w:color w:val="auto"/>
                <w:sz w:val="24"/>
                <w:szCs w:val="24"/>
              </w:rPr>
            </w:pPr>
          </w:p>
        </w:tc>
        <w:tc>
          <w:tcPr>
            <w:tcW w:w="1604" w:type="pct"/>
            <w:tcBorders>
              <w:tl2br w:val="nil"/>
              <w:tr2bl w:val="nil"/>
            </w:tcBorders>
            <w:vAlign w:val="center"/>
          </w:tcPr>
          <w:p w14:paraId="49BF64DC">
            <w:pPr>
              <w:spacing w:line="360" w:lineRule="auto"/>
              <w:rPr>
                <w:rFonts w:ascii="宋体" w:hAnsi="宋体" w:cs="宋体"/>
                <w:color w:val="auto"/>
                <w:sz w:val="24"/>
                <w:szCs w:val="24"/>
              </w:rPr>
            </w:pPr>
            <w:r>
              <w:rPr>
                <w:rFonts w:hint="eastAsia" w:ascii="宋体" w:hAnsi="宋体" w:cs="宋体"/>
                <w:color w:val="auto"/>
                <w:sz w:val="24"/>
                <w:szCs w:val="24"/>
              </w:rPr>
              <w:t>质量要求</w:t>
            </w:r>
          </w:p>
        </w:tc>
        <w:tc>
          <w:tcPr>
            <w:tcW w:w="2492" w:type="pct"/>
            <w:tcBorders>
              <w:tl2br w:val="nil"/>
              <w:tr2bl w:val="nil"/>
            </w:tcBorders>
            <w:vAlign w:val="center"/>
          </w:tcPr>
          <w:p w14:paraId="65694186">
            <w:pPr>
              <w:spacing w:line="360" w:lineRule="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合格</w:t>
            </w:r>
          </w:p>
        </w:tc>
      </w:tr>
      <w:tr w14:paraId="089D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737" w:hRule="atLeast"/>
          <w:jc w:val="center"/>
        </w:trPr>
        <w:tc>
          <w:tcPr>
            <w:tcW w:w="204" w:type="pct"/>
            <w:vMerge w:val="continue"/>
            <w:tcBorders>
              <w:tl2br w:val="nil"/>
              <w:tr2bl w:val="nil"/>
            </w:tcBorders>
            <w:vAlign w:val="center"/>
          </w:tcPr>
          <w:p w14:paraId="56230754">
            <w:pPr>
              <w:spacing w:line="360" w:lineRule="auto"/>
              <w:rPr>
                <w:rFonts w:ascii="宋体" w:hAnsi="宋体" w:cs="宋体"/>
                <w:color w:val="auto"/>
                <w:sz w:val="24"/>
                <w:szCs w:val="24"/>
              </w:rPr>
            </w:pPr>
          </w:p>
        </w:tc>
        <w:tc>
          <w:tcPr>
            <w:tcW w:w="698" w:type="pct"/>
            <w:vMerge w:val="continue"/>
            <w:tcBorders>
              <w:tl2br w:val="nil"/>
              <w:tr2bl w:val="nil"/>
            </w:tcBorders>
            <w:vAlign w:val="center"/>
          </w:tcPr>
          <w:p w14:paraId="6CFDE23D">
            <w:pPr>
              <w:spacing w:line="360" w:lineRule="auto"/>
              <w:rPr>
                <w:rFonts w:ascii="宋体" w:hAnsi="宋体" w:cs="宋体"/>
                <w:color w:val="auto"/>
                <w:sz w:val="24"/>
                <w:szCs w:val="24"/>
              </w:rPr>
            </w:pPr>
          </w:p>
        </w:tc>
        <w:tc>
          <w:tcPr>
            <w:tcW w:w="1604" w:type="pct"/>
            <w:tcBorders>
              <w:tl2br w:val="nil"/>
              <w:tr2bl w:val="nil"/>
            </w:tcBorders>
            <w:vAlign w:val="center"/>
          </w:tcPr>
          <w:p w14:paraId="6D64E79A">
            <w:pPr>
              <w:spacing w:line="360" w:lineRule="auto"/>
              <w:rPr>
                <w:rFonts w:ascii="宋体" w:hAnsi="宋体" w:cs="宋体"/>
                <w:color w:val="auto"/>
                <w:sz w:val="24"/>
                <w:szCs w:val="24"/>
              </w:rPr>
            </w:pPr>
            <w:r>
              <w:rPr>
                <w:rFonts w:hint="eastAsia" w:ascii="宋体" w:hAnsi="宋体" w:cs="宋体"/>
                <w:color w:val="auto"/>
                <w:sz w:val="24"/>
                <w:szCs w:val="24"/>
              </w:rPr>
              <w:t>质保期</w:t>
            </w:r>
          </w:p>
        </w:tc>
        <w:tc>
          <w:tcPr>
            <w:tcW w:w="2492" w:type="pct"/>
            <w:tcBorders>
              <w:tl2br w:val="nil"/>
              <w:tr2bl w:val="nil"/>
            </w:tcBorders>
            <w:vAlign w:val="center"/>
          </w:tcPr>
          <w:p w14:paraId="0A8D2690">
            <w:pPr>
              <w:spacing w:line="360" w:lineRule="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不低于1年</w:t>
            </w:r>
          </w:p>
        </w:tc>
      </w:tr>
    </w:tbl>
    <w:p w14:paraId="10022D4A">
      <w:pPr>
        <w:rPr>
          <w:rFonts w:hint="eastAsia" w:ascii="宋体" w:hAnsi="宋体" w:cs="宋体"/>
          <w:color w:val="auto"/>
          <w:szCs w:val="24"/>
        </w:rPr>
      </w:pPr>
    </w:p>
    <w:p w14:paraId="05330447">
      <w:pPr>
        <w:rPr>
          <w:rFonts w:hint="eastAsia" w:ascii="宋体" w:hAnsi="宋体" w:cs="宋体"/>
          <w:color w:val="auto"/>
          <w:szCs w:val="24"/>
        </w:rPr>
      </w:pPr>
    </w:p>
    <w:p w14:paraId="08FDD41A">
      <w:pPr>
        <w:rPr>
          <w:rFonts w:hint="eastAsia" w:ascii="宋体" w:hAnsi="宋体" w:cs="宋体"/>
          <w:color w:val="auto"/>
          <w:szCs w:val="24"/>
        </w:rPr>
      </w:pPr>
    </w:p>
    <w:p w14:paraId="5E63EDE6">
      <w:pPr>
        <w:rPr>
          <w:rFonts w:hint="eastAsia" w:ascii="宋体" w:hAnsi="宋体" w:cs="宋体"/>
          <w:color w:val="auto"/>
          <w:szCs w:val="24"/>
        </w:rPr>
      </w:pPr>
    </w:p>
    <w:p w14:paraId="777E1431">
      <w:pPr>
        <w:rPr>
          <w:rFonts w:hint="eastAsia" w:ascii="宋体" w:hAnsi="宋体" w:cs="宋体"/>
          <w:color w:val="auto"/>
          <w:szCs w:val="24"/>
        </w:rPr>
      </w:pPr>
    </w:p>
    <w:p w14:paraId="0D421CAA">
      <w:pPr>
        <w:rPr>
          <w:rFonts w:hint="eastAsia" w:ascii="宋体" w:hAnsi="宋体" w:cs="宋体"/>
          <w:color w:val="auto"/>
          <w:szCs w:val="24"/>
        </w:rPr>
      </w:pPr>
    </w:p>
    <w:p w14:paraId="2FFFFFFB">
      <w:pPr>
        <w:rPr>
          <w:rFonts w:hint="eastAsia" w:ascii="宋体" w:hAnsi="宋体" w:cs="宋体"/>
          <w:color w:val="auto"/>
          <w:szCs w:val="24"/>
        </w:rPr>
      </w:pPr>
    </w:p>
    <w:p w14:paraId="7BFFCF59">
      <w:pPr>
        <w:rPr>
          <w:rFonts w:hint="eastAsia" w:ascii="宋体" w:hAnsi="宋体" w:cs="宋体"/>
          <w:color w:val="auto"/>
          <w:szCs w:val="24"/>
        </w:rPr>
      </w:pPr>
    </w:p>
    <w:p w14:paraId="17D73371">
      <w:pPr>
        <w:rPr>
          <w:rFonts w:hint="eastAsia" w:ascii="宋体" w:hAnsi="宋体" w:cs="宋体"/>
          <w:color w:val="auto"/>
          <w:szCs w:val="24"/>
        </w:rPr>
      </w:pPr>
    </w:p>
    <w:p w14:paraId="37BECE97">
      <w:pPr>
        <w:rPr>
          <w:rFonts w:hint="eastAsia" w:ascii="宋体" w:hAnsi="宋体" w:cs="宋体"/>
          <w:color w:val="auto"/>
          <w:szCs w:val="24"/>
        </w:rPr>
      </w:pPr>
    </w:p>
    <w:p w14:paraId="7751ECE7">
      <w:pPr>
        <w:rPr>
          <w:rFonts w:hint="eastAsia" w:ascii="宋体" w:hAnsi="宋体" w:cs="宋体"/>
          <w:color w:val="auto"/>
          <w:szCs w:val="24"/>
        </w:rPr>
      </w:pPr>
    </w:p>
    <w:p w14:paraId="690860FF">
      <w:pPr>
        <w:rPr>
          <w:rFonts w:hint="eastAsia" w:ascii="宋体" w:hAnsi="宋体" w:cs="宋体"/>
          <w:color w:val="auto"/>
          <w:szCs w:val="24"/>
        </w:rPr>
      </w:pPr>
    </w:p>
    <w:p w14:paraId="621528C8">
      <w:pPr>
        <w:rPr>
          <w:rFonts w:hint="eastAsia" w:ascii="宋体" w:hAnsi="宋体" w:cs="宋体"/>
          <w:color w:val="auto"/>
          <w:szCs w:val="24"/>
        </w:rPr>
      </w:pPr>
    </w:p>
    <w:tbl>
      <w:tblPr>
        <w:tblStyle w:val="29"/>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388"/>
        <w:gridCol w:w="7264"/>
      </w:tblGrid>
      <w:tr w14:paraId="515F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853" w:type="dxa"/>
            <w:gridSpan w:val="3"/>
            <w:vAlign w:val="center"/>
          </w:tcPr>
          <w:p w14:paraId="13D9E509">
            <w:pPr>
              <w:pStyle w:val="4"/>
              <w:keepNext w:val="0"/>
              <w:keepLines w:val="0"/>
              <w:pageBreakBefore w:val="0"/>
              <w:numPr>
                <w:ilvl w:val="0"/>
                <w:numId w:val="0"/>
              </w:numPr>
              <w:kinsoku/>
              <w:wordWrap/>
              <w:overflowPunct/>
              <w:topLinePunct w:val="0"/>
              <w:bidi w:val="0"/>
              <w:snapToGrid w:val="0"/>
              <w:spacing w:line="360" w:lineRule="auto"/>
              <w:ind w:left="0" w:leftChars="0" w:firstLine="0" w:firstLineChars="0"/>
              <w:jc w:val="both"/>
              <w:rPr>
                <w:color w:val="auto"/>
              </w:rPr>
            </w:pPr>
            <w:r>
              <w:rPr>
                <w:rFonts w:hint="eastAsia" w:ascii="宋体" w:hAnsi="宋体" w:cs="宋体"/>
                <w:color w:val="auto"/>
                <w:sz w:val="24"/>
                <w:szCs w:val="24"/>
                <w:lang w:val="en-US" w:eastAsia="zh-CN"/>
              </w:rPr>
              <w:t>详细评审</w:t>
            </w:r>
          </w:p>
        </w:tc>
      </w:tr>
      <w:tr w14:paraId="2336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2589" w:type="dxa"/>
            <w:gridSpan w:val="2"/>
            <w:shd w:val="clear" w:color="auto" w:fill="auto"/>
            <w:vAlign w:val="center"/>
          </w:tcPr>
          <w:p w14:paraId="54CA5FB5">
            <w:pPr>
              <w:pStyle w:val="4"/>
              <w:keepNext w:val="0"/>
              <w:keepLines w:val="0"/>
              <w:pageBreakBefore w:val="0"/>
              <w:numPr>
                <w:ilvl w:val="0"/>
                <w:numId w:val="0"/>
              </w:numPr>
              <w:kinsoku/>
              <w:wordWrap/>
              <w:overflowPunct/>
              <w:topLinePunct w:val="0"/>
              <w:bidi w:val="0"/>
              <w:snapToGrid w:val="0"/>
              <w:spacing w:line="360" w:lineRule="auto"/>
              <w:ind w:left="0" w:leftChars="0" w:firstLine="0" w:firstLineChars="0"/>
              <w:jc w:val="both"/>
              <w:rPr>
                <w:rFonts w:hint="eastAsia" w:ascii="宋体" w:hAnsi="宋体" w:cs="宋体"/>
                <w:color w:val="auto"/>
                <w:sz w:val="24"/>
                <w:szCs w:val="24"/>
              </w:rPr>
            </w:pPr>
            <w:r>
              <w:rPr>
                <w:rFonts w:ascii="宋体" w:hAnsi="宋体" w:eastAsia="宋体" w:cs="宋体"/>
                <w:b/>
                <w:color w:val="auto"/>
                <w:kern w:val="2"/>
                <w:sz w:val="24"/>
                <w:szCs w:val="24"/>
                <w:u w:color="000000"/>
                <w:lang w:val="en-US" w:eastAsia="zh-CN" w:bidi="ar-SA"/>
              </w:rPr>
              <w:t>1.</w:t>
            </w:r>
            <w:r>
              <w:rPr>
                <w:rFonts w:hint="eastAsia" w:ascii="宋体" w:hAnsi="宋体" w:cs="宋体"/>
                <w:color w:val="auto"/>
                <w:szCs w:val="24"/>
                <w:lang w:val="zh-CN"/>
              </w:rPr>
              <w:br w:type="page"/>
            </w:r>
            <w:r>
              <w:rPr>
                <w:rFonts w:hint="eastAsia" w:ascii="宋体" w:hAnsi="宋体" w:cs="宋体"/>
                <w:color w:val="auto"/>
                <w:sz w:val="24"/>
                <w:szCs w:val="24"/>
              </w:rPr>
              <w:t>分值构成</w:t>
            </w:r>
          </w:p>
          <w:p w14:paraId="79543879">
            <w:pPr>
              <w:pStyle w:val="4"/>
              <w:keepNext w:val="0"/>
              <w:keepLines w:val="0"/>
              <w:pageBreakBefore w:val="0"/>
              <w:numPr>
                <w:ilvl w:val="0"/>
                <w:numId w:val="0"/>
              </w:numPr>
              <w:kinsoku/>
              <w:wordWrap/>
              <w:overflowPunct/>
              <w:topLinePunct w:val="0"/>
              <w:bidi w:val="0"/>
              <w:snapToGrid w:val="0"/>
              <w:spacing w:line="360" w:lineRule="auto"/>
              <w:ind w:left="0" w:leftChars="0" w:firstLine="0" w:firstLineChars="0"/>
              <w:jc w:val="both"/>
              <w:rPr>
                <w:rFonts w:hint="eastAsia" w:ascii="宋体" w:hAnsi="宋体" w:eastAsia="宋体" w:cs="宋体"/>
                <w:b/>
                <w:color w:val="auto"/>
                <w:kern w:val="2"/>
                <w:sz w:val="24"/>
                <w:szCs w:val="24"/>
                <w:u w:color="000000"/>
                <w:lang w:val="zh-CN" w:eastAsia="zh-CN" w:bidi="ar-SA"/>
              </w:rPr>
            </w:pPr>
            <w:r>
              <w:rPr>
                <w:rFonts w:hint="eastAsia" w:ascii="宋体" w:hAnsi="宋体" w:cs="宋体"/>
                <w:color w:val="auto"/>
                <w:sz w:val="24"/>
                <w:szCs w:val="24"/>
              </w:rPr>
              <w:t>（总分100分）</w:t>
            </w:r>
          </w:p>
        </w:tc>
        <w:tc>
          <w:tcPr>
            <w:tcW w:w="7264" w:type="dxa"/>
            <w:shd w:val="clear" w:color="auto" w:fill="auto"/>
            <w:vAlign w:val="center"/>
          </w:tcPr>
          <w:p w14:paraId="7C12E270">
            <w:pPr>
              <w:keepNext w:val="0"/>
              <w:keepLines w:val="0"/>
              <w:pageBreakBefore w:val="0"/>
              <w:kinsoku/>
              <w:wordWrap/>
              <w:overflowPunct/>
              <w:topLinePunct w:val="0"/>
              <w:bidi w:val="0"/>
              <w:snapToGrid w:val="0"/>
              <w:spacing w:line="360" w:lineRule="auto"/>
              <w:jc w:val="both"/>
              <w:rPr>
                <w:color w:val="auto"/>
                <w:sz w:val="24"/>
                <w:szCs w:val="24"/>
              </w:rPr>
            </w:pPr>
            <w:r>
              <w:rPr>
                <w:rFonts w:hint="eastAsia"/>
                <w:color w:val="auto"/>
                <w:sz w:val="24"/>
                <w:szCs w:val="24"/>
              </w:rPr>
              <w:t>报价部分30分</w:t>
            </w:r>
          </w:p>
          <w:p w14:paraId="34032F6D">
            <w:pPr>
              <w:keepNext w:val="0"/>
              <w:keepLines w:val="0"/>
              <w:pageBreakBefore w:val="0"/>
              <w:kinsoku/>
              <w:wordWrap/>
              <w:overflowPunct/>
              <w:topLinePunct w:val="0"/>
              <w:bidi w:val="0"/>
              <w:snapToGrid w:val="0"/>
              <w:spacing w:line="360" w:lineRule="auto"/>
              <w:jc w:val="both"/>
              <w:rPr>
                <w:color w:val="auto"/>
                <w:sz w:val="24"/>
                <w:szCs w:val="24"/>
              </w:rPr>
            </w:pPr>
            <w:r>
              <w:rPr>
                <w:rFonts w:hint="eastAsia"/>
                <w:color w:val="auto"/>
                <w:sz w:val="24"/>
                <w:szCs w:val="24"/>
              </w:rPr>
              <w:t>技术部分</w:t>
            </w:r>
            <w:r>
              <w:rPr>
                <w:rFonts w:hint="eastAsia"/>
                <w:color w:val="auto"/>
                <w:sz w:val="24"/>
                <w:szCs w:val="24"/>
                <w:lang w:val="en-US" w:eastAsia="zh-CN"/>
              </w:rPr>
              <w:t>5</w:t>
            </w:r>
            <w:r>
              <w:rPr>
                <w:rFonts w:hint="eastAsia"/>
                <w:color w:val="auto"/>
                <w:sz w:val="24"/>
                <w:szCs w:val="24"/>
              </w:rPr>
              <w:t>0分</w:t>
            </w:r>
          </w:p>
          <w:p w14:paraId="326DFD54">
            <w:pPr>
              <w:keepNext w:val="0"/>
              <w:keepLines w:val="0"/>
              <w:pageBreakBefore w:val="0"/>
              <w:kinsoku/>
              <w:wordWrap/>
              <w:overflowPunct/>
              <w:topLinePunct w:val="0"/>
              <w:bidi w:val="0"/>
              <w:snapToGrid w:val="0"/>
              <w:spacing w:line="360" w:lineRule="auto"/>
              <w:jc w:val="both"/>
              <w:rPr>
                <w:rFonts w:hint="eastAsia" w:ascii="Times New Roman" w:hAnsi="Times New Roman" w:eastAsia="宋体" w:cs="Times New Roman"/>
                <w:color w:val="auto"/>
                <w:sz w:val="21"/>
                <w:u w:color="000000"/>
                <w:lang w:val="en-US" w:eastAsia="zh-CN" w:bidi="ar-SA"/>
              </w:rPr>
            </w:pPr>
            <w:r>
              <w:rPr>
                <w:rFonts w:hint="eastAsia"/>
                <w:color w:val="auto"/>
                <w:sz w:val="24"/>
                <w:szCs w:val="24"/>
              </w:rPr>
              <w:t>商务部分</w:t>
            </w:r>
            <w:r>
              <w:rPr>
                <w:rFonts w:hint="eastAsia"/>
                <w:color w:val="auto"/>
                <w:sz w:val="24"/>
                <w:szCs w:val="24"/>
                <w:lang w:val="en-US" w:eastAsia="zh-CN"/>
              </w:rPr>
              <w:t>2</w:t>
            </w:r>
            <w:r>
              <w:rPr>
                <w:rFonts w:hint="eastAsia"/>
                <w:color w:val="auto"/>
                <w:sz w:val="24"/>
                <w:szCs w:val="24"/>
              </w:rPr>
              <w:t>0分</w:t>
            </w:r>
          </w:p>
        </w:tc>
      </w:tr>
      <w:tr w14:paraId="613C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vAlign w:val="center"/>
          </w:tcPr>
          <w:p w14:paraId="2C24CA9D">
            <w:pPr>
              <w:keepNext w:val="0"/>
              <w:keepLines w:val="0"/>
              <w:pageBreakBefore w:val="0"/>
              <w:kinsoku/>
              <w:wordWrap/>
              <w:overflowPunct/>
              <w:topLinePunct w:val="0"/>
              <w:bidi w:val="0"/>
              <w:snapToGrid w:val="0"/>
              <w:spacing w:before="161" w:after="161" w:line="360" w:lineRule="auto"/>
              <w:jc w:val="both"/>
              <w:rPr>
                <w:rFonts w:ascii="宋体" w:hAnsi="宋体" w:cs="宋体"/>
                <w:color w:val="auto"/>
                <w:sz w:val="24"/>
                <w:szCs w:val="24"/>
              </w:rPr>
            </w:pPr>
            <w:r>
              <w:rPr>
                <w:rFonts w:hint="eastAsia" w:ascii="宋体" w:hAnsi="宋体" w:cs="宋体"/>
                <w:color w:val="auto"/>
                <w:sz w:val="24"/>
                <w:szCs w:val="24"/>
              </w:rPr>
              <w:t>评分因素</w:t>
            </w:r>
          </w:p>
        </w:tc>
        <w:tc>
          <w:tcPr>
            <w:tcW w:w="1388" w:type="dxa"/>
            <w:vAlign w:val="center"/>
          </w:tcPr>
          <w:p w14:paraId="4F30873C">
            <w:pPr>
              <w:keepNext w:val="0"/>
              <w:keepLines w:val="0"/>
              <w:pageBreakBefore w:val="0"/>
              <w:kinsoku/>
              <w:wordWrap/>
              <w:overflowPunct/>
              <w:topLinePunct w:val="0"/>
              <w:bidi w:val="0"/>
              <w:snapToGrid w:val="0"/>
              <w:spacing w:before="161" w:after="161" w:line="360" w:lineRule="auto"/>
              <w:jc w:val="center"/>
              <w:rPr>
                <w:rFonts w:ascii="宋体" w:hAnsi="宋体" w:cs="宋体"/>
                <w:color w:val="auto"/>
                <w:sz w:val="24"/>
                <w:szCs w:val="24"/>
              </w:rPr>
            </w:pPr>
            <w:r>
              <w:rPr>
                <w:rFonts w:hint="eastAsia" w:ascii="宋体" w:hAnsi="宋体" w:cs="宋体"/>
                <w:color w:val="auto"/>
                <w:sz w:val="24"/>
                <w:szCs w:val="24"/>
              </w:rPr>
              <w:t>评分内容</w:t>
            </w:r>
          </w:p>
        </w:tc>
        <w:tc>
          <w:tcPr>
            <w:tcW w:w="7264" w:type="dxa"/>
            <w:vAlign w:val="center"/>
          </w:tcPr>
          <w:p w14:paraId="4066C10D">
            <w:pPr>
              <w:keepNext w:val="0"/>
              <w:keepLines w:val="0"/>
              <w:pageBreakBefore w:val="0"/>
              <w:kinsoku/>
              <w:wordWrap/>
              <w:overflowPunct/>
              <w:topLinePunct w:val="0"/>
              <w:bidi w:val="0"/>
              <w:snapToGrid w:val="0"/>
              <w:spacing w:before="161" w:after="161" w:line="360" w:lineRule="auto"/>
              <w:jc w:val="both"/>
              <w:rPr>
                <w:rFonts w:ascii="宋体" w:hAnsi="宋体" w:cs="宋体"/>
                <w:color w:val="auto"/>
                <w:sz w:val="24"/>
                <w:szCs w:val="24"/>
              </w:rPr>
            </w:pPr>
            <w:r>
              <w:rPr>
                <w:rFonts w:hint="eastAsia" w:ascii="宋体" w:hAnsi="宋体" w:cs="宋体"/>
                <w:color w:val="auto"/>
                <w:sz w:val="24"/>
                <w:szCs w:val="24"/>
              </w:rPr>
              <w:t>评分标准</w:t>
            </w:r>
          </w:p>
        </w:tc>
      </w:tr>
      <w:tr w14:paraId="04BB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7" w:hRule="atLeast"/>
          <w:jc w:val="center"/>
        </w:trPr>
        <w:tc>
          <w:tcPr>
            <w:tcW w:w="1201" w:type="dxa"/>
            <w:vAlign w:val="center"/>
          </w:tcPr>
          <w:p w14:paraId="53842A09">
            <w:pPr>
              <w:keepNext w:val="0"/>
              <w:keepLines w:val="0"/>
              <w:pageBreakBefore w:val="0"/>
              <w:kinsoku/>
              <w:wordWrap/>
              <w:overflowPunct/>
              <w:topLinePunct w:val="0"/>
              <w:bidi w:val="0"/>
              <w:snapToGrid w:val="0"/>
              <w:spacing w:before="161" w:after="161" w:line="360" w:lineRule="auto"/>
              <w:jc w:val="both"/>
              <w:rPr>
                <w:rFonts w:ascii="宋体" w:hAnsi="宋体" w:cs="宋体"/>
                <w:color w:val="auto"/>
                <w:sz w:val="24"/>
                <w:szCs w:val="24"/>
              </w:rPr>
            </w:pPr>
            <w:r>
              <w:rPr>
                <w:rFonts w:hint="eastAsia" w:ascii="宋体" w:hAnsi="宋体" w:cs="宋体"/>
                <w:color w:val="auto"/>
                <w:sz w:val="24"/>
                <w:szCs w:val="24"/>
              </w:rPr>
              <w:t>报价部分</w:t>
            </w:r>
          </w:p>
          <w:p w14:paraId="13BBB295">
            <w:pPr>
              <w:keepNext w:val="0"/>
              <w:keepLines w:val="0"/>
              <w:pageBreakBefore w:val="0"/>
              <w:kinsoku/>
              <w:wordWrap/>
              <w:overflowPunct/>
              <w:topLinePunct w:val="0"/>
              <w:bidi w:val="0"/>
              <w:snapToGrid w:val="0"/>
              <w:spacing w:before="161" w:after="161" w:line="360" w:lineRule="auto"/>
              <w:jc w:val="both"/>
              <w:rPr>
                <w:rFonts w:ascii="宋体" w:hAnsi="宋体" w:cs="宋体"/>
                <w:color w:val="auto"/>
                <w:sz w:val="24"/>
                <w:szCs w:val="24"/>
              </w:rPr>
            </w:pPr>
            <w:r>
              <w:rPr>
                <w:rFonts w:hint="eastAsia" w:ascii="宋体" w:hAnsi="宋体" w:cs="宋体"/>
                <w:color w:val="auto"/>
                <w:sz w:val="24"/>
                <w:szCs w:val="24"/>
              </w:rPr>
              <w:t>（30分）</w:t>
            </w:r>
          </w:p>
        </w:tc>
        <w:tc>
          <w:tcPr>
            <w:tcW w:w="1388" w:type="dxa"/>
            <w:vAlign w:val="center"/>
          </w:tcPr>
          <w:p w14:paraId="797F43B0">
            <w:pPr>
              <w:keepNext w:val="0"/>
              <w:keepLines w:val="0"/>
              <w:pageBreakBefore w:val="0"/>
              <w:kinsoku/>
              <w:wordWrap/>
              <w:overflowPunct/>
              <w:topLinePunct w:val="0"/>
              <w:bidi w:val="0"/>
              <w:snapToGrid w:val="0"/>
              <w:spacing w:before="161" w:after="161" w:line="360" w:lineRule="auto"/>
              <w:jc w:val="center"/>
              <w:rPr>
                <w:rFonts w:ascii="宋体" w:hAnsi="宋体" w:cs="宋体"/>
                <w:color w:val="auto"/>
                <w:sz w:val="24"/>
                <w:szCs w:val="24"/>
              </w:rPr>
            </w:pPr>
            <w:r>
              <w:rPr>
                <w:rFonts w:hint="eastAsia" w:ascii="宋体" w:hAnsi="宋体" w:cs="宋体"/>
                <w:color w:val="auto"/>
                <w:sz w:val="24"/>
                <w:szCs w:val="24"/>
              </w:rPr>
              <w:t>投标报价（30分）</w:t>
            </w:r>
          </w:p>
        </w:tc>
        <w:tc>
          <w:tcPr>
            <w:tcW w:w="7264" w:type="dxa"/>
            <w:vAlign w:val="center"/>
          </w:tcPr>
          <w:p w14:paraId="1F26091A">
            <w:pPr>
              <w:keepNext w:val="0"/>
              <w:keepLines w:val="0"/>
              <w:pageBreakBefore w:val="0"/>
              <w:widowControl w:val="0"/>
              <w:kinsoku/>
              <w:wordWrap/>
              <w:overflowPunct/>
              <w:topLinePunct w:val="0"/>
              <w:bidi w:val="0"/>
              <w:snapToGrid w:val="0"/>
              <w:spacing w:line="360" w:lineRule="auto"/>
              <w:jc w:val="both"/>
              <w:textAlignment w:val="auto"/>
              <w:rPr>
                <w:rFonts w:ascii="宋体" w:hAnsi="宋体" w:cs="宋体"/>
                <w:color w:val="auto"/>
                <w:sz w:val="24"/>
                <w:szCs w:val="24"/>
              </w:rPr>
            </w:pPr>
            <w:r>
              <w:rPr>
                <w:rFonts w:hint="eastAsia" w:ascii="宋体" w:hAnsi="宋体" w:cs="宋体"/>
                <w:color w:val="auto"/>
                <w:sz w:val="24"/>
                <w:szCs w:val="24"/>
              </w:rPr>
              <w:t>1、满足招标文件要求的报价为有效报价。报价最低的有效报价即为评标基准价，该投标人价格分为满分。</w:t>
            </w:r>
          </w:p>
          <w:p w14:paraId="6CB3CCC3">
            <w:pPr>
              <w:keepNext w:val="0"/>
              <w:keepLines w:val="0"/>
              <w:pageBreakBefore w:val="0"/>
              <w:widowControl w:val="0"/>
              <w:kinsoku/>
              <w:wordWrap/>
              <w:overflowPunct/>
              <w:topLinePunct w:val="0"/>
              <w:bidi w:val="0"/>
              <w:snapToGrid w:val="0"/>
              <w:spacing w:line="360" w:lineRule="auto"/>
              <w:jc w:val="both"/>
              <w:textAlignment w:val="auto"/>
              <w:rPr>
                <w:rFonts w:ascii="宋体" w:hAnsi="宋体" w:cs="宋体"/>
                <w:color w:val="auto"/>
                <w:sz w:val="24"/>
                <w:szCs w:val="24"/>
              </w:rPr>
            </w:pPr>
            <w:r>
              <w:rPr>
                <w:rFonts w:hint="eastAsia" w:ascii="宋体" w:hAnsi="宋体" w:cs="宋体"/>
                <w:color w:val="auto"/>
                <w:sz w:val="24"/>
                <w:szCs w:val="24"/>
              </w:rPr>
              <w:t>其他投标人的报价分按照下列公式计算：</w:t>
            </w:r>
          </w:p>
          <w:p w14:paraId="5E0DB120">
            <w:pPr>
              <w:keepNext w:val="0"/>
              <w:keepLines w:val="0"/>
              <w:pageBreakBefore w:val="0"/>
              <w:widowControl w:val="0"/>
              <w:kinsoku/>
              <w:wordWrap/>
              <w:overflowPunct/>
              <w:topLinePunct w:val="0"/>
              <w:bidi w:val="0"/>
              <w:snapToGrid w:val="0"/>
              <w:spacing w:line="360" w:lineRule="auto"/>
              <w:jc w:val="both"/>
              <w:textAlignment w:val="auto"/>
              <w:rPr>
                <w:rFonts w:ascii="宋体" w:hAnsi="宋体" w:cs="宋体"/>
                <w:color w:val="auto"/>
                <w:sz w:val="24"/>
                <w:szCs w:val="24"/>
              </w:rPr>
            </w:pPr>
            <w:r>
              <w:rPr>
                <w:rFonts w:hint="eastAsia" w:ascii="宋体" w:hAnsi="宋体" w:cs="宋体"/>
                <w:color w:val="auto"/>
                <w:sz w:val="24"/>
                <w:szCs w:val="24"/>
              </w:rPr>
              <w:t>报价得分=（评标基准价／报价）×30</w:t>
            </w:r>
          </w:p>
          <w:p w14:paraId="0BC05BDA">
            <w:pPr>
              <w:pStyle w:val="71"/>
              <w:keepNext w:val="0"/>
              <w:keepLines w:val="0"/>
              <w:pageBreakBefore w:val="0"/>
              <w:kinsoku/>
              <w:wordWrap/>
              <w:overflowPunct/>
              <w:topLinePunct w:val="0"/>
              <w:autoSpaceDE/>
              <w:autoSpaceDN/>
              <w:bidi w:val="0"/>
              <w:snapToGrid w:val="0"/>
              <w:spacing w:line="360" w:lineRule="auto"/>
              <w:jc w:val="both"/>
              <w:rPr>
                <w:rFonts w:hint="eastAsia" w:ascii="宋体" w:hAnsi="宋体" w:cs="宋体"/>
                <w:color w:val="auto"/>
                <w:sz w:val="24"/>
                <w:szCs w:val="24"/>
              </w:rPr>
            </w:pPr>
            <w:r>
              <w:rPr>
                <w:rFonts w:hint="eastAsia" w:hAnsi="宋体" w:cs="宋体"/>
                <w:color w:val="auto"/>
                <w:sz w:val="24"/>
                <w:szCs w:val="24"/>
                <w:lang w:val="en-US" w:eastAsia="zh-CN"/>
              </w:rPr>
              <w:t>2、</w:t>
            </w:r>
            <w:r>
              <w:rPr>
                <w:rFonts w:hint="eastAsia" w:ascii="宋体" w:hAnsi="宋体" w:cs="宋体"/>
                <w:color w:val="auto"/>
                <w:sz w:val="24"/>
                <w:szCs w:val="24"/>
              </w:rPr>
              <w:t>评标委员会认为投标人的报价明显低于其他通过符合性审查投标人的报价，有可能影响</w:t>
            </w:r>
            <w:r>
              <w:rPr>
                <w:rFonts w:hint="eastAsia" w:ascii="宋体" w:hAnsi="宋体" w:cs="宋体"/>
                <w:color w:val="auto"/>
                <w:sz w:val="24"/>
                <w:szCs w:val="24"/>
                <w:lang w:eastAsia="zh-CN"/>
              </w:rPr>
              <w:t>供货质量</w:t>
            </w:r>
            <w:r>
              <w:rPr>
                <w:rFonts w:hint="eastAsia" w:ascii="宋体" w:hAnsi="宋体" w:cs="宋体"/>
                <w:color w:val="auto"/>
                <w:sz w:val="24"/>
                <w:szCs w:val="24"/>
              </w:rPr>
              <w:t>或者不能诚信履约的，应当要求其在合理的时间内提供书面说明，必要时提交相关证明材料；投标人不能证明其报价合理性的，评标委员会应当将其作为无效标处理。</w:t>
            </w:r>
          </w:p>
          <w:p w14:paraId="6D5DA480">
            <w:pPr>
              <w:keepNext w:val="0"/>
              <w:keepLines w:val="0"/>
              <w:pageBreakBefore w:val="0"/>
              <w:widowControl w:val="0"/>
              <w:kinsoku/>
              <w:wordWrap/>
              <w:overflowPunct/>
              <w:topLinePunct w:val="0"/>
              <w:bidi w:val="0"/>
              <w:snapToGrid w:val="0"/>
              <w:spacing w:line="360" w:lineRule="auto"/>
              <w:jc w:val="both"/>
              <w:textAlignment w:val="auto"/>
              <w:rPr>
                <w:rFonts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、根据《政府采购促进中小企业发展暂行办法》(财库[2020]46号)及《国务院关于印发扎实稳住经济一揽子政策措施的通知》的规定，对</w:t>
            </w:r>
            <w:r>
              <w:rPr>
                <w:rFonts w:hint="eastAsia" w:ascii="宋体" w:hAnsi="宋体" w:cs="宋体"/>
                <w:color w:val="auto"/>
                <w:sz w:val="24"/>
                <w:szCs w:val="24"/>
                <w:lang w:val="en-US" w:eastAsia="zh-CN"/>
              </w:rPr>
              <w:t>所有产品均由</w:t>
            </w:r>
            <w:r>
              <w:rPr>
                <w:rFonts w:hint="eastAsia" w:ascii="宋体" w:hAnsi="宋体" w:cs="宋体"/>
                <w:color w:val="auto"/>
                <w:sz w:val="24"/>
                <w:szCs w:val="24"/>
              </w:rPr>
              <w:t>小微企业、监狱、残疾人福利性单位</w:t>
            </w:r>
            <w:r>
              <w:rPr>
                <w:rFonts w:hint="eastAsia" w:ascii="宋体" w:hAnsi="宋体" w:cs="宋体"/>
                <w:color w:val="auto"/>
                <w:sz w:val="24"/>
                <w:szCs w:val="24"/>
                <w:lang w:val="en-US" w:eastAsia="zh-CN"/>
              </w:rPr>
              <w:t>生产</w:t>
            </w:r>
            <w:r>
              <w:rPr>
                <w:rFonts w:hint="eastAsia" w:ascii="宋体" w:hAnsi="宋体" w:cs="宋体"/>
                <w:color w:val="auto"/>
                <w:sz w:val="24"/>
                <w:szCs w:val="24"/>
              </w:rPr>
              <w:t>的</w:t>
            </w:r>
            <w:r>
              <w:rPr>
                <w:rFonts w:hint="eastAsia" w:ascii="宋体" w:hAnsi="宋体" w:cs="宋体"/>
                <w:color w:val="auto"/>
                <w:sz w:val="24"/>
                <w:szCs w:val="24"/>
                <w:lang w:val="en-US" w:eastAsia="zh-CN"/>
              </w:rPr>
              <w:t>投标人</w:t>
            </w:r>
            <w:r>
              <w:rPr>
                <w:rFonts w:hint="eastAsia" w:ascii="宋体" w:hAnsi="宋体" w:cs="宋体"/>
                <w:color w:val="auto"/>
                <w:sz w:val="24"/>
                <w:szCs w:val="24"/>
              </w:rPr>
              <w:t>价格给予20%的扣除，用扣除后的价格参与评审（小微企业提供中型或大型企业产品的，不享受价格扣除）。中小企业划型标准见《关于印发中小企业划型标规定的通知》（工信部联企业[2011]300号）。</w:t>
            </w:r>
          </w:p>
          <w:p w14:paraId="0E185BCF">
            <w:pPr>
              <w:keepNext w:val="0"/>
              <w:keepLines w:val="0"/>
              <w:pageBreakBefore w:val="0"/>
              <w:widowControl w:val="0"/>
              <w:kinsoku/>
              <w:wordWrap/>
              <w:overflowPunct/>
              <w:topLinePunct w:val="0"/>
              <w:bidi w:val="0"/>
              <w:snapToGrid w:val="0"/>
              <w:spacing w:line="360" w:lineRule="auto"/>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4</w:t>
            </w:r>
            <w:r>
              <w:rPr>
                <w:rFonts w:hint="eastAsia" w:ascii="宋体" w:hAnsi="宋体" w:cs="宋体"/>
                <w:color w:val="auto"/>
                <w:sz w:val="24"/>
                <w:szCs w:val="24"/>
              </w:rPr>
              <w:t>、符合价格扣除政策的投标人，须在投标文件中提供相应证明材料：小微企业提供《中小企业声明函》；监狱企业提供由省级以上监狱管理局、戒毒管理局（含新疆生产建设兵团）出具的属于监狱企业的证明文件</w:t>
            </w:r>
            <w:r>
              <w:rPr>
                <w:rFonts w:hint="eastAsia" w:ascii="宋体" w:hAnsi="宋体" w:cs="宋体"/>
                <w:color w:val="auto"/>
                <w:sz w:val="24"/>
                <w:szCs w:val="24"/>
                <w:lang w:eastAsia="zh-CN"/>
              </w:rPr>
              <w:t>；</w:t>
            </w:r>
            <w:r>
              <w:rPr>
                <w:rFonts w:hint="eastAsia" w:ascii="宋体" w:hAnsi="宋体" w:cs="宋体"/>
                <w:color w:val="auto"/>
                <w:sz w:val="24"/>
                <w:szCs w:val="24"/>
              </w:rPr>
              <w:t>残疾人福利性单位提供《残疾人福利性单位声明函》及相关证明材料</w:t>
            </w:r>
            <w:r>
              <w:rPr>
                <w:rFonts w:hint="eastAsia" w:ascii="宋体" w:hAnsi="宋体" w:cs="宋体"/>
                <w:color w:val="auto"/>
                <w:sz w:val="24"/>
                <w:szCs w:val="24"/>
                <w:lang w:eastAsia="zh-CN"/>
              </w:rPr>
              <w:t>。</w:t>
            </w:r>
          </w:p>
          <w:p w14:paraId="29E1AA2B">
            <w:pPr>
              <w:keepNext w:val="0"/>
              <w:keepLines w:val="0"/>
              <w:pageBreakBefore w:val="0"/>
              <w:kinsoku/>
              <w:wordWrap/>
              <w:overflowPunct/>
              <w:topLinePunct w:val="0"/>
              <w:bidi w:val="0"/>
              <w:snapToGrid w:val="0"/>
              <w:spacing w:line="360" w:lineRule="auto"/>
              <w:jc w:val="both"/>
              <w:rPr>
                <w:color w:val="auto"/>
              </w:rPr>
            </w:pPr>
            <w:r>
              <w:rPr>
                <w:rFonts w:hint="eastAsia" w:hAnsi="宋体" w:cs="宋体"/>
                <w:color w:val="auto"/>
                <w:sz w:val="24"/>
                <w:szCs w:val="24"/>
                <w:lang w:val="en-US" w:eastAsia="zh-CN"/>
              </w:rPr>
              <w:t>注：</w:t>
            </w:r>
            <w:r>
              <w:rPr>
                <w:rFonts w:hint="eastAsia" w:hAnsi="宋体" w:cs="宋体"/>
                <w:color w:val="auto"/>
                <w:sz w:val="24"/>
                <w:szCs w:val="24"/>
              </w:rPr>
              <w:t>没有提供有效证明材料的投标人，将被视为不接受投标总价的扣除，用原投标总价参与评审。</w:t>
            </w:r>
          </w:p>
        </w:tc>
      </w:tr>
      <w:tr w14:paraId="2D06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vMerge w:val="restart"/>
            <w:vAlign w:val="center"/>
          </w:tcPr>
          <w:p w14:paraId="15670651">
            <w:pPr>
              <w:keepNext w:val="0"/>
              <w:keepLines w:val="0"/>
              <w:pageBreakBefore w:val="0"/>
              <w:kinsoku/>
              <w:wordWrap/>
              <w:overflowPunct/>
              <w:topLinePunct w:val="0"/>
              <w:bidi w:val="0"/>
              <w:adjustRightInd w:val="0"/>
              <w:snapToGrid w:val="0"/>
              <w:spacing w:line="360" w:lineRule="auto"/>
              <w:jc w:val="both"/>
              <w:rPr>
                <w:rFonts w:ascii="宋体" w:hAnsi="宋体" w:cs="宋体"/>
                <w:color w:val="auto"/>
                <w:sz w:val="24"/>
                <w:szCs w:val="24"/>
              </w:rPr>
            </w:pPr>
            <w:r>
              <w:rPr>
                <w:rFonts w:hint="eastAsia" w:ascii="宋体" w:hAnsi="宋体" w:cs="宋体"/>
                <w:color w:val="auto"/>
                <w:sz w:val="24"/>
                <w:szCs w:val="24"/>
              </w:rPr>
              <w:t>技术部分</w:t>
            </w:r>
          </w:p>
          <w:p w14:paraId="1A47DE45">
            <w:pPr>
              <w:keepNext w:val="0"/>
              <w:keepLines w:val="0"/>
              <w:pageBreakBefore w:val="0"/>
              <w:kinsoku/>
              <w:wordWrap/>
              <w:overflowPunct/>
              <w:topLinePunct w:val="0"/>
              <w:bidi w:val="0"/>
              <w:snapToGrid w:val="0"/>
              <w:spacing w:before="161" w:after="161" w:line="360" w:lineRule="auto"/>
              <w:jc w:val="both"/>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0分）</w:t>
            </w:r>
          </w:p>
        </w:tc>
        <w:tc>
          <w:tcPr>
            <w:tcW w:w="1388" w:type="dxa"/>
            <w:vAlign w:val="center"/>
          </w:tcPr>
          <w:p w14:paraId="45114F0C">
            <w:pPr>
              <w:keepNext w:val="0"/>
              <w:keepLines w:val="0"/>
              <w:pageBreakBefore w:val="0"/>
              <w:kinsoku/>
              <w:wordWrap/>
              <w:overflowPunct/>
              <w:topLinePunct w:val="0"/>
              <w:bidi w:val="0"/>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产品技术指标及总体评价</w:t>
            </w:r>
          </w:p>
          <w:p w14:paraId="53D5C520">
            <w:pPr>
              <w:keepNext w:val="0"/>
              <w:keepLines w:val="0"/>
              <w:pageBreakBefore w:val="0"/>
              <w:kinsoku/>
              <w:wordWrap/>
              <w:overflowPunct/>
              <w:topLinePunct w:val="0"/>
              <w:bidi w:val="0"/>
              <w:adjustRightInd w:val="0"/>
              <w:snapToGrid w:val="0"/>
              <w:spacing w:line="360" w:lineRule="auto"/>
              <w:jc w:val="center"/>
              <w:rPr>
                <w:rFonts w:ascii="宋体" w:hAnsi="宋体" w:eastAsia="宋体" w:cs="宋体"/>
                <w:color w:val="auto"/>
                <w:sz w:val="24"/>
                <w:szCs w:val="24"/>
                <w:u w:color="000000"/>
                <w:lang w:val="en-US" w:eastAsia="zh-CN" w:bidi="ar-SA"/>
              </w:rPr>
            </w:pPr>
            <w:r>
              <w:rPr>
                <w:rFonts w:hint="eastAsia" w:ascii="宋体" w:hAnsi="宋体" w:cs="宋体"/>
                <w:color w:val="auto"/>
                <w:sz w:val="24"/>
                <w:szCs w:val="24"/>
              </w:rPr>
              <w:t>（</w:t>
            </w:r>
            <w:r>
              <w:rPr>
                <w:rFonts w:hint="eastAsia" w:ascii="宋体" w:hAnsi="宋体" w:cs="宋体"/>
                <w:color w:val="auto"/>
                <w:sz w:val="24"/>
                <w:szCs w:val="24"/>
                <w:lang w:val="en-US" w:eastAsia="zh-CN"/>
              </w:rPr>
              <w:t>25</w:t>
            </w:r>
            <w:r>
              <w:rPr>
                <w:rFonts w:hint="eastAsia" w:ascii="宋体" w:hAnsi="宋体" w:cs="宋体"/>
                <w:color w:val="auto"/>
                <w:sz w:val="24"/>
                <w:szCs w:val="24"/>
              </w:rPr>
              <w:t>分）</w:t>
            </w:r>
          </w:p>
        </w:tc>
        <w:tc>
          <w:tcPr>
            <w:tcW w:w="7264" w:type="dxa"/>
            <w:vAlign w:val="center"/>
          </w:tcPr>
          <w:p w14:paraId="0F7A46D8">
            <w:pPr>
              <w:keepNext w:val="0"/>
              <w:keepLines w:val="0"/>
              <w:pageBreakBefore w:val="0"/>
              <w:widowControl/>
              <w:kinsoku/>
              <w:wordWrap/>
              <w:overflowPunct/>
              <w:topLinePunct w:val="0"/>
              <w:autoSpaceDE/>
              <w:autoSpaceDN/>
              <w:bidi w:val="0"/>
              <w:adjustRightInd w:val="0"/>
              <w:snapToGrid w:val="0"/>
              <w:spacing w:line="348" w:lineRule="auto"/>
              <w:jc w:val="both"/>
              <w:textAlignment w:val="baseline"/>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由评委</w:t>
            </w:r>
            <w:r>
              <w:rPr>
                <w:rFonts w:hint="eastAsia" w:ascii="宋体" w:hAnsi="宋体" w:cs="宋体"/>
                <w:color w:val="auto"/>
                <w:sz w:val="24"/>
                <w:szCs w:val="24"/>
              </w:rPr>
              <w:t>根据招标文件要求的技术条款及投标文件中《技术参数偏离表》响应的条款进行打分评审，全部满足招标文件要求的得基本分</w:t>
            </w:r>
            <w:r>
              <w:rPr>
                <w:rFonts w:hint="eastAsia" w:ascii="宋体" w:hAnsi="宋体" w:cs="宋体"/>
                <w:color w:val="auto"/>
                <w:sz w:val="24"/>
                <w:szCs w:val="24"/>
                <w:lang w:val="en-US" w:eastAsia="zh-CN"/>
              </w:rPr>
              <w:t>20</w:t>
            </w:r>
            <w:r>
              <w:rPr>
                <w:rFonts w:hint="eastAsia" w:ascii="宋体" w:hAnsi="宋体" w:cs="宋体"/>
                <w:color w:val="auto"/>
                <w:sz w:val="24"/>
                <w:szCs w:val="24"/>
              </w:rPr>
              <w:t>分</w:t>
            </w:r>
            <w:r>
              <w:rPr>
                <w:rFonts w:hint="eastAsia" w:ascii="宋体" w:hAnsi="宋体" w:cs="宋体"/>
                <w:color w:val="auto"/>
                <w:sz w:val="24"/>
                <w:szCs w:val="24"/>
                <w:lang w:eastAsia="zh-CN"/>
              </w:rPr>
              <w:t>；</w:t>
            </w:r>
          </w:p>
          <w:p w14:paraId="387C35B4">
            <w:pPr>
              <w:keepNext w:val="0"/>
              <w:keepLines w:val="0"/>
              <w:pageBreakBefore w:val="0"/>
              <w:widowControl/>
              <w:kinsoku/>
              <w:wordWrap/>
              <w:overflowPunct/>
              <w:topLinePunct w:val="0"/>
              <w:autoSpaceDE/>
              <w:autoSpaceDN/>
              <w:bidi w:val="0"/>
              <w:adjustRightInd w:val="0"/>
              <w:snapToGrid w:val="0"/>
              <w:spacing w:line="348" w:lineRule="auto"/>
              <w:jc w:val="both"/>
              <w:textAlignment w:val="baseline"/>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投标产品参数优于招标文件要求的，每有一项加1分，最多加5分；</w:t>
            </w:r>
          </w:p>
          <w:p w14:paraId="45F06E84">
            <w:pPr>
              <w:keepNext w:val="0"/>
              <w:keepLines w:val="0"/>
              <w:pageBreakBefore w:val="0"/>
              <w:widowControl/>
              <w:kinsoku/>
              <w:wordWrap/>
              <w:overflowPunct/>
              <w:topLinePunct w:val="0"/>
              <w:autoSpaceDE/>
              <w:autoSpaceDN/>
              <w:bidi w:val="0"/>
              <w:adjustRightInd w:val="0"/>
              <w:snapToGrid w:val="0"/>
              <w:spacing w:line="348" w:lineRule="auto"/>
              <w:jc w:val="both"/>
              <w:textAlignment w:val="baseline"/>
              <w:rPr>
                <w:rFonts w:hint="eastAsia" w:ascii="宋体" w:hAnsi="宋体" w:eastAsia="宋体" w:cs="宋体"/>
                <w:color w:val="auto"/>
                <w:sz w:val="24"/>
                <w:szCs w:val="24"/>
                <w:lang w:eastAsia="zh-CN"/>
              </w:rPr>
            </w:pPr>
            <w:r>
              <w:rPr>
                <w:rFonts w:hint="eastAsia" w:ascii="宋体" w:hAnsi="宋体" w:cs="宋体"/>
                <w:color w:val="auto"/>
                <w:sz w:val="24"/>
                <w:szCs w:val="24"/>
              </w:rPr>
              <w:t>招标文件</w:t>
            </w:r>
            <w:r>
              <w:rPr>
                <w:rFonts w:hint="eastAsia" w:ascii="宋体" w:hAnsi="宋体" w:cs="宋体"/>
                <w:color w:val="auto"/>
                <w:sz w:val="24"/>
                <w:szCs w:val="24"/>
                <w:lang w:val="en-US" w:eastAsia="zh-CN"/>
              </w:rPr>
              <w:t>采购清单及参数要求</w:t>
            </w:r>
            <w:r>
              <w:rPr>
                <w:rFonts w:hint="eastAsia" w:ascii="宋体" w:hAnsi="宋体" w:cs="宋体"/>
                <w:color w:val="auto"/>
                <w:sz w:val="24"/>
                <w:szCs w:val="24"/>
              </w:rPr>
              <w:t>中</w:t>
            </w:r>
            <w:r>
              <w:rPr>
                <w:rFonts w:hint="eastAsia" w:ascii="宋体" w:hAnsi="宋体" w:cs="宋体"/>
                <w:color w:val="auto"/>
                <w:sz w:val="24"/>
                <w:szCs w:val="24"/>
                <w:lang w:val="en-US" w:eastAsia="zh-CN"/>
              </w:rPr>
              <w:t>标</w:t>
            </w:r>
            <w:r>
              <w:rPr>
                <w:rFonts w:hint="eastAsia" w:ascii="宋体" w:hAnsi="宋体" w:cs="宋体"/>
                <w:color w:val="auto"/>
                <w:sz w:val="24"/>
                <w:szCs w:val="24"/>
              </w:rPr>
              <w:t>“★”的</w:t>
            </w:r>
            <w:r>
              <w:rPr>
                <w:rFonts w:hint="eastAsia" w:ascii="宋体" w:hAnsi="宋体" w:cs="宋体"/>
                <w:color w:val="auto"/>
                <w:sz w:val="24"/>
                <w:szCs w:val="24"/>
                <w:lang w:val="en-US" w:eastAsia="zh-CN"/>
              </w:rPr>
              <w:t>项为重要参数</w:t>
            </w:r>
            <w:r>
              <w:rPr>
                <w:rFonts w:hint="eastAsia" w:ascii="宋体" w:hAnsi="宋体" w:cs="宋体"/>
                <w:color w:val="auto"/>
                <w:sz w:val="24"/>
                <w:szCs w:val="24"/>
              </w:rPr>
              <w:t>，投标人</w:t>
            </w:r>
            <w:r>
              <w:rPr>
                <w:rFonts w:hint="eastAsia" w:ascii="宋体" w:hAnsi="宋体" w:cs="宋体"/>
                <w:color w:val="auto"/>
                <w:sz w:val="24"/>
                <w:szCs w:val="24"/>
                <w:lang w:val="en-US" w:eastAsia="zh-CN"/>
              </w:rPr>
              <w:t>重要参数</w:t>
            </w:r>
            <w:r>
              <w:rPr>
                <w:rFonts w:hint="eastAsia" w:ascii="宋体" w:hAnsi="宋体" w:cs="宋体"/>
                <w:color w:val="auto"/>
                <w:sz w:val="24"/>
                <w:szCs w:val="24"/>
              </w:rPr>
              <w:t>每有一项指标</w:t>
            </w:r>
            <w:r>
              <w:rPr>
                <w:rFonts w:hint="eastAsia" w:ascii="宋体" w:hAnsi="宋体" w:cs="宋体"/>
                <w:color w:val="auto"/>
                <w:sz w:val="24"/>
                <w:szCs w:val="24"/>
                <w:lang w:val="en-US" w:eastAsia="zh-CN"/>
              </w:rPr>
              <w:t>负偏离的，</w:t>
            </w:r>
            <w:r>
              <w:rPr>
                <w:rFonts w:hint="eastAsia" w:ascii="宋体" w:hAnsi="宋体" w:cs="宋体"/>
                <w:color w:val="auto"/>
                <w:sz w:val="24"/>
                <w:szCs w:val="24"/>
              </w:rPr>
              <w:t>在</w:t>
            </w:r>
            <w:r>
              <w:rPr>
                <w:rFonts w:hint="eastAsia" w:ascii="宋体" w:hAnsi="宋体" w:cs="宋体"/>
                <w:color w:val="auto"/>
                <w:sz w:val="24"/>
                <w:szCs w:val="24"/>
                <w:lang w:val="en-US" w:eastAsia="zh-CN"/>
              </w:rPr>
              <w:t>20</w:t>
            </w:r>
            <w:r>
              <w:rPr>
                <w:rFonts w:hint="eastAsia" w:ascii="宋体" w:hAnsi="宋体" w:cs="宋体"/>
                <w:color w:val="auto"/>
                <w:sz w:val="24"/>
                <w:szCs w:val="24"/>
              </w:rPr>
              <w:t>分基础上扣</w:t>
            </w:r>
            <w:r>
              <w:rPr>
                <w:rFonts w:hint="eastAsia" w:ascii="宋体" w:hAnsi="宋体" w:cs="宋体"/>
                <w:color w:val="auto"/>
                <w:sz w:val="24"/>
                <w:szCs w:val="24"/>
                <w:lang w:val="en-US" w:eastAsia="zh-CN"/>
              </w:rPr>
              <w:t>5</w:t>
            </w:r>
            <w:r>
              <w:rPr>
                <w:rFonts w:hint="eastAsia" w:ascii="宋体" w:hAnsi="宋体" w:cs="宋体"/>
                <w:color w:val="auto"/>
                <w:sz w:val="24"/>
                <w:szCs w:val="24"/>
              </w:rPr>
              <w:t>分</w:t>
            </w:r>
            <w:r>
              <w:rPr>
                <w:rFonts w:hint="eastAsia" w:ascii="宋体" w:hAnsi="宋体" w:cs="宋体"/>
                <w:color w:val="auto"/>
                <w:sz w:val="24"/>
                <w:szCs w:val="24"/>
                <w:lang w:eastAsia="zh-CN"/>
              </w:rPr>
              <w:t>，</w:t>
            </w:r>
            <w:r>
              <w:rPr>
                <w:rFonts w:hint="eastAsia" w:ascii="宋体" w:hAnsi="宋体" w:cs="宋体"/>
                <w:color w:val="auto"/>
                <w:sz w:val="24"/>
                <w:szCs w:val="24"/>
              </w:rPr>
              <w:t>扣完为止</w:t>
            </w:r>
            <w:r>
              <w:rPr>
                <w:rFonts w:hint="eastAsia" w:ascii="宋体" w:hAnsi="宋体" w:cs="宋体"/>
                <w:color w:val="auto"/>
                <w:sz w:val="24"/>
                <w:szCs w:val="24"/>
                <w:lang w:eastAsia="zh-CN"/>
              </w:rPr>
              <w:t>；</w:t>
            </w:r>
          </w:p>
          <w:p w14:paraId="5D15DC13">
            <w:pPr>
              <w:keepNext w:val="0"/>
              <w:keepLines w:val="0"/>
              <w:pageBreakBefore w:val="0"/>
              <w:widowControl/>
              <w:kinsoku/>
              <w:wordWrap/>
              <w:overflowPunct/>
              <w:topLinePunct w:val="0"/>
              <w:autoSpaceDE/>
              <w:autoSpaceDN/>
              <w:bidi w:val="0"/>
              <w:adjustRightInd w:val="0"/>
              <w:snapToGrid w:val="0"/>
              <w:spacing w:line="348" w:lineRule="auto"/>
              <w:jc w:val="both"/>
              <w:textAlignment w:val="baseline"/>
              <w:rPr>
                <w:rFonts w:hint="default" w:ascii="宋体" w:hAnsi="宋体" w:eastAsia="宋体" w:cs="宋体"/>
                <w:color w:val="auto"/>
                <w:sz w:val="24"/>
                <w:szCs w:val="24"/>
                <w:u w:color="000000"/>
                <w:lang w:val="en-US" w:eastAsia="zh-CN" w:bidi="ar-SA"/>
              </w:rPr>
            </w:pPr>
            <w:r>
              <w:rPr>
                <w:rFonts w:hint="eastAsia" w:ascii="宋体" w:hAnsi="宋体" w:cs="宋体"/>
                <w:color w:val="auto"/>
                <w:sz w:val="24"/>
                <w:szCs w:val="24"/>
                <w:lang w:val="en-US" w:eastAsia="zh-CN"/>
              </w:rPr>
              <w:t>其它未标</w:t>
            </w:r>
            <w:r>
              <w:rPr>
                <w:rFonts w:hint="eastAsia" w:ascii="宋体" w:hAnsi="宋体" w:cs="宋体"/>
                <w:color w:val="auto"/>
                <w:sz w:val="24"/>
                <w:szCs w:val="24"/>
              </w:rPr>
              <w:t>“★”</w:t>
            </w:r>
            <w:r>
              <w:rPr>
                <w:rFonts w:hint="eastAsia" w:ascii="宋体" w:hAnsi="宋体" w:cs="宋体"/>
                <w:color w:val="auto"/>
                <w:sz w:val="24"/>
                <w:szCs w:val="24"/>
                <w:lang w:val="en-US" w:eastAsia="zh-CN"/>
              </w:rPr>
              <w:t>参数中，</w:t>
            </w:r>
            <w:r>
              <w:rPr>
                <w:rFonts w:hint="eastAsia" w:ascii="宋体" w:hAnsi="宋体" w:cs="宋体"/>
                <w:color w:val="auto"/>
                <w:sz w:val="24"/>
                <w:szCs w:val="24"/>
              </w:rPr>
              <w:t>每有一项指标负</w:t>
            </w:r>
            <w:r>
              <w:rPr>
                <w:rFonts w:hint="eastAsia" w:ascii="宋体" w:hAnsi="宋体" w:cs="宋体"/>
                <w:color w:val="auto"/>
                <w:sz w:val="24"/>
                <w:szCs w:val="24"/>
                <w:lang w:eastAsia="zh-CN"/>
              </w:rPr>
              <w:t>偏离</w:t>
            </w:r>
            <w:r>
              <w:rPr>
                <w:rFonts w:hint="eastAsia" w:ascii="宋体" w:hAnsi="宋体" w:cs="宋体"/>
                <w:color w:val="auto"/>
                <w:sz w:val="24"/>
                <w:szCs w:val="24"/>
              </w:rPr>
              <w:t>的，在</w:t>
            </w:r>
            <w:r>
              <w:rPr>
                <w:rFonts w:hint="eastAsia" w:ascii="宋体" w:hAnsi="宋体" w:cs="宋体"/>
                <w:color w:val="auto"/>
                <w:sz w:val="24"/>
                <w:szCs w:val="24"/>
                <w:lang w:val="en-US" w:eastAsia="zh-CN"/>
              </w:rPr>
              <w:t>20</w:t>
            </w:r>
            <w:r>
              <w:rPr>
                <w:rFonts w:hint="eastAsia" w:ascii="宋体" w:hAnsi="宋体" w:cs="宋体"/>
                <w:color w:val="auto"/>
                <w:sz w:val="24"/>
                <w:szCs w:val="24"/>
              </w:rPr>
              <w:t>分基础上扣</w:t>
            </w:r>
            <w:r>
              <w:rPr>
                <w:rFonts w:hint="eastAsia" w:ascii="宋体" w:hAnsi="宋体" w:cs="宋体"/>
                <w:color w:val="auto"/>
                <w:sz w:val="24"/>
                <w:szCs w:val="24"/>
                <w:lang w:val="en-US" w:eastAsia="zh-CN"/>
              </w:rPr>
              <w:t>2</w:t>
            </w:r>
            <w:r>
              <w:rPr>
                <w:rFonts w:hint="eastAsia" w:ascii="宋体" w:hAnsi="宋体" w:cs="宋体"/>
                <w:color w:val="auto"/>
                <w:sz w:val="24"/>
                <w:szCs w:val="24"/>
              </w:rPr>
              <w:t>分，扣完为止</w:t>
            </w:r>
            <w:r>
              <w:rPr>
                <w:rFonts w:hint="eastAsia" w:ascii="宋体" w:hAnsi="宋体" w:cs="宋体"/>
                <w:color w:val="auto"/>
                <w:sz w:val="24"/>
                <w:szCs w:val="24"/>
                <w:lang w:eastAsia="zh-CN"/>
              </w:rPr>
              <w:t>；</w:t>
            </w:r>
          </w:p>
        </w:tc>
      </w:tr>
      <w:tr w14:paraId="7E29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vMerge w:val="continue"/>
            <w:vAlign w:val="center"/>
          </w:tcPr>
          <w:p w14:paraId="50701003">
            <w:pPr>
              <w:keepNext w:val="0"/>
              <w:keepLines w:val="0"/>
              <w:pageBreakBefore w:val="0"/>
              <w:kinsoku/>
              <w:wordWrap/>
              <w:overflowPunct/>
              <w:topLinePunct w:val="0"/>
              <w:bidi w:val="0"/>
              <w:snapToGrid w:val="0"/>
              <w:spacing w:before="161" w:after="161" w:line="360" w:lineRule="auto"/>
              <w:jc w:val="both"/>
              <w:rPr>
                <w:rFonts w:hint="eastAsia" w:ascii="宋体" w:hAnsi="宋体" w:cs="宋体"/>
                <w:color w:val="auto"/>
                <w:sz w:val="24"/>
                <w:szCs w:val="24"/>
              </w:rPr>
            </w:pPr>
          </w:p>
        </w:tc>
        <w:tc>
          <w:tcPr>
            <w:tcW w:w="1388" w:type="dxa"/>
            <w:vAlign w:val="center"/>
          </w:tcPr>
          <w:p w14:paraId="66E160CA">
            <w:pPr>
              <w:keepNext w:val="0"/>
              <w:keepLines w:val="0"/>
              <w:pageBreakBefore w:val="0"/>
              <w:kinsoku/>
              <w:wordWrap/>
              <w:overflowPunct/>
              <w:topLinePunct w:val="0"/>
              <w:bidi w:val="0"/>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lang w:val="en-US" w:eastAsia="zh-CN"/>
              </w:rPr>
              <w:t>实施</w:t>
            </w:r>
            <w:r>
              <w:rPr>
                <w:rFonts w:hint="eastAsia" w:ascii="宋体" w:hAnsi="宋体" w:cs="宋体"/>
                <w:color w:val="auto"/>
                <w:sz w:val="24"/>
                <w:szCs w:val="24"/>
              </w:rPr>
              <w:t>方案</w:t>
            </w:r>
          </w:p>
          <w:p w14:paraId="3C5E430F">
            <w:pPr>
              <w:keepNext w:val="0"/>
              <w:keepLines w:val="0"/>
              <w:pageBreakBefore w:val="0"/>
              <w:kinsoku/>
              <w:wordWrap/>
              <w:overflowPunct/>
              <w:topLinePunct w:val="0"/>
              <w:bidi w:val="0"/>
              <w:adjustRightInd w:val="0"/>
              <w:snapToGrid w:val="0"/>
              <w:spacing w:line="360" w:lineRule="auto"/>
              <w:jc w:val="center"/>
              <w:rPr>
                <w:rFonts w:hint="eastAsia" w:ascii="宋体" w:hAnsi="宋体" w:eastAsia="宋体" w:cs="宋体"/>
                <w:color w:val="auto"/>
                <w:sz w:val="24"/>
                <w:szCs w:val="24"/>
                <w:u w:color="000000"/>
                <w:lang w:val="en-US" w:eastAsia="zh-CN" w:bidi="ar-SA"/>
              </w:rPr>
            </w:pPr>
            <w:r>
              <w:rPr>
                <w:rFonts w:hint="eastAsia" w:ascii="宋体" w:hAnsi="宋体" w:cs="宋体"/>
                <w:color w:val="auto"/>
                <w:sz w:val="24"/>
                <w:szCs w:val="24"/>
              </w:rPr>
              <w:t>（</w:t>
            </w:r>
            <w:r>
              <w:rPr>
                <w:rFonts w:hint="eastAsia" w:ascii="宋体" w:hAnsi="宋体" w:cs="宋体"/>
                <w:color w:val="auto"/>
                <w:sz w:val="24"/>
                <w:szCs w:val="24"/>
                <w:lang w:val="en-US" w:eastAsia="zh-CN"/>
              </w:rPr>
              <w:t>15</w:t>
            </w:r>
            <w:r>
              <w:rPr>
                <w:rFonts w:hint="eastAsia" w:ascii="宋体" w:hAnsi="宋体" w:cs="宋体"/>
                <w:color w:val="auto"/>
                <w:sz w:val="24"/>
                <w:szCs w:val="24"/>
              </w:rPr>
              <w:t>分）</w:t>
            </w:r>
          </w:p>
        </w:tc>
        <w:tc>
          <w:tcPr>
            <w:tcW w:w="7264" w:type="dxa"/>
            <w:vAlign w:val="center"/>
          </w:tcPr>
          <w:p w14:paraId="518DB39D">
            <w:pPr>
              <w:keepNext w:val="0"/>
              <w:keepLines w:val="0"/>
              <w:pageBreakBefore w:val="0"/>
              <w:widowControl/>
              <w:kinsoku/>
              <w:wordWrap/>
              <w:overflowPunct/>
              <w:topLinePunct w:val="0"/>
              <w:autoSpaceDE/>
              <w:autoSpaceDN/>
              <w:bidi w:val="0"/>
              <w:snapToGrid w:val="0"/>
              <w:spacing w:line="348" w:lineRule="auto"/>
              <w:jc w:val="both"/>
              <w:textAlignment w:val="baseline"/>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根据实施方案的供货方案、安装调试方案（明确时间节点与人员配置）、与培训方案等进行打分：</w:t>
            </w:r>
          </w:p>
          <w:p w14:paraId="04DFE0FA">
            <w:pPr>
              <w:keepNext w:val="0"/>
              <w:keepLines w:val="0"/>
              <w:pageBreakBefore w:val="0"/>
              <w:widowControl/>
              <w:kinsoku/>
              <w:wordWrap/>
              <w:overflowPunct/>
              <w:topLinePunct w:val="0"/>
              <w:autoSpaceDE/>
              <w:autoSpaceDN/>
              <w:bidi w:val="0"/>
              <w:snapToGrid w:val="0"/>
              <w:spacing w:line="348" w:lineRule="auto"/>
              <w:jc w:val="both"/>
              <w:textAlignment w:val="baseline"/>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1.供货方案全面、合理、措施有保障的，得3-5分；较全面、较详尽或者个别方面不能完全满足采购需求的，得1-2 分；基本满足采购需求的，得0-1 分。</w:t>
            </w:r>
          </w:p>
          <w:p w14:paraId="7CF84205">
            <w:pPr>
              <w:keepNext w:val="0"/>
              <w:keepLines w:val="0"/>
              <w:pageBreakBefore w:val="0"/>
              <w:widowControl/>
              <w:kinsoku/>
              <w:wordWrap/>
              <w:overflowPunct/>
              <w:topLinePunct w:val="0"/>
              <w:autoSpaceDE/>
              <w:autoSpaceDN/>
              <w:bidi w:val="0"/>
              <w:snapToGrid w:val="0"/>
              <w:spacing w:line="348" w:lineRule="auto"/>
              <w:jc w:val="both"/>
              <w:textAlignment w:val="baseline"/>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安装调试的方案（安装调试前期工作、人员配备、时间安排、工具配备）内容详实具体、安装调试充分且高效、人数充足，实施保障措施可靠，满足项目实施的得3-5分；有较具体的安装调试方案，内容较详实，基本满足项目需求的得1-2分；安装调试方案欠完备，内容一般，基本满足需求的得0-1分。</w:t>
            </w:r>
          </w:p>
          <w:p w14:paraId="162818E1">
            <w:pPr>
              <w:keepNext w:val="0"/>
              <w:keepLines w:val="0"/>
              <w:pageBreakBefore w:val="0"/>
              <w:widowControl/>
              <w:kinsoku/>
              <w:wordWrap/>
              <w:overflowPunct/>
              <w:topLinePunct w:val="0"/>
              <w:autoSpaceDE/>
              <w:autoSpaceDN/>
              <w:bidi w:val="0"/>
              <w:snapToGrid w:val="0"/>
              <w:spacing w:line="348" w:lineRule="auto"/>
              <w:jc w:val="both"/>
              <w:textAlignment w:val="baseline"/>
              <w:rPr>
                <w:rFonts w:hint="eastAsia" w:ascii="宋体" w:hAnsi="宋体" w:eastAsia="宋体" w:cs="宋体"/>
                <w:color w:val="auto"/>
                <w:sz w:val="24"/>
                <w:szCs w:val="24"/>
                <w:u w:color="000000"/>
                <w:lang w:val="en-US" w:eastAsia="zh-CN" w:bidi="ar-SA"/>
              </w:rPr>
            </w:pPr>
            <w:r>
              <w:rPr>
                <w:rFonts w:hint="eastAsia" w:ascii="宋体" w:hAnsi="宋体" w:cs="宋体"/>
                <w:color w:val="auto"/>
                <w:sz w:val="24"/>
                <w:szCs w:val="24"/>
                <w:lang w:val="en-US" w:eastAsia="zh-CN"/>
              </w:rPr>
              <w:t>3.培训方案包括操作培训、维护培训、临床应用培训，培训内容全面、培训时长充分且高效、人数充足，满足项目实施的得3-5分；有较具体的培训方案，内容较详实，培训时长基本满足项目需求、人数基本满足项目实施的得1-2分；培训方案欠完备，内容一般，培训时长及人数基本满足需求的得0-1分。</w:t>
            </w:r>
          </w:p>
        </w:tc>
      </w:tr>
      <w:tr w14:paraId="4E6B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vMerge w:val="continue"/>
            <w:vAlign w:val="center"/>
          </w:tcPr>
          <w:p w14:paraId="6B4A5ACF">
            <w:pPr>
              <w:keepNext w:val="0"/>
              <w:keepLines w:val="0"/>
              <w:pageBreakBefore w:val="0"/>
              <w:kinsoku/>
              <w:wordWrap/>
              <w:overflowPunct/>
              <w:topLinePunct w:val="0"/>
              <w:bidi w:val="0"/>
              <w:snapToGrid w:val="0"/>
              <w:spacing w:before="161" w:after="161" w:line="360" w:lineRule="auto"/>
              <w:jc w:val="both"/>
              <w:rPr>
                <w:rFonts w:hint="eastAsia" w:ascii="宋体" w:hAnsi="宋体" w:cs="宋体"/>
                <w:color w:val="auto"/>
                <w:sz w:val="24"/>
                <w:szCs w:val="24"/>
              </w:rPr>
            </w:pPr>
          </w:p>
        </w:tc>
        <w:tc>
          <w:tcPr>
            <w:tcW w:w="1388" w:type="dxa"/>
            <w:vAlign w:val="center"/>
          </w:tcPr>
          <w:p w14:paraId="1E6C6CE8">
            <w:pPr>
              <w:spacing w:line="36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产品综合评价</w:t>
            </w:r>
          </w:p>
          <w:p w14:paraId="201A3455">
            <w:pPr>
              <w:spacing w:line="36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（10分）</w:t>
            </w:r>
          </w:p>
        </w:tc>
        <w:tc>
          <w:tcPr>
            <w:tcW w:w="7264" w:type="dxa"/>
            <w:vAlign w:val="center"/>
          </w:tcPr>
          <w:p w14:paraId="7B4ACF20">
            <w:pPr>
              <w:keepNext w:val="0"/>
              <w:keepLines w:val="0"/>
              <w:pageBreakBefore w:val="0"/>
              <w:widowControl/>
              <w:kinsoku/>
              <w:wordWrap/>
              <w:overflowPunct/>
              <w:topLinePunct w:val="0"/>
              <w:autoSpaceDE/>
              <w:autoSpaceDN/>
              <w:bidi w:val="0"/>
              <w:spacing w:line="348" w:lineRule="auto"/>
              <w:jc w:val="left"/>
              <w:textAlignment w:val="baseline"/>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由评委根据项目特性结合各投标文件设备描述中设备的可操控性、性能、技术先进性、安全性等进行打分：</w:t>
            </w:r>
          </w:p>
          <w:p w14:paraId="6F326E5E">
            <w:pPr>
              <w:keepNext w:val="0"/>
              <w:keepLines w:val="0"/>
              <w:pageBreakBefore w:val="0"/>
              <w:widowControl/>
              <w:kinsoku/>
              <w:wordWrap/>
              <w:overflowPunct/>
              <w:topLinePunct w:val="0"/>
              <w:autoSpaceDE/>
              <w:autoSpaceDN/>
              <w:bidi w:val="0"/>
              <w:spacing w:line="348" w:lineRule="auto"/>
              <w:jc w:val="left"/>
              <w:textAlignment w:val="baseline"/>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所投产品优秀，操控性强、性能好、技术先进，安全性（操作维修安全等）高的得7-10分；</w:t>
            </w:r>
          </w:p>
          <w:p w14:paraId="4EA48BE7">
            <w:pPr>
              <w:keepNext w:val="0"/>
              <w:keepLines w:val="0"/>
              <w:pageBreakBefore w:val="0"/>
              <w:widowControl/>
              <w:kinsoku/>
              <w:wordWrap/>
              <w:overflowPunct/>
              <w:topLinePunct w:val="0"/>
              <w:autoSpaceDE/>
              <w:autoSpaceDN/>
              <w:bidi w:val="0"/>
              <w:spacing w:line="348" w:lineRule="auto"/>
              <w:jc w:val="left"/>
              <w:textAlignment w:val="baseline"/>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所投产品较好，操控性较强、性能较好、技术较先进，安全性（操作维修安全等）较高的得 4-6分；</w:t>
            </w:r>
          </w:p>
          <w:p w14:paraId="4CA55145">
            <w:pPr>
              <w:keepNext w:val="0"/>
              <w:keepLines w:val="0"/>
              <w:pageBreakBefore w:val="0"/>
              <w:widowControl/>
              <w:kinsoku/>
              <w:wordWrap/>
              <w:overflowPunct/>
              <w:topLinePunct w:val="0"/>
              <w:autoSpaceDE/>
              <w:autoSpaceDN/>
              <w:bidi w:val="0"/>
              <w:spacing w:line="348" w:lineRule="auto"/>
              <w:jc w:val="left"/>
              <w:textAlignment w:val="baseline"/>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所投产品一般，操控性一般、性能一般、技术保守，安全性（操作维修安全等）一般的的得1-3分</w:t>
            </w:r>
            <w:r>
              <w:rPr>
                <w:rFonts w:hint="eastAsia" w:ascii="宋体" w:hAnsi="宋体" w:cs="宋体"/>
                <w:color w:val="auto"/>
                <w:sz w:val="24"/>
                <w:szCs w:val="24"/>
                <w:lang w:val="zh-CN"/>
              </w:rPr>
              <w:t>，未涉及相关内容的不得分。</w:t>
            </w:r>
          </w:p>
        </w:tc>
      </w:tr>
      <w:tr w14:paraId="4A9C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vMerge w:val="restart"/>
            <w:vAlign w:val="center"/>
          </w:tcPr>
          <w:p w14:paraId="531C8992">
            <w:pPr>
              <w:keepNext w:val="0"/>
              <w:keepLines w:val="0"/>
              <w:pageBreakBefore w:val="0"/>
              <w:widowControl/>
              <w:kinsoku/>
              <w:wordWrap/>
              <w:overflowPunct/>
              <w:topLinePunct w:val="0"/>
              <w:autoSpaceDE/>
              <w:autoSpaceDN/>
              <w:bidi w:val="0"/>
              <w:adjustRightInd/>
              <w:snapToGrid w:val="0"/>
              <w:spacing w:before="161" w:after="161" w:line="360" w:lineRule="auto"/>
              <w:jc w:val="both"/>
              <w:textAlignment w:val="baseline"/>
              <w:rPr>
                <w:rFonts w:ascii="宋体" w:hAnsi="宋体" w:cs="宋体"/>
                <w:color w:val="auto"/>
                <w:sz w:val="24"/>
                <w:szCs w:val="24"/>
              </w:rPr>
            </w:pPr>
            <w:r>
              <w:rPr>
                <w:rFonts w:hint="eastAsia" w:ascii="宋体" w:hAnsi="宋体" w:cs="宋体"/>
                <w:color w:val="auto"/>
                <w:sz w:val="24"/>
                <w:szCs w:val="24"/>
              </w:rPr>
              <w:t>商务部分</w:t>
            </w:r>
          </w:p>
          <w:p w14:paraId="2347250B">
            <w:pPr>
              <w:keepNext w:val="0"/>
              <w:keepLines w:val="0"/>
              <w:pageBreakBefore w:val="0"/>
              <w:widowControl/>
              <w:kinsoku/>
              <w:wordWrap/>
              <w:overflowPunct/>
              <w:topLinePunct w:val="0"/>
              <w:autoSpaceDE/>
              <w:autoSpaceDN/>
              <w:bidi w:val="0"/>
              <w:adjustRightInd/>
              <w:snapToGrid w:val="0"/>
              <w:spacing w:before="161" w:after="161" w:line="360" w:lineRule="auto"/>
              <w:jc w:val="both"/>
              <w:textAlignment w:val="baseline"/>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0分）</w:t>
            </w:r>
          </w:p>
        </w:tc>
        <w:tc>
          <w:tcPr>
            <w:tcW w:w="1388" w:type="dxa"/>
            <w:vAlign w:val="center"/>
          </w:tcPr>
          <w:p w14:paraId="49DBA97E">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企业业绩</w:t>
            </w:r>
          </w:p>
          <w:p w14:paraId="7A7A36CC">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w:t>
            </w:r>
          </w:p>
        </w:tc>
        <w:tc>
          <w:tcPr>
            <w:tcW w:w="7264" w:type="dxa"/>
            <w:vAlign w:val="center"/>
          </w:tcPr>
          <w:p w14:paraId="3068605A">
            <w:pPr>
              <w:keepNext w:val="0"/>
              <w:keepLines w:val="0"/>
              <w:pageBreakBefore w:val="0"/>
              <w:widowControl/>
              <w:kinsoku/>
              <w:wordWrap/>
              <w:overflowPunct/>
              <w:topLinePunct w:val="0"/>
              <w:autoSpaceDE/>
              <w:autoSpaceDN/>
              <w:bidi w:val="0"/>
              <w:adjustRightInd/>
              <w:snapToGrid w:val="0"/>
              <w:spacing w:line="312" w:lineRule="auto"/>
              <w:jc w:val="both"/>
              <w:textAlignment w:val="baseline"/>
              <w:rPr>
                <w:rFonts w:hint="eastAsia" w:ascii="宋体" w:hAnsi="宋体" w:cs="宋体"/>
                <w:color w:val="auto"/>
                <w:sz w:val="24"/>
                <w:szCs w:val="24"/>
                <w:lang w:val="en-US" w:eastAsia="zh-CN"/>
              </w:rPr>
            </w:pPr>
            <w:r>
              <w:rPr>
                <w:rFonts w:hint="eastAsia" w:ascii="宋体" w:hAnsi="宋体" w:cs="宋体"/>
                <w:color w:val="auto"/>
                <w:sz w:val="24"/>
                <w:szCs w:val="24"/>
                <w:lang w:val="zh-CN"/>
              </w:rPr>
              <w:t>自202</w:t>
            </w:r>
            <w:r>
              <w:rPr>
                <w:rFonts w:hint="eastAsia" w:ascii="宋体" w:hAnsi="宋体" w:cs="宋体"/>
                <w:color w:val="auto"/>
                <w:sz w:val="24"/>
                <w:szCs w:val="24"/>
                <w:lang w:val="en-US" w:eastAsia="zh-CN"/>
              </w:rPr>
              <w:t>2</w:t>
            </w:r>
            <w:r>
              <w:rPr>
                <w:rFonts w:hint="eastAsia" w:ascii="宋体" w:hAnsi="宋体" w:cs="宋体"/>
                <w:color w:val="auto"/>
                <w:sz w:val="24"/>
                <w:szCs w:val="24"/>
                <w:lang w:val="zh-CN"/>
              </w:rPr>
              <w:t>年1月份以来，投标人</w:t>
            </w:r>
            <w:r>
              <w:rPr>
                <w:rFonts w:hint="eastAsia" w:ascii="宋体" w:hAnsi="宋体" w:cs="宋体"/>
                <w:color w:val="auto"/>
                <w:sz w:val="24"/>
                <w:szCs w:val="24"/>
                <w:lang w:val="en-US" w:eastAsia="zh-CN"/>
              </w:rPr>
              <w:t>承揽的类似</w:t>
            </w:r>
            <w:r>
              <w:rPr>
                <w:rFonts w:hint="eastAsia" w:ascii="宋体" w:hAnsi="宋体" w:cs="宋体"/>
                <w:color w:val="auto"/>
                <w:sz w:val="24"/>
                <w:szCs w:val="24"/>
                <w:lang w:val="zh-CN"/>
              </w:rPr>
              <w:t>项目业绩（业绩</w:t>
            </w:r>
            <w:r>
              <w:rPr>
                <w:rFonts w:hint="eastAsia" w:ascii="宋体" w:hAnsi="宋体" w:cs="宋体"/>
                <w:color w:val="auto"/>
                <w:sz w:val="24"/>
                <w:szCs w:val="24"/>
                <w:lang w:val="en-US" w:eastAsia="zh-CN"/>
              </w:rPr>
              <w:t>以提供</w:t>
            </w:r>
            <w:r>
              <w:rPr>
                <w:rFonts w:hint="eastAsia" w:ascii="宋体" w:hAnsi="宋体" w:cs="宋体"/>
                <w:color w:val="auto"/>
                <w:sz w:val="24"/>
                <w:szCs w:val="24"/>
                <w:lang w:val="zh-CN"/>
              </w:rPr>
              <w:t>合同</w:t>
            </w:r>
            <w:r>
              <w:rPr>
                <w:rFonts w:hint="eastAsia" w:ascii="宋体" w:hAnsi="宋体" w:cs="宋体"/>
                <w:color w:val="auto"/>
                <w:sz w:val="24"/>
                <w:szCs w:val="24"/>
                <w:lang w:val="en-US" w:eastAsia="zh-CN"/>
              </w:rPr>
              <w:t>或验收报告为准</w:t>
            </w:r>
            <w:r>
              <w:rPr>
                <w:rFonts w:hint="eastAsia" w:ascii="宋体" w:hAnsi="宋体" w:cs="宋体"/>
                <w:color w:val="auto"/>
                <w:sz w:val="24"/>
                <w:szCs w:val="24"/>
                <w:lang w:val="zh-CN"/>
              </w:rPr>
              <w:t>），每提供</w:t>
            </w:r>
            <w:r>
              <w:rPr>
                <w:rFonts w:hint="eastAsia" w:ascii="宋体" w:hAnsi="宋体" w:cs="宋体"/>
                <w:color w:val="auto"/>
                <w:sz w:val="24"/>
                <w:szCs w:val="24"/>
                <w:lang w:val="en-US" w:eastAsia="zh-CN"/>
              </w:rPr>
              <w:t>一</w:t>
            </w:r>
            <w:r>
              <w:rPr>
                <w:rFonts w:hint="eastAsia" w:ascii="宋体" w:hAnsi="宋体" w:cs="宋体"/>
                <w:color w:val="auto"/>
                <w:sz w:val="24"/>
                <w:szCs w:val="24"/>
                <w:lang w:val="zh-CN"/>
              </w:rPr>
              <w:t>个得</w:t>
            </w:r>
            <w:r>
              <w:rPr>
                <w:rFonts w:hint="eastAsia" w:ascii="宋体" w:hAnsi="宋体" w:cs="宋体"/>
                <w:color w:val="auto"/>
                <w:sz w:val="24"/>
                <w:szCs w:val="24"/>
                <w:lang w:val="en-US" w:eastAsia="zh-CN"/>
              </w:rPr>
              <w:t>2</w:t>
            </w:r>
            <w:r>
              <w:rPr>
                <w:rFonts w:hint="eastAsia" w:ascii="宋体" w:hAnsi="宋体" w:cs="宋体"/>
                <w:color w:val="auto"/>
                <w:sz w:val="24"/>
                <w:szCs w:val="24"/>
                <w:lang w:val="zh-CN"/>
              </w:rPr>
              <w:t>分，本项最多得</w:t>
            </w:r>
            <w:r>
              <w:rPr>
                <w:rFonts w:hint="eastAsia" w:ascii="宋体" w:hAnsi="宋体" w:cs="宋体"/>
                <w:color w:val="auto"/>
                <w:sz w:val="24"/>
                <w:szCs w:val="24"/>
                <w:lang w:val="en-US" w:eastAsia="zh-CN"/>
              </w:rPr>
              <w:t>4</w:t>
            </w:r>
            <w:r>
              <w:rPr>
                <w:rFonts w:hint="eastAsia" w:ascii="宋体" w:hAnsi="宋体" w:cs="宋体"/>
                <w:color w:val="auto"/>
                <w:sz w:val="24"/>
                <w:szCs w:val="24"/>
                <w:lang w:val="zh-CN"/>
              </w:rPr>
              <w:t>分，</w:t>
            </w:r>
            <w:r>
              <w:rPr>
                <w:rFonts w:hint="eastAsia" w:ascii="宋体" w:hAnsi="宋体" w:cs="宋体"/>
                <w:color w:val="auto"/>
                <w:sz w:val="24"/>
                <w:szCs w:val="24"/>
                <w:lang w:val="en-US" w:eastAsia="zh-CN"/>
              </w:rPr>
              <w:t>没有</w:t>
            </w:r>
            <w:r>
              <w:rPr>
                <w:rFonts w:hint="eastAsia" w:ascii="宋体" w:hAnsi="宋体" w:cs="宋体"/>
                <w:color w:val="auto"/>
                <w:sz w:val="24"/>
                <w:szCs w:val="24"/>
                <w:lang w:val="zh-CN"/>
              </w:rPr>
              <w:t>的不得分。</w:t>
            </w:r>
          </w:p>
        </w:tc>
      </w:tr>
      <w:tr w14:paraId="238C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1" w:type="dxa"/>
            <w:vMerge w:val="continue"/>
            <w:vAlign w:val="center"/>
          </w:tcPr>
          <w:p w14:paraId="01B98632">
            <w:pPr>
              <w:keepNext w:val="0"/>
              <w:keepLines w:val="0"/>
              <w:pageBreakBefore w:val="0"/>
              <w:widowControl/>
              <w:kinsoku/>
              <w:wordWrap/>
              <w:overflowPunct/>
              <w:topLinePunct w:val="0"/>
              <w:autoSpaceDE/>
              <w:autoSpaceDN/>
              <w:bidi w:val="0"/>
              <w:adjustRightInd/>
              <w:snapToGrid w:val="0"/>
              <w:spacing w:before="161" w:after="161" w:line="360" w:lineRule="auto"/>
              <w:jc w:val="both"/>
              <w:textAlignment w:val="baseline"/>
              <w:rPr>
                <w:rFonts w:ascii="宋体" w:hAnsi="宋体" w:cs="宋体"/>
                <w:color w:val="auto"/>
                <w:sz w:val="24"/>
                <w:szCs w:val="24"/>
              </w:rPr>
            </w:pPr>
          </w:p>
        </w:tc>
        <w:tc>
          <w:tcPr>
            <w:tcW w:w="1388" w:type="dxa"/>
            <w:shd w:val="clear" w:color="auto" w:fill="auto"/>
            <w:vAlign w:val="center"/>
          </w:tcPr>
          <w:p w14:paraId="18D7832D">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color w:val="auto"/>
                <w:sz w:val="24"/>
                <w:szCs w:val="24"/>
                <w:u w:color="000000"/>
                <w:lang w:val="en-US" w:eastAsia="zh-CN" w:bidi="ar-SA"/>
              </w:rPr>
            </w:pPr>
            <w:r>
              <w:rPr>
                <w:rFonts w:hint="eastAsia" w:ascii="宋体" w:hAnsi="宋体" w:cs="宋体"/>
                <w:color w:val="auto"/>
                <w:sz w:val="24"/>
                <w:szCs w:val="24"/>
                <w:lang w:val="en-US" w:eastAsia="zh-CN"/>
              </w:rPr>
              <w:t>运营</w:t>
            </w:r>
            <w:r>
              <w:rPr>
                <w:rFonts w:hint="eastAsia" w:ascii="宋体" w:hAnsi="宋体" w:cs="宋体"/>
                <w:color w:val="auto"/>
                <w:sz w:val="24"/>
                <w:szCs w:val="24"/>
                <w:lang w:eastAsia="zh-CN"/>
              </w:rPr>
              <w:t>服务</w:t>
            </w:r>
            <w:r>
              <w:rPr>
                <w:rFonts w:hint="eastAsia" w:ascii="宋体" w:hAnsi="宋体" w:cs="宋体"/>
                <w:color w:val="auto"/>
                <w:sz w:val="24"/>
                <w:szCs w:val="24"/>
                <w:lang w:val="en-US" w:eastAsia="zh-CN"/>
              </w:rPr>
              <w:t>方案</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5分</w:t>
            </w:r>
            <w:r>
              <w:rPr>
                <w:rFonts w:hint="eastAsia" w:ascii="宋体" w:hAnsi="宋体" w:cs="宋体"/>
                <w:color w:val="auto"/>
                <w:sz w:val="24"/>
                <w:szCs w:val="24"/>
                <w:lang w:eastAsia="zh-CN"/>
              </w:rPr>
              <w:t>）</w:t>
            </w:r>
          </w:p>
        </w:tc>
        <w:tc>
          <w:tcPr>
            <w:tcW w:w="7264" w:type="dxa"/>
            <w:shd w:val="clear" w:color="auto" w:fill="auto"/>
            <w:vAlign w:val="center"/>
          </w:tcPr>
          <w:p w14:paraId="4AAF1D15">
            <w:pPr>
              <w:keepNext w:val="0"/>
              <w:keepLines w:val="0"/>
              <w:pageBreakBefore w:val="0"/>
              <w:widowControl/>
              <w:kinsoku/>
              <w:wordWrap/>
              <w:overflowPunct/>
              <w:topLinePunct w:val="0"/>
              <w:autoSpaceDE/>
              <w:autoSpaceDN/>
              <w:bidi w:val="0"/>
              <w:adjustRightInd/>
              <w:snapToGrid w:val="0"/>
              <w:spacing w:line="312" w:lineRule="auto"/>
              <w:jc w:val="both"/>
              <w:textAlignment w:val="baseline"/>
              <w:rPr>
                <w:rFonts w:hint="eastAsia" w:ascii="宋体" w:hAnsi="宋体" w:cs="宋体"/>
                <w:color w:val="auto"/>
                <w:sz w:val="24"/>
                <w:szCs w:val="24"/>
                <w:lang w:eastAsia="zh-CN"/>
              </w:rPr>
            </w:pPr>
            <w:r>
              <w:rPr>
                <w:rFonts w:hint="eastAsia" w:ascii="宋体" w:hAnsi="宋体" w:cs="宋体"/>
                <w:color w:val="auto"/>
                <w:sz w:val="24"/>
                <w:szCs w:val="24"/>
                <w:lang w:eastAsia="zh-CN"/>
              </w:rPr>
              <w:t>为切实提升</w:t>
            </w:r>
            <w:r>
              <w:rPr>
                <w:rFonts w:hint="eastAsia" w:ascii="宋体" w:hAnsi="宋体" w:cs="宋体"/>
                <w:color w:val="auto"/>
                <w:sz w:val="24"/>
                <w:szCs w:val="24"/>
                <w:lang w:val="en-US" w:eastAsia="zh-CN"/>
              </w:rPr>
              <w:t>采购人</w:t>
            </w:r>
            <w:r>
              <w:rPr>
                <w:rFonts w:hint="eastAsia" w:ascii="宋体" w:hAnsi="宋体" w:cs="宋体"/>
                <w:color w:val="auto"/>
                <w:sz w:val="24"/>
                <w:szCs w:val="24"/>
                <w:lang w:eastAsia="zh-CN"/>
              </w:rPr>
              <w:t>康复诊疗服务能力、保障康复医学科规范化运营，助力</w:t>
            </w:r>
            <w:r>
              <w:rPr>
                <w:rFonts w:hint="eastAsia" w:ascii="宋体" w:hAnsi="宋体" w:cs="宋体"/>
                <w:color w:val="auto"/>
                <w:sz w:val="24"/>
                <w:szCs w:val="24"/>
                <w:lang w:val="en-US" w:eastAsia="zh-CN"/>
              </w:rPr>
              <w:t>采购人</w:t>
            </w:r>
            <w:r>
              <w:rPr>
                <w:rFonts w:hint="eastAsia" w:ascii="宋体" w:hAnsi="宋体" w:cs="宋体"/>
                <w:color w:val="auto"/>
                <w:sz w:val="24"/>
                <w:szCs w:val="24"/>
                <w:lang w:eastAsia="zh-CN"/>
              </w:rPr>
              <w:t>实现经济效益与社会效益双丰收，</w:t>
            </w:r>
            <w:r>
              <w:rPr>
                <w:rFonts w:hint="eastAsia" w:ascii="宋体" w:hAnsi="宋体" w:cs="宋体"/>
                <w:color w:val="auto"/>
                <w:sz w:val="24"/>
                <w:szCs w:val="24"/>
                <w:lang w:val="en-US" w:eastAsia="zh-CN"/>
              </w:rPr>
              <w:t>投标人</w:t>
            </w:r>
            <w:r>
              <w:rPr>
                <w:rFonts w:hint="eastAsia" w:ascii="宋体" w:hAnsi="宋体" w:cs="宋体"/>
                <w:color w:val="auto"/>
                <w:sz w:val="24"/>
                <w:szCs w:val="24"/>
                <w:lang w:eastAsia="zh-CN"/>
              </w:rPr>
              <w:t>需从技术支撑、运营管理等维度，提供覆盖科室筹建期、试运营期及正式开诊期的全流程一站式解决方案。</w:t>
            </w:r>
          </w:p>
          <w:p w14:paraId="0955D5F6">
            <w:pPr>
              <w:keepNext w:val="0"/>
              <w:keepLines w:val="0"/>
              <w:pageBreakBefore w:val="0"/>
              <w:widowControl/>
              <w:kinsoku/>
              <w:wordWrap/>
              <w:overflowPunct/>
              <w:topLinePunct w:val="0"/>
              <w:autoSpaceDE/>
              <w:autoSpaceDN/>
              <w:bidi w:val="0"/>
              <w:adjustRightInd/>
              <w:snapToGrid w:val="0"/>
              <w:spacing w:line="312" w:lineRule="auto"/>
              <w:jc w:val="both"/>
              <w:textAlignment w:val="baseline"/>
              <w:rPr>
                <w:rFonts w:hint="default" w:ascii="宋体" w:hAnsi="宋体" w:eastAsia="宋体" w:cs="宋体"/>
                <w:color w:val="auto"/>
                <w:sz w:val="24"/>
                <w:szCs w:val="24"/>
                <w:u w:color="000000"/>
                <w:lang w:val="en-US" w:eastAsia="zh-CN" w:bidi="ar-SA"/>
              </w:rPr>
            </w:pPr>
            <w:r>
              <w:rPr>
                <w:rFonts w:hint="eastAsia" w:ascii="宋体" w:hAnsi="宋体" w:cs="宋体"/>
                <w:color w:val="auto"/>
                <w:sz w:val="24"/>
                <w:szCs w:val="24"/>
                <w:lang w:eastAsia="zh-CN"/>
              </w:rPr>
              <w:t>评委将针对投标人提交的运营服务方案进行量化打分，评分维度及标准如下：专业方向规划、发展规划、治疗套餐制定、患者渠道建设、专家开科带教、医患服务管理、媒体宣传推广、科室文化建设、科室管理、人才进修等具体实施措施。评分标准为：措施完善、可行性强的得 4-5 分；措施基本完备、具备一定可行性的得 2-3 分；措施缺失或可行性差的得 0-1 分；未涉及相关内容的不得分。</w:t>
            </w:r>
          </w:p>
        </w:tc>
      </w:tr>
      <w:tr w14:paraId="332D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201" w:type="dxa"/>
            <w:vMerge w:val="continue"/>
            <w:vAlign w:val="center"/>
          </w:tcPr>
          <w:p w14:paraId="7BC1C967">
            <w:pPr>
              <w:keepNext w:val="0"/>
              <w:keepLines w:val="0"/>
              <w:pageBreakBefore w:val="0"/>
              <w:widowControl/>
              <w:kinsoku/>
              <w:wordWrap/>
              <w:overflowPunct/>
              <w:topLinePunct w:val="0"/>
              <w:autoSpaceDE/>
              <w:autoSpaceDN/>
              <w:bidi w:val="0"/>
              <w:adjustRightInd/>
              <w:snapToGrid w:val="0"/>
              <w:spacing w:before="161" w:after="161" w:line="360" w:lineRule="auto"/>
              <w:jc w:val="both"/>
              <w:textAlignment w:val="baseline"/>
              <w:rPr>
                <w:rFonts w:ascii="宋体" w:hAnsi="宋体" w:cs="宋体"/>
                <w:color w:val="auto"/>
                <w:sz w:val="24"/>
                <w:szCs w:val="24"/>
              </w:rPr>
            </w:pPr>
          </w:p>
        </w:tc>
        <w:tc>
          <w:tcPr>
            <w:tcW w:w="1388" w:type="dxa"/>
            <w:shd w:val="clear" w:color="auto" w:fill="auto"/>
            <w:vAlign w:val="center"/>
          </w:tcPr>
          <w:p w14:paraId="12A1A35D">
            <w:pPr>
              <w:keepNext w:val="0"/>
              <w:keepLines w:val="0"/>
              <w:pageBreakBefore w:val="0"/>
              <w:kinsoku/>
              <w:wordWrap/>
              <w:overflowPunct/>
              <w:topLinePunct w:val="0"/>
              <w:bidi w:val="0"/>
              <w:adjustRightInd w:val="0"/>
              <w:snapToGrid w:val="0"/>
              <w:spacing w:line="360" w:lineRule="auto"/>
              <w:jc w:val="center"/>
              <w:rPr>
                <w:rFonts w:hint="eastAsia" w:ascii="宋体" w:hAnsi="宋体" w:eastAsia="宋体" w:cs="宋体"/>
                <w:color w:val="auto"/>
                <w:sz w:val="24"/>
                <w:szCs w:val="24"/>
                <w:u w:color="000000"/>
                <w:lang w:val="en-US" w:eastAsia="zh-CN" w:bidi="ar-SA"/>
              </w:rPr>
            </w:pPr>
            <w:r>
              <w:rPr>
                <w:rFonts w:hint="eastAsia" w:ascii="宋体" w:hAnsi="宋体" w:cs="宋体"/>
                <w:color w:val="auto"/>
                <w:sz w:val="24"/>
                <w:szCs w:val="24"/>
                <w:lang w:val="en-US" w:eastAsia="zh-CN"/>
              </w:rPr>
              <w:t>应急</w:t>
            </w:r>
            <w:r>
              <w:rPr>
                <w:rFonts w:hint="eastAsia" w:ascii="宋体" w:hAnsi="宋体" w:cs="宋体"/>
                <w:color w:val="auto"/>
                <w:sz w:val="24"/>
                <w:szCs w:val="24"/>
              </w:rPr>
              <w:t>保障措施（</w:t>
            </w:r>
            <w:r>
              <w:rPr>
                <w:rFonts w:hint="eastAsia" w:ascii="宋体" w:hAnsi="宋体" w:cs="宋体"/>
                <w:color w:val="auto"/>
                <w:sz w:val="24"/>
                <w:szCs w:val="24"/>
                <w:lang w:val="en-US" w:eastAsia="zh-CN"/>
              </w:rPr>
              <w:t>5</w:t>
            </w:r>
            <w:r>
              <w:rPr>
                <w:rFonts w:hint="eastAsia" w:ascii="宋体" w:hAnsi="宋体" w:cs="宋体"/>
                <w:color w:val="auto"/>
                <w:sz w:val="24"/>
                <w:szCs w:val="24"/>
              </w:rPr>
              <w:t>分）</w:t>
            </w:r>
          </w:p>
        </w:tc>
        <w:tc>
          <w:tcPr>
            <w:tcW w:w="7264" w:type="dxa"/>
            <w:shd w:val="clear" w:color="auto" w:fill="auto"/>
            <w:vAlign w:val="center"/>
          </w:tcPr>
          <w:p w14:paraId="247543F6">
            <w:pPr>
              <w:keepNext w:val="0"/>
              <w:keepLines w:val="0"/>
              <w:pageBreakBefore w:val="0"/>
              <w:widowControl/>
              <w:kinsoku/>
              <w:wordWrap/>
              <w:overflowPunct/>
              <w:topLinePunct w:val="0"/>
              <w:autoSpaceDE/>
              <w:autoSpaceDN/>
              <w:bidi w:val="0"/>
              <w:adjustRightInd/>
              <w:snapToGrid w:val="0"/>
              <w:spacing w:line="312" w:lineRule="auto"/>
              <w:jc w:val="both"/>
              <w:textAlignment w:val="baseline"/>
              <w:rPr>
                <w:rFonts w:hint="eastAsia" w:ascii="宋体" w:hAnsi="宋体" w:eastAsia="宋体" w:cs="宋体"/>
                <w:color w:val="auto"/>
                <w:sz w:val="24"/>
                <w:szCs w:val="24"/>
                <w:u w:color="000000"/>
                <w:lang w:val="en-US" w:eastAsia="zh-CN" w:bidi="ar-SA"/>
              </w:rPr>
            </w:pPr>
            <w:r>
              <w:rPr>
                <w:rFonts w:hint="eastAsia" w:ascii="宋体" w:hAnsi="宋体" w:cs="宋体"/>
                <w:color w:val="auto"/>
                <w:sz w:val="24"/>
                <w:szCs w:val="24"/>
              </w:rPr>
              <w:t>根据投标人提供的应急</w:t>
            </w:r>
            <w:r>
              <w:rPr>
                <w:rFonts w:hint="eastAsia" w:ascii="宋体" w:hAnsi="宋体" w:cs="宋体"/>
                <w:color w:val="auto"/>
                <w:sz w:val="24"/>
                <w:szCs w:val="24"/>
                <w:lang w:val="en-US" w:eastAsia="zh-CN"/>
              </w:rPr>
              <w:t>保障措施（如设备损坏备用方案等）</w:t>
            </w:r>
            <w:r>
              <w:rPr>
                <w:rFonts w:hint="eastAsia" w:ascii="宋体" w:hAnsi="宋体" w:cs="宋体"/>
                <w:color w:val="auto"/>
                <w:sz w:val="24"/>
                <w:szCs w:val="24"/>
              </w:rPr>
              <w:t>的完整</w:t>
            </w:r>
            <w:r>
              <w:rPr>
                <w:rFonts w:hint="eastAsia" w:ascii="宋体" w:hAnsi="宋体" w:cs="宋体"/>
                <w:color w:val="auto"/>
                <w:sz w:val="24"/>
                <w:szCs w:val="24"/>
                <w:lang w:val="en-US" w:eastAsia="zh-CN"/>
              </w:rPr>
              <w:t>性</w:t>
            </w:r>
            <w:r>
              <w:rPr>
                <w:rFonts w:hint="eastAsia" w:ascii="宋体" w:hAnsi="宋体" w:cs="宋体"/>
                <w:color w:val="auto"/>
                <w:sz w:val="24"/>
                <w:szCs w:val="24"/>
              </w:rPr>
              <w:t>、合理性、可行性</w:t>
            </w:r>
            <w:r>
              <w:rPr>
                <w:rFonts w:hint="eastAsia" w:ascii="宋体" w:hAnsi="宋体" w:cs="宋体"/>
                <w:color w:val="auto"/>
                <w:sz w:val="24"/>
                <w:szCs w:val="24"/>
                <w:lang w:val="en-US" w:eastAsia="zh-CN"/>
              </w:rPr>
              <w:t>及</w:t>
            </w:r>
            <w:r>
              <w:rPr>
                <w:rFonts w:hint="eastAsia" w:ascii="宋体" w:hAnsi="宋体" w:cs="宋体"/>
                <w:color w:val="auto"/>
                <w:sz w:val="24"/>
                <w:szCs w:val="24"/>
              </w:rPr>
              <w:t>内容详细程度</w:t>
            </w:r>
            <w:r>
              <w:rPr>
                <w:rFonts w:hint="eastAsia" w:ascii="宋体" w:hAnsi="宋体" w:cs="宋体"/>
                <w:color w:val="auto"/>
                <w:sz w:val="24"/>
                <w:szCs w:val="24"/>
                <w:lang w:eastAsia="zh-CN"/>
              </w:rPr>
              <w:t>、</w:t>
            </w:r>
            <w:r>
              <w:rPr>
                <w:rFonts w:hint="eastAsia" w:ascii="宋体" w:hAnsi="宋体" w:cs="宋体"/>
                <w:color w:val="auto"/>
                <w:sz w:val="24"/>
                <w:szCs w:val="24"/>
              </w:rPr>
              <w:t>清晰程度进行打分。优得</w:t>
            </w: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分；</w:t>
            </w:r>
            <w:r>
              <w:rPr>
                <w:rFonts w:hint="eastAsia" w:ascii="宋体" w:hAnsi="宋体" w:cs="宋体"/>
                <w:color w:val="auto"/>
                <w:sz w:val="24"/>
                <w:szCs w:val="24"/>
                <w:lang w:eastAsia="zh-CN"/>
              </w:rPr>
              <w:t>一般得</w:t>
            </w:r>
            <w:r>
              <w:rPr>
                <w:rFonts w:hint="eastAsia" w:ascii="宋体" w:hAnsi="宋体" w:cs="宋体"/>
                <w:color w:val="auto"/>
                <w:sz w:val="24"/>
                <w:szCs w:val="24"/>
              </w:rPr>
              <w:t>2分；差得1分。</w:t>
            </w:r>
            <w:r>
              <w:rPr>
                <w:rFonts w:hint="eastAsia" w:ascii="宋体" w:hAnsi="宋体" w:cs="宋体"/>
                <w:color w:val="auto"/>
                <w:sz w:val="24"/>
                <w:szCs w:val="24"/>
                <w:lang w:val="en-US" w:eastAsia="zh-CN"/>
              </w:rPr>
              <w:t>未涉及相关内容的不得分。</w:t>
            </w:r>
          </w:p>
        </w:tc>
      </w:tr>
      <w:tr w14:paraId="30CA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1201" w:type="dxa"/>
            <w:vMerge w:val="continue"/>
            <w:vAlign w:val="center"/>
          </w:tcPr>
          <w:p w14:paraId="5B228FA1">
            <w:pPr>
              <w:keepNext w:val="0"/>
              <w:keepLines w:val="0"/>
              <w:pageBreakBefore w:val="0"/>
              <w:widowControl/>
              <w:kinsoku/>
              <w:wordWrap/>
              <w:overflowPunct/>
              <w:topLinePunct w:val="0"/>
              <w:autoSpaceDE/>
              <w:autoSpaceDN/>
              <w:bidi w:val="0"/>
              <w:adjustRightInd/>
              <w:snapToGrid w:val="0"/>
              <w:spacing w:before="161" w:after="161" w:line="360" w:lineRule="auto"/>
              <w:jc w:val="both"/>
              <w:textAlignment w:val="baseline"/>
              <w:rPr>
                <w:rFonts w:ascii="宋体" w:hAnsi="宋体" w:cs="宋体"/>
                <w:color w:val="auto"/>
                <w:sz w:val="24"/>
                <w:szCs w:val="24"/>
              </w:rPr>
            </w:pPr>
          </w:p>
        </w:tc>
        <w:tc>
          <w:tcPr>
            <w:tcW w:w="1388" w:type="dxa"/>
            <w:vAlign w:val="center"/>
          </w:tcPr>
          <w:p w14:paraId="311ACF6E">
            <w:pPr>
              <w:keepNext w:val="0"/>
              <w:keepLines w:val="0"/>
              <w:pageBreakBefore w:val="0"/>
              <w:kinsoku/>
              <w:wordWrap/>
              <w:overflowPunct/>
              <w:topLinePunct w:val="0"/>
              <w:bidi w:val="0"/>
              <w:adjustRightInd w:val="0"/>
              <w:snapToGrid w:val="0"/>
              <w:spacing w:line="360" w:lineRule="auto"/>
              <w:jc w:val="center"/>
              <w:rPr>
                <w:rFonts w:hint="eastAsia" w:ascii="宋体" w:hAnsi="宋体" w:eastAsia="宋体" w:cs="宋体"/>
                <w:color w:val="auto"/>
                <w:sz w:val="24"/>
                <w:szCs w:val="24"/>
                <w:u w:color="000000"/>
                <w:lang w:val="en-US" w:eastAsia="zh-CN" w:bidi="ar-SA"/>
              </w:rPr>
            </w:pPr>
            <w:r>
              <w:rPr>
                <w:rFonts w:hint="eastAsia" w:ascii="宋体" w:hAnsi="宋体" w:cs="宋体"/>
                <w:color w:val="auto"/>
                <w:sz w:val="24"/>
                <w:szCs w:val="24"/>
              </w:rPr>
              <w:t>售后服务方案（</w:t>
            </w:r>
            <w:r>
              <w:rPr>
                <w:rFonts w:hint="eastAsia" w:ascii="宋体" w:hAnsi="宋体" w:cs="宋体"/>
                <w:color w:val="auto"/>
                <w:sz w:val="24"/>
                <w:szCs w:val="24"/>
                <w:lang w:val="en-US" w:eastAsia="zh-CN"/>
              </w:rPr>
              <w:t>4</w:t>
            </w:r>
            <w:r>
              <w:rPr>
                <w:rFonts w:hint="eastAsia" w:ascii="宋体" w:hAnsi="宋体" w:cs="宋体"/>
                <w:color w:val="auto"/>
                <w:sz w:val="24"/>
                <w:szCs w:val="24"/>
              </w:rPr>
              <w:t>分）</w:t>
            </w:r>
          </w:p>
        </w:tc>
        <w:tc>
          <w:tcPr>
            <w:tcW w:w="7264" w:type="dxa"/>
            <w:vAlign w:val="center"/>
          </w:tcPr>
          <w:p w14:paraId="260737A2">
            <w:pPr>
              <w:keepNext w:val="0"/>
              <w:keepLines w:val="0"/>
              <w:pageBreakBefore w:val="0"/>
              <w:widowControl/>
              <w:kinsoku/>
              <w:wordWrap/>
              <w:overflowPunct/>
              <w:topLinePunct w:val="0"/>
              <w:autoSpaceDE/>
              <w:autoSpaceDN/>
              <w:bidi w:val="0"/>
              <w:adjustRightInd/>
              <w:snapToGrid w:val="0"/>
              <w:spacing w:line="312" w:lineRule="auto"/>
              <w:jc w:val="both"/>
              <w:textAlignment w:val="baseline"/>
              <w:rPr>
                <w:rFonts w:hint="eastAsia" w:ascii="宋体" w:hAnsi="宋体" w:eastAsia="宋体" w:cs="宋体"/>
                <w:color w:val="auto"/>
                <w:sz w:val="24"/>
                <w:szCs w:val="24"/>
                <w:u w:color="000000"/>
                <w:lang w:val="zh-CN" w:eastAsia="zh-CN" w:bidi="ar-SA"/>
              </w:rPr>
            </w:pPr>
            <w:r>
              <w:rPr>
                <w:rFonts w:hint="eastAsia" w:ascii="宋体" w:hAnsi="宋体" w:cs="宋体"/>
                <w:color w:val="auto"/>
                <w:sz w:val="24"/>
                <w:szCs w:val="24"/>
              </w:rPr>
              <w:t>根据投标</w:t>
            </w:r>
            <w:r>
              <w:rPr>
                <w:rFonts w:hint="eastAsia" w:ascii="宋体" w:hAnsi="宋体" w:cs="宋体"/>
                <w:color w:val="auto"/>
                <w:sz w:val="24"/>
                <w:szCs w:val="24"/>
                <w:lang w:val="en-US" w:eastAsia="zh-CN"/>
              </w:rPr>
              <w:t>人提供的</w:t>
            </w:r>
            <w:r>
              <w:rPr>
                <w:rFonts w:hint="eastAsia" w:ascii="宋体" w:hAnsi="宋体" w:cs="宋体"/>
                <w:color w:val="auto"/>
                <w:sz w:val="24"/>
                <w:szCs w:val="24"/>
              </w:rPr>
              <w:t>售后服务方案（包括但不限于售后服务计划、服务内容、响应时间、电话支持、远程协助、现场服务、专业技术人员保障以及质保期后的服务方案）的完整</w:t>
            </w:r>
            <w:r>
              <w:rPr>
                <w:rFonts w:hint="eastAsia" w:ascii="宋体" w:hAnsi="宋体" w:cs="宋体"/>
                <w:color w:val="auto"/>
                <w:sz w:val="24"/>
                <w:szCs w:val="24"/>
                <w:lang w:val="en-US" w:eastAsia="zh-CN"/>
              </w:rPr>
              <w:t>性</w:t>
            </w:r>
            <w:r>
              <w:rPr>
                <w:rFonts w:hint="eastAsia" w:ascii="宋体" w:hAnsi="宋体" w:cs="宋体"/>
                <w:color w:val="auto"/>
                <w:sz w:val="24"/>
                <w:szCs w:val="24"/>
              </w:rPr>
              <w:t>、合理性、可行性</w:t>
            </w:r>
            <w:r>
              <w:rPr>
                <w:rFonts w:hint="eastAsia" w:ascii="宋体" w:hAnsi="宋体" w:cs="宋体"/>
                <w:color w:val="auto"/>
                <w:sz w:val="24"/>
                <w:szCs w:val="24"/>
                <w:lang w:val="en-US" w:eastAsia="zh-CN"/>
              </w:rPr>
              <w:t>及</w:t>
            </w:r>
            <w:r>
              <w:rPr>
                <w:rFonts w:hint="eastAsia" w:ascii="宋体" w:hAnsi="宋体" w:cs="宋体"/>
                <w:color w:val="auto"/>
                <w:sz w:val="24"/>
                <w:szCs w:val="24"/>
              </w:rPr>
              <w:t>内容详细程度</w:t>
            </w:r>
            <w:r>
              <w:rPr>
                <w:rFonts w:hint="eastAsia" w:ascii="宋体" w:hAnsi="宋体" w:cs="宋体"/>
                <w:color w:val="auto"/>
                <w:sz w:val="24"/>
                <w:szCs w:val="24"/>
                <w:lang w:eastAsia="zh-CN"/>
              </w:rPr>
              <w:t>、</w:t>
            </w:r>
            <w:r>
              <w:rPr>
                <w:rFonts w:hint="eastAsia" w:ascii="宋体" w:hAnsi="宋体" w:cs="宋体"/>
                <w:color w:val="auto"/>
                <w:sz w:val="24"/>
                <w:szCs w:val="24"/>
              </w:rPr>
              <w:t>清晰程度进行打分。优得</w:t>
            </w: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分；</w:t>
            </w:r>
            <w:r>
              <w:rPr>
                <w:rFonts w:hint="eastAsia" w:ascii="宋体" w:hAnsi="宋体" w:cs="宋体"/>
                <w:color w:val="auto"/>
                <w:sz w:val="24"/>
                <w:szCs w:val="24"/>
                <w:lang w:eastAsia="zh-CN"/>
              </w:rPr>
              <w:t>一般得</w:t>
            </w:r>
            <w:r>
              <w:rPr>
                <w:rFonts w:hint="eastAsia" w:ascii="宋体" w:hAnsi="宋体" w:cs="宋体"/>
                <w:color w:val="auto"/>
                <w:sz w:val="24"/>
                <w:szCs w:val="24"/>
              </w:rPr>
              <w:t>2分；差得1分。</w:t>
            </w:r>
            <w:r>
              <w:rPr>
                <w:rFonts w:hint="eastAsia" w:ascii="宋体" w:hAnsi="宋体" w:cs="宋体"/>
                <w:color w:val="auto"/>
                <w:sz w:val="24"/>
                <w:szCs w:val="24"/>
                <w:lang w:eastAsia="zh-CN"/>
              </w:rPr>
              <w:t>未涉及相关内容的不得分。</w:t>
            </w:r>
          </w:p>
        </w:tc>
      </w:tr>
      <w:tr w14:paraId="26DA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201" w:type="dxa"/>
            <w:vMerge w:val="continue"/>
            <w:vAlign w:val="center"/>
          </w:tcPr>
          <w:p w14:paraId="58A3CA95">
            <w:pPr>
              <w:keepNext w:val="0"/>
              <w:keepLines w:val="0"/>
              <w:pageBreakBefore w:val="0"/>
              <w:widowControl/>
              <w:kinsoku/>
              <w:wordWrap/>
              <w:overflowPunct/>
              <w:topLinePunct w:val="0"/>
              <w:autoSpaceDE/>
              <w:autoSpaceDN/>
              <w:bidi w:val="0"/>
              <w:adjustRightInd/>
              <w:snapToGrid w:val="0"/>
              <w:spacing w:before="161" w:after="161" w:line="360" w:lineRule="auto"/>
              <w:jc w:val="both"/>
              <w:textAlignment w:val="baseline"/>
              <w:rPr>
                <w:rFonts w:ascii="宋体" w:hAnsi="宋体" w:cs="宋体"/>
                <w:color w:val="auto"/>
                <w:sz w:val="24"/>
                <w:szCs w:val="24"/>
              </w:rPr>
            </w:pPr>
          </w:p>
        </w:tc>
        <w:tc>
          <w:tcPr>
            <w:tcW w:w="1388" w:type="dxa"/>
            <w:vAlign w:val="center"/>
          </w:tcPr>
          <w:p w14:paraId="461E8D64">
            <w:pPr>
              <w:keepNext w:val="0"/>
              <w:keepLines w:val="0"/>
              <w:pageBreakBefore w:val="0"/>
              <w:kinsoku/>
              <w:wordWrap/>
              <w:overflowPunct/>
              <w:topLinePunct w:val="0"/>
              <w:bidi w:val="0"/>
              <w:adjustRightInd w:val="0"/>
              <w:snapToGrid w:val="0"/>
              <w:spacing w:line="360" w:lineRule="auto"/>
              <w:jc w:val="both"/>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产品质保期（2分）</w:t>
            </w:r>
          </w:p>
        </w:tc>
        <w:tc>
          <w:tcPr>
            <w:tcW w:w="7264" w:type="dxa"/>
            <w:vAlign w:val="center"/>
          </w:tcPr>
          <w:p w14:paraId="007C0902">
            <w:pPr>
              <w:keepNext w:val="0"/>
              <w:keepLines w:val="0"/>
              <w:pageBreakBefore w:val="0"/>
              <w:widowControl/>
              <w:kinsoku/>
              <w:wordWrap/>
              <w:overflowPunct/>
              <w:topLinePunct w:val="0"/>
              <w:autoSpaceDE/>
              <w:autoSpaceDN/>
              <w:bidi w:val="0"/>
              <w:adjustRightInd/>
              <w:snapToGrid w:val="0"/>
              <w:spacing w:line="312" w:lineRule="auto"/>
              <w:jc w:val="both"/>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投标人承诺产品质保期为1年的，此项不得分；承诺的产品质保期为2年或2年以上的，得2分。</w:t>
            </w:r>
          </w:p>
        </w:tc>
      </w:tr>
    </w:tbl>
    <w:p w14:paraId="63FD6628">
      <w:pPr>
        <w:pStyle w:val="114"/>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175"/>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提供相同品牌产品且通过</w:t>
      </w:r>
      <w:r>
        <w:rPr>
          <w:rFonts w:hint="eastAsia" w:ascii="宋体" w:hAnsi="宋体" w:eastAsia="宋体" w:cs="宋体"/>
          <w:color w:val="auto"/>
          <w:sz w:val="24"/>
          <w:szCs w:val="24"/>
          <w:lang w:val="en-US" w:eastAsia="zh-CN"/>
        </w:rPr>
        <w:t>初步评审</w:t>
      </w:r>
      <w:r>
        <w:rPr>
          <w:rFonts w:hint="eastAsia" w:ascii="宋体" w:hAnsi="宋体" w:eastAsia="宋体" w:cs="宋体"/>
          <w:color w:val="auto"/>
          <w:sz w:val="24"/>
          <w:szCs w:val="24"/>
        </w:rPr>
        <w:t>的不同投标人参加同一合同项下投标的，按一家投标人计算，评审后得分最高的同品牌投标人获得中标人推荐资格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评审得分相同的，投标报价最低的投标人获得中标人推荐资格，投标报价也相同的，由评标委员会投票（少数服从多数）决定。非单一产品采购项目中，多家投标人提供的核心产品品牌相同的，视为提供相同品牌产品。</w:t>
      </w:r>
      <w:r>
        <w:rPr>
          <w:rFonts w:hint="eastAsia" w:ascii="宋体" w:hAnsi="宋体" w:cs="宋体"/>
          <w:color w:val="auto"/>
          <w:sz w:val="24"/>
          <w:szCs w:val="24"/>
          <w:lang w:val="en-US" w:eastAsia="zh-CN"/>
        </w:rPr>
        <w:t>非核心产品提供同一品牌的，不受此条款限制。</w:t>
      </w:r>
    </w:p>
    <w:p w14:paraId="0852A248">
      <w:pPr>
        <w:spacing w:line="360" w:lineRule="auto"/>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本评标办法中要求投标人提供的相关证明材料，均以提供原件的扫描件为准。</w:t>
      </w:r>
    </w:p>
    <w:p w14:paraId="07B547CA">
      <w:pPr>
        <w:pStyle w:val="4"/>
        <w:spacing w:line="360" w:lineRule="auto"/>
        <w:ind w:firstLine="422" w:firstLineChars="175"/>
        <w:rPr>
          <w:rFonts w:hint="eastAsia" w:ascii="宋体" w:hAnsi="宋体" w:cs="宋体"/>
          <w:color w:val="auto"/>
          <w:szCs w:val="24"/>
        </w:rPr>
      </w:pPr>
    </w:p>
    <w:p w14:paraId="512BA38C">
      <w:pPr>
        <w:pStyle w:val="4"/>
        <w:spacing w:line="360" w:lineRule="auto"/>
        <w:ind w:firstLine="422" w:firstLineChars="175"/>
        <w:rPr>
          <w:rFonts w:hint="eastAsia" w:ascii="宋体" w:hAnsi="宋体" w:cs="宋体"/>
          <w:color w:val="auto"/>
          <w:szCs w:val="24"/>
        </w:rPr>
      </w:pPr>
    </w:p>
    <w:p w14:paraId="57416A6D">
      <w:pPr>
        <w:rPr>
          <w:rFonts w:hint="eastAsia"/>
          <w:color w:val="auto"/>
        </w:rPr>
      </w:pPr>
    </w:p>
    <w:p w14:paraId="424844F8">
      <w:pPr>
        <w:pStyle w:val="4"/>
        <w:spacing w:line="360" w:lineRule="auto"/>
        <w:ind w:firstLine="422" w:firstLineChars="175"/>
        <w:rPr>
          <w:rFonts w:ascii="宋体" w:hAnsi="宋体" w:cs="宋体"/>
          <w:color w:val="auto"/>
          <w:szCs w:val="24"/>
        </w:rPr>
      </w:pPr>
      <w:r>
        <w:rPr>
          <w:rFonts w:hint="eastAsia" w:ascii="宋体" w:hAnsi="宋体" w:cs="宋体"/>
          <w:color w:val="auto"/>
          <w:szCs w:val="24"/>
        </w:rPr>
        <w:t>1、评审原则</w:t>
      </w:r>
    </w:p>
    <w:p w14:paraId="54CF793C">
      <w:pPr>
        <w:pStyle w:val="79"/>
        <w:keepNext w:val="0"/>
        <w:keepLines w:val="0"/>
        <w:spacing w:line="360" w:lineRule="auto"/>
        <w:ind w:firstLine="420" w:firstLineChars="175"/>
        <w:rPr>
          <w:rFonts w:ascii="宋体" w:hAnsi="宋体" w:eastAsia="宋体"/>
          <w:color w:val="auto"/>
          <w:szCs w:val="24"/>
        </w:rPr>
      </w:pPr>
      <w:r>
        <w:rPr>
          <w:rFonts w:hint="eastAsia" w:ascii="宋体" w:hAnsi="宋体" w:eastAsia="宋体"/>
          <w:color w:val="auto"/>
          <w:szCs w:val="24"/>
        </w:rPr>
        <w:t>1.1本次评标采用综合评分法；</w:t>
      </w:r>
    </w:p>
    <w:p w14:paraId="0C819D43">
      <w:pPr>
        <w:pStyle w:val="79"/>
        <w:keepNext w:val="0"/>
        <w:keepLines w:val="0"/>
        <w:spacing w:line="360" w:lineRule="auto"/>
        <w:ind w:firstLine="420" w:firstLineChars="175"/>
        <w:rPr>
          <w:rFonts w:ascii="宋体" w:hAnsi="宋体" w:eastAsia="宋体"/>
          <w:color w:val="auto"/>
          <w:szCs w:val="24"/>
        </w:rPr>
      </w:pPr>
      <w:r>
        <w:rPr>
          <w:rFonts w:hint="eastAsia" w:ascii="宋体" w:hAnsi="宋体" w:eastAsia="宋体"/>
          <w:color w:val="auto"/>
          <w:szCs w:val="24"/>
        </w:rPr>
        <w:t>1.2评标委员会对满足招标文件实质性要求的投标文件，按照本章第2.2款规定的评分标准进行打分，并按综合得分由高到低顺序推荐3名中标候选人。综合评分相等时，以投标报价低的优先；投标报价也相等的，按少数服从多数的原则举手表决确定。</w:t>
      </w:r>
    </w:p>
    <w:p w14:paraId="357243A6">
      <w:pPr>
        <w:pStyle w:val="4"/>
        <w:spacing w:line="360" w:lineRule="auto"/>
        <w:ind w:firstLine="422" w:firstLineChars="175"/>
        <w:rPr>
          <w:rFonts w:ascii="宋体" w:hAnsi="宋体" w:cs="宋体"/>
          <w:color w:val="auto"/>
          <w:szCs w:val="24"/>
        </w:rPr>
      </w:pPr>
      <w:bookmarkStart w:id="236" w:name="_Toc179632619"/>
      <w:bookmarkStart w:id="237" w:name="_Toc29880"/>
      <w:bookmarkStart w:id="238" w:name="_Toc152045601"/>
      <w:bookmarkStart w:id="239" w:name="_Toc144974568"/>
      <w:bookmarkStart w:id="240" w:name="_Toc19618"/>
      <w:bookmarkStart w:id="241" w:name="_Toc28030"/>
      <w:bookmarkStart w:id="242" w:name="_Toc152042378"/>
      <w:r>
        <w:rPr>
          <w:rFonts w:hint="eastAsia" w:ascii="宋体" w:hAnsi="宋体" w:cs="宋体"/>
          <w:color w:val="auto"/>
          <w:szCs w:val="24"/>
        </w:rPr>
        <w:t>2、评审标准</w:t>
      </w:r>
      <w:bookmarkEnd w:id="236"/>
      <w:bookmarkEnd w:id="237"/>
      <w:bookmarkEnd w:id="238"/>
      <w:bookmarkEnd w:id="239"/>
      <w:bookmarkEnd w:id="240"/>
      <w:bookmarkEnd w:id="241"/>
      <w:bookmarkEnd w:id="242"/>
    </w:p>
    <w:p w14:paraId="55091E44">
      <w:pPr>
        <w:pStyle w:val="79"/>
        <w:keepNext w:val="0"/>
        <w:keepLines w:val="0"/>
        <w:spacing w:line="360" w:lineRule="auto"/>
        <w:ind w:firstLine="420" w:firstLineChars="175"/>
        <w:rPr>
          <w:rFonts w:ascii="宋体" w:hAnsi="宋体" w:eastAsia="宋体"/>
          <w:color w:val="auto"/>
          <w:szCs w:val="24"/>
        </w:rPr>
      </w:pPr>
      <w:bookmarkStart w:id="243" w:name="_Toc152045602"/>
      <w:bookmarkStart w:id="244" w:name="_Toc144974569"/>
      <w:bookmarkStart w:id="245" w:name="_Toc31847"/>
      <w:bookmarkStart w:id="246" w:name="_Toc179632620"/>
      <w:bookmarkStart w:id="247" w:name="_Toc23196"/>
      <w:bookmarkStart w:id="248" w:name="_Toc152042379"/>
      <w:bookmarkStart w:id="249" w:name="_Toc12931"/>
      <w:r>
        <w:rPr>
          <w:rFonts w:hint="eastAsia" w:ascii="宋体" w:hAnsi="宋体" w:eastAsia="宋体"/>
          <w:color w:val="auto"/>
          <w:szCs w:val="24"/>
        </w:rPr>
        <w:t>2.1 初步评审标准</w:t>
      </w:r>
      <w:bookmarkEnd w:id="243"/>
      <w:bookmarkEnd w:id="244"/>
      <w:bookmarkEnd w:id="245"/>
      <w:bookmarkEnd w:id="246"/>
      <w:bookmarkEnd w:id="247"/>
      <w:bookmarkEnd w:id="248"/>
      <w:bookmarkEnd w:id="249"/>
      <w:r>
        <w:rPr>
          <w:rFonts w:hint="eastAsia" w:ascii="宋体" w:hAnsi="宋体" w:eastAsia="宋体"/>
          <w:color w:val="auto"/>
          <w:szCs w:val="24"/>
        </w:rPr>
        <w:t>：见评标办法前附表。</w:t>
      </w:r>
    </w:p>
    <w:p w14:paraId="77F2A843">
      <w:pPr>
        <w:pStyle w:val="79"/>
        <w:keepNext w:val="0"/>
        <w:keepLines w:val="0"/>
        <w:spacing w:line="360" w:lineRule="auto"/>
        <w:ind w:firstLine="420" w:firstLineChars="175"/>
        <w:rPr>
          <w:rFonts w:ascii="宋体" w:hAnsi="宋体" w:eastAsia="宋体"/>
          <w:color w:val="auto"/>
          <w:szCs w:val="24"/>
        </w:rPr>
      </w:pPr>
      <w:bookmarkStart w:id="250" w:name="_Toc152042380"/>
      <w:bookmarkStart w:id="251" w:name="_Toc16603"/>
      <w:bookmarkStart w:id="252" w:name="_Toc607"/>
      <w:bookmarkStart w:id="253" w:name="_Toc152045603"/>
      <w:bookmarkStart w:id="254" w:name="_Toc11804"/>
      <w:bookmarkStart w:id="255" w:name="_Toc179632621"/>
      <w:bookmarkStart w:id="256" w:name="_Toc144974570"/>
      <w:r>
        <w:rPr>
          <w:rFonts w:hint="eastAsia" w:ascii="宋体" w:hAnsi="宋体" w:eastAsia="宋体"/>
          <w:color w:val="auto"/>
          <w:szCs w:val="24"/>
        </w:rPr>
        <w:t>2.2 分值构成与评分标准</w:t>
      </w:r>
      <w:bookmarkEnd w:id="250"/>
      <w:bookmarkEnd w:id="251"/>
      <w:bookmarkEnd w:id="252"/>
      <w:bookmarkEnd w:id="253"/>
      <w:bookmarkEnd w:id="254"/>
      <w:bookmarkEnd w:id="255"/>
      <w:bookmarkEnd w:id="256"/>
      <w:r>
        <w:rPr>
          <w:rFonts w:hint="eastAsia" w:ascii="宋体" w:hAnsi="宋体" w:eastAsia="宋体"/>
          <w:color w:val="auto"/>
          <w:szCs w:val="24"/>
        </w:rPr>
        <w:t>见评标办法前附表。</w:t>
      </w:r>
    </w:p>
    <w:p w14:paraId="543960BB">
      <w:pPr>
        <w:pStyle w:val="4"/>
        <w:spacing w:line="360" w:lineRule="auto"/>
        <w:ind w:firstLine="422" w:firstLineChars="175"/>
        <w:rPr>
          <w:rFonts w:ascii="宋体" w:hAnsi="宋体" w:cs="宋体"/>
          <w:color w:val="auto"/>
          <w:szCs w:val="24"/>
        </w:rPr>
      </w:pPr>
      <w:bookmarkStart w:id="257" w:name="_Toc152042381"/>
      <w:bookmarkStart w:id="258" w:name="_Toc25534"/>
      <w:bookmarkStart w:id="259" w:name="_Toc152045604"/>
      <w:bookmarkStart w:id="260" w:name="_Toc179632622"/>
      <w:bookmarkStart w:id="261" w:name="_Toc144974571"/>
      <w:bookmarkStart w:id="262" w:name="_Toc11715"/>
      <w:bookmarkStart w:id="263" w:name="_Toc13158"/>
      <w:r>
        <w:rPr>
          <w:rFonts w:hint="eastAsia" w:ascii="宋体" w:hAnsi="宋体" w:cs="宋体"/>
          <w:color w:val="auto"/>
          <w:szCs w:val="24"/>
        </w:rPr>
        <w:t>3、评标程序</w:t>
      </w:r>
      <w:bookmarkEnd w:id="257"/>
      <w:bookmarkEnd w:id="258"/>
      <w:bookmarkEnd w:id="259"/>
      <w:bookmarkEnd w:id="260"/>
      <w:bookmarkEnd w:id="261"/>
      <w:bookmarkEnd w:id="262"/>
      <w:bookmarkEnd w:id="263"/>
    </w:p>
    <w:p w14:paraId="3DC7A474">
      <w:pPr>
        <w:pStyle w:val="79"/>
        <w:keepNext w:val="0"/>
        <w:keepLines w:val="0"/>
        <w:spacing w:line="360" w:lineRule="auto"/>
        <w:ind w:firstLine="420" w:firstLineChars="175"/>
        <w:rPr>
          <w:rFonts w:ascii="宋体" w:hAnsi="宋体" w:eastAsia="宋体"/>
          <w:color w:val="auto"/>
          <w:szCs w:val="24"/>
        </w:rPr>
      </w:pPr>
      <w:bookmarkStart w:id="264" w:name="_Toc31010"/>
      <w:bookmarkStart w:id="265" w:name="_Toc179632623"/>
      <w:bookmarkStart w:id="266" w:name="_Toc144974572"/>
      <w:bookmarkStart w:id="267" w:name="_Toc152042382"/>
      <w:bookmarkStart w:id="268" w:name="_Toc30372"/>
      <w:bookmarkStart w:id="269" w:name="_Toc152045605"/>
      <w:bookmarkStart w:id="270" w:name="_Toc8644"/>
      <w:r>
        <w:rPr>
          <w:rFonts w:hint="eastAsia" w:ascii="宋体" w:hAnsi="宋体" w:eastAsia="宋体"/>
          <w:color w:val="auto"/>
          <w:szCs w:val="24"/>
        </w:rPr>
        <w:t>3.1初步评审</w:t>
      </w:r>
      <w:bookmarkEnd w:id="264"/>
      <w:bookmarkEnd w:id="265"/>
      <w:bookmarkEnd w:id="266"/>
      <w:bookmarkEnd w:id="267"/>
      <w:bookmarkEnd w:id="268"/>
      <w:bookmarkEnd w:id="269"/>
      <w:bookmarkEnd w:id="270"/>
    </w:p>
    <w:p w14:paraId="23D30890">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3.1.1评标委员会以投标文件中提供的有关证件或证明材料原件的扫描件为准，进行核验</w:t>
      </w:r>
      <w:r>
        <w:rPr>
          <w:rFonts w:hint="eastAsia" w:ascii="宋体" w:hAnsi="宋体" w:cs="宋体"/>
          <w:color w:val="auto"/>
          <w:sz w:val="24"/>
          <w:szCs w:val="24"/>
          <w:lang w:eastAsia="zh-CN"/>
        </w:rPr>
        <w:t>。</w:t>
      </w:r>
      <w:r>
        <w:rPr>
          <w:rFonts w:hint="eastAsia" w:ascii="宋体" w:hAnsi="宋体" w:cs="宋体"/>
          <w:color w:val="auto"/>
          <w:sz w:val="24"/>
          <w:szCs w:val="24"/>
        </w:rPr>
        <w:t>依据本章第2.1款规定的标准对投标文件进行初步评审。有一项不符合评审标准的，其投标将被否决。</w:t>
      </w:r>
    </w:p>
    <w:p w14:paraId="4EA63BF6">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3.1.2 投标人有以下情形之一的，其投标将被否决：</w:t>
      </w:r>
    </w:p>
    <w:p w14:paraId="7690FC82">
      <w:pPr>
        <w:adjustRightInd w:val="0"/>
        <w:snapToGrid w:val="0"/>
        <w:spacing w:line="470" w:lineRule="exact"/>
        <w:ind w:firstLine="480" w:firstLineChars="200"/>
        <w:rPr>
          <w:rFonts w:ascii="宋体" w:hAnsi="宋体" w:cs="宋体"/>
          <w:color w:val="auto"/>
          <w:sz w:val="24"/>
          <w:szCs w:val="24"/>
        </w:rPr>
      </w:pPr>
      <w:r>
        <w:rPr>
          <w:rFonts w:hint="eastAsia" w:ascii="宋体" w:hAnsi="宋体" w:cs="宋体"/>
          <w:color w:val="auto"/>
          <w:sz w:val="24"/>
          <w:szCs w:val="24"/>
        </w:rPr>
        <w:t>（1）有第二章“投标人须知”第1.4.3项规定的任何一种情形的；</w:t>
      </w:r>
    </w:p>
    <w:p w14:paraId="451E36E1">
      <w:pPr>
        <w:spacing w:line="470" w:lineRule="exact"/>
        <w:ind w:firstLine="480" w:firstLineChars="200"/>
        <w:rPr>
          <w:rFonts w:ascii="宋体" w:hAnsi="宋体" w:cs="宋体"/>
          <w:color w:val="auto"/>
          <w:sz w:val="24"/>
          <w:szCs w:val="24"/>
        </w:rPr>
      </w:pPr>
      <w:r>
        <w:rPr>
          <w:rFonts w:hint="eastAsia" w:ascii="宋体" w:hAnsi="宋体" w:cs="宋体"/>
          <w:color w:val="auto"/>
          <w:sz w:val="24"/>
          <w:szCs w:val="24"/>
        </w:rPr>
        <w:t>（2）投标文件关键内容前后不一致或相互矛盾，致使评标委员会无法正常评审判定的；</w:t>
      </w:r>
    </w:p>
    <w:p w14:paraId="61CE308D">
      <w:pPr>
        <w:adjustRightInd w:val="0"/>
        <w:snapToGrid w:val="0"/>
        <w:spacing w:line="470" w:lineRule="exact"/>
        <w:ind w:firstLine="480" w:firstLineChars="200"/>
        <w:rPr>
          <w:rFonts w:ascii="宋体" w:hAnsi="宋体" w:cs="宋体"/>
          <w:color w:val="auto"/>
          <w:sz w:val="24"/>
          <w:szCs w:val="24"/>
        </w:rPr>
      </w:pPr>
      <w:r>
        <w:rPr>
          <w:rFonts w:hint="eastAsia" w:ascii="宋体" w:hAnsi="宋体" w:cs="宋体"/>
          <w:color w:val="auto"/>
          <w:sz w:val="24"/>
          <w:szCs w:val="24"/>
        </w:rPr>
        <w:t>（3）投标文件的关键内容字迹模糊，无法辨认的；</w:t>
      </w:r>
    </w:p>
    <w:p w14:paraId="005364A5">
      <w:pPr>
        <w:adjustRightInd w:val="0"/>
        <w:snapToGrid w:val="0"/>
        <w:spacing w:line="470" w:lineRule="exact"/>
        <w:ind w:firstLine="480" w:firstLineChars="200"/>
        <w:rPr>
          <w:rFonts w:ascii="宋体" w:hAnsi="宋体" w:cs="宋体"/>
          <w:color w:val="auto"/>
          <w:sz w:val="24"/>
          <w:szCs w:val="24"/>
        </w:rPr>
      </w:pPr>
      <w:r>
        <w:rPr>
          <w:rFonts w:hint="eastAsia" w:ascii="宋体" w:hAnsi="宋体" w:cs="宋体"/>
          <w:color w:val="auto"/>
          <w:sz w:val="24"/>
          <w:szCs w:val="24"/>
        </w:rPr>
        <w:t>（4）对招标文件要求的实质性内容未作出有效响应的；</w:t>
      </w:r>
    </w:p>
    <w:p w14:paraId="7928359D">
      <w:pPr>
        <w:adjustRightInd w:val="0"/>
        <w:snapToGrid w:val="0"/>
        <w:spacing w:line="470" w:lineRule="exact"/>
        <w:ind w:firstLine="480" w:firstLineChars="200"/>
        <w:rPr>
          <w:rFonts w:ascii="宋体" w:hAnsi="宋体" w:cs="宋体"/>
          <w:color w:val="auto"/>
          <w:sz w:val="24"/>
          <w:szCs w:val="24"/>
        </w:rPr>
      </w:pPr>
      <w:r>
        <w:rPr>
          <w:rFonts w:hint="eastAsia" w:ascii="宋体" w:hAnsi="宋体" w:cs="宋体"/>
          <w:color w:val="auto"/>
          <w:sz w:val="24"/>
          <w:szCs w:val="24"/>
        </w:rPr>
        <w:t>（5）法律、法规规定为废标的其他情形。</w:t>
      </w:r>
    </w:p>
    <w:p w14:paraId="6A0584EE">
      <w:pPr>
        <w:adjustRightInd w:val="0"/>
        <w:snapToGrid w:val="0"/>
        <w:spacing w:line="470" w:lineRule="exact"/>
        <w:ind w:firstLine="480" w:firstLineChars="200"/>
        <w:rPr>
          <w:rFonts w:ascii="宋体" w:hAnsi="宋体" w:cs="宋体"/>
          <w:color w:val="auto"/>
          <w:sz w:val="24"/>
          <w:szCs w:val="24"/>
        </w:rPr>
      </w:pPr>
      <w:r>
        <w:rPr>
          <w:rFonts w:hint="eastAsia" w:ascii="宋体" w:hAnsi="宋体" w:cs="宋体"/>
          <w:color w:val="auto"/>
          <w:sz w:val="24"/>
          <w:szCs w:val="24"/>
        </w:rPr>
        <w:t>评标委员会否决投标时应审慎。因招标文件表述歧义或逻辑错误等原因，造成投标文件表述不一致的，不作为否决投标的因素。投标人明显打字或排版错误且不影响实质内容的，评标委员会可要求投标人作出书面澄清、说明或补正，不予以否决投标。</w:t>
      </w:r>
    </w:p>
    <w:p w14:paraId="45AB70CB">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3.1.3投标报价有算术错误的，评标委员会按以下原则及顺序对投标报价进行修正，修正的价格经投标人书面确认后具有约束力。投标人不接受修正价格的，其投标作废标处理。</w:t>
      </w:r>
    </w:p>
    <w:p w14:paraId="09B53612">
      <w:pPr>
        <w:spacing w:line="360" w:lineRule="auto"/>
        <w:ind w:firstLine="420" w:firstLineChars="175"/>
        <w:rPr>
          <w:rFonts w:ascii="宋体" w:hAnsi="宋体" w:cs="宋体"/>
          <w:color w:val="auto"/>
          <w:sz w:val="24"/>
          <w:szCs w:val="24"/>
        </w:rPr>
      </w:pPr>
      <w:bookmarkStart w:id="271" w:name="_Toc144974573"/>
      <w:bookmarkStart w:id="272" w:name="_Toc152045606"/>
      <w:bookmarkStart w:id="273" w:name="_Toc179632624"/>
      <w:bookmarkStart w:id="274" w:name="_Toc152042384"/>
      <w:r>
        <w:rPr>
          <w:rFonts w:hint="eastAsia" w:ascii="宋体" w:hAnsi="宋体" w:cs="宋体"/>
          <w:color w:val="auto"/>
          <w:sz w:val="24"/>
          <w:szCs w:val="24"/>
        </w:rPr>
        <w:t>(1)投标文件中开标一览表(报价表)内容与投标文件中相应内容不一致的，以开标一览表(报价表)为准；</w:t>
      </w:r>
    </w:p>
    <w:p w14:paraId="225F61C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(2)大写金额和小写金额不一致的，以大写金额为准；</w:t>
      </w:r>
    </w:p>
    <w:p w14:paraId="6387100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(3)单价金额小数点或者百分比有明显错位的，以开标一览表的总价为准，并修改单价；</w:t>
      </w:r>
    </w:p>
    <w:p w14:paraId="0B11071D">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(4)总价金额与按单价汇总金额不一致的，以单价金额计算结果为准。</w:t>
      </w:r>
    </w:p>
    <w:p w14:paraId="177A9C5E">
      <w:pPr>
        <w:pStyle w:val="79"/>
        <w:keepNext w:val="0"/>
        <w:keepLines w:val="0"/>
        <w:spacing w:line="360" w:lineRule="auto"/>
        <w:ind w:firstLine="420" w:firstLineChars="175"/>
        <w:rPr>
          <w:rFonts w:ascii="宋体" w:hAnsi="宋体" w:eastAsia="宋体"/>
          <w:color w:val="auto"/>
          <w:szCs w:val="24"/>
        </w:rPr>
      </w:pPr>
      <w:r>
        <w:rPr>
          <w:rFonts w:hint="eastAsia" w:ascii="宋体" w:hAnsi="宋体" w:eastAsia="宋体"/>
          <w:color w:val="auto"/>
          <w:szCs w:val="24"/>
        </w:rPr>
        <w:t>3.2 详细评审</w:t>
      </w:r>
      <w:bookmarkEnd w:id="271"/>
      <w:bookmarkEnd w:id="272"/>
      <w:bookmarkEnd w:id="273"/>
      <w:bookmarkEnd w:id="274"/>
    </w:p>
    <w:p w14:paraId="02B845C7">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3.2.1 评标委员会按本章第2.2款规定的量化因素和分值进行打分，并计算出综合得分。</w:t>
      </w:r>
    </w:p>
    <w:p w14:paraId="3639E378">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3.2.2 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其投标将被否决。</w:t>
      </w:r>
    </w:p>
    <w:p w14:paraId="0AC963C6">
      <w:pPr>
        <w:pStyle w:val="79"/>
        <w:keepNext w:val="0"/>
        <w:keepLines w:val="0"/>
        <w:spacing w:line="360" w:lineRule="auto"/>
        <w:ind w:firstLine="420" w:firstLineChars="175"/>
        <w:rPr>
          <w:rFonts w:ascii="宋体" w:hAnsi="宋体" w:eastAsia="宋体"/>
          <w:color w:val="auto"/>
          <w:szCs w:val="24"/>
        </w:rPr>
      </w:pPr>
      <w:bookmarkStart w:id="275" w:name="_Toc144974575"/>
      <w:bookmarkStart w:id="276" w:name="_Toc423358132"/>
      <w:bookmarkStart w:id="277" w:name="_Toc421805017"/>
      <w:bookmarkStart w:id="278" w:name="_Toc152042385"/>
      <w:bookmarkStart w:id="279" w:name="_Toc418605429"/>
      <w:bookmarkStart w:id="280" w:name="_Toc466566800"/>
      <w:bookmarkStart w:id="281" w:name="_Toc152045607"/>
      <w:bookmarkStart w:id="282" w:name="_Toc401512224"/>
      <w:bookmarkStart w:id="283" w:name="_Toc387498748"/>
      <w:bookmarkStart w:id="284" w:name="_Toc418608950"/>
      <w:bookmarkStart w:id="285" w:name="_Toc179632625"/>
      <w:bookmarkStart w:id="286" w:name="_Toc389384087"/>
      <w:bookmarkStart w:id="287" w:name="_Toc466566711"/>
      <w:bookmarkStart w:id="288" w:name="_Toc401926485"/>
      <w:bookmarkStart w:id="289" w:name="_Toc421698384"/>
      <w:r>
        <w:rPr>
          <w:rFonts w:hint="eastAsia" w:ascii="宋体" w:hAnsi="宋体" w:eastAsia="宋体"/>
          <w:color w:val="auto"/>
          <w:szCs w:val="24"/>
        </w:rPr>
        <w:t>3.3 投标文件的澄清</w:t>
      </w:r>
      <w:bookmarkEnd w:id="275"/>
      <w:r>
        <w:rPr>
          <w:rFonts w:hint="eastAsia" w:ascii="宋体" w:hAnsi="宋体" w:eastAsia="宋体"/>
          <w:color w:val="auto"/>
          <w:szCs w:val="24"/>
        </w:rPr>
        <w:t>和补正</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0BB6B8C3">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3.3.1在评标过程中，评标委员会可以书面形式要求投标人对所提交投标文件中不明确的内容进行书面澄清或说明，或者对细微偏差进行补正。评标委员会不接受投标人主动提出的澄清、说明或补正。</w:t>
      </w:r>
    </w:p>
    <w:p w14:paraId="4CC678CE">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3.3.2 澄清、说明和补正不得改变投标文件的实质性内容（算术性错误修正的除外）。投标人的书面澄清、说明和补正属于投标文件的组成部分。</w:t>
      </w:r>
    </w:p>
    <w:p w14:paraId="41F58AC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3.3.3 评标委员会对投标人提交的澄清、说明或补正有疑问的，可以要求投标人进一步澄清、说明或补正，直至满足评标委员会的要求。</w:t>
      </w:r>
    </w:p>
    <w:p w14:paraId="18CEABFC">
      <w:pPr>
        <w:pStyle w:val="79"/>
        <w:keepNext w:val="0"/>
        <w:keepLines w:val="0"/>
        <w:spacing w:line="360" w:lineRule="auto"/>
        <w:ind w:firstLine="420" w:firstLineChars="175"/>
        <w:rPr>
          <w:rFonts w:ascii="宋体" w:hAnsi="宋体" w:eastAsia="宋体"/>
          <w:color w:val="auto"/>
          <w:szCs w:val="24"/>
        </w:rPr>
      </w:pPr>
      <w:bookmarkStart w:id="290" w:name="_Toc423358133"/>
      <w:bookmarkStart w:id="291" w:name="_Toc152042386"/>
      <w:bookmarkStart w:id="292" w:name="_Toc387498749"/>
      <w:bookmarkStart w:id="293" w:name="_Toc144974576"/>
      <w:bookmarkStart w:id="294" w:name="_Toc421805018"/>
      <w:bookmarkStart w:id="295" w:name="_Toc466566712"/>
      <w:bookmarkStart w:id="296" w:name="_Toc179632626"/>
      <w:bookmarkStart w:id="297" w:name="_Toc389384088"/>
      <w:bookmarkStart w:id="298" w:name="_Toc401512225"/>
      <w:bookmarkStart w:id="299" w:name="_Toc418605430"/>
      <w:bookmarkStart w:id="300" w:name="_Toc418608951"/>
      <w:bookmarkStart w:id="301" w:name="_Toc466566801"/>
      <w:bookmarkStart w:id="302" w:name="_Toc152045608"/>
      <w:bookmarkStart w:id="303" w:name="_Toc421698385"/>
      <w:bookmarkStart w:id="304" w:name="_Toc401926486"/>
      <w:r>
        <w:rPr>
          <w:rFonts w:hint="eastAsia" w:ascii="宋体" w:hAnsi="宋体" w:eastAsia="宋体"/>
          <w:color w:val="auto"/>
          <w:szCs w:val="24"/>
        </w:rPr>
        <w:t>3.4投标人的最总得分</w:t>
      </w:r>
    </w:p>
    <w:p w14:paraId="3F77F400">
      <w:pPr>
        <w:numPr>
          <w:ilvl w:val="0"/>
          <w:numId w:val="2"/>
        </w:numPr>
        <w:spacing w:line="360" w:lineRule="auto"/>
        <w:ind w:firstLine="420" w:firstLineChars="175"/>
        <w:rPr>
          <w:rFonts w:ascii="宋体" w:hAnsi="宋体" w:cs="宋体"/>
          <w:bCs/>
          <w:color w:val="auto"/>
          <w:sz w:val="24"/>
          <w:szCs w:val="24"/>
        </w:rPr>
      </w:pPr>
      <w:r>
        <w:rPr>
          <w:rFonts w:hint="eastAsia" w:ascii="宋体" w:hAnsi="宋体" w:cs="宋体"/>
          <w:color w:val="auto"/>
          <w:sz w:val="24"/>
          <w:szCs w:val="24"/>
        </w:rPr>
        <w:t>评分分值计算保留小数点后两位，小数点后第三位“四舍五入”</w:t>
      </w:r>
      <w:r>
        <w:rPr>
          <w:rFonts w:hint="eastAsia" w:ascii="宋体" w:hAnsi="宋体" w:cs="宋体"/>
          <w:bCs/>
          <w:color w:val="auto"/>
          <w:sz w:val="24"/>
          <w:szCs w:val="24"/>
        </w:rPr>
        <w:t>。</w:t>
      </w:r>
    </w:p>
    <w:p w14:paraId="3F7953CC">
      <w:pPr>
        <w:numPr>
          <w:ilvl w:val="0"/>
          <w:numId w:val="2"/>
        </w:num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投标人综合得分=报价部分得分+技术部分得分+商务部分得分；</w:t>
      </w:r>
    </w:p>
    <w:p w14:paraId="0F6195AD">
      <w:pPr>
        <w:numPr>
          <w:ilvl w:val="0"/>
          <w:numId w:val="2"/>
        </w:num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评标委员会在完成对报价部分、技术部分和商务部分的汇总后取平均值，作为该投标人的最终得分。</w:t>
      </w:r>
    </w:p>
    <w:p w14:paraId="1581E832">
      <w:pPr>
        <w:pStyle w:val="79"/>
        <w:keepNext w:val="0"/>
        <w:keepLines w:val="0"/>
        <w:spacing w:line="360" w:lineRule="auto"/>
        <w:ind w:firstLine="420" w:firstLineChars="175"/>
        <w:rPr>
          <w:rFonts w:ascii="宋体" w:hAnsi="宋体" w:eastAsia="宋体"/>
          <w:color w:val="auto"/>
          <w:szCs w:val="24"/>
        </w:rPr>
      </w:pPr>
      <w:r>
        <w:rPr>
          <w:rFonts w:hint="eastAsia" w:ascii="宋体" w:hAnsi="宋体" w:eastAsia="宋体"/>
          <w:color w:val="auto"/>
          <w:szCs w:val="24"/>
        </w:rPr>
        <w:t>3.5评标结果</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42CDCEC6">
      <w:pPr>
        <w:spacing w:line="360" w:lineRule="auto"/>
        <w:ind w:firstLine="420" w:firstLineChars="175"/>
        <w:rPr>
          <w:color w:val="auto"/>
        </w:rPr>
      </w:pPr>
      <w:r>
        <w:rPr>
          <w:rFonts w:hint="eastAsia" w:ascii="宋体" w:hAnsi="宋体" w:cs="宋体"/>
          <w:color w:val="auto"/>
          <w:sz w:val="24"/>
          <w:szCs w:val="24"/>
        </w:rPr>
        <w:t>3.5.1评标委员会应</w:t>
      </w:r>
      <w:r>
        <w:rPr>
          <w:rFonts w:hint="eastAsia" w:ascii="宋体" w:hAnsi="宋体" w:cs="宋体"/>
          <w:color w:val="auto"/>
          <w:sz w:val="24"/>
          <w:szCs w:val="24"/>
          <w:lang w:val="en-US" w:eastAsia="zh-CN"/>
        </w:rPr>
        <w:t>根据</w:t>
      </w:r>
      <w:r>
        <w:rPr>
          <w:rFonts w:hint="eastAsia" w:ascii="宋体" w:hAnsi="宋体" w:cs="宋体"/>
          <w:color w:val="auto"/>
          <w:sz w:val="24"/>
          <w:szCs w:val="24"/>
        </w:rPr>
        <w:t>各投标人综合得分由高到低推荐3名中标候选人。综合评分相等时，以投标报价低的优先；投标报价也相等的，按少数服从多数的原则举手表决确定。</w:t>
      </w:r>
    </w:p>
    <w:p w14:paraId="23FE4DCE">
      <w:pPr>
        <w:spacing w:line="360" w:lineRule="auto"/>
        <w:ind w:firstLine="420" w:firstLineChars="175"/>
        <w:rPr>
          <w:rFonts w:hint="eastAsia" w:ascii="宋体" w:hAnsi="宋体" w:cs="宋体"/>
          <w:color w:val="auto"/>
          <w:sz w:val="24"/>
          <w:szCs w:val="24"/>
        </w:rPr>
      </w:pPr>
      <w:r>
        <w:rPr>
          <w:rFonts w:hint="eastAsia" w:ascii="宋体" w:hAnsi="宋体" w:cs="宋体"/>
          <w:color w:val="auto"/>
          <w:sz w:val="24"/>
          <w:szCs w:val="24"/>
        </w:rPr>
        <w:t>3.5.2 评标委员会完成评标后，应当向</w:t>
      </w:r>
      <w:r>
        <w:rPr>
          <w:rFonts w:hint="eastAsia" w:ascii="宋体" w:hAnsi="宋体" w:cs="宋体"/>
          <w:color w:val="auto"/>
          <w:sz w:val="24"/>
          <w:szCs w:val="24"/>
          <w:lang w:eastAsia="zh-CN"/>
        </w:rPr>
        <w:t>采购人</w:t>
      </w:r>
      <w:r>
        <w:rPr>
          <w:rFonts w:hint="eastAsia" w:ascii="宋体" w:hAnsi="宋体" w:cs="宋体"/>
          <w:color w:val="auto"/>
          <w:sz w:val="24"/>
          <w:szCs w:val="24"/>
        </w:rPr>
        <w:t>提交书面评标报告，并全体签字确认。</w:t>
      </w:r>
    </w:p>
    <w:p w14:paraId="5B993781">
      <w:pPr>
        <w:spacing w:line="360" w:lineRule="auto"/>
        <w:ind w:firstLine="420" w:firstLineChars="175"/>
        <w:rPr>
          <w:rFonts w:hint="eastAsia" w:ascii="宋体" w:hAnsi="宋体" w:cs="宋体"/>
          <w:color w:val="auto"/>
          <w:sz w:val="24"/>
          <w:szCs w:val="24"/>
        </w:rPr>
      </w:pPr>
    </w:p>
    <w:p w14:paraId="18EEB446">
      <w:pPr>
        <w:spacing w:line="360" w:lineRule="auto"/>
        <w:ind w:firstLine="420" w:firstLineChars="175"/>
        <w:rPr>
          <w:rFonts w:hint="eastAsia" w:ascii="宋体" w:hAnsi="宋体" w:cs="宋体"/>
          <w:color w:val="auto"/>
          <w:sz w:val="24"/>
          <w:szCs w:val="24"/>
        </w:rPr>
      </w:pPr>
    </w:p>
    <w:p w14:paraId="45E9AC77">
      <w:pPr>
        <w:spacing w:line="360" w:lineRule="auto"/>
        <w:ind w:firstLine="420" w:firstLineChars="175"/>
        <w:rPr>
          <w:rFonts w:hint="eastAsia" w:ascii="宋体" w:hAnsi="宋体" w:cs="宋体"/>
          <w:color w:val="auto"/>
          <w:sz w:val="24"/>
          <w:szCs w:val="24"/>
        </w:rPr>
      </w:pPr>
    </w:p>
    <w:p w14:paraId="095C0975">
      <w:pPr>
        <w:spacing w:line="360" w:lineRule="auto"/>
        <w:ind w:firstLine="420" w:firstLineChars="175"/>
        <w:rPr>
          <w:rFonts w:hint="eastAsia" w:ascii="宋体" w:hAnsi="宋体" w:cs="宋体"/>
          <w:color w:val="auto"/>
          <w:sz w:val="24"/>
          <w:szCs w:val="24"/>
        </w:rPr>
      </w:pPr>
    </w:p>
    <w:p w14:paraId="01E6F886">
      <w:pPr>
        <w:spacing w:line="360" w:lineRule="auto"/>
        <w:ind w:firstLine="420" w:firstLineChars="175"/>
        <w:rPr>
          <w:rFonts w:hint="eastAsia" w:ascii="宋体" w:hAnsi="宋体" w:cs="宋体"/>
          <w:color w:val="auto"/>
          <w:sz w:val="24"/>
          <w:szCs w:val="24"/>
        </w:rPr>
      </w:pPr>
    </w:p>
    <w:p w14:paraId="73C1E6B4">
      <w:pPr>
        <w:spacing w:line="360" w:lineRule="auto"/>
        <w:ind w:firstLine="420" w:firstLineChars="175"/>
        <w:rPr>
          <w:rFonts w:hint="eastAsia" w:ascii="宋体" w:hAnsi="宋体" w:cs="宋体"/>
          <w:color w:val="auto"/>
          <w:sz w:val="24"/>
          <w:szCs w:val="24"/>
        </w:rPr>
      </w:pPr>
    </w:p>
    <w:p w14:paraId="0FE5DC62">
      <w:pPr>
        <w:spacing w:line="360" w:lineRule="auto"/>
        <w:ind w:firstLine="420" w:firstLineChars="175"/>
        <w:rPr>
          <w:rFonts w:hint="eastAsia" w:ascii="宋体" w:hAnsi="宋体" w:cs="宋体"/>
          <w:color w:val="auto"/>
          <w:sz w:val="24"/>
          <w:szCs w:val="24"/>
        </w:rPr>
      </w:pPr>
    </w:p>
    <w:p w14:paraId="717D4512">
      <w:pPr>
        <w:spacing w:line="360" w:lineRule="auto"/>
        <w:ind w:firstLine="420" w:firstLineChars="175"/>
        <w:rPr>
          <w:rFonts w:hint="eastAsia" w:ascii="宋体" w:hAnsi="宋体" w:cs="宋体"/>
          <w:color w:val="auto"/>
          <w:sz w:val="24"/>
          <w:szCs w:val="24"/>
        </w:rPr>
      </w:pPr>
    </w:p>
    <w:bookmarkEnd w:id="14"/>
    <w:p w14:paraId="57BC23E1">
      <w:pPr>
        <w:pStyle w:val="2"/>
        <w:rPr>
          <w:rFonts w:hint="eastAsia" w:eastAsia="宋体"/>
          <w:color w:val="auto"/>
          <w:lang w:eastAsia="zh-CN"/>
        </w:rPr>
      </w:pPr>
      <w:bookmarkStart w:id="305" w:name="_Toc26280"/>
      <w:bookmarkStart w:id="306" w:name="_Toc5473"/>
      <w:bookmarkStart w:id="307" w:name="_Toc20033"/>
      <w:r>
        <w:rPr>
          <w:rFonts w:hint="eastAsia"/>
          <w:color w:val="auto"/>
        </w:rPr>
        <w:t xml:space="preserve">第四章  </w:t>
      </w:r>
      <w:bookmarkEnd w:id="305"/>
      <w:r>
        <w:rPr>
          <w:rFonts w:hint="eastAsia"/>
          <w:color w:val="auto"/>
          <w:lang w:eastAsia="zh-CN"/>
        </w:rPr>
        <w:t>采购清单及参数要求</w:t>
      </w:r>
    </w:p>
    <w:bookmarkEnd w:id="15"/>
    <w:bookmarkEnd w:id="16"/>
    <w:bookmarkEnd w:id="306"/>
    <w:bookmarkEnd w:id="307"/>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9"/>
        <w:gridCol w:w="1202"/>
        <w:gridCol w:w="6056"/>
        <w:gridCol w:w="649"/>
        <w:gridCol w:w="649"/>
        <w:gridCol w:w="649"/>
      </w:tblGrid>
      <w:tr w14:paraId="103A0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2C3E3D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bookmarkStart w:id="308" w:name="_Toc452907945"/>
            <w:bookmarkStart w:id="309" w:name="_Toc454525915"/>
            <w:bookmarkStart w:id="310" w:name="_Toc452908015"/>
            <w:r>
              <w:rPr>
                <w:rFonts w:hint="eastAsia" w:ascii="宋体" w:hAnsi="宋体" w:eastAsia="宋体" w:cs="宋体"/>
                <w:i w:val="0"/>
                <w:iCs w:val="0"/>
                <w:color w:val="auto"/>
                <w:kern w:val="0"/>
                <w:sz w:val="24"/>
                <w:szCs w:val="24"/>
                <w:u w:val="none"/>
                <w:lang w:val="en-US" w:eastAsia="zh-CN" w:bidi="ar"/>
              </w:rPr>
              <w:t>序号</w:t>
            </w:r>
          </w:p>
        </w:tc>
        <w:tc>
          <w:tcPr>
            <w:tcW w:w="1202" w:type="dxa"/>
            <w:tcBorders>
              <w:top w:val="single" w:color="000000" w:sz="4" w:space="0"/>
              <w:left w:val="single" w:color="000000" w:sz="4" w:space="0"/>
              <w:bottom w:val="single" w:color="000000" w:sz="4" w:space="0"/>
              <w:right w:val="single" w:color="000000" w:sz="4" w:space="0"/>
            </w:tcBorders>
            <w:noWrap/>
            <w:vAlign w:val="center"/>
          </w:tcPr>
          <w:p w14:paraId="584B23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产品名称</w:t>
            </w:r>
          </w:p>
        </w:tc>
        <w:tc>
          <w:tcPr>
            <w:tcW w:w="6056" w:type="dxa"/>
            <w:tcBorders>
              <w:top w:val="single" w:color="000000" w:sz="4" w:space="0"/>
              <w:left w:val="single" w:color="000000" w:sz="4" w:space="0"/>
              <w:bottom w:val="single" w:color="000000" w:sz="4" w:space="0"/>
              <w:right w:val="single" w:color="000000" w:sz="4" w:space="0"/>
            </w:tcBorders>
            <w:noWrap/>
            <w:vAlign w:val="center"/>
          </w:tcPr>
          <w:p w14:paraId="0C228F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技术参数</w:t>
            </w: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0BCC1D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数量</w:t>
            </w: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764623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单位</w:t>
            </w: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59AB69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备注</w:t>
            </w:r>
          </w:p>
        </w:tc>
      </w:tr>
      <w:tr w14:paraId="03B55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8"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451939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907F0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医用诊疗床（电动升降bobath床）</w:t>
            </w:r>
          </w:p>
        </w:tc>
        <w:tc>
          <w:tcPr>
            <w:tcW w:w="6056" w:type="dxa"/>
            <w:tcBorders>
              <w:top w:val="single" w:color="000000" w:sz="4" w:space="0"/>
              <w:left w:val="single" w:color="000000" w:sz="4" w:space="0"/>
              <w:bottom w:val="single" w:color="000000" w:sz="4" w:space="0"/>
              <w:right w:val="single" w:color="000000" w:sz="4" w:space="0"/>
            </w:tcBorders>
            <w:noWrap/>
            <w:vAlign w:val="center"/>
          </w:tcPr>
          <w:p w14:paraId="53C9122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1、产品为一折两段床，段位分为头段及腰腿段两部分。</w:t>
            </w:r>
          </w:p>
          <w:p w14:paraId="4F85CCB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2、床面总规格（长×宽）：误差范围≤±10%</w:t>
            </w:r>
          </w:p>
          <w:p w14:paraId="53EEAF8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(1)床面1900mm×1050mm；</w:t>
            </w:r>
          </w:p>
          <w:p w14:paraId="7B70899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(2)头段：670mm×1050mm；</w:t>
            </w:r>
          </w:p>
          <w:p w14:paraId="0585073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(3)腰腿段：1230mm×1050mm；</w:t>
            </w:r>
          </w:p>
          <w:p w14:paraId="12E0587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3、床体头段的角度可调范围为：0～80°，误差±5°。</w:t>
            </w:r>
          </w:p>
          <w:p w14:paraId="236A922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darkMagenta"/>
                <w:u w:val="none"/>
              </w:rPr>
            </w:pPr>
            <w:r>
              <w:rPr>
                <w:rFonts w:hint="eastAsia" w:ascii="宋体" w:hAnsi="宋体" w:eastAsia="宋体" w:cs="宋体"/>
                <w:i w:val="0"/>
                <w:iCs w:val="0"/>
                <w:color w:val="auto"/>
                <w:kern w:val="0"/>
                <w:sz w:val="24"/>
                <w:szCs w:val="24"/>
                <w:u w:val="none"/>
                <w:lang w:val="en-US" w:eastAsia="zh-CN" w:bidi="ar"/>
              </w:rPr>
              <w:t>★4、床体升降高度可调</w:t>
            </w:r>
            <w:r>
              <w:rPr>
                <w:rFonts w:hint="eastAsia" w:ascii="宋体" w:hAnsi="宋体" w:eastAsia="宋体" w:cs="宋体"/>
                <w:i w:val="0"/>
                <w:iCs w:val="0"/>
                <w:color w:val="auto"/>
                <w:kern w:val="0"/>
                <w:sz w:val="24"/>
                <w:szCs w:val="24"/>
                <w:highlight w:val="none"/>
                <w:u w:val="none"/>
                <w:shd w:val="clear" w:color="auto" w:fill="FFFFFF"/>
                <w:lang w:val="en-US" w:eastAsia="zh-CN" w:bidi="ar"/>
              </w:rPr>
              <w:t>450mm～920mm。</w:t>
            </w:r>
          </w:p>
          <w:p w14:paraId="74B9037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★5、床体动态升降承重</w:t>
            </w:r>
            <w:r>
              <w:rPr>
                <w:rFonts w:hint="eastAsia" w:ascii="宋体" w:hAnsi="宋体" w:eastAsia="宋体" w:cs="宋体"/>
                <w:i w:val="0"/>
                <w:iCs w:val="0"/>
                <w:color w:val="auto"/>
                <w:kern w:val="0"/>
                <w:sz w:val="24"/>
                <w:szCs w:val="24"/>
                <w:highlight w:val="none"/>
                <w:u w:val="none"/>
                <w:lang w:val="en-US" w:eastAsia="zh-CN" w:bidi="ar"/>
              </w:rPr>
              <w:t>≥200kg，静态承重≥400kg。</w:t>
            </w:r>
          </w:p>
          <w:p w14:paraId="686830A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6、床体具有由患者停止床功能控制的装置。</w:t>
            </w: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56F175C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6483973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张</w:t>
            </w: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3B37C5B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p>
        </w:tc>
      </w:tr>
      <w:tr w14:paraId="28630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1CC6FE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02" w:type="dxa"/>
            <w:tcBorders>
              <w:top w:val="single" w:color="000000" w:sz="4" w:space="0"/>
              <w:left w:val="single" w:color="000000" w:sz="4" w:space="0"/>
              <w:bottom w:val="single" w:color="000000" w:sz="4" w:space="0"/>
              <w:right w:val="single" w:color="000000" w:sz="4" w:space="0"/>
            </w:tcBorders>
            <w:noWrap/>
            <w:vAlign w:val="center"/>
          </w:tcPr>
          <w:p w14:paraId="0C3B7D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电动起立床</w:t>
            </w:r>
          </w:p>
        </w:tc>
        <w:tc>
          <w:tcPr>
            <w:tcW w:w="6056" w:type="dxa"/>
            <w:tcBorders>
              <w:top w:val="single" w:color="000000" w:sz="4" w:space="0"/>
              <w:left w:val="single" w:color="000000" w:sz="4" w:space="0"/>
              <w:bottom w:val="single" w:color="000000" w:sz="4" w:space="0"/>
              <w:right w:val="single" w:color="000000" w:sz="4" w:space="0"/>
            </w:tcBorders>
            <w:noWrap w:val="0"/>
            <w:vAlign w:val="center"/>
          </w:tcPr>
          <w:p w14:paraId="56582D1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1、床面规格（长×宽）：1860mm（长）×610mm（宽），误差±10%；</w:t>
            </w:r>
          </w:p>
          <w:p w14:paraId="099ACC9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2、床面升降距离</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u w:val="none"/>
                <w:lang w:val="en-US" w:eastAsia="zh-CN" w:bidi="ar"/>
              </w:rPr>
              <w:t>450mm～800mm；</w:t>
            </w:r>
          </w:p>
          <w:p w14:paraId="6AB4009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3、电动起立床从0°升至85°的起立时间不应小于30s；</w:t>
            </w:r>
          </w:p>
          <w:p w14:paraId="2D704B0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4、具备站立角度查看及调节功能：0～85°可调，步长1°，误差±5°；</w:t>
            </w:r>
          </w:p>
          <w:p w14:paraId="37CCD90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5、脚踏板调节角度最小调节角度为75°，误差±5°；最大调节角度为115°，误差±5°；</w:t>
            </w:r>
          </w:p>
          <w:p w14:paraId="13A6FFC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6、具有手动程序，可设置站立角度和站立时间；</w:t>
            </w:r>
          </w:p>
          <w:p w14:paraId="24F22C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★7、具有八种内置程序，站立角度由内部程序控制，具备多种训练模式，如间歇、渐增渐减、渐增等，可设置站立时间；</w:t>
            </w:r>
          </w:p>
          <w:p w14:paraId="34780A5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★8、具备站立时间设置功能：0min～60/75min可调，步长5min，误差±2%，计时结束有提示音；</w:t>
            </w:r>
          </w:p>
          <w:p w14:paraId="689E16E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★9、双电机控制床体升降及床体起立；</w:t>
            </w:r>
          </w:p>
          <w:p w14:paraId="2E66DF0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10、具备紧急停止控制装置。</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38A6E44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4580CF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784A7FB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p>
        </w:tc>
      </w:tr>
      <w:tr w14:paraId="5B42B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4"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20116D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02" w:type="dxa"/>
            <w:tcBorders>
              <w:top w:val="single" w:color="000000" w:sz="4" w:space="0"/>
              <w:left w:val="single" w:color="000000" w:sz="4" w:space="0"/>
              <w:bottom w:val="single" w:color="000000" w:sz="4" w:space="0"/>
              <w:right w:val="single" w:color="000000" w:sz="4" w:space="0"/>
            </w:tcBorders>
            <w:noWrap/>
            <w:vAlign w:val="center"/>
          </w:tcPr>
          <w:p w14:paraId="481346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智能砂磨板</w:t>
            </w:r>
          </w:p>
        </w:tc>
        <w:tc>
          <w:tcPr>
            <w:tcW w:w="6056" w:type="dxa"/>
            <w:tcBorders>
              <w:top w:val="single" w:color="000000" w:sz="4" w:space="0"/>
              <w:left w:val="single" w:color="000000" w:sz="4" w:space="0"/>
              <w:bottom w:val="single" w:color="000000" w:sz="4" w:space="0"/>
              <w:right w:val="single" w:color="000000" w:sz="4" w:space="0"/>
            </w:tcBorders>
            <w:noWrap w:val="0"/>
            <w:vAlign w:val="center"/>
          </w:tcPr>
          <w:p w14:paraId="249ED2F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★1、提供不少于7款的趣味互动游戏</w:t>
            </w:r>
          </w:p>
          <w:p w14:paraId="51F42E0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不小于8寸</w:t>
            </w:r>
            <w:r>
              <w:rPr>
                <w:rFonts w:hint="eastAsia" w:ascii="宋体" w:hAnsi="宋体" w:eastAsia="宋体" w:cs="宋体"/>
                <w:i w:val="0"/>
                <w:iCs w:val="0"/>
                <w:color w:val="auto"/>
                <w:kern w:val="0"/>
                <w:sz w:val="24"/>
                <w:szCs w:val="24"/>
                <w:u w:val="none"/>
                <w:lang w:val="en-US" w:eastAsia="zh-CN" w:bidi="ar"/>
              </w:rPr>
              <w:t>高清触摸平板电脑</w:t>
            </w:r>
          </w:p>
          <w:p w14:paraId="0107A5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★3、设备之间可互联进行竞赛训练</w:t>
            </w:r>
          </w:p>
          <w:p w14:paraId="32C0782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4、砂磨板倾斜度、高度手动可调</w:t>
            </w:r>
          </w:p>
          <w:p w14:paraId="1A4973D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5、不少于350个光点阵列，间距</w:t>
            </w:r>
            <w:r>
              <w:rPr>
                <w:rFonts w:hint="eastAsia" w:ascii="宋体" w:hAnsi="宋体" w:eastAsia="宋体" w:cs="宋体"/>
                <w:color w:val="auto"/>
                <w:sz w:val="24"/>
                <w:szCs w:val="24"/>
                <w:highlight w:val="none"/>
                <w:lang w:val="en-US" w:eastAsia="zh-CN" w:bidi="ar"/>
              </w:rPr>
              <w:t>≤</w:t>
            </w:r>
            <w:r>
              <w:rPr>
                <w:rFonts w:hint="eastAsia" w:ascii="宋体" w:hAnsi="宋体" w:eastAsia="宋体" w:cs="宋体"/>
                <w:i w:val="0"/>
                <w:iCs w:val="0"/>
                <w:strike w:val="0"/>
                <w:dstrike w:val="0"/>
                <w:color w:val="auto"/>
                <w:kern w:val="0"/>
                <w:sz w:val="24"/>
                <w:szCs w:val="24"/>
                <w:u w:val="none"/>
                <w:lang w:val="en-US" w:eastAsia="zh-CN" w:bidi="ar"/>
              </w:rPr>
              <w:t>50</w:t>
            </w:r>
            <w:r>
              <w:rPr>
                <w:rFonts w:hint="eastAsia" w:ascii="宋体" w:hAnsi="宋体" w:eastAsia="宋体" w:cs="宋体"/>
                <w:i w:val="0"/>
                <w:iCs w:val="0"/>
                <w:color w:val="auto"/>
                <w:kern w:val="0"/>
                <w:sz w:val="24"/>
                <w:szCs w:val="24"/>
                <w:u w:val="none"/>
                <w:lang w:val="en-US" w:eastAsia="zh-CN" w:bidi="ar"/>
              </w:rPr>
              <w:t>mm</w:t>
            </w:r>
          </w:p>
          <w:p w14:paraId="4DF35DB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6、提供不少于4种智能磨具</w:t>
            </w:r>
          </w:p>
          <w:p w14:paraId="3D2D703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7、轨迹引导训练模式，轨迹可自定义设计</w:t>
            </w:r>
          </w:p>
          <w:p w14:paraId="6674534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8、提供不少于10种常用训练轨迹，包括单方向、往返方向、多方向组合、直线、曲线等轨迹</w:t>
            </w:r>
          </w:p>
          <w:p w14:paraId="2A87BAD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9、记录用户信息的数据库，无纸化管理</w:t>
            </w:r>
          </w:p>
          <w:p w14:paraId="37CB73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10、自动生成并保存训练报告，训练数据全纪录，跟踪康复进度</w:t>
            </w:r>
          </w:p>
          <w:p w14:paraId="351C749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11、多种训练轨迹可组合成训练方案</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416E68B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4947BFA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2B606DD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p>
        </w:tc>
      </w:tr>
      <w:tr w14:paraId="75BC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09AE5B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202" w:type="dxa"/>
            <w:tcBorders>
              <w:top w:val="single" w:color="000000" w:sz="4" w:space="0"/>
              <w:left w:val="single" w:color="000000" w:sz="4" w:space="0"/>
              <w:bottom w:val="single" w:color="000000" w:sz="4" w:space="0"/>
              <w:right w:val="single" w:color="000000" w:sz="4" w:space="0"/>
            </w:tcBorders>
            <w:noWrap/>
            <w:vAlign w:val="center"/>
          </w:tcPr>
          <w:p w14:paraId="16DDA8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智能指梯板</w:t>
            </w:r>
          </w:p>
        </w:tc>
        <w:tc>
          <w:tcPr>
            <w:tcW w:w="6056" w:type="dxa"/>
            <w:tcBorders>
              <w:top w:val="single" w:color="000000" w:sz="4" w:space="0"/>
              <w:left w:val="single" w:color="000000" w:sz="4" w:space="0"/>
              <w:bottom w:val="single" w:color="000000" w:sz="4" w:space="0"/>
              <w:right w:val="single" w:color="000000" w:sz="4" w:space="0"/>
            </w:tcBorders>
            <w:noWrap w:val="0"/>
            <w:vAlign w:val="center"/>
          </w:tcPr>
          <w:p w14:paraId="3A72656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★1、提供不少于5款的趣味互动游戏</w:t>
            </w:r>
          </w:p>
          <w:p w14:paraId="2BFC6EE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不小于8寸</w:t>
            </w:r>
            <w:r>
              <w:rPr>
                <w:rFonts w:hint="eastAsia" w:ascii="宋体" w:hAnsi="宋体" w:eastAsia="宋体" w:cs="宋体"/>
                <w:i w:val="0"/>
                <w:iCs w:val="0"/>
                <w:color w:val="auto"/>
                <w:kern w:val="0"/>
                <w:sz w:val="24"/>
                <w:szCs w:val="24"/>
                <w:u w:val="none"/>
                <w:lang w:val="en-US" w:eastAsia="zh-CN" w:bidi="ar"/>
              </w:rPr>
              <w:t>高清触摸平板电脑</w:t>
            </w:r>
          </w:p>
          <w:p w14:paraId="26A7525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★3、设备之间可互联进行竞赛训练</w:t>
            </w:r>
          </w:p>
          <w:p w14:paraId="6CFAF9E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4、电容式感应器识别手指动作，无需佩戴任何配件</w:t>
            </w:r>
          </w:p>
          <w:p w14:paraId="4DB5EF8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5、指梯板阶梯不少于10级</w:t>
            </w:r>
          </w:p>
          <w:p w14:paraId="4830F16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6、满足拇指屈伸训练、四指屈肌训练、四指伸肌训练、十指联合训练、双指交替训练、抬腕训练等多功能设计</w:t>
            </w:r>
          </w:p>
          <w:p w14:paraId="7FFF468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7、训练过程中提供灯光提示，指引患者训练</w:t>
            </w:r>
          </w:p>
          <w:p w14:paraId="3D59760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8、记录用户信息的数据库，无纸化管理</w:t>
            </w:r>
          </w:p>
          <w:p w14:paraId="7DF4341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9、自动生成并保存训练报告，跟踪康复进度</w:t>
            </w:r>
          </w:p>
          <w:p w14:paraId="7330C08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10、便携式设计，可在治疗室、病房、门诊使用</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4886721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1C6A7D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3A423B4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核心产品</w:t>
            </w:r>
          </w:p>
        </w:tc>
      </w:tr>
      <w:tr w14:paraId="1700B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0"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21E999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C58A5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OT综合训练工作台</w:t>
            </w:r>
          </w:p>
        </w:tc>
        <w:tc>
          <w:tcPr>
            <w:tcW w:w="6056" w:type="dxa"/>
            <w:tcBorders>
              <w:top w:val="single" w:color="000000" w:sz="4" w:space="0"/>
              <w:left w:val="single" w:color="000000" w:sz="4" w:space="0"/>
              <w:bottom w:val="single" w:color="000000" w:sz="4" w:space="0"/>
              <w:right w:val="single" w:color="000000" w:sz="4" w:space="0"/>
            </w:tcBorders>
            <w:noWrap w:val="0"/>
            <w:vAlign w:val="center"/>
          </w:tcPr>
          <w:p w14:paraId="44DA770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1、参考规格(cm)：180×98×97</w:t>
            </w:r>
          </w:p>
          <w:p w14:paraId="1B25C29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2、参考质量：90.0kg</w:t>
            </w:r>
          </w:p>
          <w:p w14:paraId="5BBC017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3、左右操作面板：（参考）47×33（长×宽）cm</w:t>
            </w:r>
          </w:p>
          <w:p w14:paraId="7BF3B22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4、后操作面板：（参考）97×33（长×宽）cm</w:t>
            </w:r>
          </w:p>
          <w:p w14:paraId="5D99D1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5、以上数据误差小于等于±10%</w:t>
            </w:r>
          </w:p>
          <w:p w14:paraId="0D3B169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6、操作面板调节范围：</w:t>
            </w:r>
            <w:r>
              <w:rPr>
                <w:rFonts w:hint="eastAsia" w:ascii="宋体" w:hAnsi="宋体" w:eastAsia="宋体" w:cs="宋体"/>
                <w:i w:val="0"/>
                <w:iCs w:val="0"/>
                <w:color w:val="auto"/>
                <w:kern w:val="0"/>
                <w:sz w:val="24"/>
                <w:szCs w:val="24"/>
                <w:highlight w:val="none"/>
                <w:u w:val="none"/>
                <w:lang w:val="en-US" w:eastAsia="zh-CN" w:bidi="ar"/>
              </w:rPr>
              <w:t>46cm～81cm</w:t>
            </w:r>
          </w:p>
          <w:p w14:paraId="1256B00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b w:val="0"/>
                <w:bCs w:val="0"/>
                <w:i w:val="0"/>
                <w:iCs w:val="0"/>
                <w:color w:val="auto"/>
                <w:kern w:val="0"/>
                <w:sz w:val="24"/>
                <w:szCs w:val="24"/>
                <w:highlight w:val="none"/>
                <w:vertAlign w:val="baseline"/>
                <w:lang w:val="en-US" w:eastAsia="zh-CN"/>
              </w:rPr>
              <w:t>7、材质：板材为环保免漆多层板，厚度≥18mm；</w:t>
            </w:r>
          </w:p>
          <w:p w14:paraId="399199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8、组件：立式套圈、木棍插板、几何图形插板、弧形分指板、上肢协调功能器（手指）、上螺丝、上螺母、动物图形插板、模拟工具、卧式套圈共十件组成。</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56D504F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07319EB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57DC55D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p>
        </w:tc>
      </w:tr>
      <w:tr w14:paraId="745C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14:paraId="3991E3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202" w:type="dxa"/>
            <w:tcBorders>
              <w:top w:val="single" w:color="000000" w:sz="4" w:space="0"/>
              <w:left w:val="single" w:color="000000" w:sz="4" w:space="0"/>
              <w:bottom w:val="single" w:color="000000" w:sz="4" w:space="0"/>
              <w:right w:val="single" w:color="000000" w:sz="4" w:space="0"/>
            </w:tcBorders>
            <w:noWrap/>
            <w:vAlign w:val="center"/>
          </w:tcPr>
          <w:p w14:paraId="686DFE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振动理疗仪</w:t>
            </w:r>
          </w:p>
        </w:tc>
        <w:tc>
          <w:tcPr>
            <w:tcW w:w="6056" w:type="dxa"/>
            <w:tcBorders>
              <w:top w:val="single" w:color="000000" w:sz="4" w:space="0"/>
              <w:left w:val="single" w:color="000000" w:sz="4" w:space="0"/>
              <w:bottom w:val="single" w:color="000000" w:sz="4" w:space="0"/>
              <w:right w:val="single" w:color="000000" w:sz="4" w:space="0"/>
            </w:tcBorders>
            <w:noWrap w:val="0"/>
            <w:vAlign w:val="center"/>
          </w:tcPr>
          <w:p w14:paraId="1CCBA81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适用范围：适用于肩关节周围炎、慢性软组织损伤引起的疼痛和关节活动受限的辅助治疗。</w:t>
            </w:r>
          </w:p>
          <w:p w14:paraId="1EAA2A2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性能参数：</w:t>
            </w:r>
          </w:p>
          <w:p w14:paraId="477D393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1、可伸缩式理疗头，治疗时振动连续输出，可加快局部代谢速度有效缓解疼痛及降低肌张力改善肌肉紧张。</w:t>
            </w:r>
          </w:p>
          <w:p w14:paraId="2D6E595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2、采用低压供电方式，保证使用过程中的安全性且可长时间连续使用。</w:t>
            </w:r>
          </w:p>
          <w:p w14:paraId="1D0C899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3、钛合金材质理疗头，与人体接触时不发生变形，有效保障治疗深度和设备寿命。</w:t>
            </w:r>
          </w:p>
          <w:p w14:paraId="3964914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4、治疗手柄配备硅胶皮套，便于抓握和防止操作者烫伤。</w:t>
            </w:r>
          </w:p>
          <w:p w14:paraId="6141310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5、为机械性冲击治疗设备，电机转速：900、1800、2700、3600rpm四档可调，转速误差±5%，有效针对临床不同需要促进肌肉力量募集或降低肌张力。</w:t>
            </w:r>
          </w:p>
          <w:p w14:paraId="32825FB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6、治疗头振动幅度可达6mm，误差±10%，治疗深度可达0-60mm，表层和深层组织均可治疗。</w:t>
            </w:r>
          </w:p>
          <w:p w14:paraId="6D13C66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7、主机尺寸（长×宽×高）：280mm×125mm×56mm，允差±20mm。</w:t>
            </w:r>
          </w:p>
          <w:p w14:paraId="18D63E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8、按摩头直径：φ15mm，φ25mm，φ35mm，允差±5%。</w:t>
            </w:r>
          </w:p>
          <w:p w14:paraId="3183CAB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9、噪声：正常⼯作时，电机运转平稳，无异常声响，噪声以声级计“A”级计权，其值应≤60dBA。</w:t>
            </w:r>
          </w:p>
          <w:p w14:paraId="398C9CB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10、设备重量为2.5kg</w:t>
            </w:r>
            <w:r>
              <w:rPr>
                <w:rFonts w:hint="eastAsia" w:ascii="宋体" w:hAnsi="宋体" w:eastAsia="宋体" w:cs="宋体"/>
                <w:i w:val="0"/>
                <w:iCs w:val="0"/>
                <w:color w:val="auto"/>
                <w:kern w:val="0"/>
                <w:sz w:val="24"/>
                <w:szCs w:val="24"/>
                <w:highlight w:val="none"/>
                <w:u w:val="none"/>
                <w:lang w:val="en-US" w:eastAsia="zh-CN" w:bidi="ar"/>
              </w:rPr>
              <w:t>（误差≤±5%）</w:t>
            </w:r>
            <w:r>
              <w:rPr>
                <w:rFonts w:hint="eastAsia" w:ascii="宋体" w:hAnsi="宋体" w:eastAsia="宋体" w:cs="宋体"/>
                <w:i w:val="0"/>
                <w:iCs w:val="0"/>
                <w:color w:val="auto"/>
                <w:kern w:val="0"/>
                <w:sz w:val="24"/>
                <w:szCs w:val="24"/>
                <w:u w:val="none"/>
                <w:lang w:val="en-US" w:eastAsia="zh-CN" w:bidi="ar"/>
              </w:rPr>
              <w:t>，整体重心于机头部位，最大程度降低手柄尾端振动幅度，治疗时设备重量施加于人体，无需操作者费力施压，轻松来回移动，便捷省力操作。</w:t>
            </w:r>
          </w:p>
          <w:p w14:paraId="4EAA26B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11、电源输出线与主机连接牢固可靠，最大承受拉力不小于5kg。</w:t>
            </w:r>
          </w:p>
          <w:p w14:paraId="068224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12、过压力保护功能：外施加压力超过预设值将自动断电保护，保护操作者及患者。</w:t>
            </w:r>
          </w:p>
          <w:p w14:paraId="555C99A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13、输出频率改变时，设备的冲击力恒定不变，保证治疗的深度和疗效。</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0094A7C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64576D4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4CE328F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p>
        </w:tc>
      </w:tr>
      <w:tr w14:paraId="61B88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455536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0D053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吞咽神经肌肉低频电刺激仪</w:t>
            </w:r>
          </w:p>
        </w:tc>
        <w:tc>
          <w:tcPr>
            <w:tcW w:w="6056" w:type="dxa"/>
            <w:tcBorders>
              <w:top w:val="single" w:color="000000" w:sz="4" w:space="0"/>
              <w:left w:val="single" w:color="000000" w:sz="4" w:space="0"/>
              <w:bottom w:val="single" w:color="000000" w:sz="4" w:space="0"/>
              <w:right w:val="single" w:color="000000" w:sz="4" w:space="0"/>
            </w:tcBorders>
            <w:noWrap w:val="0"/>
            <w:vAlign w:val="center"/>
          </w:tcPr>
          <w:p w14:paraId="193926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1、具有双路电疗输出通道，每通道可独立设置治疗参数，可同时满足2名患者治疗。</w:t>
            </w:r>
          </w:p>
          <w:p w14:paraId="6652DC4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2、仪器最大输出电流有效值应不大于80mA。</w:t>
            </w:r>
          </w:p>
          <w:p w14:paraId="5B3CA5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3、特制双向脉冲方波，脉冲频率范围20Hz～100Hz。</w:t>
            </w:r>
          </w:p>
          <w:p w14:paraId="3C26AEC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★4、采用微秒级脉宽，且脉宽在100μs~400μs范围可调。</w:t>
            </w:r>
          </w:p>
          <w:p w14:paraId="6C95213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5、具有脉冲上升/下降时间自定义功能，提供肌肉生理性收缩的适应阶段，避免电流突变，使治疗舒适安全。</w:t>
            </w:r>
          </w:p>
          <w:p w14:paraId="6F98433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6、脉冲的通断时间分别可调，可调节输出与放松时间占比，预防肌肉疲劳，满足不同程度吞咽功能障碍患者需求。</w:t>
            </w:r>
          </w:p>
          <w:p w14:paraId="685B2B8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7、治疗结束后有声音提醒功能，治疗时间调节范围：1min～99min。</w:t>
            </w:r>
          </w:p>
          <w:p w14:paraId="5B9986B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★8、具有手持电极，可进行移动式口腔内/外电刺激，且可更换多种电极头（包括但不限于棉签电极、单球电极、双球电极、板状电极等），用于进行口面部不同部位及治疗面积的电刺激。</w:t>
            </w:r>
          </w:p>
          <w:p w14:paraId="26D2653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★10、电刺激手柄供治疗师操作，可按治疗需求控制电流输出的持续时间，通过手柄上的按键掌控刺激时间。</w:t>
            </w:r>
          </w:p>
          <w:p w14:paraId="6A7FA4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11、可适配2组固定式贴片电极，且具有电极放置图示，用于进行面颌部及颈部的经皮电刺激。</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7A08D12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36AD22D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1C1B828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p>
        </w:tc>
      </w:tr>
      <w:tr w14:paraId="64D4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0"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316C56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D2485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低频神经肌肉电刺激仪</w:t>
            </w:r>
          </w:p>
        </w:tc>
        <w:tc>
          <w:tcPr>
            <w:tcW w:w="6056" w:type="dxa"/>
            <w:tcBorders>
              <w:top w:val="single" w:color="000000" w:sz="4" w:space="0"/>
              <w:left w:val="single" w:color="000000" w:sz="4" w:space="0"/>
              <w:bottom w:val="single" w:color="000000" w:sz="4" w:space="0"/>
              <w:right w:val="single" w:color="000000" w:sz="4" w:space="0"/>
            </w:tcBorders>
            <w:noWrap/>
            <w:vAlign w:val="center"/>
          </w:tcPr>
          <w:p w14:paraId="31BF82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★1、八路电流输出可选，每路可连接二个电极片;</w:t>
            </w:r>
          </w:p>
          <w:p w14:paraId="057688A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2、5.7英寸液晶触摸显示屏;</w:t>
            </w:r>
          </w:p>
          <w:p w14:paraId="5CEAF65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3、脉冲宽度80～400us范围内可调，调节步长10us；</w:t>
            </w:r>
          </w:p>
          <w:p w14:paraId="24DAFB5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4、频率1～180Hz范围内连续可调，步长1Hz;</w:t>
            </w:r>
          </w:p>
          <w:p w14:paraId="6792118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5、仪器的上升时间：0s～2s，步长为0.5s；</w:t>
            </w:r>
          </w:p>
          <w:p w14:paraId="2CF2BC5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6、仪器的维持时间：0s～20s，步长为1s；</w:t>
            </w:r>
          </w:p>
          <w:p w14:paraId="2D3B38A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7、仪器的下降时间：0s～2s，步长为0.5s；</w:t>
            </w:r>
          </w:p>
          <w:p w14:paraId="3206CBE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8、仪器的断电时间：2s～50s，步长为1s；</w:t>
            </w:r>
          </w:p>
          <w:p w14:paraId="16545D9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9、治疗时间1～99min可调，步长1min，默认20min;</w:t>
            </w:r>
          </w:p>
          <w:p w14:paraId="4F6D5D8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10、最大输出电流：140mA(峰值电流)，步长1mA；</w:t>
            </w:r>
          </w:p>
          <w:p w14:paraId="586623B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★11、具有同步/异步输出功能；</w:t>
            </w:r>
          </w:p>
          <w:p w14:paraId="66EB3DC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12、开路报警，过电保护确保治疗安全。</w:t>
            </w: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6A27167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7669178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38AE674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p>
        </w:tc>
      </w:tr>
      <w:tr w14:paraId="3F322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0"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267BA8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FC6D7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低频痉挛肌电刺激治疗仪</w:t>
            </w:r>
          </w:p>
        </w:tc>
        <w:tc>
          <w:tcPr>
            <w:tcW w:w="6056" w:type="dxa"/>
            <w:tcBorders>
              <w:top w:val="single" w:color="000000" w:sz="4" w:space="0"/>
              <w:left w:val="single" w:color="000000" w:sz="4" w:space="0"/>
              <w:bottom w:val="single" w:color="000000" w:sz="4" w:space="0"/>
              <w:right w:val="single" w:color="000000" w:sz="4" w:space="0"/>
            </w:tcBorders>
            <w:noWrap/>
            <w:vAlign w:val="center"/>
          </w:tcPr>
          <w:p w14:paraId="7A96B4B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★1、四通道输出可选，每通道可连接4个电极片；</w:t>
            </w:r>
          </w:p>
          <w:p w14:paraId="61A775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不小于5.7英</w:t>
            </w:r>
            <w:r>
              <w:rPr>
                <w:rFonts w:hint="eastAsia" w:ascii="宋体" w:hAnsi="宋体" w:eastAsia="宋体" w:cs="宋体"/>
                <w:i w:val="0"/>
                <w:iCs w:val="0"/>
                <w:color w:val="auto"/>
                <w:kern w:val="0"/>
                <w:sz w:val="24"/>
                <w:szCs w:val="24"/>
                <w:u w:val="none"/>
                <w:lang w:val="en-US" w:eastAsia="zh-CN" w:bidi="ar"/>
              </w:rPr>
              <w:t>寸液晶触摸显示屏；</w:t>
            </w:r>
          </w:p>
          <w:p w14:paraId="65C847E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3、8种内置处方，也可自定义处方；</w:t>
            </w:r>
          </w:p>
          <w:p w14:paraId="184334E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4、脉冲宽度100～500μs范围内可调，调节步长10μs；</w:t>
            </w:r>
          </w:p>
          <w:p w14:paraId="3AA3AD7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5、输出周期1～2s连续可调，步长0.1s，精度±10%；</w:t>
            </w:r>
          </w:p>
          <w:p w14:paraId="68CE90D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6、延迟时间0.1～1.5s连续可调，步长0.1s，精度±10%；</w:t>
            </w:r>
          </w:p>
          <w:p w14:paraId="0BED844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7、治疗时间1～99min可调，步长1min，，精度±2%，默认15min;</w:t>
            </w:r>
          </w:p>
          <w:p w14:paraId="2260DA1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8、输出强度：0～140mA（峰值电流范围），步长1mA；</w:t>
            </w:r>
          </w:p>
          <w:p w14:paraId="4014C48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9、开路报警，确保治疗安全。</w:t>
            </w: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1D4CD95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6DD0AA7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6EFBD54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p>
        </w:tc>
      </w:tr>
      <w:tr w14:paraId="6381D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6"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652C46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2BAEA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中频干扰电治疗仪</w:t>
            </w:r>
          </w:p>
        </w:tc>
        <w:tc>
          <w:tcPr>
            <w:tcW w:w="6056" w:type="dxa"/>
            <w:tcBorders>
              <w:top w:val="single" w:color="000000" w:sz="4" w:space="0"/>
              <w:left w:val="single" w:color="000000" w:sz="4" w:space="0"/>
              <w:bottom w:val="single" w:color="000000" w:sz="4" w:space="0"/>
              <w:right w:val="single" w:color="000000" w:sz="4" w:space="0"/>
            </w:tcBorders>
            <w:noWrap w:val="0"/>
            <w:vAlign w:val="center"/>
          </w:tcPr>
          <w:p w14:paraId="3CCDFDA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★1、两路六组（共12个电极）输出，一路4组通道，一路2组通道，共有6组通道。可三维、二维输出相互转换，最多可治疗6个部位，可进行平面和立体动态干涉；</w:t>
            </w:r>
          </w:p>
          <w:p w14:paraId="79CCD3E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2、吸附式电极，负压吸引压80~300mmHg连续可调；</w:t>
            </w:r>
          </w:p>
          <w:p w14:paraId="6458420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3、吸引模式：连续模式、脉冲模式（快速、中速、慢速）和自动模式。</w:t>
            </w:r>
          </w:p>
          <w:p w14:paraId="18F5FB4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4、吸引压智能调节，治疗停止后自动降低到30mmHg，便于取下电极，1min后自动变为OFF，20s后又变为上次治疗所设定吸引压值；</w:t>
            </w:r>
          </w:p>
          <w:p w14:paraId="3D7DE6D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5、顶板自动加热功能，方便寒冷时使用，可加热浸湿的电极，避免湿式电极刺激皮肤；</w:t>
            </w:r>
          </w:p>
          <w:p w14:paraId="01BADB8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6、输出波形（治疗波形）为正弦波、正弦调制波；</w:t>
            </w:r>
          </w:p>
          <w:p w14:paraId="081DC34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★7、输出频率（基频）为1kHz～11kHz可调节，步长0.5kHz；</w:t>
            </w:r>
          </w:p>
          <w:p w14:paraId="453FFB7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★8、差频频率在0.1~200Hz可调；</w:t>
            </w:r>
          </w:p>
          <w:p w14:paraId="3AE92F3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★9、输出电流有效值应在0mA～100mA范围内连续可调；最大值50/75/100mA，3档可设置，保障治疗安全和有效性。</w:t>
            </w:r>
          </w:p>
          <w:p w14:paraId="117DB97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10、具有三种干扰电模式包括：静态干扰、动态干扰、复合干扰</w:t>
            </w:r>
          </w:p>
          <w:p w14:paraId="57C5F0E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11、具有五种预调制电流模式包括：连续、断调、交调、间调、扫引。</w:t>
            </w:r>
          </w:p>
          <w:p w14:paraId="53A4A16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12、动态节律为4-10s可调。</w:t>
            </w:r>
          </w:p>
          <w:p w14:paraId="05F49DD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13、差频变化周期为15s～30s可调，步长1s</w:t>
            </w:r>
          </w:p>
          <w:p w14:paraId="7BC090B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★14、差频变化范围为：低、中、高、极高、低高、广域、超广域以及自定义。</w:t>
            </w:r>
          </w:p>
          <w:p w14:paraId="25DA8BD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15、8个调制中频可自由调节，亦可以和平面干扰、立体干扰、八级联动自由组合。</w:t>
            </w:r>
          </w:p>
          <w:p w14:paraId="64421A5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16、可最多同步3组平面干扰。</w:t>
            </w:r>
          </w:p>
          <w:p w14:paraId="6905EDC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17、可最多同步进行（1组）立体干扰</w:t>
            </w:r>
          </w:p>
          <w:p w14:paraId="59EB638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18、具备两组（1组）八级联动功能。八级联动功能：8个电极同步工作，包含向上、向下、循环、往复四种联动模式可选</w:t>
            </w:r>
          </w:p>
          <w:p w14:paraId="0F4EF7E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19、具有方案库功能，每个方案具有多图操作教程</w:t>
            </w:r>
          </w:p>
          <w:p w14:paraId="1A3D5A5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20、具有自定义方案保存功能，可以个性化定制治疗方案并保存到方案库。</w:t>
            </w:r>
          </w:p>
          <w:p w14:paraId="5065F27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21、治疗过程中吸附电极脱落报警且输出归零，防止击伤患者及无效治疗；</w:t>
            </w:r>
          </w:p>
          <w:p w14:paraId="5723A7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22、多重安全保护：过电流保护、过电压保护、断路保护、顶板加热双重温度保护。</w:t>
            </w:r>
          </w:p>
          <w:p w14:paraId="046A0D2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23、可选配30mm吸附碗，满足儿童或小部位的治疗</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725D6BC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3CCF3B4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29A85F8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核心产品</w:t>
            </w:r>
          </w:p>
        </w:tc>
      </w:tr>
      <w:tr w14:paraId="76512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9"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496B5C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13284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吸附式点刺激低频治疗仪</w:t>
            </w:r>
          </w:p>
        </w:tc>
        <w:tc>
          <w:tcPr>
            <w:tcW w:w="6056" w:type="dxa"/>
            <w:tcBorders>
              <w:top w:val="single" w:color="000000" w:sz="4" w:space="0"/>
              <w:left w:val="single" w:color="000000" w:sz="4" w:space="0"/>
              <w:bottom w:val="single" w:color="000000" w:sz="4" w:space="0"/>
              <w:right w:val="single" w:color="000000" w:sz="4" w:space="0"/>
            </w:tcBorders>
            <w:noWrap w:val="0"/>
            <w:vAlign w:val="center"/>
          </w:tcPr>
          <w:p w14:paraId="4CE769A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1、立式一体机，四脚轮独立制动；</w:t>
            </w:r>
          </w:p>
          <w:p w14:paraId="320DF87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2、内嵌不小于10.1英寸彩色触摸显示屏，并配备无级飞梭旋钮，操作精准快捷；</w:t>
            </w:r>
          </w:p>
          <w:p w14:paraId="7F8C7D0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3、内嵌电压电流导光柱，可实时显示治疗电压和电流，增强患者治疗过程中的视觉反馈。</w:t>
            </w:r>
          </w:p>
          <w:p w14:paraId="520C256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4、≥2种基础波形，采用的双向脉冲方波及单向双峰波，临床适用范围更广。</w:t>
            </w:r>
          </w:p>
          <w:p w14:paraId="38F8019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5、频率覆盖范围广，脉冲频率范围：1Hz～999Hz；</w:t>
            </w:r>
          </w:p>
          <w:p w14:paraId="27BD967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6、仪器最大输出电流有效值应不大于50mA，有效预防电灼伤，保障患者安全；</w:t>
            </w:r>
          </w:p>
          <w:p w14:paraId="36094A5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7、可输出高压低频电流，电压峰值不大于300V，模拟针灸疗法，治疗深度较传统低频电刺激更深。</w:t>
            </w:r>
          </w:p>
          <w:p w14:paraId="691C997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8、特制吸附式锥状电极，模拟传统针灸疗法，点状刺激更为集中，镇痛效果好；吸附式电极有利于临床对于小关节或不规则体表的应用，压力调节范围5kPa～40kPa。</w:t>
            </w:r>
          </w:p>
          <w:p w14:paraId="3DD998A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9、可适配多种电极以用于不同部位的治疗，包括但不限于吸附式电极、自粘式电极、移动式电极。</w:t>
            </w:r>
          </w:p>
          <w:p w14:paraId="30B39A3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★10、内置至少八种治疗方式可供选择，每种治疗方式可选择频率调节范围和间隔时间等参数，可适用于不同类型疼痛的治疗；</w:t>
            </w:r>
          </w:p>
          <w:p w14:paraId="4265A19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11、具备无创针灸模式、低频电疗模式、电温针模式三大治疗模式。</w:t>
            </w:r>
          </w:p>
          <w:p w14:paraId="189FD97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12、具有无创针灸模式，模拟针刺疗法，可实现补法、泻法、平补平泻等针法；提供内置治疗处方，内置建议穴位点及取穴图示，操作更加简单，便捷。</w:t>
            </w:r>
          </w:p>
          <w:p w14:paraId="7E993D6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13、可自定义方案，自定义方案数量不限。</w:t>
            </w:r>
          </w:p>
          <w:p w14:paraId="6651CF9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14、治疗结束后有声音提醒功能。</w:t>
            </w:r>
          </w:p>
          <w:p w14:paraId="48E34D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15、治疗时间调节范围：1min～99min；</w:t>
            </w:r>
          </w:p>
          <w:p w14:paraId="7C05C93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★16、不少于18个独立通道。</w:t>
            </w:r>
          </w:p>
          <w:p w14:paraId="1DB2D7A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17、具有开路保护功能，治疗过程如电极意外脱落，则自动启动开路保护功能，并有声光提示；</w:t>
            </w:r>
          </w:p>
          <w:p w14:paraId="5126CEB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18、具有参数调节自动锁定功能，调节完参数后，5s无操作，自动锁定当前参数；需要调整治疗参数时，需触控点选待调节参数后，才能使用飞梭旋钮调整，防止误触。</w:t>
            </w:r>
          </w:p>
          <w:p w14:paraId="38AA4FE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19、具有多重安全保护功能：在输出电流/电压超过最大值时，设备会启动断路保护功能，避免患者损伤；</w:t>
            </w:r>
          </w:p>
          <w:p w14:paraId="322B144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20、电流强度支持单通道或多通道联动调节，方便医生操作；</w:t>
            </w:r>
          </w:p>
          <w:p w14:paraId="5103828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21、脉冲宽度可调节范围为：50µs～500µs；</w:t>
            </w:r>
          </w:p>
          <w:p w14:paraId="04CE3BE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22、电流恒压输出，输出电压调节范围0-300V，步进1V。（实际步进默认1V，可调成2V。）</w:t>
            </w:r>
          </w:p>
          <w:p w14:paraId="148F97C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23、具备病例库功能，医生可以检索及查询不同患者的治疗记录信息。</w:t>
            </w:r>
          </w:p>
          <w:p w14:paraId="0CBC487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24、具备联网功能，实现数据联通，方便医院进行设备管理及信息管理；</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412342F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3D04C48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1C89AE4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p>
        </w:tc>
      </w:tr>
      <w:tr w14:paraId="7CE77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4"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76E27F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1F99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空气波压力循环治疗仪</w:t>
            </w:r>
          </w:p>
        </w:tc>
        <w:tc>
          <w:tcPr>
            <w:tcW w:w="6056" w:type="dxa"/>
            <w:tcBorders>
              <w:top w:val="single" w:color="000000" w:sz="4" w:space="0"/>
              <w:left w:val="single" w:color="000000" w:sz="4" w:space="0"/>
              <w:bottom w:val="single" w:color="000000" w:sz="4" w:space="0"/>
              <w:right w:val="single" w:color="000000" w:sz="4" w:space="0"/>
            </w:tcBorders>
            <w:noWrap w:val="0"/>
            <w:vAlign w:val="center"/>
          </w:tcPr>
          <w:p w14:paraId="30148DC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1、可以同时连接2个4腔气囊；</w:t>
            </w:r>
          </w:p>
          <w:p w14:paraId="62EC3C7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★2、6种专业的气压治疗模式可选;</w:t>
            </w:r>
          </w:p>
          <w:p w14:paraId="6B0B126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★3、设备压强可在5-25Kpa（38-188mmHg）范围内连续可调，气压单位Kpa和mmHg可进行转换；</w:t>
            </w:r>
          </w:p>
          <w:p w14:paraId="2213C34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4、治疗时间1min-99min连续可调，满足临床上的治疗需求；</w:t>
            </w:r>
          </w:p>
          <w:p w14:paraId="19F8BFF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5、特制叠加式双层结构气囊;</w:t>
            </w:r>
          </w:p>
          <w:p w14:paraId="12FA595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★6、具备实时压力监测功能;</w:t>
            </w:r>
          </w:p>
          <w:p w14:paraId="547FD22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7、充气过程中，如若外界压力过大则自动泄压保护;</w:t>
            </w:r>
          </w:p>
          <w:p w14:paraId="0230496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8、若在充气时，突然出现停电、断电的现象，仪器会自动泄压保护；</w:t>
            </w:r>
          </w:p>
          <w:p w14:paraId="02720F1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9、气囊已经通过中国药监局（NMPA）认证。</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3E394A9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4A84721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70C66C0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p>
        </w:tc>
      </w:tr>
      <w:tr w14:paraId="61143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4A8C3B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202" w:type="dxa"/>
            <w:tcBorders>
              <w:top w:val="single" w:color="000000" w:sz="4" w:space="0"/>
              <w:left w:val="single" w:color="000000" w:sz="4" w:space="0"/>
              <w:bottom w:val="single" w:color="000000" w:sz="4" w:space="0"/>
              <w:right w:val="single" w:color="000000" w:sz="4" w:space="0"/>
            </w:tcBorders>
            <w:noWrap/>
            <w:vAlign w:val="center"/>
          </w:tcPr>
          <w:p w14:paraId="4E30AC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台车</w:t>
            </w:r>
          </w:p>
        </w:tc>
        <w:tc>
          <w:tcPr>
            <w:tcW w:w="6056" w:type="dxa"/>
            <w:tcBorders>
              <w:top w:val="single" w:color="000000" w:sz="4" w:space="0"/>
              <w:left w:val="single" w:color="000000" w:sz="4" w:space="0"/>
              <w:bottom w:val="single" w:color="000000" w:sz="4" w:space="0"/>
              <w:right w:val="single" w:color="000000" w:sz="4" w:space="0"/>
            </w:tcBorders>
            <w:noWrap/>
            <w:vAlign w:val="center"/>
          </w:tcPr>
          <w:p w14:paraId="409205D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1、高度：940mm(±10％)</w:t>
            </w:r>
          </w:p>
          <w:p w14:paraId="7BEE2B0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2、台面尺寸：400×400mm（±5％）</w:t>
            </w:r>
          </w:p>
          <w:p w14:paraId="29F20CE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3、台车净重：12.0（1±10%）kg</w:t>
            </w:r>
          </w:p>
          <w:p w14:paraId="1F35634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strike w:val="0"/>
                <w:dstrike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4、台车载重量应≥</w:t>
            </w:r>
            <w:r>
              <w:rPr>
                <w:rFonts w:hint="eastAsia" w:ascii="宋体" w:hAnsi="宋体" w:cs="宋体"/>
                <w:i w:val="0"/>
                <w:iCs w:val="0"/>
                <w:color w:val="auto"/>
                <w:kern w:val="0"/>
                <w:sz w:val="24"/>
                <w:szCs w:val="24"/>
                <w:u w:val="none"/>
                <w:lang w:val="en-US" w:eastAsia="zh-CN" w:bidi="ar"/>
              </w:rPr>
              <w:t>18kg</w:t>
            </w: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1AF38F5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279CABC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noWrap/>
            <w:vAlign w:val="center"/>
          </w:tcPr>
          <w:p w14:paraId="2F3AED1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p>
        </w:tc>
      </w:tr>
      <w:tr w14:paraId="343B2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4"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10332F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4B47A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四肢联动康复训练器</w:t>
            </w:r>
          </w:p>
        </w:tc>
        <w:tc>
          <w:tcPr>
            <w:tcW w:w="6056" w:type="dxa"/>
            <w:tcBorders>
              <w:top w:val="single" w:color="000000" w:sz="4" w:space="0"/>
              <w:left w:val="single" w:color="000000" w:sz="4" w:space="0"/>
              <w:bottom w:val="single" w:color="000000" w:sz="4" w:space="0"/>
              <w:right w:val="single" w:color="000000" w:sz="4" w:space="0"/>
            </w:tcBorders>
            <w:noWrap w:val="0"/>
            <w:vAlign w:val="center"/>
          </w:tcPr>
          <w:p w14:paraId="1F621EE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darkMagenta"/>
                <w:u w:val="none"/>
                <w:shd w:val="clear" w:color="auto" w:fill="000000"/>
                <w:lang w:val="en-US" w:eastAsia="zh-CN" w:bidi="ar"/>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highlight w:val="none"/>
                <w:u w:val="none"/>
                <w:shd w:val="clear" w:color="auto" w:fill="auto"/>
                <w:lang w:val="en-US" w:eastAsia="zh-CN" w:bidi="ar"/>
              </w:rPr>
              <w:t>承重：≥200kg；</w:t>
            </w:r>
          </w:p>
          <w:p w14:paraId="2DB1A61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2、手柄支臂使用快拉式结构调节，可调范围为：0~46cm，适用不同臂长的患者使用；</w:t>
            </w:r>
          </w:p>
          <w:p w14:paraId="54DB5D2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3、手柄采用手托式设计，相比于棍状设计，能避免抓握无力的患者滑下手柄造成损伤；</w:t>
            </w:r>
          </w:p>
          <w:p w14:paraId="77B8AF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★4、手柄旋转角度五档可调：-20°，-10°，0°，10°，20°，满足患者不同前臂角度使用；</w:t>
            </w:r>
          </w:p>
          <w:p w14:paraId="421BA71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★5、使用电磁控阻力装置，极小的启动阻力，患者可轻松开始训练；</w:t>
            </w:r>
          </w:p>
          <w:p w14:paraId="0DDC8F9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6、电磁阻力等级可调：1~10级可调，同时训练过程中阻力可调节，可随时进行训练调整，适合肌力提升训练；</w:t>
            </w:r>
          </w:p>
          <w:p w14:paraId="07B1284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7、训练时间可设置：1~99min可调；</w:t>
            </w:r>
          </w:p>
          <w:p w14:paraId="4C8C4E0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8、训练过程中可实时显示功率、卡路里、速度、累计的训练距离和圈数等参数，并具备数据统计功能，训练结束后可统计训练时长、总里程、总消耗卡路里等多种数值；</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786C503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01CCE10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5B2ADC8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p>
        </w:tc>
      </w:tr>
      <w:tr w14:paraId="51E84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046612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E2206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上下肢主被动康复训练器（上下肢）</w:t>
            </w:r>
          </w:p>
        </w:tc>
        <w:tc>
          <w:tcPr>
            <w:tcW w:w="6056" w:type="dxa"/>
            <w:tcBorders>
              <w:top w:val="single" w:color="000000" w:sz="4" w:space="0"/>
              <w:left w:val="single" w:color="000000" w:sz="4" w:space="0"/>
              <w:bottom w:val="single" w:color="000000" w:sz="4" w:space="0"/>
              <w:right w:val="single" w:color="000000" w:sz="4" w:space="0"/>
            </w:tcBorders>
            <w:noWrap w:val="0"/>
            <w:vAlign w:val="center"/>
          </w:tcPr>
          <w:p w14:paraId="010A6EB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1、上下肢型主被动康复训练器，双电机设计，可供患者进行上肢或下肢肢体运动功能训练。</w:t>
            </w:r>
          </w:p>
          <w:p w14:paraId="080CD4C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2、上肢训练工作臂可180°旋转，方便进行上肢或下肢训练；</w:t>
            </w:r>
          </w:p>
          <w:p w14:paraId="2EABAE4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3、上肢训练器高度可调节：0~150mm可调，满足不同身长患者选择最佳高度进行训练；</w:t>
            </w:r>
          </w:p>
          <w:p w14:paraId="643017A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4、小腿支架长度可调：根据患者的小腿长，选择最佳固定位置，有效防止膝关节外倾；</w:t>
            </w:r>
          </w:p>
          <w:p w14:paraId="1C8CB88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5、显示屏：</w:t>
            </w:r>
            <w:r>
              <w:rPr>
                <w:rFonts w:hint="eastAsia" w:ascii="宋体" w:hAnsi="宋体" w:eastAsia="宋体" w:cs="宋体"/>
                <w:i w:val="0"/>
                <w:iCs w:val="0"/>
                <w:color w:val="auto"/>
                <w:kern w:val="0"/>
                <w:sz w:val="24"/>
                <w:szCs w:val="24"/>
                <w:highlight w:val="none"/>
                <w:u w:val="none"/>
                <w:lang w:val="en-US" w:eastAsia="zh-CN" w:bidi="ar"/>
              </w:rPr>
              <w:t>不小于8英寸</w:t>
            </w:r>
            <w:r>
              <w:rPr>
                <w:rFonts w:hint="eastAsia" w:ascii="宋体" w:hAnsi="宋体" w:eastAsia="宋体" w:cs="宋体"/>
                <w:i w:val="0"/>
                <w:iCs w:val="0"/>
                <w:color w:val="auto"/>
                <w:kern w:val="0"/>
                <w:sz w:val="24"/>
                <w:szCs w:val="24"/>
                <w:u w:val="none"/>
                <w:lang w:val="en-US" w:eastAsia="zh-CN" w:bidi="ar"/>
              </w:rPr>
              <w:t>液晶电容屏，旋转角度可自由调节及锁定，显示直观，操作简便；</w:t>
            </w:r>
          </w:p>
          <w:p w14:paraId="3F457C7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★6、不少于五种训练模式：包括主被动训练、助力训练、对称训练、等速训练、精细训练五种训练模式可供选择，主动模式与被动模式可智能切换，满足临床不同治疗需求；</w:t>
            </w:r>
          </w:p>
          <w:p w14:paraId="59F0B35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★7、具备肌张力显示、痉挛识别及缓解、痉挛缓解速率可调等功能，痉挛识别灵敏度10级可调；</w:t>
            </w:r>
          </w:p>
          <w:p w14:paraId="2D2D360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8、设备具有手动急停开关，触发后可停止设备所有电动产生的机械运动。</w:t>
            </w:r>
          </w:p>
          <w:p w14:paraId="70FE752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9、训练时间可调：1~120min可调，满足不同患者的训练时长的需求；</w:t>
            </w:r>
          </w:p>
          <w:p w14:paraId="123557B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10、速度调节范围：被动运动中，运动速度5~60r/min可调；</w:t>
            </w:r>
          </w:p>
          <w:p w14:paraId="2F4D4F8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11、阻力等级：主动模式与助力模式下，电机阻力0~24档可调；</w:t>
            </w:r>
          </w:p>
          <w:p w14:paraId="4689E3F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12、训练方向转换：训练过程中，具备方向转换功能，满足不同方面的训练；</w:t>
            </w:r>
          </w:p>
          <w:p w14:paraId="0DFB824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13、训练结果分析：训练结束后，系统自动分析出总训练时间、训练里程、功率、能量消耗等数据；</w:t>
            </w:r>
          </w:p>
          <w:p w14:paraId="3F9F3E7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★14、设备可导出患者训练数据。</w:t>
            </w:r>
          </w:p>
          <w:p w14:paraId="2861DC5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★15、设备具有蓝牙连接功能，可通过蓝牙和心率传感器连接，训练过程中实时显示心率值</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0A24D53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6B1DF1D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5BE141D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p>
        </w:tc>
      </w:tr>
      <w:tr w14:paraId="266B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8"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37AE81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1202" w:type="dxa"/>
            <w:tcBorders>
              <w:top w:val="single" w:color="000000" w:sz="4" w:space="0"/>
              <w:left w:val="single" w:color="000000" w:sz="4" w:space="0"/>
              <w:bottom w:val="single" w:color="000000" w:sz="4" w:space="0"/>
              <w:right w:val="single" w:color="000000" w:sz="4" w:space="0"/>
            </w:tcBorders>
            <w:noWrap/>
            <w:vAlign w:val="center"/>
          </w:tcPr>
          <w:p w14:paraId="52C380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磁场刺激仪</w:t>
            </w:r>
          </w:p>
        </w:tc>
        <w:tc>
          <w:tcPr>
            <w:tcW w:w="6056" w:type="dxa"/>
            <w:tcBorders>
              <w:top w:val="single" w:color="000000" w:sz="4" w:space="0"/>
              <w:left w:val="single" w:color="000000" w:sz="4" w:space="0"/>
              <w:bottom w:val="single" w:color="000000" w:sz="4" w:space="0"/>
              <w:right w:val="single" w:color="000000" w:sz="4" w:space="0"/>
            </w:tcBorders>
            <w:noWrap w:val="0"/>
            <w:vAlign w:val="center"/>
          </w:tcPr>
          <w:p w14:paraId="11B3B06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1．安全设计结构：刺激发生器与液冷系统采用分体式设计，实现液电分离，提升使用安全性。</w:t>
            </w:r>
          </w:p>
          <w:p w14:paraId="05CD7AA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2．动态参数调节：治疗过程中可实时调整刺激强度与刺激频率，无需结束治疗调整，便于临床方案灵活优化。</w:t>
            </w:r>
          </w:p>
          <w:p w14:paraId="10B1CC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3．权限管理功能：通过管理员账号实现操作权限分级控制，防止误操作。</w:t>
            </w:r>
          </w:p>
          <w:p w14:paraId="515B7A5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4．散热系统特性：采用主动液冷散热技术（非静态液冷或外循环液冷），降温效率高且温度恒定；集成故障自动检测机制，冷却系统异常时自动切断磁场输出。</w:t>
            </w:r>
          </w:p>
          <w:p w14:paraId="2E0B631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5．网络互联能力：支持设备联网状态监测，可与HIS系统、康复管理平台等实现数据互通。</w:t>
            </w:r>
          </w:p>
          <w:p w14:paraId="6D731F9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6．磁场输出性能</w:t>
            </w:r>
          </w:p>
          <w:p w14:paraId="33AB63D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(1)磁感应强度范围：1~6T，误差控制，误差±20%</w:t>
            </w:r>
          </w:p>
          <w:p w14:paraId="1A0AC32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(2)脉冲宽度：120μs，误差±10%；</w:t>
            </w:r>
          </w:p>
          <w:p w14:paraId="7900AE5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(3)脉冲上升时间：60μs，误差±10μs；</w:t>
            </w:r>
          </w:p>
          <w:p w14:paraId="31823A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(4)输出频率调节：0.1~85Hz连续可调，≥1Hz步长为1Hz；≤1Hz时可选步长为0.01Hz、0.1Hz。</w:t>
            </w:r>
          </w:p>
          <w:p w14:paraId="6E495F2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7、电生理监测模块：内置双通道运动诱发电位（MEP）实时监测系统。</w:t>
            </w:r>
          </w:p>
          <w:p w14:paraId="795D1DB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8、人机交互界面：主机搭载不小于10.1寸彩色触控显示屏，支持独立操作控制。</w:t>
            </w:r>
          </w:p>
          <w:p w14:paraId="382BF80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9、辅助显示设备：标配≥21寸一体机电脑，区别于笔记本电脑，固定在台面更稳定防跌落。</w:t>
            </w:r>
          </w:p>
          <w:p w14:paraId="65DAA1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10、超温保护机制：当刺激线圈表面温度超过41℃时，自动停止磁场输出。</w:t>
            </w:r>
          </w:p>
          <w:p w14:paraId="1A1FF51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11、数据管理系统</w:t>
            </w:r>
          </w:p>
          <w:p w14:paraId="4DD0BC2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(1)病例库功能：支持患者信息存储、导出及评估报告打印；</w:t>
            </w:r>
          </w:p>
          <w:p w14:paraId="3A76530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(2)方案自定义：允许基于临床需求编辑个性化治疗方案；</w:t>
            </w:r>
          </w:p>
          <w:p w14:paraId="7C3E141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(3)快速检索：可通过患者姓名/病历号查询信息，方案库支持关键词检索、收藏置顶；</w:t>
            </w:r>
          </w:p>
          <w:p w14:paraId="0BF069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(4)海量存储：支持患者基本信息、治疗方案及记录的实时查询、编辑与备份导出。</w:t>
            </w:r>
          </w:p>
          <w:p w14:paraId="4E3834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12、整机标准符合性：设备全面满足YY/T1474-2016《医疗器械可用性工程对医疗器械的应用》标准要求。</w:t>
            </w:r>
          </w:p>
          <w:p w14:paraId="1EFFD1D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13、实时显示连接线圈的温度，显示精度可达0.1℃。</w:t>
            </w:r>
          </w:p>
          <w:p w14:paraId="1B39731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14、刺激模式多样性：支持单脉冲经颅磁刺激(single-pulseTMS,spTMS)、重复经颅磁刺激（repetitivetranscranialmagneticstimulation,rTMS）及爆发模式(thetaburststimulation,TBS)等多种治疗模式切换。</w:t>
            </w:r>
          </w:p>
          <w:p w14:paraId="39F027C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15、定位辅助功能：提供专业3D解剖图谱，支持自定义图片上传及放大查看，辅助精准靶点定位。</w:t>
            </w:r>
          </w:p>
          <w:p w14:paraId="1F41960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16、外部接口兼容性：配备TTL触发接口，支持兼容神经导航、肌电图、脑电图、机械臂等设备。</w:t>
            </w:r>
          </w:p>
          <w:p w14:paraId="259932E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17、冷却系统可视化：四档水位高度实时显示液位状态，可实时观测冷却液液位及线圈温度状态。</w:t>
            </w:r>
          </w:p>
          <w:p w14:paraId="0D129AD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18、预适应强度功能：具备≥3档预适应强度调节档位，可按需开启/关闭，降低患者对高强度刺激的应激反应，提升治疗顺应性。</w:t>
            </w:r>
          </w:p>
          <w:p w14:paraId="173A434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19、磁刺激可调参数包括刺激频率、刺激强度、刺激个数、间歇时间等参数可完全独立调节，无强制关联。</w:t>
            </w:r>
          </w:p>
          <w:p w14:paraId="779FEF1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20、频率调制能力：至少具有五种刺激方式，满足不同病症患者的个性化治疗需求。</w:t>
            </w:r>
          </w:p>
          <w:p w14:paraId="21578C4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21、产品使用说明书中明确刺激线圈和高压储能电容的使用次数≥7500000次。</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48CF107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4884550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02CA353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p>
        </w:tc>
      </w:tr>
    </w:tbl>
    <w:p w14:paraId="651CA5A6">
      <w:pPr>
        <w:rPr>
          <w:rFonts w:hint="default" w:ascii="Segoe UI" w:hAnsi="Segoe UI" w:cs="Segoe UI"/>
          <w:b/>
          <w:bCs/>
          <w:i w:val="0"/>
          <w:iCs w:val="0"/>
          <w:caps w:val="0"/>
          <w:color w:val="auto"/>
          <w:spacing w:val="0"/>
          <w:sz w:val="24"/>
          <w:szCs w:val="24"/>
          <w:lang w:val="en-US" w:eastAsia="zh-CN"/>
        </w:rPr>
      </w:pPr>
      <w:r>
        <w:rPr>
          <w:rFonts w:hint="eastAsia" w:ascii="Segoe UI" w:hAnsi="Segoe UI" w:cs="Segoe UI"/>
          <w:b/>
          <w:bCs/>
          <w:i w:val="0"/>
          <w:iCs w:val="0"/>
          <w:caps w:val="0"/>
          <w:color w:val="auto"/>
          <w:spacing w:val="0"/>
          <w:sz w:val="24"/>
          <w:szCs w:val="24"/>
          <w:lang w:val="en-US" w:eastAsia="zh-CN"/>
        </w:rPr>
        <w:t>注：投标人必须承诺以上所有产品均已在省级药品监督管理部门注册，中标供应商在供货时必须向采购人提供有效的医疗器械注册证，否则按提供虚假材料骗取中标、违约处理。</w:t>
      </w:r>
    </w:p>
    <w:p w14:paraId="0692F5E4">
      <w:pPr>
        <w:rPr>
          <w:color w:val="auto"/>
        </w:rPr>
      </w:pPr>
    </w:p>
    <w:p w14:paraId="2E2E1DCC">
      <w:pPr>
        <w:pStyle w:val="2"/>
        <w:rPr>
          <w:color w:val="auto"/>
        </w:rPr>
      </w:pPr>
      <w:bookmarkStart w:id="311" w:name="_Toc1766"/>
      <w:r>
        <w:rPr>
          <w:rFonts w:hint="eastAsia"/>
          <w:color w:val="auto"/>
        </w:rPr>
        <w:t>第五章  合同条款及格式</w:t>
      </w:r>
      <w:bookmarkEnd w:id="308"/>
      <w:bookmarkEnd w:id="309"/>
      <w:bookmarkEnd w:id="310"/>
      <w:bookmarkEnd w:id="311"/>
    </w:p>
    <w:p w14:paraId="0290FD0E">
      <w:pPr>
        <w:spacing w:line="500" w:lineRule="exact"/>
        <w:ind w:right="120" w:firstLine="559"/>
        <w:jc w:val="center"/>
        <w:rPr>
          <w:rFonts w:ascii="宋体" w:hAnsi="宋体" w:cs="宋体"/>
          <w:color w:val="auto"/>
          <w:sz w:val="24"/>
          <w:szCs w:val="24"/>
        </w:rPr>
      </w:pPr>
      <w:bookmarkStart w:id="312" w:name="_Toc454525916"/>
      <w:bookmarkStart w:id="313" w:name="_Toc421648791"/>
      <w:bookmarkStart w:id="314" w:name="_Toc422041002"/>
      <w:bookmarkStart w:id="315" w:name="_Toc452908016"/>
      <w:bookmarkStart w:id="316" w:name="_Toc452907949"/>
    </w:p>
    <w:p w14:paraId="45DA92BB">
      <w:pPr>
        <w:spacing w:line="500" w:lineRule="exact"/>
        <w:ind w:right="120" w:firstLine="559"/>
        <w:rPr>
          <w:rFonts w:ascii="宋体" w:hAnsi="宋体" w:cs="宋体"/>
          <w:color w:val="auto"/>
          <w:sz w:val="24"/>
          <w:szCs w:val="24"/>
        </w:rPr>
      </w:pPr>
      <w:r>
        <w:rPr>
          <w:rFonts w:hint="eastAsia" w:ascii="宋体" w:hAnsi="宋体" w:cs="宋体"/>
          <w:color w:val="auto"/>
          <w:sz w:val="24"/>
          <w:szCs w:val="24"/>
        </w:rPr>
        <w:t>甲、乙双方根据《中华人民共和国民法典》等相关法律法规、本项目招标文件及投标文件的承诺协商签订合同。合同版本以双方最终协商签订的合同为准，以下合同文本仅供参考。</w:t>
      </w:r>
    </w:p>
    <w:p w14:paraId="78328D03">
      <w:pPr>
        <w:spacing w:line="500" w:lineRule="exact"/>
        <w:ind w:firstLine="480"/>
        <w:jc w:val="center"/>
        <w:rPr>
          <w:rFonts w:ascii="宋体" w:hAnsi="宋体" w:cs="宋体"/>
          <w:b/>
          <w:bCs/>
          <w:color w:val="auto"/>
          <w:sz w:val="24"/>
          <w:szCs w:val="24"/>
        </w:rPr>
      </w:pPr>
    </w:p>
    <w:p w14:paraId="6B463311">
      <w:pPr>
        <w:spacing w:line="500" w:lineRule="exact"/>
        <w:ind w:firstLine="480"/>
        <w:jc w:val="center"/>
        <w:rPr>
          <w:rFonts w:ascii="宋体" w:hAnsi="宋体" w:cs="宋体"/>
          <w:b/>
          <w:bCs/>
          <w:color w:val="auto"/>
          <w:sz w:val="24"/>
          <w:szCs w:val="24"/>
        </w:rPr>
      </w:pPr>
    </w:p>
    <w:p w14:paraId="0538C952">
      <w:pPr>
        <w:spacing w:line="500" w:lineRule="exact"/>
        <w:ind w:firstLine="480"/>
        <w:jc w:val="center"/>
        <w:rPr>
          <w:rFonts w:ascii="宋体" w:hAnsi="宋体" w:cs="宋体"/>
          <w:b/>
          <w:bCs/>
          <w:color w:val="auto"/>
          <w:sz w:val="24"/>
          <w:szCs w:val="24"/>
        </w:rPr>
      </w:pPr>
    </w:p>
    <w:p w14:paraId="521E97DF">
      <w:pPr>
        <w:spacing w:line="500" w:lineRule="exact"/>
        <w:ind w:firstLine="480"/>
        <w:jc w:val="center"/>
        <w:rPr>
          <w:rFonts w:ascii="宋体" w:hAnsi="宋体" w:cs="宋体"/>
          <w:b/>
          <w:bCs/>
          <w:color w:val="auto"/>
          <w:sz w:val="24"/>
          <w:szCs w:val="24"/>
        </w:rPr>
      </w:pPr>
    </w:p>
    <w:p w14:paraId="14F6C747">
      <w:pPr>
        <w:spacing w:line="500" w:lineRule="exact"/>
        <w:ind w:firstLine="480"/>
        <w:jc w:val="center"/>
        <w:rPr>
          <w:rFonts w:ascii="宋体" w:hAnsi="宋体" w:cs="宋体"/>
          <w:b/>
          <w:bCs/>
          <w:color w:val="auto"/>
          <w:sz w:val="24"/>
          <w:szCs w:val="24"/>
        </w:rPr>
      </w:pPr>
    </w:p>
    <w:p w14:paraId="495BB3A2">
      <w:pPr>
        <w:spacing w:line="500" w:lineRule="exact"/>
        <w:ind w:firstLine="480"/>
        <w:jc w:val="center"/>
        <w:rPr>
          <w:rFonts w:ascii="宋体" w:hAnsi="宋体" w:cs="宋体"/>
          <w:b/>
          <w:bCs/>
          <w:color w:val="auto"/>
          <w:sz w:val="24"/>
          <w:szCs w:val="24"/>
        </w:rPr>
      </w:pPr>
    </w:p>
    <w:p w14:paraId="7451FA63">
      <w:pPr>
        <w:spacing w:line="500" w:lineRule="exact"/>
        <w:ind w:firstLine="480"/>
        <w:jc w:val="center"/>
        <w:rPr>
          <w:rFonts w:ascii="宋体" w:hAnsi="宋体" w:cs="宋体"/>
          <w:b/>
          <w:bCs/>
          <w:color w:val="auto"/>
          <w:sz w:val="24"/>
          <w:szCs w:val="24"/>
        </w:rPr>
      </w:pPr>
    </w:p>
    <w:p w14:paraId="47434033">
      <w:pPr>
        <w:spacing w:line="500" w:lineRule="exact"/>
        <w:ind w:firstLine="480"/>
        <w:jc w:val="center"/>
        <w:rPr>
          <w:rFonts w:ascii="宋体" w:hAnsi="宋体" w:cs="宋体"/>
          <w:b/>
          <w:bCs/>
          <w:color w:val="auto"/>
          <w:sz w:val="24"/>
          <w:szCs w:val="24"/>
        </w:rPr>
      </w:pPr>
    </w:p>
    <w:p w14:paraId="0EBC0510">
      <w:pPr>
        <w:spacing w:line="500" w:lineRule="exact"/>
        <w:ind w:firstLine="480"/>
        <w:jc w:val="center"/>
        <w:rPr>
          <w:rFonts w:ascii="宋体" w:hAnsi="宋体" w:cs="宋体"/>
          <w:b/>
          <w:bCs/>
          <w:color w:val="auto"/>
          <w:sz w:val="24"/>
          <w:szCs w:val="24"/>
        </w:rPr>
      </w:pPr>
    </w:p>
    <w:p w14:paraId="7B76FF7C">
      <w:pPr>
        <w:spacing w:line="500" w:lineRule="exact"/>
        <w:ind w:firstLine="480"/>
        <w:jc w:val="center"/>
        <w:rPr>
          <w:rFonts w:ascii="宋体" w:hAnsi="宋体" w:cs="宋体"/>
          <w:b/>
          <w:bCs/>
          <w:color w:val="auto"/>
          <w:sz w:val="24"/>
          <w:szCs w:val="24"/>
        </w:rPr>
      </w:pPr>
    </w:p>
    <w:p w14:paraId="5A01D3C9">
      <w:pPr>
        <w:spacing w:line="500" w:lineRule="exact"/>
        <w:ind w:firstLine="480"/>
        <w:jc w:val="center"/>
        <w:rPr>
          <w:rFonts w:ascii="宋体" w:hAnsi="宋体" w:cs="宋体"/>
          <w:b/>
          <w:bCs/>
          <w:color w:val="auto"/>
          <w:sz w:val="24"/>
          <w:szCs w:val="24"/>
        </w:rPr>
      </w:pPr>
    </w:p>
    <w:p w14:paraId="3B7EDC5F">
      <w:pPr>
        <w:spacing w:line="500" w:lineRule="exact"/>
        <w:ind w:firstLine="480"/>
        <w:jc w:val="center"/>
        <w:rPr>
          <w:rFonts w:ascii="宋体" w:hAnsi="宋体" w:eastAsia="宋体" w:cs="宋体"/>
          <w:b/>
          <w:bCs/>
          <w:color w:val="auto"/>
          <w:sz w:val="24"/>
          <w:szCs w:val="24"/>
        </w:rPr>
      </w:pPr>
    </w:p>
    <w:p w14:paraId="1D34944E">
      <w:pPr>
        <w:spacing w:line="500" w:lineRule="exact"/>
        <w:ind w:firstLine="480"/>
        <w:jc w:val="center"/>
        <w:rPr>
          <w:rFonts w:ascii="宋体" w:hAnsi="宋体" w:eastAsia="宋体" w:cs="宋体"/>
          <w:b/>
          <w:bCs/>
          <w:color w:val="auto"/>
          <w:sz w:val="24"/>
          <w:szCs w:val="24"/>
        </w:rPr>
      </w:pPr>
    </w:p>
    <w:p w14:paraId="65B54AF3">
      <w:pPr>
        <w:spacing w:line="500" w:lineRule="exact"/>
        <w:ind w:firstLine="480"/>
        <w:jc w:val="center"/>
        <w:rPr>
          <w:rFonts w:ascii="宋体" w:hAnsi="宋体" w:eastAsia="宋体" w:cs="宋体"/>
          <w:b/>
          <w:bCs/>
          <w:color w:val="auto"/>
          <w:sz w:val="24"/>
          <w:szCs w:val="24"/>
        </w:rPr>
      </w:pPr>
    </w:p>
    <w:p w14:paraId="4A1B263E">
      <w:pPr>
        <w:spacing w:line="500" w:lineRule="exact"/>
        <w:ind w:firstLine="480"/>
        <w:jc w:val="center"/>
        <w:rPr>
          <w:rFonts w:ascii="宋体" w:hAnsi="宋体" w:eastAsia="宋体" w:cs="宋体"/>
          <w:b/>
          <w:bCs/>
          <w:color w:val="auto"/>
          <w:sz w:val="24"/>
          <w:szCs w:val="24"/>
        </w:rPr>
      </w:pPr>
    </w:p>
    <w:p w14:paraId="17AE2096">
      <w:pPr>
        <w:spacing w:line="500" w:lineRule="exact"/>
        <w:ind w:firstLine="480"/>
        <w:jc w:val="center"/>
        <w:rPr>
          <w:rFonts w:ascii="宋体" w:hAnsi="宋体" w:eastAsia="宋体" w:cs="宋体"/>
          <w:b/>
          <w:bCs/>
          <w:color w:val="auto"/>
          <w:sz w:val="24"/>
          <w:szCs w:val="24"/>
        </w:rPr>
      </w:pPr>
    </w:p>
    <w:p w14:paraId="217776F0">
      <w:pPr>
        <w:spacing w:line="500" w:lineRule="exact"/>
        <w:ind w:firstLine="480"/>
        <w:jc w:val="center"/>
        <w:rPr>
          <w:rFonts w:ascii="宋体" w:hAnsi="宋体" w:eastAsia="宋体" w:cs="宋体"/>
          <w:b/>
          <w:bCs/>
          <w:color w:val="auto"/>
          <w:sz w:val="24"/>
          <w:szCs w:val="24"/>
        </w:rPr>
      </w:pPr>
    </w:p>
    <w:p w14:paraId="388EA080">
      <w:pPr>
        <w:spacing w:line="500" w:lineRule="exact"/>
        <w:ind w:firstLine="480"/>
        <w:jc w:val="center"/>
        <w:rPr>
          <w:rFonts w:ascii="宋体" w:hAnsi="宋体" w:eastAsia="宋体" w:cs="宋体"/>
          <w:b/>
          <w:bCs/>
          <w:color w:val="auto"/>
          <w:sz w:val="24"/>
          <w:szCs w:val="24"/>
        </w:rPr>
      </w:pPr>
    </w:p>
    <w:p w14:paraId="0F1069EF">
      <w:pPr>
        <w:spacing w:line="500" w:lineRule="exact"/>
        <w:ind w:firstLine="480"/>
        <w:jc w:val="center"/>
        <w:rPr>
          <w:rFonts w:ascii="宋体" w:hAnsi="宋体" w:eastAsia="宋体" w:cs="宋体"/>
          <w:b/>
          <w:bCs/>
          <w:color w:val="auto"/>
          <w:sz w:val="24"/>
          <w:szCs w:val="24"/>
        </w:rPr>
      </w:pPr>
    </w:p>
    <w:p w14:paraId="7B403060">
      <w:pPr>
        <w:spacing w:line="500" w:lineRule="exact"/>
        <w:ind w:firstLine="480"/>
        <w:jc w:val="center"/>
        <w:rPr>
          <w:rFonts w:ascii="宋体" w:hAnsi="宋体" w:eastAsia="宋体" w:cs="宋体"/>
          <w:b/>
          <w:bCs/>
          <w:color w:val="auto"/>
          <w:sz w:val="24"/>
          <w:szCs w:val="24"/>
        </w:rPr>
      </w:pPr>
    </w:p>
    <w:p w14:paraId="05E211E4">
      <w:pPr>
        <w:spacing w:line="500" w:lineRule="exact"/>
        <w:ind w:firstLine="480"/>
        <w:jc w:val="center"/>
        <w:rPr>
          <w:rFonts w:ascii="宋体" w:hAnsi="宋体" w:eastAsia="宋体" w:cs="宋体"/>
          <w:b/>
          <w:bCs/>
          <w:color w:val="auto"/>
          <w:sz w:val="24"/>
          <w:szCs w:val="24"/>
        </w:rPr>
      </w:pPr>
    </w:p>
    <w:p w14:paraId="5DCD86BA">
      <w:pPr>
        <w:spacing w:line="500" w:lineRule="exact"/>
        <w:ind w:firstLine="480"/>
        <w:jc w:val="center"/>
        <w:rPr>
          <w:rFonts w:ascii="宋体" w:hAnsi="宋体" w:eastAsia="宋体" w:cs="宋体"/>
          <w:b/>
          <w:bCs/>
          <w:color w:val="auto"/>
          <w:sz w:val="24"/>
          <w:szCs w:val="24"/>
        </w:rPr>
      </w:pPr>
    </w:p>
    <w:p w14:paraId="7FB8D439">
      <w:pPr>
        <w:widowControl w:val="0"/>
        <w:spacing w:after="0"/>
        <w:jc w:val="center"/>
        <w:rPr>
          <w:rFonts w:ascii="宋体" w:hAnsi="宋体" w:eastAsia="宋体" w:cs="宋体"/>
          <w:b/>
          <w:bCs/>
          <w:color w:val="auto"/>
          <w:spacing w:val="-20"/>
          <w:kern w:val="44"/>
          <w:sz w:val="48"/>
          <w:szCs w:val="48"/>
          <w:lang w:val="en-US" w:eastAsia="zh-CN" w:bidi="ar-SA"/>
        </w:rPr>
      </w:pPr>
    </w:p>
    <w:p w14:paraId="4D9EA2AF">
      <w:pPr>
        <w:widowControl w:val="0"/>
        <w:spacing w:after="0"/>
        <w:jc w:val="center"/>
        <w:rPr>
          <w:rFonts w:hint="eastAsia" w:ascii="宋体" w:hAnsi="宋体" w:eastAsia="宋体" w:cs="宋体"/>
          <w:b/>
          <w:bCs/>
          <w:color w:val="auto"/>
          <w:spacing w:val="-20"/>
          <w:kern w:val="44"/>
          <w:sz w:val="48"/>
          <w:szCs w:val="48"/>
          <w:lang w:val="en-US" w:eastAsia="zh-CN" w:bidi="ar-SA"/>
        </w:rPr>
      </w:pPr>
      <w:r>
        <w:rPr>
          <w:rFonts w:hint="eastAsia" w:ascii="宋体" w:hAnsi="宋体" w:eastAsia="宋体" w:cs="宋体"/>
          <w:b/>
          <w:bCs/>
          <w:color w:val="auto"/>
          <w:spacing w:val="-20"/>
          <w:kern w:val="44"/>
          <w:sz w:val="48"/>
          <w:szCs w:val="48"/>
          <w:lang w:val="en-US" w:eastAsia="zh-CN" w:bidi="ar-SA"/>
        </w:rPr>
        <w:t>政府采购货物买卖合同</w:t>
      </w:r>
    </w:p>
    <w:p w14:paraId="28AA9760">
      <w:pPr>
        <w:widowControl w:val="0"/>
        <w:spacing w:after="0"/>
        <w:jc w:val="center"/>
        <w:rPr>
          <w:rFonts w:hint="eastAsia" w:ascii="宋体" w:hAnsi="宋体" w:eastAsia="宋体" w:cs="宋体"/>
          <w:b/>
          <w:bCs/>
          <w:color w:val="auto"/>
          <w:spacing w:val="-20"/>
          <w:kern w:val="44"/>
          <w:sz w:val="48"/>
          <w:szCs w:val="48"/>
          <w:lang w:val="en-US" w:eastAsia="zh-CN" w:bidi="ar-SA"/>
        </w:rPr>
      </w:pPr>
      <w:r>
        <w:rPr>
          <w:rFonts w:hint="eastAsia" w:ascii="宋体" w:hAnsi="宋体" w:eastAsia="宋体" w:cs="宋体"/>
          <w:b/>
          <w:bCs/>
          <w:color w:val="auto"/>
          <w:spacing w:val="-20"/>
          <w:kern w:val="44"/>
          <w:sz w:val="48"/>
          <w:szCs w:val="48"/>
          <w:lang w:val="en-US" w:eastAsia="zh-CN" w:bidi="ar-SA"/>
        </w:rPr>
        <w:t>（试行）</w:t>
      </w:r>
    </w:p>
    <w:p w14:paraId="5681195B">
      <w:pPr>
        <w:widowControl w:val="0"/>
        <w:spacing w:line="240" w:lineRule="auto"/>
        <w:textAlignment w:val="auto"/>
        <w:rPr>
          <w:rFonts w:ascii="宋体" w:hAnsi="宋体" w:eastAsia="宋体" w:cs="宋体"/>
          <w:b/>
          <w:bCs/>
          <w:color w:val="auto"/>
          <w:spacing w:val="-20"/>
          <w:kern w:val="44"/>
          <w:sz w:val="40"/>
          <w:szCs w:val="40"/>
        </w:rPr>
      </w:pPr>
    </w:p>
    <w:p w14:paraId="7D4883C4">
      <w:pPr>
        <w:widowControl w:val="0"/>
        <w:spacing w:line="240" w:lineRule="auto"/>
        <w:textAlignment w:val="auto"/>
        <w:rPr>
          <w:rFonts w:ascii="宋体" w:hAnsi="宋体" w:eastAsia="宋体" w:cs="宋体"/>
          <w:b/>
          <w:bCs/>
          <w:color w:val="auto"/>
          <w:spacing w:val="-20"/>
          <w:kern w:val="44"/>
          <w:sz w:val="40"/>
          <w:szCs w:val="40"/>
        </w:rPr>
      </w:pPr>
    </w:p>
    <w:p w14:paraId="433CBB32">
      <w:pPr>
        <w:widowControl w:val="0"/>
        <w:spacing w:line="240" w:lineRule="auto"/>
        <w:textAlignment w:val="auto"/>
        <w:rPr>
          <w:rFonts w:ascii="宋体" w:hAnsi="宋体" w:eastAsia="宋体" w:cs="宋体"/>
          <w:b/>
          <w:bCs/>
          <w:color w:val="auto"/>
          <w:spacing w:val="-20"/>
          <w:kern w:val="44"/>
          <w:sz w:val="40"/>
          <w:szCs w:val="40"/>
        </w:rPr>
      </w:pPr>
    </w:p>
    <w:p w14:paraId="64F1D7DC">
      <w:pPr>
        <w:widowControl w:val="0"/>
        <w:spacing w:line="360" w:lineRule="auto"/>
        <w:ind w:left="420" w:leftChars="200"/>
        <w:textAlignment w:val="auto"/>
        <w:rPr>
          <w:rFonts w:eastAsia="宋体"/>
          <w:color w:val="auto"/>
          <w:kern w:val="2"/>
          <w:sz w:val="32"/>
          <w:szCs w:val="32"/>
        </w:rPr>
      </w:pPr>
      <w:r>
        <w:rPr>
          <w:rFonts w:hint="eastAsia" w:ascii="宋体" w:hAnsi="宋体" w:eastAsia="宋体" w:cs="宋体"/>
          <w:color w:val="auto"/>
          <w:kern w:val="0"/>
          <w:sz w:val="32"/>
          <w:szCs w:val="32"/>
        </w:rPr>
        <w:t>项目名称：</w:t>
      </w:r>
      <w:r>
        <w:rPr>
          <w:rFonts w:hint="eastAsia" w:eastAsia="宋体"/>
          <w:color w:val="auto"/>
          <w:kern w:val="2"/>
          <w:sz w:val="32"/>
          <w:szCs w:val="32"/>
          <w:u w:val="single"/>
        </w:rPr>
        <w:t xml:space="preserve">                             </w:t>
      </w:r>
    </w:p>
    <w:p w14:paraId="00581C11">
      <w:pPr>
        <w:widowControl w:val="0"/>
        <w:spacing w:line="360" w:lineRule="auto"/>
        <w:ind w:left="420" w:leftChars="200"/>
        <w:textAlignment w:val="auto"/>
        <w:rPr>
          <w:rFonts w:eastAsia="宋体"/>
          <w:color w:val="auto"/>
          <w:kern w:val="2"/>
          <w:sz w:val="32"/>
          <w:szCs w:val="32"/>
          <w:u w:val="single"/>
        </w:rPr>
      </w:pPr>
      <w:r>
        <w:rPr>
          <w:rFonts w:hint="eastAsia" w:eastAsia="宋体"/>
          <w:color w:val="auto"/>
          <w:kern w:val="2"/>
          <w:sz w:val="32"/>
          <w:szCs w:val="32"/>
        </w:rPr>
        <w:t>合同编号：</w:t>
      </w:r>
      <w:r>
        <w:rPr>
          <w:rFonts w:hint="eastAsia" w:eastAsia="宋体"/>
          <w:color w:val="auto"/>
          <w:kern w:val="2"/>
          <w:sz w:val="32"/>
          <w:szCs w:val="32"/>
          <w:u w:val="single"/>
        </w:rPr>
        <w:t xml:space="preserve">                             </w:t>
      </w:r>
    </w:p>
    <w:p w14:paraId="59760B80">
      <w:pPr>
        <w:widowControl w:val="0"/>
        <w:spacing w:line="360" w:lineRule="auto"/>
        <w:ind w:left="420" w:leftChars="200"/>
        <w:textAlignment w:val="auto"/>
        <w:rPr>
          <w:rFonts w:eastAsia="宋体"/>
          <w:color w:val="auto"/>
          <w:kern w:val="2"/>
          <w:sz w:val="32"/>
          <w:szCs w:val="32"/>
        </w:rPr>
      </w:pPr>
      <w:r>
        <w:rPr>
          <w:rFonts w:hint="eastAsia" w:eastAsia="宋体"/>
          <w:color w:val="auto"/>
          <w:kern w:val="2"/>
          <w:sz w:val="32"/>
          <w:szCs w:val="32"/>
        </w:rPr>
        <w:t>甲    方：</w:t>
      </w:r>
      <w:r>
        <w:rPr>
          <w:rFonts w:hint="eastAsia" w:eastAsia="宋体"/>
          <w:color w:val="auto"/>
          <w:kern w:val="2"/>
          <w:sz w:val="32"/>
          <w:szCs w:val="32"/>
          <w:u w:val="single"/>
        </w:rPr>
        <w:t xml:space="preserve">                             </w:t>
      </w:r>
    </w:p>
    <w:p w14:paraId="56DBB96B">
      <w:pPr>
        <w:widowControl w:val="0"/>
        <w:spacing w:line="360" w:lineRule="auto"/>
        <w:ind w:left="420" w:leftChars="200"/>
        <w:textAlignment w:val="auto"/>
        <w:rPr>
          <w:rFonts w:eastAsia="宋体"/>
          <w:color w:val="auto"/>
          <w:kern w:val="2"/>
          <w:sz w:val="32"/>
          <w:szCs w:val="32"/>
          <w:u w:val="single"/>
        </w:rPr>
      </w:pPr>
      <w:r>
        <w:rPr>
          <w:rFonts w:hint="eastAsia" w:eastAsia="宋体"/>
          <w:color w:val="auto"/>
          <w:kern w:val="2"/>
          <w:sz w:val="32"/>
          <w:szCs w:val="32"/>
        </w:rPr>
        <w:t>乙    方：</w:t>
      </w:r>
      <w:r>
        <w:rPr>
          <w:rFonts w:hint="eastAsia" w:eastAsia="宋体"/>
          <w:color w:val="auto"/>
          <w:kern w:val="2"/>
          <w:sz w:val="32"/>
          <w:szCs w:val="32"/>
          <w:u w:val="single"/>
        </w:rPr>
        <w:t xml:space="preserve">                             </w:t>
      </w:r>
    </w:p>
    <w:p w14:paraId="24958961">
      <w:pPr>
        <w:widowControl w:val="0"/>
        <w:spacing w:line="360" w:lineRule="auto"/>
        <w:ind w:left="420" w:leftChars="200"/>
        <w:textAlignment w:val="auto"/>
        <w:rPr>
          <w:rFonts w:eastAsia="宋体"/>
          <w:color w:val="auto"/>
          <w:kern w:val="2"/>
          <w:sz w:val="32"/>
          <w:szCs w:val="32"/>
        </w:rPr>
      </w:pPr>
      <w:r>
        <w:rPr>
          <w:rFonts w:hint="eastAsia" w:eastAsia="宋体"/>
          <w:color w:val="auto"/>
          <w:kern w:val="2"/>
          <w:sz w:val="32"/>
          <w:szCs w:val="32"/>
        </w:rPr>
        <w:t>签订时间：</w:t>
      </w:r>
      <w:r>
        <w:rPr>
          <w:rFonts w:hint="eastAsia" w:eastAsia="宋体"/>
          <w:color w:val="auto"/>
          <w:kern w:val="2"/>
          <w:sz w:val="32"/>
          <w:szCs w:val="32"/>
          <w:u w:val="single"/>
        </w:rPr>
        <w:t xml:space="preserve">      </w:t>
      </w:r>
      <w:r>
        <w:rPr>
          <w:rFonts w:eastAsia="宋体"/>
          <w:color w:val="auto"/>
          <w:kern w:val="2"/>
          <w:sz w:val="32"/>
          <w:szCs w:val="32"/>
          <w:u w:val="single"/>
        </w:rPr>
        <w:t xml:space="preserve">           </w:t>
      </w:r>
      <w:r>
        <w:rPr>
          <w:rFonts w:hint="eastAsia" w:eastAsia="宋体"/>
          <w:color w:val="auto"/>
          <w:kern w:val="2"/>
          <w:sz w:val="32"/>
          <w:szCs w:val="32"/>
          <w:u w:val="single"/>
        </w:rPr>
        <w:t xml:space="preserve">            </w:t>
      </w:r>
    </w:p>
    <w:p w14:paraId="4AB65248">
      <w:pPr>
        <w:widowControl w:val="0"/>
        <w:spacing w:line="240" w:lineRule="auto"/>
        <w:textAlignment w:val="auto"/>
        <w:rPr>
          <w:rFonts w:eastAsia="宋体"/>
          <w:color w:val="auto"/>
          <w:kern w:val="2"/>
          <w:szCs w:val="24"/>
        </w:rPr>
      </w:pPr>
    </w:p>
    <w:p w14:paraId="528C1F34">
      <w:pPr>
        <w:widowControl w:val="0"/>
        <w:spacing w:line="240" w:lineRule="auto"/>
        <w:textAlignment w:val="auto"/>
        <w:rPr>
          <w:rFonts w:eastAsia="黑体"/>
          <w:color w:val="auto"/>
          <w:kern w:val="2"/>
          <w:sz w:val="44"/>
          <w:szCs w:val="44"/>
        </w:rPr>
      </w:pPr>
      <w:r>
        <w:rPr>
          <w:rFonts w:eastAsia="黑体"/>
          <w:color w:val="auto"/>
          <w:kern w:val="2"/>
          <w:sz w:val="44"/>
          <w:szCs w:val="44"/>
        </w:rPr>
        <w:br w:type="page"/>
      </w:r>
    </w:p>
    <w:p w14:paraId="2FB5BFC1">
      <w:pPr>
        <w:widowControl w:val="0"/>
        <w:spacing w:line="240" w:lineRule="auto"/>
        <w:jc w:val="center"/>
        <w:textAlignment w:val="auto"/>
        <w:rPr>
          <w:rFonts w:hint="eastAsia" w:eastAsia="黑体"/>
          <w:color w:val="auto"/>
          <w:kern w:val="2"/>
          <w:sz w:val="44"/>
          <w:szCs w:val="44"/>
          <w:lang w:eastAsia="zh-CN"/>
        </w:rPr>
      </w:pPr>
      <w:r>
        <w:rPr>
          <w:rFonts w:hint="eastAsia" w:eastAsia="黑体"/>
          <w:color w:val="auto"/>
          <w:kern w:val="2"/>
          <w:sz w:val="44"/>
          <w:szCs w:val="44"/>
          <w:lang w:eastAsia="zh-CN"/>
        </w:rPr>
        <w:t>使</w:t>
      </w:r>
      <w:r>
        <w:rPr>
          <w:rFonts w:hint="eastAsia" w:eastAsia="黑体"/>
          <w:color w:val="auto"/>
          <w:kern w:val="2"/>
          <w:sz w:val="44"/>
          <w:szCs w:val="44"/>
          <w:lang w:val="en-US" w:eastAsia="zh-CN"/>
        </w:rPr>
        <w:t xml:space="preserve"> </w:t>
      </w:r>
      <w:r>
        <w:rPr>
          <w:rFonts w:hint="eastAsia" w:eastAsia="黑体"/>
          <w:color w:val="auto"/>
          <w:kern w:val="2"/>
          <w:sz w:val="44"/>
          <w:szCs w:val="44"/>
          <w:lang w:eastAsia="zh-CN"/>
        </w:rPr>
        <w:t>用</w:t>
      </w:r>
      <w:r>
        <w:rPr>
          <w:rFonts w:hint="eastAsia" w:eastAsia="黑体"/>
          <w:color w:val="auto"/>
          <w:kern w:val="2"/>
          <w:sz w:val="44"/>
          <w:szCs w:val="44"/>
          <w:lang w:val="en-US" w:eastAsia="zh-CN"/>
        </w:rPr>
        <w:t xml:space="preserve"> </w:t>
      </w:r>
      <w:r>
        <w:rPr>
          <w:rFonts w:hint="eastAsia" w:eastAsia="黑体"/>
          <w:color w:val="auto"/>
          <w:kern w:val="2"/>
          <w:sz w:val="44"/>
          <w:szCs w:val="44"/>
          <w:lang w:eastAsia="zh-CN"/>
        </w:rPr>
        <w:t>说</w:t>
      </w:r>
      <w:r>
        <w:rPr>
          <w:rFonts w:hint="eastAsia" w:eastAsia="黑体"/>
          <w:color w:val="auto"/>
          <w:kern w:val="2"/>
          <w:sz w:val="44"/>
          <w:szCs w:val="44"/>
          <w:lang w:val="en-US" w:eastAsia="zh-CN"/>
        </w:rPr>
        <w:t xml:space="preserve"> </w:t>
      </w:r>
      <w:r>
        <w:rPr>
          <w:rFonts w:hint="eastAsia" w:eastAsia="黑体"/>
          <w:color w:val="auto"/>
          <w:kern w:val="2"/>
          <w:sz w:val="44"/>
          <w:szCs w:val="44"/>
          <w:lang w:eastAsia="zh-CN"/>
        </w:rPr>
        <w:t>明</w:t>
      </w:r>
    </w:p>
    <w:p w14:paraId="10B0D670">
      <w:pPr>
        <w:widowControl w:val="0"/>
        <w:spacing w:line="240" w:lineRule="auto"/>
        <w:ind w:firstLine="640" w:firstLineChars="200"/>
        <w:textAlignment w:val="auto"/>
        <w:rPr>
          <w:rFonts w:hint="eastAsia" w:ascii="仿宋_GB2312" w:hAnsi="仿宋_GB2312" w:eastAsia="仿宋_GB2312" w:cs="仿宋_GB2312"/>
          <w:color w:val="auto"/>
          <w:kern w:val="2"/>
          <w:sz w:val="32"/>
          <w:szCs w:val="32"/>
          <w:lang w:val="en-US" w:eastAsia="zh-CN"/>
        </w:rPr>
      </w:pPr>
    </w:p>
    <w:p w14:paraId="161244CB">
      <w:pPr>
        <w:widowControl w:val="0"/>
        <w:spacing w:line="240" w:lineRule="auto"/>
        <w:ind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1.本合同标准文本适用于购买现成货物的采购项目，不包括需要供应商定制开发、创新研发的货物采购项目。</w:t>
      </w:r>
    </w:p>
    <w:p w14:paraId="79AF02B0">
      <w:pPr>
        <w:widowControl w:val="0"/>
        <w:spacing w:line="240" w:lineRule="auto"/>
        <w:ind w:firstLine="0" w:firstLineChars="0"/>
        <w:textAlignment w:val="auto"/>
        <w:rPr>
          <w:rFonts w:hint="default" w:eastAsia="黑体"/>
          <w:color w:val="auto"/>
          <w:kern w:val="2"/>
          <w:sz w:val="44"/>
          <w:szCs w:val="44"/>
          <w:lang w:val="en-US" w:eastAsia="zh-CN"/>
        </w:rPr>
      </w:pPr>
      <w:r>
        <w:rPr>
          <w:rFonts w:hint="eastAsia" w:eastAsia="黑体"/>
          <w:color w:val="auto"/>
          <w:kern w:val="2"/>
          <w:sz w:val="44"/>
          <w:szCs w:val="44"/>
          <w:lang w:val="en-US" w:eastAsia="zh-CN"/>
        </w:rPr>
        <w:t xml:space="preserve">   </w:t>
      </w:r>
      <w:r>
        <w:rPr>
          <w:rFonts w:hint="eastAsia" w:ascii="仿宋_GB2312" w:hAnsi="仿宋_GB2312" w:eastAsia="仿宋_GB2312" w:cs="仿宋_GB2312"/>
          <w:color w:val="auto"/>
          <w:kern w:val="2"/>
          <w:sz w:val="32"/>
          <w:szCs w:val="32"/>
          <w:lang w:val="en-US" w:eastAsia="zh-CN"/>
        </w:rPr>
        <w:t>2.本合同标准文本为政府采购货物买卖合同编制提供参考，可以结合采购项目具体情况，对文本作必要的调整修订后使用。</w:t>
      </w:r>
    </w:p>
    <w:p w14:paraId="5DB534AF">
      <w:pPr>
        <w:pStyle w:val="28"/>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3.本合同标准文本各条款中，如涉及填写多家供应商、制造商，多种采购标的、分包主要内容等信息的，可根据采购项目具体情况添加信息项。</w:t>
      </w:r>
    </w:p>
    <w:p w14:paraId="4362AA18">
      <w:pPr>
        <w:rPr>
          <w:rFonts w:hint="eastAsia" w:ascii="仿宋_GB2312" w:hAnsi="仿宋_GB2312" w:eastAsia="仿宋_GB2312" w:cs="仿宋_GB2312"/>
          <w:color w:val="auto"/>
          <w:kern w:val="2"/>
          <w:sz w:val="32"/>
          <w:szCs w:val="32"/>
          <w:lang w:val="en-US" w:eastAsia="zh-CN"/>
        </w:rPr>
      </w:pPr>
    </w:p>
    <w:p w14:paraId="1E9FF3EE">
      <w:pPr>
        <w:pStyle w:val="46"/>
        <w:rPr>
          <w:rFonts w:hint="eastAsia" w:ascii="仿宋_GB2312" w:hAnsi="仿宋_GB2312" w:eastAsia="仿宋_GB2312" w:cs="仿宋_GB2312"/>
          <w:color w:val="auto"/>
          <w:kern w:val="2"/>
          <w:sz w:val="32"/>
          <w:szCs w:val="32"/>
          <w:lang w:val="en-US" w:eastAsia="zh-CN"/>
        </w:rPr>
      </w:pPr>
    </w:p>
    <w:p w14:paraId="255699F2">
      <w:pPr>
        <w:pStyle w:val="46"/>
        <w:rPr>
          <w:rFonts w:hint="eastAsia" w:ascii="仿宋_GB2312" w:hAnsi="仿宋_GB2312" w:eastAsia="仿宋_GB2312" w:cs="仿宋_GB2312"/>
          <w:color w:val="auto"/>
          <w:kern w:val="2"/>
          <w:sz w:val="32"/>
          <w:szCs w:val="32"/>
          <w:lang w:val="en-US" w:eastAsia="zh-CN"/>
        </w:rPr>
      </w:pPr>
    </w:p>
    <w:p w14:paraId="09B080A0">
      <w:pPr>
        <w:pStyle w:val="46"/>
        <w:rPr>
          <w:rFonts w:hint="eastAsia" w:ascii="仿宋_GB2312" w:hAnsi="仿宋_GB2312" w:eastAsia="仿宋_GB2312" w:cs="仿宋_GB2312"/>
          <w:color w:val="auto"/>
          <w:kern w:val="2"/>
          <w:sz w:val="32"/>
          <w:szCs w:val="32"/>
          <w:lang w:val="en-US" w:eastAsia="zh-CN"/>
        </w:rPr>
      </w:pPr>
    </w:p>
    <w:p w14:paraId="06BAEDB3">
      <w:pPr>
        <w:pStyle w:val="46"/>
        <w:rPr>
          <w:rFonts w:hint="eastAsia" w:ascii="仿宋_GB2312" w:hAnsi="仿宋_GB2312" w:eastAsia="仿宋_GB2312" w:cs="仿宋_GB2312"/>
          <w:color w:val="auto"/>
          <w:kern w:val="2"/>
          <w:sz w:val="32"/>
          <w:szCs w:val="32"/>
          <w:lang w:val="en-US" w:eastAsia="zh-CN"/>
        </w:rPr>
      </w:pPr>
    </w:p>
    <w:p w14:paraId="21134053">
      <w:pPr>
        <w:pStyle w:val="46"/>
        <w:rPr>
          <w:rFonts w:hint="eastAsia" w:ascii="仿宋_GB2312" w:hAnsi="仿宋_GB2312" w:eastAsia="仿宋_GB2312" w:cs="仿宋_GB2312"/>
          <w:color w:val="auto"/>
          <w:kern w:val="2"/>
          <w:sz w:val="32"/>
          <w:szCs w:val="32"/>
          <w:lang w:val="en-US" w:eastAsia="zh-CN"/>
        </w:rPr>
      </w:pPr>
    </w:p>
    <w:p w14:paraId="21CF5BF3">
      <w:pPr>
        <w:pStyle w:val="46"/>
        <w:rPr>
          <w:rFonts w:hint="eastAsia" w:ascii="仿宋_GB2312" w:hAnsi="仿宋_GB2312" w:eastAsia="仿宋_GB2312" w:cs="仿宋_GB2312"/>
          <w:color w:val="auto"/>
          <w:kern w:val="2"/>
          <w:sz w:val="32"/>
          <w:szCs w:val="32"/>
          <w:lang w:val="en-US" w:eastAsia="zh-CN"/>
        </w:rPr>
      </w:pPr>
    </w:p>
    <w:p w14:paraId="4790BEF5">
      <w:pPr>
        <w:pStyle w:val="46"/>
        <w:rPr>
          <w:rFonts w:hint="eastAsia" w:ascii="仿宋_GB2312" w:hAnsi="仿宋_GB2312" w:eastAsia="仿宋_GB2312" w:cs="仿宋_GB2312"/>
          <w:color w:val="auto"/>
          <w:kern w:val="2"/>
          <w:sz w:val="32"/>
          <w:szCs w:val="32"/>
          <w:lang w:val="en-US" w:eastAsia="zh-CN"/>
        </w:rPr>
      </w:pPr>
    </w:p>
    <w:p w14:paraId="7883C291">
      <w:pPr>
        <w:pStyle w:val="46"/>
        <w:rPr>
          <w:rFonts w:hint="eastAsia" w:ascii="仿宋_GB2312" w:hAnsi="仿宋_GB2312" w:eastAsia="仿宋_GB2312" w:cs="仿宋_GB2312"/>
          <w:color w:val="auto"/>
          <w:kern w:val="2"/>
          <w:sz w:val="32"/>
          <w:szCs w:val="32"/>
          <w:lang w:val="en-US" w:eastAsia="zh-CN"/>
        </w:rPr>
      </w:pPr>
    </w:p>
    <w:p w14:paraId="21C7BB81">
      <w:pPr>
        <w:pStyle w:val="46"/>
        <w:rPr>
          <w:rFonts w:hint="eastAsia" w:ascii="仿宋_GB2312" w:hAnsi="仿宋_GB2312" w:eastAsia="仿宋_GB2312" w:cs="仿宋_GB2312"/>
          <w:color w:val="auto"/>
          <w:kern w:val="2"/>
          <w:sz w:val="32"/>
          <w:szCs w:val="32"/>
          <w:lang w:val="en-US" w:eastAsia="zh-CN"/>
        </w:rPr>
      </w:pPr>
    </w:p>
    <w:p w14:paraId="64DE22B5">
      <w:pPr>
        <w:pStyle w:val="46"/>
        <w:rPr>
          <w:rFonts w:hint="eastAsia" w:ascii="仿宋_GB2312" w:hAnsi="仿宋_GB2312" w:eastAsia="仿宋_GB2312" w:cs="仿宋_GB2312"/>
          <w:color w:val="auto"/>
          <w:kern w:val="2"/>
          <w:sz w:val="32"/>
          <w:szCs w:val="32"/>
          <w:lang w:val="en-US" w:eastAsia="zh-CN"/>
        </w:rPr>
      </w:pPr>
    </w:p>
    <w:p w14:paraId="21BA8519">
      <w:pPr>
        <w:pStyle w:val="46"/>
        <w:rPr>
          <w:rFonts w:hint="eastAsia" w:ascii="仿宋_GB2312" w:hAnsi="仿宋_GB2312" w:eastAsia="仿宋_GB2312" w:cs="仿宋_GB2312"/>
          <w:color w:val="auto"/>
          <w:kern w:val="2"/>
          <w:sz w:val="32"/>
          <w:szCs w:val="32"/>
          <w:lang w:val="en-US" w:eastAsia="zh-CN"/>
        </w:rPr>
      </w:pPr>
    </w:p>
    <w:p w14:paraId="71EB40E8">
      <w:pPr>
        <w:pStyle w:val="46"/>
        <w:rPr>
          <w:rFonts w:hint="eastAsia" w:ascii="仿宋_GB2312" w:hAnsi="仿宋_GB2312" w:eastAsia="仿宋_GB2312" w:cs="仿宋_GB2312"/>
          <w:color w:val="auto"/>
          <w:kern w:val="2"/>
          <w:sz w:val="32"/>
          <w:szCs w:val="32"/>
          <w:lang w:val="en-US" w:eastAsia="zh-CN"/>
        </w:rPr>
      </w:pPr>
    </w:p>
    <w:p w14:paraId="4210FA07">
      <w:pPr>
        <w:pStyle w:val="46"/>
        <w:rPr>
          <w:rFonts w:hint="eastAsia" w:ascii="仿宋_GB2312" w:hAnsi="仿宋_GB2312" w:eastAsia="仿宋_GB2312" w:cs="仿宋_GB2312"/>
          <w:color w:val="auto"/>
          <w:kern w:val="2"/>
          <w:sz w:val="32"/>
          <w:szCs w:val="32"/>
          <w:lang w:val="en-US" w:eastAsia="zh-CN"/>
        </w:rPr>
      </w:pPr>
    </w:p>
    <w:p w14:paraId="27A93C77">
      <w:pPr>
        <w:pStyle w:val="46"/>
        <w:rPr>
          <w:rFonts w:hint="eastAsia" w:ascii="仿宋_GB2312" w:hAnsi="仿宋_GB2312" w:eastAsia="仿宋_GB2312" w:cs="仿宋_GB2312"/>
          <w:color w:val="auto"/>
          <w:kern w:val="2"/>
          <w:sz w:val="32"/>
          <w:szCs w:val="32"/>
          <w:lang w:val="en-US" w:eastAsia="zh-CN"/>
        </w:rPr>
      </w:pPr>
    </w:p>
    <w:p w14:paraId="49A55713">
      <w:pPr>
        <w:pStyle w:val="46"/>
        <w:rPr>
          <w:rFonts w:hint="eastAsia" w:ascii="仿宋_GB2312" w:hAnsi="仿宋_GB2312" w:eastAsia="仿宋_GB2312" w:cs="仿宋_GB2312"/>
          <w:color w:val="auto"/>
          <w:kern w:val="2"/>
          <w:sz w:val="32"/>
          <w:szCs w:val="32"/>
          <w:lang w:val="en-US" w:eastAsia="zh-CN"/>
        </w:rPr>
      </w:pPr>
    </w:p>
    <w:p w14:paraId="08F5FCFB">
      <w:pPr>
        <w:pStyle w:val="46"/>
        <w:rPr>
          <w:rFonts w:hint="eastAsia" w:ascii="仿宋_GB2312" w:hAnsi="仿宋_GB2312" w:eastAsia="仿宋_GB2312" w:cs="仿宋_GB2312"/>
          <w:color w:val="auto"/>
          <w:kern w:val="2"/>
          <w:sz w:val="32"/>
          <w:szCs w:val="32"/>
          <w:lang w:val="en-US" w:eastAsia="zh-CN"/>
        </w:rPr>
      </w:pPr>
    </w:p>
    <w:p w14:paraId="3064F895">
      <w:pPr>
        <w:pStyle w:val="46"/>
        <w:rPr>
          <w:rFonts w:hint="eastAsia" w:ascii="仿宋_GB2312" w:hAnsi="仿宋_GB2312" w:eastAsia="仿宋_GB2312" w:cs="仿宋_GB2312"/>
          <w:color w:val="auto"/>
          <w:kern w:val="2"/>
          <w:sz w:val="32"/>
          <w:szCs w:val="32"/>
          <w:lang w:val="en-US" w:eastAsia="zh-CN"/>
        </w:rPr>
      </w:pPr>
    </w:p>
    <w:p w14:paraId="576F9FDF">
      <w:pPr>
        <w:pStyle w:val="46"/>
        <w:rPr>
          <w:rFonts w:hint="eastAsia" w:ascii="仿宋_GB2312" w:hAnsi="仿宋_GB2312" w:eastAsia="仿宋_GB2312" w:cs="仿宋_GB2312"/>
          <w:color w:val="auto"/>
          <w:kern w:val="2"/>
          <w:sz w:val="32"/>
          <w:szCs w:val="32"/>
          <w:lang w:val="en-US" w:eastAsia="zh-CN"/>
        </w:rPr>
      </w:pPr>
    </w:p>
    <w:p w14:paraId="1F150BBE">
      <w:pPr>
        <w:pStyle w:val="46"/>
        <w:rPr>
          <w:rFonts w:hint="eastAsia" w:ascii="仿宋_GB2312" w:hAnsi="仿宋_GB2312" w:eastAsia="仿宋_GB2312" w:cs="仿宋_GB2312"/>
          <w:color w:val="auto"/>
          <w:kern w:val="2"/>
          <w:sz w:val="32"/>
          <w:szCs w:val="32"/>
          <w:lang w:val="en-US" w:eastAsia="zh-CN"/>
        </w:rPr>
      </w:pPr>
    </w:p>
    <w:p w14:paraId="69DE72CD">
      <w:pPr>
        <w:widowControl w:val="0"/>
        <w:bidi w:val="0"/>
        <w:spacing w:line="240" w:lineRule="auto"/>
        <w:jc w:val="center"/>
        <w:textAlignment w:val="auto"/>
        <w:rPr>
          <w:rFonts w:hint="eastAsia" w:eastAsia="宋体"/>
          <w:color w:val="auto"/>
          <w:kern w:val="2"/>
          <w:sz w:val="32"/>
          <w:szCs w:val="32"/>
        </w:rPr>
      </w:pPr>
      <w:bookmarkStart w:id="317" w:name="_Toc22209"/>
      <w:r>
        <w:rPr>
          <w:rFonts w:hint="eastAsia" w:eastAsia="宋体"/>
          <w:color w:val="auto"/>
          <w:kern w:val="2"/>
          <w:sz w:val="32"/>
          <w:szCs w:val="32"/>
        </w:rPr>
        <w:t>第一节 政府采购合同协议书</w:t>
      </w:r>
      <w:bookmarkEnd w:id="317"/>
    </w:p>
    <w:p w14:paraId="6ED24873">
      <w:pPr>
        <w:widowControl w:val="0"/>
        <w:bidi w:val="0"/>
        <w:spacing w:line="240" w:lineRule="auto"/>
        <w:jc w:val="center"/>
        <w:textAlignment w:val="auto"/>
        <w:rPr>
          <w:rFonts w:hint="eastAsia" w:eastAsia="宋体"/>
          <w:color w:val="auto"/>
          <w:kern w:val="2"/>
          <w:sz w:val="32"/>
          <w:szCs w:val="32"/>
        </w:rPr>
      </w:pPr>
    </w:p>
    <w:p w14:paraId="27ECA41F">
      <w:pPr>
        <w:widowControl w:val="0"/>
        <w:adjustRightInd w:val="0"/>
        <w:snapToGrid w:val="0"/>
        <w:spacing w:before="0" w:beforeLines="0" w:line="400" w:lineRule="exact"/>
        <w:textAlignment w:val="auto"/>
        <w:rPr>
          <w:rFonts w:ascii="宋体" w:hAnsi="宋体" w:eastAsia="宋体"/>
          <w:color w:val="auto"/>
          <w:kern w:val="2"/>
          <w:szCs w:val="21"/>
        </w:rPr>
      </w:pPr>
      <w:r>
        <w:rPr>
          <w:rFonts w:hint="eastAsia" w:ascii="宋体" w:hAnsi="宋体" w:eastAsia="宋体"/>
          <w:color w:val="auto"/>
          <w:kern w:val="2"/>
          <w:szCs w:val="21"/>
        </w:rPr>
        <w:t>甲方（全称）：</w:t>
      </w:r>
      <w:r>
        <w:rPr>
          <w:rFonts w:hint="eastAsia" w:ascii="宋体" w:hAnsi="宋体" w:eastAsia="宋体"/>
          <w:color w:val="auto"/>
          <w:kern w:val="2"/>
          <w:szCs w:val="21"/>
          <w:u w:val="single"/>
        </w:rPr>
        <w:t xml:space="preserve">                        </w:t>
      </w:r>
      <w:r>
        <w:rPr>
          <w:rFonts w:hint="eastAsia" w:ascii="宋体" w:hAnsi="宋体" w:eastAsia="宋体"/>
          <w:color w:val="auto"/>
          <w:kern w:val="2"/>
          <w:szCs w:val="21"/>
        </w:rPr>
        <w:t>（采购人</w:t>
      </w:r>
      <w:r>
        <w:rPr>
          <w:rFonts w:hint="eastAsia" w:ascii="宋体" w:hAnsi="宋体" w:eastAsia="宋体"/>
          <w:color w:val="auto"/>
          <w:kern w:val="2"/>
          <w:szCs w:val="21"/>
          <w:lang w:eastAsia="zh-CN"/>
        </w:rPr>
        <w:t>、受采购人委托签订合同的单位</w:t>
      </w:r>
      <w:r>
        <w:rPr>
          <w:rFonts w:hint="eastAsia" w:ascii="宋体" w:hAnsi="宋体" w:eastAsia="宋体"/>
          <w:color w:val="auto"/>
          <w:kern w:val="2"/>
          <w:szCs w:val="21"/>
        </w:rPr>
        <w:t>或采购</w:t>
      </w:r>
      <w:r>
        <w:rPr>
          <w:rFonts w:hint="eastAsia" w:ascii="宋体" w:hAnsi="宋体" w:eastAsia="宋体"/>
          <w:color w:val="auto"/>
          <w:kern w:val="2"/>
          <w:szCs w:val="21"/>
          <w:lang w:val="en-US" w:eastAsia="zh-CN"/>
        </w:rPr>
        <w:tab/>
      </w:r>
      <w:r>
        <w:rPr>
          <w:rFonts w:hint="eastAsia" w:ascii="宋体" w:hAnsi="宋体" w:eastAsia="宋体"/>
          <w:color w:val="auto"/>
          <w:kern w:val="2"/>
          <w:szCs w:val="21"/>
          <w:lang w:val="en-US" w:eastAsia="zh-CN"/>
        </w:rPr>
        <w:t xml:space="preserve">                                   </w:t>
      </w:r>
      <w:r>
        <w:rPr>
          <w:rFonts w:hint="eastAsia" w:ascii="宋体" w:hAnsi="宋体" w:eastAsia="宋体"/>
          <w:color w:val="auto"/>
          <w:kern w:val="2"/>
          <w:szCs w:val="21"/>
        </w:rPr>
        <w:t>文件约定的合同甲方）</w:t>
      </w:r>
    </w:p>
    <w:p w14:paraId="4903D5E1">
      <w:pPr>
        <w:widowControl w:val="0"/>
        <w:adjustRightInd w:val="0"/>
        <w:snapToGrid w:val="0"/>
        <w:spacing w:before="0" w:beforeLines="0" w:line="400" w:lineRule="exact"/>
        <w:textAlignment w:val="auto"/>
        <w:rPr>
          <w:rFonts w:ascii="宋体" w:hAnsi="宋体" w:eastAsia="宋体"/>
          <w:color w:val="auto"/>
          <w:kern w:val="2"/>
          <w:szCs w:val="21"/>
        </w:rPr>
      </w:pPr>
      <w:r>
        <w:rPr>
          <w:rFonts w:hint="eastAsia" w:ascii="宋体" w:hAnsi="宋体" w:eastAsia="宋体"/>
          <w:color w:val="auto"/>
          <w:kern w:val="2"/>
          <w:szCs w:val="21"/>
        </w:rPr>
        <w:t>乙方</w:t>
      </w:r>
      <w:r>
        <w:rPr>
          <w:rFonts w:hint="eastAsia" w:ascii="宋体" w:hAnsi="宋体" w:eastAsia="宋体"/>
          <w:color w:val="auto"/>
          <w:kern w:val="2"/>
          <w:szCs w:val="21"/>
          <w:lang w:val="en-US" w:eastAsia="zh-CN"/>
        </w:rPr>
        <w:t>1</w:t>
      </w:r>
      <w:r>
        <w:rPr>
          <w:rFonts w:hint="eastAsia" w:ascii="宋体" w:hAnsi="宋体" w:eastAsia="宋体"/>
          <w:color w:val="auto"/>
          <w:kern w:val="2"/>
          <w:szCs w:val="21"/>
        </w:rPr>
        <w:t>（全称）：</w:t>
      </w:r>
      <w:r>
        <w:rPr>
          <w:rFonts w:hint="eastAsia" w:ascii="宋体" w:hAnsi="宋体" w:eastAsia="宋体"/>
          <w:color w:val="auto"/>
          <w:kern w:val="2"/>
          <w:szCs w:val="21"/>
          <w:u w:val="single"/>
        </w:rPr>
        <w:t xml:space="preserve">                       </w:t>
      </w:r>
      <w:r>
        <w:rPr>
          <w:rFonts w:hint="eastAsia" w:ascii="宋体" w:hAnsi="宋体" w:eastAsia="宋体"/>
          <w:color w:val="auto"/>
          <w:kern w:val="2"/>
          <w:szCs w:val="21"/>
        </w:rPr>
        <w:t>（供应商）</w:t>
      </w:r>
    </w:p>
    <w:p w14:paraId="62C9C1A6">
      <w:pPr>
        <w:widowControl w:val="0"/>
        <w:adjustRightInd w:val="0"/>
        <w:snapToGrid w:val="0"/>
        <w:spacing w:before="0" w:beforeLines="0" w:line="400" w:lineRule="exact"/>
        <w:textAlignment w:val="auto"/>
        <w:rPr>
          <w:rFonts w:hint="eastAsia" w:ascii="宋体" w:hAnsi="宋体" w:eastAsia="宋体"/>
          <w:color w:val="auto"/>
          <w:kern w:val="2"/>
          <w:szCs w:val="21"/>
        </w:rPr>
      </w:pPr>
      <w:r>
        <w:rPr>
          <w:rFonts w:hint="eastAsia" w:ascii="宋体" w:hAnsi="宋体" w:eastAsia="宋体"/>
          <w:color w:val="auto"/>
          <w:kern w:val="2"/>
          <w:szCs w:val="21"/>
        </w:rPr>
        <w:t>乙方2（全称）：</w:t>
      </w:r>
      <w:r>
        <w:rPr>
          <w:rFonts w:hint="eastAsia" w:ascii="宋体" w:hAnsi="宋体" w:eastAsia="宋体"/>
          <w:color w:val="auto"/>
          <w:kern w:val="2"/>
          <w:szCs w:val="21"/>
          <w:u w:val="single"/>
        </w:rPr>
        <w:t xml:space="preserve">                        </w:t>
      </w:r>
      <w:r>
        <w:rPr>
          <w:rFonts w:hint="eastAsia" w:ascii="宋体" w:hAnsi="宋体" w:eastAsia="宋体"/>
          <w:color w:val="auto"/>
          <w:kern w:val="2"/>
          <w:szCs w:val="21"/>
        </w:rPr>
        <w:t>（联合体成员供应商或其他合同主体）（如有）</w:t>
      </w:r>
    </w:p>
    <w:p w14:paraId="128D8D1C">
      <w:pPr>
        <w:widowControl w:val="0"/>
        <w:adjustRightInd w:val="0"/>
        <w:snapToGrid w:val="0"/>
        <w:spacing w:before="0" w:beforeLines="0" w:line="400" w:lineRule="exact"/>
        <w:textAlignment w:val="auto"/>
        <w:rPr>
          <w:rFonts w:hint="eastAsia" w:ascii="宋体" w:hAnsi="宋体" w:eastAsia="宋体"/>
          <w:color w:val="auto"/>
          <w:kern w:val="2"/>
          <w:szCs w:val="21"/>
        </w:rPr>
      </w:pPr>
      <w:r>
        <w:rPr>
          <w:rFonts w:hint="eastAsia" w:eastAsia="宋体"/>
          <w:color w:val="auto"/>
          <w:kern w:val="2"/>
          <w:szCs w:val="24"/>
          <w:lang w:eastAsia="zh-CN"/>
        </w:rPr>
        <w:t>乙方</w:t>
      </w:r>
      <w:r>
        <w:rPr>
          <w:rFonts w:hint="eastAsia" w:ascii="宋体" w:hAnsi="宋体" w:eastAsia="宋体"/>
          <w:color w:val="auto"/>
          <w:kern w:val="2"/>
          <w:szCs w:val="21"/>
          <w:lang w:val="en-US" w:eastAsia="zh-CN"/>
        </w:rPr>
        <w:t>3</w:t>
      </w:r>
      <w:r>
        <w:rPr>
          <w:rFonts w:hint="eastAsia" w:eastAsia="宋体"/>
          <w:color w:val="auto"/>
          <w:kern w:val="2"/>
          <w:szCs w:val="24"/>
          <w:lang w:val="en-US" w:eastAsia="zh-CN"/>
        </w:rPr>
        <w:t>（全称）</w:t>
      </w:r>
      <w:r>
        <w:rPr>
          <w:rFonts w:hint="eastAsia" w:ascii="宋体" w:hAnsi="宋体" w:eastAsia="宋体"/>
          <w:color w:val="auto"/>
          <w:kern w:val="2"/>
          <w:szCs w:val="21"/>
          <w:u w:val="single"/>
        </w:rPr>
        <w:t xml:space="preserve">                          </w:t>
      </w:r>
      <w:r>
        <w:rPr>
          <w:rFonts w:hint="eastAsia" w:ascii="宋体" w:hAnsi="宋体" w:eastAsia="宋体"/>
          <w:color w:val="auto"/>
          <w:kern w:val="2"/>
          <w:szCs w:val="21"/>
        </w:rPr>
        <w:t>（联合体成员供应商或其他合同主体）（如有）</w:t>
      </w:r>
    </w:p>
    <w:p w14:paraId="4ABC8C06">
      <w:pPr>
        <w:widowControl w:val="0"/>
        <w:spacing w:beforeLines="0" w:line="400" w:lineRule="exact"/>
        <w:textAlignment w:val="auto"/>
        <w:rPr>
          <w:rFonts w:hint="default" w:eastAsia="宋体"/>
          <w:color w:val="auto"/>
          <w:kern w:val="2"/>
          <w:szCs w:val="24"/>
          <w:lang w:val="en-US" w:eastAsia="zh-CN"/>
        </w:rPr>
      </w:pPr>
    </w:p>
    <w:p w14:paraId="34D25077">
      <w:pPr>
        <w:widowControl w:val="0"/>
        <w:adjustRightInd w:val="0"/>
        <w:snapToGrid w:val="0"/>
        <w:spacing w:before="0" w:beforeLines="0" w:after="0" w:line="400" w:lineRule="exact"/>
        <w:ind w:left="0" w:leftChars="0" w:firstLine="420" w:firstLineChars="200"/>
        <w:jc w:val="both"/>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依据《中华人民共和国民法典》、《中华人民共和国政府采购法》等有关的法律法规，以及</w:t>
      </w:r>
      <w:r>
        <w:rPr>
          <w:rFonts w:hint="eastAsia" w:ascii="宋体" w:hAnsi="宋体" w:eastAsia="宋体" w:cs="Times New Roman"/>
          <w:i w:val="0"/>
          <w:iCs w:val="0"/>
          <w:color w:val="auto"/>
          <w:kern w:val="2"/>
          <w:sz w:val="21"/>
          <w:szCs w:val="21"/>
          <w:u w:val="none"/>
          <w:lang w:val="en-US" w:eastAsia="zh-CN" w:bidi="ar-SA"/>
        </w:rPr>
        <w:t>本采购项目</w:t>
      </w:r>
      <w:r>
        <w:rPr>
          <w:rFonts w:hint="eastAsia" w:ascii="宋体" w:hAnsi="宋体" w:eastAsia="宋体" w:cs="Times New Roman"/>
          <w:color w:val="auto"/>
          <w:kern w:val="2"/>
          <w:sz w:val="21"/>
          <w:szCs w:val="21"/>
          <w:lang w:val="en-US" w:eastAsia="zh-CN" w:bidi="ar-SA"/>
        </w:rPr>
        <w:t xml:space="preserve">的招标/谈判文件等采购文件、乙方的《投标（响应）文件》及《中标（成交）通知书》，甲乙双方同意签订本合同。具体情况及要求如下：     </w:t>
      </w:r>
    </w:p>
    <w:p w14:paraId="5DEA335C">
      <w:pPr>
        <w:widowControl w:val="0"/>
        <w:numPr>
          <w:ilvl w:val="0"/>
          <w:numId w:val="3"/>
        </w:numPr>
        <w:adjustRightInd w:val="0"/>
        <w:snapToGrid w:val="0"/>
        <w:spacing w:before="0" w:beforeLines="0" w:line="400" w:lineRule="exact"/>
        <w:ind w:firstLine="422" w:firstLineChars="200"/>
        <w:textAlignment w:val="auto"/>
        <w:rPr>
          <w:rFonts w:ascii="宋体" w:hAnsi="宋体" w:eastAsia="宋体"/>
          <w:b/>
          <w:color w:val="auto"/>
          <w:kern w:val="2"/>
          <w:szCs w:val="21"/>
        </w:rPr>
      </w:pPr>
      <w:r>
        <w:rPr>
          <w:rFonts w:hint="eastAsia" w:ascii="宋体" w:hAnsi="宋体" w:eastAsia="宋体"/>
          <w:b/>
          <w:color w:val="auto"/>
          <w:kern w:val="2"/>
          <w:szCs w:val="21"/>
        </w:rPr>
        <w:t>项目信息</w:t>
      </w:r>
    </w:p>
    <w:p w14:paraId="612431D4">
      <w:pPr>
        <w:widowControl w:val="0"/>
        <w:numPr>
          <w:ilvl w:val="0"/>
          <w:numId w:val="4"/>
        </w:numPr>
        <w:adjustRightInd w:val="0"/>
        <w:snapToGrid w:val="0"/>
        <w:spacing w:before="0" w:beforeLines="0" w:after="0" w:line="400" w:lineRule="exact"/>
        <w:ind w:left="0" w:leftChars="0" w:firstLine="420" w:firstLineChars="200"/>
        <w:jc w:val="both"/>
        <w:rPr>
          <w:rFonts w:ascii="宋体" w:hAnsi="宋体" w:eastAsia="宋体" w:cs="Times New Roman"/>
          <w:color w:val="auto"/>
          <w:kern w:val="2"/>
          <w:sz w:val="21"/>
          <w:szCs w:val="21"/>
          <w:u w:val="single"/>
          <w:lang w:val="en-US" w:eastAsia="zh-CN" w:bidi="ar-SA"/>
        </w:rPr>
      </w:pPr>
      <w:r>
        <w:rPr>
          <w:rFonts w:hint="eastAsia" w:ascii="宋体" w:hAnsi="宋体" w:eastAsia="宋体" w:cs="Times New Roman"/>
          <w:color w:val="auto"/>
          <w:kern w:val="2"/>
          <w:sz w:val="21"/>
          <w:szCs w:val="21"/>
          <w:lang w:val="en-US" w:eastAsia="zh-CN" w:bidi="ar-SA"/>
        </w:rPr>
        <w:t>采购项目名称：</w:t>
      </w:r>
      <w:r>
        <w:rPr>
          <w:rFonts w:ascii="宋体" w:hAnsi="宋体" w:eastAsia="宋体" w:cs="Times New Roman"/>
          <w:color w:val="auto"/>
          <w:kern w:val="2"/>
          <w:sz w:val="21"/>
          <w:szCs w:val="21"/>
          <w:u w:val="single"/>
          <w:lang w:val="en-US" w:eastAsia="zh-CN" w:bidi="ar-SA"/>
        </w:rPr>
        <w:t xml:space="preserve">                                          </w:t>
      </w:r>
    </w:p>
    <w:p w14:paraId="5641B7C6">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color w:val="auto"/>
          <w:kern w:val="2"/>
          <w:sz w:val="21"/>
          <w:szCs w:val="21"/>
          <w:u w:val="none"/>
          <w:lang w:val="en-US" w:eastAsia="zh-CN" w:bidi="ar-SA"/>
        </w:rPr>
      </w:pPr>
      <w:r>
        <w:rPr>
          <w:rFonts w:hint="eastAsia" w:ascii="宋体" w:hAnsi="宋体" w:eastAsia="宋体" w:cs="Times New Roman"/>
          <w:color w:val="auto"/>
          <w:kern w:val="2"/>
          <w:sz w:val="21"/>
          <w:szCs w:val="21"/>
          <w:u w:val="none"/>
          <w:lang w:val="en-US" w:eastAsia="zh-CN" w:bidi="ar-SA"/>
        </w:rPr>
        <w:t xml:space="preserve">         采购项目编号：</w:t>
      </w:r>
      <w:r>
        <w:rPr>
          <w:rFonts w:ascii="宋体" w:hAnsi="宋体" w:eastAsia="宋体" w:cs="Times New Roman"/>
          <w:color w:val="auto"/>
          <w:kern w:val="2"/>
          <w:sz w:val="21"/>
          <w:szCs w:val="21"/>
          <w:u w:val="single"/>
          <w:lang w:val="en-US" w:eastAsia="zh-CN" w:bidi="ar-SA"/>
        </w:rPr>
        <w:t xml:space="preserve">                                          </w:t>
      </w:r>
    </w:p>
    <w:p w14:paraId="62AB3290">
      <w:pPr>
        <w:widowControl w:val="0"/>
        <w:adjustRightInd w:val="0"/>
        <w:snapToGrid w:val="0"/>
        <w:spacing w:before="0" w:beforeLines="0" w:after="0" w:line="400" w:lineRule="exact"/>
        <w:ind w:left="0" w:leftChars="0" w:firstLine="420" w:firstLineChars="200"/>
        <w:jc w:val="both"/>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（2）采购计划编号：</w:t>
      </w:r>
      <w:r>
        <w:rPr>
          <w:rFonts w:ascii="宋体" w:hAnsi="宋体" w:eastAsia="宋体" w:cs="Times New Roman"/>
          <w:color w:val="auto"/>
          <w:kern w:val="2"/>
          <w:sz w:val="21"/>
          <w:szCs w:val="21"/>
          <w:u w:val="single"/>
          <w:lang w:val="en-US" w:eastAsia="zh-CN" w:bidi="ar-SA"/>
        </w:rPr>
        <w:t xml:space="preserve">                     </w:t>
      </w:r>
      <w:r>
        <w:rPr>
          <w:rFonts w:hint="eastAsia" w:ascii="宋体" w:hAnsi="宋体" w:eastAsia="宋体" w:cs="Times New Roman"/>
          <w:color w:val="auto"/>
          <w:kern w:val="2"/>
          <w:sz w:val="21"/>
          <w:szCs w:val="21"/>
          <w:u w:val="single"/>
          <w:lang w:val="en-US" w:eastAsia="zh-CN" w:bidi="ar-SA"/>
        </w:rPr>
        <w:t xml:space="preserve">                </w:t>
      </w:r>
      <w:r>
        <w:rPr>
          <w:rFonts w:ascii="宋体" w:hAnsi="宋体" w:eastAsia="宋体" w:cs="Times New Roman"/>
          <w:color w:val="auto"/>
          <w:kern w:val="2"/>
          <w:sz w:val="21"/>
          <w:szCs w:val="21"/>
          <w:u w:val="single"/>
          <w:lang w:val="en-US" w:eastAsia="zh-CN" w:bidi="ar-SA"/>
        </w:rPr>
        <w:t xml:space="preserve">     </w:t>
      </w:r>
      <w:r>
        <w:rPr>
          <w:rFonts w:ascii="宋体" w:hAnsi="宋体" w:eastAsia="宋体" w:cs="Times New Roman"/>
          <w:color w:val="auto"/>
          <w:kern w:val="2"/>
          <w:sz w:val="21"/>
          <w:szCs w:val="21"/>
          <w:lang w:val="en-US" w:eastAsia="zh-CN" w:bidi="ar-SA"/>
        </w:rPr>
        <w:t xml:space="preserve"> </w:t>
      </w:r>
    </w:p>
    <w:p w14:paraId="69807A37">
      <w:pPr>
        <w:widowControl w:val="0"/>
        <w:adjustRightInd w:val="0"/>
        <w:snapToGrid w:val="0"/>
        <w:spacing w:before="0" w:beforeLines="0" w:line="400" w:lineRule="exact"/>
        <w:ind w:firstLine="420" w:firstLineChars="200"/>
        <w:textAlignment w:val="auto"/>
        <w:rPr>
          <w:rFonts w:hint="eastAsia" w:ascii="宋体" w:hAnsi="宋体" w:eastAsia="宋体"/>
          <w:color w:val="auto"/>
          <w:kern w:val="2"/>
          <w:szCs w:val="21"/>
        </w:rPr>
      </w:pPr>
      <w:r>
        <w:rPr>
          <w:rFonts w:hint="eastAsia" w:ascii="宋体" w:hAnsi="宋体" w:eastAsia="宋体"/>
          <w:color w:val="auto"/>
          <w:kern w:val="2"/>
          <w:szCs w:val="21"/>
        </w:rPr>
        <w:t>（3）项目内容：</w:t>
      </w:r>
    </w:p>
    <w:p w14:paraId="7D17FABF">
      <w:pPr>
        <w:widowControl w:val="0"/>
        <w:adjustRightInd w:val="0"/>
        <w:snapToGrid w:val="0"/>
        <w:spacing w:before="0" w:beforeLines="0" w:line="400" w:lineRule="exact"/>
        <w:ind w:firstLine="420" w:firstLineChars="200"/>
        <w:textAlignment w:val="auto"/>
        <w:rPr>
          <w:rFonts w:hint="eastAsia" w:ascii="宋体" w:hAnsi="宋体" w:eastAsia="宋体"/>
          <w:color w:val="auto"/>
          <w:kern w:val="2"/>
          <w:szCs w:val="21"/>
          <w:lang w:val="en-US" w:eastAsia="zh-CN"/>
        </w:rPr>
      </w:pPr>
      <w:r>
        <w:rPr>
          <w:rFonts w:hint="eastAsia" w:ascii="宋体" w:hAnsi="宋体" w:eastAsia="宋体"/>
          <w:color w:val="auto"/>
          <w:kern w:val="2"/>
          <w:szCs w:val="21"/>
          <w:lang w:val="en-US" w:eastAsia="zh-CN"/>
        </w:rPr>
        <w:t xml:space="preserve">     </w:t>
      </w:r>
      <w:r>
        <w:rPr>
          <w:rFonts w:hint="eastAsia" w:ascii="宋体" w:hAnsi="宋体" w:eastAsia="宋体"/>
          <w:color w:val="auto"/>
          <w:kern w:val="2"/>
          <w:szCs w:val="21"/>
          <w:lang w:eastAsia="zh-CN"/>
        </w:rPr>
        <w:t>采购标的及数量</w:t>
      </w:r>
      <w:r>
        <w:rPr>
          <w:rFonts w:hint="eastAsia" w:ascii="宋体" w:hAnsi="宋体" w:eastAsia="宋体"/>
          <w:color w:val="auto"/>
          <w:kern w:val="2"/>
          <w:szCs w:val="21"/>
          <w:lang w:val="en-US" w:eastAsia="zh-CN"/>
        </w:rPr>
        <w:t>（台/套</w:t>
      </w:r>
      <w:r>
        <w:rPr>
          <w:rFonts w:hint="default" w:ascii="宋体" w:hAnsi="宋体" w:eastAsia="宋体"/>
          <w:color w:val="auto"/>
          <w:kern w:val="2"/>
          <w:szCs w:val="21"/>
          <w:lang w:val="en" w:eastAsia="zh-CN"/>
        </w:rPr>
        <w:t>/</w:t>
      </w:r>
      <w:r>
        <w:rPr>
          <w:rFonts w:hint="eastAsia" w:ascii="宋体" w:hAnsi="宋体" w:eastAsia="宋体"/>
          <w:color w:val="auto"/>
          <w:kern w:val="2"/>
          <w:szCs w:val="21"/>
          <w:lang w:val="en" w:eastAsia="zh-CN"/>
        </w:rPr>
        <w:t>个</w:t>
      </w:r>
      <w:r>
        <w:rPr>
          <w:rFonts w:hint="default" w:ascii="宋体" w:hAnsi="宋体" w:eastAsia="宋体"/>
          <w:color w:val="auto"/>
          <w:kern w:val="2"/>
          <w:szCs w:val="21"/>
          <w:lang w:val="en" w:eastAsia="zh-CN"/>
        </w:rPr>
        <w:t>/</w:t>
      </w:r>
      <w:r>
        <w:rPr>
          <w:rFonts w:hint="eastAsia" w:ascii="宋体" w:hAnsi="宋体" w:eastAsia="宋体"/>
          <w:color w:val="auto"/>
          <w:kern w:val="2"/>
          <w:szCs w:val="21"/>
          <w:lang w:val="en" w:eastAsia="zh-CN"/>
        </w:rPr>
        <w:t>架</w:t>
      </w:r>
      <w:r>
        <w:rPr>
          <w:rFonts w:hint="default" w:ascii="宋体" w:hAnsi="宋体" w:eastAsia="宋体"/>
          <w:color w:val="auto"/>
          <w:kern w:val="2"/>
          <w:szCs w:val="21"/>
          <w:lang w:val="en" w:eastAsia="zh-CN"/>
        </w:rPr>
        <w:t>/</w:t>
      </w:r>
      <w:r>
        <w:rPr>
          <w:rFonts w:hint="eastAsia" w:ascii="宋体" w:hAnsi="宋体" w:eastAsia="宋体"/>
          <w:color w:val="auto"/>
          <w:kern w:val="2"/>
          <w:szCs w:val="21"/>
          <w:lang w:val="en" w:eastAsia="zh-CN"/>
        </w:rPr>
        <w:t>组等</w:t>
      </w:r>
      <w:r>
        <w:rPr>
          <w:rFonts w:hint="eastAsia" w:ascii="宋体" w:hAnsi="宋体" w:eastAsia="宋体"/>
          <w:color w:val="auto"/>
          <w:kern w:val="2"/>
          <w:szCs w:val="21"/>
          <w:lang w:val="en-US" w:eastAsia="zh-CN"/>
        </w:rPr>
        <w:t>）</w:t>
      </w:r>
      <w:r>
        <w:rPr>
          <w:rFonts w:hint="eastAsia" w:ascii="宋体" w:hAnsi="宋体" w:eastAsia="宋体"/>
          <w:color w:val="auto"/>
          <w:kern w:val="2"/>
          <w:szCs w:val="21"/>
          <w:lang w:eastAsia="zh-CN"/>
        </w:rPr>
        <w:t>：</w:t>
      </w:r>
      <w:r>
        <w:rPr>
          <w:rFonts w:hint="eastAsia" w:ascii="宋体" w:hAnsi="宋体" w:eastAsia="宋体"/>
          <w:color w:val="auto"/>
          <w:kern w:val="2"/>
          <w:szCs w:val="21"/>
          <w:u w:val="single"/>
          <w:lang w:val="en-US" w:eastAsia="zh-CN"/>
        </w:rPr>
        <w:t xml:space="preserve">                       </w:t>
      </w:r>
      <w:r>
        <w:rPr>
          <w:rFonts w:hint="eastAsia" w:ascii="宋体" w:hAnsi="宋体" w:eastAsia="宋体"/>
          <w:color w:val="auto"/>
          <w:kern w:val="2"/>
          <w:szCs w:val="21"/>
          <w:u w:val="none"/>
          <w:lang w:val="en-US" w:eastAsia="zh-CN"/>
        </w:rPr>
        <w:t xml:space="preserve">            </w:t>
      </w:r>
      <w:r>
        <w:rPr>
          <w:rFonts w:hint="eastAsia" w:ascii="宋体" w:hAnsi="宋体" w:eastAsia="宋体"/>
          <w:color w:val="auto"/>
          <w:kern w:val="2"/>
          <w:szCs w:val="21"/>
          <w:u w:val="single"/>
          <w:lang w:val="en-US" w:eastAsia="zh-CN"/>
        </w:rPr>
        <w:t xml:space="preserve">                  </w:t>
      </w:r>
      <w:r>
        <w:rPr>
          <w:rFonts w:hint="eastAsia" w:ascii="宋体" w:hAnsi="宋体" w:eastAsia="宋体"/>
          <w:color w:val="auto"/>
          <w:kern w:val="2"/>
          <w:szCs w:val="21"/>
          <w:lang w:val="en-US" w:eastAsia="zh-CN"/>
        </w:rPr>
        <w:t xml:space="preserve"> </w:t>
      </w:r>
    </w:p>
    <w:p w14:paraId="11D15289">
      <w:pPr>
        <w:widowControl w:val="0"/>
        <w:numPr>
          <w:ilvl w:val="-1"/>
          <w:numId w:val="0"/>
        </w:numPr>
        <w:adjustRightInd w:val="0"/>
        <w:snapToGrid w:val="0"/>
        <w:spacing w:before="0" w:beforeLines="0" w:line="400" w:lineRule="exact"/>
        <w:ind w:firstLine="420" w:firstLineChars="200"/>
        <w:textAlignment w:val="auto"/>
        <w:rPr>
          <w:rFonts w:hint="default" w:ascii="宋体" w:hAnsi="宋体" w:eastAsia="宋体" w:cs="宋体"/>
          <w:color w:val="auto"/>
          <w:kern w:val="2"/>
          <w:szCs w:val="21"/>
          <w:lang w:val="en" w:eastAsia="zh-CN"/>
        </w:rPr>
      </w:pPr>
      <w:r>
        <w:rPr>
          <w:rFonts w:hint="eastAsia" w:ascii="宋体" w:hAnsi="宋体" w:eastAsia="宋体"/>
          <w:color w:val="auto"/>
          <w:kern w:val="2"/>
          <w:szCs w:val="21"/>
          <w:highlight w:val="none"/>
          <w:u w:val="none"/>
          <w:lang w:val="en-US" w:eastAsia="zh-CN"/>
        </w:rPr>
        <w:t xml:space="preserve">     </w:t>
      </w:r>
      <w:r>
        <w:rPr>
          <w:rFonts w:hint="eastAsia" w:ascii="宋体" w:hAnsi="宋体" w:eastAsia="宋体" w:cs="宋体"/>
          <w:color w:val="auto"/>
          <w:kern w:val="2"/>
          <w:szCs w:val="21"/>
          <w:lang w:val="en-US" w:eastAsia="zh-CN"/>
        </w:rPr>
        <w:t>品牌：</w:t>
      </w:r>
      <w:r>
        <w:rPr>
          <w:rFonts w:hint="eastAsia" w:ascii="宋体" w:hAnsi="宋体" w:eastAsia="宋体" w:cs="宋体"/>
          <w:color w:val="auto"/>
          <w:kern w:val="2"/>
          <w:szCs w:val="21"/>
          <w:u w:val="single"/>
          <w:lang w:val="en-US" w:eastAsia="zh-CN"/>
        </w:rPr>
        <w:t xml:space="preserve">      </w:t>
      </w:r>
      <w:r>
        <w:rPr>
          <w:rFonts w:hint="default" w:ascii="宋体" w:hAnsi="宋体" w:eastAsia="宋体" w:cs="宋体"/>
          <w:color w:val="auto"/>
          <w:kern w:val="2"/>
          <w:szCs w:val="21"/>
          <w:u w:val="single"/>
          <w:lang w:val="en" w:eastAsia="zh-CN"/>
        </w:rPr>
        <w:t xml:space="preserve">   </w:t>
      </w:r>
      <w:r>
        <w:rPr>
          <w:rFonts w:hint="eastAsia" w:ascii="宋体" w:hAnsi="宋体" w:eastAsia="宋体" w:cs="宋体"/>
          <w:color w:val="auto"/>
          <w:kern w:val="2"/>
          <w:szCs w:val="21"/>
          <w:u w:val="single"/>
          <w:lang w:val="en-US" w:eastAsia="zh-CN"/>
        </w:rPr>
        <w:t xml:space="preserve">    </w:t>
      </w:r>
      <w:r>
        <w:rPr>
          <w:rFonts w:hint="default" w:ascii="宋体" w:hAnsi="宋体" w:eastAsia="宋体" w:cs="宋体"/>
          <w:color w:val="auto"/>
          <w:kern w:val="2"/>
          <w:szCs w:val="21"/>
          <w:u w:val="single"/>
          <w:lang w:val="en" w:eastAsia="zh-CN"/>
        </w:rPr>
        <w:t xml:space="preserve"> </w:t>
      </w:r>
      <w:r>
        <w:rPr>
          <w:rFonts w:hint="eastAsia" w:ascii="宋体" w:hAnsi="宋体" w:eastAsia="宋体" w:cs="宋体"/>
          <w:color w:val="auto"/>
          <w:kern w:val="2"/>
          <w:szCs w:val="21"/>
          <w:u w:val="single"/>
          <w:lang w:val="en-US" w:eastAsia="zh-CN"/>
        </w:rPr>
        <w:t xml:space="preserve"> </w:t>
      </w:r>
      <w:r>
        <w:rPr>
          <w:rFonts w:hint="default" w:ascii="宋体" w:hAnsi="宋体" w:eastAsia="宋体" w:cs="宋体"/>
          <w:color w:val="auto"/>
          <w:kern w:val="2"/>
          <w:szCs w:val="21"/>
          <w:u w:val="none"/>
          <w:lang w:val="en" w:eastAsia="zh-CN"/>
        </w:rPr>
        <w:t xml:space="preserve">     </w:t>
      </w:r>
      <w:r>
        <w:rPr>
          <w:rFonts w:hint="eastAsia" w:ascii="宋体" w:hAnsi="宋体" w:eastAsia="宋体" w:cs="宋体"/>
          <w:color w:val="auto"/>
          <w:kern w:val="2"/>
          <w:szCs w:val="21"/>
          <w:lang w:val="en-US" w:eastAsia="zh-CN"/>
        </w:rPr>
        <w:t>规格型号：</w:t>
      </w:r>
      <w:r>
        <w:rPr>
          <w:rFonts w:hint="eastAsia" w:ascii="宋体" w:hAnsi="宋体" w:eastAsia="宋体" w:cs="宋体"/>
          <w:color w:val="auto"/>
          <w:kern w:val="2"/>
          <w:szCs w:val="21"/>
          <w:u w:val="single"/>
          <w:lang w:val="en-US" w:eastAsia="zh-CN"/>
        </w:rPr>
        <w:t xml:space="preserve">   </w:t>
      </w:r>
      <w:r>
        <w:rPr>
          <w:rFonts w:hint="default" w:ascii="宋体" w:hAnsi="宋体" w:eastAsia="宋体" w:cs="宋体"/>
          <w:color w:val="auto"/>
          <w:kern w:val="2"/>
          <w:szCs w:val="21"/>
          <w:u w:val="single"/>
          <w:lang w:val="en" w:eastAsia="zh-CN"/>
        </w:rPr>
        <w:t xml:space="preserve">  </w:t>
      </w:r>
      <w:r>
        <w:rPr>
          <w:rFonts w:hint="eastAsia" w:ascii="宋体" w:hAnsi="宋体" w:eastAsia="宋体" w:cs="宋体"/>
          <w:color w:val="auto"/>
          <w:kern w:val="2"/>
          <w:szCs w:val="21"/>
          <w:u w:val="single"/>
          <w:lang w:val="en-US" w:eastAsia="zh-CN"/>
        </w:rPr>
        <w:t xml:space="preserve">       </w:t>
      </w:r>
      <w:r>
        <w:rPr>
          <w:rFonts w:hint="default" w:ascii="宋体" w:hAnsi="宋体" w:eastAsia="宋体" w:cs="宋体"/>
          <w:color w:val="auto"/>
          <w:kern w:val="2"/>
          <w:szCs w:val="21"/>
          <w:u w:val="single"/>
          <w:lang w:val="en" w:eastAsia="zh-CN"/>
        </w:rPr>
        <w:t xml:space="preserve">   </w:t>
      </w:r>
    </w:p>
    <w:p w14:paraId="3844A318">
      <w:pPr>
        <w:widowControl w:val="0"/>
        <w:adjustRightInd w:val="0"/>
        <w:snapToGrid w:val="0"/>
        <w:spacing w:before="0" w:beforeLines="0" w:line="400" w:lineRule="exact"/>
        <w:ind w:firstLine="945" w:firstLineChars="450"/>
        <w:textAlignment w:val="auto"/>
        <w:rPr>
          <w:rFonts w:ascii="宋体" w:hAnsi="宋体" w:eastAsia="宋体"/>
          <w:color w:val="auto"/>
          <w:kern w:val="2"/>
          <w:szCs w:val="21"/>
          <w:highlight w:val="none"/>
          <w:u w:val="single"/>
        </w:rPr>
      </w:pPr>
      <w:r>
        <w:rPr>
          <w:rFonts w:hint="eastAsia" w:ascii="宋体" w:hAnsi="宋体" w:eastAsia="宋体"/>
          <w:color w:val="auto"/>
          <w:kern w:val="2"/>
          <w:szCs w:val="21"/>
          <w:highlight w:val="none"/>
          <w:u w:val="none"/>
          <w:lang w:val="en-US" w:eastAsia="zh-CN"/>
        </w:rPr>
        <w:t>采购标的的技术要求、商务要求具体见附件。</w:t>
      </w:r>
    </w:p>
    <w:p w14:paraId="45CE6D97">
      <w:pPr>
        <w:widowControl w:val="0"/>
        <w:numPr>
          <w:ilvl w:val="-1"/>
          <w:numId w:val="0"/>
        </w:numPr>
        <w:adjustRightInd w:val="0"/>
        <w:snapToGrid w:val="0"/>
        <w:spacing w:before="0" w:beforeLines="0" w:line="400" w:lineRule="exact"/>
        <w:ind w:firstLine="945" w:firstLineChars="450"/>
        <w:textAlignment w:val="auto"/>
        <w:rPr>
          <w:rFonts w:hint="eastAsia" w:ascii="宋体" w:hAnsi="宋体" w:eastAsia="宋体" w:cs="宋体"/>
          <w:color w:val="auto"/>
          <w:kern w:val="2"/>
          <w:szCs w:val="21"/>
          <w:lang w:val="en-US" w:eastAsia="zh-CN"/>
        </w:rPr>
      </w:pPr>
      <w:r>
        <w:rPr>
          <w:rFonts w:hint="eastAsia" w:ascii="汉仪书宋二S" w:hAnsi="汉仪书宋二S" w:eastAsia="汉仪书宋二S" w:cs="汉仪书宋二S"/>
          <w:color w:val="auto"/>
          <w:kern w:val="2"/>
          <w:szCs w:val="21"/>
          <w:lang w:val="en-US" w:eastAsia="zh-CN"/>
        </w:rPr>
        <w:t>①</w:t>
      </w:r>
      <w:r>
        <w:rPr>
          <w:rFonts w:hint="eastAsia" w:ascii="宋体" w:hAnsi="宋体" w:eastAsia="宋体" w:cs="宋体"/>
          <w:color w:val="auto"/>
          <w:kern w:val="2"/>
          <w:szCs w:val="21"/>
          <w:lang w:val="en-US" w:eastAsia="zh-CN"/>
        </w:rPr>
        <w:t>涉及信息类产品，请填写该产品关键部件的品牌、型号：</w:t>
      </w:r>
    </w:p>
    <w:p w14:paraId="36F845DF">
      <w:pPr>
        <w:widowControl w:val="0"/>
        <w:numPr>
          <w:ilvl w:val="-1"/>
          <w:numId w:val="0"/>
        </w:numPr>
        <w:adjustRightInd w:val="0"/>
        <w:snapToGrid w:val="0"/>
        <w:spacing w:before="0" w:beforeLines="0" w:line="400" w:lineRule="exact"/>
        <w:ind w:firstLine="420" w:firstLineChars="200"/>
        <w:textAlignment w:val="auto"/>
        <w:rPr>
          <w:rFonts w:hint="eastAsia" w:ascii="宋体" w:hAnsi="宋体" w:eastAsia="宋体" w:cs="宋体"/>
          <w:color w:val="auto"/>
          <w:kern w:val="0"/>
          <w:szCs w:val="21"/>
          <w:u w:val="single"/>
          <w:lang w:val="en-US" w:eastAsia="zh-CN"/>
        </w:rPr>
      </w:pPr>
      <w:r>
        <w:rPr>
          <w:rFonts w:hint="eastAsia" w:ascii="宋体" w:hAnsi="宋体" w:eastAsia="宋体" w:cs="宋体"/>
          <w:color w:val="auto"/>
          <w:kern w:val="2"/>
          <w:szCs w:val="21"/>
          <w:lang w:val="en-US" w:eastAsia="zh-CN"/>
        </w:rPr>
        <w:t xml:space="preserve">     标的名称：</w:t>
      </w:r>
      <w:r>
        <w:rPr>
          <w:rFonts w:hint="eastAsia" w:ascii="宋体" w:hAnsi="宋体" w:eastAsia="宋体" w:cs="宋体"/>
          <w:color w:val="auto"/>
          <w:kern w:val="0"/>
          <w:szCs w:val="21"/>
          <w:u w:val="single"/>
          <w:lang w:val="en-US" w:eastAsia="zh-CN"/>
        </w:rPr>
        <w:t xml:space="preserve">      </w:t>
      </w:r>
      <w:r>
        <w:rPr>
          <w:rFonts w:hint="default" w:ascii="宋体" w:hAnsi="宋体" w:eastAsia="宋体" w:cs="宋体"/>
          <w:color w:val="auto"/>
          <w:kern w:val="0"/>
          <w:szCs w:val="21"/>
          <w:u w:val="single"/>
          <w:lang w:val="en" w:eastAsia="zh-CN"/>
        </w:rPr>
        <w:t xml:space="preserve">               </w:t>
      </w:r>
      <w:r>
        <w:rPr>
          <w:rFonts w:hint="eastAsia" w:ascii="宋体" w:hAnsi="宋体" w:eastAsia="宋体" w:cs="宋体"/>
          <w:color w:val="auto"/>
          <w:kern w:val="0"/>
          <w:szCs w:val="21"/>
          <w:u w:val="single"/>
          <w:lang w:val="en-US" w:eastAsia="zh-CN"/>
        </w:rPr>
        <w:t xml:space="preserve">    </w:t>
      </w:r>
    </w:p>
    <w:p w14:paraId="03E50A3F">
      <w:pPr>
        <w:widowControl w:val="0"/>
        <w:numPr>
          <w:ilvl w:val="-1"/>
          <w:numId w:val="0"/>
        </w:numPr>
        <w:adjustRightInd w:val="0"/>
        <w:snapToGrid w:val="0"/>
        <w:spacing w:before="0" w:beforeLines="0" w:line="400" w:lineRule="exact"/>
        <w:ind w:firstLine="420" w:firstLineChars="200"/>
        <w:textAlignment w:val="auto"/>
        <w:rPr>
          <w:rFonts w:hint="eastAsia" w:ascii="宋体" w:hAnsi="宋体" w:eastAsia="宋体" w:cs="宋体"/>
          <w:color w:val="auto"/>
          <w:kern w:val="2"/>
          <w:szCs w:val="21"/>
          <w:lang w:val="en-US" w:eastAsia="zh-CN"/>
        </w:rPr>
      </w:pPr>
      <w:r>
        <w:rPr>
          <w:rFonts w:hint="eastAsia" w:ascii="宋体" w:hAnsi="宋体" w:eastAsia="宋体" w:cs="宋体"/>
          <w:color w:val="auto"/>
          <w:kern w:val="2"/>
          <w:szCs w:val="21"/>
          <w:lang w:val="en-US" w:eastAsia="zh-CN"/>
        </w:rPr>
        <w:t xml:space="preserve">     关键部件：</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none"/>
          <w:lang w:val="en-US" w:eastAsia="zh-CN"/>
        </w:rPr>
        <w:t xml:space="preserve"> </w:t>
      </w:r>
      <w:r>
        <w:rPr>
          <w:rFonts w:hint="eastAsia" w:ascii="宋体" w:hAnsi="宋体" w:eastAsia="宋体" w:cs="宋体"/>
          <w:color w:val="auto"/>
          <w:kern w:val="2"/>
          <w:szCs w:val="21"/>
          <w:lang w:val="en-US" w:eastAsia="zh-CN"/>
        </w:rPr>
        <w:t>品牌：</w:t>
      </w:r>
      <w:r>
        <w:rPr>
          <w:rFonts w:hint="eastAsia" w:ascii="宋体" w:hAnsi="宋体" w:eastAsia="宋体" w:cs="宋体"/>
          <w:color w:val="auto"/>
          <w:kern w:val="2"/>
          <w:szCs w:val="21"/>
          <w:u w:val="single"/>
          <w:lang w:val="en-US" w:eastAsia="zh-CN"/>
        </w:rPr>
        <w:t xml:space="preserve">        </w:t>
      </w:r>
      <w:r>
        <w:rPr>
          <w:rFonts w:hint="eastAsia" w:ascii="宋体" w:hAnsi="宋体" w:eastAsia="宋体" w:cs="宋体"/>
          <w:color w:val="auto"/>
          <w:kern w:val="2"/>
          <w:szCs w:val="21"/>
          <w:u w:val="none"/>
          <w:lang w:val="en-US" w:eastAsia="zh-CN"/>
        </w:rPr>
        <w:t xml:space="preserve"> </w:t>
      </w:r>
      <w:r>
        <w:rPr>
          <w:rFonts w:hint="eastAsia" w:ascii="宋体" w:hAnsi="宋体" w:eastAsia="宋体" w:cs="宋体"/>
          <w:color w:val="auto"/>
          <w:kern w:val="2"/>
          <w:szCs w:val="21"/>
          <w:lang w:val="en-US" w:eastAsia="zh-CN"/>
        </w:rPr>
        <w:t>型号：</w:t>
      </w:r>
      <w:r>
        <w:rPr>
          <w:rFonts w:hint="eastAsia" w:ascii="宋体" w:hAnsi="宋体" w:eastAsia="宋体" w:cs="宋体"/>
          <w:color w:val="auto"/>
          <w:kern w:val="2"/>
          <w:szCs w:val="21"/>
          <w:u w:val="single"/>
          <w:lang w:val="en-US" w:eastAsia="zh-CN"/>
        </w:rPr>
        <w:t xml:space="preserve">       </w:t>
      </w:r>
      <w:r>
        <w:rPr>
          <w:rFonts w:hint="eastAsia" w:ascii="宋体" w:hAnsi="宋体" w:eastAsia="宋体" w:cs="宋体"/>
          <w:color w:val="auto"/>
          <w:kern w:val="2"/>
          <w:szCs w:val="21"/>
          <w:lang w:val="en-US" w:eastAsia="zh-CN"/>
        </w:rPr>
        <w:t xml:space="preserve"> </w:t>
      </w:r>
    </w:p>
    <w:p w14:paraId="0D081180">
      <w:pPr>
        <w:autoSpaceDE w:val="0"/>
        <w:autoSpaceDN w:val="0"/>
        <w:adjustRightInd w:val="0"/>
        <w:spacing w:beforeLines="0" w:line="400" w:lineRule="exact"/>
        <w:ind w:firstLine="420" w:firstLineChars="20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     </w:t>
      </w:r>
      <w:r>
        <w:rPr>
          <w:rFonts w:hint="eastAsia" w:ascii="宋体" w:hAnsi="宋体" w:eastAsia="宋体" w:cs="宋体"/>
          <w:color w:val="auto"/>
          <w:kern w:val="2"/>
          <w:sz w:val="21"/>
          <w:szCs w:val="21"/>
          <w:lang w:val="en-US" w:eastAsia="zh-CN" w:bidi="ar-SA"/>
        </w:rPr>
        <w:t>关键部件</w:t>
      </w:r>
      <w:r>
        <w:rPr>
          <w:rFonts w:hint="eastAsia" w:ascii="宋体" w:hAnsi="宋体" w:eastAsia="宋体" w:cs="宋体"/>
          <w:color w:val="auto"/>
          <w:sz w:val="21"/>
          <w:szCs w:val="21"/>
          <w:lang w:val="en-US" w:eastAsia="zh-CN" w:bidi="ar-SA"/>
        </w:rPr>
        <w:t>：</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u w:val="none"/>
          <w:lang w:val="en-US" w:eastAsia="zh-CN" w:bidi="ar-SA"/>
        </w:rPr>
        <w:t xml:space="preserve"> </w:t>
      </w:r>
      <w:r>
        <w:rPr>
          <w:rFonts w:hint="eastAsia" w:ascii="宋体" w:hAnsi="宋体" w:eastAsia="宋体" w:cs="宋体"/>
          <w:color w:val="auto"/>
          <w:sz w:val="21"/>
          <w:szCs w:val="21"/>
          <w:lang w:val="en-US" w:eastAsia="zh-CN" w:bidi="ar-SA"/>
        </w:rPr>
        <w:t>品牌：</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u w:val="none"/>
          <w:lang w:val="en-US" w:eastAsia="zh-CN" w:bidi="ar-SA"/>
        </w:rPr>
        <w:t xml:space="preserve"> </w:t>
      </w:r>
      <w:r>
        <w:rPr>
          <w:rFonts w:hint="eastAsia" w:ascii="宋体" w:hAnsi="宋体" w:eastAsia="宋体" w:cs="宋体"/>
          <w:color w:val="auto"/>
          <w:sz w:val="21"/>
          <w:szCs w:val="21"/>
          <w:lang w:val="en-US" w:eastAsia="zh-CN" w:bidi="ar-SA"/>
        </w:rPr>
        <w:t>型号：</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 xml:space="preserve"> </w:t>
      </w:r>
    </w:p>
    <w:p w14:paraId="26188566">
      <w:pPr>
        <w:autoSpaceDE w:val="0"/>
        <w:autoSpaceDN w:val="0"/>
        <w:adjustRightInd w:val="0"/>
        <w:spacing w:beforeLines="0" w:line="400" w:lineRule="exact"/>
        <w:ind w:firstLine="420" w:firstLineChars="20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     关键部件：</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u w:val="none"/>
          <w:lang w:val="en-US" w:eastAsia="zh-CN" w:bidi="ar-SA"/>
        </w:rPr>
        <w:t xml:space="preserve"> </w:t>
      </w:r>
      <w:r>
        <w:rPr>
          <w:rFonts w:hint="eastAsia" w:ascii="宋体" w:hAnsi="宋体" w:eastAsia="宋体" w:cs="宋体"/>
          <w:color w:val="auto"/>
          <w:sz w:val="21"/>
          <w:szCs w:val="21"/>
          <w:lang w:val="en-US" w:eastAsia="zh-CN" w:bidi="ar-SA"/>
        </w:rPr>
        <w:t>品牌：</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u w:val="none"/>
          <w:lang w:val="en-US" w:eastAsia="zh-CN" w:bidi="ar-SA"/>
        </w:rPr>
        <w:t xml:space="preserve"> </w:t>
      </w:r>
      <w:r>
        <w:rPr>
          <w:rFonts w:hint="eastAsia" w:ascii="宋体" w:hAnsi="宋体" w:eastAsia="宋体" w:cs="宋体"/>
          <w:color w:val="auto"/>
          <w:sz w:val="21"/>
          <w:szCs w:val="21"/>
          <w:lang w:val="en-US" w:eastAsia="zh-CN" w:bidi="ar-SA"/>
        </w:rPr>
        <w:t>型号：</w:t>
      </w:r>
      <w:r>
        <w:rPr>
          <w:rFonts w:hint="eastAsia" w:ascii="宋体" w:hAnsi="宋体" w:eastAsia="宋体" w:cs="宋体"/>
          <w:color w:val="auto"/>
          <w:sz w:val="21"/>
          <w:szCs w:val="21"/>
          <w:u w:val="single"/>
          <w:lang w:val="en-US" w:eastAsia="zh-CN" w:bidi="ar-SA"/>
        </w:rPr>
        <w:t xml:space="preserve">       </w:t>
      </w:r>
    </w:p>
    <w:p w14:paraId="196E672D">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63AF54FC">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         </w:t>
      </w:r>
      <w:r>
        <w:rPr>
          <w:rFonts w:hint="eastAsia" w:ascii="汉仪书宋二S" w:hAnsi="汉仪书宋二S" w:eastAsia="汉仪书宋二S" w:cs="汉仪书宋二S"/>
          <w:color w:val="auto"/>
          <w:sz w:val="21"/>
          <w:szCs w:val="21"/>
          <w:lang w:val="en-US" w:eastAsia="zh-CN" w:bidi="ar-SA"/>
        </w:rPr>
        <w:t>②</w:t>
      </w:r>
      <w:r>
        <w:rPr>
          <w:rFonts w:hint="eastAsia" w:ascii="宋体" w:hAnsi="宋体" w:eastAsia="宋体" w:cs="宋体"/>
          <w:color w:val="auto"/>
          <w:sz w:val="21"/>
          <w:szCs w:val="21"/>
          <w:lang w:val="en-US" w:eastAsia="zh-CN" w:bidi="ar-SA"/>
        </w:rPr>
        <w:t>涉及车辆采购，请填写是否属于新能源汽车：</w:t>
      </w:r>
    </w:p>
    <w:p w14:paraId="0F10BBEF">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color w:val="auto"/>
          <w:sz w:val="21"/>
          <w:szCs w:val="21"/>
          <w:lang w:val="en-US" w:eastAsia="zh-CN" w:bidi="ar-SA"/>
        </w:rPr>
      </w:pPr>
      <w:r>
        <w:rPr>
          <w:rFonts w:hint="eastAsia" w:ascii="宋体" w:hAnsi="宋体" w:eastAsia="宋体" w:cs="宋体"/>
          <w:color w:val="auto"/>
          <w:sz w:val="21"/>
          <w:szCs w:val="21"/>
          <w:lang w:val="en-US" w:eastAsia="zh-CN" w:bidi="ar-SA"/>
        </w:rPr>
        <w:t xml:space="preserve">         </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是，《政府采购品目分类目录》底级品目名称</w:t>
      </w:r>
      <w:r>
        <w:rPr>
          <w:rFonts w:hint="eastAsia" w:ascii="宋体" w:hAnsi="宋体" w:eastAsia="宋体" w:cs="宋体"/>
          <w:color w:val="auto"/>
          <w:sz w:val="21"/>
          <w:szCs w:val="21"/>
          <w:lang w:val="en-US" w:eastAsia="zh-CN" w:bidi="ar-SA"/>
        </w:rPr>
        <w:t>：</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 xml:space="preserve"> 数量：</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 xml:space="preserve"> 金额：</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iCs w:val="0"/>
          <w:color w:val="auto"/>
          <w:sz w:val="21"/>
          <w:szCs w:val="21"/>
          <w:lang w:val="en-US" w:eastAsia="zh-CN" w:bidi="ar-SA"/>
        </w:rPr>
        <w:t xml:space="preserve"> </w:t>
      </w:r>
    </w:p>
    <w:p w14:paraId="2DD0C65C">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color w:val="auto"/>
          <w:sz w:val="21"/>
          <w:szCs w:val="21"/>
          <w:lang w:val="en-US" w:eastAsia="zh-CN" w:bidi="ar-SA"/>
        </w:rPr>
      </w:pPr>
      <w:r>
        <w:rPr>
          <w:rFonts w:hint="eastAsia" w:ascii="宋体" w:hAnsi="宋体" w:eastAsia="宋体" w:cs="宋体"/>
          <w:iCs w:val="0"/>
          <w:color w:val="auto"/>
          <w:sz w:val="21"/>
          <w:szCs w:val="21"/>
          <w:lang w:val="en-US" w:eastAsia="zh-CN" w:bidi="ar-SA"/>
        </w:rPr>
        <w:t xml:space="preserve">         </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否</w:t>
      </w:r>
    </w:p>
    <w:p w14:paraId="617E0949">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color w:val="auto"/>
          <w:sz w:val="21"/>
          <w:szCs w:val="21"/>
          <w:lang w:val="en-US" w:eastAsia="zh-CN" w:bidi="ar-SA"/>
        </w:rPr>
      </w:pPr>
      <w:r>
        <w:rPr>
          <w:rFonts w:hint="eastAsia" w:ascii="宋体" w:hAnsi="宋体" w:eastAsia="宋体" w:cs="宋体"/>
          <w:iCs w:val="0"/>
          <w:color w:val="auto"/>
          <w:sz w:val="21"/>
          <w:szCs w:val="21"/>
          <w:lang w:val="en-US" w:eastAsia="zh-CN" w:bidi="ar-SA"/>
        </w:rPr>
        <w:t xml:space="preserve">    （</w:t>
      </w:r>
      <w:r>
        <w:rPr>
          <w:rFonts w:hint="default" w:ascii="宋体" w:hAnsi="宋体" w:eastAsia="宋体" w:cs="宋体"/>
          <w:iCs w:val="0"/>
          <w:color w:val="auto"/>
          <w:sz w:val="21"/>
          <w:szCs w:val="21"/>
          <w:lang w:val="en" w:eastAsia="zh-CN" w:bidi="ar-SA"/>
        </w:rPr>
        <w:t>4</w:t>
      </w:r>
      <w:r>
        <w:rPr>
          <w:rFonts w:hint="eastAsia" w:ascii="宋体" w:hAnsi="宋体" w:eastAsia="宋体" w:cs="宋体"/>
          <w:iCs w:val="0"/>
          <w:color w:val="auto"/>
          <w:sz w:val="21"/>
          <w:szCs w:val="21"/>
          <w:lang w:val="en-US" w:eastAsia="zh-CN" w:bidi="ar-SA"/>
        </w:rPr>
        <w:t>）政府采购组织形式：</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 xml:space="preserve">政府集中采购  </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 xml:space="preserve">部门集中采购  </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分散采购</w:t>
      </w:r>
    </w:p>
    <w:p w14:paraId="0AD4B62B">
      <w:pPr>
        <w:numPr>
          <w:ilvl w:val="-1"/>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color w:val="auto"/>
          <w:sz w:val="21"/>
          <w:szCs w:val="21"/>
          <w:lang w:val="en-US" w:eastAsia="zh-CN" w:bidi="ar-SA"/>
        </w:rPr>
      </w:pPr>
      <w:r>
        <w:rPr>
          <w:rFonts w:hint="eastAsia" w:ascii="宋体" w:hAnsi="宋体" w:eastAsia="宋体" w:cs="宋体"/>
          <w:iCs w:val="0"/>
          <w:color w:val="auto"/>
          <w:sz w:val="21"/>
          <w:szCs w:val="21"/>
          <w:lang w:val="en-US" w:eastAsia="zh-CN" w:bidi="ar-SA"/>
        </w:rPr>
        <w:t>（</w:t>
      </w:r>
      <w:r>
        <w:rPr>
          <w:rFonts w:hint="default" w:ascii="宋体" w:hAnsi="宋体" w:eastAsia="宋体" w:cs="宋体"/>
          <w:iCs w:val="0"/>
          <w:color w:val="auto"/>
          <w:sz w:val="21"/>
          <w:szCs w:val="21"/>
          <w:lang w:val="en" w:eastAsia="zh-CN" w:bidi="ar-SA"/>
        </w:rPr>
        <w:t>5</w:t>
      </w:r>
      <w:r>
        <w:rPr>
          <w:rFonts w:hint="eastAsia" w:ascii="宋体" w:hAnsi="宋体" w:eastAsia="宋体" w:cs="宋体"/>
          <w:iCs w:val="0"/>
          <w:color w:val="auto"/>
          <w:sz w:val="21"/>
          <w:szCs w:val="21"/>
          <w:lang w:val="en-US" w:eastAsia="zh-CN" w:bidi="ar-SA"/>
        </w:rPr>
        <w:t>）政府采购方式：</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 xml:space="preserve">公开招标 </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 xml:space="preserve">邀请招标 </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 xml:space="preserve">竞争性谈判 </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竞争性磋商</w:t>
      </w:r>
    </w:p>
    <w:p w14:paraId="32D8B146">
      <w:pPr>
        <w:numPr>
          <w:ilvl w:val="-1"/>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color w:val="auto"/>
          <w:sz w:val="21"/>
          <w:szCs w:val="21"/>
          <w:u w:val="single"/>
          <w:lang w:val="en-US" w:eastAsia="zh-CN" w:bidi="ar-SA"/>
        </w:rPr>
      </w:pPr>
      <w:r>
        <w:rPr>
          <w:rFonts w:hint="eastAsia" w:ascii="宋体" w:hAnsi="宋体" w:eastAsia="华文楷体" w:cs="宋体"/>
          <w:color w:val="auto"/>
          <w:sz w:val="22"/>
          <w:szCs w:val="21"/>
          <w:u w:val="none"/>
          <w:lang w:val="en-US" w:eastAsia="zh-CN" w:bidi="ar-SA"/>
        </w:rPr>
        <w:t xml:space="preserve">                  </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 xml:space="preserve">询价 </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 xml:space="preserve">单一来源 </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 xml:space="preserve">框架协议 </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其他：</w:t>
      </w:r>
      <w:r>
        <w:rPr>
          <w:rFonts w:hint="eastAsia" w:ascii="宋体" w:hAnsi="宋体" w:eastAsia="宋体" w:cs="宋体"/>
          <w:iCs w:val="0"/>
          <w:color w:val="auto"/>
          <w:sz w:val="21"/>
          <w:szCs w:val="21"/>
          <w:u w:val="single"/>
          <w:lang w:val="en-US" w:eastAsia="zh-CN" w:bidi="ar-SA"/>
        </w:rPr>
        <w:t xml:space="preserve">          </w:t>
      </w:r>
    </w:p>
    <w:p w14:paraId="6278A382">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color w:val="auto"/>
          <w:sz w:val="21"/>
          <w:szCs w:val="21"/>
          <w:u w:val="none"/>
          <w:lang w:val="en-US" w:eastAsia="zh-CN" w:bidi="ar-SA"/>
        </w:rPr>
      </w:pPr>
      <w:r>
        <w:rPr>
          <w:rFonts w:hint="eastAsia" w:ascii="宋体" w:hAnsi="宋体" w:eastAsia="宋体" w:cs="宋体"/>
          <w:iCs w:val="0"/>
          <w:color w:val="auto"/>
          <w:sz w:val="21"/>
          <w:szCs w:val="21"/>
          <w:u w:val="none"/>
          <w:lang w:val="en-US" w:eastAsia="zh-CN" w:bidi="ar-SA"/>
        </w:rPr>
        <w:t>（注：在框架协议采购的第二阶段，可选择使用该合同文本）</w:t>
      </w:r>
    </w:p>
    <w:p w14:paraId="578CA9E3">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lang w:val="en-US" w:eastAsia="zh-CN" w:bidi="ar-SA"/>
        </w:rPr>
      </w:pPr>
      <w:r>
        <w:rPr>
          <w:rFonts w:hint="eastAsia" w:ascii="宋体" w:hAnsi="宋体" w:eastAsia="华文楷体" w:cs="华文楷体"/>
          <w:color w:val="auto"/>
          <w:sz w:val="22"/>
          <w:szCs w:val="21"/>
          <w:lang w:val="en-US" w:eastAsia="zh-CN" w:bidi="ar-SA"/>
        </w:rPr>
        <w:t xml:space="preserve"> （</w:t>
      </w:r>
      <w:r>
        <w:rPr>
          <w:rFonts w:hint="default" w:ascii="宋体" w:hAnsi="宋体" w:eastAsia="华文楷体" w:cs="华文楷体"/>
          <w:color w:val="auto"/>
          <w:sz w:val="22"/>
          <w:szCs w:val="21"/>
          <w:lang w:val="en" w:eastAsia="zh-CN" w:bidi="ar-SA"/>
        </w:rPr>
        <w:t>6</w:t>
      </w:r>
      <w:r>
        <w:rPr>
          <w:rFonts w:hint="eastAsia" w:ascii="宋体" w:hAnsi="宋体" w:eastAsia="华文楷体" w:cs="华文楷体"/>
          <w:color w:val="auto"/>
          <w:sz w:val="22"/>
          <w:szCs w:val="21"/>
          <w:lang w:val="en-US" w:eastAsia="zh-CN" w:bidi="ar-SA"/>
        </w:rPr>
        <w:t>）</w:t>
      </w:r>
      <w:r>
        <w:rPr>
          <w:rFonts w:hint="eastAsia" w:ascii="宋体" w:hAnsi="宋体" w:eastAsia="宋体" w:cs="Times New Roman"/>
          <w:color w:val="auto"/>
          <w:w w:val="100"/>
          <w:kern w:val="2"/>
          <w:sz w:val="21"/>
          <w:szCs w:val="21"/>
          <w:lang w:val="en-US" w:eastAsia="zh-CN" w:bidi="ar-SA"/>
        </w:rPr>
        <w:t>中标（成交）采购标的制造商是否为中小企业：</w:t>
      </w:r>
      <w:r>
        <w:rPr>
          <w:rFonts w:hint="eastAsia" w:ascii="宋体" w:hAnsi="宋体" w:eastAsia="宋体" w:cs="Times New Roman"/>
          <w:color w:val="auto"/>
          <w:w w:val="100"/>
          <w:kern w:val="2"/>
          <w:sz w:val="21"/>
          <w:szCs w:val="21"/>
          <w:lang w:val="en-US" w:eastAsia="zh-CN" w:bidi="ar-SA"/>
        </w:rPr>
        <w:sym w:font="Wingdings" w:char="00A8"/>
      </w:r>
      <w:r>
        <w:rPr>
          <w:rFonts w:hint="eastAsia" w:ascii="宋体" w:hAnsi="宋体" w:eastAsia="宋体" w:cs="Times New Roman"/>
          <w:color w:val="auto"/>
          <w:w w:val="100"/>
          <w:kern w:val="2"/>
          <w:sz w:val="21"/>
          <w:szCs w:val="21"/>
          <w:lang w:val="en-US" w:eastAsia="zh-CN" w:bidi="ar-SA"/>
        </w:rPr>
        <w:t xml:space="preserve">是      </w:t>
      </w:r>
      <w:r>
        <w:rPr>
          <w:rFonts w:hint="eastAsia" w:ascii="宋体" w:hAnsi="宋体" w:eastAsia="宋体" w:cs="Times New Roman"/>
          <w:color w:val="auto"/>
          <w:w w:val="100"/>
          <w:kern w:val="2"/>
          <w:sz w:val="21"/>
          <w:szCs w:val="21"/>
          <w:lang w:val="en-US" w:eastAsia="zh-CN" w:bidi="ar-SA"/>
        </w:rPr>
        <w:sym w:font="Wingdings" w:char="00A8"/>
      </w:r>
      <w:r>
        <w:rPr>
          <w:rFonts w:hint="eastAsia" w:ascii="宋体" w:hAnsi="宋体" w:eastAsia="宋体" w:cs="Times New Roman"/>
          <w:color w:val="auto"/>
          <w:w w:val="100"/>
          <w:kern w:val="2"/>
          <w:sz w:val="21"/>
          <w:szCs w:val="21"/>
          <w:lang w:val="en-US" w:eastAsia="zh-CN" w:bidi="ar-SA"/>
        </w:rPr>
        <w:t>否</w:t>
      </w:r>
    </w:p>
    <w:p w14:paraId="7AD73031">
      <w:pPr>
        <w:widowControl w:val="0"/>
        <w:numPr>
          <w:ilvl w:val="-1"/>
          <w:numId w:val="0"/>
        </w:numPr>
        <w:adjustRightInd w:val="0"/>
        <w:snapToGrid w:val="0"/>
        <w:spacing w:before="0" w:beforeLines="0" w:line="400" w:lineRule="exact"/>
        <w:ind w:left="0" w:leftChars="0" w:firstLine="0" w:firstLineChars="0"/>
        <w:textAlignment w:val="auto"/>
        <w:rPr>
          <w:rFonts w:hint="eastAsia" w:ascii="宋体" w:hAnsi="宋体" w:eastAsia="宋体"/>
          <w:iCs/>
          <w:color w:val="auto"/>
          <w:kern w:val="2"/>
          <w:szCs w:val="21"/>
        </w:rPr>
      </w:pPr>
      <w:r>
        <w:rPr>
          <w:rFonts w:hint="eastAsia" w:ascii="宋体" w:hAnsi="宋体" w:eastAsia="宋体"/>
          <w:color w:val="auto"/>
          <w:w w:val="100"/>
          <w:kern w:val="2"/>
          <w:szCs w:val="21"/>
          <w:lang w:val="en-US" w:eastAsia="zh-CN"/>
        </w:rPr>
        <w:t xml:space="preserve">         本合同</w:t>
      </w:r>
      <w:r>
        <w:rPr>
          <w:rFonts w:hint="eastAsia" w:ascii="宋体" w:hAnsi="宋体" w:eastAsia="宋体"/>
          <w:color w:val="auto"/>
          <w:w w:val="100"/>
          <w:kern w:val="2"/>
          <w:szCs w:val="21"/>
        </w:rPr>
        <w:t>是否</w:t>
      </w:r>
      <w:r>
        <w:rPr>
          <w:rFonts w:hint="eastAsia" w:ascii="宋体" w:hAnsi="宋体" w:eastAsia="宋体"/>
          <w:color w:val="auto"/>
          <w:w w:val="100"/>
          <w:kern w:val="2"/>
          <w:szCs w:val="21"/>
          <w:lang w:eastAsia="zh-CN"/>
        </w:rPr>
        <w:t>为专门面向</w:t>
      </w:r>
      <w:r>
        <w:rPr>
          <w:rFonts w:hint="eastAsia" w:ascii="宋体" w:hAnsi="宋体" w:eastAsia="宋体"/>
          <w:color w:val="auto"/>
          <w:w w:val="100"/>
          <w:kern w:val="2"/>
          <w:szCs w:val="21"/>
        </w:rPr>
        <w:t>中小企业</w:t>
      </w:r>
      <w:r>
        <w:rPr>
          <w:rFonts w:hint="eastAsia" w:ascii="宋体" w:hAnsi="宋体" w:eastAsia="宋体"/>
          <w:color w:val="auto"/>
          <w:w w:val="100"/>
          <w:kern w:val="2"/>
          <w:szCs w:val="21"/>
          <w:lang w:eastAsia="zh-CN"/>
        </w:rPr>
        <w:t>的采</w:t>
      </w:r>
      <w:r>
        <w:rPr>
          <w:rFonts w:hint="eastAsia" w:ascii="宋体" w:hAnsi="宋体" w:eastAsia="宋体"/>
          <w:color w:val="auto"/>
          <w:w w:val="100"/>
          <w:kern w:val="2"/>
          <w:szCs w:val="21"/>
          <w:shd w:val="clear"/>
          <w:lang w:eastAsia="zh-CN"/>
        </w:rPr>
        <w:t>购</w:t>
      </w:r>
      <w:r>
        <w:rPr>
          <w:rFonts w:hint="eastAsia" w:ascii="宋体" w:hAnsi="宋体" w:eastAsia="宋体"/>
          <w:color w:val="auto"/>
          <w:w w:val="100"/>
          <w:kern w:val="2"/>
          <w:szCs w:val="21"/>
          <w:shd w:val="clear"/>
        </w:rPr>
        <w:t>合同</w:t>
      </w:r>
      <w:r>
        <w:rPr>
          <w:rFonts w:hint="eastAsia" w:ascii="宋体" w:hAnsi="宋体" w:eastAsia="宋体"/>
          <w:color w:val="auto"/>
          <w:w w:val="100"/>
          <w:kern w:val="2"/>
          <w:szCs w:val="21"/>
          <w:shd w:val="clear"/>
          <w:lang w:eastAsia="zh-CN"/>
        </w:rPr>
        <w:t>（中小企业预留合同）</w:t>
      </w:r>
      <w:r>
        <w:rPr>
          <w:rFonts w:hint="eastAsia" w:ascii="宋体" w:hAnsi="宋体" w:eastAsia="宋体"/>
          <w:color w:val="auto"/>
          <w:kern w:val="2"/>
          <w:szCs w:val="21"/>
          <w:shd w:val="clear"/>
        </w:rPr>
        <w:t>：</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rPr>
        <w:t xml:space="preserve">是 </w:t>
      </w:r>
      <w:r>
        <w:rPr>
          <w:rFonts w:hint="eastAsia" w:ascii="宋体" w:hAnsi="宋体" w:eastAsia="宋体"/>
          <w:iCs/>
          <w:color w:val="auto"/>
          <w:kern w:val="2"/>
          <w:szCs w:val="21"/>
          <w:lang w:val="en-US" w:eastAsia="zh-CN"/>
        </w:rPr>
        <w:t xml:space="preserve">  </w:t>
      </w:r>
      <w:r>
        <w:rPr>
          <w:rFonts w:hint="eastAsia" w:ascii="宋体" w:hAnsi="宋体" w:eastAsia="宋体"/>
          <w:iCs/>
          <w:color w:val="auto"/>
          <w:kern w:val="2"/>
          <w:szCs w:val="21"/>
        </w:rPr>
        <w:t xml:space="preserve"> </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rPr>
        <w:t>否</w:t>
      </w:r>
    </w:p>
    <w:p w14:paraId="53310705">
      <w:pPr>
        <w:widowControl w:val="0"/>
        <w:numPr>
          <w:ilvl w:val="-1"/>
          <w:numId w:val="0"/>
        </w:numPr>
        <w:adjustRightInd w:val="0"/>
        <w:snapToGrid w:val="0"/>
        <w:spacing w:before="0" w:beforeLines="0" w:line="400" w:lineRule="exact"/>
        <w:ind w:firstLine="0" w:firstLineChars="0"/>
        <w:textAlignment w:val="auto"/>
        <w:rPr>
          <w:rFonts w:hint="eastAsia" w:ascii="宋体" w:hAnsi="宋体" w:eastAsia="宋体"/>
          <w:iCs/>
          <w:color w:val="auto"/>
          <w:kern w:val="2"/>
          <w:szCs w:val="21"/>
        </w:rPr>
      </w:pPr>
      <w:r>
        <w:rPr>
          <w:rFonts w:hint="eastAsia" w:eastAsia="宋体"/>
          <w:color w:val="auto"/>
          <w:kern w:val="2"/>
          <w:szCs w:val="24"/>
          <w:lang w:val="en-US" w:eastAsia="zh-CN"/>
        </w:rPr>
        <w:t xml:space="preserve">         若本项目不专门面向中小企业采购，是否给予小微企业评审优惠：</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rPr>
        <w:t xml:space="preserve">是   </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rPr>
        <w:t>否</w:t>
      </w:r>
    </w:p>
    <w:p w14:paraId="29263764">
      <w:pPr>
        <w:widowControl w:val="0"/>
        <w:numPr>
          <w:ilvl w:val="-1"/>
          <w:numId w:val="0"/>
        </w:numPr>
        <w:adjustRightInd w:val="0"/>
        <w:snapToGrid w:val="0"/>
        <w:spacing w:before="0" w:beforeLines="0" w:line="400" w:lineRule="exact"/>
        <w:ind w:firstLine="0" w:firstLineChars="0"/>
        <w:textAlignment w:val="auto"/>
        <w:rPr>
          <w:rFonts w:hint="eastAsia" w:ascii="宋体" w:hAnsi="宋体" w:eastAsia="宋体"/>
          <w:iCs/>
          <w:color w:val="auto"/>
          <w:kern w:val="2"/>
          <w:szCs w:val="21"/>
        </w:rPr>
      </w:pPr>
      <w:r>
        <w:rPr>
          <w:rFonts w:hint="eastAsia" w:eastAsia="宋体"/>
          <w:color w:val="auto"/>
          <w:kern w:val="2"/>
          <w:szCs w:val="24"/>
          <w:lang w:val="en-US" w:eastAsia="zh-CN"/>
        </w:rPr>
        <w:t xml:space="preserve">         中标（成交）采购标的制造商是否为残疾人福利性单位：</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rPr>
        <w:t xml:space="preserve">是   </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rPr>
        <w:t>否</w:t>
      </w:r>
    </w:p>
    <w:p w14:paraId="02EBACC5">
      <w:pPr>
        <w:widowControl w:val="0"/>
        <w:numPr>
          <w:ilvl w:val="0"/>
          <w:numId w:val="0"/>
        </w:numPr>
        <w:snapToGrid w:val="0"/>
        <w:spacing w:beforeLines="0" w:line="400" w:lineRule="exact"/>
        <w:ind w:firstLine="0" w:firstLineChars="0"/>
        <w:textAlignment w:val="auto"/>
        <w:rPr>
          <w:rFonts w:hint="default" w:eastAsia="宋体"/>
          <w:color w:val="auto"/>
          <w:kern w:val="2"/>
          <w:szCs w:val="24"/>
          <w:lang w:val="en-US" w:eastAsia="zh-CN"/>
        </w:rPr>
      </w:pPr>
      <w:r>
        <w:rPr>
          <w:rFonts w:hint="eastAsia" w:eastAsia="宋体"/>
          <w:color w:val="auto"/>
          <w:kern w:val="2"/>
          <w:szCs w:val="24"/>
          <w:lang w:val="en-US" w:eastAsia="zh-CN"/>
        </w:rPr>
        <w:t xml:space="preserve">         中标（成交）采购标的制造商是否为监狱企业：</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rPr>
        <w:t xml:space="preserve">是       </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rPr>
        <w:t>否</w:t>
      </w:r>
    </w:p>
    <w:p w14:paraId="3B99B38D">
      <w:pPr>
        <w:widowControl w:val="0"/>
        <w:adjustRightInd w:val="0"/>
        <w:snapToGrid w:val="0"/>
        <w:spacing w:before="0" w:beforeLines="0" w:line="400" w:lineRule="exact"/>
        <w:ind w:firstLine="420" w:firstLineChars="200"/>
        <w:textAlignment w:val="auto"/>
        <w:rPr>
          <w:rFonts w:ascii="宋体" w:hAnsi="宋体" w:eastAsia="宋体"/>
          <w:color w:val="auto"/>
          <w:kern w:val="2"/>
          <w:szCs w:val="21"/>
        </w:rPr>
      </w:pPr>
      <w:r>
        <w:rPr>
          <w:rFonts w:hint="eastAsia" w:ascii="宋体" w:hAnsi="宋体" w:eastAsia="宋体"/>
          <w:color w:val="auto"/>
          <w:kern w:val="2"/>
          <w:szCs w:val="21"/>
        </w:rPr>
        <w:t>（</w:t>
      </w:r>
      <w:r>
        <w:rPr>
          <w:rFonts w:hint="default" w:ascii="宋体" w:hAnsi="宋体" w:eastAsia="宋体"/>
          <w:color w:val="auto"/>
          <w:kern w:val="2"/>
          <w:szCs w:val="21"/>
          <w:lang w:val="en" w:eastAsia="zh-CN"/>
        </w:rPr>
        <w:t>7</w:t>
      </w:r>
      <w:r>
        <w:rPr>
          <w:rFonts w:hint="eastAsia" w:ascii="宋体" w:hAnsi="宋体" w:eastAsia="宋体"/>
          <w:color w:val="auto"/>
          <w:kern w:val="2"/>
          <w:szCs w:val="21"/>
        </w:rPr>
        <w:t>）合同是否分包：</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rPr>
        <w:t xml:space="preserve">是       </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rPr>
        <w:t>否</w:t>
      </w:r>
    </w:p>
    <w:p w14:paraId="1774672C">
      <w:pPr>
        <w:widowControl w:val="0"/>
        <w:adjustRightInd w:val="0"/>
        <w:snapToGrid w:val="0"/>
        <w:spacing w:before="0" w:beforeLines="0" w:line="400" w:lineRule="exact"/>
        <w:ind w:firstLine="840" w:firstLineChars="400"/>
        <w:textAlignment w:val="auto"/>
        <w:rPr>
          <w:rFonts w:hint="eastAsia" w:ascii="宋体" w:hAnsi="宋体" w:eastAsia="宋体"/>
          <w:color w:val="auto"/>
          <w:kern w:val="2"/>
          <w:szCs w:val="21"/>
          <w:u w:val="single"/>
        </w:rPr>
      </w:pPr>
      <w:r>
        <w:rPr>
          <w:rFonts w:hint="eastAsia" w:ascii="宋体" w:hAnsi="宋体" w:eastAsia="宋体"/>
          <w:color w:val="auto"/>
          <w:kern w:val="2"/>
          <w:szCs w:val="21"/>
          <w:lang w:val="en-US" w:eastAsia="zh-CN"/>
        </w:rPr>
        <w:t xml:space="preserve"> </w:t>
      </w:r>
      <w:r>
        <w:rPr>
          <w:rFonts w:hint="eastAsia" w:ascii="宋体" w:hAnsi="宋体" w:eastAsia="宋体"/>
          <w:color w:val="auto"/>
          <w:kern w:val="2"/>
          <w:szCs w:val="21"/>
        </w:rPr>
        <w:t>分包主要内容：</w:t>
      </w:r>
      <w:r>
        <w:rPr>
          <w:rFonts w:hint="eastAsia" w:ascii="宋体" w:hAnsi="宋体" w:eastAsia="宋体"/>
          <w:color w:val="auto"/>
          <w:kern w:val="2"/>
          <w:szCs w:val="21"/>
          <w:u w:val="single"/>
        </w:rPr>
        <w:t xml:space="preserve">                                        </w:t>
      </w:r>
      <w:r>
        <w:rPr>
          <w:rFonts w:hint="eastAsia" w:ascii="宋体" w:hAnsi="宋体" w:eastAsia="宋体"/>
          <w:color w:val="auto"/>
          <w:kern w:val="2"/>
          <w:szCs w:val="21"/>
          <w:u w:val="single"/>
          <w:lang w:val="en-US" w:eastAsia="zh-CN"/>
        </w:rPr>
        <w:t xml:space="preserve"> </w:t>
      </w:r>
      <w:r>
        <w:rPr>
          <w:rFonts w:hint="eastAsia" w:ascii="宋体" w:hAnsi="宋体" w:eastAsia="宋体"/>
          <w:color w:val="auto"/>
          <w:kern w:val="2"/>
          <w:szCs w:val="21"/>
          <w:u w:val="single"/>
        </w:rPr>
        <w:t xml:space="preserve">   </w:t>
      </w:r>
    </w:p>
    <w:p w14:paraId="0516BC41">
      <w:pPr>
        <w:widowControl w:val="0"/>
        <w:adjustRightInd w:val="0"/>
        <w:snapToGrid w:val="0"/>
        <w:spacing w:before="0" w:beforeLines="0" w:line="400" w:lineRule="exact"/>
        <w:ind w:firstLine="840" w:firstLineChars="400"/>
        <w:textAlignment w:val="auto"/>
        <w:rPr>
          <w:rFonts w:hint="eastAsia" w:ascii="宋体" w:hAnsi="宋体" w:eastAsia="宋体"/>
          <w:color w:val="auto"/>
          <w:kern w:val="2"/>
          <w:szCs w:val="21"/>
          <w:highlight w:val="none"/>
        </w:rPr>
      </w:pPr>
      <w:r>
        <w:rPr>
          <w:rFonts w:hint="eastAsia" w:ascii="宋体" w:hAnsi="宋体" w:eastAsia="宋体"/>
          <w:color w:val="auto"/>
          <w:kern w:val="2"/>
          <w:szCs w:val="21"/>
          <w:u w:val="none"/>
          <w:lang w:val="en-US" w:eastAsia="zh-CN"/>
        </w:rPr>
        <w:t xml:space="preserve"> </w:t>
      </w:r>
      <w:r>
        <w:rPr>
          <w:rFonts w:hint="eastAsia" w:ascii="宋体" w:hAnsi="宋体" w:eastAsia="宋体"/>
          <w:color w:val="auto"/>
          <w:kern w:val="2"/>
          <w:szCs w:val="21"/>
        </w:rPr>
        <w:t>分包</w:t>
      </w:r>
      <w:r>
        <w:rPr>
          <w:rFonts w:hint="eastAsia" w:ascii="宋体" w:hAnsi="宋体" w:eastAsia="宋体"/>
          <w:color w:val="auto"/>
          <w:kern w:val="2"/>
          <w:szCs w:val="21"/>
          <w:highlight w:val="none"/>
        </w:rPr>
        <w:t>供应商</w:t>
      </w:r>
      <w:r>
        <w:rPr>
          <w:rFonts w:hint="eastAsia" w:ascii="宋体" w:hAnsi="宋体" w:eastAsia="宋体"/>
          <w:color w:val="auto"/>
          <w:kern w:val="2"/>
          <w:szCs w:val="21"/>
          <w:highlight w:val="none"/>
          <w:lang w:eastAsia="zh-CN"/>
        </w:rPr>
        <w:t>/制造商</w:t>
      </w:r>
      <w:r>
        <w:rPr>
          <w:rFonts w:hint="eastAsia" w:ascii="宋体" w:hAnsi="宋体" w:eastAsia="宋体"/>
          <w:color w:val="auto"/>
          <w:kern w:val="2"/>
          <w:szCs w:val="21"/>
          <w:highlight w:val="none"/>
        </w:rPr>
        <w:t>名称</w:t>
      </w:r>
      <w:r>
        <w:rPr>
          <w:rFonts w:hint="eastAsia" w:ascii="宋体" w:hAnsi="宋体" w:eastAsia="宋体"/>
          <w:color w:val="auto"/>
          <w:kern w:val="2"/>
          <w:szCs w:val="21"/>
          <w:highlight w:val="none"/>
          <w:lang w:eastAsia="zh-CN"/>
        </w:rPr>
        <w:t>（如供应商和制造商不同，请分别填写）</w:t>
      </w:r>
      <w:r>
        <w:rPr>
          <w:rFonts w:hint="eastAsia" w:ascii="宋体" w:hAnsi="宋体" w:eastAsia="宋体"/>
          <w:color w:val="auto"/>
          <w:kern w:val="2"/>
          <w:szCs w:val="21"/>
          <w:highlight w:val="none"/>
        </w:rPr>
        <w:t>：</w:t>
      </w:r>
    </w:p>
    <w:p w14:paraId="2506DB7A">
      <w:pPr>
        <w:widowControl w:val="0"/>
        <w:adjustRightInd w:val="0"/>
        <w:snapToGrid w:val="0"/>
        <w:spacing w:before="0" w:beforeLines="0" w:line="400" w:lineRule="exact"/>
        <w:ind w:firstLine="840" w:firstLineChars="400"/>
        <w:textAlignment w:val="auto"/>
        <w:rPr>
          <w:rFonts w:ascii="宋体" w:hAnsi="宋体" w:eastAsia="宋体"/>
          <w:color w:val="auto"/>
          <w:kern w:val="2"/>
          <w:szCs w:val="21"/>
          <w:highlight w:val="none"/>
          <w:u w:val="single"/>
        </w:rPr>
      </w:pPr>
      <w:r>
        <w:rPr>
          <w:rFonts w:hint="eastAsia" w:ascii="宋体" w:hAnsi="宋体" w:eastAsia="宋体"/>
          <w:color w:val="auto"/>
          <w:kern w:val="2"/>
          <w:szCs w:val="21"/>
          <w:highlight w:val="none"/>
          <w:u w:val="none"/>
        </w:rPr>
        <w:t xml:space="preserve"> </w:t>
      </w:r>
      <w:r>
        <w:rPr>
          <w:rFonts w:hint="eastAsia" w:ascii="宋体" w:hAnsi="宋体" w:eastAsia="宋体"/>
          <w:color w:val="auto"/>
          <w:kern w:val="2"/>
          <w:szCs w:val="21"/>
          <w:highlight w:val="none"/>
          <w:u w:val="single"/>
          <w:lang w:val="en-US" w:eastAsia="zh-CN"/>
        </w:rPr>
        <w:t xml:space="preserve">  </w:t>
      </w:r>
      <w:r>
        <w:rPr>
          <w:rFonts w:hint="eastAsia" w:ascii="宋体" w:hAnsi="宋体" w:eastAsia="宋体"/>
          <w:color w:val="auto"/>
          <w:kern w:val="2"/>
          <w:szCs w:val="21"/>
          <w:highlight w:val="none"/>
          <w:u w:val="single"/>
        </w:rPr>
        <w:t xml:space="preserve">                                 </w:t>
      </w:r>
      <w:r>
        <w:rPr>
          <w:rFonts w:hint="eastAsia" w:ascii="宋体" w:hAnsi="宋体" w:eastAsia="宋体"/>
          <w:color w:val="auto"/>
          <w:kern w:val="2"/>
          <w:szCs w:val="21"/>
          <w:highlight w:val="none"/>
          <w:u w:val="single"/>
          <w:lang w:val="en-US" w:eastAsia="zh-CN"/>
        </w:rPr>
        <w:t xml:space="preserve">                       </w:t>
      </w:r>
    </w:p>
    <w:p w14:paraId="5A25F217">
      <w:pPr>
        <w:widowControl w:val="0"/>
        <w:adjustRightInd w:val="0"/>
        <w:snapToGrid w:val="0"/>
        <w:spacing w:before="0" w:beforeLines="0" w:line="400" w:lineRule="exact"/>
        <w:ind w:firstLine="840" w:firstLineChars="400"/>
        <w:textAlignment w:val="auto"/>
        <w:rPr>
          <w:rFonts w:hint="eastAsia" w:ascii="宋体" w:hAnsi="宋体" w:eastAsia="宋体"/>
          <w:color w:val="auto"/>
          <w:kern w:val="2"/>
          <w:szCs w:val="21"/>
        </w:rPr>
      </w:pPr>
      <w:r>
        <w:rPr>
          <w:rFonts w:hint="eastAsia" w:ascii="宋体" w:hAnsi="宋体" w:eastAsia="宋体"/>
          <w:color w:val="auto"/>
          <w:kern w:val="2"/>
          <w:szCs w:val="21"/>
          <w:highlight w:val="none"/>
          <w:lang w:val="en-US" w:eastAsia="zh-CN"/>
        </w:rPr>
        <w:t xml:space="preserve"> </w:t>
      </w:r>
      <w:r>
        <w:rPr>
          <w:rFonts w:hint="eastAsia" w:ascii="宋体" w:hAnsi="宋体" w:eastAsia="宋体"/>
          <w:color w:val="auto"/>
          <w:kern w:val="2"/>
          <w:szCs w:val="21"/>
          <w:highlight w:val="none"/>
        </w:rPr>
        <w:t>分包供应商</w:t>
      </w:r>
      <w:r>
        <w:rPr>
          <w:rFonts w:hint="eastAsia" w:ascii="宋体" w:hAnsi="宋体" w:eastAsia="宋体"/>
          <w:color w:val="auto"/>
          <w:kern w:val="2"/>
          <w:szCs w:val="21"/>
          <w:highlight w:val="none"/>
          <w:lang w:val="en-US" w:eastAsia="zh-CN"/>
        </w:rPr>
        <w:t>/</w:t>
      </w:r>
      <w:r>
        <w:rPr>
          <w:rFonts w:hint="eastAsia" w:ascii="宋体" w:hAnsi="宋体" w:eastAsia="宋体"/>
          <w:color w:val="auto"/>
          <w:kern w:val="2"/>
          <w:szCs w:val="21"/>
          <w:highlight w:val="none"/>
          <w:lang w:eastAsia="zh-CN"/>
        </w:rPr>
        <w:t>制造商</w:t>
      </w:r>
      <w:r>
        <w:rPr>
          <w:rFonts w:hint="eastAsia" w:ascii="宋体" w:hAnsi="宋体" w:eastAsia="宋体"/>
          <w:color w:val="auto"/>
          <w:kern w:val="2"/>
          <w:szCs w:val="21"/>
        </w:rPr>
        <w:t>类型</w:t>
      </w:r>
      <w:r>
        <w:rPr>
          <w:rFonts w:hint="eastAsia" w:ascii="宋体" w:hAnsi="宋体" w:eastAsia="宋体"/>
          <w:color w:val="auto"/>
          <w:kern w:val="2"/>
          <w:szCs w:val="21"/>
          <w:highlight w:val="none"/>
          <w:lang w:eastAsia="zh-CN"/>
        </w:rPr>
        <w:t>（如果供应商和制造商不同，只填写制造商类型）</w:t>
      </w:r>
      <w:r>
        <w:rPr>
          <w:rFonts w:hint="eastAsia" w:ascii="宋体" w:hAnsi="宋体" w:eastAsia="宋体"/>
          <w:color w:val="auto"/>
          <w:kern w:val="2"/>
          <w:szCs w:val="21"/>
        </w:rPr>
        <w:t>：</w:t>
      </w:r>
    </w:p>
    <w:p w14:paraId="000A360B">
      <w:pPr>
        <w:widowControl w:val="0"/>
        <w:adjustRightInd w:val="0"/>
        <w:snapToGrid w:val="0"/>
        <w:spacing w:beforeLines="0" w:line="400" w:lineRule="exact"/>
        <w:ind w:firstLine="840" w:firstLineChars="400"/>
        <w:textAlignment w:val="auto"/>
        <w:rPr>
          <w:rFonts w:hint="eastAsia" w:ascii="宋体" w:hAnsi="宋体" w:eastAsia="宋体"/>
          <w:iCs/>
          <w:color w:val="auto"/>
          <w:kern w:val="2"/>
          <w:szCs w:val="21"/>
          <w:lang w:val="en-US" w:eastAsia="zh-CN"/>
        </w:rPr>
      </w:pPr>
      <w:r>
        <w:rPr>
          <w:rFonts w:hint="eastAsia" w:ascii="宋体" w:hAnsi="宋体" w:eastAsia="宋体"/>
          <w:iCs/>
          <w:color w:val="auto"/>
          <w:kern w:val="2"/>
          <w:szCs w:val="21"/>
          <w:lang w:val="en-US" w:eastAsia="zh-CN"/>
        </w:rPr>
        <w:t xml:space="preserve"> </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rPr>
        <w:t xml:space="preserve">大型企业  </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rPr>
        <w:t xml:space="preserve">中型企业  </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rPr>
        <w:t>小微型企业</w:t>
      </w:r>
      <w:r>
        <w:rPr>
          <w:rFonts w:hint="eastAsia" w:ascii="宋体" w:hAnsi="宋体" w:eastAsia="宋体"/>
          <w:iCs/>
          <w:color w:val="auto"/>
          <w:kern w:val="2"/>
          <w:szCs w:val="21"/>
          <w:lang w:val="en-US" w:eastAsia="zh-CN"/>
        </w:rPr>
        <w:t xml:space="preserve">  </w:t>
      </w:r>
    </w:p>
    <w:p w14:paraId="60EADD3A">
      <w:pPr>
        <w:widowControl w:val="0"/>
        <w:adjustRightInd w:val="0"/>
        <w:snapToGrid w:val="0"/>
        <w:spacing w:beforeLines="0" w:line="400" w:lineRule="exact"/>
        <w:ind w:firstLine="840" w:firstLineChars="400"/>
        <w:textAlignment w:val="auto"/>
        <w:rPr>
          <w:rFonts w:hint="default" w:eastAsia="华文楷体"/>
          <w:color w:val="auto"/>
          <w:kern w:val="2"/>
          <w:szCs w:val="24"/>
          <w:u w:val="none"/>
          <w:lang w:val="en-US" w:eastAsia="zh-CN"/>
        </w:rPr>
      </w:pPr>
      <w:r>
        <w:rPr>
          <w:rFonts w:hint="eastAsia" w:ascii="宋体" w:hAnsi="宋体" w:eastAsia="宋体"/>
          <w:iCs/>
          <w:color w:val="auto"/>
          <w:kern w:val="2"/>
          <w:szCs w:val="21"/>
          <w:lang w:val="en-US" w:eastAsia="zh-CN"/>
        </w:rPr>
        <w:t xml:space="preserve"> </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lang w:eastAsia="zh-CN"/>
        </w:rPr>
        <w:t>残疾人福利性单位</w:t>
      </w:r>
      <w:r>
        <w:rPr>
          <w:rFonts w:hint="eastAsia" w:ascii="宋体" w:hAnsi="宋体" w:eastAsia="宋体"/>
          <w:iCs/>
          <w:color w:val="auto"/>
          <w:kern w:val="2"/>
          <w:szCs w:val="21"/>
          <w:lang w:val="en-US" w:eastAsia="zh-CN"/>
        </w:rPr>
        <w:t xml:space="preserve"> </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lang w:eastAsia="zh-CN"/>
        </w:rPr>
        <w:t>监狱</w:t>
      </w:r>
      <w:r>
        <w:rPr>
          <w:rFonts w:hint="eastAsia" w:ascii="宋体" w:hAnsi="宋体" w:eastAsia="宋体"/>
          <w:iCs/>
          <w:color w:val="auto"/>
          <w:kern w:val="2"/>
          <w:szCs w:val="21"/>
        </w:rPr>
        <w:t>企业</w:t>
      </w:r>
      <w:r>
        <w:rPr>
          <w:rFonts w:hint="eastAsia" w:ascii="宋体" w:hAnsi="宋体" w:eastAsia="宋体"/>
          <w:iCs/>
          <w:color w:val="auto"/>
          <w:kern w:val="2"/>
          <w:szCs w:val="21"/>
          <w:lang w:val="en-US" w:eastAsia="zh-CN"/>
        </w:rPr>
        <w:t xml:space="preserve"> </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lang w:eastAsia="zh-CN"/>
        </w:rPr>
        <w:t>其他</w:t>
      </w:r>
    </w:p>
    <w:p w14:paraId="3FFFA3E7">
      <w:pPr>
        <w:widowControl w:val="0"/>
        <w:numPr>
          <w:ilvl w:val="-1"/>
          <w:numId w:val="0"/>
        </w:numPr>
        <w:adjustRightInd w:val="0"/>
        <w:snapToGrid w:val="0"/>
        <w:spacing w:before="0" w:beforeLines="0" w:line="400" w:lineRule="exact"/>
        <w:ind w:left="0" w:leftChars="0" w:firstLine="0" w:firstLineChars="0"/>
        <w:textAlignment w:val="auto"/>
        <w:rPr>
          <w:rFonts w:hint="eastAsia" w:ascii="宋体" w:hAnsi="宋体" w:eastAsia="宋体" w:cs="宋体"/>
          <w:iCs/>
          <w:color w:val="auto"/>
          <w:kern w:val="2"/>
          <w:szCs w:val="21"/>
          <w:highlight w:val="none"/>
        </w:rPr>
      </w:pPr>
      <w:r>
        <w:rPr>
          <w:rFonts w:hint="eastAsia" w:ascii="宋体" w:hAnsi="宋体" w:eastAsia="宋体"/>
          <w:color w:val="auto"/>
          <w:kern w:val="2"/>
          <w:szCs w:val="21"/>
          <w:highlight w:val="none"/>
          <w:u w:val="none"/>
          <w:lang w:val="en-US" w:eastAsia="zh-CN"/>
        </w:rPr>
        <w:t xml:space="preserve">    </w:t>
      </w:r>
      <w:r>
        <w:rPr>
          <w:rFonts w:hint="eastAsia" w:ascii="宋体" w:hAnsi="宋体" w:eastAsia="宋体" w:cs="宋体"/>
          <w:color w:val="auto"/>
          <w:kern w:val="2"/>
          <w:szCs w:val="21"/>
          <w:highlight w:val="none"/>
          <w:u w:val="none"/>
          <w:lang w:val="en-US" w:eastAsia="zh-CN"/>
        </w:rPr>
        <w:t>（</w:t>
      </w:r>
      <w:r>
        <w:rPr>
          <w:rFonts w:hint="default" w:ascii="宋体" w:hAnsi="宋体" w:eastAsia="宋体" w:cs="宋体"/>
          <w:color w:val="auto"/>
          <w:kern w:val="2"/>
          <w:szCs w:val="21"/>
          <w:highlight w:val="none"/>
          <w:u w:val="none"/>
          <w:lang w:val="en" w:eastAsia="zh-CN"/>
        </w:rPr>
        <w:t>8</w:t>
      </w:r>
      <w:r>
        <w:rPr>
          <w:rFonts w:hint="eastAsia" w:ascii="宋体" w:hAnsi="宋体" w:eastAsia="宋体" w:cs="宋体"/>
          <w:color w:val="auto"/>
          <w:kern w:val="2"/>
          <w:szCs w:val="21"/>
          <w:highlight w:val="none"/>
          <w:u w:val="none"/>
          <w:lang w:val="en-US" w:eastAsia="zh-CN"/>
        </w:rPr>
        <w:t>）中标（成交）供应商是否为外商投资企业：</w:t>
      </w:r>
      <w:r>
        <w:rPr>
          <w:rFonts w:hint="eastAsia" w:ascii="宋体" w:hAnsi="宋体" w:eastAsia="宋体" w:cs="宋体"/>
          <w:iCs/>
          <w:color w:val="auto"/>
          <w:kern w:val="2"/>
          <w:szCs w:val="21"/>
          <w:highlight w:val="none"/>
        </w:rPr>
        <w:sym w:font="Wingdings" w:char="00A8"/>
      </w:r>
      <w:r>
        <w:rPr>
          <w:rFonts w:hint="eastAsia" w:ascii="宋体" w:hAnsi="宋体" w:eastAsia="宋体" w:cs="宋体"/>
          <w:iCs/>
          <w:color w:val="auto"/>
          <w:kern w:val="2"/>
          <w:szCs w:val="21"/>
          <w:highlight w:val="none"/>
        </w:rPr>
        <w:t xml:space="preserve">是       </w:t>
      </w:r>
      <w:r>
        <w:rPr>
          <w:rFonts w:hint="eastAsia" w:ascii="宋体" w:hAnsi="宋体" w:eastAsia="宋体" w:cs="宋体"/>
          <w:iCs/>
          <w:color w:val="auto"/>
          <w:kern w:val="2"/>
          <w:szCs w:val="21"/>
          <w:highlight w:val="none"/>
        </w:rPr>
        <w:sym w:font="Wingdings" w:char="00A8"/>
      </w:r>
      <w:r>
        <w:rPr>
          <w:rFonts w:hint="eastAsia" w:ascii="宋体" w:hAnsi="宋体" w:eastAsia="宋体" w:cs="宋体"/>
          <w:iCs/>
          <w:color w:val="auto"/>
          <w:kern w:val="2"/>
          <w:szCs w:val="21"/>
          <w:highlight w:val="none"/>
        </w:rPr>
        <w:t>否</w:t>
      </w:r>
    </w:p>
    <w:p w14:paraId="6AE6FBDF">
      <w:pPr>
        <w:tabs>
          <w:tab w:val="left" w:pos="1340"/>
        </w:tabs>
        <w:autoSpaceDE w:val="0"/>
        <w:autoSpaceDN w:val="0"/>
        <w:adjustRightInd w:val="0"/>
        <w:spacing w:beforeLines="0" w:line="400" w:lineRule="exact"/>
        <w:ind w:firstLine="420" w:firstLineChars="200"/>
        <w:rPr>
          <w:rFonts w:hint="eastAsia" w:ascii="宋体" w:hAnsi="宋体" w:eastAsia="宋体" w:cs="宋体"/>
          <w:color w:val="auto"/>
          <w:sz w:val="21"/>
          <w:szCs w:val="21"/>
          <w:highlight w:val="none"/>
          <w:u w:val="single"/>
          <w:lang w:val="en-US" w:eastAsia="zh-CN" w:bidi="ar-SA"/>
        </w:rPr>
      </w:pPr>
      <w:r>
        <w:rPr>
          <w:rFonts w:hint="eastAsia" w:ascii="宋体" w:hAnsi="宋体" w:eastAsia="宋体" w:cs="宋体"/>
          <w:color w:val="auto"/>
          <w:sz w:val="21"/>
          <w:szCs w:val="21"/>
          <w:highlight w:val="none"/>
          <w:u w:val="none"/>
          <w:lang w:val="en-US" w:eastAsia="zh-CN" w:bidi="ar-SA"/>
        </w:rPr>
        <w:t xml:space="preserve">     外商投资企业类型：</w:t>
      </w:r>
      <w:r>
        <w:rPr>
          <w:rFonts w:hint="eastAsia" w:ascii="宋体" w:hAnsi="宋体" w:eastAsia="宋体" w:cs="宋体"/>
          <w:iCs/>
          <w:color w:val="auto"/>
          <w:sz w:val="21"/>
          <w:szCs w:val="21"/>
          <w:highlight w:val="none"/>
          <w:lang w:val="en-US" w:eastAsia="zh-CN" w:bidi="ar-SA"/>
        </w:rPr>
        <w:sym w:font="Wingdings" w:char="00A8"/>
      </w:r>
      <w:r>
        <w:rPr>
          <w:rFonts w:hint="eastAsia" w:ascii="宋体" w:hAnsi="宋体" w:eastAsia="宋体" w:cs="宋体"/>
          <w:color w:val="auto"/>
          <w:sz w:val="21"/>
          <w:szCs w:val="21"/>
          <w:highlight w:val="none"/>
          <w:u w:val="none"/>
          <w:lang w:val="en-US" w:eastAsia="zh-CN" w:bidi="ar-SA"/>
        </w:rPr>
        <w:t xml:space="preserve">全部由外国投资者投资  </w:t>
      </w:r>
      <w:r>
        <w:rPr>
          <w:rFonts w:hint="eastAsia" w:ascii="宋体" w:hAnsi="宋体" w:eastAsia="宋体" w:cs="宋体"/>
          <w:iCs/>
          <w:color w:val="auto"/>
          <w:sz w:val="21"/>
          <w:szCs w:val="21"/>
          <w:highlight w:val="none"/>
          <w:lang w:val="en-US" w:eastAsia="zh-CN" w:bidi="ar-SA"/>
        </w:rPr>
        <w:sym w:font="Wingdings" w:char="00A8"/>
      </w:r>
      <w:r>
        <w:rPr>
          <w:rFonts w:hint="eastAsia" w:ascii="宋体" w:hAnsi="宋体" w:eastAsia="宋体" w:cs="宋体"/>
          <w:iCs/>
          <w:color w:val="auto"/>
          <w:sz w:val="21"/>
          <w:szCs w:val="21"/>
          <w:highlight w:val="none"/>
          <w:lang w:val="en-US" w:eastAsia="zh-CN" w:bidi="ar-SA"/>
        </w:rPr>
        <w:t>部分由外国投资者投资</w:t>
      </w:r>
    </w:p>
    <w:p w14:paraId="1C3C45DC">
      <w:pPr>
        <w:widowControl w:val="0"/>
        <w:numPr>
          <w:ilvl w:val="-1"/>
          <w:numId w:val="0"/>
        </w:numPr>
        <w:adjustRightInd w:val="0"/>
        <w:snapToGrid w:val="0"/>
        <w:spacing w:before="0" w:beforeLines="0" w:line="400" w:lineRule="exact"/>
        <w:ind w:firstLine="420" w:firstLineChars="200"/>
        <w:textAlignment w:val="auto"/>
        <w:rPr>
          <w:rFonts w:hint="eastAsia" w:ascii="宋体" w:hAnsi="宋体" w:eastAsia="宋体" w:cs="宋体"/>
          <w:b w:val="0"/>
          <w:bCs w:val="0"/>
          <w:color w:val="auto"/>
          <w:kern w:val="2"/>
          <w:sz w:val="21"/>
          <w:szCs w:val="21"/>
          <w:u w:val="none"/>
          <w:lang w:val="en-US" w:eastAsia="zh-CN"/>
        </w:rPr>
      </w:pPr>
      <w:r>
        <w:rPr>
          <w:rFonts w:hint="eastAsia" w:ascii="宋体" w:hAnsi="宋体" w:eastAsia="宋体" w:cs="宋体"/>
          <w:b w:val="0"/>
          <w:bCs w:val="0"/>
          <w:color w:val="auto"/>
          <w:kern w:val="2"/>
          <w:sz w:val="21"/>
          <w:szCs w:val="21"/>
          <w:u w:val="none"/>
          <w:lang w:val="en-US" w:eastAsia="zh-CN"/>
        </w:rPr>
        <w:t>（</w:t>
      </w:r>
      <w:r>
        <w:rPr>
          <w:rFonts w:hint="default" w:ascii="宋体" w:hAnsi="宋体" w:eastAsia="宋体" w:cs="宋体"/>
          <w:b w:val="0"/>
          <w:bCs w:val="0"/>
          <w:color w:val="auto"/>
          <w:kern w:val="2"/>
          <w:sz w:val="21"/>
          <w:szCs w:val="21"/>
          <w:u w:val="none"/>
          <w:lang w:val="en" w:eastAsia="zh-CN"/>
        </w:rPr>
        <w:t>9</w:t>
      </w:r>
      <w:r>
        <w:rPr>
          <w:rFonts w:hint="eastAsia" w:ascii="宋体" w:hAnsi="宋体" w:eastAsia="宋体" w:cs="宋体"/>
          <w:b w:val="0"/>
          <w:bCs w:val="0"/>
          <w:color w:val="auto"/>
          <w:kern w:val="2"/>
          <w:sz w:val="21"/>
          <w:szCs w:val="21"/>
          <w:u w:val="none"/>
          <w:lang w:val="en-US" w:eastAsia="zh-CN"/>
        </w:rPr>
        <w:t>）是否涉及进口产品：</w:t>
      </w:r>
    </w:p>
    <w:p w14:paraId="76153631">
      <w:pPr>
        <w:widowControl w:val="0"/>
        <w:numPr>
          <w:ilvl w:val="-1"/>
          <w:numId w:val="0"/>
        </w:numPr>
        <w:adjustRightInd w:val="0"/>
        <w:snapToGrid w:val="0"/>
        <w:spacing w:before="0" w:beforeLines="0" w:line="400" w:lineRule="exact"/>
        <w:ind w:firstLine="840" w:firstLineChars="400"/>
        <w:textAlignment w:val="auto"/>
        <w:rPr>
          <w:rFonts w:hint="eastAsia" w:ascii="宋体" w:hAnsi="宋体" w:eastAsia="宋体" w:cs="宋体"/>
          <w:color w:val="auto"/>
          <w:kern w:val="2"/>
          <w:szCs w:val="21"/>
          <w:u w:val="single"/>
          <w:lang w:val="en-US" w:eastAsia="zh-CN"/>
        </w:rPr>
      </w:pPr>
      <w:r>
        <w:rPr>
          <w:rFonts w:hint="eastAsia" w:ascii="宋体" w:hAnsi="宋体" w:eastAsia="宋体" w:cs="宋体"/>
          <w:iCs w:val="0"/>
          <w:color w:val="auto"/>
          <w:kern w:val="2"/>
          <w:szCs w:val="21"/>
          <w:lang w:val="en-US" w:eastAsia="zh-CN"/>
        </w:rPr>
        <w:t xml:space="preserve"> </w:t>
      </w:r>
      <w:r>
        <w:rPr>
          <w:rFonts w:hint="eastAsia" w:ascii="宋体" w:hAnsi="宋体" w:eastAsia="宋体" w:cs="宋体"/>
          <w:iCs w:val="0"/>
          <w:color w:val="auto"/>
          <w:kern w:val="2"/>
          <w:szCs w:val="21"/>
        </w:rPr>
        <w:sym w:font="Wingdings" w:char="00A8"/>
      </w:r>
      <w:r>
        <w:rPr>
          <w:rFonts w:hint="eastAsia" w:ascii="宋体" w:hAnsi="宋体" w:eastAsia="宋体" w:cs="宋体"/>
          <w:iCs w:val="0"/>
          <w:color w:val="auto"/>
          <w:kern w:val="2"/>
          <w:szCs w:val="21"/>
        </w:rPr>
        <w:t>是</w:t>
      </w:r>
      <w:r>
        <w:rPr>
          <w:rFonts w:hint="eastAsia" w:ascii="宋体" w:hAnsi="宋体" w:eastAsia="宋体" w:cs="宋体"/>
          <w:iCs w:val="0"/>
          <w:color w:val="auto"/>
          <w:kern w:val="2"/>
          <w:szCs w:val="21"/>
          <w:lang w:eastAsia="zh-CN"/>
        </w:rPr>
        <w:t>，《政府采购品目分类目录》底级品目名称</w:t>
      </w:r>
      <w:r>
        <w:rPr>
          <w:rFonts w:hint="eastAsia" w:ascii="宋体" w:hAnsi="宋体" w:eastAsia="宋体" w:cs="宋体"/>
          <w:color w:val="auto"/>
          <w:kern w:val="2"/>
          <w:szCs w:val="21"/>
          <w:lang w:val="en-US" w:eastAsia="zh-CN"/>
        </w:rPr>
        <w:t>：</w:t>
      </w:r>
      <w:r>
        <w:rPr>
          <w:rFonts w:hint="eastAsia" w:ascii="宋体" w:hAnsi="宋体" w:eastAsia="宋体" w:cs="宋体"/>
          <w:color w:val="auto"/>
          <w:kern w:val="2"/>
          <w:szCs w:val="21"/>
          <w:u w:val="single"/>
          <w:lang w:val="en-US" w:eastAsia="zh-CN"/>
        </w:rPr>
        <w:t xml:space="preserve">         </w:t>
      </w:r>
      <w:r>
        <w:rPr>
          <w:rFonts w:hint="eastAsia" w:ascii="宋体" w:hAnsi="宋体" w:eastAsia="宋体" w:cs="宋体"/>
          <w:color w:val="auto"/>
          <w:kern w:val="2"/>
          <w:szCs w:val="21"/>
          <w:lang w:val="en-US" w:eastAsia="zh-CN"/>
        </w:rPr>
        <w:t xml:space="preserve"> 金额：</w:t>
      </w:r>
      <w:r>
        <w:rPr>
          <w:rFonts w:hint="eastAsia" w:ascii="宋体" w:hAnsi="宋体" w:eastAsia="宋体" w:cs="宋体"/>
          <w:color w:val="auto"/>
          <w:kern w:val="2"/>
          <w:szCs w:val="21"/>
          <w:u w:val="single"/>
          <w:lang w:val="en-US" w:eastAsia="zh-CN"/>
        </w:rPr>
        <w:t xml:space="preserve">        </w:t>
      </w:r>
    </w:p>
    <w:p w14:paraId="4C9AA53B">
      <w:pPr>
        <w:widowControl w:val="0"/>
        <w:numPr>
          <w:ilvl w:val="-1"/>
          <w:numId w:val="0"/>
        </w:numPr>
        <w:adjustRightInd w:val="0"/>
        <w:snapToGrid w:val="0"/>
        <w:spacing w:before="0" w:beforeLines="0" w:line="400" w:lineRule="exact"/>
        <w:ind w:firstLine="840" w:firstLineChars="400"/>
        <w:textAlignment w:val="auto"/>
        <w:rPr>
          <w:rFonts w:hint="eastAsia" w:ascii="宋体" w:hAnsi="宋体" w:eastAsia="宋体"/>
          <w:iCs w:val="0"/>
          <w:color w:val="auto"/>
          <w:kern w:val="2"/>
          <w:szCs w:val="21"/>
        </w:rPr>
      </w:pPr>
      <w:r>
        <w:rPr>
          <w:rFonts w:hint="eastAsia" w:ascii="宋体" w:hAnsi="宋体" w:eastAsia="宋体" w:cs="宋体"/>
          <w:color w:val="auto"/>
          <w:kern w:val="2"/>
          <w:szCs w:val="21"/>
          <w:lang w:val="en-US" w:eastAsia="zh-CN"/>
        </w:rPr>
        <w:t xml:space="preserve">        国别：</w:t>
      </w:r>
      <w:r>
        <w:rPr>
          <w:rFonts w:hint="eastAsia" w:ascii="宋体" w:hAnsi="宋体" w:eastAsia="宋体" w:cs="宋体"/>
          <w:color w:val="auto"/>
          <w:kern w:val="2"/>
          <w:szCs w:val="21"/>
          <w:u w:val="single"/>
          <w:lang w:val="en-US" w:eastAsia="zh-CN"/>
        </w:rPr>
        <w:t xml:space="preserve">        </w:t>
      </w:r>
      <w:r>
        <w:rPr>
          <w:rFonts w:hint="eastAsia" w:ascii="宋体" w:hAnsi="宋体" w:eastAsia="宋体" w:cs="宋体"/>
          <w:color w:val="auto"/>
          <w:kern w:val="2"/>
          <w:szCs w:val="21"/>
          <w:lang w:val="en-US" w:eastAsia="zh-CN"/>
        </w:rPr>
        <w:t xml:space="preserve"> 品牌：</w:t>
      </w:r>
      <w:r>
        <w:rPr>
          <w:rFonts w:hint="eastAsia" w:ascii="宋体" w:hAnsi="宋体" w:eastAsia="宋体" w:cs="宋体"/>
          <w:color w:val="auto"/>
          <w:kern w:val="2"/>
          <w:szCs w:val="21"/>
          <w:u w:val="single"/>
          <w:lang w:val="en-US" w:eastAsia="zh-CN"/>
        </w:rPr>
        <w:t xml:space="preserve">        </w:t>
      </w:r>
      <w:r>
        <w:rPr>
          <w:rFonts w:hint="eastAsia" w:ascii="宋体" w:hAnsi="宋体" w:eastAsia="宋体" w:cs="宋体"/>
          <w:color w:val="auto"/>
          <w:kern w:val="2"/>
          <w:szCs w:val="21"/>
          <w:u w:val="none"/>
          <w:lang w:val="en-US" w:eastAsia="zh-CN"/>
        </w:rPr>
        <w:t xml:space="preserve"> 规格型号：</w:t>
      </w:r>
      <w:r>
        <w:rPr>
          <w:rFonts w:hint="eastAsia" w:ascii="宋体" w:hAnsi="宋体" w:eastAsia="宋体" w:cs="宋体"/>
          <w:color w:val="auto"/>
          <w:kern w:val="2"/>
          <w:szCs w:val="21"/>
          <w:u w:val="single"/>
          <w:lang w:val="en-US" w:eastAsia="zh-CN"/>
        </w:rPr>
        <w:t xml:space="preserve">        </w:t>
      </w:r>
      <w:r>
        <w:rPr>
          <w:rFonts w:hint="eastAsia" w:ascii="宋体" w:hAnsi="宋体" w:eastAsia="宋体"/>
          <w:iCs w:val="0"/>
          <w:color w:val="auto"/>
          <w:kern w:val="2"/>
          <w:szCs w:val="21"/>
        </w:rPr>
        <w:t xml:space="preserve">      </w:t>
      </w:r>
    </w:p>
    <w:p w14:paraId="421BA205">
      <w:pPr>
        <w:widowControl w:val="0"/>
        <w:adjustRightInd w:val="0"/>
        <w:snapToGrid w:val="0"/>
        <w:spacing w:before="0" w:beforeLines="0" w:line="400" w:lineRule="exact"/>
        <w:ind w:firstLine="840" w:firstLineChars="400"/>
        <w:textAlignment w:val="auto"/>
        <w:rPr>
          <w:rFonts w:hint="eastAsia" w:ascii="宋体" w:hAnsi="宋体" w:eastAsia="宋体"/>
          <w:color w:val="auto"/>
          <w:kern w:val="2"/>
          <w:szCs w:val="21"/>
          <w:u w:val="none"/>
          <w:lang w:val="en-US" w:eastAsia="zh-CN"/>
        </w:rPr>
      </w:pPr>
      <w:r>
        <w:rPr>
          <w:rFonts w:hint="eastAsia" w:ascii="宋体" w:hAnsi="宋体" w:eastAsia="宋体"/>
          <w:iCs w:val="0"/>
          <w:color w:val="auto"/>
          <w:kern w:val="2"/>
          <w:szCs w:val="21"/>
          <w:lang w:val="en-US" w:eastAsia="zh-CN"/>
        </w:rPr>
        <w:t xml:space="preserve"> </w:t>
      </w:r>
      <w:r>
        <w:rPr>
          <w:rFonts w:hint="eastAsia" w:ascii="宋体" w:hAnsi="宋体" w:eastAsia="宋体"/>
          <w:iCs w:val="0"/>
          <w:color w:val="auto"/>
          <w:kern w:val="2"/>
          <w:szCs w:val="21"/>
        </w:rPr>
        <w:sym w:font="Wingdings" w:char="00A8"/>
      </w:r>
      <w:r>
        <w:rPr>
          <w:rFonts w:hint="eastAsia" w:ascii="宋体" w:hAnsi="宋体" w:eastAsia="宋体"/>
          <w:iCs w:val="0"/>
          <w:color w:val="auto"/>
          <w:kern w:val="2"/>
          <w:szCs w:val="21"/>
          <w:lang w:eastAsia="zh-CN"/>
        </w:rPr>
        <w:t>否</w:t>
      </w:r>
    </w:p>
    <w:p w14:paraId="71084145">
      <w:pPr>
        <w:widowControl w:val="0"/>
        <w:numPr>
          <w:ilvl w:val="-1"/>
          <w:numId w:val="0"/>
        </w:numPr>
        <w:tabs>
          <w:tab w:val="left" w:pos="740"/>
        </w:tabs>
        <w:adjustRightInd w:val="0"/>
        <w:snapToGrid w:val="0"/>
        <w:spacing w:before="0" w:beforeLines="0" w:line="400" w:lineRule="exact"/>
        <w:ind w:left="0" w:firstLine="0" w:firstLineChars="0"/>
        <w:textAlignment w:val="auto"/>
        <w:rPr>
          <w:rFonts w:hint="eastAsia" w:ascii="宋体" w:hAnsi="宋体" w:eastAsia="宋体"/>
          <w:b w:val="0"/>
          <w:bCs w:val="0"/>
          <w:color w:val="auto"/>
          <w:kern w:val="2"/>
          <w:sz w:val="21"/>
          <w:szCs w:val="21"/>
          <w:u w:val="none"/>
          <w:lang w:val="en-US" w:eastAsia="zh-CN"/>
        </w:rPr>
      </w:pPr>
      <w:r>
        <w:rPr>
          <w:rFonts w:hint="eastAsia" w:ascii="宋体" w:hAnsi="宋体" w:eastAsia="宋体"/>
          <w:b w:val="0"/>
          <w:bCs w:val="0"/>
          <w:color w:val="auto"/>
          <w:kern w:val="2"/>
          <w:sz w:val="21"/>
          <w:szCs w:val="21"/>
          <w:u w:val="none"/>
          <w:lang w:val="en-US" w:eastAsia="zh-CN"/>
        </w:rPr>
        <w:t xml:space="preserve">    （1</w:t>
      </w:r>
      <w:r>
        <w:rPr>
          <w:rFonts w:hint="default" w:ascii="宋体" w:hAnsi="宋体" w:eastAsia="宋体"/>
          <w:b w:val="0"/>
          <w:bCs w:val="0"/>
          <w:color w:val="auto"/>
          <w:kern w:val="2"/>
          <w:sz w:val="21"/>
          <w:szCs w:val="21"/>
          <w:u w:val="none"/>
          <w:lang w:val="en" w:eastAsia="zh-CN"/>
        </w:rPr>
        <w:t>0</w:t>
      </w:r>
      <w:r>
        <w:rPr>
          <w:rFonts w:hint="eastAsia" w:ascii="宋体" w:hAnsi="宋体" w:eastAsia="宋体"/>
          <w:b w:val="0"/>
          <w:bCs w:val="0"/>
          <w:color w:val="auto"/>
          <w:kern w:val="2"/>
          <w:sz w:val="21"/>
          <w:szCs w:val="21"/>
          <w:u w:val="none"/>
          <w:lang w:val="en-US" w:eastAsia="zh-CN"/>
        </w:rPr>
        <w:t>）是否涉及节能产品：</w:t>
      </w:r>
    </w:p>
    <w:p w14:paraId="159657C0">
      <w:pPr>
        <w:widowControl w:val="0"/>
        <w:numPr>
          <w:ilvl w:val="-1"/>
          <w:numId w:val="0"/>
        </w:numPr>
        <w:tabs>
          <w:tab w:val="left" w:pos="740"/>
        </w:tabs>
        <w:adjustRightInd w:val="0"/>
        <w:snapToGrid w:val="0"/>
        <w:spacing w:before="0" w:beforeLines="0" w:line="400" w:lineRule="exact"/>
        <w:ind w:firstLine="0" w:firstLineChars="0"/>
        <w:textAlignment w:val="auto"/>
        <w:rPr>
          <w:rFonts w:hint="eastAsia" w:ascii="宋体" w:hAnsi="宋体" w:eastAsia="宋体"/>
          <w:iCs/>
          <w:color w:val="auto"/>
          <w:kern w:val="2"/>
          <w:szCs w:val="21"/>
          <w:lang w:val="en-US" w:eastAsia="zh-CN"/>
        </w:rPr>
      </w:pPr>
      <w:r>
        <w:rPr>
          <w:rFonts w:hint="eastAsia" w:ascii="宋体" w:hAnsi="宋体" w:eastAsia="宋体"/>
          <w:b w:val="0"/>
          <w:bCs w:val="0"/>
          <w:color w:val="auto"/>
          <w:kern w:val="2"/>
          <w:sz w:val="21"/>
          <w:szCs w:val="21"/>
          <w:u w:val="none"/>
          <w:lang w:val="en-US" w:eastAsia="zh-CN"/>
        </w:rPr>
        <w:t xml:space="preserve">         </w:t>
      </w:r>
      <w:r>
        <w:rPr>
          <w:rFonts w:hint="eastAsia" w:ascii="宋体" w:hAnsi="宋体" w:eastAsia="宋体"/>
          <w:iCs w:val="0"/>
          <w:color w:val="auto"/>
          <w:kern w:val="2"/>
          <w:szCs w:val="21"/>
        </w:rPr>
        <w:sym w:font="Wingdings" w:char="00A8"/>
      </w:r>
      <w:r>
        <w:rPr>
          <w:rFonts w:hint="eastAsia" w:ascii="宋体" w:hAnsi="宋体" w:eastAsia="宋体"/>
          <w:iCs w:val="0"/>
          <w:color w:val="auto"/>
          <w:kern w:val="2"/>
          <w:szCs w:val="21"/>
        </w:rPr>
        <w:t>是</w:t>
      </w:r>
      <w:r>
        <w:rPr>
          <w:rFonts w:hint="eastAsia" w:ascii="宋体" w:hAnsi="宋体" w:eastAsia="宋体"/>
          <w:iCs w:val="0"/>
          <w:color w:val="auto"/>
          <w:kern w:val="2"/>
          <w:szCs w:val="21"/>
          <w:lang w:eastAsia="zh-CN"/>
        </w:rPr>
        <w:t>，《节能产品政府采购品目清单》的底级品目名称：</w:t>
      </w:r>
      <w:r>
        <w:rPr>
          <w:rFonts w:hint="eastAsia" w:ascii="宋体" w:hAnsi="宋体" w:eastAsia="宋体"/>
          <w:color w:val="auto"/>
          <w:kern w:val="2"/>
          <w:szCs w:val="21"/>
          <w:u w:val="single"/>
          <w:lang w:val="en-US" w:eastAsia="zh-CN"/>
        </w:rPr>
        <w:t xml:space="preserve">         </w:t>
      </w:r>
      <w:r>
        <w:rPr>
          <w:rFonts w:hint="eastAsia" w:ascii="宋体" w:hAnsi="宋体" w:eastAsia="宋体"/>
          <w:iCs/>
          <w:color w:val="auto"/>
          <w:kern w:val="2"/>
          <w:szCs w:val="21"/>
          <w:lang w:val="en-US" w:eastAsia="zh-CN"/>
        </w:rPr>
        <w:t xml:space="preserve">     </w:t>
      </w:r>
    </w:p>
    <w:p w14:paraId="0DC64888">
      <w:pPr>
        <w:widowControl w:val="0"/>
        <w:numPr>
          <w:ilvl w:val="-1"/>
          <w:numId w:val="0"/>
        </w:numPr>
        <w:tabs>
          <w:tab w:val="left" w:pos="740"/>
        </w:tabs>
        <w:adjustRightInd w:val="0"/>
        <w:snapToGrid w:val="0"/>
        <w:spacing w:before="0" w:beforeLines="0" w:line="400" w:lineRule="exact"/>
        <w:ind w:firstLine="0" w:firstLineChars="0"/>
        <w:textAlignment w:val="auto"/>
        <w:rPr>
          <w:rFonts w:hint="eastAsia" w:ascii="宋体" w:hAnsi="宋体" w:eastAsia="宋体"/>
          <w:iCs/>
          <w:color w:val="auto"/>
          <w:kern w:val="2"/>
          <w:szCs w:val="21"/>
          <w:lang w:val="en-US" w:eastAsia="zh-CN"/>
        </w:rPr>
      </w:pPr>
      <w:r>
        <w:rPr>
          <w:rFonts w:hint="eastAsia" w:ascii="宋体" w:hAnsi="宋体" w:eastAsia="宋体"/>
          <w:iCs/>
          <w:color w:val="auto"/>
          <w:kern w:val="2"/>
          <w:szCs w:val="21"/>
          <w:lang w:val="en-US" w:eastAsia="zh-CN"/>
        </w:rPr>
        <w:t xml:space="preserve">                </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lang w:eastAsia="zh-CN"/>
        </w:rPr>
        <w:t>强制采购</w:t>
      </w:r>
      <w:r>
        <w:rPr>
          <w:rFonts w:hint="eastAsia" w:ascii="宋体" w:hAnsi="宋体" w:eastAsia="宋体"/>
          <w:iCs/>
          <w:color w:val="auto"/>
          <w:kern w:val="2"/>
          <w:szCs w:val="21"/>
          <w:lang w:val="en-US" w:eastAsia="zh-CN"/>
        </w:rPr>
        <w:t xml:space="preserve">       </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lang w:eastAsia="zh-CN"/>
        </w:rPr>
        <w:t>优先采购</w:t>
      </w:r>
      <w:r>
        <w:rPr>
          <w:rFonts w:hint="eastAsia" w:ascii="宋体" w:hAnsi="宋体" w:eastAsia="宋体"/>
          <w:iCs/>
          <w:color w:val="auto"/>
          <w:kern w:val="2"/>
          <w:szCs w:val="21"/>
          <w:lang w:val="en-US" w:eastAsia="zh-CN"/>
        </w:rPr>
        <w:t xml:space="preserve">    </w:t>
      </w:r>
    </w:p>
    <w:p w14:paraId="4B7234CF">
      <w:pPr>
        <w:widowControl w:val="0"/>
        <w:numPr>
          <w:ilvl w:val="-1"/>
          <w:numId w:val="0"/>
        </w:numPr>
        <w:tabs>
          <w:tab w:val="left" w:pos="740"/>
        </w:tabs>
        <w:adjustRightInd w:val="0"/>
        <w:snapToGrid w:val="0"/>
        <w:spacing w:before="0" w:beforeLines="0" w:line="400" w:lineRule="exact"/>
        <w:ind w:firstLine="0" w:firstLineChars="0"/>
        <w:textAlignment w:val="auto"/>
        <w:rPr>
          <w:rFonts w:hint="eastAsia" w:ascii="宋体" w:hAnsi="宋体" w:eastAsia="宋体"/>
          <w:iCs w:val="0"/>
          <w:color w:val="auto"/>
          <w:kern w:val="2"/>
          <w:szCs w:val="21"/>
        </w:rPr>
      </w:pPr>
      <w:r>
        <w:rPr>
          <w:rFonts w:hint="eastAsia" w:ascii="宋体" w:hAnsi="宋体" w:eastAsia="宋体"/>
          <w:iCs/>
          <w:color w:val="auto"/>
          <w:kern w:val="2"/>
          <w:szCs w:val="21"/>
          <w:lang w:val="en-US" w:eastAsia="zh-CN"/>
        </w:rPr>
        <w:t xml:space="preserve">         </w:t>
      </w:r>
      <w:r>
        <w:rPr>
          <w:rFonts w:hint="eastAsia" w:ascii="宋体" w:hAnsi="宋体" w:eastAsia="宋体"/>
          <w:iCs w:val="0"/>
          <w:color w:val="auto"/>
          <w:kern w:val="2"/>
          <w:szCs w:val="21"/>
        </w:rPr>
        <w:sym w:font="Wingdings" w:char="00A8"/>
      </w:r>
      <w:r>
        <w:rPr>
          <w:rFonts w:hint="eastAsia" w:ascii="宋体" w:hAnsi="宋体" w:eastAsia="宋体"/>
          <w:iCs w:val="0"/>
          <w:color w:val="auto"/>
          <w:kern w:val="2"/>
          <w:szCs w:val="21"/>
        </w:rPr>
        <w:t>否</w:t>
      </w:r>
    </w:p>
    <w:p w14:paraId="3A021BD3">
      <w:pPr>
        <w:widowControl w:val="0"/>
        <w:numPr>
          <w:ilvl w:val="-1"/>
          <w:numId w:val="0"/>
        </w:numPr>
        <w:tabs>
          <w:tab w:val="left" w:pos="740"/>
        </w:tabs>
        <w:adjustRightInd w:val="0"/>
        <w:snapToGrid w:val="0"/>
        <w:spacing w:before="0" w:beforeLines="0" w:line="400" w:lineRule="exact"/>
        <w:ind w:left="0" w:firstLine="0" w:firstLineChars="0"/>
        <w:textAlignment w:val="auto"/>
        <w:rPr>
          <w:rFonts w:hint="eastAsia" w:ascii="宋体" w:hAnsi="宋体" w:eastAsia="宋体"/>
          <w:b w:val="0"/>
          <w:bCs w:val="0"/>
          <w:color w:val="auto"/>
          <w:kern w:val="2"/>
          <w:sz w:val="21"/>
          <w:szCs w:val="21"/>
          <w:u w:val="none"/>
          <w:lang w:val="en-US" w:eastAsia="zh-CN"/>
        </w:rPr>
      </w:pPr>
      <w:r>
        <w:rPr>
          <w:rFonts w:hint="eastAsia" w:ascii="宋体" w:hAnsi="宋体" w:eastAsia="宋体"/>
          <w:b w:val="0"/>
          <w:bCs w:val="0"/>
          <w:color w:val="auto"/>
          <w:kern w:val="2"/>
          <w:sz w:val="21"/>
          <w:szCs w:val="21"/>
          <w:u w:val="none"/>
          <w:lang w:val="en-US" w:eastAsia="zh-CN"/>
        </w:rPr>
        <w:t xml:space="preserve">          是否涉及环境标志产品：</w:t>
      </w:r>
    </w:p>
    <w:p w14:paraId="67EFE005">
      <w:pPr>
        <w:widowControl w:val="0"/>
        <w:numPr>
          <w:ilvl w:val="-1"/>
          <w:numId w:val="0"/>
        </w:numPr>
        <w:tabs>
          <w:tab w:val="left" w:pos="740"/>
        </w:tabs>
        <w:adjustRightInd w:val="0"/>
        <w:snapToGrid w:val="0"/>
        <w:spacing w:before="0" w:beforeLines="0" w:line="400" w:lineRule="exact"/>
        <w:ind w:firstLine="0" w:firstLineChars="0"/>
        <w:textAlignment w:val="auto"/>
        <w:rPr>
          <w:rFonts w:hint="eastAsia" w:ascii="宋体" w:hAnsi="宋体" w:eastAsia="宋体"/>
          <w:iCs w:val="0"/>
          <w:color w:val="auto"/>
          <w:kern w:val="2"/>
          <w:szCs w:val="21"/>
          <w:lang w:eastAsia="zh-CN"/>
        </w:rPr>
      </w:pPr>
      <w:r>
        <w:rPr>
          <w:rFonts w:hint="eastAsia" w:ascii="宋体" w:hAnsi="宋体" w:eastAsia="宋体"/>
          <w:b w:val="0"/>
          <w:bCs w:val="0"/>
          <w:color w:val="auto"/>
          <w:kern w:val="2"/>
          <w:sz w:val="21"/>
          <w:szCs w:val="21"/>
          <w:u w:val="none"/>
          <w:lang w:val="en-US" w:eastAsia="zh-CN"/>
        </w:rPr>
        <w:t xml:space="preserve">         </w:t>
      </w:r>
      <w:r>
        <w:rPr>
          <w:rFonts w:hint="eastAsia" w:ascii="宋体" w:hAnsi="宋体" w:eastAsia="宋体"/>
          <w:iCs w:val="0"/>
          <w:color w:val="auto"/>
          <w:kern w:val="2"/>
          <w:szCs w:val="21"/>
        </w:rPr>
        <w:sym w:font="Wingdings" w:char="00A8"/>
      </w:r>
      <w:r>
        <w:rPr>
          <w:rFonts w:hint="eastAsia" w:ascii="宋体" w:hAnsi="宋体" w:eastAsia="宋体"/>
          <w:iCs w:val="0"/>
          <w:color w:val="auto"/>
          <w:kern w:val="2"/>
          <w:szCs w:val="21"/>
        </w:rPr>
        <w:t>是</w:t>
      </w:r>
      <w:r>
        <w:rPr>
          <w:rFonts w:hint="eastAsia" w:ascii="宋体" w:hAnsi="宋体" w:eastAsia="宋体"/>
          <w:iCs w:val="0"/>
          <w:color w:val="auto"/>
          <w:kern w:val="2"/>
          <w:szCs w:val="21"/>
          <w:lang w:eastAsia="zh-CN"/>
        </w:rPr>
        <w:t>，《环境标志产品政府采购品目清单》的底级品目名称：</w:t>
      </w:r>
      <w:r>
        <w:rPr>
          <w:rFonts w:hint="eastAsia" w:ascii="宋体" w:hAnsi="宋体" w:eastAsia="宋体"/>
          <w:color w:val="auto"/>
          <w:kern w:val="2"/>
          <w:szCs w:val="21"/>
          <w:u w:val="single"/>
          <w:lang w:val="en-US" w:eastAsia="zh-CN"/>
        </w:rPr>
        <w:t xml:space="preserve">         </w:t>
      </w:r>
      <w:r>
        <w:rPr>
          <w:rFonts w:hint="eastAsia" w:ascii="宋体" w:hAnsi="宋体" w:eastAsia="宋体"/>
          <w:iCs/>
          <w:color w:val="auto"/>
          <w:kern w:val="2"/>
          <w:szCs w:val="21"/>
          <w:lang w:val="en-US" w:eastAsia="zh-CN"/>
        </w:rPr>
        <w:t xml:space="preserve"> </w:t>
      </w:r>
    </w:p>
    <w:p w14:paraId="590EA823">
      <w:pPr>
        <w:widowControl w:val="0"/>
        <w:numPr>
          <w:ilvl w:val="-1"/>
          <w:numId w:val="0"/>
        </w:numPr>
        <w:tabs>
          <w:tab w:val="left" w:pos="740"/>
        </w:tabs>
        <w:adjustRightInd w:val="0"/>
        <w:snapToGrid w:val="0"/>
        <w:spacing w:before="0" w:beforeLines="0" w:line="400" w:lineRule="exact"/>
        <w:ind w:firstLine="0" w:firstLineChars="0"/>
        <w:textAlignment w:val="auto"/>
        <w:rPr>
          <w:rFonts w:hint="eastAsia" w:ascii="宋体" w:hAnsi="宋体" w:eastAsia="宋体"/>
          <w:iCs/>
          <w:color w:val="auto"/>
          <w:kern w:val="2"/>
          <w:szCs w:val="21"/>
          <w:lang w:val="en-US" w:eastAsia="zh-CN"/>
        </w:rPr>
      </w:pPr>
      <w:r>
        <w:rPr>
          <w:rFonts w:hint="eastAsia" w:ascii="宋体" w:hAnsi="宋体" w:eastAsia="宋体"/>
          <w:iCs/>
          <w:color w:val="auto"/>
          <w:kern w:val="2"/>
          <w:szCs w:val="21"/>
          <w:lang w:val="en-US" w:eastAsia="zh-CN"/>
        </w:rPr>
        <w:t xml:space="preserve">                </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lang w:eastAsia="zh-CN"/>
        </w:rPr>
        <w:t>强制采购</w:t>
      </w:r>
      <w:r>
        <w:rPr>
          <w:rFonts w:hint="eastAsia" w:ascii="宋体" w:hAnsi="宋体" w:eastAsia="宋体"/>
          <w:iCs/>
          <w:color w:val="auto"/>
          <w:kern w:val="2"/>
          <w:szCs w:val="21"/>
          <w:lang w:val="en-US" w:eastAsia="zh-CN"/>
        </w:rPr>
        <w:t xml:space="preserve">       </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lang w:eastAsia="zh-CN"/>
        </w:rPr>
        <w:t>优先采购</w:t>
      </w:r>
      <w:r>
        <w:rPr>
          <w:rFonts w:hint="eastAsia" w:ascii="宋体" w:hAnsi="宋体" w:eastAsia="宋体"/>
          <w:iCs/>
          <w:color w:val="auto"/>
          <w:kern w:val="2"/>
          <w:szCs w:val="21"/>
          <w:lang w:val="en-US" w:eastAsia="zh-CN"/>
        </w:rPr>
        <w:t xml:space="preserve">    </w:t>
      </w:r>
    </w:p>
    <w:p w14:paraId="33B205B9">
      <w:pPr>
        <w:widowControl w:val="0"/>
        <w:numPr>
          <w:ilvl w:val="-1"/>
          <w:numId w:val="0"/>
        </w:numPr>
        <w:tabs>
          <w:tab w:val="left" w:pos="740"/>
        </w:tabs>
        <w:adjustRightInd w:val="0"/>
        <w:snapToGrid w:val="0"/>
        <w:spacing w:before="0" w:beforeLines="0" w:line="400" w:lineRule="exact"/>
        <w:ind w:firstLine="0" w:firstLineChars="0"/>
        <w:textAlignment w:val="auto"/>
        <w:rPr>
          <w:rFonts w:hint="eastAsia" w:ascii="宋体" w:hAnsi="宋体" w:eastAsia="宋体"/>
          <w:b w:val="0"/>
          <w:bCs w:val="0"/>
          <w:color w:val="auto"/>
          <w:kern w:val="2"/>
          <w:sz w:val="21"/>
          <w:szCs w:val="21"/>
          <w:u w:val="none"/>
          <w:lang w:val="en-US" w:eastAsia="zh-CN"/>
        </w:rPr>
      </w:pPr>
      <w:r>
        <w:rPr>
          <w:rFonts w:hint="eastAsia" w:ascii="宋体" w:hAnsi="宋体" w:eastAsia="宋体"/>
          <w:iCs/>
          <w:color w:val="auto"/>
          <w:kern w:val="2"/>
          <w:szCs w:val="21"/>
          <w:lang w:val="en-US" w:eastAsia="zh-CN"/>
        </w:rPr>
        <w:t xml:space="preserve">         </w:t>
      </w:r>
      <w:r>
        <w:rPr>
          <w:rFonts w:hint="eastAsia" w:ascii="宋体" w:hAnsi="宋体" w:eastAsia="宋体"/>
          <w:iCs w:val="0"/>
          <w:color w:val="auto"/>
          <w:kern w:val="2"/>
          <w:szCs w:val="21"/>
        </w:rPr>
        <w:sym w:font="Wingdings" w:char="00A8"/>
      </w:r>
      <w:r>
        <w:rPr>
          <w:rFonts w:hint="eastAsia" w:ascii="宋体" w:hAnsi="宋体" w:eastAsia="宋体"/>
          <w:iCs w:val="0"/>
          <w:color w:val="auto"/>
          <w:kern w:val="2"/>
          <w:szCs w:val="21"/>
        </w:rPr>
        <w:t>否</w:t>
      </w:r>
    </w:p>
    <w:p w14:paraId="1F3219D8">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u w:val="none"/>
          <w:lang w:val="en-US" w:eastAsia="zh-CN" w:bidi="ar-SA"/>
        </w:rPr>
      </w:pPr>
      <w:r>
        <w:rPr>
          <w:rFonts w:hint="eastAsia" w:ascii="宋体" w:hAnsi="宋体" w:eastAsia="华文楷体" w:cs="华文楷体"/>
          <w:b w:val="0"/>
          <w:bCs w:val="0"/>
          <w:color w:val="auto"/>
          <w:sz w:val="21"/>
          <w:szCs w:val="21"/>
          <w:u w:val="none"/>
          <w:lang w:val="en-US" w:eastAsia="zh-CN" w:bidi="ar-SA"/>
        </w:rPr>
        <w:t xml:space="preserve">          </w:t>
      </w:r>
      <w:r>
        <w:rPr>
          <w:rFonts w:hint="eastAsia" w:ascii="宋体" w:hAnsi="宋体" w:eastAsia="宋体" w:cs="Times New Roman"/>
          <w:b w:val="0"/>
          <w:bCs w:val="0"/>
          <w:color w:val="auto"/>
          <w:kern w:val="2"/>
          <w:sz w:val="21"/>
          <w:szCs w:val="21"/>
          <w:u w:val="none"/>
          <w:lang w:val="en-US" w:eastAsia="zh-CN" w:bidi="ar-SA"/>
        </w:rPr>
        <w:t>是否涉及绿色产品：</w:t>
      </w:r>
      <w:r>
        <w:rPr>
          <w:rFonts w:hint="eastAsia" w:ascii="宋体" w:hAnsi="宋体" w:eastAsia="宋体" w:cs="Times New Roman"/>
          <w:iCs w:val="0"/>
          <w:color w:val="auto"/>
          <w:kern w:val="2"/>
          <w:sz w:val="21"/>
          <w:szCs w:val="21"/>
          <w:u w:val="none"/>
          <w:lang w:val="en-US" w:eastAsia="zh-CN" w:bidi="ar-SA"/>
        </w:rPr>
        <w:t xml:space="preserve"> </w:t>
      </w:r>
    </w:p>
    <w:p w14:paraId="0B370926">
      <w:pPr>
        <w:autoSpaceDE w:val="0"/>
        <w:autoSpaceDN w:val="0"/>
        <w:adjustRightInd w:val="0"/>
        <w:spacing w:beforeLines="0" w:line="400" w:lineRule="exact"/>
        <w:ind w:firstLine="420" w:firstLineChars="0"/>
        <w:rPr>
          <w:rFonts w:hint="eastAsia" w:ascii="宋体" w:hAnsi="宋体" w:eastAsia="宋体" w:cs="华文楷体"/>
          <w:color w:val="auto"/>
          <w:sz w:val="22"/>
          <w:szCs w:val="21"/>
          <w:u w:val="single"/>
          <w:lang w:val="en-US" w:eastAsia="zh-CN" w:bidi="ar-SA"/>
        </w:rPr>
      </w:pPr>
      <w:r>
        <w:rPr>
          <w:rFonts w:hint="eastAsia" w:ascii="宋体" w:hAnsi="宋体" w:eastAsia="宋体" w:cs="Times New Roman"/>
          <w:iCs w:val="0"/>
          <w:color w:val="auto"/>
          <w:kern w:val="2"/>
          <w:sz w:val="21"/>
          <w:szCs w:val="21"/>
          <w:u w:val="none"/>
          <w:lang w:val="en-US" w:eastAsia="zh-CN" w:bidi="ar-SA"/>
        </w:rPr>
        <w:t xml:space="preserve">     </w:t>
      </w:r>
      <w:r>
        <w:rPr>
          <w:rFonts w:hint="eastAsia" w:ascii="宋体" w:hAnsi="宋体" w:eastAsia="宋体" w:cs="Times New Roman"/>
          <w:iCs w:val="0"/>
          <w:color w:val="auto"/>
          <w:kern w:val="2"/>
          <w:sz w:val="21"/>
          <w:szCs w:val="21"/>
          <w:u w:val="none"/>
          <w:lang w:val="en-US" w:eastAsia="zh-CN" w:bidi="ar-SA"/>
        </w:rPr>
        <w:sym w:font="Wingdings" w:char="00A8"/>
      </w:r>
      <w:r>
        <w:rPr>
          <w:rFonts w:hint="eastAsia" w:ascii="宋体" w:hAnsi="宋体" w:eastAsia="宋体" w:cs="Times New Roman"/>
          <w:iCs w:val="0"/>
          <w:color w:val="auto"/>
          <w:kern w:val="2"/>
          <w:sz w:val="21"/>
          <w:szCs w:val="21"/>
          <w:u w:val="none"/>
          <w:lang w:val="en-US" w:eastAsia="zh-CN" w:bidi="ar-SA"/>
        </w:rPr>
        <w:t>是，绿色产品政府采购相关政策确定的底级品目名称：</w:t>
      </w:r>
      <w:r>
        <w:rPr>
          <w:rFonts w:hint="eastAsia" w:ascii="宋体" w:hAnsi="宋体" w:eastAsia="宋体" w:cs="华文楷体"/>
          <w:color w:val="auto"/>
          <w:sz w:val="22"/>
          <w:szCs w:val="21"/>
          <w:u w:val="single"/>
          <w:lang w:val="en-US" w:eastAsia="zh-CN" w:bidi="ar-SA"/>
        </w:rPr>
        <w:t xml:space="preserve">         </w:t>
      </w:r>
    </w:p>
    <w:p w14:paraId="5192049C">
      <w:pPr>
        <w:widowControl w:val="0"/>
        <w:numPr>
          <w:ilvl w:val="-1"/>
          <w:numId w:val="0"/>
        </w:numPr>
        <w:tabs>
          <w:tab w:val="left" w:pos="740"/>
        </w:tabs>
        <w:adjustRightInd w:val="0"/>
        <w:snapToGrid w:val="0"/>
        <w:spacing w:before="0" w:beforeLines="0" w:line="400" w:lineRule="exact"/>
        <w:ind w:firstLine="0" w:firstLineChars="0"/>
        <w:textAlignment w:val="auto"/>
        <w:rPr>
          <w:rFonts w:hint="eastAsia" w:ascii="宋体" w:hAnsi="宋体" w:eastAsia="宋体"/>
          <w:iCs/>
          <w:color w:val="auto"/>
          <w:kern w:val="2"/>
          <w:szCs w:val="21"/>
          <w:lang w:val="en-US" w:eastAsia="zh-CN"/>
        </w:rPr>
      </w:pPr>
      <w:r>
        <w:rPr>
          <w:rFonts w:hint="eastAsia" w:ascii="宋体" w:hAnsi="宋体" w:eastAsia="宋体"/>
          <w:iCs/>
          <w:color w:val="auto"/>
          <w:kern w:val="2"/>
          <w:szCs w:val="21"/>
          <w:lang w:val="en-US" w:eastAsia="zh-CN"/>
        </w:rPr>
        <w:t xml:space="preserve">                </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lang w:eastAsia="zh-CN"/>
        </w:rPr>
        <w:t>强制采购</w:t>
      </w:r>
      <w:r>
        <w:rPr>
          <w:rFonts w:hint="eastAsia" w:ascii="宋体" w:hAnsi="宋体" w:eastAsia="宋体"/>
          <w:iCs/>
          <w:color w:val="auto"/>
          <w:kern w:val="2"/>
          <w:szCs w:val="21"/>
          <w:lang w:val="en-US" w:eastAsia="zh-CN"/>
        </w:rPr>
        <w:t xml:space="preserve">       </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lang w:eastAsia="zh-CN"/>
        </w:rPr>
        <w:t>优先采购</w:t>
      </w:r>
      <w:r>
        <w:rPr>
          <w:rFonts w:hint="eastAsia" w:ascii="宋体" w:hAnsi="宋体" w:eastAsia="宋体"/>
          <w:iCs/>
          <w:color w:val="auto"/>
          <w:kern w:val="2"/>
          <w:szCs w:val="21"/>
          <w:lang w:val="en-US" w:eastAsia="zh-CN"/>
        </w:rPr>
        <w:t xml:space="preserve">    </w:t>
      </w:r>
    </w:p>
    <w:p w14:paraId="62FE299B">
      <w:pPr>
        <w:autoSpaceDE w:val="0"/>
        <w:autoSpaceDN w:val="0"/>
        <w:adjustRightInd w:val="0"/>
        <w:spacing w:beforeLines="0" w:line="400" w:lineRule="exact"/>
        <w:ind w:firstLine="420" w:firstLineChars="0"/>
        <w:rPr>
          <w:rFonts w:hint="eastAsia" w:ascii="宋体" w:hAnsi="宋体" w:eastAsia="华文楷体" w:cs="华文楷体"/>
          <w:b w:val="0"/>
          <w:bCs w:val="0"/>
          <w:color w:val="auto"/>
          <w:sz w:val="21"/>
          <w:szCs w:val="21"/>
          <w:u w:val="none"/>
          <w:lang w:val="en-US" w:eastAsia="zh-CN" w:bidi="ar-SA"/>
        </w:rPr>
      </w:pPr>
      <w:r>
        <w:rPr>
          <w:rFonts w:hint="eastAsia" w:ascii="宋体" w:hAnsi="宋体" w:eastAsia="宋体" w:cs="Times New Roman"/>
          <w:iCs w:val="0"/>
          <w:color w:val="auto"/>
          <w:kern w:val="2"/>
          <w:sz w:val="21"/>
          <w:szCs w:val="21"/>
          <w:u w:val="none"/>
          <w:lang w:val="en-US" w:eastAsia="zh-CN" w:bidi="ar-SA"/>
        </w:rPr>
        <w:t xml:space="preserve">     </w:t>
      </w:r>
      <w:r>
        <w:rPr>
          <w:rFonts w:hint="eastAsia" w:ascii="宋体" w:hAnsi="宋体" w:eastAsia="宋体" w:cs="Times New Roman"/>
          <w:iCs w:val="0"/>
          <w:color w:val="auto"/>
          <w:kern w:val="2"/>
          <w:sz w:val="21"/>
          <w:szCs w:val="21"/>
          <w:u w:val="none"/>
          <w:lang w:val="en-US" w:eastAsia="zh-CN" w:bidi="ar-SA"/>
        </w:rPr>
        <w:sym w:font="Wingdings" w:char="00A8"/>
      </w:r>
      <w:r>
        <w:rPr>
          <w:rFonts w:hint="eastAsia" w:ascii="宋体" w:hAnsi="宋体" w:eastAsia="宋体" w:cs="Times New Roman"/>
          <w:iCs w:val="0"/>
          <w:color w:val="auto"/>
          <w:kern w:val="2"/>
          <w:sz w:val="21"/>
          <w:szCs w:val="21"/>
          <w:u w:val="none"/>
          <w:lang w:val="en-US" w:eastAsia="zh-CN" w:bidi="ar-SA"/>
        </w:rPr>
        <w:t>否</w:t>
      </w:r>
    </w:p>
    <w:p w14:paraId="003374B9">
      <w:pPr>
        <w:widowControl w:val="0"/>
        <w:numPr>
          <w:ilvl w:val="-1"/>
          <w:numId w:val="0"/>
        </w:numPr>
        <w:adjustRightInd w:val="0"/>
        <w:snapToGrid w:val="0"/>
        <w:spacing w:before="0" w:beforeLines="0" w:line="400" w:lineRule="exact"/>
        <w:ind w:firstLine="0" w:firstLineChars="0"/>
        <w:textAlignment w:val="auto"/>
        <w:rPr>
          <w:rFonts w:hint="eastAsia" w:ascii="宋体" w:hAnsi="宋体" w:eastAsia="宋体"/>
          <w:color w:val="auto"/>
          <w:kern w:val="2"/>
          <w:szCs w:val="21"/>
          <w:lang w:val="en-US" w:eastAsia="zh-CN"/>
        </w:rPr>
      </w:pPr>
      <w:r>
        <w:rPr>
          <w:rFonts w:hint="eastAsia" w:ascii="宋体" w:hAnsi="宋体" w:eastAsia="宋体"/>
          <w:color w:val="auto"/>
          <w:kern w:val="2"/>
          <w:szCs w:val="21"/>
          <w:lang w:val="en-US" w:eastAsia="zh-CN"/>
        </w:rPr>
        <w:t xml:space="preserve">    （1</w:t>
      </w:r>
      <w:r>
        <w:rPr>
          <w:rFonts w:hint="default" w:ascii="宋体" w:hAnsi="宋体" w:eastAsia="宋体"/>
          <w:color w:val="auto"/>
          <w:kern w:val="2"/>
          <w:szCs w:val="21"/>
          <w:lang w:val="en" w:eastAsia="zh-CN"/>
        </w:rPr>
        <w:t>1</w:t>
      </w:r>
      <w:r>
        <w:rPr>
          <w:rFonts w:hint="eastAsia" w:ascii="宋体" w:hAnsi="宋体" w:eastAsia="宋体"/>
          <w:color w:val="auto"/>
          <w:kern w:val="2"/>
          <w:szCs w:val="21"/>
          <w:lang w:val="en-US" w:eastAsia="zh-CN"/>
        </w:rPr>
        <w:t>）涉及商品包装和快递包装的，是否参考</w:t>
      </w:r>
      <w:r>
        <w:rPr>
          <w:rFonts w:hint="eastAsia" w:ascii="宋体" w:hAnsi="宋体" w:eastAsia="宋体"/>
          <w:color w:val="auto"/>
          <w:kern w:val="2"/>
          <w:szCs w:val="21"/>
        </w:rPr>
        <w:t>《商品包装政府采购需求标准（试行）》、《快递包装政府采购需求标准（试行）》</w:t>
      </w:r>
      <w:r>
        <w:rPr>
          <w:rFonts w:hint="eastAsia" w:ascii="宋体" w:hAnsi="宋体" w:eastAsia="宋体"/>
          <w:color w:val="auto"/>
          <w:kern w:val="2"/>
          <w:szCs w:val="21"/>
          <w:lang w:eastAsia="zh-CN"/>
        </w:rPr>
        <w:t>明确产品及相关快递服务的具体包装要求：</w:t>
      </w:r>
    </w:p>
    <w:p w14:paraId="2A14C3DD">
      <w:pPr>
        <w:widowControl w:val="0"/>
        <w:numPr>
          <w:ilvl w:val="-1"/>
          <w:numId w:val="0"/>
        </w:numPr>
        <w:adjustRightInd w:val="0"/>
        <w:snapToGrid w:val="0"/>
        <w:spacing w:before="0" w:beforeLines="0" w:line="400" w:lineRule="exact"/>
        <w:ind w:firstLine="840" w:firstLineChars="400"/>
        <w:textAlignment w:val="auto"/>
        <w:rPr>
          <w:rFonts w:hint="eastAsia" w:ascii="宋体" w:hAnsi="宋体" w:eastAsia="宋体"/>
          <w:iCs w:val="0"/>
          <w:color w:val="auto"/>
          <w:kern w:val="2"/>
          <w:szCs w:val="21"/>
          <w:lang w:val="en-US" w:eastAsia="zh-CN"/>
        </w:rPr>
      </w:pPr>
      <w:r>
        <w:rPr>
          <w:rFonts w:hint="eastAsia" w:ascii="宋体" w:hAnsi="宋体" w:eastAsia="宋体"/>
          <w:iCs w:val="0"/>
          <w:color w:val="auto"/>
          <w:kern w:val="2"/>
          <w:szCs w:val="21"/>
        </w:rPr>
        <w:sym w:font="Wingdings" w:char="00A8"/>
      </w:r>
      <w:r>
        <w:rPr>
          <w:rFonts w:hint="eastAsia" w:ascii="宋体" w:hAnsi="宋体" w:eastAsia="宋体"/>
          <w:iCs w:val="0"/>
          <w:color w:val="auto"/>
          <w:kern w:val="2"/>
          <w:szCs w:val="21"/>
        </w:rPr>
        <w:t xml:space="preserve">是       </w:t>
      </w:r>
      <w:r>
        <w:rPr>
          <w:rFonts w:hint="eastAsia" w:ascii="宋体" w:hAnsi="宋体" w:eastAsia="宋体"/>
          <w:iCs w:val="0"/>
          <w:color w:val="auto"/>
          <w:kern w:val="2"/>
          <w:szCs w:val="21"/>
        </w:rPr>
        <w:sym w:font="Wingdings" w:char="00A8"/>
      </w:r>
      <w:r>
        <w:rPr>
          <w:rFonts w:hint="eastAsia" w:ascii="宋体" w:hAnsi="宋体" w:eastAsia="宋体"/>
          <w:iCs w:val="0"/>
          <w:color w:val="auto"/>
          <w:kern w:val="2"/>
          <w:szCs w:val="21"/>
        </w:rPr>
        <w:t>否</w:t>
      </w:r>
      <w:r>
        <w:rPr>
          <w:rFonts w:hint="eastAsia" w:ascii="宋体" w:hAnsi="宋体" w:eastAsia="宋体"/>
          <w:iCs w:val="0"/>
          <w:color w:val="auto"/>
          <w:kern w:val="2"/>
          <w:szCs w:val="21"/>
          <w:lang w:val="en-US" w:eastAsia="zh-CN"/>
        </w:rPr>
        <w:t xml:space="preserve">      </w:t>
      </w:r>
      <w:r>
        <w:rPr>
          <w:rFonts w:hint="eastAsia" w:ascii="宋体" w:hAnsi="宋体" w:eastAsia="宋体"/>
          <w:iCs w:val="0"/>
          <w:color w:val="auto"/>
          <w:kern w:val="2"/>
          <w:szCs w:val="21"/>
        </w:rPr>
        <w:sym w:font="Wingdings" w:char="00A8"/>
      </w:r>
      <w:r>
        <w:rPr>
          <w:rFonts w:hint="eastAsia" w:ascii="宋体" w:hAnsi="宋体" w:eastAsia="宋体"/>
          <w:iCs w:val="0"/>
          <w:color w:val="auto"/>
          <w:kern w:val="2"/>
          <w:szCs w:val="21"/>
          <w:lang w:eastAsia="zh-CN"/>
        </w:rPr>
        <w:t>不涉及</w:t>
      </w:r>
    </w:p>
    <w:p w14:paraId="22A3F17F">
      <w:pPr>
        <w:widowControl w:val="0"/>
        <w:numPr>
          <w:ilvl w:val="0"/>
          <w:numId w:val="3"/>
        </w:numPr>
        <w:adjustRightInd w:val="0"/>
        <w:snapToGrid w:val="0"/>
        <w:spacing w:before="0" w:beforeLines="0" w:line="400" w:lineRule="exact"/>
        <w:ind w:firstLine="422" w:firstLineChars="200"/>
        <w:textAlignment w:val="auto"/>
        <w:rPr>
          <w:rFonts w:ascii="宋体" w:hAnsi="宋体" w:eastAsia="宋体"/>
          <w:b/>
          <w:color w:val="auto"/>
          <w:kern w:val="2"/>
          <w:szCs w:val="21"/>
          <w:highlight w:val="none"/>
        </w:rPr>
      </w:pPr>
      <w:r>
        <w:rPr>
          <w:rFonts w:hint="eastAsia" w:ascii="宋体" w:hAnsi="宋体" w:eastAsia="宋体"/>
          <w:b/>
          <w:color w:val="auto"/>
          <w:kern w:val="2"/>
          <w:szCs w:val="21"/>
          <w:highlight w:val="none"/>
        </w:rPr>
        <w:t>合同金额</w:t>
      </w:r>
    </w:p>
    <w:p w14:paraId="5F862E5B">
      <w:pPr>
        <w:widowControl w:val="0"/>
        <w:adjustRightInd w:val="0"/>
        <w:snapToGrid w:val="0"/>
        <w:spacing w:before="0" w:beforeLines="0" w:line="400" w:lineRule="exact"/>
        <w:ind w:firstLine="420" w:firstLineChars="200"/>
        <w:textAlignment w:val="auto"/>
        <w:rPr>
          <w:rFonts w:ascii="宋体" w:hAnsi="宋体" w:eastAsia="宋体"/>
          <w:color w:val="auto"/>
          <w:kern w:val="2"/>
          <w:szCs w:val="21"/>
        </w:rPr>
      </w:pPr>
      <w:r>
        <w:rPr>
          <w:rFonts w:hint="eastAsia" w:ascii="宋体" w:hAnsi="宋体" w:eastAsia="宋体"/>
          <w:color w:val="auto"/>
          <w:kern w:val="2"/>
          <w:szCs w:val="21"/>
        </w:rPr>
        <w:t>（1）合同金额小写：</w:t>
      </w:r>
      <w:r>
        <w:rPr>
          <w:rFonts w:hint="eastAsia" w:ascii="宋体" w:hAnsi="宋体" w:eastAsia="宋体"/>
          <w:color w:val="auto"/>
          <w:kern w:val="2"/>
          <w:szCs w:val="21"/>
          <w:u w:val="single"/>
        </w:rPr>
        <w:t xml:space="preserve">                 </w:t>
      </w:r>
      <w:r>
        <w:rPr>
          <w:rFonts w:hint="eastAsia" w:ascii="宋体" w:hAnsi="宋体" w:eastAsia="宋体"/>
          <w:color w:val="auto"/>
          <w:kern w:val="2"/>
          <w:szCs w:val="21"/>
          <w:u w:val="single"/>
          <w:lang w:val="en-US" w:eastAsia="zh-CN"/>
        </w:rPr>
        <w:t xml:space="preserve">    </w:t>
      </w:r>
      <w:r>
        <w:rPr>
          <w:rFonts w:hint="eastAsia" w:ascii="宋体" w:hAnsi="宋体" w:eastAsia="宋体"/>
          <w:color w:val="auto"/>
          <w:kern w:val="2"/>
          <w:szCs w:val="21"/>
          <w:u w:val="single"/>
        </w:rPr>
        <w:t xml:space="preserve">      </w:t>
      </w:r>
    </w:p>
    <w:p w14:paraId="04607D3B">
      <w:pPr>
        <w:widowControl w:val="0"/>
        <w:adjustRightInd w:val="0"/>
        <w:snapToGrid w:val="0"/>
        <w:spacing w:before="0" w:beforeLines="0" w:line="400" w:lineRule="exact"/>
        <w:ind w:left="0" w:firstLine="0" w:firstLineChars="0"/>
        <w:textAlignment w:val="auto"/>
        <w:rPr>
          <w:rFonts w:ascii="宋体" w:hAnsi="宋体" w:eastAsia="宋体"/>
          <w:color w:val="auto"/>
          <w:kern w:val="2"/>
          <w:szCs w:val="21"/>
          <w:u w:val="single"/>
        </w:rPr>
      </w:pPr>
      <w:r>
        <w:rPr>
          <w:rFonts w:hint="eastAsia" w:ascii="宋体" w:hAnsi="宋体" w:eastAsia="宋体"/>
          <w:color w:val="auto"/>
          <w:kern w:val="2"/>
          <w:szCs w:val="21"/>
          <w:lang w:val="en-US" w:eastAsia="zh-CN"/>
        </w:rPr>
        <w:t xml:space="preserve">                 </w:t>
      </w:r>
      <w:r>
        <w:rPr>
          <w:rFonts w:hint="eastAsia" w:ascii="宋体" w:hAnsi="宋体" w:eastAsia="宋体"/>
          <w:color w:val="auto"/>
          <w:kern w:val="2"/>
          <w:szCs w:val="21"/>
        </w:rPr>
        <w:t>大写：</w:t>
      </w:r>
      <w:r>
        <w:rPr>
          <w:rFonts w:hint="eastAsia" w:ascii="宋体" w:hAnsi="宋体" w:eastAsia="宋体"/>
          <w:color w:val="auto"/>
          <w:kern w:val="2"/>
          <w:szCs w:val="21"/>
          <w:u w:val="single"/>
        </w:rPr>
        <w:t xml:space="preserve">           </w:t>
      </w:r>
      <w:r>
        <w:rPr>
          <w:rFonts w:hint="eastAsia" w:ascii="宋体" w:hAnsi="宋体" w:eastAsia="宋体"/>
          <w:color w:val="auto"/>
          <w:kern w:val="2"/>
          <w:szCs w:val="21"/>
          <w:u w:val="single"/>
          <w:lang w:val="en-US" w:eastAsia="zh-CN"/>
        </w:rPr>
        <w:t xml:space="preserve"> </w:t>
      </w:r>
      <w:r>
        <w:rPr>
          <w:rFonts w:hint="eastAsia" w:ascii="宋体" w:hAnsi="宋体" w:eastAsia="宋体"/>
          <w:color w:val="auto"/>
          <w:kern w:val="2"/>
          <w:szCs w:val="21"/>
          <w:u w:val="single"/>
        </w:rPr>
        <w:t xml:space="preserve">     </w:t>
      </w:r>
      <w:r>
        <w:rPr>
          <w:rFonts w:hint="eastAsia" w:ascii="宋体" w:hAnsi="宋体" w:eastAsia="宋体"/>
          <w:color w:val="auto"/>
          <w:kern w:val="2"/>
          <w:szCs w:val="21"/>
          <w:u w:val="single"/>
          <w:lang w:val="en-US" w:eastAsia="zh-CN"/>
        </w:rPr>
        <w:t xml:space="preserve">    </w:t>
      </w:r>
      <w:r>
        <w:rPr>
          <w:rFonts w:hint="eastAsia" w:ascii="宋体" w:hAnsi="宋体" w:eastAsia="宋体"/>
          <w:color w:val="auto"/>
          <w:kern w:val="2"/>
          <w:szCs w:val="21"/>
          <w:u w:val="single"/>
        </w:rPr>
        <w:t xml:space="preserve">      </w:t>
      </w:r>
    </w:p>
    <w:p w14:paraId="3449DFF8">
      <w:pPr>
        <w:widowControl w:val="0"/>
        <w:adjustRightInd w:val="0"/>
        <w:snapToGrid w:val="0"/>
        <w:spacing w:before="0" w:beforeLines="0" w:line="400" w:lineRule="exact"/>
        <w:ind w:firstLine="0" w:firstLineChars="0"/>
        <w:textAlignment w:val="auto"/>
        <w:rPr>
          <w:rFonts w:ascii="宋体" w:hAnsi="宋体" w:eastAsia="宋体"/>
          <w:color w:val="auto"/>
          <w:kern w:val="2"/>
          <w:szCs w:val="21"/>
        </w:rPr>
      </w:pPr>
      <w:r>
        <w:rPr>
          <w:rFonts w:hint="eastAsia" w:ascii="宋体" w:hAnsi="宋体" w:eastAsia="宋体"/>
          <w:color w:val="auto"/>
          <w:kern w:val="2"/>
          <w:szCs w:val="21"/>
          <w:lang w:val="en-US" w:eastAsia="zh-CN"/>
        </w:rPr>
        <w:t xml:space="preserve">         </w:t>
      </w:r>
      <w:r>
        <w:rPr>
          <w:rFonts w:hint="eastAsia" w:ascii="宋体" w:hAnsi="宋体" w:eastAsia="宋体"/>
          <w:color w:val="auto"/>
          <w:kern w:val="2"/>
          <w:szCs w:val="21"/>
        </w:rPr>
        <w:t>分包金额</w:t>
      </w:r>
      <w:r>
        <w:rPr>
          <w:rFonts w:hint="eastAsia" w:ascii="宋体" w:hAnsi="宋体" w:eastAsia="宋体"/>
          <w:color w:val="auto"/>
          <w:kern w:val="2"/>
          <w:szCs w:val="21"/>
          <w:lang w:eastAsia="zh-CN"/>
        </w:rPr>
        <w:t>（如有）</w:t>
      </w:r>
      <w:r>
        <w:rPr>
          <w:rFonts w:hint="eastAsia" w:ascii="宋体" w:hAnsi="宋体" w:eastAsia="宋体"/>
          <w:color w:val="auto"/>
          <w:kern w:val="2"/>
          <w:szCs w:val="21"/>
        </w:rPr>
        <w:t>小写：</w:t>
      </w:r>
      <w:r>
        <w:rPr>
          <w:rFonts w:hint="eastAsia" w:ascii="宋体" w:hAnsi="宋体" w:eastAsia="宋体"/>
          <w:color w:val="auto"/>
          <w:kern w:val="2"/>
          <w:szCs w:val="21"/>
          <w:u w:val="single"/>
        </w:rPr>
        <w:t xml:space="preserve">                   </w:t>
      </w:r>
    </w:p>
    <w:p w14:paraId="43B7745E">
      <w:pPr>
        <w:widowControl w:val="0"/>
        <w:adjustRightInd w:val="0"/>
        <w:snapToGrid w:val="0"/>
        <w:spacing w:before="0" w:beforeLines="0" w:line="400" w:lineRule="exact"/>
        <w:ind w:firstLine="0" w:firstLineChars="0"/>
        <w:textAlignment w:val="auto"/>
        <w:rPr>
          <w:rFonts w:hint="eastAsia" w:ascii="宋体" w:hAnsi="宋体" w:eastAsia="宋体"/>
          <w:color w:val="auto"/>
          <w:kern w:val="2"/>
          <w:szCs w:val="21"/>
          <w:u w:val="single"/>
        </w:rPr>
      </w:pPr>
      <w:r>
        <w:rPr>
          <w:rFonts w:hint="eastAsia" w:ascii="宋体" w:hAnsi="宋体" w:eastAsia="宋体"/>
          <w:color w:val="auto"/>
          <w:kern w:val="2"/>
          <w:szCs w:val="21"/>
          <w:lang w:val="en-US" w:eastAsia="zh-CN"/>
        </w:rPr>
        <w:t xml:space="preserve">                     </w:t>
      </w:r>
      <w:r>
        <w:rPr>
          <w:rFonts w:hint="eastAsia" w:ascii="宋体" w:hAnsi="宋体" w:eastAsia="宋体"/>
          <w:color w:val="auto"/>
          <w:kern w:val="2"/>
          <w:szCs w:val="21"/>
        </w:rPr>
        <w:t>大写：</w:t>
      </w:r>
      <w:r>
        <w:rPr>
          <w:rFonts w:hint="eastAsia" w:ascii="宋体" w:hAnsi="宋体" w:eastAsia="宋体"/>
          <w:color w:val="auto"/>
          <w:kern w:val="2"/>
          <w:szCs w:val="21"/>
          <w:u w:val="single"/>
        </w:rPr>
        <w:t xml:space="preserve">                   </w:t>
      </w:r>
      <w:r>
        <w:rPr>
          <w:rFonts w:hint="eastAsia" w:ascii="宋体" w:hAnsi="宋体" w:eastAsia="宋体"/>
          <w:color w:val="auto"/>
          <w:kern w:val="2"/>
          <w:szCs w:val="21"/>
          <w:u w:val="single"/>
          <w:lang w:val="en-US" w:eastAsia="zh-CN"/>
        </w:rPr>
        <w:t xml:space="preserve"> </w:t>
      </w:r>
      <w:r>
        <w:rPr>
          <w:rFonts w:hint="eastAsia" w:ascii="宋体" w:hAnsi="宋体" w:eastAsia="宋体"/>
          <w:color w:val="auto"/>
          <w:kern w:val="2"/>
          <w:szCs w:val="21"/>
          <w:u w:val="single"/>
        </w:rPr>
        <w:t xml:space="preserve">   </w:t>
      </w:r>
    </w:p>
    <w:p w14:paraId="6A20F847">
      <w:pPr>
        <w:widowControl w:val="0"/>
        <w:adjustRightInd w:val="0"/>
        <w:snapToGrid w:val="0"/>
        <w:spacing w:before="0" w:beforeLines="0" w:line="400" w:lineRule="exact"/>
        <w:ind w:firstLine="0" w:firstLineChars="0"/>
        <w:textAlignment w:val="auto"/>
        <w:rPr>
          <w:rFonts w:hint="eastAsia" w:ascii="宋体" w:hAnsi="宋体" w:eastAsia="宋体"/>
          <w:color w:val="auto"/>
          <w:kern w:val="2"/>
          <w:szCs w:val="21"/>
          <w:lang w:val="en-US" w:eastAsia="zh-CN"/>
        </w:rPr>
      </w:pPr>
      <w:r>
        <w:rPr>
          <w:rFonts w:hint="eastAsia" w:ascii="宋体" w:hAnsi="宋体" w:eastAsia="宋体"/>
          <w:color w:val="auto"/>
          <w:kern w:val="2"/>
          <w:szCs w:val="21"/>
          <w:lang w:val="en-US" w:eastAsia="zh-CN"/>
        </w:rPr>
        <w:t xml:space="preserve">    （注：固定单价合同应填写单价和最高限价）</w:t>
      </w:r>
    </w:p>
    <w:p w14:paraId="37D462D9">
      <w:pPr>
        <w:widowControl w:val="0"/>
        <w:numPr>
          <w:ilvl w:val="-1"/>
          <w:numId w:val="0"/>
        </w:numPr>
        <w:adjustRightInd w:val="0"/>
        <w:snapToGrid w:val="0"/>
        <w:spacing w:before="0" w:beforeLines="0" w:line="400" w:lineRule="exact"/>
        <w:ind w:firstLine="0" w:firstLineChars="0"/>
        <w:textAlignment w:val="auto"/>
        <w:rPr>
          <w:rFonts w:hint="eastAsia" w:ascii="宋体" w:hAnsi="宋体" w:eastAsia="宋体"/>
          <w:color w:val="auto"/>
          <w:kern w:val="2"/>
          <w:szCs w:val="21"/>
        </w:rPr>
      </w:pPr>
      <w:r>
        <w:rPr>
          <w:rFonts w:hint="eastAsia" w:ascii="宋体" w:hAnsi="宋体" w:eastAsia="宋体"/>
          <w:color w:val="auto"/>
          <w:kern w:val="2"/>
          <w:szCs w:val="21"/>
          <w:lang w:val="en-US" w:eastAsia="zh-CN"/>
        </w:rPr>
        <w:t xml:space="preserve">    </w:t>
      </w:r>
      <w:r>
        <w:rPr>
          <w:rFonts w:hint="eastAsia" w:ascii="宋体" w:hAnsi="宋体" w:eastAsia="宋体"/>
          <w:color w:val="auto"/>
          <w:kern w:val="2"/>
          <w:szCs w:val="21"/>
          <w:lang w:eastAsia="zh-CN"/>
        </w:rPr>
        <w:t>（</w:t>
      </w:r>
      <w:r>
        <w:rPr>
          <w:rFonts w:hint="eastAsia" w:ascii="宋体" w:hAnsi="宋体" w:eastAsia="宋体"/>
          <w:color w:val="auto"/>
          <w:kern w:val="2"/>
          <w:szCs w:val="21"/>
          <w:lang w:val="en-US" w:eastAsia="zh-CN"/>
        </w:rPr>
        <w:t>2</w:t>
      </w:r>
      <w:r>
        <w:rPr>
          <w:rFonts w:hint="eastAsia" w:ascii="宋体" w:hAnsi="宋体" w:eastAsia="宋体"/>
          <w:color w:val="auto"/>
          <w:kern w:val="2"/>
          <w:szCs w:val="21"/>
          <w:lang w:eastAsia="zh-CN"/>
        </w:rPr>
        <w:t>）</w:t>
      </w:r>
      <w:r>
        <w:rPr>
          <w:rFonts w:hint="eastAsia" w:ascii="宋体" w:hAnsi="宋体" w:eastAsia="宋体"/>
          <w:color w:val="auto"/>
          <w:kern w:val="2"/>
          <w:szCs w:val="21"/>
        </w:rPr>
        <w:t>合同定价方式</w:t>
      </w:r>
      <w:r>
        <w:rPr>
          <w:rFonts w:hint="eastAsia" w:ascii="宋体" w:hAnsi="宋体" w:eastAsia="宋体"/>
          <w:color w:val="auto"/>
          <w:kern w:val="2"/>
          <w:szCs w:val="21"/>
          <w:lang w:eastAsia="zh-CN"/>
        </w:rPr>
        <w:t>（采用组合定价方式的，可以勾选多项）</w:t>
      </w:r>
      <w:r>
        <w:rPr>
          <w:rFonts w:hint="eastAsia" w:ascii="宋体" w:hAnsi="宋体" w:eastAsia="宋体"/>
          <w:color w:val="auto"/>
          <w:kern w:val="2"/>
          <w:szCs w:val="21"/>
        </w:rPr>
        <w:t>：</w:t>
      </w:r>
    </w:p>
    <w:p w14:paraId="24E22DA3">
      <w:pPr>
        <w:widowControl w:val="0"/>
        <w:adjustRightInd w:val="0"/>
        <w:snapToGrid w:val="0"/>
        <w:spacing w:before="0" w:beforeLines="0" w:line="400" w:lineRule="exact"/>
        <w:ind w:firstLine="420" w:firstLineChars="200"/>
        <w:textAlignment w:val="auto"/>
        <w:rPr>
          <w:rFonts w:hint="eastAsia" w:ascii="宋体" w:hAnsi="宋体" w:eastAsia="宋体"/>
          <w:color w:val="auto"/>
          <w:kern w:val="2"/>
          <w:szCs w:val="21"/>
          <w:lang w:eastAsia="zh-CN"/>
        </w:rPr>
      </w:pPr>
      <w:r>
        <w:rPr>
          <w:rFonts w:hint="eastAsia" w:ascii="宋体" w:hAnsi="宋体" w:eastAsia="宋体"/>
          <w:iCs/>
          <w:color w:val="auto"/>
          <w:kern w:val="2"/>
          <w:szCs w:val="21"/>
          <w:lang w:val="en-US" w:eastAsia="zh-CN"/>
        </w:rPr>
        <w:t xml:space="preserve">  </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rPr>
        <w:t xml:space="preserve">固定总价 </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rPr>
        <w:t>固定单价</w:t>
      </w:r>
      <w:r>
        <w:rPr>
          <w:rFonts w:hint="eastAsia" w:ascii="宋体" w:hAnsi="宋体" w:eastAsia="宋体"/>
          <w:iCs/>
          <w:color w:val="auto"/>
          <w:kern w:val="2"/>
          <w:szCs w:val="21"/>
          <w:lang w:val="en-US" w:eastAsia="zh-CN"/>
        </w:rPr>
        <w:t xml:space="preserve"> </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lang w:eastAsia="zh-CN"/>
        </w:rPr>
        <w:t>固定费率</w:t>
      </w:r>
      <w:r>
        <w:rPr>
          <w:rFonts w:hint="eastAsia" w:ascii="宋体" w:hAnsi="宋体" w:eastAsia="宋体"/>
          <w:iCs/>
          <w:color w:val="auto"/>
          <w:kern w:val="2"/>
          <w:szCs w:val="21"/>
        </w:rPr>
        <w:t xml:space="preserve"> </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rPr>
        <w:t xml:space="preserve">成本补偿 </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rPr>
        <w:t>绩效激励</w:t>
      </w:r>
      <w:r>
        <w:rPr>
          <w:rFonts w:hint="eastAsia" w:ascii="宋体" w:hAnsi="宋体" w:eastAsia="宋体"/>
          <w:iCs/>
          <w:color w:val="auto"/>
          <w:kern w:val="2"/>
          <w:szCs w:val="21"/>
          <w:lang w:val="en-US" w:eastAsia="zh-CN"/>
        </w:rPr>
        <w:t xml:space="preserve"> </w:t>
      </w:r>
      <w:r>
        <w:rPr>
          <w:rFonts w:hint="eastAsia" w:ascii="宋体" w:hAnsi="宋体" w:eastAsia="宋体"/>
          <w:iCs/>
          <w:color w:val="auto"/>
          <w:kern w:val="2"/>
          <w:szCs w:val="21"/>
        </w:rPr>
        <w:sym w:font="Wingdings" w:char="00A8"/>
      </w:r>
      <w:r>
        <w:rPr>
          <w:rFonts w:hint="eastAsia" w:ascii="宋体" w:hAnsi="宋体" w:eastAsia="宋体"/>
          <w:iCs/>
          <w:color w:val="auto"/>
          <w:kern w:val="2"/>
          <w:szCs w:val="21"/>
          <w:lang w:eastAsia="zh-CN"/>
        </w:rPr>
        <w:t>其他</w:t>
      </w:r>
      <w:r>
        <w:rPr>
          <w:rFonts w:hint="eastAsia" w:ascii="宋体" w:hAnsi="宋体" w:eastAsia="宋体"/>
          <w:color w:val="auto"/>
          <w:kern w:val="2"/>
          <w:szCs w:val="21"/>
          <w:u w:val="single"/>
        </w:rPr>
        <w:t xml:space="preserve">       </w:t>
      </w:r>
    </w:p>
    <w:p w14:paraId="4C034AC6">
      <w:pPr>
        <w:widowControl w:val="0"/>
        <w:spacing w:beforeLines="0" w:line="400" w:lineRule="exact"/>
        <w:ind w:firstLine="420" w:firstLineChars="200"/>
        <w:jc w:val="both"/>
        <w:rPr>
          <w:rFonts w:ascii="Times New Roman" w:hAnsi="Times New Roman"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（3）付款方式（按项目实际勾选填写）：</w:t>
      </w:r>
    </w:p>
    <w:p w14:paraId="149F7DCF">
      <w:pPr>
        <w:widowControl w:val="0"/>
        <w:adjustRightInd w:val="0"/>
        <w:snapToGrid w:val="0"/>
        <w:spacing w:before="0" w:beforeLines="0" w:line="400" w:lineRule="exact"/>
        <w:ind w:firstLine="630" w:firstLineChars="300"/>
        <w:textAlignment w:val="auto"/>
        <w:rPr>
          <w:rFonts w:ascii="宋体" w:hAnsi="宋体" w:eastAsia="宋体"/>
          <w:color w:val="auto"/>
          <w:kern w:val="2"/>
          <w:szCs w:val="21"/>
          <w:u w:val="single"/>
        </w:rPr>
      </w:pPr>
      <w:r>
        <w:rPr>
          <w:rFonts w:hint="eastAsia" w:ascii="宋体" w:hAnsi="宋体" w:eastAsia="宋体"/>
          <w:color w:val="auto"/>
          <w:kern w:val="2"/>
          <w:szCs w:val="21"/>
        </w:rPr>
        <w:sym w:font="Wingdings" w:char="00A8"/>
      </w:r>
      <w:r>
        <w:rPr>
          <w:rFonts w:hint="eastAsia" w:ascii="宋体" w:hAnsi="宋体" w:eastAsia="宋体"/>
          <w:color w:val="auto"/>
          <w:kern w:val="2"/>
          <w:szCs w:val="21"/>
        </w:rPr>
        <w:t>全额付款：</w:t>
      </w:r>
      <w:r>
        <w:rPr>
          <w:rFonts w:hint="eastAsia" w:ascii="宋体" w:hAnsi="宋体" w:eastAsia="宋体"/>
          <w:color w:val="auto"/>
          <w:kern w:val="2"/>
          <w:szCs w:val="21"/>
          <w:u w:val="single"/>
        </w:rPr>
        <w:t xml:space="preserve">     （应</w:t>
      </w:r>
      <w:r>
        <w:rPr>
          <w:rFonts w:hint="eastAsia" w:ascii="宋体" w:hAnsi="宋体" w:eastAsia="宋体"/>
          <w:color w:val="auto"/>
          <w:kern w:val="2"/>
          <w:szCs w:val="21"/>
          <w:u w:val="single"/>
          <w:lang w:eastAsia="zh-CN"/>
        </w:rPr>
        <w:t>明确</w:t>
      </w:r>
      <w:r>
        <w:rPr>
          <w:rFonts w:hint="eastAsia" w:ascii="宋体" w:hAnsi="宋体" w:eastAsia="宋体"/>
          <w:color w:val="auto"/>
          <w:kern w:val="2"/>
          <w:szCs w:val="21"/>
          <w:u w:val="single"/>
        </w:rPr>
        <w:t>一次性支付合同款项</w:t>
      </w:r>
      <w:r>
        <w:rPr>
          <w:rFonts w:hint="eastAsia" w:ascii="宋体" w:hAnsi="宋体" w:eastAsia="宋体"/>
          <w:color w:val="auto"/>
          <w:kern w:val="2"/>
          <w:szCs w:val="21"/>
          <w:u w:val="single"/>
          <w:lang w:eastAsia="zh-CN"/>
        </w:rPr>
        <w:t>的条件</w:t>
      </w:r>
      <w:r>
        <w:rPr>
          <w:rFonts w:hint="eastAsia" w:ascii="宋体" w:hAnsi="宋体" w:eastAsia="宋体"/>
          <w:color w:val="auto"/>
          <w:kern w:val="2"/>
          <w:szCs w:val="21"/>
          <w:u w:val="single"/>
        </w:rPr>
        <w:t xml:space="preserve">）                    </w:t>
      </w:r>
    </w:p>
    <w:p w14:paraId="10D1DCA3">
      <w:pPr>
        <w:widowControl w:val="0"/>
        <w:snapToGrid w:val="0"/>
        <w:spacing w:beforeLines="0" w:line="400" w:lineRule="exact"/>
        <w:ind w:firstLine="630" w:firstLineChars="300"/>
        <w:textAlignment w:val="auto"/>
        <w:rPr>
          <w:rFonts w:eastAsia="宋体"/>
          <w:color w:val="auto"/>
          <w:kern w:val="2"/>
          <w:szCs w:val="24"/>
        </w:rPr>
      </w:pPr>
      <w:r>
        <w:rPr>
          <w:rFonts w:hint="eastAsia" w:ascii="宋体" w:hAnsi="宋体" w:eastAsia="宋体"/>
          <w:color w:val="auto"/>
          <w:kern w:val="2"/>
          <w:szCs w:val="21"/>
        </w:rPr>
        <w:sym w:font="Wingdings" w:char="00A8"/>
      </w:r>
      <w:r>
        <w:rPr>
          <w:rFonts w:hint="eastAsia" w:ascii="宋体" w:hAnsi="宋体" w:eastAsia="宋体"/>
          <w:color w:val="auto"/>
          <w:kern w:val="2"/>
          <w:szCs w:val="21"/>
        </w:rPr>
        <w:t>分期付款：</w:t>
      </w:r>
      <w:r>
        <w:rPr>
          <w:rFonts w:hint="eastAsia" w:ascii="宋体" w:hAnsi="宋体" w:eastAsia="宋体"/>
          <w:color w:val="auto"/>
          <w:kern w:val="2"/>
          <w:szCs w:val="21"/>
          <w:u w:val="single"/>
        </w:rPr>
        <w:t xml:space="preserve">  （应明确分期支付合同款项的各期比例和支付条件</w:t>
      </w:r>
      <w:r>
        <w:rPr>
          <w:rFonts w:hint="eastAsia" w:ascii="宋体" w:hAnsi="宋体" w:eastAsia="宋体"/>
          <w:color w:val="auto"/>
          <w:kern w:val="2"/>
          <w:szCs w:val="21"/>
          <w:u w:val="single"/>
          <w:lang w:eastAsia="zh-CN"/>
        </w:rPr>
        <w:t>，各期支付条件应与分期履约验收情况挂钩</w:t>
      </w:r>
      <w:r>
        <w:rPr>
          <w:rFonts w:hint="eastAsia" w:ascii="宋体" w:hAnsi="宋体" w:eastAsia="宋体"/>
          <w:color w:val="auto"/>
          <w:kern w:val="2"/>
          <w:szCs w:val="21"/>
          <w:u w:val="single"/>
        </w:rPr>
        <w:t xml:space="preserve">） </w:t>
      </w:r>
      <w:r>
        <w:rPr>
          <w:rFonts w:hint="eastAsia" w:ascii="宋体" w:hAnsi="宋体" w:eastAsia="宋体"/>
          <w:color w:val="auto"/>
          <w:kern w:val="2"/>
          <w:szCs w:val="21"/>
          <w:u w:val="none"/>
          <w:lang w:eastAsia="zh-CN"/>
        </w:rPr>
        <w:t>，</w:t>
      </w:r>
      <w:r>
        <w:rPr>
          <w:rFonts w:hint="eastAsia" w:ascii="宋体" w:hAnsi="宋体" w:eastAsia="宋体"/>
          <w:color w:val="auto"/>
          <w:kern w:val="2"/>
          <w:szCs w:val="21"/>
          <w:lang w:eastAsia="zh-CN"/>
        </w:rPr>
        <w:t>其中涉及预付款的</w:t>
      </w:r>
      <w:r>
        <w:rPr>
          <w:rFonts w:hint="eastAsia" w:ascii="宋体" w:hAnsi="宋体" w:eastAsia="宋体"/>
          <w:color w:val="auto"/>
          <w:kern w:val="2"/>
          <w:szCs w:val="21"/>
        </w:rPr>
        <w:t>：</w:t>
      </w:r>
      <w:r>
        <w:rPr>
          <w:rFonts w:hint="eastAsia" w:ascii="宋体" w:hAnsi="宋体" w:eastAsia="宋体"/>
          <w:color w:val="auto"/>
          <w:kern w:val="2"/>
          <w:szCs w:val="21"/>
          <w:u w:val="single"/>
        </w:rPr>
        <w:t xml:space="preserve"> （应明确预付款的支付比例和支付条件） </w:t>
      </w:r>
    </w:p>
    <w:p w14:paraId="163B78B7">
      <w:pPr>
        <w:widowControl w:val="0"/>
        <w:adjustRightInd w:val="0"/>
        <w:snapToGrid w:val="0"/>
        <w:spacing w:before="0" w:beforeLines="0" w:line="400" w:lineRule="exact"/>
        <w:ind w:firstLine="630" w:firstLineChars="300"/>
        <w:textAlignment w:val="auto"/>
        <w:rPr>
          <w:rFonts w:ascii="宋体" w:hAnsi="宋体" w:eastAsia="宋体"/>
          <w:color w:val="auto"/>
          <w:kern w:val="2"/>
          <w:szCs w:val="21"/>
          <w:u w:val="single"/>
        </w:rPr>
      </w:pPr>
      <w:r>
        <w:rPr>
          <w:rFonts w:hint="eastAsia" w:ascii="宋体" w:hAnsi="宋体" w:eastAsia="宋体"/>
          <w:color w:val="auto"/>
          <w:kern w:val="2"/>
          <w:szCs w:val="21"/>
        </w:rPr>
        <w:sym w:font="Wingdings" w:char="00A8"/>
      </w:r>
      <w:r>
        <w:rPr>
          <w:rFonts w:hint="eastAsia" w:ascii="宋体" w:hAnsi="宋体" w:eastAsia="宋体"/>
          <w:color w:val="auto"/>
          <w:kern w:val="2"/>
          <w:szCs w:val="21"/>
        </w:rPr>
        <w:t>成本补偿：</w:t>
      </w:r>
      <w:r>
        <w:rPr>
          <w:rFonts w:hint="eastAsia" w:ascii="宋体" w:hAnsi="宋体" w:eastAsia="宋体"/>
          <w:color w:val="auto"/>
          <w:kern w:val="2"/>
          <w:szCs w:val="21"/>
          <w:u w:val="single"/>
        </w:rPr>
        <w:t xml:space="preserve">      （应明确按照成本补偿方式的支付方式和支付条件）   </w:t>
      </w:r>
    </w:p>
    <w:p w14:paraId="7406D826">
      <w:pPr>
        <w:widowControl w:val="0"/>
        <w:adjustRightInd w:val="0"/>
        <w:snapToGrid w:val="0"/>
        <w:spacing w:before="0" w:beforeLines="0" w:line="400" w:lineRule="exact"/>
        <w:ind w:firstLine="630" w:firstLineChars="300"/>
        <w:textAlignment w:val="auto"/>
        <w:rPr>
          <w:rFonts w:ascii="宋体" w:hAnsi="宋体" w:eastAsia="宋体"/>
          <w:color w:val="auto"/>
          <w:kern w:val="2"/>
          <w:szCs w:val="21"/>
        </w:rPr>
      </w:pPr>
      <w:r>
        <w:rPr>
          <w:rFonts w:hint="eastAsia" w:ascii="宋体" w:hAnsi="宋体" w:eastAsia="宋体"/>
          <w:color w:val="auto"/>
          <w:kern w:val="2"/>
          <w:szCs w:val="21"/>
        </w:rPr>
        <w:sym w:font="Wingdings" w:char="00A8"/>
      </w:r>
      <w:r>
        <w:rPr>
          <w:rFonts w:hint="eastAsia" w:ascii="宋体" w:hAnsi="宋体" w:eastAsia="宋体"/>
          <w:color w:val="auto"/>
          <w:kern w:val="2"/>
          <w:szCs w:val="21"/>
        </w:rPr>
        <w:t>绩效激励：</w:t>
      </w:r>
      <w:r>
        <w:rPr>
          <w:rFonts w:hint="eastAsia" w:ascii="宋体" w:hAnsi="宋体" w:eastAsia="宋体"/>
          <w:color w:val="auto"/>
          <w:kern w:val="2"/>
          <w:szCs w:val="21"/>
          <w:u w:val="single"/>
        </w:rPr>
        <w:t xml:space="preserve">      （应明确按照绩效激励方式的支付方式和支付条件）   </w:t>
      </w:r>
    </w:p>
    <w:p w14:paraId="3A04E4E3">
      <w:pPr>
        <w:widowControl w:val="0"/>
        <w:numPr>
          <w:ilvl w:val="0"/>
          <w:numId w:val="3"/>
        </w:numPr>
        <w:adjustRightInd w:val="0"/>
        <w:snapToGrid w:val="0"/>
        <w:spacing w:before="0" w:beforeLines="0" w:line="400" w:lineRule="exact"/>
        <w:ind w:firstLine="422" w:firstLineChars="200"/>
        <w:textAlignment w:val="auto"/>
        <w:rPr>
          <w:rFonts w:ascii="宋体" w:hAnsi="宋体" w:eastAsia="宋体"/>
          <w:b/>
          <w:bCs w:val="0"/>
          <w:color w:val="auto"/>
          <w:kern w:val="2"/>
          <w:szCs w:val="21"/>
          <w:u w:val="single"/>
        </w:rPr>
      </w:pPr>
      <w:r>
        <w:rPr>
          <w:rFonts w:hint="eastAsia" w:ascii="宋体" w:hAnsi="宋体" w:eastAsia="宋体"/>
          <w:b/>
          <w:bCs w:val="0"/>
          <w:color w:val="auto"/>
          <w:kern w:val="2"/>
          <w:szCs w:val="21"/>
        </w:rPr>
        <w:t>合同履行</w:t>
      </w:r>
    </w:p>
    <w:p w14:paraId="62E1500B">
      <w:pPr>
        <w:widowControl w:val="0"/>
        <w:adjustRightInd w:val="0"/>
        <w:snapToGrid w:val="0"/>
        <w:spacing w:before="0" w:beforeLines="0" w:line="400" w:lineRule="exact"/>
        <w:ind w:firstLine="420" w:firstLineChars="200"/>
        <w:textAlignment w:val="auto"/>
        <w:rPr>
          <w:rFonts w:hint="eastAsia" w:ascii="宋体" w:hAnsi="宋体" w:eastAsia="宋体" w:cs="宋体"/>
          <w:color w:val="auto"/>
          <w:kern w:val="2"/>
          <w:szCs w:val="21"/>
        </w:rPr>
      </w:pPr>
      <w:r>
        <w:rPr>
          <w:rFonts w:hint="eastAsia" w:ascii="宋体" w:hAnsi="宋体" w:eastAsia="宋体" w:cs="宋体"/>
          <w:color w:val="auto"/>
          <w:kern w:val="2"/>
          <w:szCs w:val="21"/>
        </w:rPr>
        <w:t>（1）起始日期：</w:t>
      </w:r>
      <w:r>
        <w:rPr>
          <w:rFonts w:hint="eastAsia" w:ascii="宋体" w:hAnsi="宋体" w:eastAsia="宋体" w:cs="宋体"/>
          <w:color w:val="auto"/>
          <w:kern w:val="2"/>
          <w:szCs w:val="21"/>
          <w:u w:val="single"/>
        </w:rPr>
        <w:t xml:space="preserve">    </w:t>
      </w:r>
      <w:r>
        <w:rPr>
          <w:rFonts w:hint="eastAsia" w:ascii="宋体" w:hAnsi="宋体" w:eastAsia="宋体" w:cs="宋体"/>
          <w:color w:val="auto"/>
          <w:kern w:val="2"/>
          <w:szCs w:val="21"/>
        </w:rPr>
        <w:t>年</w:t>
      </w:r>
      <w:r>
        <w:rPr>
          <w:rFonts w:hint="eastAsia" w:ascii="宋体" w:hAnsi="宋体" w:eastAsia="宋体" w:cs="宋体"/>
          <w:color w:val="auto"/>
          <w:kern w:val="2"/>
          <w:szCs w:val="21"/>
          <w:u w:val="single"/>
        </w:rPr>
        <w:t xml:space="preserve">   </w:t>
      </w:r>
      <w:r>
        <w:rPr>
          <w:rFonts w:hint="eastAsia" w:ascii="宋体" w:hAnsi="宋体" w:eastAsia="宋体" w:cs="宋体"/>
          <w:color w:val="auto"/>
          <w:kern w:val="2"/>
          <w:szCs w:val="21"/>
        </w:rPr>
        <w:t>月</w:t>
      </w:r>
      <w:r>
        <w:rPr>
          <w:rFonts w:hint="eastAsia" w:ascii="宋体" w:hAnsi="宋体" w:eastAsia="宋体" w:cs="宋体"/>
          <w:color w:val="auto"/>
          <w:kern w:val="2"/>
          <w:szCs w:val="21"/>
          <w:u w:val="single"/>
        </w:rPr>
        <w:t xml:space="preserve">   </w:t>
      </w:r>
      <w:r>
        <w:rPr>
          <w:rFonts w:hint="eastAsia" w:ascii="宋体" w:hAnsi="宋体" w:eastAsia="宋体" w:cs="宋体"/>
          <w:color w:val="auto"/>
          <w:kern w:val="2"/>
          <w:szCs w:val="21"/>
        </w:rPr>
        <w:t>日，完成日期：</w:t>
      </w:r>
      <w:r>
        <w:rPr>
          <w:rFonts w:hint="eastAsia" w:ascii="宋体" w:hAnsi="宋体" w:eastAsia="宋体" w:cs="宋体"/>
          <w:color w:val="auto"/>
          <w:kern w:val="2"/>
          <w:szCs w:val="21"/>
          <w:u w:val="single"/>
        </w:rPr>
        <w:t xml:space="preserve">    </w:t>
      </w:r>
      <w:r>
        <w:rPr>
          <w:rFonts w:hint="eastAsia" w:ascii="宋体" w:hAnsi="宋体" w:eastAsia="宋体" w:cs="宋体"/>
          <w:color w:val="auto"/>
          <w:kern w:val="2"/>
          <w:szCs w:val="21"/>
        </w:rPr>
        <w:t>年</w:t>
      </w:r>
      <w:r>
        <w:rPr>
          <w:rFonts w:hint="eastAsia" w:ascii="宋体" w:hAnsi="宋体" w:eastAsia="宋体" w:cs="宋体"/>
          <w:color w:val="auto"/>
          <w:kern w:val="2"/>
          <w:szCs w:val="21"/>
          <w:u w:val="single"/>
        </w:rPr>
        <w:t xml:space="preserve">   </w:t>
      </w:r>
      <w:r>
        <w:rPr>
          <w:rFonts w:hint="eastAsia" w:ascii="宋体" w:hAnsi="宋体" w:eastAsia="宋体" w:cs="宋体"/>
          <w:color w:val="auto"/>
          <w:kern w:val="2"/>
          <w:szCs w:val="21"/>
        </w:rPr>
        <w:t>月</w:t>
      </w:r>
      <w:r>
        <w:rPr>
          <w:rFonts w:hint="eastAsia" w:ascii="宋体" w:hAnsi="宋体" w:eastAsia="宋体" w:cs="宋体"/>
          <w:color w:val="auto"/>
          <w:kern w:val="2"/>
          <w:szCs w:val="21"/>
          <w:u w:val="single"/>
        </w:rPr>
        <w:t xml:space="preserve">   </w:t>
      </w:r>
      <w:r>
        <w:rPr>
          <w:rFonts w:hint="eastAsia" w:ascii="宋体" w:hAnsi="宋体" w:eastAsia="宋体" w:cs="宋体"/>
          <w:color w:val="auto"/>
          <w:kern w:val="2"/>
          <w:szCs w:val="21"/>
        </w:rPr>
        <w:t>日。</w:t>
      </w:r>
    </w:p>
    <w:p w14:paraId="39B35193">
      <w:pPr>
        <w:widowControl w:val="0"/>
        <w:adjustRightInd w:val="0"/>
        <w:snapToGrid w:val="0"/>
        <w:spacing w:before="0" w:beforeLines="0" w:line="400" w:lineRule="exact"/>
        <w:ind w:firstLine="420" w:firstLineChars="200"/>
        <w:textAlignment w:val="auto"/>
        <w:rPr>
          <w:rFonts w:hint="eastAsia" w:ascii="宋体" w:hAnsi="宋体" w:eastAsia="宋体" w:cs="宋体"/>
          <w:color w:val="auto"/>
          <w:kern w:val="2"/>
          <w:szCs w:val="21"/>
          <w:u w:val="single"/>
        </w:rPr>
      </w:pPr>
      <w:r>
        <w:rPr>
          <w:rFonts w:hint="eastAsia" w:ascii="宋体" w:hAnsi="宋体" w:eastAsia="宋体" w:cs="宋体"/>
          <w:color w:val="auto"/>
          <w:kern w:val="2"/>
          <w:szCs w:val="21"/>
        </w:rPr>
        <w:t>（2）</w:t>
      </w:r>
      <w:r>
        <w:rPr>
          <w:rFonts w:hint="eastAsia" w:ascii="宋体" w:hAnsi="宋体" w:eastAsia="宋体" w:cs="宋体"/>
          <w:color w:val="auto"/>
          <w:kern w:val="2"/>
          <w:szCs w:val="21"/>
          <w:lang w:eastAsia="zh-CN"/>
        </w:rPr>
        <w:t>履约</w:t>
      </w:r>
      <w:r>
        <w:rPr>
          <w:rFonts w:hint="eastAsia" w:ascii="宋体" w:hAnsi="宋体" w:eastAsia="宋体" w:cs="宋体"/>
          <w:color w:val="auto"/>
          <w:kern w:val="2"/>
          <w:szCs w:val="21"/>
        </w:rPr>
        <w:t>地点</w:t>
      </w:r>
      <w:r>
        <w:rPr>
          <w:rFonts w:hint="eastAsia" w:ascii="宋体" w:hAnsi="宋体" w:eastAsia="宋体" w:cs="宋体"/>
          <w:b w:val="0"/>
          <w:bCs/>
          <w:color w:val="auto"/>
          <w:kern w:val="2"/>
          <w:szCs w:val="21"/>
        </w:rPr>
        <w:t>：</w:t>
      </w:r>
      <w:r>
        <w:rPr>
          <w:rFonts w:hint="eastAsia" w:ascii="宋体" w:hAnsi="宋体" w:eastAsia="宋体" w:cs="宋体"/>
          <w:color w:val="auto"/>
          <w:kern w:val="2"/>
          <w:szCs w:val="21"/>
          <w:u w:val="single"/>
        </w:rPr>
        <w:t xml:space="preserve">                             </w:t>
      </w:r>
    </w:p>
    <w:p w14:paraId="4C167CBF">
      <w:pPr>
        <w:widowControl w:val="0"/>
        <w:adjustRightInd w:val="0"/>
        <w:snapToGrid w:val="0"/>
        <w:spacing w:before="0" w:beforeLines="0" w:line="400" w:lineRule="exact"/>
        <w:ind w:firstLine="420" w:firstLineChars="200"/>
        <w:textAlignment w:val="auto"/>
        <w:rPr>
          <w:rFonts w:hint="eastAsia" w:ascii="宋体" w:hAnsi="宋体" w:eastAsia="宋体" w:cs="宋体"/>
          <w:color w:val="auto"/>
          <w:kern w:val="2"/>
          <w:sz w:val="21"/>
          <w:szCs w:val="21"/>
          <w:lang w:eastAsia="zh-CN"/>
        </w:rPr>
      </w:pPr>
      <w:r>
        <w:rPr>
          <w:rFonts w:hint="eastAsia" w:ascii="宋体" w:hAnsi="宋体" w:eastAsia="宋体" w:cs="宋体"/>
          <w:bCs/>
          <w:color w:val="auto"/>
          <w:kern w:val="2"/>
          <w:szCs w:val="21"/>
        </w:rPr>
        <w:t>（3）履约担保：</w:t>
      </w:r>
      <w:r>
        <w:rPr>
          <w:rFonts w:hint="eastAsia" w:ascii="宋体" w:hAnsi="宋体" w:eastAsia="宋体" w:cs="宋体"/>
          <w:color w:val="auto"/>
          <w:kern w:val="2"/>
          <w:sz w:val="21"/>
          <w:szCs w:val="24"/>
          <w:lang w:val="en-US" w:eastAsia="zh-CN"/>
        </w:rPr>
        <w:t>是否收取履约保证金：</w:t>
      </w:r>
      <w:r>
        <w:rPr>
          <w:rFonts w:hint="eastAsia" w:ascii="宋体" w:hAnsi="宋体" w:eastAsia="宋体" w:cs="宋体"/>
          <w:color w:val="auto"/>
          <w:kern w:val="2"/>
          <w:sz w:val="21"/>
          <w:szCs w:val="21"/>
        </w:rPr>
        <w:sym w:font="Wingdings" w:char="00A8"/>
      </w:r>
      <w:r>
        <w:rPr>
          <w:rFonts w:hint="eastAsia" w:ascii="宋体" w:hAnsi="宋体" w:eastAsia="宋体" w:cs="宋体"/>
          <w:color w:val="auto"/>
          <w:kern w:val="2"/>
          <w:sz w:val="21"/>
          <w:szCs w:val="21"/>
          <w:lang w:eastAsia="zh-CN"/>
        </w:rPr>
        <w:t>是</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rPr>
        <w:sym w:font="Wingdings" w:char="00A8"/>
      </w:r>
      <w:r>
        <w:rPr>
          <w:rFonts w:hint="eastAsia" w:ascii="宋体" w:hAnsi="宋体" w:eastAsia="宋体" w:cs="宋体"/>
          <w:color w:val="auto"/>
          <w:kern w:val="2"/>
          <w:sz w:val="21"/>
          <w:szCs w:val="21"/>
          <w:lang w:eastAsia="zh-CN"/>
        </w:rPr>
        <w:t>否</w:t>
      </w:r>
    </w:p>
    <w:p w14:paraId="4FE206B9">
      <w:pPr>
        <w:autoSpaceDE w:val="0"/>
        <w:autoSpaceDN w:val="0"/>
        <w:adjustRightInd w:val="0"/>
        <w:spacing w:beforeLines="0" w:line="400" w:lineRule="exact"/>
        <w:ind w:firstLine="440" w:firstLineChars="200"/>
        <w:rPr>
          <w:rFonts w:hint="eastAsia" w:ascii="宋体" w:hAnsi="宋体" w:eastAsia="宋体" w:cs="宋体"/>
          <w:color w:val="auto"/>
          <w:sz w:val="21"/>
          <w:szCs w:val="21"/>
          <w:lang w:val="en-US" w:eastAsia="zh-CN" w:bidi="ar-SA"/>
        </w:rPr>
      </w:pPr>
      <w:r>
        <w:rPr>
          <w:rFonts w:hint="eastAsia" w:ascii="宋体" w:hAnsi="宋体" w:eastAsia="华文楷体" w:cs="宋体"/>
          <w:bCs/>
          <w:color w:val="auto"/>
          <w:sz w:val="22"/>
          <w:szCs w:val="21"/>
          <w:u w:val="none"/>
          <w:lang w:val="en-US" w:eastAsia="zh-CN" w:bidi="ar-SA"/>
        </w:rPr>
        <w:t xml:space="preserve">  </w:t>
      </w:r>
      <w:r>
        <w:rPr>
          <w:rFonts w:hint="eastAsia" w:ascii="宋体" w:hAnsi="宋体" w:eastAsia="宋体" w:cs="宋体"/>
          <w:color w:val="auto"/>
          <w:sz w:val="21"/>
          <w:szCs w:val="21"/>
          <w:lang w:val="en-US" w:eastAsia="zh-CN" w:bidi="ar-SA"/>
        </w:rPr>
        <w:t xml:space="preserve">  收取履约保证金形式：</w:t>
      </w:r>
      <w:r>
        <w:rPr>
          <w:rFonts w:hint="eastAsia" w:ascii="宋体" w:hAnsi="宋体" w:eastAsia="宋体" w:cs="宋体"/>
          <w:bCs/>
          <w:color w:val="auto"/>
          <w:sz w:val="21"/>
          <w:szCs w:val="21"/>
          <w:u w:val="single"/>
          <w:lang w:val="en-US" w:eastAsia="zh-CN" w:bidi="ar-SA"/>
        </w:rPr>
        <w:t xml:space="preserve">                            </w:t>
      </w:r>
    </w:p>
    <w:p w14:paraId="6865C2AA">
      <w:pPr>
        <w:autoSpaceDE w:val="0"/>
        <w:autoSpaceDN w:val="0"/>
        <w:adjustRightInd w:val="0"/>
        <w:spacing w:beforeLines="0" w:line="400" w:lineRule="exact"/>
        <w:ind w:firstLine="420" w:firstLineChars="20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    收取履约保证金金额：</w:t>
      </w:r>
      <w:r>
        <w:rPr>
          <w:rFonts w:hint="eastAsia" w:ascii="宋体" w:hAnsi="宋体" w:eastAsia="宋体" w:cs="宋体"/>
          <w:bCs/>
          <w:color w:val="auto"/>
          <w:sz w:val="21"/>
          <w:szCs w:val="21"/>
          <w:u w:val="single"/>
          <w:lang w:val="en-US" w:eastAsia="zh-CN" w:bidi="ar-SA"/>
        </w:rPr>
        <w:t xml:space="preserve">                            </w:t>
      </w:r>
    </w:p>
    <w:p w14:paraId="1A33C002">
      <w:pPr>
        <w:widowControl w:val="0"/>
        <w:snapToGrid w:val="0"/>
        <w:spacing w:beforeLines="0" w:line="400" w:lineRule="exact"/>
        <w:ind w:firstLine="420" w:firstLineChars="200"/>
        <w:textAlignment w:val="auto"/>
        <w:rPr>
          <w:rFonts w:hint="eastAsia" w:ascii="宋体" w:hAnsi="宋体" w:eastAsia="宋体" w:cs="宋体"/>
          <w:color w:val="auto"/>
          <w:kern w:val="2"/>
          <w:sz w:val="21"/>
          <w:szCs w:val="24"/>
          <w:lang w:val="en-US" w:eastAsia="zh-CN"/>
        </w:rPr>
      </w:pPr>
      <w:r>
        <w:rPr>
          <w:rFonts w:hint="eastAsia" w:ascii="宋体" w:hAnsi="宋体" w:eastAsia="宋体" w:cs="宋体"/>
          <w:bCs/>
          <w:color w:val="auto"/>
          <w:kern w:val="2"/>
          <w:szCs w:val="21"/>
          <w:u w:val="none"/>
          <w:lang w:val="en-US" w:eastAsia="zh-CN"/>
        </w:rPr>
        <w:t xml:space="preserve">    履约担保期限</w:t>
      </w:r>
      <w:r>
        <w:rPr>
          <w:rFonts w:hint="eastAsia" w:ascii="宋体" w:hAnsi="宋体" w:eastAsia="宋体" w:cs="宋体"/>
          <w:bCs/>
          <w:color w:val="auto"/>
          <w:kern w:val="2"/>
          <w:szCs w:val="21"/>
          <w:u w:val="none"/>
          <w:lang w:eastAsia="zh-CN"/>
        </w:rPr>
        <w:t>：</w:t>
      </w:r>
      <w:r>
        <w:rPr>
          <w:rFonts w:hint="eastAsia" w:ascii="宋体" w:hAnsi="宋体" w:eastAsia="宋体" w:cs="宋体"/>
          <w:bCs/>
          <w:color w:val="auto"/>
          <w:kern w:val="2"/>
          <w:sz w:val="21"/>
          <w:szCs w:val="21"/>
          <w:u w:val="single"/>
        </w:rPr>
        <w:t xml:space="preserve">      </w:t>
      </w:r>
      <w:r>
        <w:rPr>
          <w:rFonts w:hint="eastAsia" w:ascii="宋体" w:hAnsi="宋体" w:eastAsia="宋体" w:cs="宋体"/>
          <w:bCs/>
          <w:color w:val="auto"/>
          <w:kern w:val="2"/>
          <w:sz w:val="21"/>
          <w:szCs w:val="21"/>
          <w:u w:val="single"/>
          <w:lang w:val="en-US" w:eastAsia="zh-CN"/>
        </w:rPr>
        <w:t xml:space="preserve">                     </w:t>
      </w:r>
      <w:r>
        <w:rPr>
          <w:rFonts w:hint="eastAsia" w:ascii="宋体" w:hAnsi="宋体" w:eastAsia="宋体" w:cs="宋体"/>
          <w:bCs/>
          <w:color w:val="auto"/>
          <w:kern w:val="2"/>
          <w:sz w:val="21"/>
          <w:szCs w:val="21"/>
          <w:u w:val="single"/>
        </w:rPr>
        <w:t xml:space="preserve">       </w:t>
      </w:r>
    </w:p>
    <w:p w14:paraId="61FA86FE">
      <w:pPr>
        <w:widowControl w:val="0"/>
        <w:adjustRightInd w:val="0"/>
        <w:snapToGrid w:val="0"/>
        <w:spacing w:before="0" w:beforeLines="0" w:line="400" w:lineRule="exact"/>
        <w:ind w:firstLine="420" w:firstLineChars="200"/>
        <w:textAlignment w:val="auto"/>
        <w:rPr>
          <w:rFonts w:hint="eastAsia" w:ascii="宋体" w:hAnsi="宋体" w:eastAsia="宋体" w:cs="宋体"/>
          <w:bCs/>
          <w:color w:val="auto"/>
          <w:kern w:val="2"/>
          <w:szCs w:val="21"/>
        </w:rPr>
      </w:pPr>
      <w:r>
        <w:rPr>
          <w:rFonts w:hint="eastAsia" w:ascii="宋体" w:hAnsi="宋体" w:eastAsia="宋体" w:cs="宋体"/>
          <w:bCs/>
          <w:color w:val="auto"/>
          <w:kern w:val="2"/>
          <w:szCs w:val="21"/>
        </w:rPr>
        <w:t>（4）分期履行要求：</w:t>
      </w:r>
      <w:r>
        <w:rPr>
          <w:rFonts w:hint="eastAsia" w:ascii="宋体" w:hAnsi="宋体" w:eastAsia="宋体" w:cs="宋体"/>
          <w:bCs/>
          <w:color w:val="auto"/>
          <w:kern w:val="2"/>
          <w:szCs w:val="21"/>
          <w:u w:val="single"/>
        </w:rPr>
        <w:t xml:space="preserve">                                                   </w:t>
      </w:r>
      <w:r>
        <w:rPr>
          <w:rFonts w:hint="eastAsia" w:ascii="宋体" w:hAnsi="宋体" w:eastAsia="宋体" w:cs="宋体"/>
          <w:bCs/>
          <w:color w:val="auto"/>
          <w:kern w:val="2"/>
          <w:szCs w:val="21"/>
          <w:u w:val="single"/>
          <w:lang w:val="en-US" w:eastAsia="zh-CN"/>
        </w:rPr>
        <w:t xml:space="preserve">    </w:t>
      </w:r>
      <w:r>
        <w:rPr>
          <w:rFonts w:hint="eastAsia" w:ascii="宋体" w:hAnsi="宋体" w:eastAsia="宋体" w:cs="宋体"/>
          <w:bCs/>
          <w:color w:val="auto"/>
          <w:kern w:val="2"/>
          <w:szCs w:val="21"/>
          <w:u w:val="single"/>
        </w:rPr>
        <w:t xml:space="preserve"> </w:t>
      </w:r>
    </w:p>
    <w:p w14:paraId="5FD2F62F">
      <w:pPr>
        <w:widowControl w:val="0"/>
        <w:adjustRightInd w:val="0"/>
        <w:snapToGrid w:val="0"/>
        <w:spacing w:before="0" w:beforeLines="0" w:line="400" w:lineRule="exact"/>
        <w:ind w:firstLine="420" w:firstLineChars="200"/>
        <w:textAlignment w:val="auto"/>
        <w:rPr>
          <w:rFonts w:hint="eastAsia" w:ascii="宋体" w:hAnsi="宋体" w:eastAsia="宋体" w:cs="宋体"/>
          <w:color w:val="auto"/>
          <w:kern w:val="2"/>
          <w:szCs w:val="21"/>
          <w:u w:val="single"/>
        </w:rPr>
      </w:pPr>
      <w:r>
        <w:rPr>
          <w:rFonts w:hint="eastAsia" w:ascii="宋体" w:hAnsi="宋体" w:eastAsia="宋体" w:cs="宋体"/>
          <w:bCs/>
          <w:color w:val="auto"/>
          <w:kern w:val="2"/>
          <w:szCs w:val="21"/>
        </w:rPr>
        <w:t>（5）</w:t>
      </w:r>
      <w:r>
        <w:rPr>
          <w:rFonts w:hint="eastAsia" w:ascii="宋体" w:hAnsi="宋体" w:eastAsia="宋体" w:cs="宋体"/>
          <w:bCs/>
          <w:color w:val="auto"/>
          <w:kern w:val="2"/>
          <w:szCs w:val="21"/>
          <w:lang w:eastAsia="zh-CN"/>
        </w:rPr>
        <w:t>风险处置措施和替代方案</w:t>
      </w:r>
      <w:r>
        <w:rPr>
          <w:rFonts w:hint="eastAsia" w:ascii="宋体" w:hAnsi="宋体" w:eastAsia="宋体" w:cs="宋体"/>
          <w:bCs/>
          <w:color w:val="auto"/>
          <w:kern w:val="2"/>
          <w:szCs w:val="21"/>
        </w:rPr>
        <w:t>：</w:t>
      </w:r>
      <w:r>
        <w:rPr>
          <w:rFonts w:hint="eastAsia" w:ascii="宋体" w:hAnsi="宋体" w:eastAsia="宋体" w:cs="宋体"/>
          <w:color w:val="auto"/>
          <w:kern w:val="2"/>
          <w:szCs w:val="21"/>
          <w:u w:val="single"/>
        </w:rPr>
        <w:t xml:space="preserve">                                                               </w:t>
      </w:r>
    </w:p>
    <w:p w14:paraId="3FF03021">
      <w:pPr>
        <w:widowControl w:val="0"/>
        <w:numPr>
          <w:ilvl w:val="0"/>
          <w:numId w:val="3"/>
        </w:numPr>
        <w:adjustRightInd w:val="0"/>
        <w:snapToGrid w:val="0"/>
        <w:spacing w:before="0" w:beforeLines="0" w:line="400" w:lineRule="exact"/>
        <w:ind w:firstLine="422" w:firstLineChars="200"/>
        <w:textAlignment w:val="auto"/>
        <w:rPr>
          <w:rFonts w:ascii="宋体" w:hAnsi="宋体" w:eastAsia="宋体"/>
          <w:b/>
          <w:color w:val="auto"/>
          <w:kern w:val="2"/>
          <w:szCs w:val="21"/>
        </w:rPr>
      </w:pPr>
      <w:r>
        <w:rPr>
          <w:rFonts w:hint="eastAsia" w:ascii="宋体" w:hAnsi="宋体" w:eastAsia="宋体"/>
          <w:b/>
          <w:color w:val="auto"/>
          <w:kern w:val="2"/>
          <w:szCs w:val="21"/>
        </w:rPr>
        <w:t>合同验收</w:t>
      </w:r>
    </w:p>
    <w:p w14:paraId="3E0E6D0B">
      <w:pPr>
        <w:widowControl w:val="0"/>
        <w:numPr>
          <w:ilvl w:val="0"/>
          <w:numId w:val="5"/>
        </w:numPr>
        <w:adjustRightInd w:val="0"/>
        <w:snapToGrid w:val="0"/>
        <w:spacing w:before="0" w:beforeLines="0" w:line="400" w:lineRule="exact"/>
        <w:ind w:firstLine="420" w:firstLineChars="200"/>
        <w:textAlignment w:val="auto"/>
        <w:rPr>
          <w:rFonts w:hint="eastAsia" w:ascii="宋体" w:hAnsi="宋体" w:eastAsia="宋体"/>
          <w:bCs/>
          <w:color w:val="auto"/>
          <w:kern w:val="2"/>
          <w:szCs w:val="21"/>
        </w:rPr>
      </w:pPr>
      <w:r>
        <w:rPr>
          <w:rFonts w:hint="eastAsia" w:ascii="宋体" w:hAnsi="宋体" w:eastAsia="宋体"/>
          <w:bCs/>
          <w:color w:val="auto"/>
          <w:kern w:val="2"/>
          <w:szCs w:val="21"/>
        </w:rPr>
        <w:t>验收组织方式：</w:t>
      </w:r>
      <w:r>
        <w:rPr>
          <w:rFonts w:hint="eastAsia" w:ascii="宋体" w:hAnsi="宋体" w:eastAsia="宋体" w:cs="宋体"/>
          <w:color w:val="auto"/>
          <w:kern w:val="2"/>
          <w:sz w:val="21"/>
          <w:szCs w:val="21"/>
        </w:rPr>
        <w:sym w:font="Wingdings" w:char="00A8"/>
      </w:r>
      <w:r>
        <w:rPr>
          <w:rFonts w:hint="eastAsia" w:ascii="宋体" w:hAnsi="宋体" w:eastAsia="宋体"/>
          <w:bCs/>
          <w:color w:val="auto"/>
          <w:kern w:val="2"/>
          <w:szCs w:val="21"/>
        </w:rPr>
        <w:t xml:space="preserve">自行组织 </w:t>
      </w:r>
      <w:r>
        <w:rPr>
          <w:rFonts w:hint="eastAsia" w:ascii="宋体" w:hAnsi="宋体" w:eastAsia="宋体" w:cs="宋体"/>
          <w:color w:val="auto"/>
          <w:kern w:val="2"/>
          <w:sz w:val="21"/>
          <w:szCs w:val="21"/>
        </w:rPr>
        <w:sym w:font="Wingdings" w:char="00A8"/>
      </w:r>
      <w:r>
        <w:rPr>
          <w:rFonts w:hint="eastAsia" w:ascii="宋体" w:hAnsi="宋体" w:eastAsia="宋体"/>
          <w:bCs/>
          <w:color w:val="auto"/>
          <w:kern w:val="2"/>
          <w:szCs w:val="21"/>
        </w:rPr>
        <w:t>委托第三方组织</w:t>
      </w:r>
    </w:p>
    <w:p w14:paraId="74CD9E8E">
      <w:pPr>
        <w:widowControl w:val="0"/>
        <w:numPr>
          <w:ilvl w:val="0"/>
          <w:numId w:val="0"/>
        </w:numPr>
        <w:adjustRightInd w:val="0"/>
        <w:snapToGrid w:val="0"/>
        <w:spacing w:before="0" w:beforeLines="0" w:line="400" w:lineRule="exact"/>
        <w:textAlignment w:val="auto"/>
        <w:rPr>
          <w:rFonts w:ascii="宋体" w:hAnsi="宋体" w:eastAsia="宋体"/>
          <w:bCs/>
          <w:color w:val="auto"/>
          <w:kern w:val="2"/>
          <w:szCs w:val="21"/>
        </w:rPr>
      </w:pPr>
      <w:r>
        <w:rPr>
          <w:rFonts w:hint="eastAsia" w:ascii="宋体" w:hAnsi="宋体" w:eastAsia="宋体"/>
          <w:bCs/>
          <w:color w:val="auto"/>
          <w:kern w:val="2"/>
          <w:szCs w:val="21"/>
          <w:lang w:val="en-US" w:eastAsia="zh-CN"/>
        </w:rPr>
        <w:t xml:space="preserve">         </w:t>
      </w:r>
      <w:r>
        <w:rPr>
          <w:rFonts w:hint="eastAsia" w:ascii="宋体" w:hAnsi="宋体" w:eastAsia="宋体"/>
          <w:bCs/>
          <w:color w:val="auto"/>
          <w:kern w:val="2"/>
          <w:szCs w:val="21"/>
        </w:rPr>
        <w:t>验收主体：</w:t>
      </w:r>
      <w:r>
        <w:rPr>
          <w:rFonts w:hint="eastAsia" w:ascii="宋体" w:hAnsi="宋体" w:eastAsia="宋体"/>
          <w:bCs/>
          <w:color w:val="auto"/>
          <w:kern w:val="2"/>
          <w:szCs w:val="21"/>
          <w:u w:val="single"/>
        </w:rPr>
        <w:t xml:space="preserve">                  </w:t>
      </w:r>
    </w:p>
    <w:p w14:paraId="500BE2DF">
      <w:pPr>
        <w:widowControl w:val="0"/>
        <w:adjustRightInd w:val="0"/>
        <w:snapToGrid w:val="0"/>
        <w:spacing w:before="0" w:beforeLines="0" w:line="400" w:lineRule="exact"/>
        <w:ind w:firstLine="0" w:firstLineChars="0"/>
        <w:textAlignment w:val="auto"/>
        <w:rPr>
          <w:rFonts w:ascii="宋体" w:hAnsi="宋体" w:eastAsia="宋体"/>
          <w:bCs/>
          <w:color w:val="auto"/>
          <w:kern w:val="2"/>
          <w:szCs w:val="21"/>
        </w:rPr>
      </w:pPr>
      <w:r>
        <w:rPr>
          <w:rFonts w:hint="eastAsia" w:ascii="宋体" w:hAnsi="宋体" w:eastAsia="宋体"/>
          <w:bCs/>
          <w:color w:val="auto"/>
          <w:kern w:val="2"/>
          <w:szCs w:val="21"/>
          <w:lang w:val="en-US" w:eastAsia="zh-CN"/>
        </w:rPr>
        <w:t xml:space="preserve">        </w:t>
      </w:r>
      <w:r>
        <w:rPr>
          <w:rFonts w:hint="eastAsia" w:ascii="宋体" w:hAnsi="宋体" w:eastAsia="宋体"/>
          <w:bCs/>
          <w:color w:val="auto"/>
          <w:kern w:val="2"/>
          <w:szCs w:val="21"/>
        </w:rPr>
        <w:t>是否邀请本项目的其他供应商</w:t>
      </w:r>
      <w:r>
        <w:rPr>
          <w:rFonts w:hint="eastAsia" w:ascii="宋体" w:hAnsi="宋体" w:eastAsia="宋体"/>
          <w:bCs/>
          <w:color w:val="auto"/>
          <w:kern w:val="2"/>
          <w:szCs w:val="21"/>
          <w:lang w:eastAsia="zh-CN"/>
        </w:rPr>
        <w:t>参加验收</w:t>
      </w:r>
      <w:r>
        <w:rPr>
          <w:rFonts w:hint="eastAsia" w:ascii="宋体" w:hAnsi="宋体" w:eastAsia="宋体"/>
          <w:bCs/>
          <w:color w:val="auto"/>
          <w:kern w:val="2"/>
          <w:szCs w:val="21"/>
        </w:rPr>
        <w:t>：</w:t>
      </w:r>
      <w:r>
        <w:rPr>
          <w:rFonts w:hint="eastAsia" w:ascii="宋体" w:hAnsi="宋体" w:eastAsia="宋体" w:cs="宋体"/>
          <w:color w:val="auto"/>
          <w:kern w:val="2"/>
          <w:sz w:val="21"/>
          <w:szCs w:val="21"/>
        </w:rPr>
        <w:sym w:font="Wingdings" w:char="00A8"/>
      </w:r>
      <w:r>
        <w:rPr>
          <w:rFonts w:hint="eastAsia" w:ascii="宋体" w:hAnsi="宋体" w:eastAsia="宋体"/>
          <w:bCs/>
          <w:color w:val="auto"/>
          <w:kern w:val="2"/>
          <w:szCs w:val="21"/>
        </w:rPr>
        <w:t xml:space="preserve">是  </w:t>
      </w:r>
      <w:r>
        <w:rPr>
          <w:rFonts w:hint="eastAsia" w:ascii="宋体" w:hAnsi="宋体" w:eastAsia="宋体" w:cs="宋体"/>
          <w:color w:val="auto"/>
          <w:kern w:val="2"/>
          <w:sz w:val="21"/>
          <w:szCs w:val="21"/>
        </w:rPr>
        <w:sym w:font="Wingdings" w:char="00A8"/>
      </w:r>
      <w:r>
        <w:rPr>
          <w:rFonts w:hint="eastAsia" w:ascii="宋体" w:hAnsi="宋体" w:eastAsia="宋体"/>
          <w:bCs/>
          <w:color w:val="auto"/>
          <w:kern w:val="2"/>
          <w:szCs w:val="21"/>
        </w:rPr>
        <w:t>否</w:t>
      </w:r>
    </w:p>
    <w:p w14:paraId="3DB244DA">
      <w:pPr>
        <w:widowControl w:val="0"/>
        <w:adjustRightInd w:val="0"/>
        <w:snapToGrid w:val="0"/>
        <w:spacing w:before="0" w:beforeLines="0" w:line="400" w:lineRule="exact"/>
        <w:ind w:firstLine="840" w:firstLineChars="400"/>
        <w:textAlignment w:val="auto"/>
        <w:rPr>
          <w:rFonts w:ascii="宋体" w:hAnsi="宋体" w:eastAsia="宋体"/>
          <w:bCs/>
          <w:color w:val="auto"/>
          <w:kern w:val="2"/>
          <w:szCs w:val="21"/>
        </w:rPr>
      </w:pPr>
      <w:r>
        <w:rPr>
          <w:rFonts w:hint="eastAsia" w:ascii="宋体" w:hAnsi="宋体" w:eastAsia="宋体"/>
          <w:bCs/>
          <w:color w:val="auto"/>
          <w:kern w:val="2"/>
          <w:szCs w:val="21"/>
        </w:rPr>
        <w:t>是否邀请专家</w:t>
      </w:r>
      <w:r>
        <w:rPr>
          <w:rFonts w:hint="eastAsia" w:ascii="宋体" w:hAnsi="宋体" w:eastAsia="宋体"/>
          <w:bCs/>
          <w:color w:val="auto"/>
          <w:kern w:val="2"/>
          <w:szCs w:val="21"/>
          <w:lang w:eastAsia="zh-CN"/>
        </w:rPr>
        <w:t>参加验收</w:t>
      </w:r>
      <w:r>
        <w:rPr>
          <w:rFonts w:hint="eastAsia" w:ascii="宋体" w:hAnsi="宋体" w:eastAsia="宋体"/>
          <w:bCs/>
          <w:color w:val="auto"/>
          <w:kern w:val="2"/>
          <w:szCs w:val="21"/>
        </w:rPr>
        <w:t>：</w:t>
      </w:r>
      <w:r>
        <w:rPr>
          <w:rFonts w:hint="eastAsia" w:ascii="宋体" w:hAnsi="宋体" w:eastAsia="宋体" w:cs="宋体"/>
          <w:color w:val="auto"/>
          <w:kern w:val="2"/>
          <w:sz w:val="21"/>
          <w:szCs w:val="21"/>
        </w:rPr>
        <w:sym w:font="Wingdings" w:char="00A8"/>
      </w:r>
      <w:r>
        <w:rPr>
          <w:rFonts w:hint="eastAsia" w:ascii="宋体" w:hAnsi="宋体" w:eastAsia="宋体"/>
          <w:bCs/>
          <w:color w:val="auto"/>
          <w:kern w:val="2"/>
          <w:szCs w:val="21"/>
        </w:rPr>
        <w:t xml:space="preserve">是  </w:t>
      </w:r>
      <w:r>
        <w:rPr>
          <w:rFonts w:hint="eastAsia" w:ascii="宋体" w:hAnsi="宋体" w:eastAsia="宋体" w:cs="宋体"/>
          <w:color w:val="auto"/>
          <w:kern w:val="2"/>
          <w:sz w:val="21"/>
          <w:szCs w:val="21"/>
        </w:rPr>
        <w:sym w:font="Wingdings" w:char="00A8"/>
      </w:r>
      <w:r>
        <w:rPr>
          <w:rFonts w:hint="eastAsia" w:ascii="宋体" w:hAnsi="宋体" w:eastAsia="宋体"/>
          <w:bCs/>
          <w:color w:val="auto"/>
          <w:kern w:val="2"/>
          <w:szCs w:val="21"/>
        </w:rPr>
        <w:t>否</w:t>
      </w:r>
    </w:p>
    <w:p w14:paraId="4A88E211">
      <w:pPr>
        <w:widowControl w:val="0"/>
        <w:adjustRightInd w:val="0"/>
        <w:snapToGrid w:val="0"/>
        <w:spacing w:before="0" w:beforeLines="0" w:line="400" w:lineRule="exact"/>
        <w:ind w:firstLine="840" w:firstLineChars="400"/>
        <w:textAlignment w:val="auto"/>
        <w:rPr>
          <w:rFonts w:ascii="宋体" w:hAnsi="宋体" w:eastAsia="宋体"/>
          <w:bCs/>
          <w:color w:val="auto"/>
          <w:kern w:val="2"/>
          <w:szCs w:val="21"/>
        </w:rPr>
      </w:pPr>
      <w:r>
        <w:rPr>
          <w:rFonts w:hint="eastAsia" w:ascii="宋体" w:hAnsi="宋体" w:eastAsia="宋体"/>
          <w:bCs/>
          <w:color w:val="auto"/>
          <w:kern w:val="2"/>
          <w:szCs w:val="21"/>
        </w:rPr>
        <w:t>是否邀请服务对象</w:t>
      </w:r>
      <w:r>
        <w:rPr>
          <w:rFonts w:hint="eastAsia" w:ascii="宋体" w:hAnsi="宋体" w:eastAsia="宋体"/>
          <w:bCs/>
          <w:color w:val="auto"/>
          <w:kern w:val="2"/>
          <w:szCs w:val="21"/>
          <w:lang w:eastAsia="zh-CN"/>
        </w:rPr>
        <w:t>参加验收</w:t>
      </w:r>
      <w:r>
        <w:rPr>
          <w:rFonts w:hint="eastAsia" w:ascii="宋体" w:hAnsi="宋体" w:eastAsia="宋体"/>
          <w:bCs/>
          <w:color w:val="auto"/>
          <w:kern w:val="2"/>
          <w:szCs w:val="21"/>
        </w:rPr>
        <w:t>：</w:t>
      </w:r>
      <w:r>
        <w:rPr>
          <w:rFonts w:hint="eastAsia" w:ascii="宋体" w:hAnsi="宋体" w:eastAsia="宋体" w:cs="宋体"/>
          <w:color w:val="auto"/>
          <w:kern w:val="2"/>
          <w:sz w:val="21"/>
          <w:szCs w:val="21"/>
        </w:rPr>
        <w:sym w:font="Wingdings" w:char="00A8"/>
      </w:r>
      <w:r>
        <w:rPr>
          <w:rFonts w:hint="eastAsia" w:ascii="宋体" w:hAnsi="宋体" w:eastAsia="宋体"/>
          <w:bCs/>
          <w:color w:val="auto"/>
          <w:kern w:val="2"/>
          <w:szCs w:val="21"/>
        </w:rPr>
        <w:t xml:space="preserve">是  </w:t>
      </w:r>
      <w:r>
        <w:rPr>
          <w:rFonts w:hint="eastAsia" w:ascii="宋体" w:hAnsi="宋体" w:eastAsia="宋体" w:cs="宋体"/>
          <w:color w:val="auto"/>
          <w:kern w:val="2"/>
          <w:sz w:val="21"/>
          <w:szCs w:val="21"/>
        </w:rPr>
        <w:sym w:font="Wingdings" w:char="00A8"/>
      </w:r>
      <w:r>
        <w:rPr>
          <w:rFonts w:hint="eastAsia" w:ascii="宋体" w:hAnsi="宋体" w:eastAsia="宋体"/>
          <w:bCs/>
          <w:color w:val="auto"/>
          <w:kern w:val="2"/>
          <w:szCs w:val="21"/>
        </w:rPr>
        <w:t>否</w:t>
      </w:r>
    </w:p>
    <w:p w14:paraId="0C7D854B">
      <w:pPr>
        <w:widowControl w:val="0"/>
        <w:adjustRightInd w:val="0"/>
        <w:snapToGrid w:val="0"/>
        <w:spacing w:before="0" w:beforeLines="0" w:line="400" w:lineRule="exact"/>
        <w:ind w:firstLine="840" w:firstLineChars="400"/>
        <w:textAlignment w:val="auto"/>
        <w:rPr>
          <w:rFonts w:ascii="宋体" w:hAnsi="宋体" w:eastAsia="宋体"/>
          <w:bCs/>
          <w:color w:val="auto"/>
          <w:kern w:val="2"/>
          <w:szCs w:val="21"/>
        </w:rPr>
      </w:pPr>
      <w:r>
        <w:rPr>
          <w:rFonts w:hint="eastAsia" w:ascii="宋体" w:hAnsi="宋体" w:eastAsia="宋体"/>
          <w:bCs/>
          <w:color w:val="auto"/>
          <w:kern w:val="2"/>
          <w:szCs w:val="21"/>
        </w:rPr>
        <w:t>是否邀请第三方检测机构</w:t>
      </w:r>
      <w:r>
        <w:rPr>
          <w:rFonts w:hint="eastAsia" w:ascii="宋体" w:hAnsi="宋体" w:eastAsia="宋体"/>
          <w:bCs/>
          <w:color w:val="auto"/>
          <w:kern w:val="2"/>
          <w:szCs w:val="21"/>
          <w:lang w:eastAsia="zh-CN"/>
        </w:rPr>
        <w:t>参加验收</w:t>
      </w:r>
      <w:r>
        <w:rPr>
          <w:rFonts w:hint="eastAsia" w:ascii="宋体" w:hAnsi="宋体" w:eastAsia="宋体"/>
          <w:bCs/>
          <w:color w:val="auto"/>
          <w:kern w:val="2"/>
          <w:szCs w:val="21"/>
        </w:rPr>
        <w:t>：</w:t>
      </w:r>
      <w:r>
        <w:rPr>
          <w:rFonts w:hint="eastAsia" w:ascii="宋体" w:hAnsi="宋体" w:eastAsia="宋体" w:cs="宋体"/>
          <w:color w:val="auto"/>
          <w:kern w:val="2"/>
          <w:sz w:val="21"/>
          <w:szCs w:val="21"/>
        </w:rPr>
        <w:sym w:font="Wingdings" w:char="00A8"/>
      </w:r>
      <w:r>
        <w:rPr>
          <w:rFonts w:hint="eastAsia" w:ascii="宋体" w:hAnsi="宋体" w:eastAsia="宋体"/>
          <w:bCs/>
          <w:color w:val="auto"/>
          <w:kern w:val="2"/>
          <w:szCs w:val="21"/>
        </w:rPr>
        <w:t xml:space="preserve">是  </w:t>
      </w:r>
      <w:r>
        <w:rPr>
          <w:rFonts w:hint="eastAsia" w:ascii="宋体" w:hAnsi="宋体" w:eastAsia="宋体" w:cs="宋体"/>
          <w:color w:val="auto"/>
          <w:kern w:val="2"/>
          <w:sz w:val="21"/>
          <w:szCs w:val="21"/>
        </w:rPr>
        <w:sym w:font="Wingdings" w:char="00A8"/>
      </w:r>
      <w:r>
        <w:rPr>
          <w:rFonts w:hint="eastAsia" w:ascii="宋体" w:hAnsi="宋体" w:eastAsia="宋体"/>
          <w:bCs/>
          <w:color w:val="auto"/>
          <w:kern w:val="2"/>
          <w:szCs w:val="21"/>
        </w:rPr>
        <w:t>否</w:t>
      </w:r>
    </w:p>
    <w:p w14:paraId="7FAC3D3A">
      <w:pPr>
        <w:widowControl w:val="0"/>
        <w:adjustRightInd w:val="0"/>
        <w:snapToGrid w:val="0"/>
        <w:spacing w:before="0" w:beforeLines="0" w:line="400" w:lineRule="exact"/>
        <w:ind w:firstLine="840" w:firstLineChars="400"/>
        <w:textAlignment w:val="auto"/>
        <w:rPr>
          <w:rFonts w:hint="eastAsia" w:ascii="宋体" w:hAnsi="宋体" w:eastAsia="宋体"/>
          <w:bCs/>
          <w:color w:val="auto"/>
          <w:kern w:val="2"/>
          <w:szCs w:val="21"/>
        </w:rPr>
      </w:pPr>
      <w:r>
        <w:rPr>
          <w:rFonts w:hint="eastAsia" w:ascii="宋体" w:hAnsi="宋体" w:eastAsia="宋体"/>
          <w:bCs/>
          <w:color w:val="auto"/>
          <w:kern w:val="2"/>
          <w:szCs w:val="21"/>
          <w:lang w:eastAsia="zh-CN"/>
        </w:rPr>
        <w:t>是否进行抽查检测：</w:t>
      </w:r>
      <w:r>
        <w:rPr>
          <w:rFonts w:hint="eastAsia" w:ascii="宋体" w:hAnsi="宋体" w:eastAsia="宋体" w:cs="宋体"/>
          <w:color w:val="auto"/>
          <w:kern w:val="2"/>
          <w:sz w:val="21"/>
          <w:szCs w:val="21"/>
        </w:rPr>
        <w:sym w:font="Wingdings" w:char="00A8"/>
      </w:r>
      <w:r>
        <w:rPr>
          <w:rFonts w:hint="eastAsia" w:ascii="宋体" w:hAnsi="宋体" w:eastAsia="宋体"/>
          <w:bCs/>
          <w:color w:val="auto"/>
          <w:kern w:val="2"/>
          <w:szCs w:val="21"/>
        </w:rPr>
        <w:t>是</w:t>
      </w:r>
      <w:r>
        <w:rPr>
          <w:rFonts w:hint="eastAsia" w:ascii="宋体" w:hAnsi="宋体" w:eastAsia="宋体"/>
          <w:bCs/>
          <w:color w:val="auto"/>
          <w:kern w:val="2"/>
          <w:szCs w:val="21"/>
          <w:lang w:eastAsia="zh-CN"/>
        </w:rPr>
        <w:t>，抽查比例：</w:t>
      </w:r>
      <w:r>
        <w:rPr>
          <w:rFonts w:hint="eastAsia" w:ascii="宋体" w:hAnsi="宋体" w:eastAsia="宋体"/>
          <w:bCs/>
          <w:color w:val="auto"/>
          <w:kern w:val="2"/>
          <w:szCs w:val="21"/>
          <w:u w:val="single"/>
        </w:rPr>
        <w:t xml:space="preserve">   </w:t>
      </w:r>
      <w:r>
        <w:rPr>
          <w:rFonts w:hint="eastAsia" w:ascii="宋体" w:hAnsi="宋体" w:eastAsia="宋体"/>
          <w:bCs/>
          <w:color w:val="auto"/>
          <w:kern w:val="2"/>
          <w:szCs w:val="21"/>
          <w:u w:val="single"/>
          <w:lang w:val="en-US" w:eastAsia="zh-CN"/>
        </w:rPr>
        <w:t xml:space="preserve">     </w:t>
      </w:r>
      <w:r>
        <w:rPr>
          <w:rFonts w:hint="eastAsia" w:ascii="宋体" w:hAnsi="宋体" w:eastAsia="宋体"/>
          <w:bCs/>
          <w:color w:val="auto"/>
          <w:kern w:val="2"/>
          <w:szCs w:val="21"/>
        </w:rPr>
        <w:t xml:space="preserve"> </w:t>
      </w:r>
      <w:r>
        <w:rPr>
          <w:rFonts w:hint="eastAsia" w:ascii="宋体" w:hAnsi="宋体" w:eastAsia="宋体" w:cs="宋体"/>
          <w:color w:val="auto"/>
          <w:kern w:val="2"/>
          <w:sz w:val="21"/>
          <w:szCs w:val="21"/>
        </w:rPr>
        <w:sym w:font="Wingdings" w:char="00A8"/>
      </w:r>
      <w:r>
        <w:rPr>
          <w:rFonts w:hint="eastAsia" w:ascii="宋体" w:hAnsi="宋体" w:eastAsia="宋体"/>
          <w:bCs/>
          <w:color w:val="auto"/>
          <w:kern w:val="2"/>
          <w:szCs w:val="21"/>
        </w:rPr>
        <w:t>否</w:t>
      </w:r>
    </w:p>
    <w:p w14:paraId="6CF9BC6C">
      <w:pPr>
        <w:widowControl w:val="0"/>
        <w:adjustRightInd w:val="0"/>
        <w:snapToGrid w:val="0"/>
        <w:spacing w:before="0" w:beforeLines="0" w:line="400" w:lineRule="exact"/>
        <w:ind w:firstLine="840" w:firstLineChars="400"/>
        <w:textAlignment w:val="auto"/>
        <w:rPr>
          <w:rFonts w:hint="eastAsia" w:ascii="宋体" w:hAnsi="宋体" w:eastAsia="宋体"/>
          <w:bCs/>
          <w:color w:val="auto"/>
          <w:kern w:val="2"/>
          <w:szCs w:val="21"/>
          <w:u w:val="single"/>
          <w:lang w:eastAsia="zh-CN"/>
        </w:rPr>
      </w:pPr>
      <w:r>
        <w:rPr>
          <w:rFonts w:hint="eastAsia" w:ascii="宋体" w:hAnsi="宋体" w:eastAsia="宋体"/>
          <w:bCs/>
          <w:color w:val="auto"/>
          <w:kern w:val="2"/>
          <w:szCs w:val="21"/>
          <w:lang w:val="en-US" w:eastAsia="zh-CN"/>
        </w:rPr>
        <w:t>是否存在破坏性检测：</w:t>
      </w:r>
      <w:r>
        <w:rPr>
          <w:rFonts w:hint="eastAsia" w:ascii="宋体" w:hAnsi="宋体" w:eastAsia="宋体" w:cs="宋体"/>
          <w:color w:val="auto"/>
          <w:kern w:val="2"/>
          <w:sz w:val="21"/>
          <w:szCs w:val="21"/>
        </w:rPr>
        <w:sym w:font="Wingdings" w:char="00A8"/>
      </w:r>
      <w:r>
        <w:rPr>
          <w:rFonts w:hint="eastAsia" w:ascii="宋体" w:hAnsi="宋体" w:eastAsia="宋体"/>
          <w:bCs/>
          <w:color w:val="auto"/>
          <w:kern w:val="2"/>
          <w:szCs w:val="21"/>
        </w:rPr>
        <w:t>是</w:t>
      </w:r>
      <w:r>
        <w:rPr>
          <w:rFonts w:hint="eastAsia" w:ascii="宋体" w:hAnsi="宋体" w:eastAsia="宋体"/>
          <w:bCs/>
          <w:color w:val="auto"/>
          <w:kern w:val="2"/>
          <w:szCs w:val="21"/>
          <w:lang w:eastAsia="zh-CN"/>
        </w:rPr>
        <w:t>，</w:t>
      </w:r>
      <w:r>
        <w:rPr>
          <w:rFonts w:hint="eastAsia" w:ascii="宋体" w:hAnsi="宋体" w:eastAsia="宋体"/>
          <w:bCs/>
          <w:color w:val="auto"/>
          <w:kern w:val="2"/>
          <w:szCs w:val="21"/>
          <w:u w:val="single"/>
          <w:lang w:eastAsia="zh-CN"/>
        </w:rPr>
        <w:t>（应明确对被破坏的检测产品的处理方式）</w:t>
      </w:r>
    </w:p>
    <w:p w14:paraId="3F667759">
      <w:pPr>
        <w:widowControl w:val="0"/>
        <w:adjustRightInd w:val="0"/>
        <w:snapToGrid w:val="0"/>
        <w:spacing w:before="0" w:beforeLines="0" w:line="400" w:lineRule="exact"/>
        <w:ind w:firstLine="840" w:firstLineChars="400"/>
        <w:textAlignment w:val="auto"/>
        <w:rPr>
          <w:rFonts w:hint="eastAsia" w:ascii="宋体" w:hAnsi="宋体" w:eastAsia="宋体"/>
          <w:bCs/>
          <w:color w:val="auto"/>
          <w:kern w:val="2"/>
          <w:szCs w:val="21"/>
          <w:lang w:eastAsia="zh-CN"/>
        </w:rPr>
      </w:pPr>
      <w:r>
        <w:rPr>
          <w:rFonts w:hint="eastAsia" w:ascii="宋体" w:hAnsi="宋体" w:eastAsia="宋体"/>
          <w:bCs/>
          <w:color w:val="auto"/>
          <w:kern w:val="2"/>
          <w:szCs w:val="21"/>
          <w:lang w:val="en-US" w:eastAsia="zh-CN"/>
        </w:rPr>
        <w:t xml:space="preserve">                    </w:t>
      </w:r>
      <w:r>
        <w:rPr>
          <w:rFonts w:hint="eastAsia" w:ascii="宋体" w:hAnsi="宋体" w:eastAsia="宋体" w:cs="宋体"/>
          <w:color w:val="auto"/>
          <w:kern w:val="2"/>
          <w:sz w:val="21"/>
          <w:szCs w:val="21"/>
        </w:rPr>
        <w:sym w:font="Wingdings" w:char="00A8"/>
      </w:r>
      <w:r>
        <w:rPr>
          <w:rFonts w:hint="eastAsia" w:ascii="宋体" w:hAnsi="宋体" w:eastAsia="宋体"/>
          <w:bCs/>
          <w:color w:val="auto"/>
          <w:kern w:val="2"/>
          <w:szCs w:val="21"/>
        </w:rPr>
        <w:t>否</w:t>
      </w:r>
    </w:p>
    <w:p w14:paraId="7452623D">
      <w:pPr>
        <w:widowControl w:val="0"/>
        <w:adjustRightInd w:val="0"/>
        <w:snapToGrid w:val="0"/>
        <w:spacing w:before="0" w:beforeLines="0" w:line="400" w:lineRule="exact"/>
        <w:ind w:firstLine="840" w:firstLineChars="400"/>
        <w:textAlignment w:val="auto"/>
        <w:rPr>
          <w:rFonts w:hint="eastAsia" w:ascii="宋体" w:hAnsi="宋体" w:eastAsia="宋体"/>
          <w:bCs/>
          <w:color w:val="auto"/>
          <w:kern w:val="2"/>
          <w:szCs w:val="21"/>
          <w:u w:val="single"/>
        </w:rPr>
      </w:pPr>
      <w:r>
        <w:rPr>
          <w:rFonts w:hint="eastAsia" w:ascii="宋体" w:hAnsi="宋体" w:eastAsia="宋体"/>
          <w:bCs/>
          <w:color w:val="auto"/>
          <w:kern w:val="2"/>
          <w:szCs w:val="21"/>
        </w:rPr>
        <w:t>验收组织的其他事项：</w:t>
      </w:r>
      <w:r>
        <w:rPr>
          <w:rFonts w:hint="eastAsia" w:ascii="宋体" w:hAnsi="宋体" w:eastAsia="宋体"/>
          <w:bCs/>
          <w:color w:val="auto"/>
          <w:kern w:val="2"/>
          <w:szCs w:val="21"/>
          <w:u w:val="single"/>
        </w:rPr>
        <w:t xml:space="preserve">                </w:t>
      </w:r>
    </w:p>
    <w:p w14:paraId="221793C8">
      <w:pPr>
        <w:widowControl w:val="0"/>
        <w:adjustRightInd w:val="0"/>
        <w:snapToGrid w:val="0"/>
        <w:spacing w:before="0" w:beforeLines="0" w:line="400" w:lineRule="exact"/>
        <w:ind w:firstLine="420" w:firstLineChars="200"/>
        <w:textAlignment w:val="auto"/>
        <w:rPr>
          <w:rFonts w:hint="eastAsia" w:ascii="宋体" w:hAnsi="宋体" w:eastAsia="宋体"/>
          <w:bCs/>
          <w:color w:val="auto"/>
          <w:kern w:val="2"/>
          <w:szCs w:val="21"/>
          <w:u w:val="single"/>
        </w:rPr>
      </w:pPr>
      <w:r>
        <w:rPr>
          <w:rFonts w:hint="eastAsia" w:ascii="宋体" w:hAnsi="宋体" w:eastAsia="宋体"/>
          <w:bCs/>
          <w:color w:val="auto"/>
          <w:kern w:val="2"/>
          <w:szCs w:val="21"/>
        </w:rPr>
        <w:t>（2）履约验收时间：</w:t>
      </w:r>
      <w:r>
        <w:rPr>
          <w:rFonts w:hint="eastAsia" w:ascii="宋体" w:hAnsi="宋体" w:eastAsia="宋体"/>
          <w:bCs/>
          <w:color w:val="auto"/>
          <w:kern w:val="2"/>
          <w:szCs w:val="21"/>
          <w:u w:val="single"/>
        </w:rPr>
        <w:t>（计划于何时验收/供应商提出验收申请之日起   日内组织验收）</w:t>
      </w:r>
      <w:r>
        <w:rPr>
          <w:rFonts w:hint="eastAsia" w:ascii="宋体" w:hAnsi="宋体" w:eastAsia="宋体"/>
          <w:bCs/>
          <w:color w:val="auto"/>
          <w:kern w:val="2"/>
          <w:szCs w:val="21"/>
          <w:u w:val="single"/>
          <w:lang w:val="en-US" w:eastAsia="zh-CN"/>
        </w:rPr>
        <w:t xml:space="preserve"> </w:t>
      </w:r>
    </w:p>
    <w:p w14:paraId="565528F7">
      <w:pPr>
        <w:widowControl w:val="0"/>
        <w:adjustRightInd w:val="0"/>
        <w:snapToGrid w:val="0"/>
        <w:spacing w:before="0" w:beforeLines="0" w:line="400" w:lineRule="exact"/>
        <w:ind w:firstLine="420" w:firstLineChars="200"/>
        <w:textAlignment w:val="auto"/>
        <w:rPr>
          <w:rFonts w:hint="eastAsia" w:ascii="宋体" w:hAnsi="宋体" w:eastAsia="宋体"/>
          <w:bCs/>
          <w:color w:val="auto"/>
          <w:kern w:val="2"/>
          <w:szCs w:val="21"/>
        </w:rPr>
      </w:pPr>
      <w:r>
        <w:rPr>
          <w:rFonts w:hint="eastAsia" w:ascii="宋体" w:hAnsi="宋体" w:eastAsia="宋体"/>
          <w:bCs/>
          <w:color w:val="auto"/>
          <w:kern w:val="2"/>
          <w:szCs w:val="21"/>
        </w:rPr>
        <w:t>（3）履约验收方式：</w:t>
      </w:r>
      <w:r>
        <w:rPr>
          <w:rFonts w:hint="eastAsia" w:ascii="宋体" w:hAnsi="宋体" w:eastAsia="宋体" w:cs="宋体"/>
          <w:color w:val="auto"/>
          <w:kern w:val="2"/>
          <w:sz w:val="21"/>
          <w:szCs w:val="21"/>
        </w:rPr>
        <w:sym w:font="Wingdings" w:char="00A8"/>
      </w:r>
      <w:r>
        <w:rPr>
          <w:rFonts w:hint="eastAsia" w:ascii="宋体" w:hAnsi="宋体" w:eastAsia="宋体"/>
          <w:bCs/>
          <w:color w:val="auto"/>
          <w:kern w:val="2"/>
          <w:szCs w:val="21"/>
        </w:rPr>
        <w:t xml:space="preserve">一次性验收         </w:t>
      </w:r>
    </w:p>
    <w:p w14:paraId="3E7B57CD">
      <w:pPr>
        <w:widowControl w:val="0"/>
        <w:adjustRightInd w:val="0"/>
        <w:snapToGrid w:val="0"/>
        <w:spacing w:before="0" w:beforeLines="0" w:line="400" w:lineRule="exact"/>
        <w:ind w:firstLine="0" w:firstLineChars="0"/>
        <w:textAlignment w:val="auto"/>
        <w:rPr>
          <w:rFonts w:hint="eastAsia" w:ascii="宋体" w:hAnsi="宋体" w:eastAsia="宋体"/>
          <w:bCs/>
          <w:color w:val="auto"/>
          <w:kern w:val="2"/>
          <w:szCs w:val="21"/>
          <w:lang w:val="en-US" w:eastAsia="zh-CN"/>
        </w:rPr>
      </w:pPr>
      <w:r>
        <w:rPr>
          <w:rFonts w:hint="eastAsia" w:ascii="宋体" w:hAnsi="宋体" w:eastAsia="宋体"/>
          <w:bCs/>
          <w:color w:val="auto"/>
          <w:kern w:val="2"/>
          <w:szCs w:val="21"/>
          <w:lang w:val="en-US" w:eastAsia="zh-CN"/>
        </w:rPr>
        <w:t xml:space="preserve">                       </w:t>
      </w:r>
      <w:r>
        <w:rPr>
          <w:rFonts w:hint="eastAsia" w:ascii="宋体" w:hAnsi="宋体" w:eastAsia="宋体" w:cs="宋体"/>
          <w:color w:val="auto"/>
          <w:kern w:val="2"/>
          <w:sz w:val="21"/>
          <w:szCs w:val="21"/>
        </w:rPr>
        <w:sym w:font="Wingdings" w:char="00A8"/>
      </w:r>
      <w:r>
        <w:rPr>
          <w:rFonts w:hint="eastAsia" w:ascii="宋体" w:hAnsi="宋体" w:eastAsia="宋体"/>
          <w:bCs/>
          <w:color w:val="auto"/>
          <w:kern w:val="2"/>
          <w:szCs w:val="21"/>
        </w:rPr>
        <w:t>分期/分项验收</w:t>
      </w:r>
      <w:r>
        <w:rPr>
          <w:rFonts w:hint="eastAsia" w:ascii="宋体" w:hAnsi="宋体" w:eastAsia="宋体"/>
          <w:bCs/>
          <w:color w:val="auto"/>
          <w:kern w:val="2"/>
          <w:szCs w:val="21"/>
          <w:lang w:eastAsia="zh-CN"/>
        </w:rPr>
        <w:t>：</w:t>
      </w:r>
      <w:r>
        <w:rPr>
          <w:rFonts w:hint="eastAsia" w:ascii="宋体" w:hAnsi="宋体" w:eastAsia="宋体"/>
          <w:bCs/>
          <w:color w:val="auto"/>
          <w:kern w:val="2"/>
          <w:szCs w:val="21"/>
          <w:u w:val="single"/>
        </w:rPr>
        <w:t xml:space="preserve"> </w:t>
      </w:r>
      <w:r>
        <w:rPr>
          <w:rFonts w:hint="eastAsia" w:ascii="宋体" w:hAnsi="宋体" w:eastAsia="宋体"/>
          <w:bCs/>
          <w:color w:val="auto"/>
          <w:kern w:val="2"/>
          <w:szCs w:val="21"/>
          <w:u w:val="single"/>
          <w:lang w:eastAsia="zh-CN"/>
        </w:rPr>
        <w:t>（应明确分期</w:t>
      </w:r>
      <w:r>
        <w:rPr>
          <w:rFonts w:hint="default" w:ascii="宋体" w:hAnsi="宋体" w:eastAsia="宋体"/>
          <w:bCs/>
          <w:color w:val="auto"/>
          <w:kern w:val="2"/>
          <w:szCs w:val="21"/>
          <w:u w:val="single"/>
          <w:lang w:val="en" w:eastAsia="zh-CN"/>
        </w:rPr>
        <w:t>/</w:t>
      </w:r>
      <w:r>
        <w:rPr>
          <w:rFonts w:hint="eastAsia" w:ascii="宋体" w:hAnsi="宋体" w:eastAsia="宋体"/>
          <w:bCs/>
          <w:color w:val="auto"/>
          <w:kern w:val="2"/>
          <w:szCs w:val="21"/>
          <w:u w:val="single"/>
          <w:lang w:val="en" w:eastAsia="zh-CN"/>
        </w:rPr>
        <w:t>分项验收的工作安排</w:t>
      </w:r>
      <w:r>
        <w:rPr>
          <w:rFonts w:hint="eastAsia" w:ascii="宋体" w:hAnsi="宋体" w:eastAsia="宋体"/>
          <w:bCs/>
          <w:color w:val="auto"/>
          <w:kern w:val="2"/>
          <w:szCs w:val="21"/>
          <w:u w:val="single"/>
          <w:lang w:eastAsia="zh-CN"/>
        </w:rPr>
        <w:t>）</w:t>
      </w:r>
      <w:r>
        <w:rPr>
          <w:rFonts w:hint="eastAsia" w:ascii="宋体" w:hAnsi="宋体" w:eastAsia="宋体"/>
          <w:bCs/>
          <w:color w:val="auto"/>
          <w:kern w:val="2"/>
          <w:szCs w:val="21"/>
          <w:u w:val="single"/>
        </w:rPr>
        <w:t xml:space="preserve"> </w:t>
      </w:r>
      <w:r>
        <w:rPr>
          <w:rFonts w:hint="eastAsia" w:ascii="宋体" w:hAnsi="宋体" w:eastAsia="宋体"/>
          <w:bCs/>
          <w:color w:val="auto"/>
          <w:kern w:val="2"/>
          <w:szCs w:val="21"/>
          <w:u w:val="single"/>
          <w:lang w:val="en-US" w:eastAsia="zh-CN"/>
        </w:rPr>
        <w:t xml:space="preserve"> </w:t>
      </w:r>
    </w:p>
    <w:p w14:paraId="19220F9B">
      <w:pPr>
        <w:widowControl w:val="0"/>
        <w:adjustRightInd w:val="0"/>
        <w:snapToGrid w:val="0"/>
        <w:spacing w:before="0" w:beforeLines="0" w:line="400" w:lineRule="exact"/>
        <w:ind w:firstLine="420" w:firstLineChars="200"/>
        <w:textAlignment w:val="auto"/>
        <w:rPr>
          <w:rFonts w:ascii="宋体" w:hAnsi="宋体" w:eastAsia="宋体"/>
          <w:bCs/>
          <w:color w:val="auto"/>
          <w:kern w:val="2"/>
          <w:szCs w:val="21"/>
        </w:rPr>
      </w:pPr>
      <w:r>
        <w:rPr>
          <w:rFonts w:hint="eastAsia" w:ascii="宋体" w:hAnsi="宋体" w:eastAsia="宋体"/>
          <w:bCs/>
          <w:color w:val="auto"/>
          <w:kern w:val="2"/>
          <w:szCs w:val="21"/>
        </w:rPr>
        <w:t>（4）履约验收程序：</w:t>
      </w:r>
      <w:r>
        <w:rPr>
          <w:rFonts w:hint="eastAsia" w:ascii="宋体" w:hAnsi="宋体" w:eastAsia="宋体"/>
          <w:bCs/>
          <w:color w:val="auto"/>
          <w:kern w:val="2"/>
          <w:szCs w:val="21"/>
          <w:u w:val="single"/>
        </w:rPr>
        <w:t xml:space="preserve">                                         </w:t>
      </w:r>
    </w:p>
    <w:p w14:paraId="3343C2CA">
      <w:pPr>
        <w:widowControl w:val="0"/>
        <w:adjustRightInd w:val="0"/>
        <w:snapToGrid w:val="0"/>
        <w:spacing w:before="0" w:beforeLines="0" w:line="400" w:lineRule="exact"/>
        <w:ind w:firstLine="420" w:firstLineChars="200"/>
        <w:textAlignment w:val="auto"/>
        <w:rPr>
          <w:rFonts w:ascii="宋体" w:hAnsi="宋体" w:eastAsia="宋体"/>
          <w:bCs/>
          <w:color w:val="auto"/>
          <w:kern w:val="2"/>
          <w:szCs w:val="21"/>
          <w:u w:val="single"/>
        </w:rPr>
      </w:pPr>
      <w:r>
        <w:rPr>
          <w:rFonts w:hint="eastAsia" w:ascii="宋体" w:hAnsi="宋体" w:eastAsia="宋体"/>
          <w:bCs/>
          <w:color w:val="auto"/>
          <w:kern w:val="2"/>
          <w:szCs w:val="21"/>
        </w:rPr>
        <w:t>（5）履约验收的内容：</w:t>
      </w:r>
      <w:r>
        <w:rPr>
          <w:rFonts w:hint="eastAsia" w:ascii="宋体" w:hAnsi="宋体" w:eastAsia="宋体"/>
          <w:bCs/>
          <w:color w:val="auto"/>
          <w:kern w:val="2"/>
          <w:szCs w:val="21"/>
          <w:u w:val="single"/>
        </w:rPr>
        <w:t xml:space="preserve"> </w:t>
      </w:r>
      <w:r>
        <w:rPr>
          <w:rFonts w:hint="eastAsia" w:ascii="宋体" w:hAnsi="宋体" w:eastAsia="宋体"/>
          <w:bCs/>
          <w:color w:val="auto"/>
          <w:kern w:val="2"/>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color w:val="auto"/>
          <w:kern w:val="2"/>
          <w:szCs w:val="21"/>
          <w:u w:val="single"/>
        </w:rPr>
        <w:t xml:space="preserve">                                      </w:t>
      </w:r>
    </w:p>
    <w:p w14:paraId="4ECB85CF">
      <w:pPr>
        <w:widowControl w:val="0"/>
        <w:adjustRightInd w:val="0"/>
        <w:snapToGrid w:val="0"/>
        <w:spacing w:before="0" w:beforeLines="0" w:line="400" w:lineRule="exact"/>
        <w:ind w:firstLine="420" w:firstLineChars="200"/>
        <w:textAlignment w:val="auto"/>
        <w:rPr>
          <w:rFonts w:hint="eastAsia" w:ascii="宋体" w:hAnsi="宋体" w:eastAsia="宋体"/>
          <w:bCs/>
          <w:color w:val="auto"/>
          <w:kern w:val="2"/>
          <w:szCs w:val="21"/>
          <w:u w:val="single"/>
        </w:rPr>
      </w:pPr>
      <w:r>
        <w:rPr>
          <w:rFonts w:hint="eastAsia" w:ascii="宋体" w:hAnsi="宋体" w:eastAsia="宋体"/>
          <w:bCs/>
          <w:color w:val="auto"/>
          <w:kern w:val="2"/>
          <w:szCs w:val="21"/>
        </w:rPr>
        <w:t>（6）履约验收标准：</w:t>
      </w:r>
      <w:r>
        <w:rPr>
          <w:rFonts w:hint="eastAsia" w:ascii="宋体" w:hAnsi="宋体" w:eastAsia="宋体"/>
          <w:bCs/>
          <w:color w:val="auto"/>
          <w:kern w:val="2"/>
          <w:szCs w:val="21"/>
          <w:u w:val="single"/>
        </w:rPr>
        <w:t xml:space="preserve">                                         </w:t>
      </w:r>
    </w:p>
    <w:p w14:paraId="2F679715">
      <w:pPr>
        <w:autoSpaceDE w:val="0"/>
        <w:autoSpaceDN w:val="0"/>
        <w:adjustRightInd w:val="0"/>
        <w:spacing w:beforeLines="0" w:line="400" w:lineRule="exact"/>
        <w:ind w:firstLine="420" w:firstLineChars="200"/>
        <w:rPr>
          <w:rFonts w:hint="eastAsia" w:ascii="宋体" w:hAnsi="宋体" w:eastAsia="宋体" w:cs="宋体"/>
          <w:color w:val="auto"/>
          <w:sz w:val="21"/>
          <w:szCs w:val="21"/>
          <w:lang w:val="en-US" w:eastAsia="zh-CN" w:bidi="ar-SA"/>
        </w:rPr>
      </w:pPr>
      <w:r>
        <w:rPr>
          <w:rFonts w:hint="eastAsia" w:ascii="宋体" w:hAnsi="宋体" w:eastAsia="宋体" w:cs="宋体"/>
          <w:bCs/>
          <w:color w:val="auto"/>
          <w:sz w:val="21"/>
          <w:szCs w:val="21"/>
          <w:u w:val="none"/>
          <w:lang w:val="en-US" w:eastAsia="zh-CN" w:bidi="ar-SA"/>
        </w:rPr>
        <w:t>（7）是否以采购活动中供应商提供的样品作为参考：</w:t>
      </w:r>
      <w:r>
        <w:rPr>
          <w:rFonts w:hint="eastAsia" w:ascii="宋体" w:hAnsi="宋体" w:eastAsia="宋体" w:cs="宋体"/>
          <w:color w:val="auto"/>
          <w:sz w:val="21"/>
          <w:szCs w:val="21"/>
          <w:lang w:val="en-US" w:eastAsia="zh-CN" w:bidi="ar-SA"/>
        </w:rPr>
        <w:sym w:font="Wingdings" w:char="00A8"/>
      </w:r>
      <w:r>
        <w:rPr>
          <w:rFonts w:hint="eastAsia" w:ascii="宋体" w:hAnsi="宋体" w:eastAsia="宋体" w:cs="宋体"/>
          <w:bCs/>
          <w:color w:val="auto"/>
          <w:sz w:val="21"/>
          <w:szCs w:val="21"/>
          <w:lang w:val="en-US" w:eastAsia="zh-CN" w:bidi="ar-SA"/>
        </w:rPr>
        <w:t xml:space="preserve">是  </w:t>
      </w:r>
      <w:r>
        <w:rPr>
          <w:rFonts w:hint="eastAsia" w:ascii="宋体" w:hAnsi="宋体" w:eastAsia="宋体" w:cs="宋体"/>
          <w:color w:val="auto"/>
          <w:sz w:val="21"/>
          <w:szCs w:val="21"/>
          <w:lang w:val="en-US" w:eastAsia="zh-CN" w:bidi="ar-SA"/>
        </w:rPr>
        <w:sym w:font="Wingdings" w:char="00A8"/>
      </w:r>
      <w:r>
        <w:rPr>
          <w:rFonts w:hint="eastAsia" w:ascii="宋体" w:hAnsi="宋体" w:eastAsia="宋体" w:cs="宋体"/>
          <w:bCs/>
          <w:color w:val="auto"/>
          <w:sz w:val="21"/>
          <w:szCs w:val="21"/>
          <w:lang w:val="en-US" w:eastAsia="zh-CN" w:bidi="ar-SA"/>
        </w:rPr>
        <w:t>否</w:t>
      </w:r>
    </w:p>
    <w:p w14:paraId="77B89BCA">
      <w:pPr>
        <w:widowControl w:val="0"/>
        <w:adjustRightInd w:val="0"/>
        <w:snapToGrid w:val="0"/>
        <w:spacing w:before="0" w:beforeLines="0" w:line="400" w:lineRule="exact"/>
        <w:ind w:firstLine="420" w:firstLineChars="200"/>
        <w:textAlignment w:val="auto"/>
        <w:rPr>
          <w:rFonts w:hint="eastAsia" w:ascii="宋体" w:hAnsi="宋体" w:eastAsia="宋体" w:cs="宋体"/>
          <w:bCs/>
          <w:color w:val="auto"/>
          <w:kern w:val="2"/>
          <w:szCs w:val="21"/>
          <w:u w:val="single"/>
        </w:rPr>
      </w:pPr>
      <w:r>
        <w:rPr>
          <w:rFonts w:hint="eastAsia" w:ascii="宋体" w:hAnsi="宋体" w:eastAsia="宋体" w:cs="宋体"/>
          <w:bCs/>
          <w:color w:val="auto"/>
          <w:kern w:val="2"/>
          <w:szCs w:val="21"/>
        </w:rPr>
        <w:t>（8）履约验收其他事项：</w:t>
      </w:r>
      <w:r>
        <w:rPr>
          <w:rFonts w:hint="eastAsia" w:ascii="宋体" w:hAnsi="宋体" w:eastAsia="宋体" w:cs="宋体"/>
          <w:bCs/>
          <w:color w:val="auto"/>
          <w:kern w:val="2"/>
          <w:szCs w:val="21"/>
          <w:u w:val="single"/>
        </w:rPr>
        <w:t xml:space="preserve">      </w:t>
      </w:r>
      <w:r>
        <w:rPr>
          <w:rFonts w:hint="eastAsia" w:ascii="宋体" w:hAnsi="宋体" w:eastAsia="宋体" w:cs="宋体"/>
          <w:bCs/>
          <w:i w:val="0"/>
          <w:iCs w:val="0"/>
          <w:color w:val="auto"/>
          <w:kern w:val="2"/>
          <w:szCs w:val="21"/>
          <w:u w:val="single"/>
        </w:rPr>
        <w:t>（产权过户登记等）</w:t>
      </w:r>
      <w:r>
        <w:rPr>
          <w:rFonts w:hint="eastAsia" w:ascii="宋体" w:hAnsi="宋体" w:eastAsia="宋体" w:cs="宋体"/>
          <w:bCs/>
          <w:color w:val="auto"/>
          <w:kern w:val="2"/>
          <w:szCs w:val="21"/>
          <w:u w:val="single"/>
        </w:rPr>
        <w:t xml:space="preserve">          </w:t>
      </w:r>
    </w:p>
    <w:p w14:paraId="4FEFFC9F">
      <w:pPr>
        <w:widowControl w:val="0"/>
        <w:numPr>
          <w:ilvl w:val="0"/>
          <w:numId w:val="3"/>
        </w:numPr>
        <w:adjustRightInd w:val="0"/>
        <w:snapToGrid w:val="0"/>
        <w:spacing w:before="0" w:beforeLines="0" w:line="400" w:lineRule="exact"/>
        <w:ind w:firstLine="422" w:firstLineChars="200"/>
        <w:textAlignment w:val="auto"/>
        <w:rPr>
          <w:rFonts w:hint="eastAsia" w:ascii="宋体" w:hAnsi="宋体" w:eastAsia="宋体"/>
          <w:b/>
          <w:color w:val="auto"/>
          <w:kern w:val="2"/>
          <w:szCs w:val="21"/>
        </w:rPr>
      </w:pPr>
      <w:r>
        <w:rPr>
          <w:rFonts w:hint="eastAsia" w:ascii="宋体" w:hAnsi="宋体" w:eastAsia="宋体"/>
          <w:b/>
          <w:color w:val="auto"/>
          <w:kern w:val="2"/>
          <w:szCs w:val="21"/>
        </w:rPr>
        <w:t>组成合同的文件</w:t>
      </w:r>
    </w:p>
    <w:p w14:paraId="39058C84">
      <w:pPr>
        <w:widowControl w:val="0"/>
        <w:adjustRightInd w:val="0"/>
        <w:snapToGrid w:val="0"/>
        <w:spacing w:before="0" w:beforeLines="0" w:line="400" w:lineRule="exact"/>
        <w:ind w:firstLine="420" w:firstLineChars="200"/>
        <w:textAlignment w:val="auto"/>
        <w:rPr>
          <w:rFonts w:ascii="宋体" w:hAnsi="宋体" w:eastAsia="宋体"/>
          <w:color w:val="auto"/>
          <w:kern w:val="2"/>
          <w:szCs w:val="21"/>
        </w:rPr>
      </w:pPr>
      <w:r>
        <w:rPr>
          <w:rFonts w:hint="eastAsia" w:ascii="宋体" w:hAnsi="宋体" w:eastAsia="宋体"/>
          <w:color w:val="auto"/>
          <w:kern w:val="2"/>
          <w:szCs w:val="21"/>
        </w:rPr>
        <w:t>本协议书与下列文件一起构成合同文件，如下述文件之间有任何抵触、矛盾或歧义，应按以下顺序解释：</w:t>
      </w:r>
    </w:p>
    <w:p w14:paraId="672771AA">
      <w:pPr>
        <w:widowControl w:val="0"/>
        <w:adjustRightInd w:val="0"/>
        <w:snapToGrid w:val="0"/>
        <w:spacing w:before="0" w:beforeLines="0" w:line="400" w:lineRule="exact"/>
        <w:ind w:firstLine="420" w:firstLineChars="200"/>
        <w:textAlignment w:val="auto"/>
        <w:rPr>
          <w:rFonts w:hint="eastAsia" w:ascii="宋体" w:hAnsi="宋体" w:eastAsia="宋体"/>
          <w:color w:val="auto"/>
          <w:kern w:val="2"/>
          <w:szCs w:val="21"/>
          <w:lang w:eastAsia="zh-CN"/>
        </w:rPr>
      </w:pPr>
      <w:r>
        <w:rPr>
          <w:rFonts w:hint="eastAsia" w:ascii="宋体" w:hAnsi="宋体" w:eastAsia="宋体"/>
          <w:color w:val="auto"/>
          <w:kern w:val="2"/>
          <w:szCs w:val="21"/>
        </w:rPr>
        <w:t>（1）</w:t>
      </w:r>
      <w:r>
        <w:rPr>
          <w:rFonts w:hint="eastAsia" w:ascii="宋体" w:hAnsi="宋体" w:eastAsia="宋体"/>
          <w:color w:val="auto"/>
          <w:kern w:val="2"/>
          <w:szCs w:val="21"/>
          <w:lang w:eastAsia="zh-CN"/>
        </w:rPr>
        <w:t>政府采购</w:t>
      </w:r>
      <w:r>
        <w:rPr>
          <w:rFonts w:hint="eastAsia" w:ascii="宋体" w:hAnsi="宋体" w:eastAsia="宋体"/>
          <w:color w:val="auto"/>
          <w:kern w:val="2"/>
          <w:szCs w:val="21"/>
        </w:rPr>
        <w:t>合同协议书及其变更、补充</w:t>
      </w:r>
      <w:r>
        <w:rPr>
          <w:rFonts w:hint="eastAsia" w:ascii="宋体" w:hAnsi="宋体" w:eastAsia="宋体"/>
          <w:color w:val="auto"/>
          <w:kern w:val="2"/>
          <w:szCs w:val="21"/>
          <w:lang w:eastAsia="zh-CN"/>
        </w:rPr>
        <w:t>协议</w:t>
      </w:r>
    </w:p>
    <w:p w14:paraId="58EDF564">
      <w:pPr>
        <w:widowControl w:val="0"/>
        <w:adjustRightInd w:val="0"/>
        <w:snapToGrid w:val="0"/>
        <w:spacing w:before="0" w:beforeLines="0" w:line="400" w:lineRule="exact"/>
        <w:ind w:firstLine="420" w:firstLineChars="200"/>
        <w:textAlignment w:val="auto"/>
        <w:rPr>
          <w:rFonts w:ascii="宋体" w:hAnsi="宋体" w:eastAsia="宋体"/>
          <w:color w:val="auto"/>
          <w:kern w:val="2"/>
          <w:szCs w:val="21"/>
        </w:rPr>
      </w:pPr>
      <w:r>
        <w:rPr>
          <w:rFonts w:hint="eastAsia" w:ascii="宋体" w:hAnsi="宋体" w:eastAsia="宋体"/>
          <w:color w:val="auto"/>
          <w:kern w:val="2"/>
          <w:szCs w:val="21"/>
        </w:rPr>
        <w:t>（</w:t>
      </w:r>
      <w:r>
        <w:rPr>
          <w:rFonts w:hint="eastAsia" w:ascii="宋体" w:hAnsi="宋体" w:eastAsia="宋体"/>
          <w:color w:val="auto"/>
          <w:kern w:val="2"/>
          <w:szCs w:val="21"/>
          <w:lang w:val="en-US" w:eastAsia="zh-CN"/>
        </w:rPr>
        <w:t>2</w:t>
      </w:r>
      <w:r>
        <w:rPr>
          <w:rFonts w:hint="eastAsia" w:ascii="宋体" w:hAnsi="宋体" w:eastAsia="宋体"/>
          <w:color w:val="auto"/>
          <w:kern w:val="2"/>
          <w:szCs w:val="21"/>
        </w:rPr>
        <w:t>）政府采购合同专用条款</w:t>
      </w:r>
    </w:p>
    <w:p w14:paraId="22E6321E">
      <w:pPr>
        <w:widowControl w:val="0"/>
        <w:adjustRightInd w:val="0"/>
        <w:snapToGrid w:val="0"/>
        <w:spacing w:before="0" w:beforeLines="0" w:line="400" w:lineRule="exact"/>
        <w:ind w:firstLine="420" w:firstLineChars="200"/>
        <w:textAlignment w:val="auto"/>
        <w:rPr>
          <w:rFonts w:ascii="宋体" w:hAnsi="宋体" w:eastAsia="宋体"/>
          <w:color w:val="auto"/>
          <w:kern w:val="2"/>
          <w:szCs w:val="21"/>
        </w:rPr>
      </w:pPr>
      <w:r>
        <w:rPr>
          <w:rFonts w:hint="eastAsia" w:ascii="宋体" w:hAnsi="宋体" w:eastAsia="宋体"/>
          <w:color w:val="auto"/>
          <w:kern w:val="2"/>
          <w:szCs w:val="21"/>
        </w:rPr>
        <w:t>（</w:t>
      </w:r>
      <w:r>
        <w:rPr>
          <w:rFonts w:hint="eastAsia" w:ascii="宋体" w:hAnsi="宋体" w:eastAsia="宋体"/>
          <w:color w:val="auto"/>
          <w:kern w:val="2"/>
          <w:szCs w:val="21"/>
          <w:lang w:val="en-US" w:eastAsia="zh-CN"/>
        </w:rPr>
        <w:t>3</w:t>
      </w:r>
      <w:r>
        <w:rPr>
          <w:rFonts w:hint="eastAsia" w:ascii="宋体" w:hAnsi="宋体" w:eastAsia="宋体"/>
          <w:color w:val="auto"/>
          <w:kern w:val="2"/>
          <w:szCs w:val="21"/>
        </w:rPr>
        <w:t>）政府采购合同通用条款</w:t>
      </w:r>
    </w:p>
    <w:p w14:paraId="48B9D240">
      <w:pPr>
        <w:widowControl w:val="0"/>
        <w:adjustRightInd w:val="0"/>
        <w:snapToGrid w:val="0"/>
        <w:spacing w:before="0" w:beforeLines="0" w:line="400" w:lineRule="exact"/>
        <w:ind w:firstLine="420" w:firstLineChars="200"/>
        <w:textAlignment w:val="auto"/>
        <w:rPr>
          <w:rFonts w:ascii="宋体" w:hAnsi="宋体" w:eastAsia="宋体"/>
          <w:color w:val="auto"/>
          <w:kern w:val="2"/>
          <w:szCs w:val="21"/>
        </w:rPr>
      </w:pPr>
      <w:r>
        <w:rPr>
          <w:rFonts w:hint="eastAsia" w:ascii="宋体" w:hAnsi="宋体" w:eastAsia="宋体"/>
          <w:color w:val="auto"/>
          <w:kern w:val="2"/>
          <w:szCs w:val="21"/>
        </w:rPr>
        <w:t>（</w:t>
      </w:r>
      <w:r>
        <w:rPr>
          <w:rFonts w:hint="eastAsia" w:ascii="宋体" w:hAnsi="宋体" w:eastAsia="宋体"/>
          <w:color w:val="auto"/>
          <w:kern w:val="2"/>
          <w:szCs w:val="21"/>
          <w:lang w:val="en-US" w:eastAsia="zh-CN"/>
        </w:rPr>
        <w:t>4</w:t>
      </w:r>
      <w:r>
        <w:rPr>
          <w:rFonts w:hint="eastAsia" w:ascii="宋体" w:hAnsi="宋体" w:eastAsia="宋体"/>
          <w:color w:val="auto"/>
          <w:kern w:val="2"/>
          <w:szCs w:val="21"/>
        </w:rPr>
        <w:t>）中标</w:t>
      </w:r>
      <w:r>
        <w:rPr>
          <w:rFonts w:hint="eastAsia" w:ascii="宋体" w:hAnsi="宋体" w:eastAsia="宋体"/>
          <w:color w:val="auto"/>
          <w:kern w:val="2"/>
          <w:szCs w:val="21"/>
          <w:lang w:eastAsia="zh-CN"/>
        </w:rPr>
        <w:t>（成交）</w:t>
      </w:r>
      <w:r>
        <w:rPr>
          <w:rFonts w:hint="eastAsia" w:ascii="宋体" w:hAnsi="宋体" w:eastAsia="宋体"/>
          <w:color w:val="auto"/>
          <w:kern w:val="2"/>
          <w:szCs w:val="21"/>
        </w:rPr>
        <w:t>通知书</w:t>
      </w:r>
    </w:p>
    <w:p w14:paraId="6F6F2CA2">
      <w:pPr>
        <w:widowControl w:val="0"/>
        <w:adjustRightInd w:val="0"/>
        <w:snapToGrid w:val="0"/>
        <w:spacing w:before="0" w:beforeLines="0" w:line="400" w:lineRule="exact"/>
        <w:ind w:firstLine="420" w:firstLineChars="200"/>
        <w:textAlignment w:val="auto"/>
        <w:rPr>
          <w:rFonts w:ascii="宋体" w:hAnsi="宋体" w:eastAsia="宋体"/>
          <w:color w:val="auto"/>
          <w:kern w:val="2"/>
          <w:szCs w:val="21"/>
        </w:rPr>
      </w:pPr>
      <w:r>
        <w:rPr>
          <w:rFonts w:hint="eastAsia" w:ascii="宋体" w:hAnsi="宋体" w:eastAsia="宋体"/>
          <w:color w:val="auto"/>
          <w:kern w:val="2"/>
          <w:szCs w:val="21"/>
        </w:rPr>
        <w:t>（</w:t>
      </w:r>
      <w:r>
        <w:rPr>
          <w:rFonts w:hint="eastAsia" w:ascii="宋体" w:hAnsi="宋体" w:eastAsia="宋体"/>
          <w:color w:val="auto"/>
          <w:kern w:val="2"/>
          <w:szCs w:val="21"/>
          <w:lang w:val="en-US" w:eastAsia="zh-CN"/>
        </w:rPr>
        <w:t>5</w:t>
      </w:r>
      <w:r>
        <w:rPr>
          <w:rFonts w:hint="eastAsia" w:ascii="宋体" w:hAnsi="宋体" w:eastAsia="宋体"/>
          <w:color w:val="auto"/>
          <w:kern w:val="2"/>
          <w:szCs w:val="21"/>
        </w:rPr>
        <w:t>）投标（响应）文件</w:t>
      </w:r>
    </w:p>
    <w:p w14:paraId="7FEF89CC">
      <w:pPr>
        <w:widowControl w:val="0"/>
        <w:adjustRightInd w:val="0"/>
        <w:snapToGrid w:val="0"/>
        <w:spacing w:before="0" w:beforeLines="0" w:line="400" w:lineRule="exact"/>
        <w:ind w:firstLine="420" w:firstLineChars="200"/>
        <w:textAlignment w:val="auto"/>
        <w:rPr>
          <w:rFonts w:ascii="宋体" w:hAnsi="宋体" w:eastAsia="宋体"/>
          <w:color w:val="auto"/>
          <w:kern w:val="2"/>
          <w:szCs w:val="21"/>
        </w:rPr>
      </w:pPr>
      <w:r>
        <w:rPr>
          <w:rFonts w:hint="eastAsia" w:ascii="宋体" w:hAnsi="宋体" w:eastAsia="宋体"/>
          <w:color w:val="auto"/>
          <w:kern w:val="2"/>
          <w:szCs w:val="21"/>
        </w:rPr>
        <w:t>（6）采购文件</w:t>
      </w:r>
    </w:p>
    <w:p w14:paraId="4C7D92F4">
      <w:pPr>
        <w:widowControl w:val="0"/>
        <w:adjustRightInd w:val="0"/>
        <w:snapToGrid w:val="0"/>
        <w:spacing w:before="0" w:beforeLines="0" w:line="400" w:lineRule="exact"/>
        <w:ind w:firstLine="420" w:firstLineChars="200"/>
        <w:textAlignment w:val="auto"/>
        <w:rPr>
          <w:rFonts w:ascii="宋体" w:hAnsi="宋体" w:eastAsia="宋体"/>
          <w:color w:val="auto"/>
          <w:kern w:val="2"/>
          <w:szCs w:val="21"/>
        </w:rPr>
      </w:pPr>
      <w:r>
        <w:rPr>
          <w:rFonts w:hint="eastAsia" w:ascii="宋体" w:hAnsi="宋体" w:eastAsia="宋体"/>
          <w:color w:val="auto"/>
          <w:kern w:val="2"/>
          <w:szCs w:val="21"/>
        </w:rPr>
        <w:t>（7）有关技术文件，图纸</w:t>
      </w:r>
    </w:p>
    <w:p w14:paraId="7C0CB942">
      <w:pPr>
        <w:autoSpaceDE w:val="0"/>
        <w:autoSpaceDN w:val="0"/>
        <w:adjustRightInd w:val="0"/>
        <w:spacing w:beforeLines="0"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（8）</w:t>
      </w:r>
      <w:r>
        <w:rPr>
          <w:rFonts w:hint="eastAsia" w:ascii="宋体" w:hAnsi="宋体" w:eastAsia="宋体" w:cs="宋体"/>
          <w:bCs w:val="0"/>
          <w:color w:val="auto"/>
          <w:kern w:val="2"/>
          <w:sz w:val="21"/>
          <w:szCs w:val="21"/>
          <w:highlight w:val="none"/>
          <w:lang w:val="en-US" w:eastAsia="zh-CN" w:bidi="ar-SA"/>
        </w:rPr>
        <w:t>国家法律、行政法规和规章制度规定或合同约定的作为合同组成部分的其他文件</w:t>
      </w:r>
    </w:p>
    <w:p w14:paraId="33F66C50">
      <w:pPr>
        <w:widowControl w:val="0"/>
        <w:numPr>
          <w:ilvl w:val="0"/>
          <w:numId w:val="3"/>
        </w:numPr>
        <w:adjustRightInd w:val="0"/>
        <w:snapToGrid w:val="0"/>
        <w:spacing w:before="0" w:beforeLines="0" w:line="400" w:lineRule="exact"/>
        <w:ind w:firstLine="422" w:firstLineChars="200"/>
        <w:textAlignment w:val="auto"/>
        <w:rPr>
          <w:rFonts w:hint="eastAsia" w:ascii="宋体" w:hAnsi="宋体" w:eastAsia="宋体"/>
          <w:b/>
          <w:color w:val="auto"/>
          <w:kern w:val="2"/>
          <w:szCs w:val="21"/>
        </w:rPr>
      </w:pPr>
      <w:r>
        <w:rPr>
          <w:rFonts w:hint="eastAsia" w:ascii="宋体" w:hAnsi="宋体" w:eastAsia="宋体"/>
          <w:b/>
          <w:color w:val="auto"/>
          <w:kern w:val="2"/>
          <w:szCs w:val="21"/>
        </w:rPr>
        <w:t>合同生效</w:t>
      </w:r>
    </w:p>
    <w:p w14:paraId="4F433151">
      <w:pPr>
        <w:widowControl w:val="0"/>
        <w:adjustRightInd w:val="0"/>
        <w:snapToGrid w:val="0"/>
        <w:spacing w:before="0" w:beforeLines="0" w:line="400" w:lineRule="exact"/>
        <w:ind w:firstLine="420" w:firstLineChars="200"/>
        <w:textAlignment w:val="auto"/>
        <w:rPr>
          <w:rFonts w:ascii="宋体" w:hAnsi="宋体" w:eastAsia="宋体"/>
          <w:color w:val="auto"/>
          <w:kern w:val="2"/>
          <w:szCs w:val="21"/>
        </w:rPr>
      </w:pPr>
      <w:r>
        <w:rPr>
          <w:rFonts w:hint="eastAsia" w:ascii="宋体" w:hAnsi="宋体" w:eastAsia="宋体"/>
          <w:color w:val="auto"/>
          <w:kern w:val="2"/>
          <w:szCs w:val="21"/>
        </w:rPr>
        <w:t>本合同自</w:t>
      </w:r>
      <w:r>
        <w:rPr>
          <w:rFonts w:hint="eastAsia" w:ascii="宋体" w:hAnsi="宋体" w:eastAsia="宋体"/>
          <w:color w:val="auto"/>
          <w:kern w:val="2"/>
          <w:szCs w:val="21"/>
          <w:u w:val="single"/>
        </w:rPr>
        <w:t xml:space="preserve">                             </w:t>
      </w:r>
      <w:r>
        <w:rPr>
          <w:rFonts w:hint="eastAsia" w:ascii="宋体" w:hAnsi="宋体" w:eastAsia="宋体"/>
          <w:color w:val="auto"/>
          <w:kern w:val="2"/>
          <w:szCs w:val="21"/>
        </w:rPr>
        <w:t>生效。</w:t>
      </w:r>
    </w:p>
    <w:p w14:paraId="5112D669">
      <w:pPr>
        <w:widowControl w:val="0"/>
        <w:numPr>
          <w:ilvl w:val="0"/>
          <w:numId w:val="3"/>
        </w:numPr>
        <w:adjustRightInd w:val="0"/>
        <w:snapToGrid w:val="0"/>
        <w:spacing w:before="0" w:beforeLines="0" w:line="400" w:lineRule="exact"/>
        <w:ind w:firstLine="422" w:firstLineChars="200"/>
        <w:textAlignment w:val="auto"/>
        <w:rPr>
          <w:rFonts w:hint="eastAsia" w:ascii="宋体" w:hAnsi="宋体" w:eastAsia="宋体"/>
          <w:b/>
          <w:color w:val="auto"/>
          <w:kern w:val="2"/>
          <w:szCs w:val="21"/>
        </w:rPr>
      </w:pPr>
      <w:r>
        <w:rPr>
          <w:rFonts w:hint="eastAsia" w:ascii="宋体" w:hAnsi="宋体" w:eastAsia="宋体"/>
          <w:b/>
          <w:color w:val="auto"/>
          <w:kern w:val="2"/>
          <w:szCs w:val="21"/>
        </w:rPr>
        <w:t>合同份数</w:t>
      </w:r>
    </w:p>
    <w:p w14:paraId="2DB74EAA">
      <w:pPr>
        <w:widowControl w:val="0"/>
        <w:adjustRightInd w:val="0"/>
        <w:snapToGrid w:val="0"/>
        <w:spacing w:before="0" w:beforeLines="0" w:line="400" w:lineRule="exact"/>
        <w:ind w:firstLine="420" w:firstLineChars="200"/>
        <w:textAlignment w:val="auto"/>
        <w:rPr>
          <w:rFonts w:ascii="宋体" w:hAnsi="宋体" w:eastAsia="宋体"/>
          <w:color w:val="auto"/>
          <w:kern w:val="2"/>
          <w:szCs w:val="21"/>
        </w:rPr>
      </w:pPr>
      <w:r>
        <w:rPr>
          <w:rFonts w:hint="eastAsia" w:ascii="宋体" w:hAnsi="宋体" w:eastAsia="宋体"/>
          <w:color w:val="auto"/>
          <w:kern w:val="2"/>
          <w:szCs w:val="21"/>
        </w:rPr>
        <w:t>本合同一式</w:t>
      </w:r>
      <w:r>
        <w:rPr>
          <w:rFonts w:hint="eastAsia" w:ascii="宋体" w:hAnsi="宋体" w:eastAsia="宋体"/>
          <w:color w:val="auto"/>
          <w:kern w:val="2"/>
          <w:szCs w:val="21"/>
          <w:u w:val="single"/>
        </w:rPr>
        <w:t xml:space="preserve">    </w:t>
      </w:r>
      <w:r>
        <w:rPr>
          <w:rFonts w:hint="eastAsia" w:ascii="宋体" w:hAnsi="宋体" w:eastAsia="宋体"/>
          <w:color w:val="auto"/>
          <w:kern w:val="2"/>
          <w:szCs w:val="21"/>
        </w:rPr>
        <w:t>份，</w:t>
      </w:r>
      <w:r>
        <w:rPr>
          <w:rFonts w:hint="eastAsia" w:ascii="宋体" w:hAnsi="宋体" w:eastAsia="宋体"/>
          <w:color w:val="auto"/>
          <w:kern w:val="2"/>
          <w:szCs w:val="21"/>
          <w:lang w:eastAsia="zh-CN"/>
        </w:rPr>
        <w:t>甲方</w:t>
      </w:r>
      <w:r>
        <w:rPr>
          <w:rFonts w:hint="eastAsia" w:ascii="宋体" w:hAnsi="宋体" w:eastAsia="宋体"/>
          <w:color w:val="auto"/>
          <w:kern w:val="2"/>
          <w:szCs w:val="21"/>
        </w:rPr>
        <w:t>执</w:t>
      </w:r>
      <w:r>
        <w:rPr>
          <w:rFonts w:hint="eastAsia" w:ascii="宋体" w:hAnsi="宋体" w:eastAsia="宋体"/>
          <w:color w:val="auto"/>
          <w:kern w:val="2"/>
          <w:szCs w:val="21"/>
          <w:u w:val="single"/>
        </w:rPr>
        <w:t xml:space="preserve"> </w:t>
      </w:r>
      <w:r>
        <w:rPr>
          <w:rFonts w:hint="eastAsia" w:ascii="宋体" w:hAnsi="宋体" w:eastAsia="宋体"/>
          <w:color w:val="auto"/>
          <w:kern w:val="2"/>
          <w:szCs w:val="21"/>
          <w:u w:val="single"/>
          <w:lang w:val="en-US" w:eastAsia="zh-CN"/>
        </w:rPr>
        <w:t xml:space="preserve"> </w:t>
      </w:r>
      <w:r>
        <w:rPr>
          <w:rFonts w:hint="eastAsia" w:ascii="宋体" w:hAnsi="宋体" w:eastAsia="宋体"/>
          <w:color w:val="auto"/>
          <w:kern w:val="2"/>
          <w:szCs w:val="21"/>
          <w:u w:val="single"/>
        </w:rPr>
        <w:t xml:space="preserve">  </w:t>
      </w:r>
      <w:r>
        <w:rPr>
          <w:rFonts w:hint="eastAsia" w:ascii="宋体" w:hAnsi="宋体" w:eastAsia="宋体"/>
          <w:color w:val="auto"/>
          <w:kern w:val="2"/>
          <w:szCs w:val="21"/>
        </w:rPr>
        <w:t>份，</w:t>
      </w:r>
      <w:r>
        <w:rPr>
          <w:rFonts w:hint="eastAsia" w:ascii="宋体" w:hAnsi="宋体" w:eastAsia="宋体"/>
          <w:color w:val="auto"/>
          <w:kern w:val="2"/>
          <w:szCs w:val="21"/>
          <w:lang w:eastAsia="zh-CN"/>
        </w:rPr>
        <w:t>乙方</w:t>
      </w:r>
      <w:r>
        <w:rPr>
          <w:rFonts w:hint="eastAsia" w:ascii="宋体" w:hAnsi="宋体" w:eastAsia="宋体"/>
          <w:color w:val="auto"/>
          <w:kern w:val="2"/>
          <w:szCs w:val="21"/>
        </w:rPr>
        <w:t>执</w:t>
      </w:r>
      <w:r>
        <w:rPr>
          <w:rFonts w:hint="eastAsia" w:ascii="宋体" w:hAnsi="宋体" w:eastAsia="宋体"/>
          <w:color w:val="auto"/>
          <w:kern w:val="2"/>
          <w:szCs w:val="21"/>
          <w:u w:val="single"/>
        </w:rPr>
        <w:t xml:space="preserve">  </w:t>
      </w:r>
      <w:r>
        <w:rPr>
          <w:rFonts w:hint="eastAsia" w:ascii="宋体" w:hAnsi="宋体" w:eastAsia="宋体"/>
          <w:color w:val="auto"/>
          <w:kern w:val="2"/>
          <w:szCs w:val="21"/>
          <w:u w:val="single"/>
          <w:lang w:val="en-US" w:eastAsia="zh-CN"/>
        </w:rPr>
        <w:t xml:space="preserve"> </w:t>
      </w:r>
      <w:r>
        <w:rPr>
          <w:rFonts w:hint="eastAsia" w:ascii="宋体" w:hAnsi="宋体" w:eastAsia="宋体"/>
          <w:color w:val="auto"/>
          <w:kern w:val="2"/>
          <w:szCs w:val="21"/>
          <w:u w:val="single"/>
        </w:rPr>
        <w:t xml:space="preserve"> </w:t>
      </w:r>
      <w:r>
        <w:rPr>
          <w:rFonts w:hint="eastAsia" w:ascii="宋体" w:hAnsi="宋体" w:eastAsia="宋体"/>
          <w:color w:val="auto"/>
          <w:kern w:val="2"/>
          <w:szCs w:val="21"/>
        </w:rPr>
        <w:t>份，均具有同等法律效力。</w:t>
      </w:r>
    </w:p>
    <w:p w14:paraId="52B5BCCE">
      <w:pPr>
        <w:widowControl w:val="0"/>
        <w:adjustRightInd w:val="0"/>
        <w:snapToGrid w:val="0"/>
        <w:spacing w:before="0" w:beforeLines="0" w:line="400" w:lineRule="exact"/>
        <w:ind w:firstLine="420" w:firstLineChars="200"/>
        <w:textAlignment w:val="auto"/>
        <w:rPr>
          <w:rFonts w:ascii="宋体" w:hAnsi="宋体" w:eastAsia="宋体"/>
          <w:color w:val="auto"/>
          <w:kern w:val="2"/>
          <w:szCs w:val="21"/>
        </w:rPr>
      </w:pPr>
      <w:r>
        <w:rPr>
          <w:rFonts w:hint="eastAsia" w:ascii="宋体" w:hAnsi="宋体" w:eastAsia="宋体"/>
          <w:color w:val="auto"/>
          <w:kern w:val="2"/>
          <w:szCs w:val="21"/>
        </w:rPr>
        <w:t>合同订立时间：</w:t>
      </w:r>
      <w:r>
        <w:rPr>
          <w:rFonts w:hint="eastAsia" w:ascii="宋体" w:hAnsi="宋体" w:eastAsia="宋体"/>
          <w:color w:val="auto"/>
          <w:kern w:val="2"/>
          <w:szCs w:val="21"/>
          <w:u w:val="single"/>
        </w:rPr>
        <w:t xml:space="preserve">         </w:t>
      </w:r>
      <w:r>
        <w:rPr>
          <w:rFonts w:hint="eastAsia" w:ascii="宋体" w:hAnsi="宋体" w:eastAsia="宋体"/>
          <w:color w:val="auto"/>
          <w:kern w:val="2"/>
          <w:szCs w:val="21"/>
        </w:rPr>
        <w:t>年</w:t>
      </w:r>
      <w:r>
        <w:rPr>
          <w:rFonts w:hint="eastAsia" w:ascii="宋体" w:hAnsi="宋体" w:eastAsia="宋体"/>
          <w:color w:val="auto"/>
          <w:kern w:val="2"/>
          <w:szCs w:val="21"/>
          <w:u w:val="single"/>
        </w:rPr>
        <w:t xml:space="preserve">      </w:t>
      </w:r>
      <w:r>
        <w:rPr>
          <w:rFonts w:hint="eastAsia" w:ascii="宋体" w:hAnsi="宋体" w:eastAsia="宋体"/>
          <w:color w:val="auto"/>
          <w:kern w:val="2"/>
          <w:szCs w:val="21"/>
        </w:rPr>
        <w:t>月</w:t>
      </w:r>
      <w:r>
        <w:rPr>
          <w:rFonts w:hint="eastAsia" w:ascii="宋体" w:hAnsi="宋体" w:eastAsia="宋体"/>
          <w:color w:val="auto"/>
          <w:kern w:val="2"/>
          <w:szCs w:val="21"/>
          <w:u w:val="single"/>
        </w:rPr>
        <w:t xml:space="preserve">      </w:t>
      </w:r>
      <w:r>
        <w:rPr>
          <w:rFonts w:hint="eastAsia" w:ascii="宋体" w:hAnsi="宋体" w:eastAsia="宋体"/>
          <w:color w:val="auto"/>
          <w:kern w:val="2"/>
          <w:szCs w:val="21"/>
        </w:rPr>
        <w:t>日</w:t>
      </w:r>
    </w:p>
    <w:p w14:paraId="3ED930F2">
      <w:pPr>
        <w:widowControl w:val="0"/>
        <w:adjustRightInd w:val="0"/>
        <w:snapToGrid w:val="0"/>
        <w:spacing w:before="0" w:beforeLines="0" w:line="400" w:lineRule="exact"/>
        <w:ind w:firstLine="420" w:firstLineChars="200"/>
        <w:textAlignment w:val="auto"/>
        <w:rPr>
          <w:rFonts w:ascii="宋体" w:hAnsi="宋体" w:eastAsia="宋体"/>
          <w:color w:val="auto"/>
          <w:kern w:val="2"/>
          <w:szCs w:val="21"/>
        </w:rPr>
      </w:pPr>
      <w:r>
        <w:rPr>
          <w:rFonts w:hint="eastAsia" w:ascii="宋体" w:hAnsi="宋体" w:eastAsia="宋体"/>
          <w:color w:val="auto"/>
          <w:kern w:val="2"/>
          <w:szCs w:val="21"/>
        </w:rPr>
        <w:t>合同订立地点：</w:t>
      </w:r>
      <w:r>
        <w:rPr>
          <w:rFonts w:hint="eastAsia" w:ascii="宋体" w:hAnsi="宋体" w:eastAsia="宋体"/>
          <w:color w:val="auto"/>
          <w:kern w:val="2"/>
          <w:szCs w:val="21"/>
          <w:u w:val="single"/>
        </w:rPr>
        <w:t xml:space="preserve">                           </w:t>
      </w:r>
    </w:p>
    <w:p w14:paraId="7DEF21A4">
      <w:pPr>
        <w:widowControl w:val="0"/>
        <w:adjustRightInd w:val="0"/>
        <w:snapToGrid w:val="0"/>
        <w:spacing w:before="0" w:beforeLines="0" w:line="400" w:lineRule="exact"/>
        <w:ind w:firstLine="420" w:firstLineChars="200"/>
        <w:textAlignment w:val="auto"/>
        <w:rPr>
          <w:rFonts w:eastAsia="宋体"/>
          <w:color w:val="auto"/>
          <w:kern w:val="2"/>
          <w:szCs w:val="24"/>
        </w:rPr>
      </w:pPr>
      <w:r>
        <w:rPr>
          <w:rFonts w:hint="eastAsia" w:ascii="宋体" w:hAnsi="宋体" w:eastAsia="宋体"/>
          <w:color w:val="auto"/>
          <w:kern w:val="2"/>
          <w:szCs w:val="21"/>
        </w:rPr>
        <w:t>附件：具体标</w:t>
      </w:r>
      <w:r>
        <w:rPr>
          <w:rFonts w:hint="eastAsia" w:ascii="宋体" w:hAnsi="宋体" w:eastAsia="宋体"/>
          <w:color w:val="auto"/>
          <w:kern w:val="2"/>
          <w:szCs w:val="21"/>
          <w:lang w:eastAsia="zh-CN"/>
        </w:rPr>
        <w:t>的及其</w:t>
      </w:r>
      <w:r>
        <w:rPr>
          <w:rFonts w:hint="eastAsia" w:ascii="宋体" w:hAnsi="宋体" w:eastAsia="宋体"/>
          <w:color w:val="auto"/>
          <w:kern w:val="2"/>
          <w:szCs w:val="21"/>
          <w:highlight w:val="none"/>
          <w:u w:val="none"/>
          <w:lang w:val="en-US" w:eastAsia="zh-CN"/>
        </w:rPr>
        <w:t>技术要求和商务要求</w:t>
      </w:r>
      <w:r>
        <w:rPr>
          <w:rFonts w:hint="eastAsia" w:ascii="宋体" w:hAnsi="宋体" w:eastAsia="宋体"/>
          <w:color w:val="auto"/>
          <w:kern w:val="2"/>
          <w:szCs w:val="21"/>
        </w:rPr>
        <w:t>、联合协议、分包</w:t>
      </w:r>
      <w:r>
        <w:rPr>
          <w:rFonts w:hint="eastAsia" w:ascii="宋体" w:hAnsi="宋体" w:eastAsia="宋体"/>
          <w:color w:val="auto"/>
          <w:kern w:val="2"/>
          <w:szCs w:val="21"/>
          <w:lang w:eastAsia="zh-CN"/>
        </w:rPr>
        <w:t>意向</w:t>
      </w:r>
      <w:r>
        <w:rPr>
          <w:rFonts w:hint="eastAsia" w:ascii="宋体" w:hAnsi="宋体" w:eastAsia="宋体"/>
          <w:color w:val="auto"/>
          <w:kern w:val="2"/>
          <w:szCs w:val="21"/>
        </w:rPr>
        <w:t>协议等。</w:t>
      </w:r>
    </w:p>
    <w:tbl>
      <w:tblPr>
        <w:tblStyle w:val="29"/>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788"/>
        <w:gridCol w:w="2287"/>
        <w:gridCol w:w="2446"/>
      </w:tblGrid>
      <w:tr w14:paraId="6806B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049CBD3">
            <w:pPr>
              <w:widowControl w:val="0"/>
              <w:adjustRightInd w:val="0"/>
              <w:snapToGrid w:val="0"/>
              <w:spacing w:line="300" w:lineRule="exact"/>
              <w:jc w:val="center"/>
              <w:textAlignment w:val="auto"/>
              <w:rPr>
                <w:rFonts w:eastAsia="宋体"/>
                <w:color w:val="auto"/>
                <w:kern w:val="2"/>
                <w:szCs w:val="24"/>
              </w:rPr>
            </w:pPr>
            <w:r>
              <w:rPr>
                <w:rFonts w:eastAsia="宋体"/>
                <w:color w:val="auto"/>
                <w:kern w:val="2"/>
                <w:szCs w:val="21"/>
              </w:rPr>
              <w:t>甲方</w:t>
            </w:r>
            <w:r>
              <w:rPr>
                <w:rFonts w:hint="eastAsia" w:eastAsia="宋体"/>
                <w:color w:val="auto"/>
                <w:kern w:val="2"/>
                <w:szCs w:val="21"/>
              </w:rPr>
              <w:t>（采购人</w:t>
            </w:r>
            <w:r>
              <w:rPr>
                <w:rFonts w:hint="eastAsia" w:ascii="宋体" w:hAnsi="宋体" w:eastAsia="宋体"/>
                <w:color w:val="auto"/>
                <w:kern w:val="2"/>
                <w:szCs w:val="21"/>
                <w:lang w:eastAsia="zh-CN"/>
              </w:rPr>
              <w:t>、受采购人委托签订合同的单位</w:t>
            </w:r>
            <w:r>
              <w:rPr>
                <w:rFonts w:hint="eastAsia" w:ascii="宋体" w:hAnsi="宋体" w:eastAsia="宋体"/>
                <w:color w:val="auto"/>
                <w:kern w:val="2"/>
                <w:szCs w:val="21"/>
              </w:rPr>
              <w:t>或</w:t>
            </w:r>
            <w:r>
              <w:rPr>
                <w:rFonts w:hint="eastAsia" w:eastAsia="宋体"/>
                <w:color w:val="auto"/>
                <w:kern w:val="2"/>
                <w:szCs w:val="21"/>
              </w:rPr>
              <w:t>采购文件约定的合同甲方）</w:t>
            </w:r>
          </w:p>
        </w:tc>
        <w:tc>
          <w:tcPr>
            <w:tcW w:w="2437" w:type="pct"/>
            <w:gridSpan w:val="2"/>
            <w:tcBorders>
              <w:left w:val="single" w:color="auto" w:sz="2" w:space="0"/>
              <w:bottom w:val="single" w:color="auto" w:sz="2" w:space="0"/>
            </w:tcBorders>
            <w:vAlign w:val="center"/>
          </w:tcPr>
          <w:p w14:paraId="001C4AA9">
            <w:pPr>
              <w:widowControl w:val="0"/>
              <w:adjustRightInd w:val="0"/>
              <w:snapToGrid w:val="0"/>
              <w:spacing w:line="300" w:lineRule="exact"/>
              <w:jc w:val="center"/>
              <w:textAlignment w:val="auto"/>
              <w:rPr>
                <w:rFonts w:eastAsia="宋体"/>
                <w:color w:val="auto"/>
                <w:kern w:val="2"/>
                <w:szCs w:val="24"/>
              </w:rPr>
            </w:pPr>
            <w:r>
              <w:rPr>
                <w:rFonts w:eastAsia="宋体"/>
                <w:color w:val="auto"/>
                <w:kern w:val="2"/>
                <w:szCs w:val="21"/>
              </w:rPr>
              <w:t>乙方</w:t>
            </w:r>
            <w:r>
              <w:rPr>
                <w:rFonts w:hint="eastAsia" w:eastAsia="宋体"/>
                <w:color w:val="auto"/>
                <w:kern w:val="2"/>
                <w:szCs w:val="21"/>
              </w:rPr>
              <w:t>（供应商）</w:t>
            </w:r>
          </w:p>
        </w:tc>
      </w:tr>
      <w:tr w14:paraId="6EAEEE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AC8B7F8">
            <w:pPr>
              <w:widowControl w:val="0"/>
              <w:adjustRightInd w:val="0"/>
              <w:snapToGrid w:val="0"/>
              <w:spacing w:line="300" w:lineRule="exact"/>
              <w:jc w:val="center"/>
              <w:textAlignment w:val="auto"/>
              <w:rPr>
                <w:rFonts w:eastAsia="宋体"/>
                <w:color w:val="auto"/>
                <w:kern w:val="2"/>
                <w:szCs w:val="21"/>
              </w:rPr>
            </w:pPr>
            <w:r>
              <w:rPr>
                <w:rFonts w:eastAsia="宋体"/>
                <w:color w:val="auto"/>
                <w:kern w:val="2"/>
                <w:szCs w:val="21"/>
              </w:rPr>
              <w:t>单位名称</w:t>
            </w:r>
            <w:r>
              <w:rPr>
                <w:rFonts w:hint="eastAsia" w:eastAsia="宋体"/>
                <w:color w:val="auto"/>
                <w:kern w:val="2"/>
                <w:szCs w:val="21"/>
              </w:rPr>
              <w:t>（公章</w:t>
            </w:r>
            <w:r>
              <w:rPr>
                <w:rFonts w:hint="eastAsia" w:eastAsia="宋体"/>
                <w:color w:val="auto"/>
                <w:kern w:val="2"/>
                <w:szCs w:val="21"/>
                <w:lang w:eastAsia="zh-CN"/>
              </w:rPr>
              <w:t>或合同章</w:t>
            </w:r>
            <w:r>
              <w:rPr>
                <w:rFonts w:hint="eastAsia" w:eastAsia="宋体"/>
                <w:color w:val="auto"/>
                <w:kern w:val="2"/>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7AEBEEAD">
            <w:pPr>
              <w:widowControl w:val="0"/>
              <w:adjustRightInd w:val="0"/>
              <w:snapToGrid w:val="0"/>
              <w:spacing w:line="300" w:lineRule="exact"/>
              <w:jc w:val="center"/>
              <w:textAlignment w:val="auto"/>
              <w:rPr>
                <w:rFonts w:eastAsia="宋体"/>
                <w:color w:val="auto"/>
                <w:kern w:val="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DE349E2">
            <w:pPr>
              <w:widowControl w:val="0"/>
              <w:adjustRightInd w:val="0"/>
              <w:snapToGrid w:val="0"/>
              <w:spacing w:line="300" w:lineRule="exact"/>
              <w:jc w:val="center"/>
              <w:textAlignment w:val="auto"/>
              <w:rPr>
                <w:rFonts w:eastAsia="宋体"/>
                <w:color w:val="auto"/>
                <w:kern w:val="2"/>
                <w:szCs w:val="21"/>
              </w:rPr>
            </w:pPr>
            <w:r>
              <w:rPr>
                <w:rFonts w:eastAsia="宋体"/>
                <w:color w:val="auto"/>
                <w:kern w:val="2"/>
                <w:szCs w:val="21"/>
              </w:rPr>
              <w:t>单位名称</w:t>
            </w:r>
            <w:r>
              <w:rPr>
                <w:rFonts w:hint="eastAsia" w:eastAsia="宋体"/>
                <w:color w:val="auto"/>
                <w:kern w:val="2"/>
                <w:szCs w:val="21"/>
              </w:rPr>
              <w:t>（公章</w:t>
            </w:r>
            <w:r>
              <w:rPr>
                <w:rFonts w:hint="eastAsia" w:eastAsia="宋体"/>
                <w:color w:val="auto"/>
                <w:kern w:val="2"/>
                <w:szCs w:val="21"/>
                <w:lang w:eastAsia="zh-CN"/>
              </w:rPr>
              <w:t>或合同章</w:t>
            </w:r>
            <w:r>
              <w:rPr>
                <w:rFonts w:hint="eastAsia" w:eastAsia="宋体"/>
                <w:color w:val="auto"/>
                <w:kern w:val="2"/>
                <w:szCs w:val="21"/>
              </w:rPr>
              <w:t>）</w:t>
            </w:r>
          </w:p>
        </w:tc>
        <w:tc>
          <w:tcPr>
            <w:tcW w:w="1259" w:type="pct"/>
            <w:tcBorders>
              <w:top w:val="single" w:color="auto" w:sz="2" w:space="0"/>
              <w:left w:val="single" w:color="auto" w:sz="2" w:space="0"/>
              <w:bottom w:val="single" w:color="auto" w:sz="2" w:space="0"/>
            </w:tcBorders>
            <w:vAlign w:val="center"/>
          </w:tcPr>
          <w:p w14:paraId="20BDA093">
            <w:pPr>
              <w:widowControl w:val="0"/>
              <w:adjustRightInd w:val="0"/>
              <w:snapToGrid w:val="0"/>
              <w:spacing w:line="300" w:lineRule="exact"/>
              <w:jc w:val="center"/>
              <w:textAlignment w:val="auto"/>
              <w:rPr>
                <w:rFonts w:eastAsia="宋体"/>
                <w:color w:val="auto"/>
                <w:spacing w:val="20"/>
                <w:kern w:val="2"/>
                <w:szCs w:val="21"/>
              </w:rPr>
            </w:pPr>
          </w:p>
        </w:tc>
      </w:tr>
      <w:tr w14:paraId="229D6D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26F49C8">
            <w:pPr>
              <w:widowControl w:val="0"/>
              <w:adjustRightInd w:val="0"/>
              <w:snapToGrid w:val="0"/>
              <w:spacing w:line="300" w:lineRule="exact"/>
              <w:jc w:val="center"/>
              <w:textAlignment w:val="auto"/>
              <w:rPr>
                <w:rFonts w:eastAsia="宋体"/>
                <w:color w:val="auto"/>
                <w:kern w:val="2"/>
                <w:szCs w:val="21"/>
              </w:rPr>
            </w:pPr>
            <w:r>
              <w:rPr>
                <w:rFonts w:eastAsia="宋体"/>
                <w:color w:val="auto"/>
                <w:kern w:val="2"/>
                <w:szCs w:val="21"/>
              </w:rPr>
              <w:t>法定代表人</w:t>
            </w:r>
          </w:p>
          <w:p w14:paraId="741C3976">
            <w:pPr>
              <w:widowControl w:val="0"/>
              <w:adjustRightInd w:val="0"/>
              <w:snapToGrid w:val="0"/>
              <w:spacing w:line="300" w:lineRule="exact"/>
              <w:ind w:firstLine="100" w:firstLineChars="48"/>
              <w:jc w:val="center"/>
              <w:textAlignment w:val="auto"/>
              <w:rPr>
                <w:rFonts w:eastAsia="宋体"/>
                <w:color w:val="auto"/>
                <w:kern w:val="2"/>
                <w:szCs w:val="21"/>
              </w:rPr>
            </w:pPr>
            <w:r>
              <w:rPr>
                <w:rFonts w:hint="eastAsia" w:eastAsia="宋体"/>
                <w:color w:val="auto"/>
                <w:kern w:val="2"/>
                <w:szCs w:val="21"/>
              </w:rPr>
              <w:t>或其</w:t>
            </w:r>
            <w:r>
              <w:rPr>
                <w:rFonts w:eastAsia="宋体"/>
                <w:color w:val="auto"/>
                <w:kern w:val="2"/>
                <w:szCs w:val="21"/>
              </w:rPr>
              <w:t>委托代理人</w:t>
            </w:r>
            <w:r>
              <w:rPr>
                <w:rFonts w:hint="eastAsia" w:eastAsia="宋体"/>
                <w:color w:val="auto"/>
                <w:kern w:val="2"/>
                <w:szCs w:val="21"/>
              </w:rPr>
              <w:t>（签章）</w:t>
            </w:r>
          </w:p>
        </w:tc>
        <w:tc>
          <w:tcPr>
            <w:tcW w:w="1436" w:type="pct"/>
            <w:vMerge w:val="restart"/>
            <w:tcBorders>
              <w:top w:val="single" w:color="auto" w:sz="2" w:space="0"/>
              <w:left w:val="single" w:color="auto" w:sz="2" w:space="0"/>
              <w:right w:val="single" w:color="auto" w:sz="2" w:space="0"/>
            </w:tcBorders>
            <w:vAlign w:val="center"/>
          </w:tcPr>
          <w:p w14:paraId="64BCA25C">
            <w:pPr>
              <w:widowControl w:val="0"/>
              <w:adjustRightInd w:val="0"/>
              <w:snapToGrid w:val="0"/>
              <w:spacing w:line="300" w:lineRule="exact"/>
              <w:jc w:val="center"/>
              <w:textAlignment w:val="auto"/>
              <w:rPr>
                <w:rFonts w:eastAsia="宋体"/>
                <w:color w:val="auto"/>
                <w:kern w:val="2"/>
                <w:szCs w:val="21"/>
              </w:rPr>
            </w:pPr>
          </w:p>
        </w:tc>
        <w:tc>
          <w:tcPr>
            <w:tcW w:w="1178" w:type="pct"/>
            <w:tcBorders>
              <w:top w:val="single" w:color="auto" w:sz="2" w:space="0"/>
              <w:left w:val="single" w:color="auto" w:sz="2" w:space="0"/>
              <w:right w:val="single" w:color="auto" w:sz="2" w:space="0"/>
            </w:tcBorders>
            <w:vAlign w:val="center"/>
          </w:tcPr>
          <w:p w14:paraId="5462819A">
            <w:pPr>
              <w:widowControl w:val="0"/>
              <w:adjustRightInd w:val="0"/>
              <w:snapToGrid w:val="0"/>
              <w:spacing w:line="300" w:lineRule="exact"/>
              <w:jc w:val="center"/>
              <w:textAlignment w:val="auto"/>
              <w:rPr>
                <w:rFonts w:eastAsia="宋体"/>
                <w:color w:val="auto"/>
                <w:kern w:val="2"/>
                <w:szCs w:val="21"/>
              </w:rPr>
            </w:pPr>
            <w:r>
              <w:rPr>
                <w:rFonts w:eastAsia="宋体"/>
                <w:color w:val="auto"/>
                <w:kern w:val="2"/>
                <w:szCs w:val="21"/>
              </w:rPr>
              <w:t>法定代表人</w:t>
            </w:r>
          </w:p>
          <w:p w14:paraId="0DD670EA">
            <w:pPr>
              <w:widowControl w:val="0"/>
              <w:adjustRightInd w:val="0"/>
              <w:snapToGrid w:val="0"/>
              <w:spacing w:line="300" w:lineRule="exact"/>
              <w:jc w:val="center"/>
              <w:textAlignment w:val="auto"/>
              <w:rPr>
                <w:rFonts w:eastAsia="宋体"/>
                <w:color w:val="auto"/>
                <w:kern w:val="2"/>
                <w:szCs w:val="21"/>
              </w:rPr>
            </w:pPr>
            <w:r>
              <w:rPr>
                <w:rFonts w:hint="eastAsia" w:eastAsia="宋体"/>
                <w:color w:val="auto"/>
                <w:kern w:val="2"/>
                <w:szCs w:val="21"/>
              </w:rPr>
              <w:t>或其</w:t>
            </w:r>
            <w:r>
              <w:rPr>
                <w:rFonts w:eastAsia="宋体"/>
                <w:color w:val="auto"/>
                <w:kern w:val="2"/>
                <w:szCs w:val="21"/>
              </w:rPr>
              <w:t>委托代理人</w:t>
            </w:r>
            <w:r>
              <w:rPr>
                <w:rFonts w:hint="eastAsia" w:eastAsia="宋体"/>
                <w:color w:val="auto"/>
                <w:kern w:val="2"/>
                <w:szCs w:val="21"/>
              </w:rPr>
              <w:t>（签章）</w:t>
            </w:r>
          </w:p>
        </w:tc>
        <w:tc>
          <w:tcPr>
            <w:tcW w:w="1259" w:type="pct"/>
            <w:tcBorders>
              <w:top w:val="single" w:color="auto" w:sz="2" w:space="0"/>
              <w:left w:val="single" w:color="auto" w:sz="2" w:space="0"/>
              <w:bottom w:val="single" w:color="auto" w:sz="2" w:space="0"/>
            </w:tcBorders>
            <w:vAlign w:val="center"/>
          </w:tcPr>
          <w:p w14:paraId="53FD493A">
            <w:pPr>
              <w:widowControl w:val="0"/>
              <w:adjustRightInd w:val="0"/>
              <w:snapToGrid w:val="0"/>
              <w:spacing w:line="300" w:lineRule="exact"/>
              <w:jc w:val="center"/>
              <w:textAlignment w:val="auto"/>
              <w:rPr>
                <w:rFonts w:eastAsia="宋体"/>
                <w:color w:val="auto"/>
                <w:kern w:val="2"/>
                <w:szCs w:val="21"/>
              </w:rPr>
            </w:pPr>
          </w:p>
        </w:tc>
      </w:tr>
      <w:tr w14:paraId="26F05B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2C941BD8">
            <w:pPr>
              <w:widowControl w:val="0"/>
              <w:adjustRightInd w:val="0"/>
              <w:snapToGrid w:val="0"/>
              <w:spacing w:line="300" w:lineRule="exact"/>
              <w:jc w:val="center"/>
              <w:textAlignment w:val="auto"/>
              <w:rPr>
                <w:rFonts w:eastAsia="宋体"/>
                <w:color w:val="auto"/>
                <w:kern w:val="2"/>
                <w:szCs w:val="21"/>
              </w:rPr>
            </w:pPr>
          </w:p>
        </w:tc>
        <w:tc>
          <w:tcPr>
            <w:tcW w:w="1436" w:type="pct"/>
            <w:vMerge w:val="continue"/>
            <w:tcBorders>
              <w:left w:val="single" w:color="auto" w:sz="2" w:space="0"/>
              <w:bottom w:val="single" w:color="auto" w:sz="2" w:space="0"/>
              <w:right w:val="single" w:color="auto" w:sz="2" w:space="0"/>
            </w:tcBorders>
            <w:vAlign w:val="center"/>
          </w:tcPr>
          <w:p w14:paraId="41BFC930">
            <w:pPr>
              <w:widowControl w:val="0"/>
              <w:adjustRightInd w:val="0"/>
              <w:snapToGrid w:val="0"/>
              <w:spacing w:line="300" w:lineRule="exact"/>
              <w:jc w:val="center"/>
              <w:textAlignment w:val="auto"/>
              <w:rPr>
                <w:rFonts w:eastAsia="宋体"/>
                <w:color w:val="auto"/>
                <w:kern w:val="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AB76731">
            <w:pPr>
              <w:widowControl w:val="0"/>
              <w:adjustRightInd w:val="0"/>
              <w:snapToGrid w:val="0"/>
              <w:spacing w:line="300" w:lineRule="exact"/>
              <w:jc w:val="center"/>
              <w:textAlignment w:val="auto"/>
              <w:rPr>
                <w:rFonts w:hint="eastAsia" w:eastAsia="宋体"/>
                <w:color w:val="auto"/>
                <w:kern w:val="2"/>
                <w:szCs w:val="21"/>
                <w:lang w:eastAsia="zh-CN"/>
              </w:rPr>
            </w:pPr>
            <w:r>
              <w:rPr>
                <w:rFonts w:hint="eastAsia" w:eastAsia="宋体"/>
                <w:color w:val="auto"/>
                <w:kern w:val="2"/>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49645FA9">
            <w:pPr>
              <w:widowControl w:val="0"/>
              <w:adjustRightInd w:val="0"/>
              <w:snapToGrid w:val="0"/>
              <w:spacing w:line="300" w:lineRule="exact"/>
              <w:jc w:val="center"/>
              <w:textAlignment w:val="auto"/>
              <w:rPr>
                <w:rFonts w:eastAsia="宋体"/>
                <w:color w:val="auto"/>
                <w:spacing w:val="20"/>
                <w:kern w:val="2"/>
                <w:szCs w:val="21"/>
              </w:rPr>
            </w:pPr>
          </w:p>
        </w:tc>
      </w:tr>
      <w:tr w14:paraId="088679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D569FD">
            <w:pPr>
              <w:widowControl w:val="0"/>
              <w:adjustRightInd w:val="0"/>
              <w:snapToGrid w:val="0"/>
              <w:spacing w:line="300" w:lineRule="exact"/>
              <w:jc w:val="center"/>
              <w:textAlignment w:val="auto"/>
              <w:rPr>
                <w:rFonts w:hint="eastAsia" w:eastAsia="宋体"/>
                <w:color w:val="auto"/>
                <w:kern w:val="2"/>
                <w:szCs w:val="21"/>
                <w:lang w:eastAsia="zh-CN"/>
              </w:rPr>
            </w:pPr>
            <w:r>
              <w:rPr>
                <w:rFonts w:hint="eastAsia" w:eastAsia="宋体"/>
                <w:color w:val="auto"/>
                <w:kern w:val="2"/>
                <w:szCs w:val="21"/>
                <w:lang w:eastAsia="zh-CN"/>
              </w:rPr>
              <w:t>住</w:t>
            </w:r>
            <w:r>
              <w:rPr>
                <w:rFonts w:hint="eastAsia" w:eastAsia="宋体"/>
                <w:color w:val="auto"/>
                <w:kern w:val="2"/>
                <w:szCs w:val="21"/>
                <w:lang w:val="en-US" w:eastAsia="zh-CN"/>
              </w:rPr>
              <w:t xml:space="preserve">  </w:t>
            </w:r>
            <w:r>
              <w:rPr>
                <w:rFonts w:hint="eastAsia" w:eastAsia="宋体"/>
                <w:color w:val="auto"/>
                <w:kern w:val="2"/>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0F6EBB25">
            <w:pPr>
              <w:widowControl w:val="0"/>
              <w:adjustRightInd w:val="0"/>
              <w:snapToGrid w:val="0"/>
              <w:spacing w:line="300" w:lineRule="exact"/>
              <w:jc w:val="center"/>
              <w:textAlignment w:val="auto"/>
              <w:rPr>
                <w:rFonts w:eastAsia="宋体"/>
                <w:color w:val="auto"/>
                <w:kern w:val="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C57D856">
            <w:pPr>
              <w:widowControl w:val="0"/>
              <w:adjustRightInd w:val="0"/>
              <w:snapToGrid w:val="0"/>
              <w:spacing w:line="300" w:lineRule="exact"/>
              <w:jc w:val="center"/>
              <w:textAlignment w:val="auto"/>
              <w:rPr>
                <w:rFonts w:hint="eastAsia" w:eastAsia="宋体"/>
                <w:color w:val="auto"/>
                <w:kern w:val="2"/>
                <w:szCs w:val="21"/>
                <w:lang w:eastAsia="zh-CN"/>
              </w:rPr>
            </w:pPr>
            <w:r>
              <w:rPr>
                <w:rFonts w:hint="eastAsia" w:eastAsia="宋体"/>
                <w:color w:val="auto"/>
                <w:kern w:val="2"/>
                <w:szCs w:val="21"/>
                <w:lang w:eastAsia="zh-CN"/>
              </w:rPr>
              <w:t>住</w:t>
            </w:r>
            <w:r>
              <w:rPr>
                <w:rFonts w:hint="eastAsia" w:eastAsia="宋体"/>
                <w:color w:val="auto"/>
                <w:kern w:val="2"/>
                <w:szCs w:val="21"/>
                <w:lang w:val="en-US" w:eastAsia="zh-CN"/>
              </w:rPr>
              <w:t xml:space="preserve">  </w:t>
            </w:r>
            <w:r>
              <w:rPr>
                <w:rFonts w:hint="eastAsia" w:eastAsia="宋体"/>
                <w:color w:val="auto"/>
                <w:kern w:val="2"/>
                <w:szCs w:val="21"/>
                <w:lang w:eastAsia="zh-CN"/>
              </w:rPr>
              <w:t>所</w:t>
            </w:r>
          </w:p>
        </w:tc>
        <w:tc>
          <w:tcPr>
            <w:tcW w:w="1259" w:type="pct"/>
            <w:tcBorders>
              <w:top w:val="single" w:color="auto" w:sz="2" w:space="0"/>
              <w:left w:val="single" w:color="auto" w:sz="2" w:space="0"/>
              <w:bottom w:val="single" w:color="auto" w:sz="2" w:space="0"/>
            </w:tcBorders>
            <w:vAlign w:val="center"/>
          </w:tcPr>
          <w:p w14:paraId="2F55C5D0">
            <w:pPr>
              <w:widowControl w:val="0"/>
              <w:adjustRightInd w:val="0"/>
              <w:snapToGrid w:val="0"/>
              <w:spacing w:line="300" w:lineRule="exact"/>
              <w:jc w:val="center"/>
              <w:textAlignment w:val="auto"/>
              <w:rPr>
                <w:rFonts w:eastAsia="宋体"/>
                <w:color w:val="auto"/>
                <w:spacing w:val="20"/>
                <w:kern w:val="2"/>
                <w:szCs w:val="21"/>
              </w:rPr>
            </w:pPr>
          </w:p>
        </w:tc>
      </w:tr>
      <w:tr w14:paraId="2B8955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63760C9">
            <w:pPr>
              <w:widowControl w:val="0"/>
              <w:adjustRightInd w:val="0"/>
              <w:snapToGrid w:val="0"/>
              <w:spacing w:line="300" w:lineRule="exact"/>
              <w:jc w:val="center"/>
              <w:textAlignment w:val="auto"/>
              <w:rPr>
                <w:rFonts w:eastAsia="宋体"/>
                <w:color w:val="auto"/>
                <w:kern w:val="2"/>
                <w:szCs w:val="21"/>
              </w:rPr>
            </w:pPr>
            <w:r>
              <w:rPr>
                <w:rFonts w:eastAsia="宋体"/>
                <w:color w:val="auto"/>
                <w:kern w:val="2"/>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E17CC02">
            <w:pPr>
              <w:widowControl w:val="0"/>
              <w:adjustRightInd w:val="0"/>
              <w:snapToGrid w:val="0"/>
              <w:spacing w:line="300" w:lineRule="exact"/>
              <w:jc w:val="center"/>
              <w:textAlignment w:val="auto"/>
              <w:rPr>
                <w:rFonts w:eastAsia="宋体"/>
                <w:color w:val="auto"/>
                <w:kern w:val="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A5BCFD8">
            <w:pPr>
              <w:widowControl w:val="0"/>
              <w:adjustRightInd w:val="0"/>
              <w:snapToGrid w:val="0"/>
              <w:spacing w:line="300" w:lineRule="exact"/>
              <w:jc w:val="center"/>
              <w:textAlignment w:val="auto"/>
              <w:rPr>
                <w:rFonts w:eastAsia="宋体"/>
                <w:color w:val="auto"/>
                <w:kern w:val="2"/>
                <w:szCs w:val="21"/>
              </w:rPr>
            </w:pPr>
            <w:r>
              <w:rPr>
                <w:rFonts w:eastAsia="宋体"/>
                <w:color w:val="auto"/>
                <w:kern w:val="2"/>
                <w:szCs w:val="21"/>
              </w:rPr>
              <w:t>联 系 人</w:t>
            </w:r>
          </w:p>
        </w:tc>
        <w:tc>
          <w:tcPr>
            <w:tcW w:w="1259" w:type="pct"/>
            <w:tcBorders>
              <w:top w:val="single" w:color="auto" w:sz="2" w:space="0"/>
              <w:left w:val="single" w:color="auto" w:sz="2" w:space="0"/>
              <w:bottom w:val="single" w:color="auto" w:sz="2" w:space="0"/>
            </w:tcBorders>
            <w:vAlign w:val="center"/>
          </w:tcPr>
          <w:p w14:paraId="5D8D57AF">
            <w:pPr>
              <w:widowControl w:val="0"/>
              <w:adjustRightInd w:val="0"/>
              <w:snapToGrid w:val="0"/>
              <w:spacing w:line="300" w:lineRule="exact"/>
              <w:jc w:val="center"/>
              <w:textAlignment w:val="auto"/>
              <w:rPr>
                <w:rFonts w:eastAsia="宋体"/>
                <w:color w:val="auto"/>
                <w:spacing w:val="20"/>
                <w:kern w:val="2"/>
                <w:szCs w:val="21"/>
              </w:rPr>
            </w:pPr>
          </w:p>
        </w:tc>
      </w:tr>
      <w:tr w14:paraId="31A492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8155EAE">
            <w:pPr>
              <w:widowControl w:val="0"/>
              <w:adjustRightInd w:val="0"/>
              <w:snapToGrid w:val="0"/>
              <w:spacing w:line="300" w:lineRule="exact"/>
              <w:jc w:val="center"/>
              <w:textAlignment w:val="auto"/>
              <w:rPr>
                <w:rFonts w:eastAsia="宋体"/>
                <w:color w:val="auto"/>
                <w:kern w:val="2"/>
                <w:szCs w:val="21"/>
              </w:rPr>
            </w:pPr>
            <w:r>
              <w:rPr>
                <w:rFonts w:eastAsia="宋体"/>
                <w:color w:val="auto"/>
                <w:kern w:val="2"/>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70528D8">
            <w:pPr>
              <w:widowControl w:val="0"/>
              <w:adjustRightInd w:val="0"/>
              <w:snapToGrid w:val="0"/>
              <w:spacing w:line="300" w:lineRule="exact"/>
              <w:jc w:val="center"/>
              <w:textAlignment w:val="auto"/>
              <w:rPr>
                <w:rFonts w:eastAsia="宋体"/>
                <w:color w:val="auto"/>
                <w:kern w:val="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C7DC67B">
            <w:pPr>
              <w:widowControl w:val="0"/>
              <w:adjustRightInd w:val="0"/>
              <w:snapToGrid w:val="0"/>
              <w:spacing w:line="300" w:lineRule="exact"/>
              <w:jc w:val="center"/>
              <w:textAlignment w:val="auto"/>
              <w:rPr>
                <w:rFonts w:eastAsia="宋体"/>
                <w:color w:val="auto"/>
                <w:kern w:val="2"/>
                <w:szCs w:val="21"/>
              </w:rPr>
            </w:pPr>
            <w:r>
              <w:rPr>
                <w:rFonts w:eastAsia="宋体"/>
                <w:color w:val="auto"/>
                <w:kern w:val="2"/>
                <w:szCs w:val="21"/>
              </w:rPr>
              <w:t>联系电话</w:t>
            </w:r>
          </w:p>
        </w:tc>
        <w:tc>
          <w:tcPr>
            <w:tcW w:w="1259" w:type="pct"/>
            <w:tcBorders>
              <w:top w:val="single" w:color="auto" w:sz="2" w:space="0"/>
              <w:left w:val="single" w:color="auto" w:sz="2" w:space="0"/>
              <w:bottom w:val="single" w:color="auto" w:sz="2" w:space="0"/>
            </w:tcBorders>
            <w:vAlign w:val="center"/>
          </w:tcPr>
          <w:p w14:paraId="2A438D30">
            <w:pPr>
              <w:widowControl w:val="0"/>
              <w:adjustRightInd w:val="0"/>
              <w:snapToGrid w:val="0"/>
              <w:spacing w:line="300" w:lineRule="exact"/>
              <w:jc w:val="center"/>
              <w:textAlignment w:val="auto"/>
              <w:rPr>
                <w:rFonts w:eastAsia="宋体"/>
                <w:color w:val="auto"/>
                <w:spacing w:val="20"/>
                <w:kern w:val="2"/>
                <w:szCs w:val="21"/>
              </w:rPr>
            </w:pPr>
          </w:p>
        </w:tc>
      </w:tr>
      <w:tr w14:paraId="1C36E1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1422069">
            <w:pPr>
              <w:widowControl w:val="0"/>
              <w:adjustRightInd w:val="0"/>
              <w:snapToGrid w:val="0"/>
              <w:spacing w:line="300" w:lineRule="exact"/>
              <w:jc w:val="center"/>
              <w:textAlignment w:val="auto"/>
              <w:rPr>
                <w:rFonts w:hint="eastAsia" w:eastAsia="宋体"/>
                <w:color w:val="auto"/>
                <w:kern w:val="2"/>
                <w:szCs w:val="21"/>
                <w:lang w:eastAsia="zh-CN"/>
              </w:rPr>
            </w:pPr>
            <w:r>
              <w:rPr>
                <w:rFonts w:hint="eastAsia" w:eastAsia="宋体"/>
                <w:color w:val="auto"/>
                <w:kern w:val="2"/>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075661F">
            <w:pPr>
              <w:widowControl w:val="0"/>
              <w:adjustRightInd w:val="0"/>
              <w:snapToGrid w:val="0"/>
              <w:spacing w:line="300" w:lineRule="exact"/>
              <w:jc w:val="center"/>
              <w:textAlignment w:val="auto"/>
              <w:rPr>
                <w:rFonts w:eastAsia="宋体"/>
                <w:color w:val="auto"/>
                <w:kern w:val="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77A3F38">
            <w:pPr>
              <w:widowControl w:val="0"/>
              <w:adjustRightInd w:val="0"/>
              <w:snapToGrid w:val="0"/>
              <w:spacing w:line="300" w:lineRule="exact"/>
              <w:jc w:val="center"/>
              <w:textAlignment w:val="auto"/>
              <w:rPr>
                <w:rFonts w:eastAsia="宋体"/>
                <w:color w:val="auto"/>
                <w:kern w:val="2"/>
                <w:szCs w:val="21"/>
              </w:rPr>
            </w:pPr>
            <w:r>
              <w:rPr>
                <w:rFonts w:hint="eastAsia" w:eastAsia="宋体"/>
                <w:color w:val="auto"/>
                <w:kern w:val="2"/>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573F71E4">
            <w:pPr>
              <w:widowControl w:val="0"/>
              <w:adjustRightInd w:val="0"/>
              <w:snapToGrid w:val="0"/>
              <w:spacing w:line="300" w:lineRule="exact"/>
              <w:jc w:val="center"/>
              <w:textAlignment w:val="auto"/>
              <w:rPr>
                <w:rFonts w:eastAsia="宋体"/>
                <w:color w:val="auto"/>
                <w:spacing w:val="20"/>
                <w:kern w:val="2"/>
                <w:szCs w:val="21"/>
              </w:rPr>
            </w:pPr>
          </w:p>
        </w:tc>
      </w:tr>
      <w:tr w14:paraId="2E10A7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BD4799A">
            <w:pPr>
              <w:widowControl w:val="0"/>
              <w:adjustRightInd w:val="0"/>
              <w:snapToGrid w:val="0"/>
              <w:spacing w:line="300" w:lineRule="exact"/>
              <w:jc w:val="center"/>
              <w:textAlignment w:val="auto"/>
              <w:rPr>
                <w:rFonts w:eastAsia="宋体"/>
                <w:color w:val="auto"/>
                <w:kern w:val="2"/>
                <w:szCs w:val="21"/>
              </w:rPr>
            </w:pPr>
            <w:r>
              <w:rPr>
                <w:rFonts w:eastAsia="宋体"/>
                <w:color w:val="auto"/>
                <w:kern w:val="2"/>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E27FAFF">
            <w:pPr>
              <w:widowControl w:val="0"/>
              <w:adjustRightInd w:val="0"/>
              <w:snapToGrid w:val="0"/>
              <w:spacing w:line="300" w:lineRule="exact"/>
              <w:jc w:val="center"/>
              <w:textAlignment w:val="auto"/>
              <w:rPr>
                <w:rFonts w:eastAsia="宋体"/>
                <w:color w:val="auto"/>
                <w:kern w:val="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067C6BC">
            <w:pPr>
              <w:widowControl w:val="0"/>
              <w:adjustRightInd w:val="0"/>
              <w:snapToGrid w:val="0"/>
              <w:spacing w:line="300" w:lineRule="exact"/>
              <w:jc w:val="center"/>
              <w:textAlignment w:val="auto"/>
              <w:rPr>
                <w:rFonts w:eastAsia="宋体"/>
                <w:color w:val="auto"/>
                <w:kern w:val="2"/>
                <w:szCs w:val="21"/>
              </w:rPr>
            </w:pPr>
            <w:r>
              <w:rPr>
                <w:rFonts w:eastAsia="宋体"/>
                <w:color w:val="auto"/>
                <w:kern w:val="2"/>
                <w:szCs w:val="21"/>
              </w:rPr>
              <w:t>邮政编码</w:t>
            </w:r>
          </w:p>
        </w:tc>
        <w:tc>
          <w:tcPr>
            <w:tcW w:w="1259" w:type="pct"/>
            <w:tcBorders>
              <w:top w:val="single" w:color="auto" w:sz="2" w:space="0"/>
              <w:left w:val="single" w:color="auto" w:sz="2" w:space="0"/>
              <w:bottom w:val="single" w:color="auto" w:sz="2" w:space="0"/>
            </w:tcBorders>
            <w:vAlign w:val="center"/>
          </w:tcPr>
          <w:p w14:paraId="63FCCE26">
            <w:pPr>
              <w:widowControl w:val="0"/>
              <w:adjustRightInd w:val="0"/>
              <w:snapToGrid w:val="0"/>
              <w:spacing w:line="300" w:lineRule="exact"/>
              <w:jc w:val="center"/>
              <w:textAlignment w:val="auto"/>
              <w:rPr>
                <w:rFonts w:eastAsia="宋体"/>
                <w:color w:val="auto"/>
                <w:spacing w:val="20"/>
                <w:kern w:val="2"/>
                <w:szCs w:val="21"/>
              </w:rPr>
            </w:pPr>
          </w:p>
        </w:tc>
      </w:tr>
      <w:tr w14:paraId="58EA46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8E907F3">
            <w:pPr>
              <w:widowControl w:val="0"/>
              <w:adjustRightInd w:val="0"/>
              <w:snapToGrid w:val="0"/>
              <w:spacing w:line="300" w:lineRule="exact"/>
              <w:jc w:val="center"/>
              <w:textAlignment w:val="auto"/>
              <w:rPr>
                <w:rFonts w:eastAsia="宋体"/>
                <w:color w:val="auto"/>
                <w:kern w:val="2"/>
                <w:szCs w:val="21"/>
              </w:rPr>
            </w:pPr>
            <w:r>
              <w:rPr>
                <w:rFonts w:hint="eastAsia" w:eastAsia="宋体"/>
                <w:color w:val="auto"/>
                <w:kern w:val="2"/>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D2CDAB1">
            <w:pPr>
              <w:widowControl w:val="0"/>
              <w:adjustRightInd w:val="0"/>
              <w:snapToGrid w:val="0"/>
              <w:spacing w:line="300" w:lineRule="exact"/>
              <w:jc w:val="center"/>
              <w:textAlignment w:val="auto"/>
              <w:rPr>
                <w:rFonts w:eastAsia="宋体"/>
                <w:color w:val="auto"/>
                <w:kern w:val="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0548A27">
            <w:pPr>
              <w:widowControl w:val="0"/>
              <w:adjustRightInd w:val="0"/>
              <w:snapToGrid w:val="0"/>
              <w:spacing w:line="300" w:lineRule="exact"/>
              <w:jc w:val="center"/>
              <w:textAlignment w:val="auto"/>
              <w:rPr>
                <w:rFonts w:eastAsia="宋体"/>
                <w:color w:val="auto"/>
                <w:kern w:val="2"/>
                <w:szCs w:val="21"/>
              </w:rPr>
            </w:pPr>
            <w:r>
              <w:rPr>
                <w:rFonts w:hint="eastAsia" w:eastAsia="宋体"/>
                <w:color w:val="auto"/>
                <w:kern w:val="2"/>
                <w:szCs w:val="21"/>
              </w:rPr>
              <w:t>电子邮箱</w:t>
            </w:r>
          </w:p>
        </w:tc>
        <w:tc>
          <w:tcPr>
            <w:tcW w:w="1259" w:type="pct"/>
            <w:tcBorders>
              <w:top w:val="single" w:color="auto" w:sz="2" w:space="0"/>
              <w:left w:val="single" w:color="auto" w:sz="2" w:space="0"/>
              <w:bottom w:val="single" w:color="auto" w:sz="2" w:space="0"/>
            </w:tcBorders>
            <w:vAlign w:val="center"/>
          </w:tcPr>
          <w:p w14:paraId="4C443280">
            <w:pPr>
              <w:widowControl w:val="0"/>
              <w:adjustRightInd w:val="0"/>
              <w:snapToGrid w:val="0"/>
              <w:spacing w:line="300" w:lineRule="exact"/>
              <w:jc w:val="center"/>
              <w:textAlignment w:val="auto"/>
              <w:rPr>
                <w:rFonts w:eastAsia="宋体"/>
                <w:color w:val="auto"/>
                <w:spacing w:val="20"/>
                <w:kern w:val="2"/>
                <w:szCs w:val="21"/>
              </w:rPr>
            </w:pPr>
          </w:p>
        </w:tc>
      </w:tr>
      <w:tr w14:paraId="027680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A577CD7">
            <w:pPr>
              <w:widowControl w:val="0"/>
              <w:adjustRightInd w:val="0"/>
              <w:snapToGrid w:val="0"/>
              <w:spacing w:line="300" w:lineRule="exact"/>
              <w:jc w:val="center"/>
              <w:textAlignment w:val="auto"/>
              <w:rPr>
                <w:rFonts w:eastAsia="宋体"/>
                <w:color w:val="auto"/>
                <w:kern w:val="2"/>
                <w:szCs w:val="21"/>
              </w:rPr>
            </w:pPr>
            <w:r>
              <w:rPr>
                <w:rFonts w:hint="eastAsia" w:eastAsia="宋体"/>
                <w:color w:val="auto"/>
                <w:kern w:val="2"/>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0A27501">
            <w:pPr>
              <w:widowControl w:val="0"/>
              <w:adjustRightInd w:val="0"/>
              <w:snapToGrid w:val="0"/>
              <w:spacing w:line="300" w:lineRule="exact"/>
              <w:jc w:val="center"/>
              <w:textAlignment w:val="auto"/>
              <w:rPr>
                <w:rFonts w:eastAsia="宋体"/>
                <w:color w:val="auto"/>
                <w:kern w:val="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3E56550">
            <w:pPr>
              <w:widowControl w:val="0"/>
              <w:adjustRightInd w:val="0"/>
              <w:snapToGrid w:val="0"/>
              <w:spacing w:line="300" w:lineRule="exact"/>
              <w:jc w:val="center"/>
              <w:textAlignment w:val="auto"/>
              <w:rPr>
                <w:rFonts w:eastAsia="宋体"/>
                <w:color w:val="auto"/>
                <w:kern w:val="2"/>
                <w:szCs w:val="21"/>
              </w:rPr>
            </w:pPr>
            <w:r>
              <w:rPr>
                <w:rFonts w:hint="eastAsia" w:eastAsia="宋体"/>
                <w:color w:val="auto"/>
                <w:kern w:val="2"/>
                <w:szCs w:val="21"/>
              </w:rPr>
              <w:t>统一社会信用代码</w:t>
            </w:r>
          </w:p>
        </w:tc>
        <w:tc>
          <w:tcPr>
            <w:tcW w:w="1259" w:type="pct"/>
            <w:tcBorders>
              <w:top w:val="single" w:color="auto" w:sz="2" w:space="0"/>
              <w:left w:val="single" w:color="auto" w:sz="2" w:space="0"/>
              <w:bottom w:val="single" w:color="auto" w:sz="2" w:space="0"/>
            </w:tcBorders>
            <w:vAlign w:val="center"/>
          </w:tcPr>
          <w:p w14:paraId="13F1D501">
            <w:pPr>
              <w:widowControl w:val="0"/>
              <w:adjustRightInd w:val="0"/>
              <w:snapToGrid w:val="0"/>
              <w:spacing w:line="300" w:lineRule="exact"/>
              <w:jc w:val="center"/>
              <w:textAlignment w:val="auto"/>
              <w:rPr>
                <w:rFonts w:eastAsia="宋体"/>
                <w:color w:val="auto"/>
                <w:spacing w:val="20"/>
                <w:kern w:val="2"/>
                <w:szCs w:val="21"/>
              </w:rPr>
            </w:pPr>
          </w:p>
        </w:tc>
      </w:tr>
      <w:tr w14:paraId="2D8152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BFA7830">
            <w:pPr>
              <w:widowControl w:val="0"/>
              <w:adjustRightInd w:val="0"/>
              <w:snapToGrid w:val="0"/>
              <w:spacing w:line="300" w:lineRule="exact"/>
              <w:jc w:val="center"/>
              <w:textAlignment w:val="auto"/>
              <w:rPr>
                <w:rFonts w:eastAsia="宋体"/>
                <w:color w:val="auto"/>
                <w:kern w:val="2"/>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02794440">
            <w:pPr>
              <w:widowControl w:val="0"/>
              <w:adjustRightInd w:val="0"/>
              <w:snapToGrid w:val="0"/>
              <w:spacing w:line="300" w:lineRule="exact"/>
              <w:jc w:val="center"/>
              <w:textAlignment w:val="auto"/>
              <w:rPr>
                <w:rFonts w:eastAsia="宋体"/>
                <w:color w:val="auto"/>
                <w:kern w:val="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8F8F369">
            <w:pPr>
              <w:widowControl w:val="0"/>
              <w:adjustRightInd w:val="0"/>
              <w:snapToGrid w:val="0"/>
              <w:spacing w:line="300" w:lineRule="exact"/>
              <w:jc w:val="center"/>
              <w:textAlignment w:val="auto"/>
              <w:rPr>
                <w:rFonts w:eastAsia="宋体"/>
                <w:color w:val="auto"/>
                <w:kern w:val="2"/>
                <w:szCs w:val="21"/>
              </w:rPr>
            </w:pPr>
            <w:r>
              <w:rPr>
                <w:rFonts w:eastAsia="宋体"/>
                <w:color w:val="auto"/>
                <w:kern w:val="2"/>
                <w:szCs w:val="21"/>
              </w:rPr>
              <w:t>开户名称</w:t>
            </w:r>
          </w:p>
        </w:tc>
        <w:tc>
          <w:tcPr>
            <w:tcW w:w="1259" w:type="pct"/>
            <w:tcBorders>
              <w:top w:val="single" w:color="auto" w:sz="2" w:space="0"/>
              <w:left w:val="single" w:color="auto" w:sz="2" w:space="0"/>
              <w:bottom w:val="single" w:color="auto" w:sz="2" w:space="0"/>
            </w:tcBorders>
            <w:vAlign w:val="center"/>
          </w:tcPr>
          <w:p w14:paraId="119691DB">
            <w:pPr>
              <w:widowControl w:val="0"/>
              <w:adjustRightInd w:val="0"/>
              <w:snapToGrid w:val="0"/>
              <w:spacing w:line="300" w:lineRule="exact"/>
              <w:jc w:val="center"/>
              <w:textAlignment w:val="auto"/>
              <w:rPr>
                <w:rFonts w:eastAsia="宋体"/>
                <w:color w:val="auto"/>
                <w:spacing w:val="20"/>
                <w:kern w:val="2"/>
                <w:szCs w:val="21"/>
              </w:rPr>
            </w:pPr>
          </w:p>
        </w:tc>
      </w:tr>
      <w:tr w14:paraId="33F5B6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D7F8508">
            <w:pPr>
              <w:widowControl w:val="0"/>
              <w:adjustRightInd w:val="0"/>
              <w:snapToGrid w:val="0"/>
              <w:spacing w:line="300" w:lineRule="exact"/>
              <w:jc w:val="center"/>
              <w:textAlignment w:val="auto"/>
              <w:rPr>
                <w:rFonts w:eastAsia="宋体"/>
                <w:color w:val="auto"/>
                <w:kern w:val="2"/>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73ECDD0">
            <w:pPr>
              <w:widowControl w:val="0"/>
              <w:adjustRightInd w:val="0"/>
              <w:snapToGrid w:val="0"/>
              <w:spacing w:line="300" w:lineRule="exact"/>
              <w:jc w:val="center"/>
              <w:textAlignment w:val="auto"/>
              <w:rPr>
                <w:rFonts w:eastAsia="宋体"/>
                <w:color w:val="auto"/>
                <w:kern w:val="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E8CA351">
            <w:pPr>
              <w:widowControl w:val="0"/>
              <w:adjustRightInd w:val="0"/>
              <w:snapToGrid w:val="0"/>
              <w:spacing w:line="300" w:lineRule="exact"/>
              <w:jc w:val="center"/>
              <w:textAlignment w:val="auto"/>
              <w:rPr>
                <w:rFonts w:eastAsia="宋体"/>
                <w:color w:val="auto"/>
                <w:kern w:val="2"/>
                <w:szCs w:val="21"/>
              </w:rPr>
            </w:pPr>
            <w:r>
              <w:rPr>
                <w:rFonts w:eastAsia="宋体"/>
                <w:color w:val="auto"/>
                <w:kern w:val="2"/>
                <w:szCs w:val="21"/>
              </w:rPr>
              <w:t>开户银行</w:t>
            </w:r>
          </w:p>
        </w:tc>
        <w:tc>
          <w:tcPr>
            <w:tcW w:w="1259" w:type="pct"/>
            <w:tcBorders>
              <w:top w:val="single" w:color="auto" w:sz="2" w:space="0"/>
              <w:left w:val="single" w:color="auto" w:sz="2" w:space="0"/>
              <w:bottom w:val="single" w:color="auto" w:sz="2" w:space="0"/>
            </w:tcBorders>
            <w:vAlign w:val="center"/>
          </w:tcPr>
          <w:p w14:paraId="24BD4646">
            <w:pPr>
              <w:widowControl w:val="0"/>
              <w:adjustRightInd w:val="0"/>
              <w:snapToGrid w:val="0"/>
              <w:spacing w:line="300" w:lineRule="exact"/>
              <w:jc w:val="center"/>
              <w:textAlignment w:val="auto"/>
              <w:rPr>
                <w:rFonts w:eastAsia="宋体"/>
                <w:color w:val="auto"/>
                <w:spacing w:val="20"/>
                <w:kern w:val="2"/>
                <w:szCs w:val="21"/>
              </w:rPr>
            </w:pPr>
          </w:p>
        </w:tc>
      </w:tr>
      <w:tr w14:paraId="1A8D3E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63E9AD9">
            <w:pPr>
              <w:widowControl w:val="0"/>
              <w:adjustRightInd w:val="0"/>
              <w:snapToGrid w:val="0"/>
              <w:spacing w:line="300" w:lineRule="exact"/>
              <w:jc w:val="center"/>
              <w:textAlignment w:val="auto"/>
              <w:rPr>
                <w:rFonts w:eastAsia="宋体"/>
                <w:color w:val="auto"/>
                <w:kern w:val="2"/>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7DD514F">
            <w:pPr>
              <w:widowControl w:val="0"/>
              <w:adjustRightInd w:val="0"/>
              <w:snapToGrid w:val="0"/>
              <w:spacing w:line="300" w:lineRule="exact"/>
              <w:jc w:val="center"/>
              <w:textAlignment w:val="auto"/>
              <w:rPr>
                <w:rFonts w:eastAsia="宋体"/>
                <w:color w:val="auto"/>
                <w:kern w:val="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6FE8CD1">
            <w:pPr>
              <w:widowControl w:val="0"/>
              <w:adjustRightInd w:val="0"/>
              <w:snapToGrid w:val="0"/>
              <w:spacing w:line="300" w:lineRule="exact"/>
              <w:jc w:val="center"/>
              <w:textAlignment w:val="auto"/>
              <w:rPr>
                <w:rFonts w:eastAsia="宋体"/>
                <w:color w:val="auto"/>
                <w:kern w:val="2"/>
                <w:szCs w:val="21"/>
              </w:rPr>
            </w:pPr>
            <w:r>
              <w:rPr>
                <w:rFonts w:eastAsia="宋体"/>
                <w:color w:val="auto"/>
                <w:kern w:val="2"/>
                <w:szCs w:val="21"/>
              </w:rPr>
              <w:t>银行账号</w:t>
            </w:r>
          </w:p>
        </w:tc>
        <w:tc>
          <w:tcPr>
            <w:tcW w:w="1259" w:type="pct"/>
            <w:tcBorders>
              <w:top w:val="single" w:color="auto" w:sz="2" w:space="0"/>
              <w:left w:val="single" w:color="auto" w:sz="2" w:space="0"/>
              <w:bottom w:val="single" w:color="auto" w:sz="2" w:space="0"/>
            </w:tcBorders>
            <w:vAlign w:val="center"/>
          </w:tcPr>
          <w:p w14:paraId="774A6FDE">
            <w:pPr>
              <w:widowControl w:val="0"/>
              <w:adjustRightInd w:val="0"/>
              <w:snapToGrid w:val="0"/>
              <w:spacing w:line="300" w:lineRule="exact"/>
              <w:jc w:val="center"/>
              <w:textAlignment w:val="auto"/>
              <w:rPr>
                <w:rFonts w:eastAsia="宋体"/>
                <w:color w:val="auto"/>
                <w:spacing w:val="20"/>
                <w:kern w:val="2"/>
                <w:szCs w:val="21"/>
              </w:rPr>
            </w:pPr>
          </w:p>
        </w:tc>
      </w:tr>
      <w:tr w14:paraId="3BC69B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F416C44">
            <w:pPr>
              <w:widowControl w:val="0"/>
              <w:adjustRightInd w:val="0"/>
              <w:snapToGrid w:val="0"/>
              <w:spacing w:before="156" w:beforeLines="50" w:after="0" w:line="360" w:lineRule="auto"/>
              <w:ind w:left="0" w:leftChars="0"/>
              <w:jc w:val="left"/>
              <w:rPr>
                <w:rFonts w:ascii="Times New Roman" w:hAnsi="Times New Roman" w:eastAsia="宋体" w:cs="Times New Roman"/>
                <w:color w:val="auto"/>
                <w:spacing w:val="20"/>
                <w:kern w:val="2"/>
                <w:sz w:val="21"/>
                <w:szCs w:val="21"/>
                <w:lang w:val="en-US" w:eastAsia="zh-CN" w:bidi="ar-SA"/>
              </w:rPr>
            </w:pPr>
            <w:r>
              <w:rPr>
                <w:rFonts w:hint="eastAsia" w:ascii="宋体" w:hAnsi="宋体" w:eastAsia="宋体" w:cs="Times New Roman"/>
                <w:color w:val="auto"/>
                <w:kern w:val="2"/>
                <w:sz w:val="21"/>
                <w:szCs w:val="21"/>
                <w:lang w:val="en-US" w:eastAsia="zh-CN" w:bidi="ar-SA"/>
              </w:rPr>
              <w:t>注：涉及联合体或其他合同主体的信息应按上表格式加列。</w:t>
            </w:r>
          </w:p>
        </w:tc>
      </w:tr>
    </w:tbl>
    <w:p w14:paraId="36242384">
      <w:pPr>
        <w:pStyle w:val="46"/>
        <w:rPr>
          <w:rFonts w:hint="eastAsia" w:ascii="仿宋_GB2312" w:hAnsi="仿宋_GB2312" w:eastAsia="仿宋_GB2312" w:cs="仿宋_GB2312"/>
          <w:color w:val="auto"/>
          <w:kern w:val="2"/>
          <w:sz w:val="32"/>
          <w:szCs w:val="32"/>
          <w:lang w:val="en-US" w:eastAsia="zh-CN"/>
        </w:rPr>
      </w:pPr>
    </w:p>
    <w:p w14:paraId="578A9807">
      <w:pPr>
        <w:pStyle w:val="46"/>
        <w:rPr>
          <w:rFonts w:hint="eastAsia" w:ascii="仿宋_GB2312" w:hAnsi="仿宋_GB2312" w:eastAsia="仿宋_GB2312" w:cs="仿宋_GB2312"/>
          <w:color w:val="auto"/>
          <w:kern w:val="2"/>
          <w:sz w:val="32"/>
          <w:szCs w:val="32"/>
          <w:lang w:val="en-US" w:eastAsia="zh-CN"/>
        </w:rPr>
      </w:pPr>
    </w:p>
    <w:p w14:paraId="69D59103">
      <w:pPr>
        <w:pStyle w:val="46"/>
        <w:rPr>
          <w:rFonts w:hint="eastAsia" w:ascii="仿宋_GB2312" w:hAnsi="仿宋_GB2312" w:eastAsia="仿宋_GB2312" w:cs="仿宋_GB2312"/>
          <w:color w:val="auto"/>
          <w:kern w:val="2"/>
          <w:sz w:val="32"/>
          <w:szCs w:val="32"/>
          <w:lang w:val="en-US" w:eastAsia="zh-CN"/>
        </w:rPr>
      </w:pPr>
    </w:p>
    <w:p w14:paraId="57B5CE9F">
      <w:pPr>
        <w:pStyle w:val="46"/>
        <w:rPr>
          <w:rFonts w:hint="eastAsia" w:ascii="仿宋_GB2312" w:hAnsi="仿宋_GB2312" w:eastAsia="仿宋_GB2312" w:cs="仿宋_GB2312"/>
          <w:color w:val="auto"/>
          <w:kern w:val="2"/>
          <w:sz w:val="32"/>
          <w:szCs w:val="32"/>
          <w:lang w:val="en-US" w:eastAsia="zh-CN"/>
        </w:rPr>
      </w:pPr>
    </w:p>
    <w:p w14:paraId="5E420928">
      <w:pPr>
        <w:pStyle w:val="46"/>
        <w:rPr>
          <w:rFonts w:hint="eastAsia" w:ascii="仿宋_GB2312" w:hAnsi="仿宋_GB2312" w:eastAsia="仿宋_GB2312" w:cs="仿宋_GB2312"/>
          <w:color w:val="auto"/>
          <w:kern w:val="2"/>
          <w:sz w:val="32"/>
          <w:szCs w:val="32"/>
          <w:lang w:val="en-US" w:eastAsia="zh-CN"/>
        </w:rPr>
      </w:pPr>
    </w:p>
    <w:p w14:paraId="1C9FF662">
      <w:pPr>
        <w:pStyle w:val="46"/>
        <w:rPr>
          <w:rFonts w:hint="eastAsia" w:ascii="仿宋_GB2312" w:hAnsi="仿宋_GB2312" w:eastAsia="仿宋_GB2312" w:cs="仿宋_GB2312"/>
          <w:color w:val="auto"/>
          <w:kern w:val="2"/>
          <w:sz w:val="32"/>
          <w:szCs w:val="32"/>
          <w:lang w:val="en-US" w:eastAsia="zh-CN"/>
        </w:rPr>
      </w:pPr>
    </w:p>
    <w:p w14:paraId="0D3A9B85">
      <w:pPr>
        <w:pStyle w:val="46"/>
        <w:rPr>
          <w:rFonts w:hint="eastAsia" w:ascii="仿宋_GB2312" w:hAnsi="仿宋_GB2312" w:eastAsia="仿宋_GB2312" w:cs="仿宋_GB2312"/>
          <w:color w:val="auto"/>
          <w:kern w:val="2"/>
          <w:sz w:val="32"/>
          <w:szCs w:val="32"/>
          <w:lang w:val="en-US" w:eastAsia="zh-CN"/>
        </w:rPr>
      </w:pPr>
    </w:p>
    <w:p w14:paraId="3FB3B6D3">
      <w:pPr>
        <w:pStyle w:val="46"/>
        <w:rPr>
          <w:rFonts w:hint="eastAsia" w:ascii="仿宋_GB2312" w:hAnsi="仿宋_GB2312" w:eastAsia="仿宋_GB2312" w:cs="仿宋_GB2312"/>
          <w:color w:val="auto"/>
          <w:kern w:val="2"/>
          <w:sz w:val="32"/>
          <w:szCs w:val="32"/>
          <w:lang w:val="en-US" w:eastAsia="zh-CN"/>
        </w:rPr>
      </w:pPr>
    </w:p>
    <w:p w14:paraId="3B0179EF">
      <w:pPr>
        <w:pStyle w:val="46"/>
        <w:rPr>
          <w:rFonts w:hint="eastAsia" w:ascii="仿宋_GB2312" w:hAnsi="仿宋_GB2312" w:eastAsia="仿宋_GB2312" w:cs="仿宋_GB2312"/>
          <w:color w:val="auto"/>
          <w:kern w:val="2"/>
          <w:sz w:val="32"/>
          <w:szCs w:val="32"/>
          <w:lang w:val="en-US" w:eastAsia="zh-CN"/>
        </w:rPr>
      </w:pPr>
    </w:p>
    <w:p w14:paraId="35A90DBE">
      <w:pPr>
        <w:pStyle w:val="46"/>
        <w:rPr>
          <w:rFonts w:hint="eastAsia" w:ascii="仿宋_GB2312" w:hAnsi="仿宋_GB2312" w:eastAsia="仿宋_GB2312" w:cs="仿宋_GB2312"/>
          <w:color w:val="auto"/>
          <w:kern w:val="2"/>
          <w:sz w:val="32"/>
          <w:szCs w:val="32"/>
          <w:lang w:val="en-US" w:eastAsia="zh-CN"/>
        </w:rPr>
      </w:pPr>
    </w:p>
    <w:p w14:paraId="52EF6D22">
      <w:pPr>
        <w:pStyle w:val="46"/>
        <w:rPr>
          <w:rFonts w:hint="eastAsia" w:ascii="仿宋_GB2312" w:hAnsi="仿宋_GB2312" w:eastAsia="仿宋_GB2312" w:cs="仿宋_GB2312"/>
          <w:color w:val="auto"/>
          <w:kern w:val="2"/>
          <w:sz w:val="32"/>
          <w:szCs w:val="32"/>
          <w:lang w:val="en-US" w:eastAsia="zh-CN"/>
        </w:rPr>
      </w:pPr>
    </w:p>
    <w:p w14:paraId="2995EC8E">
      <w:pPr>
        <w:pStyle w:val="46"/>
        <w:rPr>
          <w:rFonts w:hint="eastAsia" w:ascii="仿宋_GB2312" w:hAnsi="仿宋_GB2312" w:eastAsia="仿宋_GB2312" w:cs="仿宋_GB2312"/>
          <w:color w:val="auto"/>
          <w:kern w:val="2"/>
          <w:sz w:val="32"/>
          <w:szCs w:val="32"/>
          <w:lang w:val="en-US" w:eastAsia="zh-CN"/>
        </w:rPr>
      </w:pPr>
    </w:p>
    <w:p w14:paraId="11D4108B">
      <w:pPr>
        <w:pStyle w:val="46"/>
        <w:rPr>
          <w:rFonts w:hint="eastAsia" w:ascii="仿宋_GB2312" w:hAnsi="仿宋_GB2312" w:eastAsia="仿宋_GB2312" w:cs="仿宋_GB2312"/>
          <w:color w:val="auto"/>
          <w:kern w:val="2"/>
          <w:sz w:val="32"/>
          <w:szCs w:val="32"/>
          <w:lang w:val="en-US" w:eastAsia="zh-CN"/>
        </w:rPr>
      </w:pPr>
    </w:p>
    <w:p w14:paraId="317CC8CF">
      <w:pPr>
        <w:pStyle w:val="46"/>
        <w:rPr>
          <w:rFonts w:hint="eastAsia" w:ascii="仿宋_GB2312" w:hAnsi="仿宋_GB2312" w:eastAsia="仿宋_GB2312" w:cs="仿宋_GB2312"/>
          <w:color w:val="auto"/>
          <w:kern w:val="2"/>
          <w:sz w:val="32"/>
          <w:szCs w:val="32"/>
          <w:lang w:val="en-US" w:eastAsia="zh-CN"/>
        </w:rPr>
      </w:pPr>
    </w:p>
    <w:p w14:paraId="48140DA1">
      <w:pPr>
        <w:pStyle w:val="46"/>
        <w:rPr>
          <w:rFonts w:hint="eastAsia" w:ascii="仿宋_GB2312" w:hAnsi="仿宋_GB2312" w:eastAsia="仿宋_GB2312" w:cs="仿宋_GB2312"/>
          <w:color w:val="auto"/>
          <w:kern w:val="2"/>
          <w:sz w:val="32"/>
          <w:szCs w:val="32"/>
          <w:lang w:val="en-US" w:eastAsia="zh-CN"/>
        </w:rPr>
      </w:pPr>
    </w:p>
    <w:p w14:paraId="41EBC6BE">
      <w:pPr>
        <w:pStyle w:val="46"/>
        <w:rPr>
          <w:rFonts w:hint="eastAsia" w:ascii="仿宋_GB2312" w:hAnsi="仿宋_GB2312" w:eastAsia="仿宋_GB2312" w:cs="仿宋_GB2312"/>
          <w:color w:val="auto"/>
          <w:kern w:val="2"/>
          <w:sz w:val="32"/>
          <w:szCs w:val="32"/>
          <w:lang w:val="en-US" w:eastAsia="zh-CN"/>
        </w:rPr>
      </w:pPr>
    </w:p>
    <w:p w14:paraId="215F4C88">
      <w:pPr>
        <w:pStyle w:val="46"/>
        <w:rPr>
          <w:rFonts w:hint="eastAsia" w:ascii="仿宋_GB2312" w:hAnsi="仿宋_GB2312" w:eastAsia="仿宋_GB2312" w:cs="仿宋_GB2312"/>
          <w:color w:val="auto"/>
          <w:kern w:val="2"/>
          <w:sz w:val="32"/>
          <w:szCs w:val="32"/>
          <w:lang w:val="en-US" w:eastAsia="zh-CN"/>
        </w:rPr>
      </w:pPr>
    </w:p>
    <w:p w14:paraId="2EEA5C07">
      <w:pPr>
        <w:pStyle w:val="46"/>
        <w:rPr>
          <w:rFonts w:hint="eastAsia" w:ascii="仿宋_GB2312" w:hAnsi="仿宋_GB2312" w:eastAsia="仿宋_GB2312" w:cs="仿宋_GB2312"/>
          <w:color w:val="auto"/>
          <w:kern w:val="2"/>
          <w:sz w:val="32"/>
          <w:szCs w:val="32"/>
          <w:lang w:val="en-US" w:eastAsia="zh-CN"/>
        </w:rPr>
      </w:pPr>
    </w:p>
    <w:p w14:paraId="1903C7BB">
      <w:pPr>
        <w:pStyle w:val="46"/>
        <w:rPr>
          <w:rFonts w:hint="eastAsia" w:ascii="仿宋_GB2312" w:hAnsi="仿宋_GB2312" w:eastAsia="仿宋_GB2312" w:cs="仿宋_GB2312"/>
          <w:color w:val="auto"/>
          <w:kern w:val="2"/>
          <w:sz w:val="32"/>
          <w:szCs w:val="32"/>
          <w:lang w:val="en-US" w:eastAsia="zh-CN"/>
        </w:rPr>
      </w:pPr>
    </w:p>
    <w:p w14:paraId="7CB86011">
      <w:pPr>
        <w:pStyle w:val="46"/>
        <w:rPr>
          <w:rFonts w:hint="eastAsia" w:ascii="仿宋_GB2312" w:hAnsi="仿宋_GB2312" w:eastAsia="仿宋_GB2312" w:cs="仿宋_GB2312"/>
          <w:color w:val="auto"/>
          <w:kern w:val="2"/>
          <w:sz w:val="32"/>
          <w:szCs w:val="32"/>
          <w:lang w:val="en-US" w:eastAsia="zh-CN"/>
        </w:rPr>
      </w:pPr>
    </w:p>
    <w:p w14:paraId="5D63303F">
      <w:pPr>
        <w:pStyle w:val="46"/>
        <w:rPr>
          <w:rFonts w:hint="eastAsia" w:ascii="仿宋_GB2312" w:hAnsi="仿宋_GB2312" w:eastAsia="仿宋_GB2312" w:cs="仿宋_GB2312"/>
          <w:color w:val="auto"/>
          <w:kern w:val="2"/>
          <w:sz w:val="32"/>
          <w:szCs w:val="32"/>
          <w:lang w:val="en-US" w:eastAsia="zh-CN"/>
        </w:rPr>
      </w:pPr>
    </w:p>
    <w:p w14:paraId="05284C8A">
      <w:pPr>
        <w:pStyle w:val="46"/>
        <w:rPr>
          <w:rFonts w:hint="eastAsia" w:ascii="仿宋_GB2312" w:hAnsi="仿宋_GB2312" w:eastAsia="仿宋_GB2312" w:cs="仿宋_GB2312"/>
          <w:color w:val="auto"/>
          <w:kern w:val="2"/>
          <w:sz w:val="32"/>
          <w:szCs w:val="32"/>
          <w:lang w:val="en-US" w:eastAsia="zh-CN"/>
        </w:rPr>
      </w:pPr>
    </w:p>
    <w:p w14:paraId="16BB7970">
      <w:pPr>
        <w:pStyle w:val="46"/>
        <w:rPr>
          <w:rFonts w:hint="eastAsia" w:ascii="仿宋_GB2312" w:hAnsi="仿宋_GB2312" w:eastAsia="仿宋_GB2312" w:cs="仿宋_GB2312"/>
          <w:color w:val="auto"/>
          <w:kern w:val="2"/>
          <w:sz w:val="32"/>
          <w:szCs w:val="32"/>
          <w:lang w:val="en-US" w:eastAsia="zh-CN"/>
        </w:rPr>
      </w:pPr>
    </w:p>
    <w:p w14:paraId="0C472E3C">
      <w:pPr>
        <w:pStyle w:val="46"/>
        <w:rPr>
          <w:rFonts w:hint="eastAsia" w:ascii="仿宋_GB2312" w:hAnsi="仿宋_GB2312" w:eastAsia="仿宋_GB2312" w:cs="仿宋_GB2312"/>
          <w:color w:val="auto"/>
          <w:kern w:val="2"/>
          <w:sz w:val="32"/>
          <w:szCs w:val="32"/>
          <w:lang w:val="en-US" w:eastAsia="zh-CN"/>
        </w:rPr>
      </w:pPr>
    </w:p>
    <w:p w14:paraId="7F5B1C23">
      <w:pPr>
        <w:pStyle w:val="46"/>
        <w:rPr>
          <w:rFonts w:hint="eastAsia" w:ascii="仿宋_GB2312" w:hAnsi="仿宋_GB2312" w:eastAsia="仿宋_GB2312" w:cs="仿宋_GB2312"/>
          <w:color w:val="auto"/>
          <w:kern w:val="2"/>
          <w:sz w:val="32"/>
          <w:szCs w:val="32"/>
          <w:lang w:val="en-US" w:eastAsia="zh-CN"/>
        </w:rPr>
      </w:pPr>
    </w:p>
    <w:p w14:paraId="26404148">
      <w:pPr>
        <w:keepNext/>
        <w:keepLines/>
        <w:widowControl w:val="0"/>
        <w:adjustRightInd w:val="0"/>
        <w:snapToGrid w:val="0"/>
        <w:spacing w:before="156" w:beforeLines="50" w:line="360" w:lineRule="auto"/>
        <w:jc w:val="center"/>
        <w:outlineLvl w:val="1"/>
        <w:rPr>
          <w:rFonts w:ascii="黑体" w:hAnsi="黑体" w:eastAsia="黑体" w:cs="Times New Roman"/>
          <w:b/>
          <w:bCs/>
          <w:color w:val="auto"/>
          <w:kern w:val="2"/>
          <w:sz w:val="28"/>
          <w:szCs w:val="28"/>
          <w:lang w:val="en-US" w:eastAsia="zh-CN" w:bidi="ar-SA"/>
        </w:rPr>
      </w:pPr>
      <w:bookmarkStart w:id="318" w:name="_Toc27624"/>
      <w:r>
        <w:rPr>
          <w:rFonts w:hint="eastAsia" w:ascii="黑体" w:hAnsi="黑体" w:eastAsia="黑体" w:cs="Times New Roman"/>
          <w:b w:val="0"/>
          <w:bCs w:val="0"/>
          <w:color w:val="auto"/>
          <w:kern w:val="2"/>
          <w:sz w:val="28"/>
          <w:szCs w:val="28"/>
          <w:lang w:val="en-US" w:eastAsia="zh-CN" w:bidi="ar-SA"/>
        </w:rPr>
        <w:t>第二节 政府采购合同通用条款</w:t>
      </w:r>
      <w:bookmarkEnd w:id="318"/>
    </w:p>
    <w:p w14:paraId="4E39B271">
      <w:pPr>
        <w:widowControl w:val="0"/>
        <w:tabs>
          <w:tab w:val="left" w:pos="8820"/>
          <w:tab w:val="left" w:pos="9345"/>
          <w:tab w:val="left" w:pos="9765"/>
        </w:tabs>
        <w:adjustRightInd w:val="0"/>
        <w:snapToGrid w:val="0"/>
        <w:spacing w:before="0" w:line="400" w:lineRule="exact"/>
        <w:jc w:val="left"/>
        <w:textAlignment w:val="auto"/>
        <w:rPr>
          <w:rFonts w:ascii="宋体" w:hAnsi="宋体" w:eastAsia="宋体"/>
          <w:b/>
          <w:bCs/>
          <w:color w:val="auto"/>
          <w:kern w:val="2"/>
          <w:sz w:val="24"/>
          <w:szCs w:val="24"/>
        </w:rPr>
      </w:pPr>
      <w:r>
        <w:rPr>
          <w:rFonts w:hint="eastAsia" w:ascii="宋体" w:hAnsi="宋体" w:eastAsia="宋体"/>
          <w:b/>
          <w:color w:val="auto"/>
          <w:kern w:val="2"/>
          <w:sz w:val="24"/>
          <w:szCs w:val="24"/>
        </w:rPr>
        <w:t>1.</w:t>
      </w:r>
      <w:r>
        <w:rPr>
          <w:rFonts w:hint="eastAsia" w:ascii="宋体" w:hAnsi="宋体" w:eastAsia="宋体"/>
          <w:b/>
          <w:color w:val="auto"/>
          <w:kern w:val="2"/>
          <w:sz w:val="24"/>
          <w:szCs w:val="24"/>
          <w:lang w:val="en-US" w:eastAsia="zh-CN"/>
        </w:rPr>
        <w:t xml:space="preserve"> </w:t>
      </w:r>
      <w:r>
        <w:rPr>
          <w:rFonts w:hint="eastAsia" w:ascii="宋体" w:hAnsi="宋体" w:eastAsia="宋体"/>
          <w:b/>
          <w:bCs/>
          <w:color w:val="auto"/>
          <w:kern w:val="2"/>
          <w:sz w:val="24"/>
          <w:szCs w:val="24"/>
        </w:rPr>
        <w:t>定义</w:t>
      </w:r>
    </w:p>
    <w:p w14:paraId="7F84F28E">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1.1合同当事人</w:t>
      </w:r>
    </w:p>
    <w:p w14:paraId="4DCFB3F6">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（1）采购人（以下称甲方）是指使用财政性资金，通过政府采购方式向供应商购买货物</w:t>
      </w:r>
      <w:r>
        <w:rPr>
          <w:rFonts w:hint="eastAsia" w:ascii="宋体" w:hAnsi="宋体" w:eastAsia="宋体"/>
          <w:color w:val="auto"/>
          <w:kern w:val="2"/>
          <w:szCs w:val="21"/>
          <w:highlight w:val="none"/>
          <w:lang w:val="en-US" w:eastAsia="zh-CN"/>
        </w:rPr>
        <w:t>及其相关服务的</w:t>
      </w:r>
      <w:r>
        <w:rPr>
          <w:rFonts w:hint="eastAsia" w:ascii="宋体" w:hAnsi="宋体" w:eastAsia="宋体"/>
          <w:color w:val="auto"/>
          <w:kern w:val="2"/>
          <w:szCs w:val="21"/>
          <w:highlight w:val="none"/>
        </w:rPr>
        <w:t>国家机关、事业单位、团体组织。</w:t>
      </w:r>
    </w:p>
    <w:p w14:paraId="02016DD2">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（2）供应商（以下称</w:t>
      </w:r>
      <w:r>
        <w:rPr>
          <w:rFonts w:hint="eastAsia" w:ascii="宋体" w:hAnsi="宋体" w:eastAsia="宋体"/>
          <w:color w:val="auto"/>
          <w:kern w:val="2"/>
          <w:szCs w:val="21"/>
          <w:highlight w:val="none"/>
          <w:lang w:eastAsia="zh-CN"/>
        </w:rPr>
        <w:t>乙</w:t>
      </w:r>
      <w:r>
        <w:rPr>
          <w:rFonts w:hint="eastAsia" w:ascii="宋体" w:hAnsi="宋体" w:eastAsia="宋体"/>
          <w:color w:val="auto"/>
          <w:kern w:val="2"/>
          <w:szCs w:val="21"/>
          <w:highlight w:val="none"/>
        </w:rPr>
        <w:t>方）是指参加政府采购活动并且中标（成交），向采购人提供</w:t>
      </w:r>
      <w:r>
        <w:rPr>
          <w:rFonts w:hint="eastAsia" w:ascii="宋体" w:hAnsi="宋体" w:eastAsia="宋体"/>
          <w:color w:val="auto"/>
          <w:kern w:val="2"/>
          <w:szCs w:val="21"/>
          <w:highlight w:val="none"/>
          <w:lang w:val="en-US" w:eastAsia="zh-CN"/>
        </w:rPr>
        <w:t>合同约定的货物及其相关服务的法人、非法人组织或者自然人</w:t>
      </w:r>
      <w:r>
        <w:rPr>
          <w:rFonts w:hint="eastAsia" w:ascii="宋体" w:hAnsi="宋体" w:eastAsia="宋体"/>
          <w:color w:val="auto"/>
          <w:kern w:val="2"/>
          <w:szCs w:val="21"/>
          <w:highlight w:val="none"/>
        </w:rPr>
        <w:t>。</w:t>
      </w:r>
    </w:p>
    <w:p w14:paraId="6144FC7C">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（3）其他合同主体是指除采购人和供应商以外，</w:t>
      </w:r>
      <w:r>
        <w:rPr>
          <w:rFonts w:hint="eastAsia" w:ascii="宋体" w:hAnsi="宋体" w:eastAsia="宋体" w:cs="宋体"/>
          <w:bCs/>
          <w:color w:val="auto"/>
          <w:kern w:val="2"/>
          <w:szCs w:val="21"/>
        </w:rPr>
        <w:t>依法参与合同缔结或履行，享有权利、承担义务的合同当事人</w:t>
      </w:r>
      <w:r>
        <w:rPr>
          <w:rFonts w:hint="eastAsia" w:ascii="宋体" w:hAnsi="宋体" w:eastAsia="宋体"/>
          <w:color w:val="auto"/>
          <w:kern w:val="2"/>
          <w:szCs w:val="21"/>
          <w:highlight w:val="none"/>
        </w:rPr>
        <w:t>。</w:t>
      </w:r>
    </w:p>
    <w:p w14:paraId="3B7B96C3">
      <w:pPr>
        <w:widowControl w:val="0"/>
        <w:tabs>
          <w:tab w:val="left" w:pos="570"/>
          <w:tab w:val="left" w:pos="9240"/>
          <w:tab w:val="left" w:pos="9555"/>
        </w:tabs>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1.2本合同下列术语应解释为：</w:t>
      </w:r>
    </w:p>
    <w:p w14:paraId="04827E4D">
      <w:pPr>
        <w:widowControl w:val="0"/>
        <w:adjustRightInd w:val="0"/>
        <w:snapToGrid w:val="0"/>
        <w:spacing w:before="0" w:beforeLines="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（1）“合同”系指</w:t>
      </w:r>
      <w:r>
        <w:rPr>
          <w:rFonts w:hint="eastAsia" w:ascii="宋体" w:hAnsi="宋体" w:eastAsia="宋体" w:cs="宋体"/>
          <w:bCs/>
          <w:color w:val="auto"/>
          <w:kern w:val="2"/>
          <w:szCs w:val="21"/>
        </w:rPr>
        <w:t>合同当事人意思表示达成一致的任何协议，包括签署的</w:t>
      </w:r>
      <w:r>
        <w:rPr>
          <w:rFonts w:hint="eastAsia" w:ascii="宋体" w:hAnsi="宋体" w:eastAsia="宋体"/>
          <w:color w:val="auto"/>
          <w:kern w:val="2"/>
          <w:szCs w:val="21"/>
          <w:lang w:eastAsia="zh-CN"/>
        </w:rPr>
        <w:t>政府采购</w:t>
      </w:r>
      <w:r>
        <w:rPr>
          <w:rFonts w:hint="eastAsia" w:ascii="宋体" w:hAnsi="宋体" w:eastAsia="宋体"/>
          <w:color w:val="auto"/>
          <w:kern w:val="2"/>
          <w:szCs w:val="21"/>
        </w:rPr>
        <w:t>合同协议书及其变更、补充</w:t>
      </w:r>
      <w:r>
        <w:rPr>
          <w:rFonts w:hint="eastAsia" w:ascii="宋体" w:hAnsi="宋体" w:eastAsia="宋体"/>
          <w:color w:val="auto"/>
          <w:kern w:val="2"/>
          <w:szCs w:val="21"/>
          <w:lang w:eastAsia="zh-CN"/>
        </w:rPr>
        <w:t>协议，</w:t>
      </w:r>
      <w:r>
        <w:rPr>
          <w:rFonts w:hint="eastAsia" w:ascii="宋体" w:hAnsi="宋体" w:eastAsia="宋体"/>
          <w:color w:val="auto"/>
          <w:kern w:val="2"/>
          <w:szCs w:val="21"/>
        </w:rPr>
        <w:t>政府采购合同专用条款</w:t>
      </w:r>
      <w:r>
        <w:rPr>
          <w:rFonts w:hint="eastAsia" w:ascii="宋体" w:hAnsi="宋体" w:eastAsia="宋体"/>
          <w:color w:val="auto"/>
          <w:kern w:val="2"/>
          <w:szCs w:val="21"/>
          <w:lang w:eastAsia="zh-CN"/>
        </w:rPr>
        <w:t>，</w:t>
      </w:r>
      <w:r>
        <w:rPr>
          <w:rFonts w:hint="eastAsia" w:ascii="宋体" w:hAnsi="宋体" w:eastAsia="宋体"/>
          <w:color w:val="auto"/>
          <w:kern w:val="2"/>
          <w:szCs w:val="21"/>
        </w:rPr>
        <w:t>政府采购合同通用条款</w:t>
      </w:r>
      <w:r>
        <w:rPr>
          <w:rFonts w:hint="eastAsia" w:ascii="宋体" w:hAnsi="宋体" w:eastAsia="宋体"/>
          <w:color w:val="auto"/>
          <w:kern w:val="2"/>
          <w:szCs w:val="21"/>
          <w:lang w:eastAsia="zh-CN"/>
        </w:rPr>
        <w:t>，</w:t>
      </w:r>
      <w:r>
        <w:rPr>
          <w:rFonts w:hint="eastAsia" w:ascii="宋体" w:hAnsi="宋体" w:eastAsia="宋体"/>
          <w:color w:val="auto"/>
          <w:kern w:val="2"/>
          <w:szCs w:val="21"/>
        </w:rPr>
        <w:t>中标</w:t>
      </w:r>
      <w:r>
        <w:rPr>
          <w:rFonts w:hint="eastAsia" w:ascii="宋体" w:hAnsi="宋体" w:eastAsia="宋体"/>
          <w:color w:val="auto"/>
          <w:kern w:val="2"/>
          <w:szCs w:val="21"/>
          <w:lang w:eastAsia="zh-CN"/>
        </w:rPr>
        <w:t>（成交）</w:t>
      </w:r>
      <w:r>
        <w:rPr>
          <w:rFonts w:hint="eastAsia" w:ascii="宋体" w:hAnsi="宋体" w:eastAsia="宋体"/>
          <w:color w:val="auto"/>
          <w:kern w:val="2"/>
          <w:szCs w:val="21"/>
        </w:rPr>
        <w:t>通知书</w:t>
      </w:r>
      <w:r>
        <w:rPr>
          <w:rFonts w:hint="eastAsia" w:ascii="宋体" w:hAnsi="宋体" w:eastAsia="宋体"/>
          <w:color w:val="auto"/>
          <w:kern w:val="2"/>
          <w:szCs w:val="21"/>
          <w:lang w:eastAsia="zh-CN"/>
        </w:rPr>
        <w:t>，</w:t>
      </w:r>
      <w:r>
        <w:rPr>
          <w:rFonts w:hint="eastAsia" w:ascii="宋体" w:hAnsi="宋体" w:eastAsia="宋体"/>
          <w:color w:val="auto"/>
          <w:kern w:val="2"/>
          <w:szCs w:val="21"/>
        </w:rPr>
        <w:t>投标（响应）文件</w:t>
      </w:r>
      <w:r>
        <w:rPr>
          <w:rFonts w:hint="eastAsia" w:ascii="宋体" w:hAnsi="宋体" w:eastAsia="宋体"/>
          <w:color w:val="auto"/>
          <w:kern w:val="2"/>
          <w:szCs w:val="21"/>
          <w:lang w:eastAsia="zh-CN"/>
        </w:rPr>
        <w:t>，</w:t>
      </w:r>
      <w:r>
        <w:rPr>
          <w:rFonts w:hint="eastAsia" w:ascii="宋体" w:hAnsi="宋体" w:eastAsia="宋体"/>
          <w:color w:val="auto"/>
          <w:kern w:val="2"/>
          <w:szCs w:val="21"/>
        </w:rPr>
        <w:t>采购文件</w:t>
      </w:r>
      <w:r>
        <w:rPr>
          <w:rFonts w:hint="eastAsia" w:ascii="宋体" w:hAnsi="宋体" w:eastAsia="宋体"/>
          <w:color w:val="auto"/>
          <w:kern w:val="2"/>
          <w:szCs w:val="21"/>
          <w:lang w:eastAsia="zh-CN"/>
        </w:rPr>
        <w:t>，</w:t>
      </w:r>
      <w:r>
        <w:rPr>
          <w:rFonts w:hint="eastAsia" w:ascii="宋体" w:hAnsi="宋体" w:eastAsia="宋体"/>
          <w:color w:val="auto"/>
          <w:kern w:val="2"/>
          <w:szCs w:val="21"/>
        </w:rPr>
        <w:t>有关技术文件</w:t>
      </w:r>
      <w:r>
        <w:rPr>
          <w:rFonts w:hint="eastAsia" w:ascii="宋体" w:hAnsi="宋体" w:eastAsia="宋体"/>
          <w:color w:val="auto"/>
          <w:kern w:val="2"/>
          <w:szCs w:val="21"/>
          <w:lang w:eastAsia="zh-CN"/>
        </w:rPr>
        <w:t>和</w:t>
      </w:r>
      <w:r>
        <w:rPr>
          <w:rFonts w:hint="eastAsia" w:ascii="宋体" w:hAnsi="宋体" w:eastAsia="宋体"/>
          <w:color w:val="auto"/>
          <w:kern w:val="2"/>
          <w:szCs w:val="21"/>
        </w:rPr>
        <w:t>图纸</w:t>
      </w:r>
      <w:r>
        <w:rPr>
          <w:rFonts w:hint="eastAsia" w:ascii="宋体" w:hAnsi="宋体" w:eastAsia="宋体"/>
          <w:color w:val="auto"/>
          <w:kern w:val="2"/>
          <w:szCs w:val="21"/>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kern w:val="2"/>
          <w:szCs w:val="21"/>
          <w:highlight w:val="none"/>
        </w:rPr>
        <w:t>。</w:t>
      </w:r>
    </w:p>
    <w:p w14:paraId="671CA7EB">
      <w:pPr>
        <w:widowControl w:val="0"/>
        <w:tabs>
          <w:tab w:val="left" w:pos="570"/>
          <w:tab w:val="left" w:pos="9240"/>
          <w:tab w:val="left" w:pos="9555"/>
        </w:tabs>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val="en-US" w:eastAsia="zh-CN"/>
        </w:rPr>
        <w:t>2</w:t>
      </w:r>
      <w:r>
        <w:rPr>
          <w:rFonts w:hint="eastAsia" w:ascii="宋体" w:hAnsi="宋体" w:eastAsia="宋体"/>
          <w:color w:val="auto"/>
          <w:kern w:val="2"/>
          <w:szCs w:val="21"/>
          <w:highlight w:val="none"/>
        </w:rPr>
        <w:t>）“合同价</w:t>
      </w:r>
      <w:r>
        <w:rPr>
          <w:rFonts w:hint="eastAsia" w:ascii="宋体" w:hAnsi="宋体" w:eastAsia="宋体"/>
          <w:color w:val="auto"/>
          <w:kern w:val="2"/>
          <w:szCs w:val="21"/>
          <w:highlight w:val="none"/>
          <w:lang w:val="en-US" w:eastAsia="zh-CN"/>
        </w:rPr>
        <w:t>款</w:t>
      </w:r>
      <w:r>
        <w:rPr>
          <w:rFonts w:hint="eastAsia" w:ascii="宋体" w:hAnsi="宋体" w:eastAsia="宋体"/>
          <w:color w:val="auto"/>
          <w:kern w:val="2"/>
          <w:szCs w:val="21"/>
          <w:highlight w:val="none"/>
        </w:rPr>
        <w:t>”系指根据本合同规定乙方在全面履行合同义务后甲方应支付给乙方的价款。</w:t>
      </w:r>
    </w:p>
    <w:p w14:paraId="7CBBD5BB">
      <w:pPr>
        <w:widowControl w:val="0"/>
        <w:tabs>
          <w:tab w:val="left" w:pos="570"/>
          <w:tab w:val="left" w:pos="9240"/>
          <w:tab w:val="left" w:pos="9555"/>
        </w:tabs>
        <w:adjustRightInd w:val="0"/>
        <w:snapToGrid w:val="0"/>
        <w:spacing w:before="0" w:line="400" w:lineRule="exact"/>
        <w:ind w:firstLine="420" w:firstLineChars="200"/>
        <w:jc w:val="left"/>
        <w:textAlignment w:val="auto"/>
        <w:rPr>
          <w:rFonts w:hint="eastAsia" w:ascii="宋体" w:hAnsi="宋体" w:eastAsia="宋体"/>
          <w:color w:val="auto"/>
          <w:kern w:val="2"/>
          <w:szCs w:val="21"/>
          <w:highlight w:val="none"/>
          <w:lang w:eastAsia="zh-CN"/>
        </w:rPr>
      </w:pP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val="en-US" w:eastAsia="zh-CN"/>
        </w:rPr>
        <w:t>3</w:t>
      </w:r>
      <w:r>
        <w:rPr>
          <w:rFonts w:hint="eastAsia" w:ascii="宋体" w:hAnsi="宋体" w:eastAsia="宋体"/>
          <w:color w:val="auto"/>
          <w:kern w:val="2"/>
          <w:szCs w:val="21"/>
          <w:highlight w:val="none"/>
        </w:rPr>
        <w:t>）“货物”系指乙方根据本合同规定须向甲方提供的各种形态和种类的物品，包括原材料、设备、产品（包括软件）及相关的其备品备件、工具、手册及</w:t>
      </w:r>
      <w:r>
        <w:rPr>
          <w:rFonts w:hint="default" w:ascii="宋体" w:hAnsi="宋体" w:eastAsia="宋体"/>
          <w:color w:val="auto"/>
          <w:kern w:val="2"/>
          <w:szCs w:val="21"/>
          <w:highlight w:val="none"/>
          <w:lang w:val="en"/>
        </w:rPr>
        <w:t>其他</w:t>
      </w:r>
      <w:r>
        <w:rPr>
          <w:rFonts w:hint="eastAsia" w:ascii="宋体" w:hAnsi="宋体" w:eastAsia="宋体"/>
          <w:color w:val="auto"/>
          <w:kern w:val="2"/>
          <w:szCs w:val="21"/>
          <w:highlight w:val="none"/>
        </w:rPr>
        <w:t>技术资料和材料</w:t>
      </w:r>
      <w:r>
        <w:rPr>
          <w:rFonts w:hint="eastAsia" w:ascii="宋体" w:hAnsi="宋体" w:eastAsia="宋体"/>
          <w:color w:val="auto"/>
          <w:kern w:val="2"/>
          <w:szCs w:val="21"/>
          <w:highlight w:val="none"/>
          <w:lang w:eastAsia="zh-CN"/>
        </w:rPr>
        <w:t>等</w:t>
      </w:r>
      <w:r>
        <w:rPr>
          <w:rFonts w:hint="eastAsia" w:ascii="宋体" w:hAnsi="宋体" w:eastAsia="宋体"/>
          <w:color w:val="auto"/>
          <w:kern w:val="2"/>
          <w:szCs w:val="21"/>
          <w:highlight w:val="none"/>
        </w:rPr>
        <w:t>。</w:t>
      </w:r>
    </w:p>
    <w:p w14:paraId="41140D88">
      <w:pPr>
        <w:widowControl w:val="0"/>
        <w:adjustRightInd w:val="0"/>
        <w:snapToGrid w:val="0"/>
        <w:spacing w:before="0" w:line="400" w:lineRule="exact"/>
        <w:ind w:firstLine="420" w:firstLineChars="200"/>
        <w:jc w:val="left"/>
        <w:textAlignment w:val="auto"/>
        <w:rPr>
          <w:rFonts w:hint="eastAsia" w:ascii="宋体" w:hAnsi="宋体" w:eastAsia="宋体"/>
          <w:color w:val="auto"/>
          <w:kern w:val="2"/>
          <w:szCs w:val="21"/>
          <w:highlight w:val="yellow"/>
          <w:lang w:eastAsia="zh-CN"/>
        </w:rPr>
      </w:pP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val="en-US" w:eastAsia="zh-CN"/>
        </w:rPr>
        <w:t>4</w:t>
      </w: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val="en-US" w:eastAsia="zh-CN"/>
        </w:rPr>
        <w:t>相关</w:t>
      </w:r>
      <w:r>
        <w:rPr>
          <w:rFonts w:hint="eastAsia" w:ascii="宋体" w:hAnsi="宋体" w:eastAsia="宋体"/>
          <w:color w:val="auto"/>
          <w:kern w:val="2"/>
          <w:szCs w:val="21"/>
          <w:highlight w:val="none"/>
        </w:rPr>
        <w:t>服务”系指根据合同规定，乙方应提供的</w:t>
      </w:r>
      <w:r>
        <w:rPr>
          <w:rFonts w:hint="eastAsia" w:ascii="宋体" w:hAnsi="宋体" w:eastAsia="宋体"/>
          <w:color w:val="auto"/>
          <w:kern w:val="2"/>
          <w:szCs w:val="21"/>
          <w:highlight w:val="none"/>
          <w:lang w:val="en-US" w:eastAsia="zh-CN"/>
        </w:rPr>
        <w:t>与货物有关的</w:t>
      </w:r>
      <w:r>
        <w:rPr>
          <w:rFonts w:hint="eastAsia" w:ascii="宋体" w:hAnsi="宋体" w:eastAsia="宋体"/>
          <w:color w:val="auto"/>
          <w:kern w:val="2"/>
          <w:szCs w:val="21"/>
          <w:highlight w:val="none"/>
        </w:rPr>
        <w:t>技术、管理和</w:t>
      </w:r>
      <w:r>
        <w:rPr>
          <w:rFonts w:hint="default" w:ascii="宋体" w:hAnsi="宋体" w:eastAsia="宋体"/>
          <w:color w:val="auto"/>
          <w:kern w:val="2"/>
          <w:szCs w:val="21"/>
          <w:highlight w:val="none"/>
          <w:lang w:val="en"/>
        </w:rPr>
        <w:t>其他</w:t>
      </w:r>
      <w:r>
        <w:rPr>
          <w:rFonts w:hint="eastAsia" w:ascii="宋体" w:hAnsi="宋体" w:eastAsia="宋体"/>
          <w:color w:val="auto"/>
          <w:kern w:val="2"/>
          <w:szCs w:val="21"/>
          <w:highlight w:val="none"/>
        </w:rPr>
        <w:t>服务，包括但不限于：管理和质量保证、运输、保险、检验、现场准备、安装、集成、调试、培训、维修、</w:t>
      </w:r>
      <w:r>
        <w:rPr>
          <w:rFonts w:hint="eastAsia" w:ascii="宋体" w:hAnsi="宋体" w:eastAsia="宋体"/>
          <w:color w:val="auto"/>
          <w:kern w:val="2"/>
          <w:szCs w:val="21"/>
          <w:highlight w:val="none"/>
          <w:lang w:eastAsia="zh-CN"/>
        </w:rPr>
        <w:t>废弃处置、</w:t>
      </w:r>
      <w:r>
        <w:rPr>
          <w:rFonts w:hint="eastAsia" w:ascii="宋体" w:hAnsi="宋体" w:eastAsia="宋体"/>
          <w:color w:val="auto"/>
          <w:kern w:val="2"/>
          <w:szCs w:val="21"/>
          <w:highlight w:val="none"/>
        </w:rPr>
        <w:t>技术支持等以及合同中规定乙方应承担的</w:t>
      </w:r>
      <w:r>
        <w:rPr>
          <w:rFonts w:hint="default" w:ascii="宋体" w:hAnsi="宋体" w:eastAsia="宋体"/>
          <w:color w:val="auto"/>
          <w:kern w:val="2"/>
          <w:szCs w:val="21"/>
          <w:highlight w:val="none"/>
          <w:lang w:val="en"/>
        </w:rPr>
        <w:t>其他</w:t>
      </w:r>
      <w:r>
        <w:rPr>
          <w:rFonts w:hint="eastAsia" w:ascii="宋体" w:hAnsi="宋体" w:eastAsia="宋体"/>
          <w:color w:val="auto"/>
          <w:kern w:val="2"/>
          <w:szCs w:val="21"/>
          <w:highlight w:val="none"/>
        </w:rPr>
        <w:t>义务。</w:t>
      </w:r>
    </w:p>
    <w:p w14:paraId="2CAFE876">
      <w:pPr>
        <w:widowControl w:val="0"/>
        <w:adjustRightInd w:val="0"/>
        <w:snapToGrid w:val="0"/>
        <w:spacing w:before="0" w:line="400" w:lineRule="exact"/>
        <w:ind w:firstLine="420" w:firstLineChars="200"/>
        <w:jc w:val="left"/>
        <w:textAlignment w:val="auto"/>
        <w:rPr>
          <w:rFonts w:hint="eastAsia" w:ascii="宋体" w:hAnsi="宋体" w:eastAsia="宋体"/>
          <w:color w:val="auto"/>
          <w:kern w:val="2"/>
          <w:szCs w:val="21"/>
          <w:highlight w:val="yellow"/>
          <w:lang w:eastAsia="zh-CN"/>
        </w:rPr>
      </w:pP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val="en-US" w:eastAsia="zh-CN"/>
        </w:rPr>
        <w:t>5</w:t>
      </w:r>
      <w:r>
        <w:rPr>
          <w:rFonts w:hint="eastAsia" w:ascii="宋体" w:hAnsi="宋体" w:eastAsia="宋体"/>
          <w:color w:val="auto"/>
          <w:kern w:val="2"/>
          <w:szCs w:val="21"/>
          <w:highlight w:val="none"/>
        </w:rPr>
        <w:t>）“分包”系指中标</w:t>
      </w:r>
      <w:r>
        <w:rPr>
          <w:rFonts w:hint="eastAsia" w:ascii="宋体" w:hAnsi="宋体" w:eastAsia="宋体"/>
          <w:color w:val="auto"/>
          <w:kern w:val="2"/>
          <w:szCs w:val="21"/>
          <w:highlight w:val="none"/>
          <w:lang w:eastAsia="zh-CN"/>
        </w:rPr>
        <w:t>（</w:t>
      </w:r>
      <w:r>
        <w:rPr>
          <w:rFonts w:hint="eastAsia" w:ascii="宋体" w:hAnsi="宋体" w:eastAsia="宋体"/>
          <w:color w:val="auto"/>
          <w:kern w:val="2"/>
          <w:szCs w:val="21"/>
          <w:highlight w:val="none"/>
        </w:rPr>
        <w:t>成交</w:t>
      </w:r>
      <w:r>
        <w:rPr>
          <w:rFonts w:hint="eastAsia" w:ascii="宋体" w:hAnsi="宋体" w:eastAsia="宋体"/>
          <w:color w:val="auto"/>
          <w:kern w:val="2"/>
          <w:szCs w:val="21"/>
          <w:highlight w:val="none"/>
          <w:lang w:eastAsia="zh-CN"/>
        </w:rPr>
        <w:t>）</w:t>
      </w:r>
      <w:r>
        <w:rPr>
          <w:rFonts w:hint="eastAsia" w:ascii="宋体" w:hAnsi="宋体" w:eastAsia="宋体"/>
          <w:color w:val="auto"/>
          <w:kern w:val="2"/>
          <w:szCs w:val="21"/>
          <w:highlight w:val="none"/>
        </w:rPr>
        <w:t>供应商按采购文件、投标（响应）文件的规定，根据分包意向协议，将中标</w:t>
      </w:r>
      <w:r>
        <w:rPr>
          <w:rFonts w:hint="eastAsia" w:ascii="宋体" w:hAnsi="宋体" w:eastAsia="宋体"/>
          <w:color w:val="auto"/>
          <w:kern w:val="2"/>
          <w:szCs w:val="21"/>
          <w:highlight w:val="none"/>
          <w:lang w:eastAsia="zh-CN"/>
        </w:rPr>
        <w:t>（</w:t>
      </w:r>
      <w:r>
        <w:rPr>
          <w:rFonts w:hint="eastAsia" w:ascii="宋体" w:hAnsi="宋体" w:eastAsia="宋体"/>
          <w:color w:val="auto"/>
          <w:kern w:val="2"/>
          <w:szCs w:val="21"/>
          <w:highlight w:val="none"/>
        </w:rPr>
        <w:t>成交</w:t>
      </w:r>
      <w:r>
        <w:rPr>
          <w:rFonts w:hint="eastAsia" w:ascii="宋体" w:hAnsi="宋体" w:eastAsia="宋体"/>
          <w:color w:val="auto"/>
          <w:kern w:val="2"/>
          <w:szCs w:val="21"/>
          <w:highlight w:val="none"/>
          <w:lang w:eastAsia="zh-CN"/>
        </w:rPr>
        <w:t>）</w:t>
      </w:r>
      <w:r>
        <w:rPr>
          <w:rFonts w:hint="eastAsia" w:ascii="宋体" w:hAnsi="宋体" w:eastAsia="宋体"/>
          <w:color w:val="auto"/>
          <w:kern w:val="2"/>
          <w:szCs w:val="21"/>
          <w:highlight w:val="none"/>
        </w:rPr>
        <w:t>项目中的部分履约内容，分给具有相应资质条件的供应商履行合同的行为。</w:t>
      </w:r>
    </w:p>
    <w:p w14:paraId="54E98C56">
      <w:pPr>
        <w:widowControl w:val="0"/>
        <w:tabs>
          <w:tab w:val="left" w:pos="570"/>
          <w:tab w:val="left" w:pos="9240"/>
          <w:tab w:val="left" w:pos="9555"/>
        </w:tabs>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val="en-US" w:eastAsia="zh-CN"/>
        </w:rPr>
        <w:t>6</w:t>
      </w:r>
      <w:r>
        <w:rPr>
          <w:rFonts w:hint="eastAsia" w:ascii="宋体" w:hAnsi="宋体" w:eastAsia="宋体"/>
          <w:color w:val="auto"/>
          <w:kern w:val="2"/>
          <w:szCs w:val="21"/>
          <w:highlight w:val="none"/>
        </w:rPr>
        <w:t>）</w:t>
      </w:r>
      <w:r>
        <w:rPr>
          <w:rFonts w:hint="eastAsia" w:ascii="宋体" w:hAnsi="宋体" w:eastAsia="宋体"/>
          <w:color w:val="auto"/>
          <w:kern w:val="2"/>
          <w:szCs w:val="21"/>
        </w:rPr>
        <w:t>“联合体”系指</w:t>
      </w:r>
      <w:r>
        <w:rPr>
          <w:rFonts w:hint="eastAsia" w:ascii="宋体" w:hAnsi="宋体" w:eastAsia="宋体"/>
          <w:color w:val="auto"/>
          <w:kern w:val="2"/>
          <w:szCs w:val="21"/>
          <w:lang w:eastAsia="zh-CN"/>
        </w:rPr>
        <w:t>由</w:t>
      </w:r>
      <w:r>
        <w:rPr>
          <w:rFonts w:hint="eastAsia" w:ascii="宋体" w:hAnsi="宋体" w:eastAsia="宋体"/>
          <w:color w:val="auto"/>
          <w:kern w:val="2"/>
          <w:szCs w:val="21"/>
        </w:rPr>
        <w:t>两个以上的自然人、法人或者</w:t>
      </w:r>
      <w:r>
        <w:rPr>
          <w:rFonts w:hint="eastAsia" w:ascii="宋体" w:hAnsi="宋体" w:eastAsia="宋体"/>
          <w:color w:val="auto"/>
          <w:kern w:val="2"/>
          <w:szCs w:val="21"/>
          <w:lang w:val="en-US" w:eastAsia="zh-CN"/>
        </w:rPr>
        <w:t>非法人</w:t>
      </w:r>
      <w:r>
        <w:rPr>
          <w:rFonts w:hint="eastAsia" w:ascii="宋体" w:hAnsi="宋体" w:eastAsia="宋体"/>
          <w:color w:val="auto"/>
          <w:kern w:val="2"/>
          <w:szCs w:val="21"/>
        </w:rPr>
        <w:t>组织组成，</w:t>
      </w:r>
      <w:r>
        <w:rPr>
          <w:rFonts w:hint="eastAsia" w:ascii="宋体" w:hAnsi="宋体" w:eastAsia="宋体"/>
          <w:color w:val="auto"/>
          <w:kern w:val="2"/>
          <w:szCs w:val="21"/>
          <w:lang w:eastAsia="zh-CN"/>
        </w:rPr>
        <w:t>以一个供应商的身份共同参加政府采购的主体</w:t>
      </w:r>
      <w:r>
        <w:rPr>
          <w:rFonts w:hint="eastAsia" w:ascii="宋体" w:hAnsi="宋体" w:eastAsia="宋体"/>
          <w:color w:val="auto"/>
          <w:kern w:val="2"/>
          <w:szCs w:val="21"/>
          <w:highlight w:val="none"/>
          <w:lang w:eastAsia="zh-CN"/>
        </w:rPr>
        <w:t>。</w:t>
      </w:r>
      <w:r>
        <w:rPr>
          <w:rFonts w:hint="eastAsia" w:ascii="宋体" w:hAnsi="宋体" w:eastAsia="宋体"/>
          <w:color w:val="auto"/>
          <w:kern w:val="2"/>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auto"/>
          <w:kern w:val="2"/>
          <w:szCs w:val="21"/>
          <w:highlight w:val="none"/>
          <w:lang w:eastAsia="zh-CN"/>
        </w:rPr>
        <w:t>甲方</w:t>
      </w:r>
      <w:r>
        <w:rPr>
          <w:rFonts w:hint="eastAsia" w:ascii="宋体" w:hAnsi="宋体" w:eastAsia="宋体"/>
          <w:color w:val="auto"/>
          <w:kern w:val="2"/>
          <w:szCs w:val="21"/>
          <w:highlight w:val="none"/>
        </w:rPr>
        <w:t>承担连带责任。联合体具体要求见【</w:t>
      </w:r>
      <w:r>
        <w:rPr>
          <w:rFonts w:hint="eastAsia" w:ascii="宋体" w:hAnsi="宋体" w:eastAsia="宋体"/>
          <w:b/>
          <w:bCs/>
          <w:color w:val="auto"/>
          <w:kern w:val="2"/>
          <w:szCs w:val="21"/>
          <w:highlight w:val="none"/>
        </w:rPr>
        <w:t>政府采购合同专用条款</w:t>
      </w:r>
      <w:r>
        <w:rPr>
          <w:rFonts w:hint="eastAsia" w:ascii="宋体" w:hAnsi="宋体" w:eastAsia="宋体"/>
          <w:color w:val="auto"/>
          <w:kern w:val="2"/>
          <w:szCs w:val="21"/>
          <w:highlight w:val="none"/>
        </w:rPr>
        <w:t>】。</w:t>
      </w:r>
    </w:p>
    <w:p w14:paraId="73521B8E">
      <w:pPr>
        <w:widowControl w:val="0"/>
        <w:tabs>
          <w:tab w:val="left" w:pos="570"/>
          <w:tab w:val="left" w:pos="9240"/>
          <w:tab w:val="left" w:pos="9555"/>
        </w:tabs>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val="en-US" w:eastAsia="zh-CN"/>
        </w:rPr>
        <w:t>7</w:t>
      </w:r>
      <w:r>
        <w:rPr>
          <w:rFonts w:hint="eastAsia" w:ascii="宋体" w:hAnsi="宋体" w:eastAsia="宋体"/>
          <w:color w:val="auto"/>
          <w:kern w:val="2"/>
          <w:szCs w:val="21"/>
          <w:highlight w:val="none"/>
        </w:rPr>
        <w:t>）其他术语解释，见【</w:t>
      </w:r>
      <w:r>
        <w:rPr>
          <w:rFonts w:hint="eastAsia" w:ascii="宋体" w:hAnsi="宋体" w:eastAsia="宋体"/>
          <w:b/>
          <w:bCs/>
          <w:color w:val="auto"/>
          <w:kern w:val="2"/>
          <w:szCs w:val="21"/>
          <w:highlight w:val="none"/>
        </w:rPr>
        <w:t>政府采购合同专用条款</w:t>
      </w:r>
      <w:r>
        <w:rPr>
          <w:rFonts w:hint="eastAsia" w:ascii="宋体" w:hAnsi="宋体" w:eastAsia="宋体"/>
          <w:color w:val="auto"/>
          <w:kern w:val="2"/>
          <w:szCs w:val="21"/>
          <w:highlight w:val="none"/>
        </w:rPr>
        <w:t>】。</w:t>
      </w:r>
    </w:p>
    <w:p w14:paraId="7A6007B6">
      <w:pPr>
        <w:widowControl w:val="0"/>
        <w:numPr>
          <w:ilvl w:val="0"/>
          <w:numId w:val="6"/>
        </w:numPr>
        <w:autoSpaceDE w:val="0"/>
        <w:autoSpaceDN w:val="0"/>
        <w:adjustRightInd w:val="0"/>
        <w:snapToGrid w:val="0"/>
        <w:spacing w:before="0" w:line="400" w:lineRule="exact"/>
        <w:jc w:val="left"/>
        <w:textAlignment w:val="auto"/>
        <w:rPr>
          <w:rFonts w:ascii="宋体" w:hAnsi="宋体" w:eastAsia="宋体"/>
          <w:b/>
          <w:bCs/>
          <w:color w:val="auto"/>
          <w:kern w:val="2"/>
          <w:sz w:val="24"/>
          <w:szCs w:val="24"/>
          <w:highlight w:val="none"/>
        </w:rPr>
      </w:pPr>
      <w:r>
        <w:rPr>
          <w:rFonts w:hint="eastAsia" w:ascii="宋体" w:hAnsi="宋体" w:eastAsia="宋体"/>
          <w:b/>
          <w:color w:val="auto"/>
          <w:kern w:val="2"/>
          <w:sz w:val="24"/>
          <w:szCs w:val="24"/>
          <w:highlight w:val="none"/>
        </w:rPr>
        <w:t>合同标的及金额</w:t>
      </w:r>
    </w:p>
    <w:p w14:paraId="4C2EBB16">
      <w:pPr>
        <w:widowControl w:val="0"/>
        <w:autoSpaceDE w:val="0"/>
        <w:autoSpaceDN w:val="0"/>
        <w:adjustRightInd w:val="0"/>
        <w:snapToGrid w:val="0"/>
        <w:spacing w:before="0" w:line="400" w:lineRule="exact"/>
        <w:ind w:firstLine="420" w:firstLineChars="200"/>
        <w:jc w:val="left"/>
        <w:textAlignment w:val="auto"/>
        <w:rPr>
          <w:rFonts w:ascii="宋体" w:hAnsi="宋体" w:eastAsia="宋体"/>
          <w:b/>
          <w:bCs/>
          <w:i/>
          <w:iCs/>
          <w:color w:val="auto"/>
          <w:kern w:val="2"/>
          <w:szCs w:val="21"/>
          <w:highlight w:val="none"/>
        </w:rPr>
      </w:pPr>
      <w:r>
        <w:rPr>
          <w:rFonts w:hint="eastAsia" w:ascii="宋体" w:hAnsi="宋体" w:eastAsia="宋体"/>
          <w:color w:val="auto"/>
          <w:kern w:val="2"/>
          <w:szCs w:val="21"/>
          <w:highlight w:val="none"/>
          <w:lang w:eastAsia="zh-CN"/>
        </w:rPr>
        <w:t>2</w:t>
      </w:r>
      <w:r>
        <w:rPr>
          <w:rFonts w:hint="eastAsia" w:ascii="宋体" w:hAnsi="宋体" w:eastAsia="宋体"/>
          <w:color w:val="auto"/>
          <w:kern w:val="2"/>
          <w:szCs w:val="21"/>
          <w:highlight w:val="none"/>
        </w:rPr>
        <w:t>.1 合同标的及金额应与中标（成交）结果一致。乙方为履行本合同而发生的所有费用均应包含在合同</w:t>
      </w:r>
      <w:r>
        <w:rPr>
          <w:rFonts w:hint="eastAsia" w:ascii="宋体" w:hAnsi="宋体" w:eastAsia="宋体"/>
          <w:color w:val="auto"/>
          <w:kern w:val="2"/>
          <w:szCs w:val="21"/>
          <w:highlight w:val="none"/>
          <w:lang w:eastAsia="zh-CN"/>
        </w:rPr>
        <w:t>价款</w:t>
      </w:r>
      <w:r>
        <w:rPr>
          <w:rFonts w:hint="eastAsia" w:ascii="宋体" w:hAnsi="宋体" w:eastAsia="宋体"/>
          <w:color w:val="auto"/>
          <w:kern w:val="2"/>
          <w:szCs w:val="21"/>
          <w:highlight w:val="none"/>
        </w:rPr>
        <w:t>中，甲方不再另行支付</w:t>
      </w:r>
      <w:r>
        <w:rPr>
          <w:rFonts w:hint="default" w:ascii="宋体" w:hAnsi="宋体" w:eastAsia="宋体"/>
          <w:color w:val="auto"/>
          <w:kern w:val="2"/>
          <w:szCs w:val="21"/>
          <w:highlight w:val="none"/>
          <w:lang w:val="en"/>
        </w:rPr>
        <w:t>其他</w:t>
      </w:r>
      <w:r>
        <w:rPr>
          <w:rFonts w:hint="eastAsia" w:ascii="宋体" w:hAnsi="宋体" w:eastAsia="宋体"/>
          <w:color w:val="auto"/>
          <w:kern w:val="2"/>
          <w:szCs w:val="21"/>
          <w:highlight w:val="none"/>
        </w:rPr>
        <w:t>任何费用。</w:t>
      </w:r>
    </w:p>
    <w:p w14:paraId="437FB051">
      <w:pPr>
        <w:widowControl w:val="0"/>
        <w:adjustRightInd w:val="0"/>
        <w:snapToGrid w:val="0"/>
        <w:spacing w:before="0" w:line="400" w:lineRule="exact"/>
        <w:jc w:val="left"/>
        <w:textAlignment w:val="auto"/>
        <w:rPr>
          <w:rFonts w:ascii="宋体" w:hAnsi="宋体" w:eastAsia="宋体"/>
          <w:b/>
          <w:color w:val="auto"/>
          <w:kern w:val="2"/>
          <w:sz w:val="24"/>
          <w:szCs w:val="24"/>
          <w:highlight w:val="none"/>
        </w:rPr>
      </w:pPr>
      <w:r>
        <w:rPr>
          <w:rFonts w:hint="eastAsia" w:ascii="宋体" w:hAnsi="宋体" w:eastAsia="宋体"/>
          <w:b/>
          <w:color w:val="auto"/>
          <w:kern w:val="2"/>
          <w:sz w:val="24"/>
          <w:szCs w:val="24"/>
          <w:highlight w:val="none"/>
          <w:lang w:eastAsia="zh-CN"/>
        </w:rPr>
        <w:t>3</w:t>
      </w:r>
      <w:r>
        <w:rPr>
          <w:rFonts w:hint="eastAsia" w:ascii="宋体" w:hAnsi="宋体" w:eastAsia="宋体"/>
          <w:b/>
          <w:color w:val="auto"/>
          <w:kern w:val="2"/>
          <w:sz w:val="24"/>
          <w:szCs w:val="24"/>
          <w:highlight w:val="none"/>
          <w:lang w:val="en-US" w:eastAsia="zh-CN"/>
        </w:rPr>
        <w:t xml:space="preserve">. </w:t>
      </w:r>
      <w:r>
        <w:rPr>
          <w:rFonts w:hint="eastAsia" w:ascii="宋体" w:hAnsi="宋体" w:eastAsia="宋体"/>
          <w:b/>
          <w:color w:val="auto"/>
          <w:kern w:val="2"/>
          <w:sz w:val="24"/>
          <w:szCs w:val="24"/>
          <w:highlight w:val="none"/>
        </w:rPr>
        <w:t>履行合同的时间、地点和方式</w:t>
      </w:r>
    </w:p>
    <w:p w14:paraId="653B521B">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lang w:eastAsia="zh-CN"/>
        </w:rPr>
        <w:t>3</w:t>
      </w:r>
      <w:r>
        <w:rPr>
          <w:rFonts w:hint="eastAsia" w:ascii="宋体" w:hAnsi="宋体" w:eastAsia="宋体"/>
          <w:color w:val="auto"/>
          <w:kern w:val="2"/>
          <w:szCs w:val="21"/>
          <w:highlight w:val="none"/>
        </w:rPr>
        <w:t xml:space="preserve">.1 </w:t>
      </w:r>
      <w:r>
        <w:rPr>
          <w:rFonts w:hint="eastAsia" w:ascii="宋体" w:hAnsi="宋体" w:eastAsia="宋体" w:cs="宋体"/>
          <w:color w:val="auto"/>
          <w:kern w:val="2"/>
          <w:szCs w:val="21"/>
        </w:rPr>
        <w:t>乙方应当在约定的时间、地点</w:t>
      </w:r>
      <w:r>
        <w:rPr>
          <w:rFonts w:hint="eastAsia" w:ascii="宋体" w:hAnsi="宋体" w:eastAsia="宋体" w:cs="宋体"/>
          <w:color w:val="auto"/>
          <w:kern w:val="2"/>
          <w:szCs w:val="21"/>
          <w:lang w:eastAsia="zh-CN"/>
        </w:rPr>
        <w:t>，按照约定</w:t>
      </w:r>
      <w:r>
        <w:rPr>
          <w:rFonts w:hint="eastAsia" w:ascii="宋体" w:hAnsi="宋体" w:eastAsia="宋体" w:cs="宋体"/>
          <w:color w:val="auto"/>
          <w:kern w:val="2"/>
          <w:szCs w:val="21"/>
        </w:rPr>
        <w:t>方式履行合同。</w:t>
      </w:r>
    </w:p>
    <w:p w14:paraId="0C47D208">
      <w:pPr>
        <w:widowControl w:val="0"/>
        <w:autoSpaceDE w:val="0"/>
        <w:autoSpaceDN w:val="0"/>
        <w:adjustRightInd w:val="0"/>
        <w:snapToGrid w:val="0"/>
        <w:spacing w:before="0" w:line="400" w:lineRule="exact"/>
        <w:jc w:val="left"/>
        <w:textAlignment w:val="auto"/>
        <w:rPr>
          <w:rFonts w:ascii="宋体" w:hAnsi="宋体" w:eastAsia="宋体"/>
          <w:b/>
          <w:bCs/>
          <w:color w:val="auto"/>
          <w:kern w:val="2"/>
          <w:sz w:val="24"/>
          <w:szCs w:val="24"/>
          <w:highlight w:val="none"/>
        </w:rPr>
      </w:pPr>
      <w:r>
        <w:rPr>
          <w:rFonts w:hint="eastAsia" w:ascii="宋体" w:hAnsi="宋体" w:eastAsia="宋体"/>
          <w:b/>
          <w:bCs/>
          <w:color w:val="auto"/>
          <w:kern w:val="2"/>
          <w:sz w:val="24"/>
          <w:szCs w:val="24"/>
          <w:highlight w:val="none"/>
          <w:lang w:eastAsia="zh-CN"/>
        </w:rPr>
        <w:t>4</w:t>
      </w:r>
      <w:r>
        <w:rPr>
          <w:rFonts w:hint="eastAsia" w:ascii="宋体" w:hAnsi="宋体" w:eastAsia="宋体"/>
          <w:b/>
          <w:bCs/>
          <w:color w:val="auto"/>
          <w:kern w:val="2"/>
          <w:sz w:val="24"/>
          <w:szCs w:val="24"/>
          <w:highlight w:val="none"/>
          <w:lang w:val="en-US" w:eastAsia="zh-CN"/>
        </w:rPr>
        <w:t xml:space="preserve">. </w:t>
      </w:r>
      <w:r>
        <w:rPr>
          <w:rFonts w:hint="eastAsia" w:ascii="宋体" w:hAnsi="宋体" w:eastAsia="宋体"/>
          <w:b/>
          <w:bCs/>
          <w:color w:val="auto"/>
          <w:kern w:val="2"/>
          <w:sz w:val="24"/>
          <w:szCs w:val="24"/>
          <w:highlight w:val="none"/>
        </w:rPr>
        <w:t>甲方的权利和义务</w:t>
      </w:r>
    </w:p>
    <w:p w14:paraId="1AF6425C">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lang w:eastAsia="zh-CN"/>
        </w:rPr>
        <w:t>4</w:t>
      </w:r>
      <w:r>
        <w:rPr>
          <w:rFonts w:hint="eastAsia" w:ascii="宋体" w:hAnsi="宋体" w:eastAsia="宋体"/>
          <w:color w:val="auto"/>
          <w:kern w:val="2"/>
          <w:szCs w:val="21"/>
          <w:highlight w:val="none"/>
        </w:rPr>
        <w:t>.1</w:t>
      </w:r>
      <w:r>
        <w:rPr>
          <w:rFonts w:ascii="宋体" w:hAnsi="宋体" w:eastAsia="宋体"/>
          <w:color w:val="auto"/>
          <w:kern w:val="2"/>
          <w:szCs w:val="21"/>
          <w:highlight w:val="none"/>
        </w:rPr>
        <w:t xml:space="preserve"> 签署合同后，甲方</w:t>
      </w:r>
      <w:r>
        <w:rPr>
          <w:rFonts w:hint="eastAsia" w:ascii="宋体" w:hAnsi="宋体" w:eastAsia="宋体"/>
          <w:color w:val="auto"/>
          <w:kern w:val="2"/>
          <w:szCs w:val="21"/>
          <w:highlight w:val="none"/>
          <w:lang w:eastAsia="zh-CN"/>
        </w:rPr>
        <w:t>应</w:t>
      </w:r>
      <w:r>
        <w:rPr>
          <w:rFonts w:ascii="宋体" w:hAnsi="宋体" w:eastAsia="宋体"/>
          <w:color w:val="auto"/>
          <w:kern w:val="2"/>
          <w:szCs w:val="21"/>
          <w:highlight w:val="none"/>
        </w:rPr>
        <w:t>确定</w:t>
      </w:r>
      <w:r>
        <w:rPr>
          <w:rFonts w:hint="eastAsia" w:ascii="宋体" w:hAnsi="宋体" w:eastAsia="宋体"/>
          <w:color w:val="auto"/>
          <w:kern w:val="2"/>
          <w:szCs w:val="21"/>
          <w:highlight w:val="none"/>
          <w:lang w:val="en-US" w:eastAsia="zh-CN"/>
        </w:rPr>
        <w:t>项目负责人（或项目联系人）</w:t>
      </w:r>
      <w:r>
        <w:rPr>
          <w:rFonts w:ascii="宋体" w:hAnsi="宋体" w:eastAsia="宋体"/>
          <w:color w:val="auto"/>
          <w:kern w:val="2"/>
          <w:szCs w:val="21"/>
          <w:highlight w:val="none"/>
        </w:rPr>
        <w:t>，负责与本合同有关的事务。</w:t>
      </w:r>
      <w:r>
        <w:rPr>
          <w:rFonts w:hint="eastAsia" w:ascii="宋体" w:hAnsi="宋体" w:eastAsia="宋体"/>
          <w:color w:val="auto"/>
          <w:kern w:val="2"/>
          <w:szCs w:val="21"/>
          <w:highlight w:val="none"/>
        </w:rPr>
        <w:t>甲方有权对乙方的履约行为进行检查，并</w:t>
      </w:r>
      <w:r>
        <w:rPr>
          <w:rFonts w:ascii="宋体" w:hAnsi="宋体" w:eastAsia="宋体"/>
          <w:color w:val="auto"/>
          <w:kern w:val="2"/>
          <w:szCs w:val="21"/>
          <w:highlight w:val="none"/>
        </w:rPr>
        <w:t>及时确认乙方提交的事项</w:t>
      </w:r>
      <w:r>
        <w:rPr>
          <w:rFonts w:hint="eastAsia" w:ascii="宋体" w:hAnsi="宋体" w:eastAsia="宋体"/>
          <w:color w:val="auto"/>
          <w:kern w:val="2"/>
          <w:szCs w:val="21"/>
          <w:highlight w:val="none"/>
        </w:rPr>
        <w:t>。甲方应当</w:t>
      </w:r>
      <w:r>
        <w:rPr>
          <w:rFonts w:ascii="宋体" w:hAnsi="宋体" w:eastAsia="宋体"/>
          <w:color w:val="auto"/>
          <w:kern w:val="2"/>
          <w:szCs w:val="21"/>
          <w:highlight w:val="none"/>
        </w:rPr>
        <w:t>配合乙方完成</w:t>
      </w:r>
      <w:r>
        <w:rPr>
          <w:rFonts w:hint="eastAsia" w:ascii="宋体" w:hAnsi="宋体" w:eastAsia="宋体"/>
          <w:color w:val="auto"/>
          <w:kern w:val="2"/>
          <w:szCs w:val="21"/>
          <w:highlight w:val="none"/>
        </w:rPr>
        <w:t>相关项目</w:t>
      </w:r>
      <w:r>
        <w:rPr>
          <w:rFonts w:ascii="宋体" w:hAnsi="宋体" w:eastAsia="宋体"/>
          <w:color w:val="auto"/>
          <w:kern w:val="2"/>
          <w:szCs w:val="21"/>
          <w:highlight w:val="none"/>
        </w:rPr>
        <w:t>实施工作。</w:t>
      </w:r>
    </w:p>
    <w:p w14:paraId="061C5640">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lang w:eastAsia="zh-CN"/>
        </w:rPr>
        <w:t>4</w:t>
      </w:r>
      <w:r>
        <w:rPr>
          <w:rFonts w:hint="eastAsia" w:ascii="宋体" w:hAnsi="宋体" w:eastAsia="宋体"/>
          <w:color w:val="auto"/>
          <w:kern w:val="2"/>
          <w:szCs w:val="21"/>
          <w:highlight w:val="none"/>
        </w:rPr>
        <w:t xml:space="preserve">.2 </w:t>
      </w:r>
      <w:r>
        <w:rPr>
          <w:rFonts w:ascii="宋体" w:hAnsi="宋体" w:eastAsia="宋体"/>
          <w:color w:val="auto"/>
          <w:kern w:val="2"/>
          <w:szCs w:val="21"/>
          <w:highlight w:val="none"/>
        </w:rPr>
        <w:t>甲方有权要求乙方按时提交各阶段有关</w:t>
      </w:r>
      <w:r>
        <w:rPr>
          <w:rFonts w:hint="eastAsia" w:ascii="宋体" w:hAnsi="宋体" w:eastAsia="宋体"/>
          <w:color w:val="auto"/>
          <w:kern w:val="2"/>
          <w:szCs w:val="21"/>
          <w:highlight w:val="none"/>
        </w:rPr>
        <w:t>安排计划</w:t>
      </w:r>
      <w:r>
        <w:rPr>
          <w:rFonts w:ascii="宋体" w:hAnsi="宋体" w:eastAsia="宋体"/>
          <w:color w:val="auto"/>
          <w:kern w:val="2"/>
          <w:szCs w:val="21"/>
          <w:highlight w:val="none"/>
        </w:rPr>
        <w:t>，并有权</w:t>
      </w:r>
      <w:r>
        <w:rPr>
          <w:rFonts w:hint="eastAsia" w:ascii="宋体" w:hAnsi="宋体" w:eastAsia="宋体"/>
          <w:color w:val="auto"/>
          <w:kern w:val="2"/>
          <w:szCs w:val="21"/>
          <w:highlight w:val="none"/>
        </w:rPr>
        <w:t>定期核对乙方提供货物数量、规格、质量等内容。甲方</w:t>
      </w:r>
      <w:r>
        <w:rPr>
          <w:rFonts w:ascii="宋体" w:hAnsi="宋体" w:eastAsia="宋体"/>
          <w:color w:val="auto"/>
          <w:kern w:val="2"/>
          <w:szCs w:val="21"/>
          <w:highlight w:val="none"/>
        </w:rPr>
        <w:t>有权督促乙方工作并要求乙方</w:t>
      </w:r>
      <w:r>
        <w:rPr>
          <w:rFonts w:hint="eastAsia" w:ascii="宋体" w:hAnsi="宋体" w:eastAsia="宋体"/>
          <w:color w:val="auto"/>
          <w:kern w:val="2"/>
          <w:szCs w:val="21"/>
          <w:highlight w:val="none"/>
        </w:rPr>
        <w:t>更</w:t>
      </w:r>
      <w:r>
        <w:rPr>
          <w:rFonts w:ascii="宋体" w:hAnsi="宋体" w:eastAsia="宋体"/>
          <w:color w:val="auto"/>
          <w:kern w:val="2"/>
          <w:szCs w:val="21"/>
          <w:highlight w:val="none"/>
        </w:rPr>
        <w:t>换不符合要求的</w:t>
      </w:r>
      <w:r>
        <w:rPr>
          <w:rFonts w:hint="eastAsia" w:ascii="宋体" w:hAnsi="宋体" w:eastAsia="宋体"/>
          <w:color w:val="auto"/>
          <w:kern w:val="2"/>
          <w:szCs w:val="21"/>
          <w:highlight w:val="none"/>
        </w:rPr>
        <w:t>货物</w:t>
      </w:r>
      <w:r>
        <w:rPr>
          <w:rFonts w:ascii="宋体" w:hAnsi="宋体" w:eastAsia="宋体"/>
          <w:color w:val="auto"/>
          <w:kern w:val="2"/>
          <w:szCs w:val="21"/>
          <w:highlight w:val="none"/>
        </w:rPr>
        <w:t>。</w:t>
      </w:r>
    </w:p>
    <w:p w14:paraId="257F6EC4">
      <w:pPr>
        <w:widowControl w:val="0"/>
        <w:autoSpaceDE w:val="0"/>
        <w:autoSpaceDN w:val="0"/>
        <w:adjustRightInd w:val="0"/>
        <w:snapToGrid w:val="0"/>
        <w:spacing w:before="0" w:line="400" w:lineRule="exact"/>
        <w:ind w:firstLine="420" w:firstLineChars="200"/>
        <w:jc w:val="left"/>
        <w:textAlignment w:val="auto"/>
        <w:rPr>
          <w:rFonts w:hint="eastAsia" w:ascii="宋体" w:hAnsi="宋体" w:eastAsia="宋体"/>
          <w:color w:val="auto"/>
          <w:kern w:val="2"/>
          <w:szCs w:val="21"/>
          <w:highlight w:val="none"/>
        </w:rPr>
      </w:pPr>
      <w:r>
        <w:rPr>
          <w:rFonts w:hint="eastAsia" w:ascii="宋体" w:hAnsi="宋体" w:eastAsia="宋体"/>
          <w:color w:val="auto"/>
          <w:kern w:val="2"/>
          <w:szCs w:val="21"/>
          <w:highlight w:val="none"/>
          <w:lang w:eastAsia="zh-CN"/>
        </w:rPr>
        <w:t>4</w:t>
      </w:r>
      <w:r>
        <w:rPr>
          <w:rFonts w:hint="eastAsia" w:ascii="宋体" w:hAnsi="宋体" w:eastAsia="宋体"/>
          <w:color w:val="auto"/>
          <w:kern w:val="2"/>
          <w:szCs w:val="21"/>
          <w:highlight w:val="none"/>
        </w:rPr>
        <w:t>.</w:t>
      </w:r>
      <w:r>
        <w:rPr>
          <w:rFonts w:ascii="宋体" w:hAnsi="宋体" w:eastAsia="宋体"/>
          <w:color w:val="auto"/>
          <w:kern w:val="2"/>
          <w:szCs w:val="21"/>
          <w:highlight w:val="none"/>
        </w:rPr>
        <w:t>3</w:t>
      </w:r>
      <w:r>
        <w:rPr>
          <w:rFonts w:hint="eastAsia" w:ascii="宋体" w:hAnsi="宋体" w:eastAsia="宋体"/>
          <w:color w:val="auto"/>
          <w:kern w:val="2"/>
          <w:szCs w:val="21"/>
          <w:highlight w:val="none"/>
        </w:rPr>
        <w:t xml:space="preserve"> </w:t>
      </w:r>
      <w:r>
        <w:rPr>
          <w:rFonts w:ascii="宋体" w:hAnsi="宋体" w:eastAsia="宋体"/>
          <w:color w:val="auto"/>
          <w:kern w:val="2"/>
          <w:szCs w:val="21"/>
          <w:highlight w:val="none"/>
        </w:rPr>
        <w:t>甲方</w:t>
      </w:r>
      <w:r>
        <w:rPr>
          <w:rFonts w:hint="eastAsia" w:ascii="宋体" w:hAnsi="宋体" w:eastAsia="宋体"/>
          <w:color w:val="auto"/>
          <w:kern w:val="2"/>
          <w:szCs w:val="21"/>
          <w:highlight w:val="none"/>
        </w:rPr>
        <w:t>有权要求乙方对缺陷部分予以修复，并按合同约定享有货物保修及其他合同约定的权利。</w:t>
      </w:r>
    </w:p>
    <w:p w14:paraId="4A43EDCF">
      <w:pPr>
        <w:widowControl w:val="0"/>
        <w:snapToGrid w:val="0"/>
        <w:spacing w:line="400" w:lineRule="exact"/>
        <w:ind w:firstLine="420" w:firstLineChars="200"/>
        <w:textAlignment w:val="auto"/>
        <w:rPr>
          <w:rFonts w:hint="eastAsia" w:eastAsia="华文楷体"/>
          <w:color w:val="auto"/>
          <w:kern w:val="2"/>
          <w:szCs w:val="24"/>
          <w:lang w:val="en-US" w:eastAsia="zh-CN"/>
        </w:rPr>
      </w:pPr>
      <w:r>
        <w:rPr>
          <w:rFonts w:hint="default" w:ascii="宋体" w:hAnsi="宋体" w:eastAsia="宋体"/>
          <w:color w:val="auto"/>
          <w:kern w:val="2"/>
          <w:szCs w:val="21"/>
          <w:highlight w:val="none"/>
          <w:lang w:val="en-US" w:eastAsia="zh-CN"/>
        </w:rPr>
        <w:t>4.4 甲方应当按照合同约定及时对交付的货物进行验收</w:t>
      </w:r>
      <w:r>
        <w:rPr>
          <w:rFonts w:hint="eastAsia" w:ascii="宋体" w:hAnsi="宋体" w:eastAsia="宋体"/>
          <w:color w:val="auto"/>
          <w:kern w:val="2"/>
          <w:szCs w:val="21"/>
          <w:highlight w:val="none"/>
          <w:lang w:val="en-US" w:eastAsia="zh-CN"/>
        </w:rPr>
        <w:t>，</w:t>
      </w:r>
      <w:r>
        <w:rPr>
          <w:rFonts w:hint="eastAsia" w:ascii="宋体" w:hAnsi="宋体" w:eastAsia="宋体" w:cs="宋体"/>
          <w:b w:val="0"/>
          <w:bCs w:val="0"/>
          <w:color w:val="auto"/>
          <w:kern w:val="2"/>
          <w:szCs w:val="21"/>
          <w:highlight w:val="none"/>
          <w:lang w:eastAsia="zh-CN"/>
        </w:rPr>
        <w:t>未</w:t>
      </w:r>
      <w:r>
        <w:rPr>
          <w:rFonts w:hint="eastAsia" w:ascii="宋体" w:hAnsi="宋体" w:eastAsia="宋体"/>
          <w:color w:val="auto"/>
          <w:kern w:val="2"/>
          <w:szCs w:val="21"/>
          <w:highlight w:val="none"/>
          <w:lang w:val="en-US" w:eastAsia="zh-CN"/>
        </w:rPr>
        <w:t>在</w:t>
      </w:r>
      <w:r>
        <w:rPr>
          <w:rFonts w:hint="eastAsia" w:ascii="宋体" w:hAnsi="宋体" w:eastAsia="宋体" w:cs="宋体"/>
          <w:b/>
          <w:bCs/>
          <w:color w:val="auto"/>
          <w:kern w:val="2"/>
          <w:szCs w:val="21"/>
          <w:highlight w:val="none"/>
        </w:rPr>
        <w:t>【政府采购合同专用条款】</w:t>
      </w:r>
      <w:r>
        <w:rPr>
          <w:rFonts w:hint="eastAsia" w:ascii="宋体" w:hAnsi="宋体" w:eastAsia="宋体" w:cs="宋体"/>
          <w:b w:val="0"/>
          <w:bCs w:val="0"/>
          <w:color w:val="auto"/>
          <w:kern w:val="2"/>
          <w:szCs w:val="21"/>
          <w:highlight w:val="none"/>
          <w:lang w:eastAsia="zh-CN"/>
        </w:rPr>
        <w:t>约定的期限内对乙方履约提出任何异议或者向乙方作出任何说明的，</w:t>
      </w:r>
      <w:r>
        <w:rPr>
          <w:rFonts w:hint="eastAsia" w:ascii="宋体" w:hAnsi="宋体" w:eastAsia="宋体"/>
          <w:color w:val="auto"/>
          <w:kern w:val="2"/>
          <w:szCs w:val="21"/>
          <w:highlight w:val="none"/>
          <w:lang w:val="en-US" w:eastAsia="zh-CN"/>
        </w:rPr>
        <w:t>视为验收通过。</w:t>
      </w:r>
    </w:p>
    <w:p w14:paraId="4DC5F662">
      <w:pPr>
        <w:widowControl w:val="0"/>
        <w:autoSpaceDE w:val="0"/>
        <w:autoSpaceDN w:val="0"/>
        <w:adjustRightInd w:val="0"/>
        <w:snapToGrid w:val="0"/>
        <w:spacing w:line="400" w:lineRule="exact"/>
        <w:ind w:firstLine="420" w:firstLineChars="200"/>
        <w:jc w:val="left"/>
        <w:textAlignment w:val="auto"/>
        <w:rPr>
          <w:rFonts w:hint="eastAsia" w:ascii="宋体" w:hAnsi="宋体" w:eastAsia="宋体"/>
          <w:color w:val="auto"/>
          <w:kern w:val="2"/>
          <w:szCs w:val="21"/>
          <w:highlight w:val="none"/>
        </w:rPr>
      </w:pPr>
      <w:r>
        <w:rPr>
          <w:rFonts w:hint="default" w:ascii="宋体" w:hAnsi="宋体" w:eastAsia="宋体"/>
          <w:color w:val="auto"/>
          <w:kern w:val="2"/>
          <w:szCs w:val="21"/>
          <w:highlight w:val="none"/>
          <w:lang w:eastAsia="zh-CN"/>
        </w:rPr>
        <w:t>4</w:t>
      </w:r>
      <w:r>
        <w:rPr>
          <w:rFonts w:hint="eastAsia" w:ascii="宋体" w:hAnsi="宋体" w:eastAsia="宋体"/>
          <w:color w:val="auto"/>
          <w:kern w:val="2"/>
          <w:szCs w:val="21"/>
          <w:highlight w:val="none"/>
        </w:rPr>
        <w:t>.</w:t>
      </w:r>
      <w:r>
        <w:rPr>
          <w:rFonts w:hint="default" w:ascii="宋体" w:hAnsi="宋体" w:eastAsia="宋体"/>
          <w:color w:val="auto"/>
          <w:kern w:val="2"/>
          <w:szCs w:val="21"/>
          <w:highlight w:val="none"/>
          <w:lang w:val="en-US" w:eastAsia="zh-CN"/>
        </w:rPr>
        <w:t>5</w:t>
      </w:r>
      <w:r>
        <w:rPr>
          <w:rFonts w:ascii="宋体" w:hAnsi="宋体" w:eastAsia="宋体"/>
          <w:color w:val="auto"/>
          <w:kern w:val="2"/>
          <w:szCs w:val="21"/>
          <w:highlight w:val="none"/>
        </w:rPr>
        <w:t xml:space="preserve"> </w:t>
      </w:r>
      <w:r>
        <w:rPr>
          <w:rFonts w:hint="eastAsia" w:ascii="宋体" w:hAnsi="宋体" w:eastAsia="宋体"/>
          <w:color w:val="auto"/>
          <w:kern w:val="2"/>
          <w:szCs w:val="21"/>
          <w:highlight w:val="none"/>
        </w:rPr>
        <w:t>甲方应当根据合同约定</w:t>
      </w:r>
      <w:r>
        <w:rPr>
          <w:rFonts w:hint="eastAsia" w:ascii="宋体" w:hAnsi="宋体" w:eastAsia="宋体"/>
          <w:color w:val="auto"/>
          <w:kern w:val="2"/>
          <w:szCs w:val="21"/>
          <w:highlight w:val="none"/>
          <w:lang w:eastAsia="zh-CN"/>
        </w:rPr>
        <w:t>及</w:t>
      </w:r>
      <w:r>
        <w:rPr>
          <w:rFonts w:hint="eastAsia" w:ascii="宋体" w:hAnsi="宋体" w:eastAsia="宋体"/>
          <w:color w:val="auto"/>
          <w:kern w:val="2"/>
          <w:szCs w:val="21"/>
          <w:highlight w:val="none"/>
        </w:rPr>
        <w:t>时向乙方支付</w:t>
      </w:r>
      <w:r>
        <w:rPr>
          <w:rFonts w:hint="eastAsia" w:ascii="宋体" w:hAnsi="宋体" w:eastAsia="宋体"/>
          <w:color w:val="auto"/>
          <w:kern w:val="2"/>
          <w:szCs w:val="21"/>
          <w:highlight w:val="none"/>
          <w:lang w:eastAsia="zh-CN"/>
        </w:rPr>
        <w:t>合同价款</w:t>
      </w:r>
      <w:r>
        <w:rPr>
          <w:rFonts w:hint="default" w:ascii="宋体" w:hAnsi="宋体" w:eastAsia="宋体"/>
          <w:color w:val="auto"/>
          <w:kern w:val="2"/>
          <w:szCs w:val="21"/>
          <w:highlight w:val="none"/>
          <w:lang w:eastAsia="zh-CN"/>
        </w:rPr>
        <w:t>，不得以内部人员变更、履行内部付款流程等为由，拒绝或迟延支付。</w:t>
      </w:r>
    </w:p>
    <w:p w14:paraId="17ED6772">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lang w:eastAsia="zh-CN"/>
        </w:rPr>
        <w:t>4</w:t>
      </w: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val="en-US" w:eastAsia="zh-CN"/>
        </w:rPr>
        <w:t>6</w:t>
      </w:r>
      <w:r>
        <w:rPr>
          <w:rFonts w:ascii="宋体" w:hAnsi="宋体" w:eastAsia="宋体"/>
          <w:color w:val="auto"/>
          <w:kern w:val="2"/>
          <w:szCs w:val="21"/>
          <w:highlight w:val="none"/>
        </w:rPr>
        <w:t xml:space="preserve"> </w:t>
      </w:r>
      <w:r>
        <w:rPr>
          <w:rFonts w:hint="eastAsia" w:ascii="宋体" w:hAnsi="宋体" w:eastAsia="宋体"/>
          <w:color w:val="auto"/>
          <w:kern w:val="2"/>
          <w:szCs w:val="21"/>
          <w:highlight w:val="none"/>
        </w:rPr>
        <w:t>国家法律法规规定</w:t>
      </w:r>
      <w:r>
        <w:rPr>
          <w:rFonts w:hint="eastAsia" w:ascii="宋体" w:hAnsi="宋体" w:eastAsia="宋体"/>
          <w:color w:val="auto"/>
          <w:kern w:val="2"/>
          <w:szCs w:val="21"/>
          <w:highlight w:val="none"/>
          <w:lang w:eastAsia="zh-CN"/>
        </w:rPr>
        <w:t>及</w:t>
      </w:r>
      <w:r>
        <w:rPr>
          <w:rFonts w:hint="eastAsia" w:ascii="宋体" w:hAnsi="宋体" w:eastAsia="宋体" w:cs="宋体"/>
          <w:b/>
          <w:bCs/>
          <w:color w:val="auto"/>
          <w:kern w:val="2"/>
          <w:szCs w:val="21"/>
          <w:highlight w:val="none"/>
        </w:rPr>
        <w:t>【政府采购合同专用条款】</w:t>
      </w:r>
      <w:r>
        <w:rPr>
          <w:rFonts w:hint="eastAsia" w:ascii="宋体" w:hAnsi="宋体" w:eastAsia="宋体"/>
          <w:color w:val="auto"/>
          <w:kern w:val="2"/>
          <w:szCs w:val="21"/>
          <w:highlight w:val="none"/>
          <w:lang w:eastAsia="zh-CN"/>
        </w:rPr>
        <w:t>约定应</w:t>
      </w:r>
      <w:r>
        <w:rPr>
          <w:rFonts w:hint="eastAsia" w:ascii="宋体" w:hAnsi="宋体" w:eastAsia="宋体"/>
          <w:color w:val="auto"/>
          <w:kern w:val="2"/>
          <w:szCs w:val="21"/>
          <w:highlight w:val="none"/>
        </w:rPr>
        <w:t>由甲方承担的其他义务和责任。</w:t>
      </w:r>
    </w:p>
    <w:p w14:paraId="221BBDE3">
      <w:pPr>
        <w:widowControl w:val="0"/>
        <w:autoSpaceDE w:val="0"/>
        <w:autoSpaceDN w:val="0"/>
        <w:adjustRightInd w:val="0"/>
        <w:snapToGrid w:val="0"/>
        <w:spacing w:before="0" w:line="400" w:lineRule="exact"/>
        <w:jc w:val="left"/>
        <w:textAlignment w:val="auto"/>
        <w:rPr>
          <w:rFonts w:ascii="宋体" w:hAnsi="宋体" w:eastAsia="宋体"/>
          <w:b/>
          <w:bCs/>
          <w:color w:val="auto"/>
          <w:kern w:val="2"/>
          <w:sz w:val="24"/>
          <w:szCs w:val="24"/>
          <w:highlight w:val="none"/>
        </w:rPr>
      </w:pPr>
      <w:r>
        <w:rPr>
          <w:rFonts w:hint="eastAsia" w:ascii="宋体" w:hAnsi="宋体" w:eastAsia="宋体"/>
          <w:b/>
          <w:bCs/>
          <w:color w:val="auto"/>
          <w:kern w:val="2"/>
          <w:sz w:val="24"/>
          <w:szCs w:val="24"/>
          <w:highlight w:val="none"/>
          <w:lang w:eastAsia="zh-CN"/>
        </w:rPr>
        <w:t>5</w:t>
      </w:r>
      <w:r>
        <w:rPr>
          <w:rFonts w:hint="eastAsia" w:ascii="宋体" w:hAnsi="宋体" w:eastAsia="宋体"/>
          <w:b/>
          <w:bCs/>
          <w:color w:val="auto"/>
          <w:kern w:val="2"/>
          <w:sz w:val="24"/>
          <w:szCs w:val="24"/>
          <w:highlight w:val="none"/>
          <w:lang w:val="en-US" w:eastAsia="zh-CN"/>
        </w:rPr>
        <w:t xml:space="preserve">. </w:t>
      </w:r>
      <w:r>
        <w:rPr>
          <w:rFonts w:hint="eastAsia" w:ascii="宋体" w:hAnsi="宋体" w:eastAsia="宋体"/>
          <w:b/>
          <w:bCs/>
          <w:color w:val="auto"/>
          <w:kern w:val="2"/>
          <w:sz w:val="24"/>
          <w:szCs w:val="24"/>
          <w:highlight w:val="none"/>
        </w:rPr>
        <w:t>乙方的权利和义务</w:t>
      </w:r>
    </w:p>
    <w:p w14:paraId="78CCA59D">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lang w:eastAsia="zh-CN"/>
        </w:rPr>
        <w:t>5</w:t>
      </w:r>
      <w:r>
        <w:rPr>
          <w:rFonts w:hint="eastAsia" w:ascii="宋体" w:hAnsi="宋体" w:eastAsia="宋体"/>
          <w:color w:val="auto"/>
          <w:kern w:val="2"/>
          <w:szCs w:val="21"/>
          <w:highlight w:val="none"/>
        </w:rPr>
        <w:t xml:space="preserve">.1 </w:t>
      </w:r>
      <w:r>
        <w:rPr>
          <w:rFonts w:ascii="宋体" w:hAnsi="宋体" w:eastAsia="宋体"/>
          <w:color w:val="auto"/>
          <w:kern w:val="2"/>
          <w:szCs w:val="21"/>
          <w:highlight w:val="none"/>
        </w:rPr>
        <w:t>签署合同后，乙方</w:t>
      </w:r>
      <w:r>
        <w:rPr>
          <w:rFonts w:hint="eastAsia" w:ascii="宋体" w:hAnsi="宋体" w:eastAsia="宋体"/>
          <w:color w:val="auto"/>
          <w:kern w:val="2"/>
          <w:szCs w:val="21"/>
          <w:highlight w:val="none"/>
          <w:lang w:eastAsia="zh-CN"/>
        </w:rPr>
        <w:t>应</w:t>
      </w:r>
      <w:r>
        <w:rPr>
          <w:rFonts w:ascii="宋体" w:hAnsi="宋体" w:eastAsia="宋体"/>
          <w:color w:val="auto"/>
          <w:kern w:val="2"/>
          <w:szCs w:val="21"/>
          <w:highlight w:val="none"/>
        </w:rPr>
        <w:t>确定</w:t>
      </w:r>
      <w:r>
        <w:rPr>
          <w:rFonts w:hint="eastAsia" w:ascii="宋体" w:hAnsi="宋体" w:eastAsia="宋体"/>
          <w:color w:val="auto"/>
          <w:kern w:val="2"/>
          <w:szCs w:val="21"/>
          <w:highlight w:val="none"/>
          <w:lang w:val="en-US" w:eastAsia="zh-CN"/>
        </w:rPr>
        <w:t>项目负责人（或项目联系人）</w:t>
      </w:r>
      <w:r>
        <w:rPr>
          <w:rFonts w:ascii="宋体" w:hAnsi="宋体" w:eastAsia="宋体"/>
          <w:color w:val="auto"/>
          <w:kern w:val="2"/>
          <w:szCs w:val="21"/>
          <w:highlight w:val="none"/>
        </w:rPr>
        <w:t>，负责与本合同有关的事务。</w:t>
      </w:r>
    </w:p>
    <w:p w14:paraId="4483B48A">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lang w:eastAsia="zh-CN"/>
        </w:rPr>
        <w:t>5</w:t>
      </w:r>
      <w:r>
        <w:rPr>
          <w:rFonts w:hint="eastAsia" w:ascii="宋体" w:hAnsi="宋体" w:eastAsia="宋体"/>
          <w:color w:val="auto"/>
          <w:kern w:val="2"/>
          <w:szCs w:val="21"/>
          <w:highlight w:val="none"/>
        </w:rPr>
        <w:t>.</w:t>
      </w:r>
      <w:r>
        <w:rPr>
          <w:rFonts w:ascii="宋体" w:hAnsi="宋体" w:eastAsia="宋体"/>
          <w:color w:val="auto"/>
          <w:kern w:val="2"/>
          <w:szCs w:val="21"/>
          <w:highlight w:val="none"/>
        </w:rPr>
        <w:t>2 乙方应按照合同要求</w:t>
      </w:r>
      <w:r>
        <w:rPr>
          <w:rFonts w:hint="eastAsia" w:ascii="宋体" w:hAnsi="宋体" w:eastAsia="宋体"/>
          <w:color w:val="auto"/>
          <w:kern w:val="2"/>
          <w:szCs w:val="21"/>
          <w:highlight w:val="none"/>
        </w:rPr>
        <w:t>履约</w:t>
      </w:r>
      <w:r>
        <w:rPr>
          <w:rFonts w:ascii="宋体" w:hAnsi="宋体" w:eastAsia="宋体"/>
          <w:color w:val="auto"/>
          <w:kern w:val="2"/>
          <w:szCs w:val="21"/>
          <w:highlight w:val="none"/>
        </w:rPr>
        <w:t>，充分合理安排，确保</w:t>
      </w:r>
      <w:r>
        <w:rPr>
          <w:rFonts w:hint="eastAsia" w:ascii="宋体" w:hAnsi="宋体" w:eastAsia="宋体"/>
          <w:color w:val="auto"/>
          <w:kern w:val="2"/>
          <w:szCs w:val="21"/>
          <w:highlight w:val="none"/>
        </w:rPr>
        <w:t>提供的货物</w:t>
      </w:r>
      <w:r>
        <w:rPr>
          <w:rFonts w:hint="eastAsia" w:ascii="宋体" w:hAnsi="宋体" w:eastAsia="宋体"/>
          <w:color w:val="auto"/>
          <w:kern w:val="2"/>
          <w:szCs w:val="21"/>
          <w:highlight w:val="none"/>
          <w:lang w:eastAsia="zh-CN"/>
        </w:rPr>
        <w:t>及相关</w:t>
      </w:r>
      <w:r>
        <w:rPr>
          <w:rFonts w:hint="eastAsia" w:ascii="宋体" w:hAnsi="宋体" w:eastAsia="宋体"/>
          <w:color w:val="auto"/>
          <w:kern w:val="2"/>
          <w:szCs w:val="21"/>
          <w:highlight w:val="none"/>
        </w:rPr>
        <w:t>服务符合合同</w:t>
      </w:r>
      <w:r>
        <w:rPr>
          <w:rFonts w:hint="eastAsia" w:ascii="宋体" w:hAnsi="宋体" w:eastAsia="宋体"/>
          <w:color w:val="auto"/>
          <w:kern w:val="2"/>
          <w:szCs w:val="21"/>
          <w:highlight w:val="none"/>
          <w:lang w:eastAsia="zh-CN"/>
        </w:rPr>
        <w:t>有关</w:t>
      </w:r>
      <w:r>
        <w:rPr>
          <w:rFonts w:ascii="宋体" w:hAnsi="宋体" w:eastAsia="宋体"/>
          <w:color w:val="auto"/>
          <w:kern w:val="2"/>
          <w:szCs w:val="21"/>
          <w:highlight w:val="none"/>
        </w:rPr>
        <w:t>要求</w:t>
      </w:r>
      <w:r>
        <w:rPr>
          <w:rFonts w:hint="eastAsia" w:ascii="宋体" w:hAnsi="宋体" w:eastAsia="宋体"/>
          <w:color w:val="auto"/>
          <w:kern w:val="2"/>
          <w:szCs w:val="21"/>
          <w:highlight w:val="none"/>
        </w:rPr>
        <w:t>。接受项目行业管理部门及政府有关部门的指导，配合甲方的履约检查</w:t>
      </w:r>
      <w:r>
        <w:rPr>
          <w:rFonts w:hint="eastAsia" w:ascii="宋体" w:hAnsi="宋体" w:eastAsia="宋体"/>
          <w:color w:val="auto"/>
          <w:kern w:val="2"/>
          <w:szCs w:val="21"/>
          <w:highlight w:val="none"/>
          <w:lang w:eastAsia="zh-CN"/>
        </w:rPr>
        <w:t>及验收</w:t>
      </w:r>
      <w:r>
        <w:rPr>
          <w:rFonts w:hint="eastAsia" w:ascii="宋体" w:hAnsi="宋体" w:eastAsia="宋体"/>
          <w:color w:val="auto"/>
          <w:kern w:val="2"/>
          <w:szCs w:val="21"/>
          <w:highlight w:val="none"/>
        </w:rPr>
        <w:t>，并</w:t>
      </w:r>
      <w:r>
        <w:rPr>
          <w:rFonts w:ascii="宋体" w:hAnsi="宋体" w:eastAsia="宋体"/>
          <w:color w:val="auto"/>
          <w:kern w:val="2"/>
          <w:szCs w:val="21"/>
          <w:highlight w:val="none"/>
        </w:rPr>
        <w:t>负责项目实施过程中的所有协调工作。</w:t>
      </w:r>
    </w:p>
    <w:p w14:paraId="314F8CB1">
      <w:pPr>
        <w:widowControl w:val="0"/>
        <w:spacing w:after="0" w:line="400" w:lineRule="exact"/>
        <w:ind w:firstLine="369" w:firstLineChars="176"/>
        <w:jc w:val="both"/>
        <w:rPr>
          <w:rFonts w:ascii="宋体" w:hAnsi="宋体" w:eastAsia="宋体" w:cs="宋体"/>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w:t>
      </w:r>
      <w:r>
        <w:rPr>
          <w:rFonts w:ascii="宋体" w:hAnsi="宋体" w:eastAsia="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乙方有权</w:t>
      </w:r>
      <w:r>
        <w:rPr>
          <w:rFonts w:hint="eastAsia" w:ascii="宋体" w:hAnsi="宋体" w:eastAsia="宋体" w:cs="宋体"/>
          <w:color w:val="auto"/>
          <w:kern w:val="2"/>
          <w:sz w:val="21"/>
          <w:szCs w:val="21"/>
          <w:highlight w:val="none"/>
          <w:lang w:val="en-US" w:eastAsia="zh-CN" w:bidi="ar-SA"/>
        </w:rPr>
        <w:t>根据合同约定向甲方收取合同价款。</w:t>
      </w:r>
    </w:p>
    <w:p w14:paraId="1E2E792C">
      <w:pPr>
        <w:widowControl w:val="0"/>
        <w:spacing w:after="0" w:line="400" w:lineRule="exact"/>
        <w:ind w:firstLine="369" w:firstLineChars="176"/>
        <w:jc w:val="both"/>
        <w:rPr>
          <w:rFonts w:ascii="宋体" w:hAnsi="宋体" w:eastAsia="宋体" w:cs="宋体"/>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w:t>
      </w:r>
      <w:r>
        <w:rPr>
          <w:rFonts w:ascii="宋体" w:hAnsi="宋体" w:eastAsia="宋体" w:cs="Times New Roman"/>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国家法律法规规定</w:t>
      </w:r>
      <w:r>
        <w:rPr>
          <w:rFonts w:hint="eastAsia" w:ascii="宋体" w:hAnsi="宋体" w:eastAsia="宋体" w:cs="Times New Roman"/>
          <w:color w:val="auto"/>
          <w:kern w:val="2"/>
          <w:sz w:val="21"/>
          <w:szCs w:val="21"/>
          <w:highlight w:val="none"/>
          <w:lang w:val="en-US" w:eastAsia="zh-CN" w:bidi="ar-SA"/>
        </w:rPr>
        <w:t>及</w:t>
      </w:r>
      <w:r>
        <w:rPr>
          <w:rFonts w:hint="eastAsia" w:ascii="宋体" w:hAnsi="宋体" w:eastAsia="宋体" w:cs="宋体"/>
          <w:b/>
          <w:bCs/>
          <w:color w:val="auto"/>
          <w:kern w:val="2"/>
          <w:sz w:val="21"/>
          <w:szCs w:val="21"/>
          <w:highlight w:val="none"/>
          <w:lang w:val="en-US" w:eastAsia="zh-CN" w:bidi="ar-SA"/>
        </w:rPr>
        <w:t>【政府采购合同专用条款】</w:t>
      </w:r>
      <w:r>
        <w:rPr>
          <w:rFonts w:hint="eastAsia" w:ascii="宋体" w:hAnsi="宋体" w:eastAsia="宋体" w:cs="宋体"/>
          <w:b w:val="0"/>
          <w:bCs w:val="0"/>
          <w:color w:val="auto"/>
          <w:kern w:val="2"/>
          <w:sz w:val="21"/>
          <w:szCs w:val="21"/>
          <w:highlight w:val="none"/>
          <w:lang w:val="en-US" w:eastAsia="zh-CN" w:bidi="ar-SA"/>
        </w:rPr>
        <w:t>约定应</w:t>
      </w:r>
      <w:r>
        <w:rPr>
          <w:rFonts w:hint="eastAsia" w:ascii="宋体" w:hAnsi="宋体" w:eastAsia="宋体" w:cs="宋体"/>
          <w:color w:val="auto"/>
          <w:kern w:val="2"/>
          <w:sz w:val="21"/>
          <w:szCs w:val="21"/>
          <w:highlight w:val="none"/>
          <w:lang w:val="en-US" w:eastAsia="zh-CN" w:bidi="ar-SA"/>
        </w:rPr>
        <w:t>由乙方承担的其他义务和责任。</w:t>
      </w:r>
    </w:p>
    <w:p w14:paraId="4C968707">
      <w:pPr>
        <w:widowControl w:val="0"/>
        <w:numPr>
          <w:ilvl w:val="0"/>
          <w:numId w:val="7"/>
        </w:numPr>
        <w:autoSpaceDE w:val="0"/>
        <w:autoSpaceDN w:val="0"/>
        <w:adjustRightInd w:val="0"/>
        <w:snapToGrid w:val="0"/>
        <w:spacing w:before="0" w:line="400" w:lineRule="exact"/>
        <w:jc w:val="left"/>
        <w:textAlignment w:val="auto"/>
        <w:rPr>
          <w:rFonts w:hint="eastAsia" w:ascii="宋体" w:hAnsi="宋体" w:eastAsia="宋体"/>
          <w:b/>
          <w:bCs/>
          <w:color w:val="auto"/>
          <w:kern w:val="2"/>
          <w:sz w:val="24"/>
          <w:szCs w:val="24"/>
          <w:highlight w:val="none"/>
        </w:rPr>
      </w:pPr>
      <w:r>
        <w:rPr>
          <w:rFonts w:hint="eastAsia" w:ascii="宋体" w:hAnsi="宋体" w:eastAsia="宋体"/>
          <w:b/>
          <w:bCs/>
          <w:color w:val="auto"/>
          <w:kern w:val="2"/>
          <w:sz w:val="24"/>
          <w:szCs w:val="24"/>
          <w:highlight w:val="none"/>
        </w:rPr>
        <w:t>合同履</w:t>
      </w:r>
      <w:r>
        <w:rPr>
          <w:rFonts w:hint="eastAsia" w:ascii="宋体" w:hAnsi="宋体" w:eastAsia="宋体"/>
          <w:b/>
          <w:bCs/>
          <w:color w:val="auto"/>
          <w:kern w:val="2"/>
          <w:sz w:val="24"/>
          <w:szCs w:val="24"/>
          <w:highlight w:val="none"/>
          <w:lang w:val="en-US" w:eastAsia="zh-CN"/>
        </w:rPr>
        <w:t>行</w:t>
      </w:r>
    </w:p>
    <w:p w14:paraId="4A8C22EA">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lang w:eastAsia="zh-CN"/>
        </w:rPr>
        <w:t>6</w:t>
      </w:r>
      <w:r>
        <w:rPr>
          <w:rFonts w:hint="eastAsia" w:ascii="宋体" w:hAnsi="宋体" w:eastAsia="宋体"/>
          <w:color w:val="auto"/>
          <w:kern w:val="2"/>
          <w:szCs w:val="21"/>
          <w:highlight w:val="none"/>
        </w:rPr>
        <w:t>.1 甲乙双方应当按照</w:t>
      </w:r>
      <w:r>
        <w:rPr>
          <w:rFonts w:hint="eastAsia" w:ascii="宋体" w:hAnsi="宋体" w:eastAsia="宋体" w:cs="宋体"/>
          <w:b/>
          <w:bCs/>
          <w:color w:val="auto"/>
          <w:kern w:val="2"/>
          <w:szCs w:val="21"/>
          <w:highlight w:val="none"/>
        </w:rPr>
        <w:t>【政府采购合同专用条款】</w:t>
      </w:r>
      <w:r>
        <w:rPr>
          <w:rFonts w:hint="eastAsia" w:ascii="宋体" w:hAnsi="宋体" w:eastAsia="宋体"/>
          <w:color w:val="auto"/>
          <w:kern w:val="2"/>
          <w:szCs w:val="21"/>
          <w:highlight w:val="none"/>
        </w:rPr>
        <w:t>约定顺序履行合同义务；如果没有先后顺序的，应当同时履行。</w:t>
      </w:r>
    </w:p>
    <w:p w14:paraId="21F030A6">
      <w:pPr>
        <w:widowControl w:val="0"/>
        <w:autoSpaceDE w:val="0"/>
        <w:autoSpaceDN w:val="0"/>
        <w:adjustRightInd w:val="0"/>
        <w:snapToGrid w:val="0"/>
        <w:spacing w:before="0" w:line="400" w:lineRule="exact"/>
        <w:ind w:firstLine="420" w:firstLineChars="200"/>
        <w:jc w:val="left"/>
        <w:textAlignment w:val="auto"/>
        <w:rPr>
          <w:rFonts w:eastAsia="宋体"/>
          <w:color w:val="auto"/>
          <w:kern w:val="2"/>
          <w:szCs w:val="24"/>
        </w:rPr>
      </w:pPr>
      <w:r>
        <w:rPr>
          <w:rFonts w:hint="eastAsia" w:ascii="宋体" w:hAnsi="宋体" w:eastAsia="宋体"/>
          <w:color w:val="auto"/>
          <w:kern w:val="2"/>
          <w:szCs w:val="21"/>
          <w:highlight w:val="none"/>
          <w:lang w:eastAsia="zh-CN"/>
        </w:rPr>
        <w:t>6</w:t>
      </w:r>
      <w:r>
        <w:rPr>
          <w:rFonts w:hint="eastAsia" w:ascii="宋体" w:hAnsi="宋体" w:eastAsia="宋体"/>
          <w:color w:val="auto"/>
          <w:kern w:val="2"/>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74B61B1F">
      <w:pPr>
        <w:widowControl w:val="0"/>
        <w:adjustRightInd w:val="0"/>
        <w:snapToGrid w:val="0"/>
        <w:spacing w:before="0" w:line="400" w:lineRule="exact"/>
        <w:jc w:val="left"/>
        <w:textAlignment w:val="auto"/>
        <w:rPr>
          <w:rFonts w:ascii="宋体" w:hAnsi="宋体" w:eastAsia="宋体"/>
          <w:b/>
          <w:bCs/>
          <w:color w:val="auto"/>
          <w:kern w:val="2"/>
          <w:sz w:val="24"/>
          <w:szCs w:val="24"/>
          <w:highlight w:val="none"/>
        </w:rPr>
      </w:pPr>
      <w:r>
        <w:rPr>
          <w:rFonts w:hint="eastAsia" w:ascii="宋体" w:hAnsi="宋体" w:eastAsia="宋体"/>
          <w:b/>
          <w:bCs/>
          <w:color w:val="auto"/>
          <w:kern w:val="2"/>
          <w:sz w:val="24"/>
          <w:szCs w:val="24"/>
          <w:highlight w:val="none"/>
          <w:lang w:eastAsia="zh-CN"/>
        </w:rPr>
        <w:t>7</w:t>
      </w:r>
      <w:r>
        <w:rPr>
          <w:rFonts w:hint="eastAsia" w:ascii="宋体" w:hAnsi="宋体" w:eastAsia="宋体"/>
          <w:b/>
          <w:bCs/>
          <w:color w:val="auto"/>
          <w:kern w:val="2"/>
          <w:sz w:val="24"/>
          <w:szCs w:val="24"/>
          <w:highlight w:val="none"/>
          <w:lang w:val="en-US" w:eastAsia="zh-CN"/>
        </w:rPr>
        <w:t xml:space="preserve">. </w:t>
      </w:r>
      <w:r>
        <w:rPr>
          <w:rFonts w:hint="eastAsia" w:ascii="宋体" w:hAnsi="宋体" w:eastAsia="宋体"/>
          <w:b/>
          <w:bCs/>
          <w:color w:val="auto"/>
          <w:kern w:val="2"/>
          <w:sz w:val="24"/>
          <w:szCs w:val="24"/>
          <w:highlight w:val="none"/>
        </w:rPr>
        <w:t>货物包装、运输</w:t>
      </w:r>
      <w:r>
        <w:rPr>
          <w:rFonts w:hint="eastAsia" w:ascii="宋体" w:hAnsi="宋体" w:eastAsia="宋体"/>
          <w:b/>
          <w:bCs/>
          <w:color w:val="auto"/>
          <w:kern w:val="2"/>
          <w:sz w:val="24"/>
          <w:szCs w:val="24"/>
          <w:highlight w:val="none"/>
          <w:lang w:eastAsia="zh-CN"/>
        </w:rPr>
        <w:t>、</w:t>
      </w:r>
      <w:r>
        <w:rPr>
          <w:rFonts w:hint="eastAsia" w:ascii="宋体" w:hAnsi="宋体" w:eastAsia="宋体"/>
          <w:b/>
          <w:bCs/>
          <w:color w:val="auto"/>
          <w:kern w:val="2"/>
          <w:sz w:val="24"/>
          <w:szCs w:val="24"/>
          <w:highlight w:val="none"/>
        </w:rPr>
        <w:t>保险</w:t>
      </w:r>
      <w:r>
        <w:rPr>
          <w:rFonts w:hint="eastAsia" w:ascii="宋体" w:hAnsi="宋体" w:eastAsia="宋体"/>
          <w:b/>
          <w:bCs/>
          <w:color w:val="auto"/>
          <w:kern w:val="2"/>
          <w:sz w:val="24"/>
          <w:szCs w:val="24"/>
          <w:highlight w:val="none"/>
          <w:lang w:eastAsia="zh-CN"/>
        </w:rPr>
        <w:t>和交付</w:t>
      </w:r>
      <w:r>
        <w:rPr>
          <w:rFonts w:hint="eastAsia" w:ascii="宋体" w:hAnsi="宋体" w:eastAsia="宋体"/>
          <w:b/>
          <w:bCs/>
          <w:color w:val="auto"/>
          <w:kern w:val="2"/>
          <w:sz w:val="24"/>
          <w:szCs w:val="24"/>
          <w:highlight w:val="none"/>
        </w:rPr>
        <w:t>要求</w:t>
      </w:r>
    </w:p>
    <w:p w14:paraId="309986DE">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lang w:eastAsia="zh-CN"/>
        </w:rPr>
        <w:t>7</w:t>
      </w:r>
      <w:r>
        <w:rPr>
          <w:rFonts w:hint="eastAsia" w:ascii="宋体" w:hAnsi="宋体" w:eastAsia="宋体"/>
          <w:color w:val="auto"/>
          <w:kern w:val="2"/>
          <w:szCs w:val="21"/>
          <w:highlight w:val="none"/>
        </w:rPr>
        <w:t>.1 本合同</w:t>
      </w:r>
      <w:r>
        <w:rPr>
          <w:rFonts w:hint="eastAsia" w:ascii="宋体" w:hAnsi="宋体" w:eastAsia="宋体"/>
          <w:bCs/>
          <w:color w:val="auto"/>
          <w:kern w:val="2"/>
          <w:szCs w:val="21"/>
          <w:highlight w:val="none"/>
        </w:rPr>
        <w:t>涉及商品包装</w:t>
      </w:r>
      <w:r>
        <w:rPr>
          <w:rFonts w:hint="eastAsia" w:ascii="宋体" w:hAnsi="宋体" w:eastAsia="宋体"/>
          <w:bCs/>
          <w:color w:val="auto"/>
          <w:kern w:val="2"/>
          <w:szCs w:val="21"/>
          <w:highlight w:val="none"/>
          <w:lang w:eastAsia="zh-CN"/>
        </w:rPr>
        <w:t>、</w:t>
      </w:r>
      <w:r>
        <w:rPr>
          <w:rFonts w:hint="eastAsia" w:ascii="宋体" w:hAnsi="宋体" w:eastAsia="宋体"/>
          <w:bCs/>
          <w:color w:val="auto"/>
          <w:kern w:val="2"/>
          <w:szCs w:val="21"/>
          <w:highlight w:val="none"/>
        </w:rPr>
        <w:t>快递包装的，</w:t>
      </w:r>
      <w:r>
        <w:rPr>
          <w:rFonts w:hint="eastAsia" w:ascii="宋体" w:hAnsi="宋体" w:eastAsia="宋体"/>
          <w:color w:val="auto"/>
          <w:kern w:val="2"/>
          <w:szCs w:val="21"/>
          <w:highlight w:val="none"/>
        </w:rPr>
        <w:t>除</w:t>
      </w:r>
      <w:r>
        <w:rPr>
          <w:rFonts w:hint="eastAsia" w:ascii="宋体" w:hAnsi="宋体" w:eastAsia="宋体"/>
          <w:b/>
          <w:color w:val="auto"/>
          <w:kern w:val="2"/>
          <w:szCs w:val="21"/>
          <w:highlight w:val="none"/>
        </w:rPr>
        <w:t>【政府采购合同专用条款】</w:t>
      </w:r>
      <w:r>
        <w:rPr>
          <w:rFonts w:hint="eastAsia" w:ascii="宋体" w:hAnsi="宋体" w:eastAsia="宋体"/>
          <w:bCs/>
          <w:color w:val="auto"/>
          <w:kern w:val="2"/>
          <w:szCs w:val="21"/>
          <w:highlight w:val="none"/>
        </w:rPr>
        <w:t>另有</w:t>
      </w:r>
      <w:r>
        <w:rPr>
          <w:rFonts w:hint="eastAsia" w:ascii="宋体" w:hAnsi="宋体" w:eastAsia="宋体"/>
          <w:bCs/>
          <w:color w:val="auto"/>
          <w:kern w:val="2"/>
          <w:szCs w:val="21"/>
          <w:highlight w:val="none"/>
          <w:lang w:eastAsia="zh-CN"/>
        </w:rPr>
        <w:t>约</w:t>
      </w:r>
      <w:r>
        <w:rPr>
          <w:rFonts w:hint="eastAsia" w:ascii="宋体" w:hAnsi="宋体" w:eastAsia="宋体"/>
          <w:bCs/>
          <w:color w:val="auto"/>
          <w:kern w:val="2"/>
          <w:szCs w:val="21"/>
          <w:highlight w:val="none"/>
        </w:rPr>
        <w:t>定</w:t>
      </w:r>
      <w:r>
        <w:rPr>
          <w:rFonts w:hint="eastAsia" w:ascii="宋体" w:hAnsi="宋体" w:eastAsia="宋体"/>
          <w:bCs/>
          <w:color w:val="auto"/>
          <w:kern w:val="2"/>
          <w:szCs w:val="21"/>
          <w:highlight w:val="none"/>
          <w:lang w:eastAsia="zh-CN"/>
        </w:rPr>
        <w:t>外</w:t>
      </w:r>
      <w:r>
        <w:rPr>
          <w:rFonts w:hint="eastAsia" w:ascii="宋体" w:hAnsi="宋体" w:eastAsia="宋体"/>
          <w:bCs/>
          <w:color w:val="auto"/>
          <w:kern w:val="2"/>
          <w:szCs w:val="21"/>
          <w:highlight w:val="none"/>
        </w:rPr>
        <w:t>，</w:t>
      </w:r>
      <w:r>
        <w:rPr>
          <w:rFonts w:hint="eastAsia" w:ascii="宋体" w:hAnsi="宋体" w:eastAsia="宋体"/>
          <w:color w:val="auto"/>
          <w:kern w:val="2"/>
          <w:szCs w:val="21"/>
          <w:highlight w:val="none"/>
        </w:rPr>
        <w:t>包装应适应远距离运输、防潮、防震、防锈和防野蛮装卸等要求，确保货物安全无损地运抵</w:t>
      </w:r>
      <w:r>
        <w:rPr>
          <w:rFonts w:hint="eastAsia" w:ascii="宋体" w:hAnsi="宋体" w:eastAsia="宋体"/>
          <w:b/>
          <w:color w:val="auto"/>
          <w:kern w:val="2"/>
          <w:szCs w:val="21"/>
          <w:highlight w:val="none"/>
        </w:rPr>
        <w:t>【政府采购合同专用条款】</w:t>
      </w:r>
      <w:r>
        <w:rPr>
          <w:rFonts w:hint="eastAsia" w:ascii="宋体" w:hAnsi="宋体" w:eastAsia="宋体"/>
          <w:b w:val="0"/>
          <w:bCs/>
          <w:color w:val="auto"/>
          <w:kern w:val="2"/>
          <w:szCs w:val="21"/>
          <w:highlight w:val="none"/>
          <w:lang w:eastAsia="zh-CN"/>
        </w:rPr>
        <w:t>约定的</w:t>
      </w:r>
      <w:r>
        <w:rPr>
          <w:rFonts w:hint="eastAsia" w:ascii="宋体" w:hAnsi="宋体" w:eastAsia="宋体"/>
          <w:color w:val="auto"/>
          <w:kern w:val="2"/>
          <w:szCs w:val="21"/>
          <w:highlight w:val="none"/>
        </w:rPr>
        <w:t>指定现场。</w:t>
      </w:r>
    </w:p>
    <w:p w14:paraId="243EF697">
      <w:pPr>
        <w:widowControl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lang w:eastAsia="zh-CN"/>
        </w:rPr>
        <w:t>7</w:t>
      </w:r>
      <w:r>
        <w:rPr>
          <w:rFonts w:hint="eastAsia" w:ascii="宋体" w:hAnsi="宋体" w:eastAsia="宋体"/>
          <w:color w:val="auto"/>
          <w:kern w:val="2"/>
          <w:szCs w:val="21"/>
          <w:highlight w:val="none"/>
        </w:rPr>
        <w:t>.2 除</w:t>
      </w:r>
      <w:r>
        <w:rPr>
          <w:rFonts w:hint="eastAsia" w:ascii="宋体" w:hAnsi="宋体" w:eastAsia="宋体"/>
          <w:b/>
          <w:color w:val="auto"/>
          <w:kern w:val="2"/>
          <w:szCs w:val="21"/>
          <w:highlight w:val="none"/>
        </w:rPr>
        <w:t>【政府采购合同专用条款】</w:t>
      </w:r>
      <w:r>
        <w:rPr>
          <w:rFonts w:hint="eastAsia" w:ascii="宋体" w:hAnsi="宋体" w:eastAsia="宋体"/>
          <w:bCs/>
          <w:color w:val="auto"/>
          <w:kern w:val="2"/>
          <w:szCs w:val="21"/>
          <w:highlight w:val="none"/>
        </w:rPr>
        <w:t>另有</w:t>
      </w:r>
      <w:r>
        <w:rPr>
          <w:rFonts w:hint="eastAsia" w:ascii="宋体" w:hAnsi="宋体" w:eastAsia="宋体"/>
          <w:bCs/>
          <w:color w:val="auto"/>
          <w:kern w:val="2"/>
          <w:szCs w:val="21"/>
          <w:highlight w:val="none"/>
          <w:lang w:eastAsia="zh-CN"/>
        </w:rPr>
        <w:t>约</w:t>
      </w:r>
      <w:r>
        <w:rPr>
          <w:rFonts w:hint="eastAsia" w:ascii="宋体" w:hAnsi="宋体" w:eastAsia="宋体"/>
          <w:bCs/>
          <w:color w:val="auto"/>
          <w:kern w:val="2"/>
          <w:szCs w:val="21"/>
          <w:highlight w:val="none"/>
        </w:rPr>
        <w:t>定</w:t>
      </w:r>
      <w:r>
        <w:rPr>
          <w:rFonts w:hint="eastAsia" w:ascii="宋体" w:hAnsi="宋体" w:eastAsia="宋体"/>
          <w:bCs/>
          <w:color w:val="auto"/>
          <w:kern w:val="2"/>
          <w:szCs w:val="21"/>
          <w:highlight w:val="none"/>
          <w:lang w:eastAsia="zh-CN"/>
        </w:rPr>
        <w:t>外</w:t>
      </w:r>
      <w:r>
        <w:rPr>
          <w:rFonts w:hint="eastAsia" w:ascii="宋体" w:hAnsi="宋体" w:eastAsia="宋体"/>
          <w:bCs/>
          <w:color w:val="auto"/>
          <w:kern w:val="2"/>
          <w:szCs w:val="21"/>
          <w:highlight w:val="none"/>
        </w:rPr>
        <w:t>，</w:t>
      </w:r>
      <w:r>
        <w:rPr>
          <w:rFonts w:hint="eastAsia" w:ascii="宋体" w:hAnsi="宋体" w:eastAsia="宋体"/>
          <w:color w:val="auto"/>
          <w:kern w:val="2"/>
          <w:szCs w:val="21"/>
          <w:highlight w:val="none"/>
        </w:rPr>
        <w:t>乙方负责办理将货物运抵本合同规定的交货地点</w:t>
      </w:r>
      <w:r>
        <w:rPr>
          <w:rFonts w:hint="eastAsia" w:ascii="宋体" w:hAnsi="宋体" w:eastAsia="宋体"/>
          <w:color w:val="auto"/>
          <w:kern w:val="2"/>
          <w:szCs w:val="21"/>
          <w:highlight w:val="none"/>
          <w:lang w:eastAsia="zh-CN"/>
        </w:rPr>
        <w:t>，并装卸、交付至甲方</w:t>
      </w:r>
      <w:r>
        <w:rPr>
          <w:rFonts w:hint="eastAsia" w:ascii="宋体" w:hAnsi="宋体" w:eastAsia="宋体"/>
          <w:color w:val="auto"/>
          <w:kern w:val="2"/>
          <w:szCs w:val="21"/>
          <w:highlight w:val="none"/>
        </w:rPr>
        <w:t>的一切运输事项，相关费用应</w:t>
      </w:r>
      <w:r>
        <w:rPr>
          <w:rFonts w:hint="eastAsia" w:ascii="宋体" w:hAnsi="宋体" w:eastAsia="宋体"/>
          <w:color w:val="auto"/>
          <w:kern w:val="2"/>
          <w:szCs w:val="21"/>
          <w:highlight w:val="none"/>
          <w:lang w:eastAsia="zh-CN"/>
        </w:rPr>
        <w:t>包含</w:t>
      </w:r>
      <w:r>
        <w:rPr>
          <w:rFonts w:hint="eastAsia" w:ascii="宋体" w:hAnsi="宋体" w:eastAsia="宋体"/>
          <w:color w:val="auto"/>
          <w:kern w:val="2"/>
          <w:szCs w:val="21"/>
          <w:highlight w:val="none"/>
        </w:rPr>
        <w:t>在合同</w:t>
      </w:r>
      <w:r>
        <w:rPr>
          <w:rFonts w:hint="eastAsia" w:ascii="宋体" w:hAnsi="宋体" w:eastAsia="宋体"/>
          <w:color w:val="auto"/>
          <w:kern w:val="2"/>
          <w:szCs w:val="21"/>
          <w:highlight w:val="none"/>
          <w:lang w:eastAsia="zh-CN"/>
        </w:rPr>
        <w:t>价款</w:t>
      </w:r>
      <w:r>
        <w:rPr>
          <w:rFonts w:hint="eastAsia" w:ascii="宋体" w:hAnsi="宋体" w:eastAsia="宋体"/>
          <w:color w:val="auto"/>
          <w:kern w:val="2"/>
          <w:szCs w:val="21"/>
          <w:highlight w:val="none"/>
        </w:rPr>
        <w:t>中。</w:t>
      </w:r>
    </w:p>
    <w:p w14:paraId="4EA00ABA">
      <w:pPr>
        <w:widowControl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lang w:eastAsia="zh-CN"/>
        </w:rPr>
        <w:t>7</w:t>
      </w:r>
      <w:r>
        <w:rPr>
          <w:rFonts w:hint="eastAsia" w:ascii="宋体" w:hAnsi="宋体" w:eastAsia="宋体"/>
          <w:color w:val="auto"/>
          <w:kern w:val="2"/>
          <w:szCs w:val="21"/>
          <w:highlight w:val="none"/>
        </w:rPr>
        <w:t>.3 货物保险要求按</w:t>
      </w:r>
      <w:r>
        <w:rPr>
          <w:rFonts w:hint="eastAsia" w:ascii="宋体" w:hAnsi="宋体" w:eastAsia="宋体"/>
          <w:b/>
          <w:color w:val="auto"/>
          <w:kern w:val="2"/>
          <w:szCs w:val="21"/>
          <w:highlight w:val="none"/>
        </w:rPr>
        <w:t>【政府采购合同专用条款】</w:t>
      </w:r>
      <w:r>
        <w:rPr>
          <w:rFonts w:hint="eastAsia" w:ascii="宋体" w:hAnsi="宋体" w:eastAsia="宋体"/>
          <w:bCs/>
          <w:color w:val="auto"/>
          <w:kern w:val="2"/>
          <w:szCs w:val="21"/>
          <w:highlight w:val="none"/>
        </w:rPr>
        <w:t>规定执行</w:t>
      </w:r>
      <w:r>
        <w:rPr>
          <w:rFonts w:hint="eastAsia" w:ascii="宋体" w:hAnsi="宋体" w:eastAsia="宋体"/>
          <w:color w:val="auto"/>
          <w:kern w:val="2"/>
          <w:szCs w:val="21"/>
          <w:highlight w:val="none"/>
        </w:rPr>
        <w:t>。</w:t>
      </w:r>
    </w:p>
    <w:p w14:paraId="44C8A9AC">
      <w:pPr>
        <w:widowControl w:val="0"/>
        <w:autoSpaceDE w:val="0"/>
        <w:autoSpaceDN w:val="0"/>
        <w:adjustRightInd w:val="0"/>
        <w:snapToGrid w:val="0"/>
        <w:spacing w:before="0" w:line="400" w:lineRule="exact"/>
        <w:ind w:firstLine="420" w:firstLineChars="200"/>
        <w:jc w:val="left"/>
        <w:textAlignment w:val="auto"/>
        <w:rPr>
          <w:rFonts w:hint="eastAsia" w:ascii="宋体" w:hAnsi="宋体" w:eastAsia="宋体"/>
          <w:color w:val="auto"/>
          <w:kern w:val="2"/>
          <w:szCs w:val="21"/>
          <w:highlight w:val="none"/>
        </w:rPr>
      </w:pPr>
      <w:r>
        <w:rPr>
          <w:rFonts w:hint="eastAsia" w:ascii="宋体" w:hAnsi="宋体" w:eastAsia="宋体"/>
          <w:color w:val="auto"/>
          <w:kern w:val="2"/>
          <w:szCs w:val="21"/>
          <w:highlight w:val="none"/>
          <w:lang w:eastAsia="zh-CN"/>
        </w:rPr>
        <w:t>7</w:t>
      </w:r>
      <w:r>
        <w:rPr>
          <w:rFonts w:hint="eastAsia" w:ascii="宋体" w:hAnsi="宋体" w:eastAsia="宋体"/>
          <w:color w:val="auto"/>
          <w:kern w:val="2"/>
          <w:szCs w:val="21"/>
          <w:highlight w:val="none"/>
        </w:rPr>
        <w:t xml:space="preserve">.4 </w:t>
      </w:r>
      <w:r>
        <w:rPr>
          <w:rFonts w:hint="eastAsia" w:ascii="宋体" w:hAnsi="宋体" w:eastAsia="宋体"/>
          <w:color w:val="auto"/>
          <w:kern w:val="2"/>
          <w:szCs w:val="21"/>
          <w:highlight w:val="none"/>
          <w:lang w:val="en-US" w:eastAsia="zh-CN"/>
        </w:rPr>
        <w:t>除采购活动</w:t>
      </w:r>
      <w:r>
        <w:rPr>
          <w:rFonts w:hint="eastAsia" w:ascii="宋体" w:hAnsi="宋体" w:eastAsia="宋体"/>
          <w:color w:val="auto"/>
          <w:kern w:val="2"/>
          <w:szCs w:val="21"/>
          <w:highlight w:val="none"/>
        </w:rPr>
        <w:t>对商品包装</w:t>
      </w:r>
      <w:r>
        <w:rPr>
          <w:rFonts w:hint="eastAsia" w:ascii="宋体" w:hAnsi="宋体" w:eastAsia="宋体"/>
          <w:color w:val="auto"/>
          <w:kern w:val="2"/>
          <w:szCs w:val="21"/>
          <w:highlight w:val="none"/>
          <w:lang w:eastAsia="zh-CN"/>
        </w:rPr>
        <w:t>、</w:t>
      </w:r>
      <w:r>
        <w:rPr>
          <w:rFonts w:hint="eastAsia" w:ascii="宋体" w:hAnsi="宋体" w:eastAsia="宋体"/>
          <w:color w:val="auto"/>
          <w:kern w:val="2"/>
          <w:szCs w:val="21"/>
          <w:highlight w:val="none"/>
        </w:rPr>
        <w:t>快递包装</w:t>
      </w:r>
      <w:r>
        <w:rPr>
          <w:rFonts w:hint="eastAsia" w:ascii="宋体" w:hAnsi="宋体" w:eastAsia="宋体"/>
          <w:color w:val="auto"/>
          <w:kern w:val="2"/>
          <w:szCs w:val="21"/>
          <w:highlight w:val="none"/>
          <w:lang w:val="en-US" w:eastAsia="zh-CN"/>
        </w:rPr>
        <w:t>达成具体约定外</w:t>
      </w:r>
      <w:r>
        <w:rPr>
          <w:rFonts w:hint="eastAsia" w:ascii="宋体" w:hAnsi="宋体" w:eastAsia="宋体"/>
          <w:color w:val="auto"/>
          <w:kern w:val="2"/>
          <w:szCs w:val="21"/>
          <w:highlight w:val="none"/>
        </w:rPr>
        <w:t>，乙方提供产品及相关快递服务</w:t>
      </w:r>
      <w:r>
        <w:rPr>
          <w:rFonts w:hint="eastAsia" w:ascii="宋体" w:hAnsi="宋体" w:eastAsia="宋体"/>
          <w:color w:val="auto"/>
          <w:kern w:val="2"/>
          <w:szCs w:val="21"/>
          <w:highlight w:val="none"/>
          <w:lang w:val="en-US" w:eastAsia="zh-CN"/>
        </w:rPr>
        <w:t>涉及到</w:t>
      </w:r>
      <w:r>
        <w:rPr>
          <w:rFonts w:hint="eastAsia" w:ascii="宋体" w:hAnsi="宋体" w:eastAsia="宋体"/>
          <w:color w:val="auto"/>
          <w:kern w:val="2"/>
          <w:szCs w:val="21"/>
          <w:highlight w:val="none"/>
        </w:rPr>
        <w:t>具体包装要求</w:t>
      </w:r>
      <w:r>
        <w:rPr>
          <w:rFonts w:hint="eastAsia" w:ascii="宋体" w:hAnsi="宋体" w:eastAsia="宋体"/>
          <w:color w:val="auto"/>
          <w:kern w:val="2"/>
          <w:szCs w:val="21"/>
          <w:highlight w:val="none"/>
          <w:lang w:val="en-US" w:eastAsia="zh-CN"/>
        </w:rPr>
        <w:t>的，</w:t>
      </w:r>
      <w:r>
        <w:rPr>
          <w:rFonts w:hint="eastAsia" w:ascii="宋体" w:hAnsi="宋体" w:eastAsia="宋体"/>
          <w:color w:val="auto"/>
          <w:kern w:val="2"/>
          <w:szCs w:val="21"/>
          <w:highlight w:val="none"/>
        </w:rPr>
        <w:t>应</w:t>
      </w:r>
      <w:r>
        <w:rPr>
          <w:rFonts w:hint="eastAsia" w:ascii="宋体" w:hAnsi="宋体" w:eastAsia="宋体"/>
          <w:color w:val="auto"/>
          <w:kern w:val="2"/>
          <w:szCs w:val="21"/>
          <w:highlight w:val="none"/>
          <w:lang w:val="en-US" w:eastAsia="zh-CN"/>
        </w:rPr>
        <w:t>不低于</w:t>
      </w:r>
      <w:r>
        <w:rPr>
          <w:rFonts w:hint="eastAsia" w:ascii="宋体" w:hAnsi="宋体" w:eastAsia="宋体"/>
          <w:color w:val="auto"/>
          <w:kern w:val="2"/>
          <w:szCs w:val="21"/>
          <w:highlight w:val="none"/>
        </w:rPr>
        <w:t>《商品包装政府采购需求标准（试行）</w:t>
      </w:r>
      <w:r>
        <w:rPr>
          <w:rFonts w:hint="eastAsia" w:ascii="宋体" w:hAnsi="宋体" w:eastAsia="宋体"/>
          <w:color w:val="auto"/>
          <w:kern w:val="2"/>
          <w:szCs w:val="21"/>
          <w:highlight w:val="none"/>
          <w:lang w:eastAsia="zh-CN"/>
        </w:rPr>
        <w:t>》《</w:t>
      </w:r>
      <w:r>
        <w:rPr>
          <w:rFonts w:hint="eastAsia" w:ascii="宋体" w:hAnsi="宋体" w:eastAsia="宋体"/>
          <w:color w:val="auto"/>
          <w:kern w:val="2"/>
          <w:szCs w:val="21"/>
          <w:highlight w:val="none"/>
        </w:rPr>
        <w:t>快递包装政府采购需求标准（试行）》</w:t>
      </w:r>
      <w:r>
        <w:rPr>
          <w:rFonts w:hint="eastAsia" w:ascii="宋体" w:hAnsi="宋体" w:eastAsia="宋体"/>
          <w:color w:val="auto"/>
          <w:kern w:val="2"/>
          <w:szCs w:val="21"/>
          <w:highlight w:val="none"/>
          <w:lang w:val="en-US" w:eastAsia="zh-CN"/>
        </w:rPr>
        <w:t>标准</w:t>
      </w:r>
      <w:r>
        <w:rPr>
          <w:rFonts w:hint="eastAsia" w:ascii="宋体" w:hAnsi="宋体" w:eastAsia="宋体"/>
          <w:color w:val="auto"/>
          <w:kern w:val="2"/>
          <w:szCs w:val="21"/>
          <w:highlight w:val="none"/>
        </w:rPr>
        <w:t>，并作为履约验收的内容，必要时甲方可以要求乙方在履约验收环节出具检测报告。</w:t>
      </w:r>
    </w:p>
    <w:p w14:paraId="0FC02DEF">
      <w:pPr>
        <w:widowControl w:val="0"/>
        <w:autoSpaceDE w:val="0"/>
        <w:autoSpaceDN w:val="0"/>
        <w:adjustRightInd w:val="0"/>
        <w:snapToGrid w:val="0"/>
        <w:spacing w:before="0" w:line="400" w:lineRule="exact"/>
        <w:ind w:firstLine="420" w:firstLineChars="200"/>
        <w:jc w:val="left"/>
        <w:textAlignment w:val="auto"/>
        <w:rPr>
          <w:rFonts w:hint="eastAsia" w:ascii="宋体" w:hAnsi="宋体" w:eastAsia="宋体"/>
          <w:color w:val="auto"/>
          <w:kern w:val="2"/>
          <w:szCs w:val="21"/>
          <w:highlight w:val="none"/>
        </w:rPr>
      </w:pPr>
      <w:r>
        <w:rPr>
          <w:rFonts w:hint="eastAsia" w:ascii="宋体" w:hAnsi="宋体" w:eastAsia="宋体"/>
          <w:color w:val="auto"/>
          <w:kern w:val="2"/>
          <w:szCs w:val="21"/>
          <w:highlight w:val="none"/>
          <w:lang w:val="en-US" w:eastAsia="zh-CN"/>
        </w:rPr>
        <w:t xml:space="preserve">7.5 </w:t>
      </w:r>
      <w:r>
        <w:rPr>
          <w:rFonts w:hint="eastAsia" w:ascii="宋体" w:hAnsi="宋体" w:eastAsia="宋体" w:cs="宋体"/>
          <w:color w:val="auto"/>
          <w:kern w:val="2"/>
          <w:szCs w:val="21"/>
        </w:rPr>
        <w:t>乙方在运输到达之前</w:t>
      </w:r>
      <w:r>
        <w:rPr>
          <w:rFonts w:hint="eastAsia" w:ascii="宋体" w:hAnsi="宋体" w:eastAsia="宋体" w:cs="宋体"/>
          <w:color w:val="auto"/>
          <w:kern w:val="2"/>
          <w:szCs w:val="21"/>
          <w:lang w:eastAsia="zh-CN"/>
        </w:rPr>
        <w:t>应</w:t>
      </w:r>
      <w:r>
        <w:rPr>
          <w:rFonts w:hint="eastAsia" w:ascii="宋体" w:hAnsi="宋体" w:eastAsia="宋体" w:cs="宋体"/>
          <w:color w:val="auto"/>
          <w:kern w:val="2"/>
          <w:szCs w:val="21"/>
        </w:rPr>
        <w:t>提前通知</w:t>
      </w:r>
      <w:r>
        <w:rPr>
          <w:rFonts w:hint="eastAsia" w:ascii="宋体" w:hAnsi="宋体" w:eastAsia="宋体" w:cs="宋体"/>
          <w:color w:val="auto"/>
          <w:kern w:val="2"/>
          <w:szCs w:val="21"/>
          <w:lang w:eastAsia="zh-CN"/>
        </w:rPr>
        <w:t>甲方</w:t>
      </w:r>
      <w:r>
        <w:rPr>
          <w:rFonts w:hint="eastAsia" w:ascii="宋体" w:hAnsi="宋体" w:eastAsia="宋体" w:cs="宋体"/>
          <w:color w:val="auto"/>
          <w:kern w:val="2"/>
          <w:szCs w:val="21"/>
        </w:rPr>
        <w:t>，并提示货物运输装卸的注意事项</w:t>
      </w:r>
      <w:r>
        <w:rPr>
          <w:rFonts w:hint="eastAsia" w:ascii="宋体" w:hAnsi="宋体" w:eastAsia="宋体" w:cs="宋体"/>
          <w:color w:val="auto"/>
          <w:kern w:val="2"/>
          <w:szCs w:val="21"/>
          <w:lang w:eastAsia="zh-CN"/>
        </w:rPr>
        <w:t>，甲方配合乙方做好货物的接收工作。</w:t>
      </w:r>
    </w:p>
    <w:p w14:paraId="637AC201">
      <w:pPr>
        <w:autoSpaceDE w:val="0"/>
        <w:autoSpaceDN w:val="0"/>
        <w:adjustRightInd w:val="0"/>
        <w:spacing w:line="400" w:lineRule="exact"/>
        <w:ind w:firstLine="420" w:firstLineChars="200"/>
        <w:rPr>
          <w:rFonts w:hint="default" w:ascii="华文楷体" w:hAnsi="华文楷体" w:eastAsia="华文楷体" w:cs="华文楷体"/>
          <w:color w:val="auto"/>
          <w:sz w:val="21"/>
          <w:szCs w:val="21"/>
          <w:lang w:val="en-US" w:eastAsia="zh-CN" w:bidi="ar-SA"/>
        </w:rPr>
      </w:pPr>
      <w:r>
        <w:rPr>
          <w:rFonts w:hint="eastAsia" w:ascii="宋体" w:hAnsi="宋体" w:eastAsia="宋体" w:cs="Times New Roman"/>
          <w:color w:val="auto"/>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14:paraId="35CCDC41">
      <w:pPr>
        <w:widowControl w:val="0"/>
        <w:adjustRightInd w:val="0"/>
        <w:snapToGrid w:val="0"/>
        <w:spacing w:before="0" w:line="400" w:lineRule="exact"/>
        <w:jc w:val="left"/>
        <w:textAlignment w:val="auto"/>
        <w:rPr>
          <w:rFonts w:ascii="宋体" w:hAnsi="宋体" w:eastAsia="宋体"/>
          <w:b/>
          <w:color w:val="auto"/>
          <w:kern w:val="2"/>
          <w:sz w:val="24"/>
          <w:szCs w:val="24"/>
          <w:highlight w:val="none"/>
        </w:rPr>
      </w:pPr>
      <w:r>
        <w:rPr>
          <w:rFonts w:hint="eastAsia" w:ascii="宋体" w:hAnsi="宋体" w:eastAsia="宋体"/>
          <w:b/>
          <w:color w:val="auto"/>
          <w:kern w:val="2"/>
          <w:sz w:val="24"/>
          <w:szCs w:val="24"/>
          <w:highlight w:val="none"/>
          <w:lang w:eastAsia="zh-CN"/>
        </w:rPr>
        <w:t>8</w:t>
      </w:r>
      <w:r>
        <w:rPr>
          <w:rFonts w:hint="eastAsia" w:ascii="宋体" w:hAnsi="宋体" w:eastAsia="宋体"/>
          <w:b/>
          <w:color w:val="auto"/>
          <w:kern w:val="2"/>
          <w:sz w:val="24"/>
          <w:szCs w:val="24"/>
          <w:highlight w:val="none"/>
          <w:lang w:val="en-US" w:eastAsia="zh-CN"/>
        </w:rPr>
        <w:t xml:space="preserve">. </w:t>
      </w:r>
      <w:r>
        <w:rPr>
          <w:rFonts w:hint="eastAsia" w:ascii="宋体" w:hAnsi="宋体" w:eastAsia="宋体"/>
          <w:b/>
          <w:color w:val="auto"/>
          <w:kern w:val="2"/>
          <w:sz w:val="24"/>
          <w:szCs w:val="24"/>
          <w:highlight w:val="none"/>
        </w:rPr>
        <w:t>质量标准和保证</w:t>
      </w:r>
    </w:p>
    <w:p w14:paraId="305E4906">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14:paraId="2D2178F4">
      <w:pPr>
        <w:widowControl w:val="0"/>
        <w:autoSpaceDE w:val="0"/>
        <w:autoSpaceDN w:val="0"/>
        <w:adjustRightInd w:val="0"/>
        <w:snapToGrid w:val="0"/>
        <w:spacing w:before="0" w:line="400" w:lineRule="exact"/>
        <w:ind w:firstLine="420" w:firstLineChars="200"/>
        <w:jc w:val="left"/>
        <w:textAlignment w:val="auto"/>
        <w:rPr>
          <w:rFonts w:hint="eastAsia" w:ascii="宋体" w:hAnsi="宋体" w:eastAsia="宋体"/>
          <w:color w:val="auto"/>
          <w:kern w:val="2"/>
          <w:szCs w:val="21"/>
          <w:highlight w:val="none"/>
        </w:rPr>
      </w:pPr>
      <w:r>
        <w:rPr>
          <w:rFonts w:hint="eastAsia" w:ascii="宋体" w:hAnsi="宋体" w:eastAsia="宋体"/>
          <w:color w:val="auto"/>
          <w:kern w:val="2"/>
          <w:szCs w:val="21"/>
          <w:highlight w:val="none"/>
        </w:rPr>
        <w:t>（1）本合同下</w:t>
      </w:r>
      <w:r>
        <w:rPr>
          <w:rFonts w:hint="eastAsia" w:ascii="宋体" w:hAnsi="宋体" w:eastAsia="宋体"/>
          <w:color w:val="auto"/>
          <w:kern w:val="2"/>
          <w:szCs w:val="21"/>
          <w:highlight w:val="none"/>
          <w:lang w:eastAsia="zh-CN"/>
        </w:rPr>
        <w:t>提供</w:t>
      </w:r>
      <w:r>
        <w:rPr>
          <w:rFonts w:hint="eastAsia" w:ascii="宋体" w:hAnsi="宋体" w:eastAsia="宋体"/>
          <w:color w:val="auto"/>
          <w:kern w:val="2"/>
          <w:szCs w:val="21"/>
          <w:highlight w:val="none"/>
        </w:rPr>
        <w:t>的货物应符合</w:t>
      </w:r>
      <w:r>
        <w:rPr>
          <w:rFonts w:hint="eastAsia" w:ascii="宋体" w:hAnsi="宋体" w:eastAsia="宋体"/>
          <w:color w:val="auto"/>
          <w:kern w:val="2"/>
          <w:szCs w:val="21"/>
          <w:highlight w:val="none"/>
          <w:lang w:eastAsia="zh-CN"/>
        </w:rPr>
        <w:t>合同</w:t>
      </w:r>
      <w:r>
        <w:rPr>
          <w:rFonts w:hint="eastAsia" w:ascii="宋体" w:hAnsi="宋体" w:eastAsia="宋体" w:cs="宋体"/>
          <w:color w:val="auto"/>
          <w:kern w:val="2"/>
          <w:szCs w:val="21"/>
          <w:lang w:eastAsia="zh-CN"/>
        </w:rPr>
        <w:t>约</w:t>
      </w:r>
      <w:r>
        <w:rPr>
          <w:rFonts w:hint="eastAsia" w:ascii="宋体" w:hAnsi="宋体" w:eastAsia="宋体" w:cs="宋体"/>
          <w:color w:val="auto"/>
          <w:kern w:val="2"/>
          <w:szCs w:val="21"/>
        </w:rPr>
        <w:t>定的品牌、规格型号、技术性能、配置、质量、数量等要求。</w:t>
      </w:r>
      <w:r>
        <w:rPr>
          <w:rFonts w:hint="eastAsia" w:ascii="宋体" w:hAnsi="宋体" w:eastAsia="宋体"/>
          <w:color w:val="auto"/>
          <w:kern w:val="2"/>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kern w:val="2"/>
          <w:szCs w:val="21"/>
          <w:highlight w:val="none"/>
          <w:lang w:eastAsia="zh-CN"/>
        </w:rPr>
        <w:t>。</w:t>
      </w:r>
    </w:p>
    <w:p w14:paraId="03A27D98">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14:paraId="3E3A2F9C">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（3）乙方所</w:t>
      </w:r>
      <w:r>
        <w:rPr>
          <w:rFonts w:hint="eastAsia" w:ascii="宋体" w:hAnsi="宋体" w:eastAsia="宋体"/>
          <w:color w:val="auto"/>
          <w:kern w:val="2"/>
          <w:szCs w:val="21"/>
          <w:highlight w:val="none"/>
          <w:lang w:eastAsia="zh-CN"/>
        </w:rPr>
        <w:t>提供</w:t>
      </w:r>
      <w:r>
        <w:rPr>
          <w:rFonts w:hint="eastAsia" w:ascii="宋体" w:hAnsi="宋体" w:eastAsia="宋体"/>
          <w:color w:val="auto"/>
          <w:kern w:val="2"/>
          <w:szCs w:val="21"/>
          <w:highlight w:val="none"/>
        </w:rPr>
        <w:t>的货物应符合国家有关安全、环保、卫生</w:t>
      </w:r>
      <w:r>
        <w:rPr>
          <w:rFonts w:hint="eastAsia" w:ascii="宋体" w:hAnsi="宋体" w:eastAsia="宋体"/>
          <w:color w:val="auto"/>
          <w:kern w:val="2"/>
          <w:szCs w:val="21"/>
          <w:highlight w:val="none"/>
          <w:lang w:eastAsia="zh-CN"/>
        </w:rPr>
        <w:t>的</w:t>
      </w:r>
      <w:r>
        <w:rPr>
          <w:rFonts w:hint="eastAsia" w:ascii="宋体" w:hAnsi="宋体" w:eastAsia="宋体"/>
          <w:color w:val="auto"/>
          <w:kern w:val="2"/>
          <w:szCs w:val="21"/>
          <w:highlight w:val="none"/>
        </w:rPr>
        <w:t>规定。</w:t>
      </w:r>
    </w:p>
    <w:p w14:paraId="517D263C">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（4）乙方应向甲方提交所</w:t>
      </w:r>
      <w:r>
        <w:rPr>
          <w:rFonts w:hint="eastAsia" w:ascii="宋体" w:hAnsi="宋体" w:eastAsia="宋体"/>
          <w:color w:val="auto"/>
          <w:kern w:val="2"/>
          <w:szCs w:val="21"/>
          <w:highlight w:val="none"/>
          <w:lang w:eastAsia="zh-CN"/>
        </w:rPr>
        <w:t>提供</w:t>
      </w:r>
      <w:r>
        <w:rPr>
          <w:rFonts w:hint="eastAsia" w:ascii="宋体" w:hAnsi="宋体" w:eastAsia="宋体"/>
          <w:color w:val="auto"/>
          <w:kern w:val="2"/>
          <w:szCs w:val="21"/>
          <w:highlight w:val="none"/>
        </w:rPr>
        <w:t>货物的技术文件，包括相应的中文技术文件，如：产品目录、图纸、操作手册、使用说明、维护手册或服务指南</w:t>
      </w:r>
      <w:r>
        <w:rPr>
          <w:rFonts w:hint="eastAsia" w:ascii="宋体" w:hAnsi="宋体" w:eastAsia="宋体"/>
          <w:color w:val="auto"/>
          <w:kern w:val="2"/>
          <w:szCs w:val="21"/>
          <w:highlight w:val="none"/>
          <w:lang w:eastAsia="zh-CN"/>
        </w:rPr>
        <w:t>等</w:t>
      </w: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eastAsia="zh-CN"/>
        </w:rPr>
        <w:t>上述</w:t>
      </w:r>
      <w:r>
        <w:rPr>
          <w:rFonts w:hint="eastAsia" w:ascii="宋体" w:hAnsi="宋体" w:eastAsia="宋体"/>
          <w:color w:val="auto"/>
          <w:kern w:val="2"/>
          <w:szCs w:val="21"/>
          <w:highlight w:val="none"/>
        </w:rPr>
        <w:t>文件应包装好随货物一同发运。</w:t>
      </w:r>
    </w:p>
    <w:p w14:paraId="26D4A8E8">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lang w:eastAsia="zh-CN"/>
        </w:rPr>
        <w:t>8</w:t>
      </w:r>
      <w:r>
        <w:rPr>
          <w:rFonts w:hint="eastAsia" w:ascii="宋体" w:hAnsi="宋体" w:eastAsia="宋体"/>
          <w:color w:val="auto"/>
          <w:kern w:val="2"/>
          <w:szCs w:val="21"/>
          <w:highlight w:val="none"/>
        </w:rPr>
        <w:t>.2 保证</w:t>
      </w:r>
    </w:p>
    <w:p w14:paraId="240D75E8">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（1）乙方应保证</w:t>
      </w:r>
      <w:r>
        <w:rPr>
          <w:rFonts w:hint="eastAsia" w:ascii="宋体" w:hAnsi="宋体" w:eastAsia="宋体"/>
          <w:color w:val="auto"/>
          <w:kern w:val="2"/>
          <w:szCs w:val="21"/>
          <w:highlight w:val="none"/>
          <w:lang w:eastAsia="zh-CN"/>
        </w:rPr>
        <w:t>提供的货物</w:t>
      </w:r>
      <w:r>
        <w:rPr>
          <w:rFonts w:hint="eastAsia" w:ascii="宋体" w:hAnsi="宋体" w:eastAsia="宋体"/>
          <w:color w:val="auto"/>
          <w:kern w:val="2"/>
          <w:szCs w:val="21"/>
          <w:highlight w:val="none"/>
        </w:rPr>
        <w:t>完全符合合同规定的质量、规格和性能要求。乙方应保证货物在正确安装、正常使用和保养条件下，</w:t>
      </w:r>
      <w:r>
        <w:rPr>
          <w:rFonts w:hint="eastAsia" w:ascii="宋体" w:hAnsi="宋体" w:eastAsia="宋体" w:cs="宋体"/>
          <w:color w:val="auto"/>
          <w:kern w:val="2"/>
          <w:szCs w:val="21"/>
        </w:rPr>
        <w:t>在其使用寿命期内具</w:t>
      </w:r>
      <w:r>
        <w:rPr>
          <w:rFonts w:hint="eastAsia" w:ascii="宋体" w:hAnsi="宋体" w:eastAsia="宋体" w:cs="宋体"/>
          <w:color w:val="auto"/>
          <w:kern w:val="2"/>
          <w:szCs w:val="21"/>
          <w:lang w:eastAsia="zh-CN"/>
        </w:rPr>
        <w:t>备合同约定</w:t>
      </w:r>
      <w:r>
        <w:rPr>
          <w:rFonts w:hint="eastAsia" w:ascii="宋体" w:hAnsi="宋体" w:eastAsia="宋体" w:cs="宋体"/>
          <w:color w:val="auto"/>
          <w:kern w:val="2"/>
          <w:szCs w:val="21"/>
        </w:rPr>
        <w:t>的性能</w:t>
      </w: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eastAsia="zh-CN"/>
        </w:rPr>
        <w:t>存在</w:t>
      </w:r>
      <w:r>
        <w:rPr>
          <w:rFonts w:hint="eastAsia" w:ascii="宋体" w:hAnsi="宋体" w:eastAsia="宋体"/>
          <w:color w:val="auto"/>
          <w:kern w:val="2"/>
          <w:szCs w:val="21"/>
          <w:highlight w:val="none"/>
        </w:rPr>
        <w:t>质量保证期的，货物最终交付验收</w:t>
      </w:r>
      <w:r>
        <w:rPr>
          <w:rFonts w:hint="eastAsia" w:ascii="宋体" w:hAnsi="宋体" w:eastAsia="宋体"/>
          <w:color w:val="auto"/>
          <w:kern w:val="2"/>
          <w:szCs w:val="21"/>
          <w:highlight w:val="none"/>
          <w:lang w:eastAsia="zh-CN"/>
        </w:rPr>
        <w:t>合格</w:t>
      </w:r>
      <w:r>
        <w:rPr>
          <w:rFonts w:hint="eastAsia" w:ascii="宋体" w:hAnsi="宋体" w:eastAsia="宋体"/>
          <w:color w:val="auto"/>
          <w:kern w:val="2"/>
          <w:szCs w:val="21"/>
          <w:highlight w:val="none"/>
        </w:rPr>
        <w:t>后</w:t>
      </w:r>
      <w:r>
        <w:rPr>
          <w:rFonts w:hint="eastAsia" w:ascii="宋体" w:hAnsi="宋体" w:eastAsia="宋体"/>
          <w:color w:val="auto"/>
          <w:kern w:val="2"/>
          <w:szCs w:val="21"/>
          <w:highlight w:val="none"/>
          <w:lang w:eastAsia="zh-CN"/>
        </w:rPr>
        <w:t>在</w:t>
      </w:r>
      <w:r>
        <w:rPr>
          <w:rFonts w:hint="eastAsia" w:ascii="宋体" w:hAnsi="宋体" w:eastAsia="宋体"/>
          <w:b/>
          <w:color w:val="auto"/>
          <w:kern w:val="2"/>
          <w:szCs w:val="21"/>
          <w:highlight w:val="none"/>
        </w:rPr>
        <w:t>【政府采购合同专用条款】</w:t>
      </w:r>
      <w:r>
        <w:rPr>
          <w:rFonts w:hint="eastAsia" w:ascii="宋体" w:hAnsi="宋体" w:eastAsia="宋体"/>
          <w:color w:val="auto"/>
          <w:kern w:val="2"/>
          <w:szCs w:val="21"/>
          <w:highlight w:val="none"/>
        </w:rPr>
        <w:t>规定或乙方</w:t>
      </w:r>
      <w:r>
        <w:rPr>
          <w:rFonts w:hint="eastAsia" w:ascii="宋体" w:hAnsi="宋体" w:eastAsia="宋体"/>
          <w:color w:val="auto"/>
          <w:kern w:val="2"/>
          <w:szCs w:val="21"/>
          <w:highlight w:val="none"/>
          <w:lang w:eastAsia="zh-CN"/>
        </w:rPr>
        <w:t>书面</w:t>
      </w:r>
      <w:r>
        <w:rPr>
          <w:rFonts w:hint="eastAsia" w:ascii="宋体" w:hAnsi="宋体" w:eastAsia="宋体"/>
          <w:color w:val="auto"/>
          <w:kern w:val="2"/>
          <w:szCs w:val="21"/>
          <w:highlight w:val="none"/>
        </w:rPr>
        <w:t>承诺（两者以较长的为准）的质量保证期内，本保证保持有效。</w:t>
      </w:r>
    </w:p>
    <w:p w14:paraId="4A06119D">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（2）在质量保证期内所发现的缺陷，甲方应尽快以书面形式通知乙方。</w:t>
      </w:r>
    </w:p>
    <w:p w14:paraId="0F058B22">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（3）乙方收到通知后</w:t>
      </w:r>
      <w:r>
        <w:rPr>
          <w:rFonts w:hint="eastAsia" w:ascii="宋体" w:hAnsi="宋体" w:eastAsia="宋体"/>
          <w:color w:val="auto"/>
          <w:kern w:val="2"/>
          <w:szCs w:val="21"/>
          <w:highlight w:val="none"/>
          <w:lang w:eastAsia="zh-CN"/>
        </w:rPr>
        <w:t>，</w:t>
      </w:r>
      <w:r>
        <w:rPr>
          <w:rFonts w:hint="eastAsia" w:ascii="宋体" w:hAnsi="宋体" w:eastAsia="宋体"/>
          <w:color w:val="auto"/>
          <w:kern w:val="2"/>
          <w:szCs w:val="21"/>
          <w:highlight w:val="none"/>
        </w:rPr>
        <w:t>应在</w:t>
      </w:r>
      <w:r>
        <w:rPr>
          <w:rFonts w:hint="eastAsia" w:ascii="宋体" w:hAnsi="宋体" w:eastAsia="宋体"/>
          <w:b/>
          <w:color w:val="auto"/>
          <w:kern w:val="2"/>
          <w:szCs w:val="21"/>
          <w:highlight w:val="none"/>
        </w:rPr>
        <w:t>【政府采购合同专用条款】</w:t>
      </w:r>
      <w:r>
        <w:rPr>
          <w:rFonts w:hint="eastAsia" w:ascii="宋体" w:hAnsi="宋体" w:eastAsia="宋体"/>
          <w:color w:val="auto"/>
          <w:kern w:val="2"/>
          <w:szCs w:val="21"/>
          <w:highlight w:val="none"/>
        </w:rPr>
        <w:t>规定的响应时间内以合理的速度免费维修或更换有缺陷的货物或部件。</w:t>
      </w:r>
    </w:p>
    <w:p w14:paraId="5EA81669">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auto"/>
          <w:kern w:val="2"/>
          <w:szCs w:val="21"/>
          <w:highlight w:val="none"/>
          <w:lang w:val="en-US" w:eastAsia="zh-CN"/>
        </w:rPr>
        <w:t>5</w:t>
      </w:r>
      <w:r>
        <w:rPr>
          <w:rFonts w:hint="eastAsia" w:ascii="宋体" w:hAnsi="宋体" w:eastAsia="宋体"/>
          <w:color w:val="auto"/>
          <w:kern w:val="2"/>
          <w:szCs w:val="21"/>
          <w:highlight w:val="none"/>
        </w:rPr>
        <w:t>.1条规定以书面形式</w:t>
      </w:r>
      <w:r>
        <w:rPr>
          <w:rFonts w:hint="eastAsia" w:ascii="宋体" w:hAnsi="宋体" w:eastAsia="宋体"/>
          <w:color w:val="auto"/>
          <w:kern w:val="2"/>
          <w:szCs w:val="21"/>
          <w:highlight w:val="none"/>
          <w:lang w:eastAsia="zh-CN"/>
        </w:rPr>
        <w:t>追究</w:t>
      </w:r>
      <w:r>
        <w:rPr>
          <w:rFonts w:hint="eastAsia" w:ascii="宋体" w:hAnsi="宋体" w:eastAsia="宋体"/>
          <w:color w:val="auto"/>
          <w:kern w:val="2"/>
          <w:szCs w:val="21"/>
          <w:highlight w:val="none"/>
        </w:rPr>
        <w:t>乙方</w:t>
      </w:r>
      <w:r>
        <w:rPr>
          <w:rFonts w:hint="eastAsia" w:ascii="宋体" w:hAnsi="宋体" w:eastAsia="宋体"/>
          <w:color w:val="auto"/>
          <w:kern w:val="2"/>
          <w:szCs w:val="21"/>
          <w:highlight w:val="none"/>
          <w:lang w:eastAsia="zh-CN"/>
        </w:rPr>
        <w:t>的违约责任</w:t>
      </w:r>
      <w:r>
        <w:rPr>
          <w:rFonts w:hint="eastAsia" w:ascii="宋体" w:hAnsi="宋体" w:eastAsia="宋体"/>
          <w:color w:val="auto"/>
          <w:kern w:val="2"/>
          <w:szCs w:val="21"/>
          <w:highlight w:val="none"/>
        </w:rPr>
        <w:t>。</w:t>
      </w:r>
    </w:p>
    <w:p w14:paraId="2018BEB3">
      <w:pPr>
        <w:widowControl w:val="0"/>
        <w:adjustRightInd w:val="0"/>
        <w:snapToGrid w:val="0"/>
        <w:spacing w:before="0" w:line="400" w:lineRule="exact"/>
        <w:ind w:firstLine="420" w:firstLineChars="200"/>
        <w:jc w:val="left"/>
        <w:textAlignment w:val="auto"/>
        <w:rPr>
          <w:rFonts w:eastAsia="宋体"/>
          <w:color w:val="auto"/>
          <w:kern w:val="2"/>
          <w:szCs w:val="24"/>
          <w:highlight w:val="none"/>
        </w:rPr>
      </w:pPr>
      <w:r>
        <w:rPr>
          <w:rFonts w:hint="eastAsia" w:ascii="宋体" w:hAnsi="宋体" w:eastAsia="宋体"/>
          <w:color w:val="auto"/>
          <w:kern w:val="2"/>
          <w:szCs w:val="21"/>
          <w:highlight w:val="none"/>
        </w:rPr>
        <w:t>（5）乙方在约定的时间内未能弥补缺陷，甲方可采取必要的补救措施，但其风险和费用将由乙方承担，甲方根据合同</w:t>
      </w:r>
      <w:r>
        <w:rPr>
          <w:rFonts w:hint="eastAsia" w:ascii="宋体" w:hAnsi="宋体" w:eastAsia="宋体"/>
          <w:color w:val="auto"/>
          <w:kern w:val="2"/>
          <w:szCs w:val="21"/>
          <w:highlight w:val="none"/>
          <w:lang w:eastAsia="zh-CN"/>
        </w:rPr>
        <w:t>约定</w:t>
      </w:r>
      <w:r>
        <w:rPr>
          <w:rFonts w:hint="eastAsia" w:ascii="宋体" w:hAnsi="宋体" w:eastAsia="宋体"/>
          <w:color w:val="auto"/>
          <w:kern w:val="2"/>
          <w:szCs w:val="21"/>
          <w:highlight w:val="none"/>
        </w:rPr>
        <w:t>对乙方行使的其他权利不受影响。</w:t>
      </w:r>
    </w:p>
    <w:p w14:paraId="77499360">
      <w:pPr>
        <w:widowControl w:val="0"/>
        <w:adjustRightInd w:val="0"/>
        <w:snapToGrid w:val="0"/>
        <w:spacing w:before="0" w:line="400" w:lineRule="exact"/>
        <w:jc w:val="left"/>
        <w:textAlignment w:val="auto"/>
        <w:rPr>
          <w:rFonts w:ascii="宋体" w:hAnsi="宋体" w:eastAsia="宋体"/>
          <w:b/>
          <w:bCs/>
          <w:color w:val="auto"/>
          <w:kern w:val="2"/>
          <w:sz w:val="24"/>
          <w:szCs w:val="24"/>
          <w:highlight w:val="none"/>
        </w:rPr>
      </w:pPr>
      <w:r>
        <w:rPr>
          <w:rFonts w:hint="eastAsia" w:ascii="宋体" w:hAnsi="宋体" w:eastAsia="宋体"/>
          <w:b/>
          <w:bCs/>
          <w:color w:val="auto"/>
          <w:kern w:val="2"/>
          <w:sz w:val="24"/>
          <w:szCs w:val="24"/>
          <w:highlight w:val="none"/>
          <w:lang w:eastAsia="zh-CN"/>
        </w:rPr>
        <w:t>9</w:t>
      </w:r>
      <w:r>
        <w:rPr>
          <w:rFonts w:hint="eastAsia" w:ascii="宋体" w:hAnsi="宋体" w:eastAsia="宋体"/>
          <w:b/>
          <w:bCs/>
          <w:color w:val="auto"/>
          <w:kern w:val="2"/>
          <w:sz w:val="24"/>
          <w:szCs w:val="24"/>
          <w:highlight w:val="none"/>
        </w:rPr>
        <w:t>.</w:t>
      </w:r>
      <w:r>
        <w:rPr>
          <w:rFonts w:hint="eastAsia" w:ascii="宋体" w:hAnsi="宋体" w:eastAsia="宋体"/>
          <w:b/>
          <w:bCs/>
          <w:color w:val="auto"/>
          <w:kern w:val="2"/>
          <w:sz w:val="24"/>
          <w:szCs w:val="24"/>
          <w:highlight w:val="none"/>
          <w:lang w:val="en-US" w:eastAsia="zh-CN"/>
        </w:rPr>
        <w:t xml:space="preserve"> </w:t>
      </w:r>
      <w:r>
        <w:rPr>
          <w:rFonts w:hint="eastAsia" w:ascii="宋体" w:hAnsi="宋体" w:eastAsia="宋体"/>
          <w:b/>
          <w:bCs/>
          <w:color w:val="auto"/>
          <w:kern w:val="2"/>
          <w:sz w:val="24"/>
          <w:szCs w:val="24"/>
          <w:highlight w:val="none"/>
        </w:rPr>
        <w:t>权利瑕疵担保</w:t>
      </w:r>
    </w:p>
    <w:p w14:paraId="0186CD36">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lang w:eastAsia="zh-CN"/>
        </w:rPr>
        <w:t>9</w:t>
      </w:r>
      <w:r>
        <w:rPr>
          <w:rFonts w:hint="eastAsia" w:ascii="宋体" w:hAnsi="宋体" w:eastAsia="宋体"/>
          <w:color w:val="auto"/>
          <w:kern w:val="2"/>
          <w:szCs w:val="21"/>
          <w:highlight w:val="none"/>
        </w:rPr>
        <w:t>.1 乙方保证对其出售的货物享有合法的权利。</w:t>
      </w:r>
    </w:p>
    <w:p w14:paraId="382024CC">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lang w:eastAsia="zh-CN"/>
        </w:rPr>
        <w:t>9</w:t>
      </w:r>
      <w:r>
        <w:rPr>
          <w:rFonts w:hint="eastAsia" w:ascii="宋体" w:hAnsi="宋体" w:eastAsia="宋体"/>
          <w:color w:val="auto"/>
          <w:kern w:val="2"/>
          <w:szCs w:val="21"/>
          <w:highlight w:val="none"/>
        </w:rPr>
        <w:t xml:space="preserve">.2 </w:t>
      </w:r>
      <w:r>
        <w:rPr>
          <w:rFonts w:hint="eastAsia" w:ascii="宋体" w:hAnsi="宋体" w:eastAsia="宋体" w:cs="宋体"/>
          <w:color w:val="auto"/>
          <w:kern w:val="2"/>
          <w:szCs w:val="15"/>
        </w:rPr>
        <w:t>乙方保证在交付的货物上不存在抵押权等担保物权。</w:t>
      </w:r>
    </w:p>
    <w:p w14:paraId="68471BB1">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lang w:eastAsia="zh-CN"/>
        </w:rPr>
        <w:t>9</w:t>
      </w:r>
      <w:r>
        <w:rPr>
          <w:rFonts w:hint="eastAsia" w:ascii="宋体" w:hAnsi="宋体" w:eastAsia="宋体"/>
          <w:color w:val="auto"/>
          <w:kern w:val="2"/>
          <w:szCs w:val="21"/>
          <w:highlight w:val="none"/>
        </w:rPr>
        <w:t>.3 如甲方使用</w:t>
      </w:r>
      <w:r>
        <w:rPr>
          <w:rFonts w:hint="eastAsia" w:ascii="宋体" w:hAnsi="宋体" w:eastAsia="宋体"/>
          <w:color w:val="auto"/>
          <w:kern w:val="2"/>
          <w:szCs w:val="21"/>
          <w:highlight w:val="none"/>
          <w:lang w:val="en-US" w:eastAsia="zh-CN"/>
        </w:rPr>
        <w:t>上述</w:t>
      </w:r>
      <w:r>
        <w:rPr>
          <w:rFonts w:hint="eastAsia" w:ascii="宋体" w:hAnsi="宋体" w:eastAsia="宋体"/>
          <w:color w:val="auto"/>
          <w:kern w:val="2"/>
          <w:szCs w:val="21"/>
          <w:highlight w:val="none"/>
        </w:rPr>
        <w:t>货物构成</w:t>
      </w:r>
      <w:r>
        <w:rPr>
          <w:rFonts w:hint="eastAsia" w:ascii="宋体" w:hAnsi="宋体" w:eastAsia="宋体"/>
          <w:color w:val="auto"/>
          <w:kern w:val="2"/>
          <w:szCs w:val="21"/>
          <w:highlight w:val="none"/>
          <w:lang w:val="en-US" w:eastAsia="zh-CN"/>
        </w:rPr>
        <w:t>对第三人</w:t>
      </w:r>
      <w:r>
        <w:rPr>
          <w:rFonts w:hint="eastAsia" w:ascii="宋体" w:hAnsi="宋体" w:eastAsia="宋体"/>
          <w:color w:val="auto"/>
          <w:kern w:val="2"/>
          <w:szCs w:val="21"/>
          <w:highlight w:val="none"/>
        </w:rPr>
        <w:t>侵权的，则由乙方承担全部责任。</w:t>
      </w:r>
    </w:p>
    <w:p w14:paraId="56850682">
      <w:pPr>
        <w:widowControl w:val="0"/>
        <w:autoSpaceDE w:val="0"/>
        <w:autoSpaceDN w:val="0"/>
        <w:adjustRightInd w:val="0"/>
        <w:snapToGrid w:val="0"/>
        <w:spacing w:before="0" w:line="400" w:lineRule="exact"/>
        <w:jc w:val="left"/>
        <w:textAlignment w:val="auto"/>
        <w:rPr>
          <w:rFonts w:ascii="宋体" w:hAnsi="宋体" w:eastAsia="宋体"/>
          <w:b/>
          <w:bCs/>
          <w:color w:val="auto"/>
          <w:kern w:val="2"/>
          <w:sz w:val="24"/>
          <w:szCs w:val="24"/>
          <w:highlight w:val="none"/>
        </w:rPr>
      </w:pPr>
      <w:r>
        <w:rPr>
          <w:rFonts w:hint="eastAsia" w:ascii="宋体" w:hAnsi="宋体" w:eastAsia="宋体"/>
          <w:b/>
          <w:bCs/>
          <w:color w:val="auto"/>
          <w:kern w:val="2"/>
          <w:sz w:val="24"/>
          <w:szCs w:val="24"/>
          <w:highlight w:val="none"/>
        </w:rPr>
        <w:t>1</w:t>
      </w:r>
      <w:r>
        <w:rPr>
          <w:rFonts w:hint="eastAsia" w:ascii="宋体" w:hAnsi="宋体" w:eastAsia="宋体"/>
          <w:b/>
          <w:bCs/>
          <w:color w:val="auto"/>
          <w:kern w:val="2"/>
          <w:sz w:val="24"/>
          <w:szCs w:val="24"/>
          <w:highlight w:val="none"/>
          <w:lang w:eastAsia="zh-CN"/>
        </w:rPr>
        <w:t>0</w:t>
      </w:r>
      <w:r>
        <w:rPr>
          <w:rFonts w:hint="eastAsia" w:ascii="宋体" w:hAnsi="宋体" w:eastAsia="宋体"/>
          <w:b/>
          <w:bCs/>
          <w:color w:val="auto"/>
          <w:kern w:val="2"/>
          <w:sz w:val="24"/>
          <w:szCs w:val="24"/>
          <w:highlight w:val="none"/>
        </w:rPr>
        <w:t>.</w:t>
      </w:r>
      <w:r>
        <w:rPr>
          <w:rFonts w:hint="eastAsia" w:ascii="宋体" w:hAnsi="宋体" w:eastAsia="宋体"/>
          <w:b/>
          <w:bCs/>
          <w:color w:val="auto"/>
          <w:kern w:val="2"/>
          <w:sz w:val="24"/>
          <w:szCs w:val="24"/>
          <w:highlight w:val="none"/>
          <w:lang w:val="en-US" w:eastAsia="zh-CN"/>
        </w:rPr>
        <w:t xml:space="preserve"> </w:t>
      </w:r>
      <w:r>
        <w:rPr>
          <w:rFonts w:hint="eastAsia" w:ascii="宋体" w:hAnsi="宋体" w:eastAsia="宋体"/>
          <w:b/>
          <w:bCs/>
          <w:color w:val="auto"/>
          <w:kern w:val="2"/>
          <w:sz w:val="24"/>
          <w:szCs w:val="24"/>
          <w:highlight w:val="none"/>
        </w:rPr>
        <w:t>知识产权保护</w:t>
      </w:r>
    </w:p>
    <w:p w14:paraId="27446CC0">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w:t>
      </w:r>
      <w:r>
        <w:rPr>
          <w:rFonts w:hint="eastAsia" w:ascii="宋体" w:hAnsi="宋体" w:eastAsia="宋体"/>
          <w:color w:val="auto"/>
          <w:kern w:val="2"/>
          <w:szCs w:val="21"/>
          <w:highlight w:val="none"/>
          <w:lang w:eastAsia="zh-CN"/>
        </w:rPr>
        <w:t>0</w:t>
      </w:r>
      <w:r>
        <w:rPr>
          <w:rFonts w:hint="eastAsia" w:ascii="宋体" w:hAnsi="宋体" w:eastAsia="宋体"/>
          <w:color w:val="auto"/>
          <w:kern w:val="2"/>
          <w:szCs w:val="21"/>
          <w:highlight w:val="none"/>
        </w:rPr>
        <w:t>.1 乙方对其所销售的货物应当享有知识产权或经权利人合法授权，保证没有侵犯任何第三人的知识产权等权利。</w:t>
      </w:r>
      <w:bookmarkStart w:id="319" w:name="_Hlk163047038"/>
      <w:r>
        <w:rPr>
          <w:rFonts w:hint="eastAsia" w:ascii="宋体" w:hAnsi="宋体" w:eastAsia="宋体" w:cs="宋体"/>
          <w:color w:val="auto"/>
          <w:kern w:val="2"/>
          <w:szCs w:val="15"/>
        </w:rPr>
        <w:t>因违反前述约定对第三人构成侵权的，应当由乙方向第三人承担法律责任；甲方依法向第三人赔偿后，有权向乙方追偿。甲方有其他损失的，乙方应当赔偿</w:t>
      </w:r>
      <w:bookmarkEnd w:id="319"/>
      <w:r>
        <w:rPr>
          <w:rFonts w:hint="eastAsia" w:ascii="宋体" w:hAnsi="宋体" w:eastAsia="宋体"/>
          <w:color w:val="auto"/>
          <w:kern w:val="2"/>
          <w:szCs w:val="21"/>
          <w:highlight w:val="none"/>
        </w:rPr>
        <w:t>。</w:t>
      </w:r>
    </w:p>
    <w:p w14:paraId="4CC2B4B6">
      <w:pPr>
        <w:widowControl w:val="0"/>
        <w:autoSpaceDE w:val="0"/>
        <w:autoSpaceDN w:val="0"/>
        <w:adjustRightInd w:val="0"/>
        <w:snapToGrid w:val="0"/>
        <w:spacing w:before="0" w:line="400" w:lineRule="exact"/>
        <w:jc w:val="left"/>
        <w:textAlignment w:val="auto"/>
        <w:rPr>
          <w:rFonts w:ascii="宋体" w:hAnsi="宋体" w:eastAsia="宋体"/>
          <w:b/>
          <w:bCs/>
          <w:color w:val="auto"/>
          <w:kern w:val="2"/>
          <w:sz w:val="24"/>
          <w:szCs w:val="24"/>
          <w:highlight w:val="none"/>
        </w:rPr>
      </w:pPr>
      <w:r>
        <w:rPr>
          <w:rFonts w:hint="eastAsia" w:ascii="宋体" w:hAnsi="宋体" w:eastAsia="宋体"/>
          <w:b/>
          <w:bCs/>
          <w:color w:val="auto"/>
          <w:kern w:val="2"/>
          <w:sz w:val="24"/>
          <w:szCs w:val="24"/>
          <w:highlight w:val="none"/>
        </w:rPr>
        <w:t>1</w:t>
      </w:r>
      <w:r>
        <w:rPr>
          <w:rFonts w:hint="eastAsia" w:ascii="宋体" w:hAnsi="宋体" w:eastAsia="宋体"/>
          <w:b/>
          <w:bCs/>
          <w:color w:val="auto"/>
          <w:kern w:val="2"/>
          <w:sz w:val="24"/>
          <w:szCs w:val="24"/>
          <w:highlight w:val="none"/>
          <w:lang w:eastAsia="zh-CN"/>
        </w:rPr>
        <w:t>1</w:t>
      </w:r>
      <w:r>
        <w:rPr>
          <w:rFonts w:hint="eastAsia" w:ascii="宋体" w:hAnsi="宋体" w:eastAsia="宋体"/>
          <w:b/>
          <w:bCs/>
          <w:color w:val="auto"/>
          <w:kern w:val="2"/>
          <w:sz w:val="24"/>
          <w:szCs w:val="24"/>
          <w:highlight w:val="none"/>
        </w:rPr>
        <w:t>.</w:t>
      </w:r>
      <w:r>
        <w:rPr>
          <w:rFonts w:hint="eastAsia" w:ascii="宋体" w:hAnsi="宋体" w:eastAsia="宋体"/>
          <w:b/>
          <w:bCs/>
          <w:color w:val="auto"/>
          <w:kern w:val="2"/>
          <w:sz w:val="24"/>
          <w:szCs w:val="24"/>
          <w:highlight w:val="none"/>
          <w:lang w:val="en-US" w:eastAsia="zh-CN"/>
        </w:rPr>
        <w:t xml:space="preserve"> </w:t>
      </w:r>
      <w:r>
        <w:rPr>
          <w:rFonts w:hint="eastAsia" w:ascii="宋体" w:hAnsi="宋体" w:eastAsia="宋体"/>
          <w:b/>
          <w:bCs/>
          <w:color w:val="auto"/>
          <w:kern w:val="2"/>
          <w:sz w:val="24"/>
          <w:szCs w:val="24"/>
          <w:highlight w:val="none"/>
        </w:rPr>
        <w:t>保密义务</w:t>
      </w:r>
    </w:p>
    <w:p w14:paraId="12402320">
      <w:pPr>
        <w:widowControl w:val="0"/>
        <w:autoSpaceDE w:val="0"/>
        <w:autoSpaceDN w:val="0"/>
        <w:adjustRightInd w:val="0"/>
        <w:snapToGrid w:val="0"/>
        <w:spacing w:before="0" w:line="400" w:lineRule="exact"/>
        <w:ind w:firstLine="420" w:firstLineChars="200"/>
        <w:jc w:val="left"/>
        <w:textAlignment w:val="auto"/>
        <w:rPr>
          <w:rFonts w:hint="eastAsia" w:ascii="宋体" w:hAnsi="宋体" w:eastAsia="宋体" w:cs="宋体"/>
          <w:color w:val="auto"/>
          <w:kern w:val="2"/>
          <w:szCs w:val="15"/>
        </w:rPr>
      </w:pPr>
      <w:r>
        <w:rPr>
          <w:rFonts w:hint="eastAsia" w:ascii="宋体" w:hAnsi="宋体" w:eastAsia="宋体" w:cs="宋体"/>
          <w:color w:val="auto"/>
          <w:kern w:val="2"/>
          <w:szCs w:val="15"/>
          <w:lang w:val="en-US" w:eastAsia="zh-CN"/>
        </w:rPr>
        <w:t xml:space="preserve">11.1 </w:t>
      </w:r>
      <w:r>
        <w:rPr>
          <w:rFonts w:hint="eastAsia" w:ascii="宋体" w:hAnsi="宋体" w:eastAsia="宋体" w:cs="宋体"/>
          <w:color w:val="auto"/>
          <w:kern w:val="2"/>
          <w:szCs w:val="15"/>
        </w:rPr>
        <w:t>甲、乙双方</w:t>
      </w:r>
      <w:r>
        <w:rPr>
          <w:rFonts w:hint="eastAsia" w:ascii="宋体" w:hAnsi="宋体" w:eastAsia="宋体" w:cs="宋体"/>
          <w:color w:val="auto"/>
          <w:kern w:val="2"/>
          <w:szCs w:val="15"/>
          <w:lang w:eastAsia="zh-CN"/>
        </w:rPr>
        <w:t>对</w:t>
      </w:r>
      <w:r>
        <w:rPr>
          <w:rFonts w:hint="eastAsia" w:ascii="宋体" w:hAnsi="宋体" w:eastAsia="宋体" w:cs="宋体"/>
          <w:color w:val="auto"/>
          <w:kern w:val="2"/>
          <w:szCs w:val="15"/>
        </w:rPr>
        <w:t>采购和合同履行过程中所获悉的</w:t>
      </w:r>
      <w:r>
        <w:rPr>
          <w:rFonts w:hint="eastAsia" w:ascii="宋体" w:hAnsi="宋体" w:eastAsia="宋体" w:cs="宋体"/>
          <w:color w:val="auto"/>
          <w:kern w:val="2"/>
          <w:szCs w:val="15"/>
          <w:lang w:eastAsia="zh-CN"/>
        </w:rPr>
        <w:t>国家秘密、工作秘密、</w:t>
      </w:r>
      <w:r>
        <w:rPr>
          <w:rFonts w:hint="eastAsia" w:ascii="宋体" w:hAnsi="宋体" w:eastAsia="宋体" w:cs="宋体"/>
          <w:color w:val="auto"/>
          <w:kern w:val="2"/>
          <w:szCs w:val="15"/>
        </w:rPr>
        <w:t>商业秘密或者其他应当保密的信息，均有保密义务</w:t>
      </w:r>
      <w:r>
        <w:rPr>
          <w:rFonts w:hint="eastAsia" w:ascii="宋体" w:hAnsi="宋体" w:eastAsia="宋体" w:cs="宋体"/>
          <w:color w:val="auto"/>
          <w:kern w:val="2"/>
          <w:szCs w:val="15"/>
          <w:lang w:eastAsia="zh-CN"/>
        </w:rPr>
        <w:t>且不受合同有效期所限，直至该信息成为公开信息</w:t>
      </w:r>
      <w:r>
        <w:rPr>
          <w:rFonts w:hint="eastAsia" w:ascii="宋体" w:hAnsi="宋体" w:eastAsia="宋体" w:cs="宋体"/>
          <w:color w:val="auto"/>
          <w:kern w:val="2"/>
          <w:szCs w:val="15"/>
        </w:rPr>
        <w:t>。泄露、不正当地使用</w:t>
      </w:r>
      <w:r>
        <w:rPr>
          <w:rFonts w:hint="eastAsia" w:ascii="宋体" w:hAnsi="宋体" w:eastAsia="宋体" w:cs="宋体"/>
          <w:color w:val="auto"/>
          <w:kern w:val="2"/>
          <w:szCs w:val="15"/>
          <w:lang w:eastAsia="zh-CN"/>
        </w:rPr>
        <w:t>国家秘密、工作秘密、</w:t>
      </w:r>
      <w:r>
        <w:rPr>
          <w:rFonts w:hint="eastAsia" w:ascii="宋体" w:hAnsi="宋体" w:eastAsia="宋体" w:cs="宋体"/>
          <w:color w:val="auto"/>
          <w:kern w:val="2"/>
          <w:szCs w:val="15"/>
        </w:rPr>
        <w:t>商业秘密或者</w:t>
      </w:r>
      <w:r>
        <w:rPr>
          <w:rFonts w:hint="eastAsia" w:ascii="宋体" w:hAnsi="宋体" w:eastAsia="宋体" w:cs="宋体"/>
          <w:color w:val="auto"/>
          <w:kern w:val="2"/>
          <w:szCs w:val="15"/>
          <w:lang w:eastAsia="zh-CN"/>
        </w:rPr>
        <w:t>其他应当保密的</w:t>
      </w:r>
      <w:r>
        <w:rPr>
          <w:rFonts w:hint="eastAsia" w:ascii="宋体" w:hAnsi="宋体" w:eastAsia="宋体" w:cs="宋体"/>
          <w:color w:val="auto"/>
          <w:kern w:val="2"/>
          <w:szCs w:val="15"/>
        </w:rPr>
        <w:t>信息，应当承担</w:t>
      </w:r>
      <w:r>
        <w:rPr>
          <w:rFonts w:hint="eastAsia" w:ascii="宋体" w:hAnsi="宋体" w:eastAsia="宋体" w:cs="宋体"/>
          <w:color w:val="auto"/>
          <w:kern w:val="2"/>
          <w:szCs w:val="15"/>
          <w:lang w:eastAsia="zh-CN"/>
        </w:rPr>
        <w:t>相应</w:t>
      </w:r>
      <w:r>
        <w:rPr>
          <w:rFonts w:hint="eastAsia" w:ascii="宋体" w:hAnsi="宋体" w:eastAsia="宋体" w:cs="宋体"/>
          <w:color w:val="auto"/>
          <w:kern w:val="2"/>
          <w:szCs w:val="15"/>
        </w:rPr>
        <w:t>责任。其他应当保密的信息由双方在</w:t>
      </w:r>
      <w:r>
        <w:rPr>
          <w:rFonts w:hint="eastAsia" w:ascii="宋体" w:hAnsi="宋体" w:eastAsia="宋体" w:cs="宋体"/>
          <w:b/>
          <w:bCs/>
          <w:color w:val="auto"/>
          <w:kern w:val="2"/>
          <w:szCs w:val="15"/>
        </w:rPr>
        <w:t>【政府采购合同专用条款】</w:t>
      </w:r>
      <w:r>
        <w:rPr>
          <w:rFonts w:hint="eastAsia" w:ascii="宋体" w:hAnsi="宋体" w:eastAsia="宋体" w:cs="宋体"/>
          <w:color w:val="auto"/>
          <w:kern w:val="2"/>
          <w:szCs w:val="15"/>
        </w:rPr>
        <w:t>中约定。</w:t>
      </w:r>
    </w:p>
    <w:p w14:paraId="424E6DF1">
      <w:pPr>
        <w:widowControl w:val="0"/>
        <w:autoSpaceDE w:val="0"/>
        <w:autoSpaceDN w:val="0"/>
        <w:adjustRightInd w:val="0"/>
        <w:snapToGrid w:val="0"/>
        <w:spacing w:before="0" w:line="400" w:lineRule="exact"/>
        <w:jc w:val="left"/>
        <w:textAlignment w:val="auto"/>
        <w:rPr>
          <w:rFonts w:ascii="宋体" w:hAnsi="宋体" w:eastAsia="宋体"/>
          <w:b/>
          <w:bCs/>
          <w:color w:val="auto"/>
          <w:kern w:val="2"/>
          <w:sz w:val="24"/>
          <w:szCs w:val="24"/>
          <w:highlight w:val="none"/>
        </w:rPr>
      </w:pPr>
      <w:r>
        <w:rPr>
          <w:rFonts w:hint="eastAsia" w:ascii="宋体" w:hAnsi="宋体" w:eastAsia="宋体"/>
          <w:b/>
          <w:bCs/>
          <w:color w:val="auto"/>
          <w:kern w:val="2"/>
          <w:sz w:val="24"/>
          <w:szCs w:val="24"/>
          <w:highlight w:val="none"/>
        </w:rPr>
        <w:t>1</w:t>
      </w:r>
      <w:r>
        <w:rPr>
          <w:rFonts w:hint="eastAsia" w:ascii="宋体" w:hAnsi="宋体" w:eastAsia="宋体"/>
          <w:b/>
          <w:bCs/>
          <w:color w:val="auto"/>
          <w:kern w:val="2"/>
          <w:sz w:val="24"/>
          <w:szCs w:val="24"/>
          <w:highlight w:val="none"/>
          <w:lang w:eastAsia="zh-CN"/>
        </w:rPr>
        <w:t>2</w:t>
      </w:r>
      <w:r>
        <w:rPr>
          <w:rFonts w:hint="eastAsia" w:ascii="宋体" w:hAnsi="宋体" w:eastAsia="宋体"/>
          <w:b/>
          <w:bCs/>
          <w:color w:val="auto"/>
          <w:kern w:val="2"/>
          <w:sz w:val="24"/>
          <w:szCs w:val="24"/>
          <w:highlight w:val="none"/>
        </w:rPr>
        <w:t>.</w:t>
      </w:r>
      <w:r>
        <w:rPr>
          <w:rFonts w:hint="eastAsia" w:ascii="宋体" w:hAnsi="宋体" w:eastAsia="宋体"/>
          <w:b/>
          <w:bCs/>
          <w:color w:val="auto"/>
          <w:kern w:val="2"/>
          <w:sz w:val="24"/>
          <w:szCs w:val="24"/>
          <w:highlight w:val="none"/>
          <w:lang w:val="en-US" w:eastAsia="zh-CN"/>
        </w:rPr>
        <w:t xml:space="preserve"> </w:t>
      </w:r>
      <w:r>
        <w:rPr>
          <w:rFonts w:hint="eastAsia" w:ascii="宋体" w:hAnsi="宋体" w:eastAsia="宋体"/>
          <w:b/>
          <w:bCs/>
          <w:color w:val="auto"/>
          <w:kern w:val="2"/>
          <w:sz w:val="24"/>
          <w:szCs w:val="24"/>
          <w:highlight w:val="none"/>
        </w:rPr>
        <w:t>合同价款支付</w:t>
      </w:r>
    </w:p>
    <w:p w14:paraId="74303762">
      <w:pPr>
        <w:widowControl w:val="0"/>
        <w:autoSpaceDE/>
        <w:autoSpaceDN/>
        <w:adjustRightInd w:val="0"/>
        <w:snapToGrid w:val="0"/>
        <w:spacing w:before="0" w:line="400" w:lineRule="exact"/>
        <w:ind w:firstLine="420" w:firstLineChars="200"/>
        <w:jc w:val="left"/>
        <w:textAlignment w:val="auto"/>
        <w:rPr>
          <w:rFonts w:hint="eastAsia" w:ascii="宋体" w:hAnsi="宋体" w:eastAsia="宋体"/>
          <w:color w:val="auto"/>
          <w:kern w:val="2"/>
          <w:szCs w:val="21"/>
          <w:highlight w:val="none"/>
          <w:lang w:eastAsia="zh-CN"/>
        </w:rPr>
      </w:pPr>
      <w:r>
        <w:rPr>
          <w:rFonts w:hint="eastAsia" w:ascii="宋体" w:hAnsi="宋体" w:eastAsia="宋体"/>
          <w:color w:val="auto"/>
          <w:kern w:val="2"/>
          <w:szCs w:val="21"/>
          <w:highlight w:val="none"/>
        </w:rPr>
        <w:t>1</w:t>
      </w:r>
      <w:r>
        <w:rPr>
          <w:rFonts w:hint="eastAsia" w:ascii="宋体" w:hAnsi="宋体" w:eastAsia="宋体"/>
          <w:color w:val="auto"/>
          <w:kern w:val="2"/>
          <w:szCs w:val="21"/>
          <w:highlight w:val="none"/>
          <w:lang w:eastAsia="zh-CN"/>
        </w:rPr>
        <w:t>2</w:t>
      </w:r>
      <w:r>
        <w:rPr>
          <w:rFonts w:hint="eastAsia" w:ascii="宋体" w:hAnsi="宋体" w:eastAsia="宋体"/>
          <w:color w:val="auto"/>
          <w:kern w:val="2"/>
          <w:szCs w:val="21"/>
          <w:highlight w:val="none"/>
        </w:rPr>
        <w:t xml:space="preserve">.1 </w:t>
      </w:r>
      <w:r>
        <w:rPr>
          <w:rFonts w:hint="eastAsia" w:ascii="宋体" w:hAnsi="宋体" w:eastAsia="宋体"/>
          <w:color w:val="auto"/>
          <w:kern w:val="2"/>
          <w:szCs w:val="21"/>
          <w:highlight w:val="none"/>
          <w:lang w:eastAsia="zh-CN"/>
        </w:rPr>
        <w:t>合同价款支付</w:t>
      </w:r>
      <w:r>
        <w:rPr>
          <w:rFonts w:hint="eastAsia" w:ascii="宋体" w:hAnsi="宋体" w:eastAsia="宋体"/>
          <w:color w:val="auto"/>
          <w:kern w:val="2"/>
          <w:szCs w:val="21"/>
          <w:highlight w:val="none"/>
        </w:rPr>
        <w:t>按照国库集中支付</w:t>
      </w:r>
      <w:r>
        <w:rPr>
          <w:rFonts w:hint="eastAsia" w:ascii="宋体" w:hAnsi="宋体" w:eastAsia="宋体"/>
          <w:color w:val="auto"/>
          <w:kern w:val="2"/>
          <w:szCs w:val="21"/>
          <w:highlight w:val="none"/>
          <w:lang w:eastAsia="zh-CN"/>
        </w:rPr>
        <w:t>制度及财政管理相关</w:t>
      </w:r>
      <w:r>
        <w:rPr>
          <w:rFonts w:hint="eastAsia" w:ascii="宋体" w:hAnsi="宋体" w:eastAsia="宋体"/>
          <w:color w:val="auto"/>
          <w:kern w:val="2"/>
          <w:szCs w:val="21"/>
          <w:highlight w:val="none"/>
        </w:rPr>
        <w:t>规定执行。</w:t>
      </w:r>
    </w:p>
    <w:p w14:paraId="2E53334C">
      <w:pPr>
        <w:keepNext/>
        <w:keepLines/>
        <w:widowControl w:val="0"/>
        <w:spacing w:line="400" w:lineRule="exact"/>
        <w:ind w:firstLine="420" w:firstLineChars="200"/>
        <w:jc w:val="both"/>
        <w:outlineLvl w:val="1"/>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29ABE57F">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14:paraId="3D3128BA">
      <w:pPr>
        <w:widowControl w:val="0"/>
        <w:adjustRightInd w:val="0"/>
        <w:snapToGrid w:val="0"/>
        <w:spacing w:before="0" w:line="400" w:lineRule="exact"/>
        <w:ind w:firstLine="420" w:firstLineChars="200"/>
        <w:jc w:val="left"/>
        <w:textAlignment w:val="auto"/>
        <w:rPr>
          <w:rFonts w:hint="eastAsia" w:ascii="宋体" w:hAnsi="宋体" w:eastAsia="宋体"/>
          <w:color w:val="auto"/>
          <w:kern w:val="2"/>
          <w:szCs w:val="21"/>
          <w:highlight w:val="none"/>
        </w:rPr>
      </w:pPr>
      <w:r>
        <w:rPr>
          <w:rFonts w:hint="eastAsia" w:ascii="宋体" w:hAnsi="宋体" w:eastAsia="宋体"/>
          <w:color w:val="auto"/>
          <w:kern w:val="2"/>
          <w:szCs w:val="21"/>
          <w:highlight w:val="none"/>
        </w:rPr>
        <w:t>1</w:t>
      </w:r>
      <w:r>
        <w:rPr>
          <w:rFonts w:hint="eastAsia" w:ascii="宋体" w:hAnsi="宋体" w:eastAsia="宋体"/>
          <w:color w:val="auto"/>
          <w:kern w:val="2"/>
          <w:szCs w:val="21"/>
          <w:highlight w:val="none"/>
          <w:lang w:eastAsia="zh-CN"/>
        </w:rPr>
        <w:t>3</w:t>
      </w:r>
      <w:r>
        <w:rPr>
          <w:rFonts w:hint="eastAsia" w:ascii="宋体" w:hAnsi="宋体" w:eastAsia="宋体"/>
          <w:color w:val="auto"/>
          <w:kern w:val="2"/>
          <w:szCs w:val="21"/>
          <w:highlight w:val="none"/>
        </w:rPr>
        <w:t xml:space="preserve">.1 </w:t>
      </w:r>
      <w:r>
        <w:rPr>
          <w:rFonts w:hint="eastAsia" w:ascii="宋体" w:hAnsi="宋体" w:eastAsia="宋体" w:cs="宋体"/>
          <w:color w:val="auto"/>
          <w:kern w:val="2"/>
          <w:szCs w:val="15"/>
        </w:rPr>
        <w:t>乙方应当以支票、汇票、本票或者金融机构、担保机构出具的保函等非现金形式提交。</w:t>
      </w:r>
    </w:p>
    <w:p w14:paraId="4804D631">
      <w:pPr>
        <w:widowControl w:val="0"/>
        <w:adjustRightInd w:val="0"/>
        <w:snapToGrid w:val="0"/>
        <w:spacing w:before="0" w:line="400" w:lineRule="exact"/>
        <w:ind w:firstLine="420" w:firstLineChars="200"/>
        <w:jc w:val="left"/>
        <w:textAlignment w:val="auto"/>
        <w:rPr>
          <w:rFonts w:hint="eastAsia" w:ascii="宋体" w:hAnsi="宋体" w:eastAsia="宋体"/>
          <w:color w:val="auto"/>
          <w:kern w:val="2"/>
          <w:szCs w:val="21"/>
          <w:highlight w:val="none"/>
        </w:rPr>
      </w:pPr>
      <w:r>
        <w:rPr>
          <w:rFonts w:hint="eastAsia" w:ascii="宋体" w:hAnsi="宋体" w:eastAsia="宋体"/>
          <w:color w:val="auto"/>
          <w:kern w:val="2"/>
          <w:szCs w:val="21"/>
          <w:highlight w:val="none"/>
        </w:rPr>
        <w:t>1</w:t>
      </w:r>
      <w:r>
        <w:rPr>
          <w:rFonts w:hint="eastAsia" w:ascii="宋体" w:hAnsi="宋体" w:eastAsia="宋体"/>
          <w:color w:val="auto"/>
          <w:kern w:val="2"/>
          <w:szCs w:val="21"/>
          <w:highlight w:val="none"/>
          <w:lang w:eastAsia="zh-CN"/>
        </w:rPr>
        <w:t>3</w:t>
      </w:r>
      <w:r>
        <w:rPr>
          <w:rFonts w:hint="eastAsia" w:ascii="宋体" w:hAnsi="宋体" w:eastAsia="宋体"/>
          <w:color w:val="auto"/>
          <w:kern w:val="2"/>
          <w:szCs w:val="21"/>
          <w:highlight w:val="none"/>
        </w:rPr>
        <w:t>.2 如果乙方</w:t>
      </w:r>
      <w:r>
        <w:rPr>
          <w:rFonts w:hint="eastAsia" w:ascii="宋体" w:hAnsi="宋体" w:eastAsia="宋体"/>
          <w:color w:val="auto"/>
          <w:kern w:val="2"/>
          <w:szCs w:val="21"/>
          <w:highlight w:val="none"/>
          <w:lang w:eastAsia="zh-CN"/>
        </w:rPr>
        <w:t>出现</w:t>
      </w:r>
      <w:r>
        <w:rPr>
          <w:rFonts w:hint="eastAsia" w:ascii="宋体" w:hAnsi="宋体" w:eastAsia="宋体" w:cs="宋体"/>
          <w:b/>
          <w:bCs/>
          <w:color w:val="auto"/>
          <w:kern w:val="2"/>
          <w:szCs w:val="15"/>
          <w:highlight w:val="none"/>
        </w:rPr>
        <w:t>【政府采购合同专用条款】</w:t>
      </w:r>
      <w:r>
        <w:rPr>
          <w:rFonts w:hint="eastAsia" w:ascii="宋体" w:hAnsi="宋体" w:eastAsia="宋体" w:cs="宋体"/>
          <w:b w:val="0"/>
          <w:bCs w:val="0"/>
          <w:color w:val="auto"/>
          <w:kern w:val="2"/>
          <w:szCs w:val="15"/>
          <w:highlight w:val="none"/>
          <w:lang w:eastAsia="zh-CN"/>
        </w:rPr>
        <w:t>约定</w:t>
      </w:r>
      <w:r>
        <w:rPr>
          <w:rFonts w:hint="eastAsia" w:ascii="宋体" w:hAnsi="宋体" w:eastAsia="宋体" w:cs="宋体"/>
          <w:b w:val="0"/>
          <w:bCs w:val="0"/>
          <w:color w:val="auto"/>
          <w:kern w:val="2"/>
          <w:szCs w:val="15"/>
          <w:lang w:eastAsia="zh-CN"/>
        </w:rPr>
        <w:t>情形的</w:t>
      </w:r>
      <w:r>
        <w:rPr>
          <w:rFonts w:hint="eastAsia" w:ascii="宋体" w:hAnsi="宋体" w:eastAsia="宋体"/>
          <w:color w:val="auto"/>
          <w:kern w:val="2"/>
          <w:szCs w:val="21"/>
          <w:highlight w:val="none"/>
        </w:rPr>
        <w:t>，履约保证金不予退还；如果乙方未能按合同约定全面履行义务，甲方有权从履约保证金中取得补偿或赔偿，</w:t>
      </w:r>
      <w:r>
        <w:rPr>
          <w:rFonts w:hint="eastAsia" w:ascii="宋体" w:hAnsi="宋体" w:eastAsia="宋体"/>
          <w:color w:val="auto"/>
          <w:kern w:val="2"/>
          <w:szCs w:val="21"/>
          <w:highlight w:val="none"/>
          <w:lang w:eastAsia="zh-CN"/>
        </w:rPr>
        <w:t>且</w:t>
      </w:r>
      <w:r>
        <w:rPr>
          <w:rFonts w:hint="eastAsia" w:ascii="宋体" w:hAnsi="宋体" w:eastAsia="宋体"/>
          <w:color w:val="auto"/>
          <w:kern w:val="2"/>
          <w:szCs w:val="21"/>
          <w:highlight w:val="none"/>
        </w:rPr>
        <w:t>不影响甲方要求乙方承担合同约定的超过履约保证金的违约责任的权利。</w:t>
      </w:r>
    </w:p>
    <w:p w14:paraId="26F8DF82">
      <w:pPr>
        <w:widowControl w:val="0"/>
        <w:spacing w:line="400" w:lineRule="exact"/>
        <w:ind w:firstLine="420"/>
        <w:textAlignment w:val="auto"/>
        <w:rPr>
          <w:rFonts w:eastAsia="宋体"/>
          <w:color w:val="auto"/>
          <w:kern w:val="2"/>
          <w:szCs w:val="24"/>
          <w:highlight w:val="none"/>
        </w:rPr>
      </w:pPr>
      <w:r>
        <w:rPr>
          <w:rFonts w:hint="eastAsia" w:ascii="宋体" w:hAnsi="宋体" w:eastAsia="宋体"/>
          <w:color w:val="auto"/>
          <w:kern w:val="2"/>
          <w:szCs w:val="21"/>
          <w:highlight w:val="none"/>
        </w:rPr>
        <w:t>1</w:t>
      </w:r>
      <w:r>
        <w:rPr>
          <w:rFonts w:hint="eastAsia" w:ascii="宋体" w:hAnsi="宋体" w:eastAsia="宋体"/>
          <w:color w:val="auto"/>
          <w:kern w:val="2"/>
          <w:szCs w:val="21"/>
          <w:highlight w:val="none"/>
          <w:lang w:eastAsia="zh-CN"/>
        </w:rPr>
        <w:t>3</w:t>
      </w:r>
      <w:r>
        <w:rPr>
          <w:rFonts w:hint="eastAsia" w:ascii="宋体" w:hAnsi="宋体" w:eastAsia="宋体"/>
          <w:color w:val="auto"/>
          <w:kern w:val="2"/>
          <w:szCs w:val="21"/>
          <w:highlight w:val="none"/>
        </w:rPr>
        <w:t>.3 甲方在项目通过验收后按照</w:t>
      </w:r>
      <w:r>
        <w:rPr>
          <w:rFonts w:hint="eastAsia" w:ascii="宋体" w:hAnsi="宋体" w:eastAsia="宋体"/>
          <w:b/>
          <w:color w:val="auto"/>
          <w:kern w:val="2"/>
          <w:szCs w:val="21"/>
          <w:highlight w:val="none"/>
        </w:rPr>
        <w:t>【政府采购合同专用条款】</w:t>
      </w:r>
      <w:r>
        <w:rPr>
          <w:rFonts w:hint="eastAsia" w:ascii="宋体" w:hAnsi="宋体" w:eastAsia="宋体"/>
          <w:color w:val="auto"/>
          <w:kern w:val="2"/>
          <w:szCs w:val="21"/>
          <w:highlight w:val="none"/>
        </w:rPr>
        <w:t>规定的时间内将履约保证金退还乙方；逾期退还的，乙方可要求甲方支付违约金，违约金按照</w:t>
      </w:r>
      <w:r>
        <w:rPr>
          <w:rFonts w:hint="eastAsia" w:ascii="宋体" w:hAnsi="宋体" w:eastAsia="宋体"/>
          <w:b/>
          <w:color w:val="auto"/>
          <w:kern w:val="2"/>
          <w:szCs w:val="21"/>
          <w:highlight w:val="none"/>
        </w:rPr>
        <w:t>【政府采购合同专用条款】</w:t>
      </w:r>
      <w:r>
        <w:rPr>
          <w:rFonts w:hint="eastAsia" w:ascii="宋体" w:hAnsi="宋体" w:eastAsia="宋体"/>
          <w:color w:val="auto"/>
          <w:kern w:val="2"/>
          <w:szCs w:val="21"/>
          <w:highlight w:val="none"/>
        </w:rPr>
        <w:t>规定支付。</w:t>
      </w:r>
    </w:p>
    <w:p w14:paraId="080284EA">
      <w:pPr>
        <w:widowControl w:val="0"/>
        <w:autoSpaceDE w:val="0"/>
        <w:autoSpaceDN w:val="0"/>
        <w:adjustRightInd w:val="0"/>
        <w:snapToGrid w:val="0"/>
        <w:spacing w:before="0" w:line="400" w:lineRule="exact"/>
        <w:jc w:val="left"/>
        <w:textAlignment w:val="auto"/>
        <w:rPr>
          <w:rFonts w:ascii="宋体" w:hAnsi="宋体" w:eastAsia="宋体"/>
          <w:b/>
          <w:color w:val="auto"/>
          <w:kern w:val="2"/>
          <w:sz w:val="24"/>
          <w:szCs w:val="24"/>
          <w:highlight w:val="none"/>
        </w:rPr>
      </w:pPr>
      <w:r>
        <w:rPr>
          <w:rFonts w:hint="eastAsia" w:ascii="宋体" w:hAnsi="宋体" w:eastAsia="宋体"/>
          <w:b/>
          <w:bCs/>
          <w:color w:val="auto"/>
          <w:kern w:val="2"/>
          <w:sz w:val="24"/>
          <w:szCs w:val="24"/>
          <w:highlight w:val="none"/>
        </w:rPr>
        <w:t>1</w:t>
      </w:r>
      <w:r>
        <w:rPr>
          <w:rFonts w:hint="eastAsia" w:ascii="宋体" w:hAnsi="宋体" w:eastAsia="宋体"/>
          <w:b/>
          <w:bCs/>
          <w:color w:val="auto"/>
          <w:kern w:val="2"/>
          <w:sz w:val="24"/>
          <w:szCs w:val="24"/>
          <w:highlight w:val="none"/>
          <w:lang w:eastAsia="zh-CN"/>
        </w:rPr>
        <w:t>4</w:t>
      </w:r>
      <w:r>
        <w:rPr>
          <w:rFonts w:hint="eastAsia" w:ascii="宋体" w:hAnsi="宋体" w:eastAsia="宋体"/>
          <w:b/>
          <w:bCs/>
          <w:color w:val="auto"/>
          <w:kern w:val="2"/>
          <w:sz w:val="24"/>
          <w:szCs w:val="24"/>
          <w:highlight w:val="none"/>
        </w:rPr>
        <w:t>.</w:t>
      </w:r>
      <w:r>
        <w:rPr>
          <w:rFonts w:hint="eastAsia" w:ascii="宋体" w:hAnsi="宋体" w:eastAsia="宋体"/>
          <w:b/>
          <w:bCs/>
          <w:color w:val="auto"/>
          <w:kern w:val="2"/>
          <w:sz w:val="24"/>
          <w:szCs w:val="24"/>
          <w:highlight w:val="none"/>
          <w:lang w:val="en-US" w:eastAsia="zh-CN"/>
        </w:rPr>
        <w:t xml:space="preserve"> </w:t>
      </w:r>
      <w:r>
        <w:rPr>
          <w:rFonts w:hint="eastAsia" w:eastAsia="宋体"/>
          <w:b/>
          <w:color w:val="auto"/>
          <w:kern w:val="2"/>
          <w:sz w:val="24"/>
          <w:szCs w:val="24"/>
          <w:highlight w:val="none"/>
        </w:rPr>
        <w:t>售后</w:t>
      </w:r>
      <w:r>
        <w:rPr>
          <w:rFonts w:hint="eastAsia" w:ascii="宋体" w:hAnsi="宋体" w:eastAsia="宋体"/>
          <w:b/>
          <w:color w:val="auto"/>
          <w:kern w:val="2"/>
          <w:sz w:val="24"/>
          <w:szCs w:val="24"/>
          <w:highlight w:val="none"/>
        </w:rPr>
        <w:t>服务</w:t>
      </w:r>
    </w:p>
    <w:p w14:paraId="6CE62C90">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w:t>
      </w:r>
      <w:r>
        <w:rPr>
          <w:rFonts w:hint="eastAsia" w:ascii="宋体" w:hAnsi="宋体" w:eastAsia="宋体"/>
          <w:color w:val="auto"/>
          <w:kern w:val="2"/>
          <w:szCs w:val="21"/>
          <w:highlight w:val="none"/>
          <w:lang w:eastAsia="zh-CN"/>
        </w:rPr>
        <w:t>4</w:t>
      </w:r>
      <w:r>
        <w:rPr>
          <w:rFonts w:hint="eastAsia" w:ascii="宋体" w:hAnsi="宋体" w:eastAsia="宋体"/>
          <w:color w:val="auto"/>
          <w:kern w:val="2"/>
          <w:szCs w:val="21"/>
          <w:highlight w:val="none"/>
        </w:rPr>
        <w:t>.1 除项目不涉及或采购活动中明确约定无须承担外，乙方还应提供下列服务：</w:t>
      </w:r>
    </w:p>
    <w:p w14:paraId="0B3B4528">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（1）货物的现场移动、安装、调试、启动监督及技术支持；</w:t>
      </w:r>
    </w:p>
    <w:p w14:paraId="502F4420">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（2）提供货物组装和维修所需的专用工具和辅助材料；</w:t>
      </w:r>
    </w:p>
    <w:p w14:paraId="287C9EA6">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（3）在</w:t>
      </w:r>
      <w:r>
        <w:rPr>
          <w:rFonts w:hint="eastAsia" w:ascii="宋体" w:hAnsi="宋体" w:eastAsia="宋体" w:cs="宋体"/>
          <w:b/>
          <w:bCs/>
          <w:color w:val="auto"/>
          <w:kern w:val="2"/>
          <w:szCs w:val="15"/>
          <w:highlight w:val="none"/>
        </w:rPr>
        <w:t>【政府采购合同专用条款】</w:t>
      </w:r>
      <w:r>
        <w:rPr>
          <w:rFonts w:hint="eastAsia" w:ascii="宋体" w:hAnsi="宋体" w:eastAsia="宋体"/>
          <w:color w:val="auto"/>
          <w:kern w:val="2"/>
          <w:szCs w:val="21"/>
          <w:highlight w:val="none"/>
          <w:lang w:eastAsia="zh-CN"/>
        </w:rPr>
        <w:t>约定</w:t>
      </w:r>
      <w:r>
        <w:rPr>
          <w:rFonts w:hint="eastAsia" w:ascii="宋体" w:hAnsi="宋体" w:eastAsia="宋体"/>
          <w:color w:val="auto"/>
          <w:kern w:val="2"/>
          <w:szCs w:val="21"/>
          <w:highlight w:val="none"/>
        </w:rPr>
        <w:t>的期限内对所有的货物实施运行监督、维修，但前提条件是该服务并不能免除乙方在质量保证期内所承担的义务；</w:t>
      </w:r>
    </w:p>
    <w:p w14:paraId="6AB0A86C">
      <w:pPr>
        <w:widowControl w:val="0"/>
        <w:autoSpaceDE w:val="0"/>
        <w:autoSpaceDN w:val="0"/>
        <w:adjustRightInd w:val="0"/>
        <w:snapToGrid w:val="0"/>
        <w:spacing w:before="0" w:line="400" w:lineRule="exact"/>
        <w:ind w:firstLine="420" w:firstLineChars="200"/>
        <w:jc w:val="left"/>
        <w:textAlignment w:val="auto"/>
        <w:rPr>
          <w:rFonts w:hint="eastAsia" w:ascii="宋体" w:hAnsi="宋体" w:eastAsia="宋体"/>
          <w:color w:val="auto"/>
          <w:kern w:val="2"/>
          <w:szCs w:val="21"/>
          <w:highlight w:val="none"/>
        </w:rPr>
      </w:pPr>
      <w:r>
        <w:rPr>
          <w:rFonts w:hint="eastAsia" w:ascii="宋体" w:hAnsi="宋体" w:eastAsia="宋体"/>
          <w:color w:val="auto"/>
          <w:kern w:val="2"/>
          <w:szCs w:val="21"/>
          <w:highlight w:val="none"/>
        </w:rPr>
        <w:t>（4）在制造商</w:t>
      </w:r>
      <w:r>
        <w:rPr>
          <w:rFonts w:hint="eastAsia" w:ascii="宋体" w:hAnsi="宋体" w:eastAsia="宋体"/>
          <w:color w:val="auto"/>
          <w:kern w:val="2"/>
          <w:szCs w:val="21"/>
          <w:highlight w:val="none"/>
          <w:lang w:eastAsia="zh-CN"/>
        </w:rPr>
        <w:t>所在地</w:t>
      </w:r>
      <w:r>
        <w:rPr>
          <w:rFonts w:hint="eastAsia" w:ascii="宋体" w:hAnsi="宋体" w:eastAsia="宋体"/>
          <w:color w:val="auto"/>
          <w:kern w:val="2"/>
          <w:szCs w:val="21"/>
          <w:highlight w:val="none"/>
        </w:rPr>
        <w:t>或</w:t>
      </w:r>
      <w:r>
        <w:rPr>
          <w:rFonts w:hint="eastAsia" w:ascii="宋体" w:hAnsi="宋体" w:eastAsia="宋体"/>
          <w:color w:val="auto"/>
          <w:kern w:val="2"/>
          <w:szCs w:val="21"/>
          <w:highlight w:val="none"/>
          <w:lang w:eastAsia="zh-CN"/>
        </w:rPr>
        <w:t>指定</w:t>
      </w:r>
      <w:r>
        <w:rPr>
          <w:rFonts w:hint="eastAsia" w:ascii="宋体" w:hAnsi="宋体" w:eastAsia="宋体"/>
          <w:color w:val="auto"/>
          <w:kern w:val="2"/>
          <w:szCs w:val="21"/>
          <w:highlight w:val="none"/>
        </w:rPr>
        <w:t>现场就货物的安装、启动、运营、维护</w:t>
      </w:r>
      <w:r>
        <w:rPr>
          <w:rFonts w:hint="eastAsia" w:ascii="宋体" w:hAnsi="宋体" w:eastAsia="宋体"/>
          <w:color w:val="auto"/>
          <w:kern w:val="2"/>
          <w:szCs w:val="21"/>
          <w:highlight w:val="none"/>
          <w:lang w:eastAsia="zh-CN"/>
        </w:rPr>
        <w:t>、废弃处置等</w:t>
      </w:r>
      <w:r>
        <w:rPr>
          <w:rFonts w:hint="eastAsia" w:ascii="宋体" w:hAnsi="宋体" w:eastAsia="宋体"/>
          <w:color w:val="auto"/>
          <w:kern w:val="2"/>
          <w:szCs w:val="21"/>
          <w:highlight w:val="none"/>
        </w:rPr>
        <w:t>对甲方操作人员进行培训</w:t>
      </w:r>
      <w:r>
        <w:rPr>
          <w:rFonts w:hint="eastAsia" w:ascii="宋体" w:hAnsi="宋体" w:eastAsia="宋体" w:cs="宋体"/>
          <w:color w:val="auto"/>
          <w:kern w:val="2"/>
          <w:szCs w:val="15"/>
          <w:lang w:eastAsia="zh-CN"/>
        </w:rPr>
        <w:t>；</w:t>
      </w:r>
    </w:p>
    <w:p w14:paraId="16FC3497">
      <w:pPr>
        <w:autoSpaceDE w:val="0"/>
        <w:autoSpaceDN w:val="0"/>
        <w:adjustRightInd w:val="0"/>
        <w:spacing w:line="400" w:lineRule="exact"/>
        <w:ind w:firstLine="420" w:firstLineChars="20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（5）依照法律、行政法规的规定或者按照</w:t>
      </w:r>
      <w:r>
        <w:rPr>
          <w:rFonts w:hint="eastAsia" w:ascii="宋体" w:hAnsi="宋体" w:eastAsia="宋体" w:cs="宋体"/>
          <w:b/>
          <w:bCs/>
          <w:color w:val="auto"/>
          <w:sz w:val="21"/>
          <w:szCs w:val="21"/>
          <w:lang w:val="en-US" w:eastAsia="zh-CN" w:bidi="ar-SA"/>
        </w:rPr>
        <w:t>【政府采购合同专用条款】</w:t>
      </w:r>
      <w:r>
        <w:rPr>
          <w:rFonts w:hint="eastAsia" w:ascii="宋体" w:hAnsi="宋体" w:eastAsia="宋体" w:cs="宋体"/>
          <w:color w:val="auto"/>
          <w:sz w:val="21"/>
          <w:szCs w:val="21"/>
          <w:lang w:val="en-US" w:eastAsia="zh-CN" w:bidi="ar-SA"/>
        </w:rPr>
        <w:t>约定，货物在有效使用年限届满后应予回收的，乙方负有自行或者委托第三人对货物予以回收的义务；</w:t>
      </w:r>
    </w:p>
    <w:p w14:paraId="76F3D8B0">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val="en-US" w:eastAsia="zh-CN"/>
        </w:rPr>
        <w:t>6</w:t>
      </w:r>
      <w:r>
        <w:rPr>
          <w:rFonts w:hint="eastAsia" w:ascii="宋体" w:hAnsi="宋体" w:eastAsia="宋体"/>
          <w:color w:val="auto"/>
          <w:kern w:val="2"/>
          <w:szCs w:val="21"/>
          <w:highlight w:val="none"/>
        </w:rPr>
        <w:t>）</w:t>
      </w:r>
      <w:r>
        <w:rPr>
          <w:rFonts w:hint="eastAsia" w:ascii="宋体" w:hAnsi="宋体" w:eastAsia="宋体"/>
          <w:b/>
          <w:color w:val="auto"/>
          <w:kern w:val="2"/>
          <w:szCs w:val="21"/>
          <w:highlight w:val="none"/>
        </w:rPr>
        <w:t>【政府采购合同专用条款】</w:t>
      </w:r>
      <w:r>
        <w:rPr>
          <w:rFonts w:hint="eastAsia" w:ascii="宋体" w:hAnsi="宋体" w:eastAsia="宋体"/>
          <w:color w:val="auto"/>
          <w:kern w:val="2"/>
          <w:szCs w:val="21"/>
          <w:highlight w:val="none"/>
        </w:rPr>
        <w:t>规定由乙方提供的其他服务。</w:t>
      </w:r>
    </w:p>
    <w:p w14:paraId="29D94F2D">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w:t>
      </w:r>
      <w:r>
        <w:rPr>
          <w:rFonts w:hint="eastAsia" w:ascii="宋体" w:hAnsi="宋体" w:eastAsia="宋体"/>
          <w:color w:val="auto"/>
          <w:kern w:val="2"/>
          <w:szCs w:val="21"/>
          <w:highlight w:val="none"/>
          <w:lang w:val="en-US" w:eastAsia="zh-CN"/>
        </w:rPr>
        <w:t>4</w:t>
      </w:r>
      <w:r>
        <w:rPr>
          <w:rFonts w:hint="eastAsia" w:ascii="宋体" w:hAnsi="宋体" w:eastAsia="宋体"/>
          <w:color w:val="auto"/>
          <w:kern w:val="2"/>
          <w:szCs w:val="21"/>
          <w:highlight w:val="none"/>
        </w:rPr>
        <w:t>.2 乙方提供的</w:t>
      </w:r>
      <w:r>
        <w:rPr>
          <w:rFonts w:hint="eastAsia" w:ascii="宋体" w:hAnsi="宋体" w:eastAsia="宋体"/>
          <w:color w:val="auto"/>
          <w:kern w:val="2"/>
          <w:szCs w:val="21"/>
          <w:highlight w:val="none"/>
          <w:lang w:eastAsia="zh-CN"/>
        </w:rPr>
        <w:t>售后</w:t>
      </w:r>
      <w:r>
        <w:rPr>
          <w:rFonts w:hint="eastAsia" w:ascii="宋体" w:hAnsi="宋体" w:eastAsia="宋体"/>
          <w:color w:val="auto"/>
          <w:kern w:val="2"/>
          <w:szCs w:val="21"/>
          <w:highlight w:val="none"/>
        </w:rPr>
        <w:t>服务的费用</w:t>
      </w:r>
      <w:r>
        <w:rPr>
          <w:rFonts w:hint="eastAsia" w:ascii="宋体" w:hAnsi="宋体" w:eastAsia="宋体"/>
          <w:color w:val="auto"/>
          <w:kern w:val="2"/>
          <w:szCs w:val="21"/>
          <w:highlight w:val="none"/>
          <w:lang w:val="en-US" w:eastAsia="zh-CN"/>
        </w:rPr>
        <w:t>已</w:t>
      </w:r>
      <w:r>
        <w:rPr>
          <w:rFonts w:hint="eastAsia" w:ascii="宋体" w:hAnsi="宋体" w:eastAsia="宋体"/>
          <w:color w:val="auto"/>
          <w:kern w:val="2"/>
          <w:szCs w:val="21"/>
          <w:highlight w:val="none"/>
        </w:rPr>
        <w:t>包含在合同价款中，甲方不再另行支付。</w:t>
      </w:r>
    </w:p>
    <w:p w14:paraId="2ACBB34E">
      <w:pPr>
        <w:widowControl w:val="0"/>
        <w:adjustRightInd w:val="0"/>
        <w:snapToGrid w:val="0"/>
        <w:spacing w:before="0" w:line="400" w:lineRule="exact"/>
        <w:jc w:val="left"/>
        <w:textAlignment w:val="auto"/>
        <w:rPr>
          <w:rFonts w:ascii="宋体" w:hAnsi="宋体" w:eastAsia="宋体"/>
          <w:b/>
          <w:bCs/>
          <w:color w:val="auto"/>
          <w:kern w:val="2"/>
          <w:sz w:val="24"/>
          <w:szCs w:val="24"/>
          <w:highlight w:val="none"/>
        </w:rPr>
      </w:pPr>
      <w:r>
        <w:rPr>
          <w:rFonts w:hint="eastAsia" w:ascii="宋体" w:hAnsi="宋体" w:eastAsia="宋体"/>
          <w:b/>
          <w:bCs/>
          <w:color w:val="auto"/>
          <w:kern w:val="2"/>
          <w:sz w:val="24"/>
          <w:szCs w:val="24"/>
          <w:highlight w:val="none"/>
        </w:rPr>
        <w:t>1</w:t>
      </w:r>
      <w:r>
        <w:rPr>
          <w:rFonts w:hint="eastAsia" w:ascii="宋体" w:hAnsi="宋体" w:eastAsia="宋体"/>
          <w:b/>
          <w:bCs/>
          <w:color w:val="auto"/>
          <w:kern w:val="2"/>
          <w:sz w:val="24"/>
          <w:szCs w:val="24"/>
          <w:highlight w:val="none"/>
          <w:lang w:eastAsia="zh-CN"/>
        </w:rPr>
        <w:t>5</w:t>
      </w:r>
      <w:r>
        <w:rPr>
          <w:rFonts w:hint="eastAsia" w:ascii="宋体" w:hAnsi="宋体" w:eastAsia="宋体"/>
          <w:b/>
          <w:bCs/>
          <w:color w:val="auto"/>
          <w:kern w:val="2"/>
          <w:sz w:val="24"/>
          <w:szCs w:val="24"/>
          <w:highlight w:val="none"/>
        </w:rPr>
        <w:t>.</w:t>
      </w:r>
      <w:r>
        <w:rPr>
          <w:rFonts w:hint="eastAsia" w:ascii="宋体" w:hAnsi="宋体" w:eastAsia="宋体"/>
          <w:b/>
          <w:bCs/>
          <w:color w:val="auto"/>
          <w:kern w:val="2"/>
          <w:sz w:val="24"/>
          <w:szCs w:val="24"/>
          <w:highlight w:val="none"/>
          <w:lang w:val="en-US" w:eastAsia="zh-CN"/>
        </w:rPr>
        <w:t xml:space="preserve"> </w:t>
      </w:r>
      <w:r>
        <w:rPr>
          <w:rFonts w:hint="eastAsia" w:ascii="宋体" w:hAnsi="宋体" w:eastAsia="宋体"/>
          <w:b/>
          <w:bCs/>
          <w:color w:val="auto"/>
          <w:kern w:val="2"/>
          <w:sz w:val="24"/>
          <w:szCs w:val="24"/>
          <w:highlight w:val="none"/>
        </w:rPr>
        <w:t>违约责任</w:t>
      </w:r>
    </w:p>
    <w:p w14:paraId="117C96A3">
      <w:pPr>
        <w:widowControl w:val="0"/>
        <w:adjustRightInd w:val="0"/>
        <w:snapToGrid w:val="0"/>
        <w:spacing w:before="0" w:line="400" w:lineRule="exact"/>
        <w:ind w:firstLine="420" w:firstLineChars="200"/>
        <w:jc w:val="left"/>
        <w:textAlignment w:val="auto"/>
        <w:rPr>
          <w:rFonts w:hint="eastAsia" w:ascii="宋体" w:hAnsi="宋体" w:eastAsia="宋体"/>
          <w:bCs/>
          <w:color w:val="auto"/>
          <w:kern w:val="2"/>
          <w:szCs w:val="21"/>
          <w:highlight w:val="none"/>
        </w:rPr>
      </w:pPr>
      <w:r>
        <w:rPr>
          <w:rFonts w:hint="eastAsia" w:ascii="宋体" w:hAnsi="宋体" w:eastAsia="宋体"/>
          <w:bCs/>
          <w:color w:val="auto"/>
          <w:kern w:val="2"/>
          <w:szCs w:val="21"/>
          <w:highlight w:val="none"/>
        </w:rPr>
        <w:t>1</w:t>
      </w:r>
      <w:r>
        <w:rPr>
          <w:rFonts w:hint="eastAsia" w:ascii="宋体" w:hAnsi="宋体" w:eastAsia="宋体"/>
          <w:bCs/>
          <w:color w:val="auto"/>
          <w:kern w:val="2"/>
          <w:szCs w:val="21"/>
          <w:highlight w:val="none"/>
          <w:lang w:eastAsia="zh-CN"/>
        </w:rPr>
        <w:t>5</w:t>
      </w:r>
      <w:r>
        <w:rPr>
          <w:rFonts w:hint="eastAsia" w:ascii="宋体" w:hAnsi="宋体" w:eastAsia="宋体"/>
          <w:bCs/>
          <w:color w:val="auto"/>
          <w:kern w:val="2"/>
          <w:szCs w:val="21"/>
          <w:highlight w:val="none"/>
        </w:rPr>
        <w:t>.1质量瑕疵的</w:t>
      </w:r>
      <w:r>
        <w:rPr>
          <w:rFonts w:hint="eastAsia" w:ascii="宋体" w:hAnsi="宋体" w:eastAsia="宋体"/>
          <w:bCs/>
          <w:color w:val="auto"/>
          <w:kern w:val="2"/>
          <w:szCs w:val="21"/>
          <w:highlight w:val="none"/>
          <w:lang w:eastAsia="zh-CN"/>
        </w:rPr>
        <w:t>违约责任</w:t>
      </w:r>
    </w:p>
    <w:p w14:paraId="5A8F9F12">
      <w:pPr>
        <w:widowControl w:val="0"/>
        <w:autoSpaceDE w:val="0"/>
        <w:autoSpaceDN w:val="0"/>
        <w:adjustRightInd w:val="0"/>
        <w:snapToGrid w:val="0"/>
        <w:spacing w:before="0" w:line="400" w:lineRule="exact"/>
        <w:ind w:firstLine="420" w:firstLineChars="200"/>
        <w:jc w:val="left"/>
        <w:textAlignment w:val="auto"/>
        <w:rPr>
          <w:rFonts w:hint="eastAsia" w:ascii="宋体" w:hAnsi="宋体" w:eastAsia="宋体"/>
          <w:color w:val="auto"/>
          <w:kern w:val="2"/>
          <w:szCs w:val="21"/>
          <w:highlight w:val="none"/>
        </w:rPr>
      </w:pPr>
      <w:r>
        <w:rPr>
          <w:rFonts w:hint="eastAsia" w:ascii="宋体" w:hAnsi="宋体" w:eastAsia="宋体"/>
          <w:color w:val="auto"/>
          <w:kern w:val="2"/>
          <w:szCs w:val="21"/>
          <w:highlight w:val="none"/>
        </w:rPr>
        <w:t>乙方</w:t>
      </w:r>
      <w:r>
        <w:rPr>
          <w:rFonts w:hint="eastAsia" w:ascii="宋体" w:hAnsi="宋体" w:eastAsia="宋体"/>
          <w:color w:val="auto"/>
          <w:kern w:val="2"/>
          <w:szCs w:val="21"/>
          <w:highlight w:val="none"/>
          <w:lang w:eastAsia="zh-CN"/>
        </w:rPr>
        <w:t>提供</w:t>
      </w:r>
      <w:r>
        <w:rPr>
          <w:rFonts w:hint="eastAsia" w:ascii="宋体" w:hAnsi="宋体" w:eastAsia="宋体"/>
          <w:color w:val="auto"/>
          <w:kern w:val="2"/>
          <w:szCs w:val="21"/>
          <w:highlight w:val="none"/>
        </w:rPr>
        <w:t>的产品不符合</w:t>
      </w:r>
      <w:r>
        <w:rPr>
          <w:rFonts w:hint="eastAsia" w:ascii="宋体" w:hAnsi="宋体" w:eastAsia="宋体"/>
          <w:color w:val="auto"/>
          <w:kern w:val="2"/>
          <w:szCs w:val="21"/>
          <w:highlight w:val="none"/>
          <w:lang w:eastAsia="zh-CN"/>
        </w:rPr>
        <w:t>合同约定的</w:t>
      </w:r>
      <w:r>
        <w:rPr>
          <w:rFonts w:hint="eastAsia" w:ascii="宋体" w:hAnsi="宋体" w:eastAsia="宋体"/>
          <w:color w:val="auto"/>
          <w:kern w:val="2"/>
          <w:szCs w:val="21"/>
          <w:highlight w:val="none"/>
        </w:rPr>
        <w:t>质量标准或存在产品质量缺陷，</w:t>
      </w:r>
      <w:r>
        <w:rPr>
          <w:rFonts w:hint="eastAsia" w:ascii="宋体" w:hAnsi="宋体" w:eastAsia="宋体"/>
          <w:color w:val="auto"/>
          <w:kern w:val="2"/>
          <w:szCs w:val="21"/>
          <w:highlight w:val="none"/>
          <w:lang w:eastAsia="zh-CN"/>
        </w:rPr>
        <w:t>甲方有权要求乙方根据</w:t>
      </w:r>
      <w:r>
        <w:rPr>
          <w:rFonts w:hint="eastAsia" w:ascii="宋体" w:hAnsi="宋体" w:eastAsia="宋体"/>
          <w:b/>
          <w:color w:val="auto"/>
          <w:kern w:val="2"/>
          <w:szCs w:val="21"/>
          <w:highlight w:val="none"/>
        </w:rPr>
        <w:t>【政府采购合同专用条款】</w:t>
      </w:r>
      <w:r>
        <w:rPr>
          <w:rFonts w:hint="eastAsia" w:ascii="宋体" w:hAnsi="宋体" w:eastAsia="宋体"/>
          <w:b w:val="0"/>
          <w:bCs/>
          <w:color w:val="auto"/>
          <w:kern w:val="2"/>
          <w:szCs w:val="21"/>
          <w:highlight w:val="none"/>
          <w:lang w:eastAsia="zh-CN"/>
        </w:rPr>
        <w:t>要求</w:t>
      </w:r>
      <w:r>
        <w:rPr>
          <w:rFonts w:hint="eastAsia" w:ascii="宋体" w:hAnsi="宋体" w:eastAsia="宋体"/>
          <w:color w:val="auto"/>
          <w:kern w:val="2"/>
          <w:szCs w:val="21"/>
          <w:highlight w:val="none"/>
          <w:lang w:eastAsia="zh-CN"/>
        </w:rPr>
        <w:t>及时修理、重作、更换，并承担由此给甲</w:t>
      </w:r>
      <w:r>
        <w:rPr>
          <w:rFonts w:hint="eastAsia" w:ascii="宋体" w:hAnsi="宋体" w:eastAsia="宋体"/>
          <w:color w:val="auto"/>
          <w:kern w:val="2"/>
          <w:szCs w:val="21"/>
          <w:highlight w:val="none"/>
        </w:rPr>
        <w:t>方</w:t>
      </w:r>
      <w:r>
        <w:rPr>
          <w:rFonts w:hint="eastAsia" w:ascii="宋体" w:hAnsi="宋体" w:eastAsia="宋体"/>
          <w:color w:val="auto"/>
          <w:kern w:val="2"/>
          <w:szCs w:val="21"/>
          <w:highlight w:val="none"/>
          <w:lang w:eastAsia="zh-CN"/>
        </w:rPr>
        <w:t>造成的损失</w:t>
      </w:r>
      <w:r>
        <w:rPr>
          <w:rFonts w:hint="eastAsia" w:ascii="宋体" w:hAnsi="宋体" w:eastAsia="宋体"/>
          <w:color w:val="auto"/>
          <w:kern w:val="2"/>
          <w:szCs w:val="21"/>
          <w:highlight w:val="none"/>
        </w:rPr>
        <w:t>。</w:t>
      </w:r>
    </w:p>
    <w:p w14:paraId="7FB78DD7">
      <w:pPr>
        <w:widowControl w:val="0"/>
        <w:autoSpaceDE w:val="0"/>
        <w:autoSpaceDN w:val="0"/>
        <w:adjustRightInd w:val="0"/>
        <w:snapToGrid w:val="0"/>
        <w:spacing w:before="0" w:line="400" w:lineRule="exact"/>
        <w:ind w:firstLine="420" w:firstLineChars="200"/>
        <w:jc w:val="left"/>
        <w:textAlignment w:val="auto"/>
        <w:rPr>
          <w:rFonts w:ascii="宋体" w:hAnsi="宋体" w:eastAsia="宋体"/>
          <w:bCs/>
          <w:color w:val="auto"/>
          <w:kern w:val="2"/>
          <w:szCs w:val="21"/>
          <w:highlight w:val="none"/>
        </w:rPr>
      </w:pPr>
      <w:r>
        <w:rPr>
          <w:rFonts w:hint="eastAsia" w:ascii="宋体" w:hAnsi="宋体" w:eastAsia="宋体"/>
          <w:bCs/>
          <w:color w:val="auto"/>
          <w:kern w:val="2"/>
          <w:szCs w:val="21"/>
          <w:highlight w:val="none"/>
        </w:rPr>
        <w:t>1</w:t>
      </w:r>
      <w:r>
        <w:rPr>
          <w:rFonts w:hint="eastAsia" w:ascii="宋体" w:hAnsi="宋体" w:eastAsia="宋体"/>
          <w:bCs/>
          <w:color w:val="auto"/>
          <w:kern w:val="2"/>
          <w:szCs w:val="21"/>
          <w:highlight w:val="none"/>
          <w:lang w:eastAsia="zh-CN"/>
        </w:rPr>
        <w:t>5</w:t>
      </w:r>
      <w:r>
        <w:rPr>
          <w:rFonts w:hint="eastAsia" w:ascii="宋体" w:hAnsi="宋体" w:eastAsia="宋体"/>
          <w:bCs/>
          <w:color w:val="auto"/>
          <w:kern w:val="2"/>
          <w:szCs w:val="21"/>
          <w:highlight w:val="none"/>
        </w:rPr>
        <w:t>.2 迟延交货的违约责任</w:t>
      </w:r>
    </w:p>
    <w:p w14:paraId="228D6B0C">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（1）乙方应按照本合同规定的时间、地点交货和提供</w:t>
      </w:r>
      <w:r>
        <w:rPr>
          <w:rFonts w:hint="eastAsia" w:ascii="宋体" w:hAnsi="宋体" w:eastAsia="宋体"/>
          <w:color w:val="auto"/>
          <w:kern w:val="2"/>
          <w:szCs w:val="21"/>
          <w:highlight w:val="none"/>
          <w:lang w:eastAsia="zh-CN"/>
        </w:rPr>
        <w:t>相关</w:t>
      </w:r>
      <w:r>
        <w:rPr>
          <w:rFonts w:hint="eastAsia" w:ascii="宋体" w:hAnsi="宋体" w:eastAsia="宋体"/>
          <w:color w:val="auto"/>
          <w:kern w:val="2"/>
          <w:szCs w:val="21"/>
          <w:highlight w:val="none"/>
        </w:rPr>
        <w:t>服务。在履行合同过程中，如果乙方遇到可能</w:t>
      </w:r>
      <w:r>
        <w:rPr>
          <w:rFonts w:hint="eastAsia" w:ascii="宋体" w:hAnsi="宋体" w:eastAsia="宋体"/>
          <w:color w:val="auto"/>
          <w:kern w:val="2"/>
          <w:szCs w:val="21"/>
          <w:highlight w:val="none"/>
          <w:lang w:eastAsia="zh-CN"/>
        </w:rPr>
        <w:t>影响</w:t>
      </w:r>
      <w:r>
        <w:rPr>
          <w:rFonts w:hint="eastAsia" w:ascii="宋体" w:hAnsi="宋体" w:eastAsia="宋体"/>
          <w:color w:val="auto"/>
          <w:kern w:val="2"/>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kern w:val="2"/>
          <w:szCs w:val="21"/>
          <w:highlight w:val="none"/>
          <w:lang w:eastAsia="zh-CN"/>
        </w:rPr>
        <w:t>长</w:t>
      </w:r>
      <w:r>
        <w:rPr>
          <w:rFonts w:hint="eastAsia" w:ascii="宋体" w:hAnsi="宋体" w:eastAsia="宋体"/>
          <w:color w:val="auto"/>
          <w:kern w:val="2"/>
          <w:szCs w:val="21"/>
          <w:highlight w:val="none"/>
        </w:rPr>
        <w:t>交货时间或延期提供服务。</w:t>
      </w:r>
    </w:p>
    <w:p w14:paraId="441A6C10">
      <w:pPr>
        <w:widowControl w:val="0"/>
        <w:autoSpaceDE w:val="0"/>
        <w:autoSpaceDN w:val="0"/>
        <w:adjustRightInd w:val="0"/>
        <w:snapToGrid w:val="0"/>
        <w:spacing w:before="0" w:line="400" w:lineRule="exact"/>
        <w:ind w:firstLine="420" w:firstLineChars="200"/>
        <w:jc w:val="left"/>
        <w:textAlignment w:val="auto"/>
        <w:rPr>
          <w:rFonts w:hint="eastAsia" w:ascii="宋体" w:hAnsi="宋体" w:eastAsia="宋体"/>
          <w:color w:val="auto"/>
          <w:kern w:val="2"/>
          <w:szCs w:val="21"/>
          <w:highlight w:val="none"/>
          <w:lang w:eastAsia="zh-CN"/>
        </w:rPr>
      </w:pPr>
      <w:r>
        <w:rPr>
          <w:rFonts w:hint="eastAsia" w:ascii="宋体" w:hAnsi="宋体" w:eastAsia="宋体"/>
          <w:color w:val="auto"/>
          <w:kern w:val="2"/>
          <w:szCs w:val="21"/>
          <w:highlight w:val="none"/>
        </w:rPr>
        <w:t>（2）如果乙方没有按照合同规定的时间交货和提供</w:t>
      </w:r>
      <w:r>
        <w:rPr>
          <w:rFonts w:hint="eastAsia" w:ascii="宋体" w:hAnsi="宋体" w:eastAsia="宋体"/>
          <w:color w:val="auto"/>
          <w:kern w:val="2"/>
          <w:szCs w:val="21"/>
          <w:highlight w:val="none"/>
          <w:lang w:eastAsia="zh-CN"/>
        </w:rPr>
        <w:t>相关</w:t>
      </w:r>
      <w:r>
        <w:rPr>
          <w:rFonts w:hint="eastAsia" w:ascii="宋体" w:hAnsi="宋体" w:eastAsia="宋体"/>
          <w:color w:val="auto"/>
          <w:kern w:val="2"/>
          <w:szCs w:val="21"/>
          <w:highlight w:val="none"/>
        </w:rPr>
        <w:t>服务，甲方有权从货款中扣除误期赔偿费而不影响合同项下的其他补救方法，赔偿费按</w:t>
      </w:r>
      <w:r>
        <w:rPr>
          <w:rFonts w:hint="eastAsia" w:ascii="宋体" w:hAnsi="宋体" w:eastAsia="宋体"/>
          <w:b/>
          <w:color w:val="auto"/>
          <w:kern w:val="2"/>
          <w:szCs w:val="21"/>
          <w:highlight w:val="none"/>
        </w:rPr>
        <w:t>【政府采购合同专用条款】</w:t>
      </w:r>
      <w:r>
        <w:rPr>
          <w:rFonts w:hint="eastAsia" w:ascii="宋体" w:hAnsi="宋体" w:eastAsia="宋体"/>
          <w:color w:val="auto"/>
          <w:kern w:val="2"/>
          <w:szCs w:val="21"/>
          <w:highlight w:val="none"/>
        </w:rPr>
        <w:t>规定执行。如果涉及公共利益，且赔偿金额无法弥补公共利益损失，</w:t>
      </w:r>
      <w:r>
        <w:rPr>
          <w:rFonts w:hint="eastAsia" w:ascii="宋体" w:hAnsi="宋体" w:eastAsia="宋体"/>
          <w:color w:val="auto"/>
          <w:kern w:val="2"/>
          <w:szCs w:val="21"/>
          <w:highlight w:val="none"/>
          <w:lang w:eastAsia="zh-CN"/>
        </w:rPr>
        <w:t>甲方</w:t>
      </w:r>
      <w:r>
        <w:rPr>
          <w:rFonts w:hint="eastAsia" w:ascii="宋体" w:hAnsi="宋体" w:eastAsia="宋体"/>
          <w:color w:val="auto"/>
          <w:kern w:val="2"/>
          <w:szCs w:val="21"/>
          <w:highlight w:val="none"/>
        </w:rPr>
        <w:t>可要求继续履行或者</w:t>
      </w:r>
      <w:r>
        <w:rPr>
          <w:rFonts w:hint="eastAsia" w:ascii="宋体" w:hAnsi="宋体" w:eastAsia="宋体"/>
          <w:color w:val="auto"/>
          <w:kern w:val="2"/>
          <w:szCs w:val="21"/>
          <w:highlight w:val="none"/>
          <w:lang w:eastAsia="zh-CN"/>
        </w:rPr>
        <w:t>采取其他补救措施</w:t>
      </w:r>
      <w:r>
        <w:rPr>
          <w:rFonts w:hint="eastAsia" w:ascii="宋体" w:hAnsi="宋体" w:eastAsia="宋体"/>
          <w:color w:val="auto"/>
          <w:kern w:val="2"/>
          <w:szCs w:val="21"/>
          <w:highlight w:val="none"/>
        </w:rPr>
        <w:t>。</w:t>
      </w:r>
    </w:p>
    <w:p w14:paraId="55B207E6">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w:t>
      </w:r>
      <w:r>
        <w:rPr>
          <w:rFonts w:hint="eastAsia" w:ascii="宋体" w:hAnsi="宋体" w:eastAsia="宋体"/>
          <w:color w:val="auto"/>
          <w:kern w:val="2"/>
          <w:szCs w:val="21"/>
          <w:highlight w:val="none"/>
          <w:lang w:eastAsia="zh-CN"/>
        </w:rPr>
        <w:t>5</w:t>
      </w:r>
      <w:r>
        <w:rPr>
          <w:rFonts w:hint="eastAsia" w:ascii="宋体" w:hAnsi="宋体" w:eastAsia="宋体"/>
          <w:color w:val="auto"/>
          <w:kern w:val="2"/>
          <w:szCs w:val="21"/>
          <w:highlight w:val="none"/>
        </w:rPr>
        <w:t>.3 迟延支付的违约责任</w:t>
      </w:r>
    </w:p>
    <w:p w14:paraId="1E8F1283">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甲方存在迟延支付乙方合同款项的，应当承担</w:t>
      </w:r>
      <w:r>
        <w:rPr>
          <w:rFonts w:hint="eastAsia" w:ascii="宋体" w:hAnsi="宋体" w:eastAsia="宋体"/>
          <w:b/>
          <w:bCs/>
          <w:color w:val="auto"/>
          <w:kern w:val="2"/>
          <w:szCs w:val="21"/>
          <w:highlight w:val="none"/>
        </w:rPr>
        <w:t>【政府采购合同专用条款】</w:t>
      </w:r>
      <w:r>
        <w:rPr>
          <w:rFonts w:hint="eastAsia" w:ascii="宋体" w:hAnsi="宋体" w:eastAsia="宋体"/>
          <w:color w:val="auto"/>
          <w:kern w:val="2"/>
          <w:szCs w:val="21"/>
          <w:highlight w:val="none"/>
        </w:rPr>
        <w:t>规定的逾期付款利息。</w:t>
      </w:r>
    </w:p>
    <w:p w14:paraId="007CBF92">
      <w:pPr>
        <w:widowControl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bCs/>
          <w:color w:val="auto"/>
          <w:kern w:val="2"/>
          <w:szCs w:val="21"/>
          <w:highlight w:val="none"/>
        </w:rPr>
        <w:t>1</w:t>
      </w:r>
      <w:r>
        <w:rPr>
          <w:rFonts w:hint="eastAsia" w:ascii="宋体" w:hAnsi="宋体" w:eastAsia="宋体"/>
          <w:bCs/>
          <w:color w:val="auto"/>
          <w:kern w:val="2"/>
          <w:szCs w:val="21"/>
          <w:highlight w:val="none"/>
          <w:lang w:eastAsia="zh-CN"/>
        </w:rPr>
        <w:t>5</w:t>
      </w:r>
      <w:r>
        <w:rPr>
          <w:rFonts w:hint="eastAsia" w:ascii="宋体" w:hAnsi="宋体" w:eastAsia="宋体"/>
          <w:bCs/>
          <w:color w:val="auto"/>
          <w:kern w:val="2"/>
          <w:szCs w:val="21"/>
          <w:highlight w:val="none"/>
        </w:rPr>
        <w:t>.4其他违约责任根据项目实际需要按</w:t>
      </w:r>
      <w:r>
        <w:rPr>
          <w:rFonts w:hint="eastAsia" w:ascii="宋体" w:hAnsi="宋体" w:eastAsia="宋体"/>
          <w:b/>
          <w:bCs/>
          <w:color w:val="auto"/>
          <w:kern w:val="2"/>
          <w:szCs w:val="21"/>
          <w:highlight w:val="none"/>
        </w:rPr>
        <w:t>【政府采购合同专用条款】</w:t>
      </w:r>
      <w:r>
        <w:rPr>
          <w:rFonts w:hint="eastAsia" w:ascii="宋体" w:hAnsi="宋体" w:eastAsia="宋体"/>
          <w:color w:val="auto"/>
          <w:kern w:val="2"/>
          <w:szCs w:val="21"/>
          <w:highlight w:val="none"/>
        </w:rPr>
        <w:t>规定执行。</w:t>
      </w:r>
    </w:p>
    <w:p w14:paraId="367234EC">
      <w:pPr>
        <w:widowControl w:val="0"/>
        <w:numPr>
          <w:ilvl w:val="0"/>
          <w:numId w:val="8"/>
        </w:numPr>
        <w:autoSpaceDE w:val="0"/>
        <w:autoSpaceDN w:val="0"/>
        <w:adjustRightInd w:val="0"/>
        <w:snapToGrid w:val="0"/>
        <w:spacing w:before="0" w:line="400" w:lineRule="exact"/>
        <w:jc w:val="left"/>
        <w:textAlignment w:val="auto"/>
        <w:rPr>
          <w:rFonts w:ascii="宋体" w:hAnsi="宋体" w:eastAsia="宋体"/>
          <w:b/>
          <w:color w:val="auto"/>
          <w:kern w:val="2"/>
          <w:sz w:val="24"/>
          <w:szCs w:val="24"/>
          <w:highlight w:val="none"/>
        </w:rPr>
      </w:pPr>
      <w:r>
        <w:rPr>
          <w:rFonts w:hint="eastAsia" w:ascii="宋体" w:hAnsi="宋体" w:eastAsia="宋体"/>
          <w:b/>
          <w:color w:val="auto"/>
          <w:kern w:val="2"/>
          <w:sz w:val="24"/>
          <w:szCs w:val="24"/>
          <w:highlight w:val="none"/>
        </w:rPr>
        <w:t>合同变更</w:t>
      </w:r>
      <w:r>
        <w:rPr>
          <w:rFonts w:hint="eastAsia" w:ascii="宋体" w:hAnsi="宋体" w:eastAsia="宋体"/>
          <w:b/>
          <w:color w:val="auto"/>
          <w:kern w:val="2"/>
          <w:sz w:val="24"/>
          <w:szCs w:val="24"/>
          <w:highlight w:val="none"/>
          <w:lang w:eastAsia="zh-CN"/>
        </w:rPr>
        <w:t>、中止与终止</w:t>
      </w:r>
    </w:p>
    <w:p w14:paraId="3F853F46">
      <w:pPr>
        <w:widowControl w:val="0"/>
        <w:autoSpaceDE/>
        <w:autoSpaceDN/>
        <w:adjustRightInd w:val="0"/>
        <w:snapToGrid w:val="0"/>
        <w:spacing w:before="0" w:line="400" w:lineRule="exact"/>
        <w:ind w:firstLine="0" w:firstLineChars="0"/>
        <w:jc w:val="left"/>
        <w:textAlignment w:val="auto"/>
        <w:rPr>
          <w:rFonts w:hint="eastAsia" w:ascii="宋体" w:hAnsi="宋体" w:eastAsia="宋体"/>
          <w:color w:val="auto"/>
          <w:kern w:val="2"/>
          <w:szCs w:val="21"/>
          <w:highlight w:val="none"/>
        </w:rPr>
      </w:pPr>
      <w:r>
        <w:rPr>
          <w:rFonts w:hint="eastAsia" w:ascii="宋体" w:hAnsi="宋体" w:eastAsia="宋体"/>
          <w:color w:val="auto"/>
          <w:kern w:val="2"/>
          <w:szCs w:val="21"/>
          <w:highlight w:val="none"/>
          <w:lang w:val="en-US" w:eastAsia="zh-CN"/>
        </w:rPr>
        <w:t xml:space="preserve">    </w:t>
      </w:r>
      <w:r>
        <w:rPr>
          <w:rFonts w:hint="eastAsia" w:ascii="宋体" w:hAnsi="宋体" w:eastAsia="宋体"/>
          <w:color w:val="auto"/>
          <w:kern w:val="2"/>
          <w:szCs w:val="21"/>
          <w:highlight w:val="none"/>
        </w:rPr>
        <w:t>1</w:t>
      </w:r>
      <w:r>
        <w:rPr>
          <w:rFonts w:hint="eastAsia" w:ascii="宋体" w:hAnsi="宋体" w:eastAsia="宋体"/>
          <w:color w:val="auto"/>
          <w:kern w:val="2"/>
          <w:szCs w:val="21"/>
          <w:highlight w:val="none"/>
          <w:lang w:val="en-US" w:eastAsia="zh-CN"/>
        </w:rPr>
        <w:t>6</w:t>
      </w:r>
      <w:r>
        <w:rPr>
          <w:rFonts w:hint="eastAsia" w:ascii="宋体" w:hAnsi="宋体" w:eastAsia="宋体"/>
          <w:color w:val="auto"/>
          <w:kern w:val="2"/>
          <w:szCs w:val="21"/>
          <w:highlight w:val="none"/>
        </w:rPr>
        <w:t>.1合同的</w:t>
      </w:r>
      <w:r>
        <w:rPr>
          <w:rFonts w:hint="eastAsia" w:ascii="宋体" w:hAnsi="宋体" w:eastAsia="宋体"/>
          <w:color w:val="auto"/>
          <w:kern w:val="2"/>
          <w:szCs w:val="21"/>
          <w:highlight w:val="none"/>
          <w:lang w:eastAsia="zh-CN"/>
        </w:rPr>
        <w:t>变更</w:t>
      </w:r>
    </w:p>
    <w:p w14:paraId="23E0CBDB">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lang w:eastAsia="zh-CN"/>
        </w:rPr>
        <w:t>政府采购合同履行中，</w:t>
      </w:r>
      <w:r>
        <w:rPr>
          <w:rFonts w:hint="eastAsia" w:ascii="宋体" w:hAnsi="宋体" w:eastAsia="宋体"/>
          <w:color w:val="auto"/>
          <w:kern w:val="2"/>
          <w:szCs w:val="21"/>
          <w:highlight w:val="none"/>
        </w:rPr>
        <w:t>在不改变合同其他条款的前提下，甲方可以在合同价款10%的范围内追加与合同标的相同的货物，并就此与乙方协商</w:t>
      </w:r>
      <w:r>
        <w:rPr>
          <w:rFonts w:hint="eastAsia" w:ascii="宋体" w:hAnsi="宋体" w:eastAsia="宋体"/>
          <w:color w:val="auto"/>
          <w:kern w:val="2"/>
          <w:szCs w:val="21"/>
          <w:highlight w:val="none"/>
          <w:lang w:eastAsia="zh-CN"/>
        </w:rPr>
        <w:t>一致后</w:t>
      </w:r>
      <w:r>
        <w:rPr>
          <w:rFonts w:hint="eastAsia" w:ascii="宋体" w:hAnsi="宋体" w:eastAsia="宋体"/>
          <w:color w:val="auto"/>
          <w:kern w:val="2"/>
          <w:szCs w:val="21"/>
          <w:highlight w:val="none"/>
        </w:rPr>
        <w:t>签订补充协议。</w:t>
      </w:r>
    </w:p>
    <w:p w14:paraId="416A7D26">
      <w:pPr>
        <w:widowControl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w:t>
      </w:r>
      <w:r>
        <w:rPr>
          <w:rFonts w:hint="eastAsia" w:ascii="宋体" w:hAnsi="宋体" w:eastAsia="宋体"/>
          <w:color w:val="auto"/>
          <w:kern w:val="2"/>
          <w:szCs w:val="21"/>
          <w:highlight w:val="none"/>
          <w:lang w:val="en-US" w:eastAsia="zh-CN"/>
        </w:rPr>
        <w:t>6</w:t>
      </w: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val="en-US" w:eastAsia="zh-CN"/>
        </w:rPr>
        <w:t>2</w:t>
      </w:r>
      <w:r>
        <w:rPr>
          <w:rFonts w:hint="eastAsia" w:ascii="宋体" w:hAnsi="宋体" w:eastAsia="宋体"/>
          <w:color w:val="auto"/>
          <w:kern w:val="2"/>
          <w:szCs w:val="21"/>
          <w:highlight w:val="none"/>
        </w:rPr>
        <w:t>合同的中止</w:t>
      </w:r>
    </w:p>
    <w:p w14:paraId="228B10E3">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（1）合同履行过程中因供应商就采购文件、采购过程或结果提起投诉的，甲方认为有必要的，</w:t>
      </w:r>
      <w:r>
        <w:rPr>
          <w:rFonts w:hint="eastAsia" w:ascii="宋体" w:hAnsi="宋体" w:eastAsia="宋体"/>
          <w:color w:val="auto"/>
          <w:kern w:val="2"/>
          <w:szCs w:val="21"/>
          <w:highlight w:val="none"/>
          <w:lang w:eastAsia="zh-CN"/>
        </w:rPr>
        <w:t>可以</w:t>
      </w:r>
      <w:r>
        <w:rPr>
          <w:rFonts w:hint="eastAsia" w:ascii="宋体" w:hAnsi="宋体" w:eastAsia="宋体"/>
          <w:color w:val="auto"/>
          <w:kern w:val="2"/>
          <w:szCs w:val="21"/>
          <w:highlight w:val="none"/>
        </w:rPr>
        <w:t>中止合同的履行。</w:t>
      </w:r>
    </w:p>
    <w:p w14:paraId="0AC57FE9">
      <w:pPr>
        <w:widowControl w:val="0"/>
        <w:autoSpaceDE w:val="0"/>
        <w:autoSpaceDN w:val="0"/>
        <w:adjustRightInd w:val="0"/>
        <w:snapToGrid w:val="0"/>
        <w:spacing w:before="0" w:line="400" w:lineRule="exact"/>
        <w:ind w:firstLine="420" w:firstLineChars="200"/>
        <w:jc w:val="left"/>
        <w:textAlignment w:val="auto"/>
        <w:rPr>
          <w:rFonts w:hint="eastAsia" w:ascii="宋体" w:hAnsi="宋体" w:eastAsia="宋体"/>
          <w:color w:val="auto"/>
          <w:kern w:val="2"/>
          <w:szCs w:val="21"/>
          <w:highlight w:val="none"/>
        </w:rPr>
      </w:pPr>
      <w:r>
        <w:rPr>
          <w:rFonts w:hint="eastAsia" w:ascii="宋体" w:hAnsi="宋体" w:eastAsia="宋体"/>
          <w:color w:val="auto"/>
          <w:kern w:val="2"/>
          <w:szCs w:val="21"/>
          <w:highlight w:val="none"/>
        </w:rPr>
        <w:t>（2）</w:t>
      </w:r>
      <w:r>
        <w:rPr>
          <w:rFonts w:hint="eastAsia" w:ascii="宋体" w:hAnsi="宋体" w:eastAsia="宋体"/>
          <w:color w:val="auto"/>
          <w:kern w:val="2"/>
          <w:szCs w:val="21"/>
          <w:highlight w:val="none"/>
          <w:lang w:val="en-US" w:eastAsia="zh-CN"/>
        </w:rPr>
        <w:t>合同履行过程中，</w:t>
      </w:r>
      <w:r>
        <w:rPr>
          <w:rFonts w:hint="eastAsia" w:ascii="宋体" w:hAnsi="宋体" w:eastAsia="宋体"/>
          <w:color w:val="auto"/>
          <w:kern w:val="2"/>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kern w:val="2"/>
          <w:szCs w:val="21"/>
          <w:highlight w:val="none"/>
          <w:lang w:eastAsia="zh-CN"/>
        </w:rPr>
        <w:t>，乙方有义务及时告知甲方</w:t>
      </w:r>
      <w:r>
        <w:rPr>
          <w:rFonts w:hint="eastAsia" w:ascii="宋体" w:hAnsi="宋体" w:eastAsia="宋体"/>
          <w:color w:val="auto"/>
          <w:kern w:val="2"/>
          <w:szCs w:val="21"/>
          <w:highlight w:val="none"/>
        </w:rPr>
        <w:t>。甲方</w:t>
      </w:r>
      <w:r>
        <w:rPr>
          <w:rFonts w:hint="eastAsia" w:ascii="宋体" w:hAnsi="宋体" w:eastAsia="宋体"/>
          <w:color w:val="auto"/>
          <w:kern w:val="2"/>
          <w:szCs w:val="21"/>
          <w:highlight w:val="none"/>
          <w:lang w:eastAsia="zh-CN"/>
        </w:rPr>
        <w:t>有权</w:t>
      </w:r>
      <w:r>
        <w:rPr>
          <w:rFonts w:hint="eastAsia" w:ascii="宋体" w:hAnsi="宋体" w:eastAsia="宋体"/>
          <w:color w:val="auto"/>
          <w:kern w:val="2"/>
          <w:szCs w:val="21"/>
          <w:highlight w:val="none"/>
        </w:rPr>
        <w:t>以书面形式通知乙方中止合同</w:t>
      </w:r>
      <w:r>
        <w:rPr>
          <w:rFonts w:hint="eastAsia" w:ascii="宋体" w:hAnsi="宋体" w:eastAsia="宋体"/>
          <w:color w:val="auto"/>
          <w:kern w:val="2"/>
          <w:szCs w:val="21"/>
          <w:highlight w:val="none"/>
          <w:lang w:eastAsia="zh-CN"/>
        </w:rPr>
        <w:t>并要求乙方在合理期限内消除相关情形或者提供适当担保。</w:t>
      </w:r>
      <w:r>
        <w:rPr>
          <w:rFonts w:hint="eastAsia" w:ascii="宋体" w:hAnsi="宋体" w:eastAsia="宋体"/>
          <w:color w:val="auto"/>
          <w:kern w:val="2"/>
          <w:szCs w:val="21"/>
          <w:highlight w:val="none"/>
        </w:rPr>
        <w:t>乙方提供适当担保的，</w:t>
      </w:r>
      <w:r>
        <w:rPr>
          <w:rFonts w:hint="eastAsia" w:ascii="宋体" w:hAnsi="宋体" w:eastAsia="宋体"/>
          <w:color w:val="auto"/>
          <w:kern w:val="2"/>
          <w:szCs w:val="21"/>
          <w:highlight w:val="none"/>
          <w:lang w:eastAsia="zh-CN"/>
        </w:rPr>
        <w:t>合同继续</w:t>
      </w:r>
      <w:r>
        <w:rPr>
          <w:rFonts w:hint="eastAsia" w:ascii="宋体" w:hAnsi="宋体" w:eastAsia="宋体"/>
          <w:color w:val="auto"/>
          <w:kern w:val="2"/>
          <w:szCs w:val="21"/>
          <w:highlight w:val="none"/>
        </w:rPr>
        <w:t>履行</w:t>
      </w:r>
      <w:r>
        <w:rPr>
          <w:rFonts w:hint="eastAsia" w:ascii="宋体" w:hAnsi="宋体" w:eastAsia="宋体"/>
          <w:color w:val="auto"/>
          <w:kern w:val="2"/>
          <w:szCs w:val="21"/>
          <w:highlight w:val="none"/>
          <w:lang w:eastAsia="zh-CN"/>
        </w:rPr>
        <w:t>；乙</w:t>
      </w:r>
      <w:r>
        <w:rPr>
          <w:rFonts w:hint="eastAsia" w:ascii="宋体" w:hAnsi="宋体" w:eastAsia="宋体"/>
          <w:color w:val="auto"/>
          <w:kern w:val="2"/>
          <w:szCs w:val="21"/>
          <w:highlight w:val="none"/>
        </w:rPr>
        <w:t>方在合理期限内未恢复履约能力且未提供适当担保的，视为拒绝</w:t>
      </w:r>
      <w:r>
        <w:rPr>
          <w:rFonts w:hint="eastAsia" w:ascii="宋体" w:hAnsi="宋体" w:eastAsia="宋体"/>
          <w:color w:val="auto"/>
          <w:kern w:val="2"/>
          <w:szCs w:val="21"/>
          <w:highlight w:val="none"/>
          <w:lang w:eastAsia="zh-CN"/>
        </w:rPr>
        <w:t>继续</w:t>
      </w:r>
      <w:r>
        <w:rPr>
          <w:rFonts w:hint="eastAsia" w:ascii="宋体" w:hAnsi="宋体" w:eastAsia="宋体"/>
          <w:color w:val="auto"/>
          <w:kern w:val="2"/>
          <w:szCs w:val="21"/>
          <w:highlight w:val="none"/>
        </w:rPr>
        <w:t>履约，甲方</w:t>
      </w:r>
      <w:r>
        <w:rPr>
          <w:rFonts w:hint="eastAsia" w:ascii="宋体" w:hAnsi="宋体" w:eastAsia="宋体"/>
          <w:color w:val="auto"/>
          <w:kern w:val="2"/>
          <w:szCs w:val="21"/>
          <w:highlight w:val="none"/>
          <w:lang w:eastAsia="zh-CN"/>
        </w:rPr>
        <w:t>有权</w:t>
      </w:r>
      <w:r>
        <w:rPr>
          <w:rFonts w:hint="eastAsia" w:ascii="宋体" w:hAnsi="宋体" w:eastAsia="宋体"/>
          <w:color w:val="auto"/>
          <w:kern w:val="2"/>
          <w:szCs w:val="21"/>
          <w:highlight w:val="none"/>
        </w:rPr>
        <w:t>解除合同并要求乙方承担</w:t>
      </w:r>
      <w:r>
        <w:rPr>
          <w:rFonts w:hint="eastAsia" w:ascii="宋体" w:hAnsi="宋体" w:eastAsia="宋体"/>
          <w:color w:val="auto"/>
          <w:kern w:val="2"/>
          <w:szCs w:val="21"/>
          <w:highlight w:val="none"/>
          <w:lang w:eastAsia="zh-CN"/>
        </w:rPr>
        <w:t>由此给甲方造成的损失</w:t>
      </w:r>
      <w:r>
        <w:rPr>
          <w:rFonts w:hint="eastAsia" w:ascii="宋体" w:hAnsi="宋体" w:eastAsia="宋体"/>
          <w:color w:val="auto"/>
          <w:kern w:val="2"/>
          <w:szCs w:val="21"/>
          <w:highlight w:val="none"/>
        </w:rPr>
        <w:t>。</w:t>
      </w:r>
    </w:p>
    <w:p w14:paraId="56827A6E">
      <w:pPr>
        <w:autoSpaceDE w:val="0"/>
        <w:autoSpaceDN w:val="0"/>
        <w:adjustRightInd w:val="0"/>
        <w:spacing w:line="400" w:lineRule="exact"/>
        <w:ind w:firstLine="420" w:firstLineChars="200"/>
        <w:jc w:val="both"/>
        <w:rPr>
          <w:rFonts w:ascii="华文楷体" w:hAnsi="华文楷体" w:eastAsia="华文楷体" w:cs="华文楷体"/>
          <w:color w:val="auto"/>
          <w:sz w:val="21"/>
          <w:szCs w:val="21"/>
          <w:lang w:val="en-US" w:eastAsia="zh-CN" w:bidi="ar-SA"/>
        </w:rPr>
      </w:pPr>
      <w:r>
        <w:rPr>
          <w:rFonts w:hint="eastAsia" w:ascii="宋体" w:hAnsi="宋体" w:eastAsia="宋体" w:cs="宋体"/>
          <w:color w:val="auto"/>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0B9FA46B">
      <w:pPr>
        <w:widowControl w:val="0"/>
        <w:snapToGrid w:val="0"/>
        <w:spacing w:line="400" w:lineRule="exact"/>
        <w:ind w:firstLine="420" w:firstLineChars="200"/>
        <w:jc w:val="left"/>
        <w:textAlignment w:val="auto"/>
        <w:rPr>
          <w:rFonts w:eastAsia="宋体"/>
          <w:color w:val="auto"/>
          <w:kern w:val="2"/>
          <w:sz w:val="21"/>
          <w:szCs w:val="24"/>
        </w:rPr>
      </w:pP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val="en-US" w:eastAsia="zh-CN"/>
        </w:rPr>
        <w:t>4</w:t>
      </w:r>
      <w:r>
        <w:rPr>
          <w:rFonts w:hint="eastAsia" w:ascii="宋体" w:hAnsi="宋体" w:eastAsia="宋体"/>
          <w:color w:val="auto"/>
          <w:kern w:val="2"/>
          <w:szCs w:val="21"/>
          <w:highlight w:val="none"/>
        </w:rPr>
        <w:t>）甲方不得以行政区划调整、政府换届、机构或者职能调整以及相关责任人更替为由中止合同。</w:t>
      </w:r>
    </w:p>
    <w:p w14:paraId="5BC498F3">
      <w:pPr>
        <w:widowControl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w:t>
      </w:r>
      <w:r>
        <w:rPr>
          <w:rFonts w:hint="eastAsia" w:ascii="宋体" w:hAnsi="宋体" w:eastAsia="宋体"/>
          <w:color w:val="auto"/>
          <w:kern w:val="2"/>
          <w:szCs w:val="21"/>
          <w:highlight w:val="none"/>
          <w:lang w:val="en-US" w:eastAsia="zh-CN"/>
        </w:rPr>
        <w:t>6</w:t>
      </w: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val="en-US" w:eastAsia="zh-CN"/>
        </w:rPr>
        <w:t>3</w:t>
      </w:r>
      <w:r>
        <w:rPr>
          <w:rFonts w:hint="eastAsia" w:ascii="宋体" w:hAnsi="宋体" w:eastAsia="宋体"/>
          <w:color w:val="auto"/>
          <w:kern w:val="2"/>
          <w:szCs w:val="21"/>
          <w:highlight w:val="none"/>
        </w:rPr>
        <w:t>合同的终止</w:t>
      </w:r>
    </w:p>
    <w:p w14:paraId="2052D337">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（1）合同因有效期限届满而终止；</w:t>
      </w:r>
    </w:p>
    <w:p w14:paraId="44737144">
      <w:pPr>
        <w:widowControl w:val="0"/>
        <w:snapToGrid w:val="0"/>
        <w:spacing w:line="400" w:lineRule="exact"/>
        <w:ind w:firstLine="420" w:firstLineChars="200"/>
        <w:textAlignment w:val="auto"/>
        <w:rPr>
          <w:rFonts w:hint="eastAsia" w:ascii="宋体" w:hAnsi="宋体" w:eastAsia="宋体" w:cs="宋体"/>
          <w:color w:val="auto"/>
          <w:kern w:val="2"/>
          <w:szCs w:val="21"/>
          <w:lang w:eastAsia="zh-CN"/>
        </w:rPr>
      </w:pPr>
      <w:r>
        <w:rPr>
          <w:rFonts w:hint="eastAsia" w:ascii="宋体" w:hAnsi="宋体" w:eastAsia="宋体"/>
          <w:color w:val="auto"/>
          <w:kern w:val="2"/>
          <w:szCs w:val="21"/>
          <w:highlight w:val="none"/>
        </w:rPr>
        <w:t>（2）乙方未</w:t>
      </w:r>
      <w:r>
        <w:rPr>
          <w:rFonts w:hint="eastAsia" w:ascii="宋体" w:hAnsi="宋体" w:eastAsia="宋体"/>
          <w:color w:val="auto"/>
          <w:kern w:val="2"/>
          <w:szCs w:val="21"/>
          <w:highlight w:val="none"/>
          <w:lang w:eastAsia="zh-CN"/>
        </w:rPr>
        <w:t>按</w:t>
      </w:r>
      <w:r>
        <w:rPr>
          <w:rFonts w:hint="eastAsia" w:ascii="宋体" w:hAnsi="宋体" w:eastAsia="宋体"/>
          <w:color w:val="auto"/>
          <w:kern w:val="2"/>
          <w:szCs w:val="21"/>
          <w:highlight w:val="none"/>
        </w:rPr>
        <w:t>合同约定履行，构成根本性违约的，甲方有权终止合同</w:t>
      </w:r>
      <w:r>
        <w:rPr>
          <w:rFonts w:hint="eastAsia" w:ascii="宋体" w:hAnsi="宋体" w:eastAsia="宋体"/>
          <w:color w:val="auto"/>
          <w:kern w:val="2"/>
          <w:szCs w:val="21"/>
          <w:highlight w:val="none"/>
          <w:lang w:eastAsia="zh-CN"/>
        </w:rPr>
        <w:t>，</w:t>
      </w:r>
      <w:r>
        <w:rPr>
          <w:rFonts w:hint="eastAsia" w:ascii="宋体" w:hAnsi="宋体" w:eastAsia="宋体" w:cs="宋体"/>
          <w:color w:val="auto"/>
          <w:kern w:val="2"/>
          <w:szCs w:val="21"/>
        </w:rPr>
        <w:t>并追究乙方的违约责</w:t>
      </w:r>
      <w:r>
        <w:rPr>
          <w:rFonts w:hint="eastAsia" w:ascii="宋体" w:hAnsi="宋体" w:eastAsia="宋体" w:cs="宋体"/>
          <w:color w:val="auto"/>
          <w:kern w:val="2"/>
          <w:szCs w:val="21"/>
          <w:lang w:val="en-US" w:eastAsia="zh-CN"/>
        </w:rPr>
        <w:t>任</w:t>
      </w:r>
      <w:r>
        <w:rPr>
          <w:rFonts w:hint="eastAsia" w:ascii="宋体" w:hAnsi="宋体" w:eastAsia="宋体"/>
          <w:color w:val="auto"/>
          <w:kern w:val="2"/>
          <w:szCs w:val="21"/>
          <w:highlight w:val="none"/>
        </w:rPr>
        <w:t>。</w:t>
      </w:r>
    </w:p>
    <w:p w14:paraId="5745078F">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14:paraId="061C49D6">
      <w:pPr>
        <w:autoSpaceDE w:val="0"/>
        <w:autoSpaceDN w:val="0"/>
        <w:adjustRightInd w:val="0"/>
        <w:spacing w:line="400" w:lineRule="exact"/>
        <w:ind w:firstLine="420" w:firstLineChars="200"/>
        <w:jc w:val="both"/>
        <w:rPr>
          <w:rFonts w:ascii="华文楷体" w:hAnsi="华文楷体" w:eastAsia="华文楷体" w:cs="华文楷体"/>
          <w:color w:val="auto"/>
          <w:sz w:val="21"/>
          <w:szCs w:val="21"/>
          <w:lang w:val="en-US" w:eastAsia="zh-CN" w:bidi="ar-SA"/>
        </w:rPr>
      </w:pPr>
      <w:r>
        <w:rPr>
          <w:rFonts w:hint="eastAsia" w:ascii="宋体" w:hAnsi="宋体" w:eastAsia="宋体" w:cs="宋体"/>
          <w:color w:val="auto"/>
          <w:sz w:val="21"/>
          <w:szCs w:val="21"/>
          <w:lang w:val="en-US" w:eastAsia="zh-CN" w:bidi="ar-SA"/>
        </w:rPr>
        <w:t>政府采购合同继续履行将损害国家利益和社会公共利益的，双方当事人</w:t>
      </w:r>
      <w:r>
        <w:rPr>
          <w:rFonts w:hint="eastAsia" w:ascii="宋体" w:hAnsi="宋体" w:eastAsia="宋体" w:cs="宋体"/>
          <w:color w:val="auto"/>
          <w:sz w:val="21"/>
          <w:szCs w:val="21"/>
          <w:highlight w:val="none"/>
          <w:lang w:val="en-US" w:eastAsia="zh-CN" w:bidi="ar-SA"/>
        </w:rPr>
        <w:t>应当变更、</w:t>
      </w:r>
      <w:r>
        <w:rPr>
          <w:rFonts w:hint="eastAsia" w:ascii="宋体" w:hAnsi="宋体" w:eastAsia="宋体" w:cs="宋体"/>
          <w:color w:val="auto"/>
          <w:sz w:val="21"/>
          <w:szCs w:val="21"/>
          <w:lang w:val="en-US" w:eastAsia="zh-CN" w:bidi="ar-SA"/>
        </w:rPr>
        <w:t>中止或者终止合同。有过错的一方应当承担赔偿责任，双方都有过错的，各自承担相应的责任。</w:t>
      </w:r>
    </w:p>
    <w:p w14:paraId="493F2EB9">
      <w:pPr>
        <w:widowControl w:val="0"/>
        <w:autoSpaceDE w:val="0"/>
        <w:autoSpaceDN w:val="0"/>
        <w:adjustRightInd w:val="0"/>
        <w:snapToGrid w:val="0"/>
        <w:spacing w:before="0" w:line="400" w:lineRule="exact"/>
        <w:jc w:val="left"/>
        <w:textAlignment w:val="auto"/>
        <w:rPr>
          <w:rFonts w:ascii="宋体" w:hAnsi="宋体" w:eastAsia="宋体"/>
          <w:b/>
          <w:bCs/>
          <w:color w:val="auto"/>
          <w:kern w:val="2"/>
          <w:sz w:val="24"/>
          <w:szCs w:val="24"/>
          <w:highlight w:val="none"/>
        </w:rPr>
      </w:pPr>
      <w:r>
        <w:rPr>
          <w:rFonts w:hint="eastAsia" w:ascii="宋体" w:hAnsi="宋体" w:eastAsia="宋体"/>
          <w:b/>
          <w:bCs/>
          <w:color w:val="auto"/>
          <w:kern w:val="2"/>
          <w:sz w:val="24"/>
          <w:szCs w:val="24"/>
          <w:highlight w:val="none"/>
        </w:rPr>
        <w:t>1</w:t>
      </w:r>
      <w:r>
        <w:rPr>
          <w:rFonts w:hint="eastAsia" w:ascii="宋体" w:hAnsi="宋体" w:eastAsia="宋体"/>
          <w:b/>
          <w:bCs/>
          <w:color w:val="auto"/>
          <w:kern w:val="2"/>
          <w:sz w:val="24"/>
          <w:szCs w:val="24"/>
          <w:highlight w:val="none"/>
          <w:lang w:val="en-US" w:eastAsia="zh-CN"/>
        </w:rPr>
        <w:t>7</w:t>
      </w:r>
      <w:r>
        <w:rPr>
          <w:rFonts w:hint="eastAsia" w:ascii="宋体" w:hAnsi="宋体" w:eastAsia="宋体"/>
          <w:b/>
          <w:bCs/>
          <w:color w:val="auto"/>
          <w:kern w:val="2"/>
          <w:sz w:val="24"/>
          <w:szCs w:val="24"/>
          <w:highlight w:val="none"/>
        </w:rPr>
        <w:t>.</w:t>
      </w:r>
      <w:r>
        <w:rPr>
          <w:rFonts w:hint="eastAsia" w:ascii="宋体" w:hAnsi="宋体" w:eastAsia="宋体"/>
          <w:b/>
          <w:bCs/>
          <w:color w:val="auto"/>
          <w:kern w:val="2"/>
          <w:sz w:val="24"/>
          <w:szCs w:val="24"/>
          <w:highlight w:val="none"/>
          <w:lang w:val="en-US" w:eastAsia="zh-CN"/>
        </w:rPr>
        <w:t xml:space="preserve"> </w:t>
      </w:r>
      <w:r>
        <w:rPr>
          <w:rFonts w:hint="eastAsia" w:ascii="宋体" w:hAnsi="宋体" w:eastAsia="宋体"/>
          <w:b/>
          <w:bCs/>
          <w:color w:val="auto"/>
          <w:kern w:val="2"/>
          <w:sz w:val="24"/>
          <w:szCs w:val="24"/>
          <w:highlight w:val="none"/>
        </w:rPr>
        <w:t>合同分包</w:t>
      </w:r>
    </w:p>
    <w:p w14:paraId="212E8815">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w:t>
      </w:r>
      <w:r>
        <w:rPr>
          <w:rFonts w:hint="eastAsia" w:ascii="宋体" w:hAnsi="宋体" w:eastAsia="宋体"/>
          <w:color w:val="auto"/>
          <w:kern w:val="2"/>
          <w:szCs w:val="21"/>
          <w:highlight w:val="none"/>
          <w:lang w:val="en-US" w:eastAsia="zh-CN"/>
        </w:rPr>
        <w:t>7</w:t>
      </w:r>
      <w:r>
        <w:rPr>
          <w:rFonts w:hint="eastAsia" w:ascii="宋体" w:hAnsi="宋体" w:eastAsia="宋体"/>
          <w:color w:val="auto"/>
          <w:kern w:val="2"/>
          <w:szCs w:val="21"/>
          <w:highlight w:val="none"/>
        </w:rPr>
        <w:t>.1 乙方不得</w:t>
      </w:r>
      <w:r>
        <w:rPr>
          <w:rFonts w:hint="eastAsia" w:ascii="宋体" w:hAnsi="宋体" w:eastAsia="宋体"/>
          <w:color w:val="auto"/>
          <w:kern w:val="2"/>
          <w:szCs w:val="21"/>
          <w:highlight w:val="none"/>
          <w:lang w:eastAsia="zh-CN"/>
        </w:rPr>
        <w:t>将合同转包给其他供应商。涉及合同分包的，乙方</w:t>
      </w:r>
      <w:r>
        <w:rPr>
          <w:rFonts w:hint="eastAsia" w:ascii="宋体" w:hAnsi="宋体" w:eastAsia="宋体"/>
          <w:color w:val="auto"/>
          <w:kern w:val="2"/>
          <w:szCs w:val="21"/>
          <w:highlight w:val="none"/>
          <w:lang w:val="en-US" w:eastAsia="zh-CN"/>
        </w:rPr>
        <w:t>应</w:t>
      </w:r>
      <w:r>
        <w:rPr>
          <w:rFonts w:hint="eastAsia" w:ascii="宋体" w:hAnsi="宋体" w:eastAsia="宋体"/>
          <w:color w:val="auto"/>
          <w:kern w:val="2"/>
          <w:szCs w:val="21"/>
          <w:highlight w:val="none"/>
          <w:lang w:eastAsia="zh-CN"/>
        </w:rPr>
        <w:t>根据采购文件和投标（响应）文件规定进行</w:t>
      </w:r>
      <w:r>
        <w:rPr>
          <w:rFonts w:hint="eastAsia" w:ascii="宋体" w:hAnsi="宋体" w:eastAsia="宋体"/>
          <w:color w:val="auto"/>
          <w:kern w:val="2"/>
          <w:szCs w:val="21"/>
          <w:highlight w:val="none"/>
        </w:rPr>
        <w:t>合同分包。</w:t>
      </w:r>
    </w:p>
    <w:p w14:paraId="78C8F407">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w:t>
      </w:r>
      <w:r>
        <w:rPr>
          <w:rFonts w:hint="eastAsia" w:ascii="宋体" w:hAnsi="宋体" w:eastAsia="宋体"/>
          <w:color w:val="auto"/>
          <w:kern w:val="2"/>
          <w:szCs w:val="21"/>
          <w:highlight w:val="none"/>
          <w:lang w:val="en-US" w:eastAsia="zh-CN"/>
        </w:rPr>
        <w:t>7</w:t>
      </w:r>
      <w:r>
        <w:rPr>
          <w:rFonts w:hint="eastAsia" w:ascii="宋体" w:hAnsi="宋体" w:eastAsia="宋体"/>
          <w:color w:val="auto"/>
          <w:kern w:val="2"/>
          <w:szCs w:val="21"/>
          <w:highlight w:val="none"/>
        </w:rPr>
        <w:t>.2 乙方执行政府采购政策向中小企业依法分包的</w:t>
      </w:r>
      <w:r>
        <w:rPr>
          <w:rFonts w:hint="eastAsia" w:ascii="宋体" w:hAnsi="宋体" w:eastAsia="宋体"/>
          <w:color w:val="auto"/>
          <w:kern w:val="2"/>
          <w:szCs w:val="21"/>
          <w:highlight w:val="none"/>
          <w:lang w:eastAsia="zh-CN"/>
        </w:rPr>
        <w:t>，</w:t>
      </w:r>
      <w:r>
        <w:rPr>
          <w:rFonts w:hint="eastAsia" w:ascii="宋体" w:hAnsi="宋体" w:eastAsia="宋体"/>
          <w:color w:val="auto"/>
          <w:kern w:val="2"/>
          <w:szCs w:val="21"/>
          <w:highlight w:val="none"/>
        </w:rPr>
        <w:t>乙方应当按采购文件</w:t>
      </w:r>
      <w:r>
        <w:rPr>
          <w:rFonts w:hint="eastAsia" w:ascii="宋体" w:hAnsi="宋体" w:eastAsia="宋体"/>
          <w:color w:val="auto"/>
          <w:kern w:val="2"/>
          <w:szCs w:val="21"/>
          <w:highlight w:val="none"/>
          <w:lang w:eastAsia="zh-CN"/>
        </w:rPr>
        <w:t>和</w:t>
      </w:r>
      <w:r>
        <w:rPr>
          <w:rFonts w:hint="eastAsia" w:ascii="宋体" w:hAnsi="宋体" w:eastAsia="宋体"/>
          <w:color w:val="auto"/>
          <w:kern w:val="2"/>
          <w:szCs w:val="21"/>
          <w:highlight w:val="none"/>
        </w:rPr>
        <w:t>投标（响应）文件签订分包</w:t>
      </w:r>
      <w:r>
        <w:rPr>
          <w:rFonts w:hint="eastAsia" w:ascii="宋体" w:hAnsi="宋体" w:eastAsia="宋体"/>
          <w:color w:val="auto"/>
          <w:kern w:val="2"/>
          <w:szCs w:val="21"/>
          <w:highlight w:val="none"/>
          <w:lang w:eastAsia="zh-CN"/>
        </w:rPr>
        <w:t>意向</w:t>
      </w:r>
      <w:r>
        <w:rPr>
          <w:rFonts w:hint="eastAsia" w:ascii="宋体" w:hAnsi="宋体" w:eastAsia="宋体"/>
          <w:color w:val="auto"/>
          <w:kern w:val="2"/>
          <w:szCs w:val="21"/>
          <w:highlight w:val="none"/>
        </w:rPr>
        <w:t>协议，分包</w:t>
      </w:r>
      <w:r>
        <w:rPr>
          <w:rFonts w:hint="eastAsia" w:ascii="宋体" w:hAnsi="宋体" w:eastAsia="宋体"/>
          <w:color w:val="auto"/>
          <w:kern w:val="2"/>
          <w:szCs w:val="21"/>
          <w:highlight w:val="none"/>
          <w:lang w:eastAsia="zh-CN"/>
        </w:rPr>
        <w:t>意向</w:t>
      </w:r>
      <w:r>
        <w:rPr>
          <w:rFonts w:hint="eastAsia" w:ascii="宋体" w:hAnsi="宋体" w:eastAsia="宋体"/>
          <w:color w:val="auto"/>
          <w:kern w:val="2"/>
          <w:szCs w:val="21"/>
          <w:highlight w:val="none"/>
        </w:rPr>
        <w:t>协议属于本合同组成部分。</w:t>
      </w:r>
    </w:p>
    <w:p w14:paraId="03E8AA1A">
      <w:pPr>
        <w:widowControl w:val="0"/>
        <w:autoSpaceDE w:val="0"/>
        <w:autoSpaceDN w:val="0"/>
        <w:adjustRightInd w:val="0"/>
        <w:snapToGrid w:val="0"/>
        <w:spacing w:before="0" w:line="400" w:lineRule="exact"/>
        <w:jc w:val="left"/>
        <w:textAlignment w:val="auto"/>
        <w:rPr>
          <w:rFonts w:ascii="宋体" w:hAnsi="宋体" w:eastAsia="宋体"/>
          <w:b/>
          <w:bCs/>
          <w:color w:val="auto"/>
          <w:kern w:val="2"/>
          <w:sz w:val="24"/>
          <w:szCs w:val="24"/>
          <w:highlight w:val="none"/>
        </w:rPr>
      </w:pPr>
      <w:r>
        <w:rPr>
          <w:rFonts w:hint="eastAsia" w:ascii="宋体" w:hAnsi="宋体" w:eastAsia="宋体"/>
          <w:b/>
          <w:bCs/>
          <w:color w:val="auto"/>
          <w:kern w:val="2"/>
          <w:sz w:val="24"/>
          <w:szCs w:val="24"/>
          <w:highlight w:val="none"/>
          <w:lang w:eastAsia="zh-CN"/>
        </w:rPr>
        <w:t>1</w:t>
      </w:r>
      <w:r>
        <w:rPr>
          <w:rFonts w:hint="eastAsia" w:ascii="宋体" w:hAnsi="宋体" w:eastAsia="宋体"/>
          <w:b/>
          <w:bCs/>
          <w:color w:val="auto"/>
          <w:kern w:val="2"/>
          <w:sz w:val="24"/>
          <w:szCs w:val="24"/>
          <w:highlight w:val="none"/>
          <w:lang w:val="en-US" w:eastAsia="zh-CN"/>
        </w:rPr>
        <w:t>8</w:t>
      </w:r>
      <w:r>
        <w:rPr>
          <w:rFonts w:hint="eastAsia" w:ascii="宋体" w:hAnsi="宋体" w:eastAsia="宋体"/>
          <w:b/>
          <w:bCs/>
          <w:color w:val="auto"/>
          <w:kern w:val="2"/>
          <w:sz w:val="24"/>
          <w:szCs w:val="24"/>
          <w:highlight w:val="none"/>
        </w:rPr>
        <w:t>.</w:t>
      </w:r>
      <w:r>
        <w:rPr>
          <w:rFonts w:hint="eastAsia" w:ascii="宋体" w:hAnsi="宋体" w:eastAsia="宋体"/>
          <w:b/>
          <w:bCs/>
          <w:color w:val="auto"/>
          <w:kern w:val="2"/>
          <w:sz w:val="24"/>
          <w:szCs w:val="24"/>
          <w:highlight w:val="none"/>
          <w:lang w:val="en-US" w:eastAsia="zh-CN"/>
        </w:rPr>
        <w:t xml:space="preserve"> </w:t>
      </w:r>
      <w:r>
        <w:rPr>
          <w:rFonts w:hint="eastAsia" w:ascii="宋体" w:hAnsi="宋体" w:eastAsia="宋体"/>
          <w:b/>
          <w:bCs/>
          <w:color w:val="auto"/>
          <w:kern w:val="2"/>
          <w:sz w:val="24"/>
          <w:szCs w:val="24"/>
          <w:highlight w:val="none"/>
        </w:rPr>
        <w:t>不可抗力</w:t>
      </w:r>
    </w:p>
    <w:p w14:paraId="5E114D52">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lang w:eastAsia="zh-CN"/>
        </w:rPr>
        <w:t>1</w:t>
      </w:r>
      <w:r>
        <w:rPr>
          <w:rFonts w:hint="eastAsia" w:ascii="宋体" w:hAnsi="宋体" w:eastAsia="宋体"/>
          <w:color w:val="auto"/>
          <w:kern w:val="2"/>
          <w:szCs w:val="21"/>
          <w:highlight w:val="none"/>
          <w:lang w:val="en-US" w:eastAsia="zh-CN"/>
        </w:rPr>
        <w:t>8</w:t>
      </w:r>
      <w:r>
        <w:rPr>
          <w:rFonts w:hint="eastAsia" w:ascii="宋体" w:hAnsi="宋体" w:eastAsia="宋体"/>
          <w:color w:val="auto"/>
          <w:kern w:val="2"/>
          <w:szCs w:val="21"/>
          <w:highlight w:val="none"/>
        </w:rPr>
        <w:t>.1 不可抗力是指合同双方不能预见、不能避免且不能克服的客观情况。</w:t>
      </w:r>
    </w:p>
    <w:p w14:paraId="30ACF7BF">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lang w:eastAsia="zh-CN"/>
        </w:rPr>
        <w:t>1</w:t>
      </w:r>
      <w:r>
        <w:rPr>
          <w:rFonts w:hint="eastAsia" w:ascii="宋体" w:hAnsi="宋体" w:eastAsia="宋体"/>
          <w:color w:val="auto"/>
          <w:kern w:val="2"/>
          <w:szCs w:val="21"/>
          <w:highlight w:val="none"/>
          <w:lang w:val="en-US" w:eastAsia="zh-CN"/>
        </w:rPr>
        <w:t>8</w:t>
      </w:r>
      <w:r>
        <w:rPr>
          <w:rFonts w:hint="eastAsia" w:ascii="宋体" w:hAnsi="宋体" w:eastAsia="宋体"/>
          <w:color w:val="auto"/>
          <w:kern w:val="2"/>
          <w:szCs w:val="21"/>
          <w:highlight w:val="none"/>
        </w:rPr>
        <w:t>.2 任何一方对由于不可抗力造成的部分或全部不能履行合同不承担违约责任。但迟延履行后发生不可抗力的，不能免除责任。</w:t>
      </w:r>
    </w:p>
    <w:p w14:paraId="75A195F5">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lang w:eastAsia="zh-CN"/>
        </w:rPr>
        <w:t>1</w:t>
      </w:r>
      <w:r>
        <w:rPr>
          <w:rFonts w:hint="eastAsia" w:ascii="宋体" w:hAnsi="宋体" w:eastAsia="宋体"/>
          <w:color w:val="auto"/>
          <w:kern w:val="2"/>
          <w:szCs w:val="21"/>
          <w:highlight w:val="none"/>
          <w:lang w:val="en-US" w:eastAsia="zh-CN"/>
        </w:rPr>
        <w:t>8</w:t>
      </w:r>
      <w:r>
        <w:rPr>
          <w:rFonts w:hint="eastAsia" w:ascii="宋体" w:hAnsi="宋体" w:eastAsia="宋体"/>
          <w:color w:val="auto"/>
          <w:kern w:val="2"/>
          <w:szCs w:val="21"/>
          <w:highlight w:val="none"/>
        </w:rPr>
        <w:t>.3 遇有不可抗力的一方，应及时将事件情况以书面形式</w:t>
      </w:r>
      <w:r>
        <w:rPr>
          <w:rFonts w:hint="eastAsia" w:ascii="宋体" w:hAnsi="宋体" w:eastAsia="宋体"/>
          <w:color w:val="auto"/>
          <w:kern w:val="2"/>
          <w:szCs w:val="21"/>
          <w:highlight w:val="none"/>
          <w:lang w:eastAsia="zh-CN"/>
        </w:rPr>
        <w:t>告</w:t>
      </w:r>
      <w:r>
        <w:rPr>
          <w:rFonts w:hint="eastAsia" w:ascii="宋体" w:hAnsi="宋体" w:eastAsia="宋体"/>
          <w:color w:val="auto"/>
          <w:kern w:val="2"/>
          <w:szCs w:val="21"/>
          <w:highlight w:val="none"/>
        </w:rPr>
        <w:t>知另一方，并在事件发生后及时向另一方提交合同不能履行或部分不能履行或需要延期履行</w:t>
      </w:r>
      <w:r>
        <w:rPr>
          <w:rFonts w:hint="eastAsia" w:ascii="宋体" w:hAnsi="宋体" w:eastAsia="宋体"/>
          <w:color w:val="auto"/>
          <w:kern w:val="2"/>
          <w:szCs w:val="21"/>
          <w:highlight w:val="none"/>
          <w:lang w:eastAsia="zh-CN"/>
        </w:rPr>
        <w:t>的详细</w:t>
      </w:r>
      <w:r>
        <w:rPr>
          <w:rFonts w:hint="eastAsia" w:ascii="宋体" w:hAnsi="宋体" w:eastAsia="宋体"/>
          <w:color w:val="auto"/>
          <w:kern w:val="2"/>
          <w:szCs w:val="21"/>
          <w:highlight w:val="none"/>
        </w:rPr>
        <w:t>报告</w:t>
      </w:r>
      <w:r>
        <w:rPr>
          <w:rFonts w:hint="eastAsia" w:ascii="宋体" w:hAnsi="宋体" w:eastAsia="宋体"/>
          <w:color w:val="auto"/>
          <w:kern w:val="2"/>
          <w:szCs w:val="21"/>
          <w:highlight w:val="none"/>
          <w:lang w:eastAsia="zh-CN"/>
        </w:rPr>
        <w:t>，以</w:t>
      </w:r>
      <w:r>
        <w:rPr>
          <w:rFonts w:hint="eastAsia" w:ascii="宋体" w:hAnsi="宋体" w:eastAsia="宋体"/>
          <w:color w:val="auto"/>
          <w:kern w:val="2"/>
          <w:szCs w:val="21"/>
          <w:highlight w:val="none"/>
          <w:lang w:val="en-US" w:eastAsia="zh-CN"/>
        </w:rPr>
        <w:t>及证明不可抗力发生及其持续时间的证据</w:t>
      </w:r>
      <w:r>
        <w:rPr>
          <w:rFonts w:hint="eastAsia" w:ascii="宋体" w:hAnsi="宋体" w:eastAsia="宋体"/>
          <w:color w:val="auto"/>
          <w:kern w:val="2"/>
          <w:szCs w:val="21"/>
          <w:highlight w:val="none"/>
        </w:rPr>
        <w:t>。</w:t>
      </w:r>
    </w:p>
    <w:p w14:paraId="19902C31">
      <w:pPr>
        <w:widowControl w:val="0"/>
        <w:autoSpaceDE w:val="0"/>
        <w:autoSpaceDN w:val="0"/>
        <w:adjustRightInd w:val="0"/>
        <w:snapToGrid w:val="0"/>
        <w:spacing w:before="0" w:line="400" w:lineRule="exact"/>
        <w:jc w:val="left"/>
        <w:textAlignment w:val="auto"/>
        <w:rPr>
          <w:rFonts w:hint="eastAsia" w:ascii="宋体" w:hAnsi="宋体" w:eastAsia="宋体"/>
          <w:b/>
          <w:bCs/>
          <w:color w:val="auto"/>
          <w:kern w:val="2"/>
          <w:sz w:val="24"/>
          <w:szCs w:val="24"/>
          <w:highlight w:val="none"/>
        </w:rPr>
      </w:pPr>
      <w:r>
        <w:rPr>
          <w:rFonts w:hint="eastAsia" w:ascii="宋体" w:hAnsi="宋体" w:eastAsia="宋体"/>
          <w:b/>
          <w:bCs/>
          <w:color w:val="auto"/>
          <w:kern w:val="2"/>
          <w:sz w:val="24"/>
          <w:szCs w:val="24"/>
          <w:highlight w:val="none"/>
          <w:lang w:val="en-US" w:eastAsia="zh-CN"/>
        </w:rPr>
        <w:t>19</w:t>
      </w:r>
      <w:r>
        <w:rPr>
          <w:rFonts w:hint="eastAsia" w:ascii="宋体" w:hAnsi="宋体" w:eastAsia="宋体"/>
          <w:b/>
          <w:bCs/>
          <w:color w:val="auto"/>
          <w:kern w:val="2"/>
          <w:sz w:val="24"/>
          <w:szCs w:val="24"/>
          <w:highlight w:val="none"/>
        </w:rPr>
        <w:t>.</w:t>
      </w:r>
      <w:r>
        <w:rPr>
          <w:rFonts w:hint="eastAsia" w:ascii="宋体" w:hAnsi="宋体" w:eastAsia="宋体"/>
          <w:b/>
          <w:bCs/>
          <w:color w:val="auto"/>
          <w:kern w:val="2"/>
          <w:sz w:val="24"/>
          <w:szCs w:val="24"/>
          <w:highlight w:val="none"/>
          <w:lang w:val="en-US" w:eastAsia="zh-CN"/>
        </w:rPr>
        <w:t xml:space="preserve"> </w:t>
      </w:r>
      <w:r>
        <w:rPr>
          <w:rFonts w:hint="eastAsia" w:ascii="宋体" w:hAnsi="宋体" w:eastAsia="宋体"/>
          <w:b/>
          <w:bCs/>
          <w:color w:val="auto"/>
          <w:kern w:val="2"/>
          <w:sz w:val="24"/>
          <w:szCs w:val="24"/>
          <w:highlight w:val="none"/>
        </w:rPr>
        <w:t>解决争议的方法</w:t>
      </w:r>
    </w:p>
    <w:p w14:paraId="4E775887">
      <w:pPr>
        <w:autoSpaceDE w:val="0"/>
        <w:autoSpaceDN w:val="0"/>
        <w:adjustRightInd w:val="0"/>
        <w:spacing w:line="400" w:lineRule="exact"/>
        <w:ind w:firstLine="420" w:firstLineChars="20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2C3E5E16">
      <w:pPr>
        <w:autoSpaceDE w:val="0"/>
        <w:autoSpaceDN w:val="0"/>
        <w:adjustRightInd w:val="0"/>
        <w:spacing w:line="400" w:lineRule="exact"/>
        <w:ind w:firstLine="420" w:firstLineChars="20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color w:val="auto"/>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color w:val="auto"/>
          <w:sz w:val="21"/>
          <w:szCs w:val="21"/>
          <w:lang w:val="en-US" w:eastAsia="zh-CN" w:bidi="ar-SA"/>
        </w:rPr>
        <w:t>中进一步约定选择与争议有实际联系的地点的人民法院管辖，但管辖法院的约定不得违反级别管辖和专属管辖的规定。</w:t>
      </w:r>
    </w:p>
    <w:p w14:paraId="69AC30DD">
      <w:pPr>
        <w:autoSpaceDE w:val="0"/>
        <w:autoSpaceDN w:val="0"/>
        <w:adjustRightInd w:val="0"/>
        <w:spacing w:line="400" w:lineRule="exact"/>
        <w:ind w:firstLine="420" w:firstLineChars="20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19.3 如甲乙双方有争议的事项不影响合同其他部分的履行，在争议解决期间，合同其他部分应当继续履行。</w:t>
      </w:r>
    </w:p>
    <w:p w14:paraId="2773E42F">
      <w:pPr>
        <w:widowControl w:val="0"/>
        <w:autoSpaceDE w:val="0"/>
        <w:autoSpaceDN w:val="0"/>
        <w:adjustRightInd w:val="0"/>
        <w:snapToGrid w:val="0"/>
        <w:spacing w:before="0" w:line="400" w:lineRule="exact"/>
        <w:jc w:val="left"/>
        <w:textAlignment w:val="auto"/>
        <w:rPr>
          <w:rFonts w:ascii="宋体" w:hAnsi="宋体" w:eastAsia="宋体"/>
          <w:color w:val="auto"/>
          <w:kern w:val="2"/>
          <w:sz w:val="24"/>
          <w:szCs w:val="24"/>
          <w:highlight w:val="none"/>
        </w:rPr>
      </w:pPr>
      <w:r>
        <w:rPr>
          <w:rFonts w:hint="eastAsia" w:ascii="宋体" w:hAnsi="宋体" w:eastAsia="宋体"/>
          <w:b/>
          <w:color w:val="auto"/>
          <w:kern w:val="2"/>
          <w:sz w:val="24"/>
          <w:szCs w:val="24"/>
          <w:highlight w:val="none"/>
          <w:lang w:val="en-US" w:eastAsia="zh-CN"/>
        </w:rPr>
        <w:t>20</w:t>
      </w:r>
      <w:r>
        <w:rPr>
          <w:rFonts w:hint="eastAsia" w:ascii="宋体" w:hAnsi="宋体" w:eastAsia="宋体"/>
          <w:b/>
          <w:color w:val="auto"/>
          <w:kern w:val="2"/>
          <w:sz w:val="24"/>
          <w:szCs w:val="24"/>
          <w:highlight w:val="none"/>
        </w:rPr>
        <w:t>.</w:t>
      </w:r>
      <w:r>
        <w:rPr>
          <w:rFonts w:hint="eastAsia" w:ascii="宋体" w:hAnsi="宋体" w:eastAsia="宋体"/>
          <w:b/>
          <w:color w:val="auto"/>
          <w:kern w:val="2"/>
          <w:sz w:val="24"/>
          <w:szCs w:val="24"/>
          <w:highlight w:val="none"/>
          <w:lang w:val="en-US" w:eastAsia="zh-CN"/>
        </w:rPr>
        <w:t xml:space="preserve"> </w:t>
      </w:r>
      <w:r>
        <w:rPr>
          <w:rFonts w:hint="eastAsia" w:ascii="宋体" w:hAnsi="宋体" w:eastAsia="宋体"/>
          <w:b/>
          <w:color w:val="auto"/>
          <w:kern w:val="2"/>
          <w:sz w:val="24"/>
          <w:szCs w:val="24"/>
          <w:highlight w:val="none"/>
        </w:rPr>
        <w:t>政府采购政策</w:t>
      </w:r>
    </w:p>
    <w:p w14:paraId="63EABAAC">
      <w:pPr>
        <w:widowControl w:val="0"/>
        <w:autoSpaceDE w:val="0"/>
        <w:autoSpaceDN w:val="0"/>
        <w:adjustRightInd w:val="0"/>
        <w:snapToGrid w:val="0"/>
        <w:spacing w:before="0" w:line="400" w:lineRule="exact"/>
        <w:ind w:firstLine="420" w:firstLineChars="200"/>
        <w:jc w:val="left"/>
        <w:textAlignment w:val="auto"/>
        <w:rPr>
          <w:rFonts w:hint="default" w:ascii="宋体" w:hAnsi="宋体" w:eastAsia="宋体"/>
          <w:color w:val="auto"/>
          <w:kern w:val="2"/>
          <w:szCs w:val="21"/>
          <w:highlight w:val="none"/>
          <w:lang w:val="en-US" w:eastAsia="zh-CN"/>
        </w:rPr>
      </w:pPr>
      <w:r>
        <w:rPr>
          <w:rFonts w:hint="eastAsia" w:ascii="宋体" w:hAnsi="宋体" w:eastAsia="宋体"/>
          <w:color w:val="auto"/>
          <w:kern w:val="2"/>
          <w:szCs w:val="21"/>
          <w:highlight w:val="none"/>
          <w:lang w:val="en-US" w:eastAsia="zh-CN"/>
        </w:rPr>
        <w:t xml:space="preserve">20.1 </w:t>
      </w:r>
      <w:r>
        <w:rPr>
          <w:rFonts w:hint="eastAsia" w:ascii="宋体" w:hAnsi="宋体" w:eastAsia="宋体" w:cs="宋体"/>
          <w:color w:val="auto"/>
          <w:kern w:val="2"/>
          <w:szCs w:val="24"/>
          <w:lang w:val="en-GB"/>
        </w:rPr>
        <w:t>本合同应当按照规定执行政府采购政策。</w:t>
      </w:r>
    </w:p>
    <w:p w14:paraId="3AE1C9C3">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ascii="宋体" w:hAnsi="宋体" w:eastAsia="宋体"/>
          <w:color w:val="auto"/>
          <w:kern w:val="2"/>
          <w:szCs w:val="21"/>
          <w:highlight w:val="none"/>
        </w:rPr>
        <w:t>2</w:t>
      </w:r>
      <w:r>
        <w:rPr>
          <w:rFonts w:hint="eastAsia" w:ascii="宋体" w:hAnsi="宋体" w:eastAsia="宋体"/>
          <w:color w:val="auto"/>
          <w:kern w:val="2"/>
          <w:szCs w:val="21"/>
          <w:highlight w:val="none"/>
          <w:lang w:val="en-US" w:eastAsia="zh-CN"/>
        </w:rPr>
        <w:t>0</w:t>
      </w: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val="en-US" w:eastAsia="zh-CN"/>
        </w:rPr>
        <w:t>2</w:t>
      </w:r>
      <w:r>
        <w:rPr>
          <w:rFonts w:hint="eastAsia" w:ascii="宋体" w:hAnsi="宋体" w:eastAsia="宋体"/>
          <w:color w:val="auto"/>
          <w:kern w:val="2"/>
          <w:szCs w:val="21"/>
          <w:highlight w:val="none"/>
        </w:rPr>
        <w:t xml:space="preserve"> 本合同依法执行政府采购政策的方式和内容，属于合同履约验收的范围。</w:t>
      </w:r>
      <w:r>
        <w:rPr>
          <w:rFonts w:hint="eastAsia" w:ascii="宋体" w:hAnsi="宋体" w:eastAsia="宋体" w:cs="宋体"/>
          <w:color w:val="auto"/>
          <w:kern w:val="2"/>
          <w:sz w:val="21"/>
          <w:szCs w:val="24"/>
          <w:lang w:eastAsia="zh-CN"/>
        </w:rPr>
        <w:t>甲乙双方</w:t>
      </w:r>
      <w:r>
        <w:rPr>
          <w:rFonts w:hint="eastAsia" w:ascii="宋体" w:hAnsi="宋体" w:eastAsia="宋体" w:cs="宋体"/>
          <w:color w:val="auto"/>
          <w:kern w:val="2"/>
          <w:szCs w:val="24"/>
          <w:lang w:val="en-GB"/>
        </w:rPr>
        <w:t>未按规定要求执行政府采购政策造成损失的</w:t>
      </w:r>
      <w:r>
        <w:rPr>
          <w:rFonts w:hint="eastAsia" w:ascii="宋体" w:hAnsi="宋体" w:eastAsia="宋体"/>
          <w:color w:val="auto"/>
          <w:kern w:val="2"/>
          <w:szCs w:val="21"/>
          <w:highlight w:val="none"/>
        </w:rPr>
        <w:t>，有过错的一方应当承担赔偿责任，双方都有过错的，各自承担相应的责任。</w:t>
      </w:r>
    </w:p>
    <w:p w14:paraId="50B682F0">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CDD2269">
      <w:pPr>
        <w:widowControl w:val="0"/>
        <w:autoSpaceDE w:val="0"/>
        <w:autoSpaceDN w:val="0"/>
        <w:adjustRightInd w:val="0"/>
        <w:snapToGrid w:val="0"/>
        <w:spacing w:before="0" w:line="400" w:lineRule="exact"/>
        <w:jc w:val="left"/>
        <w:textAlignment w:val="auto"/>
        <w:rPr>
          <w:rFonts w:hint="eastAsia" w:ascii="宋体" w:hAnsi="宋体" w:eastAsia="宋体"/>
          <w:b/>
          <w:color w:val="auto"/>
          <w:kern w:val="2"/>
          <w:sz w:val="24"/>
          <w:szCs w:val="24"/>
          <w:highlight w:val="none"/>
        </w:rPr>
      </w:pPr>
      <w:r>
        <w:rPr>
          <w:rFonts w:hint="eastAsia" w:ascii="宋体" w:hAnsi="宋体" w:eastAsia="宋体"/>
          <w:b/>
          <w:color w:val="auto"/>
          <w:kern w:val="2"/>
          <w:sz w:val="24"/>
          <w:szCs w:val="24"/>
          <w:highlight w:val="none"/>
        </w:rPr>
        <w:t>2</w:t>
      </w:r>
      <w:r>
        <w:rPr>
          <w:rFonts w:hint="eastAsia" w:ascii="宋体" w:hAnsi="宋体" w:eastAsia="宋体"/>
          <w:b/>
          <w:color w:val="auto"/>
          <w:kern w:val="2"/>
          <w:sz w:val="24"/>
          <w:szCs w:val="24"/>
          <w:highlight w:val="none"/>
          <w:lang w:val="en-US" w:eastAsia="zh-CN"/>
        </w:rPr>
        <w:t>1</w:t>
      </w:r>
      <w:r>
        <w:rPr>
          <w:rFonts w:hint="eastAsia" w:ascii="宋体" w:hAnsi="宋体" w:eastAsia="宋体"/>
          <w:b/>
          <w:color w:val="auto"/>
          <w:kern w:val="2"/>
          <w:sz w:val="24"/>
          <w:szCs w:val="24"/>
          <w:highlight w:val="none"/>
        </w:rPr>
        <w:t>.</w:t>
      </w:r>
      <w:r>
        <w:rPr>
          <w:rFonts w:hint="eastAsia" w:ascii="宋体" w:hAnsi="宋体" w:eastAsia="宋体"/>
          <w:b/>
          <w:color w:val="auto"/>
          <w:kern w:val="2"/>
          <w:sz w:val="24"/>
          <w:szCs w:val="24"/>
          <w:highlight w:val="none"/>
          <w:lang w:val="en-US" w:eastAsia="zh-CN"/>
        </w:rPr>
        <w:t xml:space="preserve"> </w:t>
      </w:r>
      <w:r>
        <w:rPr>
          <w:rFonts w:hint="eastAsia" w:ascii="宋体" w:hAnsi="宋体" w:eastAsia="宋体"/>
          <w:b/>
          <w:color w:val="auto"/>
          <w:kern w:val="2"/>
          <w:sz w:val="24"/>
          <w:szCs w:val="24"/>
          <w:highlight w:val="none"/>
        </w:rPr>
        <w:t>法律适用</w:t>
      </w:r>
    </w:p>
    <w:p w14:paraId="50182708">
      <w:pPr>
        <w:autoSpaceDE w:val="0"/>
        <w:autoSpaceDN w:val="0"/>
        <w:adjustRightInd w:val="0"/>
        <w:spacing w:line="400" w:lineRule="exact"/>
        <w:ind w:firstLine="420" w:firstLineChars="20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21.1 本合同的订立、生效、解释、履行及与本合同有关的争议解决，均适用法律、行政法规。</w:t>
      </w:r>
    </w:p>
    <w:p w14:paraId="5FAF369D">
      <w:pPr>
        <w:autoSpaceDE w:val="0"/>
        <w:autoSpaceDN w:val="0"/>
        <w:adjustRightInd w:val="0"/>
        <w:spacing w:line="400" w:lineRule="exact"/>
        <w:ind w:firstLine="420" w:firstLineChars="20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21.2 本合同条款与法律、行政法规的强制性规定不一致的，双方当事人应按照法律、行政法规的强制性规定修改本合同的相关条款。</w:t>
      </w:r>
    </w:p>
    <w:p w14:paraId="76DCFB97">
      <w:pPr>
        <w:widowControl w:val="0"/>
        <w:numPr>
          <w:ilvl w:val="-1"/>
          <w:numId w:val="0"/>
        </w:numPr>
        <w:autoSpaceDE w:val="0"/>
        <w:autoSpaceDN w:val="0"/>
        <w:adjustRightInd w:val="0"/>
        <w:snapToGrid w:val="0"/>
        <w:spacing w:before="0" w:line="400" w:lineRule="exact"/>
        <w:jc w:val="left"/>
        <w:textAlignment w:val="auto"/>
        <w:rPr>
          <w:rFonts w:ascii="宋体" w:hAnsi="宋体" w:eastAsia="宋体"/>
          <w:b/>
          <w:color w:val="auto"/>
          <w:kern w:val="2"/>
          <w:sz w:val="24"/>
          <w:szCs w:val="24"/>
          <w:highlight w:val="none"/>
        </w:rPr>
      </w:pPr>
      <w:r>
        <w:rPr>
          <w:rFonts w:hint="eastAsia" w:ascii="宋体" w:hAnsi="宋体" w:eastAsia="宋体"/>
          <w:b/>
          <w:color w:val="auto"/>
          <w:kern w:val="2"/>
          <w:sz w:val="24"/>
          <w:szCs w:val="24"/>
          <w:highlight w:val="none"/>
          <w:lang w:val="en-US" w:eastAsia="zh-CN"/>
        </w:rPr>
        <w:t xml:space="preserve">22. </w:t>
      </w:r>
      <w:r>
        <w:rPr>
          <w:rFonts w:hint="eastAsia" w:ascii="宋体" w:hAnsi="宋体" w:eastAsia="宋体"/>
          <w:b/>
          <w:color w:val="auto"/>
          <w:kern w:val="2"/>
          <w:sz w:val="24"/>
          <w:szCs w:val="24"/>
          <w:highlight w:val="none"/>
        </w:rPr>
        <w:t>通知</w:t>
      </w:r>
    </w:p>
    <w:p w14:paraId="4E0B1407">
      <w:pPr>
        <w:autoSpaceDE w:val="0"/>
        <w:autoSpaceDN w:val="0"/>
        <w:adjustRightInd w:val="0"/>
        <w:spacing w:line="400" w:lineRule="exact"/>
        <w:ind w:firstLine="420" w:firstLineChars="20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22.1 本合同任何一方向对方发出的通知、信件、数据电文等，应当发送至本合同第一部分《政府采购合同协议书》所约定的通讯地址、联系人、联系电话或电子邮箱。</w:t>
      </w:r>
    </w:p>
    <w:p w14:paraId="2F3C673F">
      <w:pPr>
        <w:autoSpaceDE w:val="0"/>
        <w:autoSpaceDN w:val="0"/>
        <w:adjustRightInd w:val="0"/>
        <w:spacing w:line="400" w:lineRule="exact"/>
        <w:ind w:firstLine="0" w:firstLineChars="0"/>
        <w:jc w:val="both"/>
        <w:rPr>
          <w:rFonts w:ascii="华文楷体" w:hAnsi="华文楷体" w:eastAsia="华文楷体" w:cs="华文楷体"/>
          <w:color w:val="auto"/>
          <w:sz w:val="21"/>
          <w:szCs w:val="21"/>
          <w:lang w:val="en-US" w:eastAsia="zh-CN" w:bidi="ar-SA"/>
        </w:rPr>
      </w:pPr>
      <w:r>
        <w:rPr>
          <w:rFonts w:hint="eastAsia" w:ascii="宋体" w:hAnsi="宋体" w:eastAsia="宋体" w:cs="宋体"/>
          <w:color w:val="auto"/>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7531FF13">
      <w:pPr>
        <w:widowControl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2</w:t>
      </w:r>
      <w:r>
        <w:rPr>
          <w:rFonts w:hint="eastAsia" w:ascii="宋体" w:hAnsi="宋体" w:eastAsia="宋体"/>
          <w:color w:val="auto"/>
          <w:kern w:val="2"/>
          <w:szCs w:val="21"/>
          <w:highlight w:val="none"/>
          <w:lang w:val="en-US" w:eastAsia="zh-CN"/>
        </w:rPr>
        <w:t>2</w:t>
      </w: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val="en-US" w:eastAsia="zh-CN"/>
        </w:rPr>
        <w:t>3</w:t>
      </w:r>
      <w:r>
        <w:rPr>
          <w:rFonts w:hint="eastAsia" w:ascii="宋体" w:hAnsi="宋体" w:eastAsia="宋体"/>
          <w:color w:val="auto"/>
          <w:kern w:val="2"/>
          <w:szCs w:val="21"/>
          <w:highlight w:val="none"/>
        </w:rPr>
        <w:t>本合同一方给另一方的通知均应采用书面形式，传真或快递送到本合同中规定的对方的地址和办理签收手续。</w:t>
      </w:r>
    </w:p>
    <w:p w14:paraId="3B8CC4CF">
      <w:pPr>
        <w:widowControl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2</w:t>
      </w:r>
      <w:r>
        <w:rPr>
          <w:rFonts w:hint="eastAsia" w:ascii="宋体" w:hAnsi="宋体" w:eastAsia="宋体"/>
          <w:color w:val="auto"/>
          <w:kern w:val="2"/>
          <w:szCs w:val="21"/>
          <w:highlight w:val="none"/>
          <w:lang w:val="en-US" w:eastAsia="zh-CN"/>
        </w:rPr>
        <w:t>2</w:t>
      </w: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val="en-US" w:eastAsia="zh-CN"/>
        </w:rPr>
        <w:t>4</w:t>
      </w:r>
      <w:r>
        <w:rPr>
          <w:rFonts w:hint="eastAsia" w:ascii="宋体" w:hAnsi="宋体" w:eastAsia="宋体"/>
          <w:color w:val="auto"/>
          <w:kern w:val="2"/>
          <w:szCs w:val="21"/>
          <w:highlight w:val="none"/>
        </w:rPr>
        <w:t>通知以送达之日或通知书中规定的生效之日起生效，两者中以较迟之日为准。</w:t>
      </w:r>
    </w:p>
    <w:p w14:paraId="68D9AEF8">
      <w:pPr>
        <w:widowControl w:val="0"/>
        <w:numPr>
          <w:ilvl w:val="0"/>
          <w:numId w:val="9"/>
        </w:numPr>
        <w:adjustRightInd w:val="0"/>
        <w:snapToGrid w:val="0"/>
        <w:spacing w:before="0" w:line="400" w:lineRule="exact"/>
        <w:jc w:val="left"/>
        <w:textAlignment w:val="auto"/>
        <w:rPr>
          <w:rFonts w:ascii="宋体" w:hAnsi="宋体" w:eastAsia="宋体"/>
          <w:b/>
          <w:bCs/>
          <w:color w:val="auto"/>
          <w:kern w:val="2"/>
          <w:sz w:val="24"/>
          <w:szCs w:val="24"/>
          <w:highlight w:val="none"/>
        </w:rPr>
      </w:pPr>
      <w:r>
        <w:rPr>
          <w:rFonts w:hint="eastAsia" w:ascii="宋体" w:hAnsi="宋体" w:eastAsia="宋体"/>
          <w:b/>
          <w:bCs/>
          <w:color w:val="auto"/>
          <w:kern w:val="2"/>
          <w:sz w:val="24"/>
          <w:szCs w:val="24"/>
          <w:highlight w:val="none"/>
        </w:rPr>
        <w:t>合同未尽事项</w:t>
      </w:r>
    </w:p>
    <w:p w14:paraId="41339B1A">
      <w:pPr>
        <w:widowControl w:val="0"/>
        <w:adjustRightInd w:val="0"/>
        <w:snapToGrid w:val="0"/>
        <w:spacing w:before="0" w:line="400" w:lineRule="exact"/>
        <w:ind w:firstLine="420" w:firstLineChars="200"/>
        <w:jc w:val="left"/>
        <w:textAlignment w:val="auto"/>
        <w:rPr>
          <w:rFonts w:hint="eastAsia" w:ascii="宋体" w:hAnsi="宋体" w:eastAsia="宋体"/>
          <w:bCs/>
          <w:color w:val="auto"/>
          <w:kern w:val="2"/>
          <w:szCs w:val="21"/>
          <w:highlight w:val="none"/>
        </w:rPr>
      </w:pPr>
      <w:r>
        <w:rPr>
          <w:rFonts w:hint="eastAsia" w:ascii="宋体" w:hAnsi="宋体" w:eastAsia="宋体"/>
          <w:bCs/>
          <w:color w:val="auto"/>
          <w:kern w:val="2"/>
          <w:szCs w:val="21"/>
          <w:highlight w:val="none"/>
        </w:rPr>
        <w:t>2</w:t>
      </w:r>
      <w:r>
        <w:rPr>
          <w:rFonts w:hint="eastAsia" w:ascii="宋体" w:hAnsi="宋体" w:eastAsia="宋体"/>
          <w:bCs/>
          <w:color w:val="auto"/>
          <w:kern w:val="2"/>
          <w:szCs w:val="21"/>
          <w:highlight w:val="none"/>
          <w:lang w:val="en-US" w:eastAsia="zh-CN"/>
        </w:rPr>
        <w:t>3</w:t>
      </w:r>
      <w:r>
        <w:rPr>
          <w:rFonts w:hint="eastAsia" w:ascii="宋体" w:hAnsi="宋体" w:eastAsia="宋体"/>
          <w:bCs/>
          <w:color w:val="auto"/>
          <w:kern w:val="2"/>
          <w:szCs w:val="21"/>
          <w:highlight w:val="none"/>
        </w:rPr>
        <w:t>.1合同未尽事项见</w:t>
      </w:r>
      <w:r>
        <w:rPr>
          <w:rFonts w:hint="eastAsia" w:ascii="宋体" w:hAnsi="宋体" w:eastAsia="宋体"/>
          <w:b/>
          <w:color w:val="auto"/>
          <w:kern w:val="2"/>
          <w:szCs w:val="21"/>
          <w:highlight w:val="none"/>
        </w:rPr>
        <w:t>【政府采购合同专用条款】</w:t>
      </w:r>
      <w:r>
        <w:rPr>
          <w:rFonts w:hint="eastAsia" w:ascii="宋体" w:hAnsi="宋体" w:eastAsia="宋体"/>
          <w:bCs/>
          <w:color w:val="auto"/>
          <w:kern w:val="2"/>
          <w:szCs w:val="21"/>
          <w:highlight w:val="none"/>
        </w:rPr>
        <w:t>。</w:t>
      </w:r>
    </w:p>
    <w:p w14:paraId="1C56A68B">
      <w:pPr>
        <w:widowControl w:val="0"/>
        <w:adjustRightInd w:val="0"/>
        <w:snapToGrid w:val="0"/>
        <w:spacing w:line="400" w:lineRule="exact"/>
        <w:ind w:firstLine="0" w:firstLineChars="0"/>
        <w:jc w:val="left"/>
        <w:textAlignment w:val="auto"/>
        <w:rPr>
          <w:rFonts w:hint="eastAsia" w:ascii="宋体" w:hAnsi="宋体" w:eastAsia="宋体"/>
          <w:bCs/>
          <w:color w:val="auto"/>
          <w:kern w:val="2"/>
          <w:szCs w:val="21"/>
          <w:highlight w:val="none"/>
          <w:lang w:val="en-US" w:eastAsia="zh-CN"/>
        </w:rPr>
      </w:pPr>
      <w:r>
        <w:rPr>
          <w:rFonts w:hint="eastAsia" w:ascii="宋体" w:hAnsi="宋体" w:eastAsia="宋体"/>
          <w:bCs/>
          <w:color w:val="auto"/>
          <w:kern w:val="2"/>
          <w:szCs w:val="21"/>
          <w:highlight w:val="none"/>
          <w:lang w:val="en-US" w:eastAsia="zh-CN"/>
        </w:rPr>
        <w:t xml:space="preserve">    23.2 合同附件与合同正文具有同等的法律效力。</w:t>
      </w:r>
    </w:p>
    <w:p w14:paraId="50649FBD">
      <w:pPr>
        <w:pStyle w:val="46"/>
        <w:rPr>
          <w:rFonts w:hint="eastAsia" w:ascii="宋体" w:hAnsi="宋体" w:eastAsia="宋体"/>
          <w:bCs/>
          <w:color w:val="auto"/>
          <w:kern w:val="2"/>
          <w:szCs w:val="21"/>
          <w:highlight w:val="none"/>
          <w:lang w:val="en-US" w:eastAsia="zh-CN"/>
        </w:rPr>
      </w:pPr>
    </w:p>
    <w:p w14:paraId="47EA8E25">
      <w:pPr>
        <w:pStyle w:val="46"/>
        <w:rPr>
          <w:rFonts w:hint="eastAsia" w:ascii="宋体" w:hAnsi="宋体" w:eastAsia="宋体"/>
          <w:bCs/>
          <w:color w:val="auto"/>
          <w:kern w:val="2"/>
          <w:szCs w:val="21"/>
          <w:highlight w:val="none"/>
          <w:lang w:val="en-US" w:eastAsia="zh-CN"/>
        </w:rPr>
      </w:pPr>
    </w:p>
    <w:p w14:paraId="73C9B0E1">
      <w:pPr>
        <w:pStyle w:val="46"/>
        <w:rPr>
          <w:rFonts w:hint="eastAsia" w:ascii="宋体" w:hAnsi="宋体" w:eastAsia="宋体"/>
          <w:bCs/>
          <w:color w:val="auto"/>
          <w:kern w:val="2"/>
          <w:szCs w:val="21"/>
          <w:highlight w:val="none"/>
          <w:lang w:val="en-US" w:eastAsia="zh-CN"/>
        </w:rPr>
      </w:pPr>
    </w:p>
    <w:p w14:paraId="649EF24C">
      <w:pPr>
        <w:pStyle w:val="46"/>
        <w:rPr>
          <w:rFonts w:hint="eastAsia" w:ascii="宋体" w:hAnsi="宋体" w:eastAsia="宋体"/>
          <w:bCs/>
          <w:color w:val="auto"/>
          <w:kern w:val="2"/>
          <w:szCs w:val="21"/>
          <w:highlight w:val="none"/>
          <w:lang w:val="en-US" w:eastAsia="zh-CN"/>
        </w:rPr>
      </w:pPr>
    </w:p>
    <w:p w14:paraId="306CC13F">
      <w:pPr>
        <w:pStyle w:val="46"/>
        <w:jc w:val="cente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第三节 政府采购合同专用条款</w:t>
      </w:r>
    </w:p>
    <w:tbl>
      <w:tblPr>
        <w:tblStyle w:val="29"/>
        <w:tblW w:w="9461"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6112"/>
      </w:tblGrid>
      <w:tr w14:paraId="2BD74E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E82B86">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第二节</w:t>
            </w:r>
          </w:p>
          <w:p w14:paraId="19FED200">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第1.2（</w:t>
            </w:r>
            <w:r>
              <w:rPr>
                <w:rFonts w:hint="eastAsia" w:ascii="宋体" w:hAnsi="宋体" w:eastAsia="宋体"/>
                <w:color w:val="auto"/>
                <w:kern w:val="2"/>
                <w:szCs w:val="21"/>
                <w:lang w:val="en-US" w:eastAsia="zh-CN"/>
              </w:rPr>
              <w:t>6</w:t>
            </w:r>
            <w:r>
              <w:rPr>
                <w:rFonts w:hint="eastAsia" w:ascii="宋体" w:hAnsi="宋体" w:eastAsia="宋体"/>
                <w:color w:val="auto"/>
                <w:kern w:val="2"/>
                <w:szCs w:val="21"/>
              </w:rPr>
              <w:t>）项</w:t>
            </w:r>
          </w:p>
        </w:tc>
        <w:tc>
          <w:tcPr>
            <w:tcW w:w="1742" w:type="dxa"/>
            <w:vAlign w:val="center"/>
          </w:tcPr>
          <w:p w14:paraId="0154A2A1">
            <w:pPr>
              <w:widowControl w:val="0"/>
              <w:adjustRightInd w:val="0"/>
              <w:snapToGrid w:val="0"/>
              <w:spacing w:line="240" w:lineRule="auto"/>
              <w:jc w:val="left"/>
              <w:textAlignment w:val="auto"/>
              <w:rPr>
                <w:rFonts w:ascii="宋体" w:hAnsi="宋体" w:eastAsia="宋体"/>
                <w:color w:val="auto"/>
                <w:kern w:val="2"/>
                <w:szCs w:val="21"/>
              </w:rPr>
            </w:pPr>
            <w:r>
              <w:rPr>
                <w:rFonts w:hint="eastAsia" w:ascii="宋体" w:hAnsi="宋体" w:eastAsia="宋体"/>
                <w:color w:val="auto"/>
                <w:kern w:val="2"/>
                <w:szCs w:val="21"/>
                <w:lang w:eastAsia="zh-CN"/>
              </w:rPr>
              <w:t>联合体具体要求</w:t>
            </w:r>
          </w:p>
        </w:tc>
        <w:tc>
          <w:tcPr>
            <w:tcW w:w="6112" w:type="dxa"/>
            <w:vAlign w:val="center"/>
          </w:tcPr>
          <w:p w14:paraId="70DF1FDE">
            <w:pPr>
              <w:widowControl w:val="0"/>
              <w:adjustRightInd w:val="0"/>
              <w:snapToGrid w:val="0"/>
              <w:spacing w:line="240" w:lineRule="auto"/>
              <w:jc w:val="left"/>
              <w:textAlignment w:val="auto"/>
              <w:rPr>
                <w:rFonts w:ascii="宋体" w:hAnsi="宋体" w:eastAsia="宋体"/>
                <w:color w:val="auto"/>
                <w:kern w:val="2"/>
                <w:szCs w:val="21"/>
              </w:rPr>
            </w:pPr>
          </w:p>
        </w:tc>
      </w:tr>
      <w:tr w14:paraId="16042B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BA1A26D">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第二节</w:t>
            </w:r>
          </w:p>
          <w:p w14:paraId="015A3DC9">
            <w:pPr>
              <w:widowControl w:val="0"/>
              <w:adjustRightInd w:val="0"/>
              <w:snapToGrid w:val="0"/>
              <w:spacing w:line="240" w:lineRule="auto"/>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olor w:val="auto"/>
                <w:kern w:val="2"/>
                <w:szCs w:val="21"/>
              </w:rPr>
              <w:t>第1.2（</w:t>
            </w:r>
            <w:r>
              <w:rPr>
                <w:rFonts w:hint="eastAsia" w:ascii="宋体" w:hAnsi="宋体" w:eastAsia="宋体"/>
                <w:color w:val="auto"/>
                <w:kern w:val="2"/>
                <w:szCs w:val="21"/>
                <w:lang w:val="en-US" w:eastAsia="zh-CN"/>
              </w:rPr>
              <w:t>7</w:t>
            </w:r>
            <w:r>
              <w:rPr>
                <w:rFonts w:hint="eastAsia" w:ascii="宋体" w:hAnsi="宋体" w:eastAsia="宋体"/>
                <w:color w:val="auto"/>
                <w:kern w:val="2"/>
                <w:szCs w:val="21"/>
              </w:rPr>
              <w:t>）项</w:t>
            </w:r>
          </w:p>
        </w:tc>
        <w:tc>
          <w:tcPr>
            <w:tcW w:w="1742" w:type="dxa"/>
            <w:vAlign w:val="center"/>
          </w:tcPr>
          <w:p w14:paraId="4F050EBA">
            <w:pPr>
              <w:widowControl w:val="0"/>
              <w:adjustRightInd w:val="0"/>
              <w:snapToGrid w:val="0"/>
              <w:spacing w:line="240" w:lineRule="auto"/>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olor w:val="auto"/>
                <w:kern w:val="2"/>
                <w:szCs w:val="21"/>
              </w:rPr>
              <w:t>其他术语解释</w:t>
            </w:r>
          </w:p>
        </w:tc>
        <w:tc>
          <w:tcPr>
            <w:tcW w:w="6112" w:type="dxa"/>
            <w:vAlign w:val="center"/>
          </w:tcPr>
          <w:p w14:paraId="22F2E584">
            <w:pPr>
              <w:widowControl w:val="0"/>
              <w:adjustRightInd w:val="0"/>
              <w:snapToGrid w:val="0"/>
              <w:spacing w:line="240" w:lineRule="auto"/>
              <w:jc w:val="left"/>
              <w:textAlignment w:val="auto"/>
              <w:rPr>
                <w:rFonts w:ascii="宋体" w:hAnsi="宋体" w:eastAsia="宋体" w:cs="Times New Roman"/>
                <w:color w:val="auto"/>
                <w:kern w:val="2"/>
                <w:sz w:val="21"/>
                <w:szCs w:val="21"/>
                <w:lang w:val="en-US" w:eastAsia="zh-CN" w:bidi="ar-SA"/>
              </w:rPr>
            </w:pPr>
          </w:p>
        </w:tc>
      </w:tr>
      <w:tr w14:paraId="58B942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1B6C54FB">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第二节</w:t>
            </w:r>
          </w:p>
          <w:p w14:paraId="0D7FE377">
            <w:pPr>
              <w:widowControl w:val="0"/>
              <w:adjustRightInd w:val="0"/>
              <w:snapToGrid w:val="0"/>
              <w:spacing w:line="240" w:lineRule="auto"/>
              <w:jc w:val="center"/>
              <w:textAlignment w:val="auto"/>
              <w:rPr>
                <w:rFonts w:hint="default" w:ascii="宋体" w:hAnsi="宋体" w:eastAsia="宋体"/>
                <w:color w:val="auto"/>
                <w:kern w:val="2"/>
                <w:szCs w:val="21"/>
                <w:lang w:val="en-US" w:eastAsia="zh-CN"/>
              </w:rPr>
            </w:pPr>
            <w:r>
              <w:rPr>
                <w:rFonts w:hint="eastAsia" w:ascii="宋体" w:hAnsi="宋体" w:eastAsia="宋体"/>
                <w:color w:val="auto"/>
                <w:kern w:val="2"/>
                <w:szCs w:val="21"/>
                <w:lang w:eastAsia="zh-CN"/>
              </w:rPr>
              <w:t>第</w:t>
            </w:r>
            <w:r>
              <w:rPr>
                <w:rFonts w:hint="eastAsia" w:ascii="宋体" w:hAnsi="宋体" w:eastAsia="宋体"/>
                <w:color w:val="auto"/>
                <w:kern w:val="2"/>
                <w:szCs w:val="21"/>
                <w:lang w:val="en-US" w:eastAsia="zh-CN"/>
              </w:rPr>
              <w:t>4.4款</w:t>
            </w:r>
          </w:p>
        </w:tc>
        <w:tc>
          <w:tcPr>
            <w:tcW w:w="1742" w:type="dxa"/>
            <w:vAlign w:val="center"/>
          </w:tcPr>
          <w:p w14:paraId="3B800EB6">
            <w:pPr>
              <w:widowControl w:val="0"/>
              <w:adjustRightInd w:val="0"/>
              <w:snapToGrid w:val="0"/>
              <w:spacing w:line="240" w:lineRule="auto"/>
              <w:jc w:val="left"/>
              <w:textAlignment w:val="auto"/>
              <w:rPr>
                <w:rFonts w:hint="eastAsia" w:ascii="宋体" w:hAnsi="宋体" w:eastAsia="宋体"/>
                <w:color w:val="auto"/>
                <w:kern w:val="2"/>
                <w:szCs w:val="21"/>
                <w:lang w:eastAsia="zh-CN"/>
              </w:rPr>
            </w:pPr>
            <w:r>
              <w:rPr>
                <w:rFonts w:hint="eastAsia" w:ascii="宋体" w:hAnsi="宋体" w:eastAsia="宋体"/>
                <w:color w:val="auto"/>
                <w:kern w:val="2"/>
                <w:szCs w:val="21"/>
                <w:lang w:eastAsia="zh-CN"/>
              </w:rPr>
              <w:t>履约验收中甲方提出异议或作出说明的期限</w:t>
            </w:r>
          </w:p>
        </w:tc>
        <w:tc>
          <w:tcPr>
            <w:tcW w:w="6112" w:type="dxa"/>
            <w:vAlign w:val="center"/>
          </w:tcPr>
          <w:p w14:paraId="3A5439DA">
            <w:pPr>
              <w:widowControl w:val="0"/>
              <w:adjustRightInd w:val="0"/>
              <w:snapToGrid w:val="0"/>
              <w:spacing w:line="240" w:lineRule="auto"/>
              <w:jc w:val="left"/>
              <w:textAlignment w:val="auto"/>
              <w:rPr>
                <w:rFonts w:ascii="宋体" w:hAnsi="宋体" w:eastAsia="宋体" w:cs="Times New Roman"/>
                <w:color w:val="auto"/>
                <w:kern w:val="2"/>
                <w:sz w:val="21"/>
                <w:szCs w:val="21"/>
                <w:lang w:val="en-US" w:eastAsia="zh-CN" w:bidi="ar-SA"/>
              </w:rPr>
            </w:pPr>
          </w:p>
        </w:tc>
      </w:tr>
      <w:tr w14:paraId="18D139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8F471F">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第二节</w:t>
            </w:r>
          </w:p>
          <w:p w14:paraId="7F2ECD92">
            <w:pPr>
              <w:widowControl w:val="0"/>
              <w:adjustRightInd w:val="0"/>
              <w:snapToGrid w:val="0"/>
              <w:spacing w:line="240" w:lineRule="auto"/>
              <w:jc w:val="center"/>
              <w:textAlignment w:val="auto"/>
              <w:rPr>
                <w:rFonts w:hint="eastAsia" w:ascii="宋体" w:hAnsi="宋体" w:eastAsia="宋体"/>
                <w:color w:val="auto"/>
                <w:kern w:val="2"/>
                <w:szCs w:val="21"/>
              </w:rPr>
            </w:pPr>
            <w:r>
              <w:rPr>
                <w:rFonts w:hint="eastAsia" w:ascii="宋体" w:hAnsi="宋体" w:eastAsia="宋体"/>
                <w:color w:val="auto"/>
                <w:kern w:val="2"/>
                <w:szCs w:val="21"/>
                <w:lang w:eastAsia="zh-CN"/>
              </w:rPr>
              <w:t>第</w:t>
            </w:r>
            <w:r>
              <w:rPr>
                <w:rFonts w:hint="eastAsia" w:ascii="宋体" w:hAnsi="宋体" w:eastAsia="宋体"/>
                <w:color w:val="auto"/>
                <w:kern w:val="2"/>
                <w:szCs w:val="21"/>
                <w:lang w:val="en-US" w:eastAsia="zh-CN"/>
              </w:rPr>
              <w:t>4.6款</w:t>
            </w:r>
          </w:p>
        </w:tc>
        <w:tc>
          <w:tcPr>
            <w:tcW w:w="1742" w:type="dxa"/>
            <w:vAlign w:val="center"/>
          </w:tcPr>
          <w:p w14:paraId="1D117BA9">
            <w:pPr>
              <w:widowControl w:val="0"/>
              <w:adjustRightInd w:val="0"/>
              <w:snapToGrid w:val="0"/>
              <w:spacing w:line="240" w:lineRule="auto"/>
              <w:jc w:val="left"/>
              <w:textAlignment w:val="auto"/>
              <w:rPr>
                <w:rFonts w:hint="eastAsia" w:ascii="宋体" w:hAnsi="宋体" w:eastAsia="宋体"/>
                <w:color w:val="auto"/>
                <w:kern w:val="2"/>
                <w:szCs w:val="21"/>
                <w:lang w:eastAsia="zh-CN"/>
              </w:rPr>
            </w:pPr>
            <w:r>
              <w:rPr>
                <w:rFonts w:hint="eastAsia" w:ascii="宋体" w:hAnsi="宋体" w:eastAsia="宋体"/>
                <w:color w:val="auto"/>
                <w:kern w:val="2"/>
                <w:szCs w:val="21"/>
                <w:lang w:eastAsia="zh-CN"/>
              </w:rPr>
              <w:t>约定甲方承担的其他义务和责任</w:t>
            </w:r>
          </w:p>
        </w:tc>
        <w:tc>
          <w:tcPr>
            <w:tcW w:w="6112" w:type="dxa"/>
            <w:vAlign w:val="center"/>
          </w:tcPr>
          <w:p w14:paraId="38B922B7">
            <w:pPr>
              <w:widowControl w:val="0"/>
              <w:adjustRightInd w:val="0"/>
              <w:snapToGrid w:val="0"/>
              <w:spacing w:line="240" w:lineRule="auto"/>
              <w:jc w:val="left"/>
              <w:textAlignment w:val="auto"/>
              <w:rPr>
                <w:rFonts w:ascii="宋体" w:hAnsi="宋体" w:eastAsia="宋体" w:cs="Times New Roman"/>
                <w:color w:val="auto"/>
                <w:kern w:val="2"/>
                <w:sz w:val="21"/>
                <w:szCs w:val="21"/>
                <w:lang w:val="en-US" w:eastAsia="zh-CN" w:bidi="ar-SA"/>
              </w:rPr>
            </w:pPr>
          </w:p>
        </w:tc>
      </w:tr>
      <w:tr w14:paraId="0B377A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2515DB">
            <w:pPr>
              <w:widowControl w:val="0"/>
              <w:adjustRightInd w:val="0"/>
              <w:snapToGrid w:val="0"/>
              <w:spacing w:line="240" w:lineRule="auto"/>
              <w:jc w:val="center"/>
              <w:textAlignment w:val="auto"/>
              <w:rPr>
                <w:rFonts w:hint="eastAsia" w:ascii="宋体" w:hAnsi="宋体" w:eastAsia="宋体"/>
                <w:color w:val="auto"/>
                <w:kern w:val="2"/>
                <w:szCs w:val="21"/>
                <w:lang w:eastAsia="zh-CN"/>
              </w:rPr>
            </w:pPr>
            <w:r>
              <w:rPr>
                <w:rFonts w:hint="eastAsia" w:ascii="宋体" w:hAnsi="宋体" w:eastAsia="宋体"/>
                <w:color w:val="auto"/>
                <w:kern w:val="2"/>
                <w:szCs w:val="21"/>
                <w:lang w:eastAsia="zh-CN"/>
              </w:rPr>
              <w:t>第二节</w:t>
            </w:r>
          </w:p>
          <w:p w14:paraId="45108EDC">
            <w:pPr>
              <w:widowControl w:val="0"/>
              <w:snapToGrid w:val="0"/>
              <w:spacing w:line="240" w:lineRule="auto"/>
              <w:jc w:val="center"/>
              <w:textAlignment w:val="auto"/>
              <w:rPr>
                <w:rFonts w:hint="default" w:eastAsia="宋体"/>
                <w:color w:val="auto"/>
                <w:kern w:val="2"/>
                <w:szCs w:val="24"/>
                <w:lang w:val="en-US" w:eastAsia="zh-CN"/>
              </w:rPr>
            </w:pPr>
            <w:r>
              <w:rPr>
                <w:rFonts w:hint="eastAsia" w:ascii="宋体" w:hAnsi="宋体" w:eastAsia="宋体"/>
                <w:color w:val="auto"/>
                <w:kern w:val="2"/>
                <w:szCs w:val="21"/>
                <w:lang w:eastAsia="zh-CN"/>
              </w:rPr>
              <w:t>第</w:t>
            </w:r>
            <w:r>
              <w:rPr>
                <w:rFonts w:hint="eastAsia" w:ascii="宋体" w:hAnsi="宋体" w:eastAsia="宋体"/>
                <w:color w:val="auto"/>
                <w:kern w:val="2"/>
                <w:szCs w:val="21"/>
                <w:lang w:val="en-US" w:eastAsia="zh-CN"/>
              </w:rPr>
              <w:t>5.4款</w:t>
            </w:r>
          </w:p>
        </w:tc>
        <w:tc>
          <w:tcPr>
            <w:tcW w:w="1742" w:type="dxa"/>
            <w:vAlign w:val="center"/>
          </w:tcPr>
          <w:p w14:paraId="65EA8E73">
            <w:pPr>
              <w:widowControl w:val="0"/>
              <w:adjustRightInd w:val="0"/>
              <w:snapToGrid w:val="0"/>
              <w:spacing w:line="240" w:lineRule="auto"/>
              <w:jc w:val="left"/>
              <w:textAlignment w:val="auto"/>
              <w:rPr>
                <w:rFonts w:hint="eastAsia" w:ascii="宋体" w:hAnsi="宋体" w:eastAsia="宋体"/>
                <w:color w:val="auto"/>
                <w:kern w:val="2"/>
                <w:szCs w:val="21"/>
                <w:lang w:eastAsia="zh-CN"/>
              </w:rPr>
            </w:pPr>
            <w:r>
              <w:rPr>
                <w:rFonts w:hint="eastAsia" w:ascii="宋体" w:hAnsi="宋体" w:eastAsia="宋体"/>
                <w:color w:val="auto"/>
                <w:kern w:val="2"/>
                <w:szCs w:val="21"/>
                <w:lang w:eastAsia="zh-CN"/>
              </w:rPr>
              <w:t>约定乙方承担的其他义务和责任</w:t>
            </w:r>
          </w:p>
        </w:tc>
        <w:tc>
          <w:tcPr>
            <w:tcW w:w="6112" w:type="dxa"/>
            <w:vAlign w:val="center"/>
          </w:tcPr>
          <w:p w14:paraId="0CA5BAB3">
            <w:pPr>
              <w:widowControl w:val="0"/>
              <w:adjustRightInd w:val="0"/>
              <w:snapToGrid w:val="0"/>
              <w:spacing w:line="240" w:lineRule="auto"/>
              <w:jc w:val="left"/>
              <w:textAlignment w:val="auto"/>
              <w:rPr>
                <w:rFonts w:ascii="宋体" w:hAnsi="宋体" w:eastAsia="宋体" w:cs="Times New Roman"/>
                <w:color w:val="auto"/>
                <w:kern w:val="2"/>
                <w:sz w:val="21"/>
                <w:szCs w:val="21"/>
                <w:lang w:val="en-US" w:eastAsia="zh-CN" w:bidi="ar-SA"/>
              </w:rPr>
            </w:pPr>
          </w:p>
        </w:tc>
      </w:tr>
      <w:tr w14:paraId="3AEB58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9E1CC2">
            <w:pPr>
              <w:widowControl w:val="0"/>
              <w:adjustRightInd w:val="0"/>
              <w:snapToGrid w:val="0"/>
              <w:spacing w:line="240" w:lineRule="auto"/>
              <w:jc w:val="center"/>
              <w:textAlignment w:val="auto"/>
              <w:rPr>
                <w:rFonts w:hint="eastAsia" w:ascii="宋体" w:hAnsi="宋体" w:eastAsia="宋体"/>
                <w:color w:val="auto"/>
                <w:kern w:val="2"/>
                <w:szCs w:val="21"/>
                <w:lang w:eastAsia="zh-CN"/>
              </w:rPr>
            </w:pPr>
            <w:r>
              <w:rPr>
                <w:rFonts w:hint="eastAsia" w:ascii="宋体" w:hAnsi="宋体" w:eastAsia="宋体"/>
                <w:color w:val="auto"/>
                <w:kern w:val="2"/>
                <w:szCs w:val="21"/>
                <w:lang w:eastAsia="zh-CN"/>
              </w:rPr>
              <w:t>第二节</w:t>
            </w:r>
          </w:p>
          <w:p w14:paraId="29A8884D">
            <w:pPr>
              <w:widowControl w:val="0"/>
              <w:snapToGrid w:val="0"/>
              <w:spacing w:line="240" w:lineRule="auto"/>
              <w:jc w:val="center"/>
              <w:textAlignment w:val="auto"/>
              <w:rPr>
                <w:rFonts w:hint="eastAsia" w:ascii="宋体" w:hAnsi="宋体" w:eastAsia="宋体"/>
                <w:color w:val="auto"/>
                <w:kern w:val="2"/>
                <w:szCs w:val="21"/>
                <w:lang w:eastAsia="zh-CN"/>
              </w:rPr>
            </w:pPr>
            <w:r>
              <w:rPr>
                <w:rFonts w:hint="eastAsia" w:ascii="宋体" w:hAnsi="宋体" w:eastAsia="宋体"/>
                <w:color w:val="auto"/>
                <w:kern w:val="2"/>
                <w:szCs w:val="21"/>
                <w:lang w:eastAsia="zh-CN"/>
              </w:rPr>
              <w:t>第</w:t>
            </w:r>
            <w:r>
              <w:rPr>
                <w:rFonts w:hint="eastAsia" w:ascii="宋体" w:hAnsi="宋体" w:eastAsia="宋体"/>
                <w:color w:val="auto"/>
                <w:kern w:val="2"/>
                <w:szCs w:val="21"/>
                <w:lang w:val="en-US" w:eastAsia="zh-CN"/>
              </w:rPr>
              <w:t>6.1款</w:t>
            </w:r>
          </w:p>
        </w:tc>
        <w:tc>
          <w:tcPr>
            <w:tcW w:w="1742" w:type="dxa"/>
            <w:vAlign w:val="center"/>
          </w:tcPr>
          <w:p w14:paraId="49F3B6A4">
            <w:pPr>
              <w:widowControl w:val="0"/>
              <w:adjustRightInd w:val="0"/>
              <w:snapToGrid w:val="0"/>
              <w:spacing w:line="240" w:lineRule="auto"/>
              <w:jc w:val="left"/>
              <w:textAlignment w:val="auto"/>
              <w:rPr>
                <w:rFonts w:hint="eastAsia" w:ascii="宋体" w:hAnsi="宋体" w:eastAsia="宋体"/>
                <w:color w:val="auto"/>
                <w:kern w:val="2"/>
                <w:szCs w:val="21"/>
                <w:lang w:eastAsia="zh-CN"/>
              </w:rPr>
            </w:pPr>
            <w:r>
              <w:rPr>
                <w:rFonts w:hint="eastAsia" w:ascii="宋体" w:hAnsi="宋体" w:eastAsia="宋体"/>
                <w:color w:val="auto"/>
                <w:kern w:val="2"/>
                <w:szCs w:val="21"/>
                <w:lang w:eastAsia="zh-CN"/>
              </w:rPr>
              <w:t>履行合同义务的顺序</w:t>
            </w:r>
          </w:p>
        </w:tc>
        <w:tc>
          <w:tcPr>
            <w:tcW w:w="6112" w:type="dxa"/>
            <w:vAlign w:val="center"/>
          </w:tcPr>
          <w:p w14:paraId="0A1B21BC">
            <w:pPr>
              <w:widowControl w:val="0"/>
              <w:adjustRightInd w:val="0"/>
              <w:snapToGrid w:val="0"/>
              <w:spacing w:line="240" w:lineRule="auto"/>
              <w:jc w:val="left"/>
              <w:textAlignment w:val="auto"/>
              <w:rPr>
                <w:rFonts w:ascii="宋体" w:hAnsi="宋体" w:eastAsia="宋体" w:cs="Times New Roman"/>
                <w:color w:val="auto"/>
                <w:kern w:val="2"/>
                <w:sz w:val="21"/>
                <w:szCs w:val="21"/>
                <w:lang w:val="en-US" w:eastAsia="zh-CN" w:bidi="ar-SA"/>
              </w:rPr>
            </w:pPr>
          </w:p>
        </w:tc>
      </w:tr>
      <w:tr w14:paraId="23630D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CC155F9">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第二节</w:t>
            </w:r>
          </w:p>
          <w:p w14:paraId="32B9E0A7">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w:t>
            </w:r>
            <w:r>
              <w:rPr>
                <w:rFonts w:hint="eastAsia" w:ascii="宋体" w:hAnsi="宋体" w:eastAsia="宋体"/>
                <w:color w:val="auto"/>
                <w:kern w:val="2"/>
                <w:szCs w:val="21"/>
                <w:lang w:val="en-US" w:eastAsia="zh-CN"/>
              </w:rPr>
              <w:t>7</w:t>
            </w:r>
            <w:r>
              <w:rPr>
                <w:rFonts w:hint="eastAsia" w:ascii="宋体" w:hAnsi="宋体" w:eastAsia="宋体"/>
                <w:color w:val="auto"/>
                <w:kern w:val="2"/>
                <w:szCs w:val="21"/>
              </w:rPr>
              <w:t>.1</w:t>
            </w:r>
            <w:r>
              <w:rPr>
                <w:rFonts w:hint="eastAsia" w:ascii="宋体" w:hAnsi="宋体" w:eastAsia="宋体"/>
                <w:color w:val="auto"/>
                <w:kern w:val="2"/>
                <w:szCs w:val="21"/>
                <w:lang w:val="en-US" w:eastAsia="zh-CN"/>
              </w:rPr>
              <w:t>款</w:t>
            </w:r>
          </w:p>
        </w:tc>
        <w:tc>
          <w:tcPr>
            <w:tcW w:w="1742" w:type="dxa"/>
            <w:vAlign w:val="center"/>
          </w:tcPr>
          <w:p w14:paraId="5CD457BB">
            <w:pPr>
              <w:widowControl w:val="0"/>
              <w:adjustRightInd w:val="0"/>
              <w:snapToGrid w:val="0"/>
              <w:spacing w:line="240" w:lineRule="auto"/>
              <w:jc w:val="left"/>
              <w:textAlignment w:val="auto"/>
              <w:rPr>
                <w:rFonts w:ascii="宋体" w:hAnsi="宋体" w:eastAsia="宋体"/>
                <w:color w:val="auto"/>
                <w:kern w:val="2"/>
                <w:szCs w:val="21"/>
              </w:rPr>
            </w:pPr>
            <w:r>
              <w:rPr>
                <w:rFonts w:hint="eastAsia" w:ascii="宋体" w:hAnsi="宋体" w:eastAsia="宋体"/>
                <w:color w:val="auto"/>
                <w:kern w:val="2"/>
                <w:szCs w:val="21"/>
              </w:rPr>
              <w:t>包装</w:t>
            </w:r>
            <w:r>
              <w:rPr>
                <w:rFonts w:hint="eastAsia" w:ascii="宋体" w:hAnsi="宋体" w:eastAsia="宋体"/>
                <w:color w:val="auto"/>
                <w:kern w:val="2"/>
                <w:szCs w:val="21"/>
                <w:lang w:eastAsia="zh-CN"/>
              </w:rPr>
              <w:t>特殊要求</w:t>
            </w:r>
          </w:p>
        </w:tc>
        <w:tc>
          <w:tcPr>
            <w:tcW w:w="6112" w:type="dxa"/>
            <w:vAlign w:val="center"/>
          </w:tcPr>
          <w:p w14:paraId="61B452DF">
            <w:pPr>
              <w:widowControl w:val="0"/>
              <w:spacing w:line="240" w:lineRule="auto"/>
              <w:textAlignment w:val="auto"/>
              <w:rPr>
                <w:rFonts w:eastAsia="宋体"/>
                <w:color w:val="auto"/>
                <w:kern w:val="2"/>
                <w:szCs w:val="24"/>
              </w:rPr>
            </w:pPr>
          </w:p>
        </w:tc>
      </w:tr>
      <w:tr w14:paraId="5597FE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99D9B53">
            <w:pPr>
              <w:widowControl w:val="0"/>
              <w:adjustRightInd w:val="0"/>
              <w:snapToGrid w:val="0"/>
              <w:spacing w:line="240" w:lineRule="auto"/>
              <w:jc w:val="center"/>
              <w:textAlignment w:val="auto"/>
              <w:rPr>
                <w:rFonts w:hint="eastAsia" w:ascii="宋体" w:hAnsi="宋体" w:eastAsia="宋体"/>
                <w:color w:val="auto"/>
                <w:kern w:val="2"/>
                <w:szCs w:val="21"/>
              </w:rPr>
            </w:pPr>
          </w:p>
        </w:tc>
        <w:tc>
          <w:tcPr>
            <w:tcW w:w="1742" w:type="dxa"/>
            <w:vAlign w:val="center"/>
          </w:tcPr>
          <w:p w14:paraId="71C84B70">
            <w:pPr>
              <w:widowControl w:val="0"/>
              <w:adjustRightInd w:val="0"/>
              <w:snapToGrid w:val="0"/>
              <w:spacing w:line="240" w:lineRule="auto"/>
              <w:jc w:val="left"/>
              <w:textAlignment w:val="auto"/>
              <w:rPr>
                <w:rFonts w:hint="eastAsia" w:ascii="宋体" w:hAnsi="宋体" w:eastAsia="宋体"/>
                <w:color w:val="auto"/>
                <w:kern w:val="2"/>
                <w:szCs w:val="21"/>
                <w:lang w:eastAsia="zh-CN"/>
              </w:rPr>
            </w:pPr>
            <w:r>
              <w:rPr>
                <w:rFonts w:hint="eastAsia" w:ascii="宋体" w:hAnsi="宋体" w:eastAsia="宋体"/>
                <w:color w:val="auto"/>
                <w:kern w:val="2"/>
                <w:szCs w:val="21"/>
                <w:lang w:eastAsia="zh-CN"/>
              </w:rPr>
              <w:t>指定现场</w:t>
            </w:r>
          </w:p>
        </w:tc>
        <w:tc>
          <w:tcPr>
            <w:tcW w:w="6112" w:type="dxa"/>
            <w:vAlign w:val="center"/>
          </w:tcPr>
          <w:p w14:paraId="75FE9B48">
            <w:pPr>
              <w:widowControl w:val="0"/>
              <w:spacing w:line="240" w:lineRule="auto"/>
              <w:textAlignment w:val="auto"/>
              <w:rPr>
                <w:rFonts w:hint="eastAsia" w:eastAsia="宋体"/>
                <w:color w:val="auto"/>
                <w:kern w:val="2"/>
                <w:szCs w:val="24"/>
              </w:rPr>
            </w:pPr>
          </w:p>
        </w:tc>
      </w:tr>
      <w:tr w14:paraId="73871E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6689AB72">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第二节</w:t>
            </w:r>
          </w:p>
          <w:p w14:paraId="3AB90C1C">
            <w:pPr>
              <w:widowControl w:val="0"/>
              <w:adjustRightInd w:val="0"/>
              <w:snapToGrid w:val="0"/>
              <w:spacing w:line="240" w:lineRule="auto"/>
              <w:jc w:val="center"/>
              <w:textAlignment w:val="auto"/>
              <w:rPr>
                <w:rFonts w:hint="eastAsia" w:ascii="宋体" w:hAnsi="宋体" w:eastAsia="宋体"/>
                <w:color w:val="auto"/>
                <w:kern w:val="2"/>
                <w:szCs w:val="21"/>
              </w:rPr>
            </w:pPr>
            <w:r>
              <w:rPr>
                <w:rFonts w:hint="eastAsia" w:ascii="宋体" w:hAnsi="宋体" w:eastAsia="宋体"/>
                <w:color w:val="auto"/>
                <w:kern w:val="2"/>
                <w:szCs w:val="21"/>
              </w:rPr>
              <w:t>第</w:t>
            </w:r>
            <w:r>
              <w:rPr>
                <w:rFonts w:hint="eastAsia" w:ascii="宋体" w:hAnsi="宋体" w:eastAsia="宋体"/>
                <w:color w:val="auto"/>
                <w:kern w:val="2"/>
                <w:szCs w:val="21"/>
                <w:lang w:val="en-US" w:eastAsia="zh-CN"/>
              </w:rPr>
              <w:t>7</w:t>
            </w:r>
            <w:r>
              <w:rPr>
                <w:rFonts w:hint="eastAsia" w:ascii="宋体" w:hAnsi="宋体" w:eastAsia="宋体"/>
                <w:color w:val="auto"/>
                <w:kern w:val="2"/>
                <w:szCs w:val="21"/>
              </w:rPr>
              <w:t>.2</w:t>
            </w:r>
            <w:r>
              <w:rPr>
                <w:rFonts w:hint="eastAsia" w:ascii="宋体" w:hAnsi="宋体" w:eastAsia="宋体"/>
                <w:color w:val="auto"/>
                <w:kern w:val="2"/>
                <w:szCs w:val="21"/>
                <w:lang w:val="en-US" w:eastAsia="zh-CN"/>
              </w:rPr>
              <w:t>款</w:t>
            </w:r>
          </w:p>
        </w:tc>
        <w:tc>
          <w:tcPr>
            <w:tcW w:w="1742" w:type="dxa"/>
            <w:vAlign w:val="center"/>
          </w:tcPr>
          <w:p w14:paraId="2878CCCA">
            <w:pPr>
              <w:widowControl w:val="0"/>
              <w:adjustRightInd w:val="0"/>
              <w:snapToGrid w:val="0"/>
              <w:spacing w:line="240" w:lineRule="auto"/>
              <w:jc w:val="left"/>
              <w:textAlignment w:val="auto"/>
              <w:rPr>
                <w:rFonts w:hint="eastAsia" w:ascii="宋体" w:hAnsi="宋体" w:eastAsia="宋体"/>
                <w:color w:val="auto"/>
                <w:kern w:val="2"/>
                <w:szCs w:val="21"/>
                <w:lang w:eastAsia="zh-CN"/>
              </w:rPr>
            </w:pPr>
            <w:r>
              <w:rPr>
                <w:rFonts w:hint="eastAsia" w:ascii="宋体" w:hAnsi="宋体" w:eastAsia="宋体"/>
                <w:color w:val="auto"/>
                <w:kern w:val="2"/>
                <w:szCs w:val="21"/>
                <w:lang w:eastAsia="zh-CN"/>
              </w:rPr>
              <w:t>运输特殊要求</w:t>
            </w:r>
          </w:p>
        </w:tc>
        <w:tc>
          <w:tcPr>
            <w:tcW w:w="6112" w:type="dxa"/>
            <w:vAlign w:val="center"/>
          </w:tcPr>
          <w:p w14:paraId="604241AA">
            <w:pPr>
              <w:widowControl w:val="0"/>
              <w:spacing w:line="240" w:lineRule="auto"/>
              <w:textAlignment w:val="auto"/>
              <w:rPr>
                <w:rFonts w:hint="eastAsia" w:eastAsia="宋体"/>
                <w:color w:val="auto"/>
                <w:kern w:val="2"/>
                <w:szCs w:val="24"/>
              </w:rPr>
            </w:pPr>
          </w:p>
        </w:tc>
      </w:tr>
      <w:tr w14:paraId="78DAAB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64615C6">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第二节</w:t>
            </w:r>
          </w:p>
          <w:p w14:paraId="50AC6E14">
            <w:pPr>
              <w:widowControl w:val="0"/>
              <w:adjustRightInd w:val="0"/>
              <w:snapToGrid w:val="0"/>
              <w:spacing w:line="240" w:lineRule="auto"/>
              <w:jc w:val="center"/>
              <w:textAlignment w:val="auto"/>
              <w:rPr>
                <w:rFonts w:hint="eastAsia" w:ascii="宋体" w:hAnsi="宋体" w:eastAsia="宋体"/>
                <w:color w:val="auto"/>
                <w:kern w:val="2"/>
                <w:szCs w:val="21"/>
              </w:rPr>
            </w:pPr>
            <w:r>
              <w:rPr>
                <w:rFonts w:hint="eastAsia" w:ascii="宋体" w:hAnsi="宋体" w:eastAsia="宋体"/>
                <w:color w:val="auto"/>
                <w:kern w:val="2"/>
                <w:szCs w:val="21"/>
              </w:rPr>
              <w:t>第</w:t>
            </w:r>
            <w:r>
              <w:rPr>
                <w:rFonts w:hint="eastAsia" w:ascii="宋体" w:hAnsi="宋体" w:eastAsia="宋体"/>
                <w:color w:val="auto"/>
                <w:kern w:val="2"/>
                <w:szCs w:val="21"/>
                <w:lang w:val="en-US" w:eastAsia="zh-CN"/>
              </w:rPr>
              <w:t>7</w:t>
            </w:r>
            <w:r>
              <w:rPr>
                <w:rFonts w:hint="eastAsia" w:ascii="宋体" w:hAnsi="宋体" w:eastAsia="宋体"/>
                <w:color w:val="auto"/>
                <w:kern w:val="2"/>
                <w:szCs w:val="21"/>
              </w:rPr>
              <w:t>.3</w:t>
            </w:r>
            <w:r>
              <w:rPr>
                <w:rFonts w:hint="eastAsia" w:ascii="宋体" w:hAnsi="宋体" w:eastAsia="宋体"/>
                <w:color w:val="auto"/>
                <w:kern w:val="2"/>
                <w:szCs w:val="21"/>
                <w:lang w:val="en-US" w:eastAsia="zh-CN"/>
              </w:rPr>
              <w:t>款</w:t>
            </w:r>
          </w:p>
        </w:tc>
        <w:tc>
          <w:tcPr>
            <w:tcW w:w="1742" w:type="dxa"/>
            <w:vAlign w:val="center"/>
          </w:tcPr>
          <w:p w14:paraId="3F654B34">
            <w:pPr>
              <w:widowControl w:val="0"/>
              <w:adjustRightInd w:val="0"/>
              <w:snapToGrid w:val="0"/>
              <w:spacing w:line="240" w:lineRule="auto"/>
              <w:jc w:val="left"/>
              <w:textAlignment w:val="auto"/>
              <w:rPr>
                <w:rFonts w:hint="eastAsia" w:ascii="宋体" w:hAnsi="宋体" w:eastAsia="宋体"/>
                <w:color w:val="auto"/>
                <w:kern w:val="2"/>
                <w:szCs w:val="21"/>
                <w:lang w:eastAsia="zh-CN"/>
              </w:rPr>
            </w:pPr>
            <w:r>
              <w:rPr>
                <w:rFonts w:hint="eastAsia" w:ascii="宋体" w:hAnsi="宋体" w:eastAsia="宋体"/>
                <w:color w:val="auto"/>
                <w:kern w:val="2"/>
                <w:szCs w:val="21"/>
                <w:lang w:eastAsia="zh-CN"/>
              </w:rPr>
              <w:t>保险要求</w:t>
            </w:r>
          </w:p>
        </w:tc>
        <w:tc>
          <w:tcPr>
            <w:tcW w:w="6112" w:type="dxa"/>
            <w:vAlign w:val="center"/>
          </w:tcPr>
          <w:p w14:paraId="02A6EB06">
            <w:pPr>
              <w:widowControl w:val="0"/>
              <w:spacing w:line="240" w:lineRule="auto"/>
              <w:textAlignment w:val="auto"/>
              <w:rPr>
                <w:rFonts w:hint="eastAsia" w:eastAsia="宋体"/>
                <w:color w:val="auto"/>
                <w:kern w:val="2"/>
                <w:szCs w:val="24"/>
              </w:rPr>
            </w:pPr>
          </w:p>
        </w:tc>
      </w:tr>
      <w:tr w14:paraId="5D2D61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78BA3A2">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第二节</w:t>
            </w:r>
          </w:p>
          <w:p w14:paraId="66F2A20E">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w:t>
            </w:r>
            <w:r>
              <w:rPr>
                <w:rFonts w:hint="eastAsia" w:ascii="宋体" w:hAnsi="宋体" w:eastAsia="宋体"/>
                <w:color w:val="auto"/>
                <w:kern w:val="2"/>
                <w:szCs w:val="21"/>
                <w:lang w:val="en-US" w:eastAsia="zh-CN"/>
              </w:rPr>
              <w:t>8</w:t>
            </w:r>
            <w:r>
              <w:rPr>
                <w:rFonts w:hint="eastAsia" w:ascii="宋体" w:hAnsi="宋体" w:eastAsia="宋体"/>
                <w:color w:val="auto"/>
                <w:kern w:val="2"/>
                <w:szCs w:val="21"/>
              </w:rPr>
              <w:t>.2（1）项</w:t>
            </w:r>
          </w:p>
        </w:tc>
        <w:tc>
          <w:tcPr>
            <w:tcW w:w="1742" w:type="dxa"/>
            <w:vAlign w:val="center"/>
          </w:tcPr>
          <w:p w14:paraId="29D5AF4E">
            <w:pPr>
              <w:widowControl w:val="0"/>
              <w:adjustRightInd w:val="0"/>
              <w:snapToGrid w:val="0"/>
              <w:spacing w:line="240" w:lineRule="auto"/>
              <w:jc w:val="left"/>
              <w:textAlignment w:val="auto"/>
              <w:rPr>
                <w:rFonts w:ascii="宋体" w:hAnsi="宋体" w:eastAsia="宋体"/>
                <w:color w:val="auto"/>
                <w:kern w:val="2"/>
                <w:szCs w:val="21"/>
              </w:rPr>
            </w:pPr>
            <w:r>
              <w:rPr>
                <w:rFonts w:hint="eastAsia" w:ascii="宋体" w:hAnsi="宋体" w:eastAsia="宋体"/>
                <w:color w:val="auto"/>
                <w:kern w:val="2"/>
                <w:szCs w:val="21"/>
              </w:rPr>
              <w:t>质量保证期</w:t>
            </w:r>
          </w:p>
        </w:tc>
        <w:tc>
          <w:tcPr>
            <w:tcW w:w="6112" w:type="dxa"/>
            <w:vAlign w:val="center"/>
          </w:tcPr>
          <w:p w14:paraId="7ECD0C65">
            <w:pPr>
              <w:widowControl w:val="0"/>
              <w:autoSpaceDE w:val="0"/>
              <w:autoSpaceDN w:val="0"/>
              <w:adjustRightInd w:val="0"/>
              <w:snapToGrid w:val="0"/>
              <w:spacing w:line="240" w:lineRule="auto"/>
              <w:ind w:firstLine="420" w:firstLineChars="200"/>
              <w:jc w:val="left"/>
              <w:textAlignment w:val="auto"/>
              <w:rPr>
                <w:rFonts w:ascii="宋体" w:hAnsi="宋体" w:eastAsia="宋体"/>
                <w:color w:val="auto"/>
                <w:kern w:val="2"/>
                <w:szCs w:val="21"/>
              </w:rPr>
            </w:pPr>
          </w:p>
        </w:tc>
      </w:tr>
      <w:tr w14:paraId="02A24B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C4B343">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第二节</w:t>
            </w:r>
          </w:p>
          <w:p w14:paraId="7ADEFEA3">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w:t>
            </w:r>
            <w:r>
              <w:rPr>
                <w:rFonts w:hint="eastAsia" w:ascii="宋体" w:hAnsi="宋体" w:eastAsia="宋体"/>
                <w:color w:val="auto"/>
                <w:kern w:val="2"/>
                <w:szCs w:val="21"/>
                <w:lang w:val="en-US" w:eastAsia="zh-CN"/>
              </w:rPr>
              <w:t>8</w:t>
            </w:r>
            <w:r>
              <w:rPr>
                <w:rFonts w:hint="eastAsia" w:ascii="宋体" w:hAnsi="宋体" w:eastAsia="宋体"/>
                <w:color w:val="auto"/>
                <w:kern w:val="2"/>
                <w:szCs w:val="21"/>
              </w:rPr>
              <w:t>.2（3）项</w:t>
            </w:r>
          </w:p>
        </w:tc>
        <w:tc>
          <w:tcPr>
            <w:tcW w:w="1742" w:type="dxa"/>
            <w:vAlign w:val="center"/>
          </w:tcPr>
          <w:p w14:paraId="65F577EB">
            <w:pPr>
              <w:widowControl w:val="0"/>
              <w:adjustRightInd w:val="0"/>
              <w:snapToGrid w:val="0"/>
              <w:spacing w:line="240" w:lineRule="auto"/>
              <w:jc w:val="left"/>
              <w:textAlignment w:val="auto"/>
              <w:rPr>
                <w:rFonts w:hint="eastAsia" w:ascii="宋体" w:hAnsi="宋体" w:eastAsia="宋体"/>
                <w:color w:val="auto"/>
                <w:kern w:val="2"/>
                <w:szCs w:val="21"/>
                <w:lang w:eastAsia="zh-CN"/>
              </w:rPr>
            </w:pPr>
            <w:r>
              <w:rPr>
                <w:rFonts w:hint="eastAsia" w:ascii="宋体" w:hAnsi="宋体" w:eastAsia="宋体"/>
                <w:color w:val="auto"/>
                <w:kern w:val="2"/>
                <w:szCs w:val="21"/>
                <w:lang w:eastAsia="zh-CN"/>
              </w:rPr>
              <w:t>货物质量缺陷</w:t>
            </w:r>
          </w:p>
          <w:p w14:paraId="6C19A2FE">
            <w:pPr>
              <w:widowControl w:val="0"/>
              <w:adjustRightInd w:val="0"/>
              <w:snapToGrid w:val="0"/>
              <w:spacing w:line="240" w:lineRule="auto"/>
              <w:jc w:val="left"/>
              <w:textAlignment w:val="auto"/>
              <w:rPr>
                <w:rFonts w:ascii="宋体" w:hAnsi="宋体" w:eastAsia="宋体"/>
                <w:color w:val="auto"/>
                <w:kern w:val="2"/>
                <w:szCs w:val="21"/>
              </w:rPr>
            </w:pPr>
            <w:r>
              <w:rPr>
                <w:rFonts w:hint="eastAsia" w:ascii="宋体" w:hAnsi="宋体" w:eastAsia="宋体"/>
                <w:color w:val="auto"/>
                <w:kern w:val="2"/>
                <w:szCs w:val="21"/>
              </w:rPr>
              <w:t>响应时间</w:t>
            </w:r>
          </w:p>
        </w:tc>
        <w:tc>
          <w:tcPr>
            <w:tcW w:w="6112" w:type="dxa"/>
            <w:vAlign w:val="center"/>
          </w:tcPr>
          <w:p w14:paraId="33CEBA7E">
            <w:pPr>
              <w:widowControl w:val="0"/>
              <w:adjustRightInd w:val="0"/>
              <w:snapToGrid w:val="0"/>
              <w:spacing w:line="240" w:lineRule="auto"/>
              <w:jc w:val="left"/>
              <w:textAlignment w:val="auto"/>
              <w:rPr>
                <w:rFonts w:ascii="宋体" w:hAnsi="宋体" w:eastAsia="宋体"/>
                <w:color w:val="auto"/>
                <w:kern w:val="2"/>
                <w:szCs w:val="21"/>
              </w:rPr>
            </w:pPr>
          </w:p>
        </w:tc>
      </w:tr>
      <w:tr w14:paraId="046E78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875B179">
            <w:pPr>
              <w:widowControl w:val="0"/>
              <w:snapToGrid w:val="0"/>
              <w:spacing w:line="240" w:lineRule="auto"/>
              <w:jc w:val="center"/>
              <w:textAlignment w:val="auto"/>
              <w:rPr>
                <w:rFonts w:hint="eastAsia" w:ascii="宋体" w:hAnsi="宋体" w:eastAsia="宋体" w:cs="宋体"/>
                <w:color w:val="auto"/>
                <w:kern w:val="2"/>
                <w:szCs w:val="21"/>
                <w:lang w:val="en-US" w:eastAsia="zh-CN"/>
              </w:rPr>
            </w:pPr>
            <w:r>
              <w:rPr>
                <w:rFonts w:hint="eastAsia" w:ascii="宋体" w:hAnsi="宋体" w:eastAsia="宋体" w:cs="宋体"/>
                <w:color w:val="auto"/>
                <w:kern w:val="2"/>
                <w:szCs w:val="21"/>
                <w:lang w:val="en-US" w:eastAsia="zh-CN"/>
              </w:rPr>
              <w:t>第二节</w:t>
            </w:r>
          </w:p>
          <w:p w14:paraId="2A7C5D52">
            <w:pPr>
              <w:autoSpaceDE w:val="0"/>
              <w:autoSpaceDN w:val="0"/>
              <w:adjustRightInd w:val="0"/>
              <w:spacing w:line="400" w:lineRule="exact"/>
              <w:ind w:firstLine="0" w:firstLineChars="0"/>
              <w:jc w:val="center"/>
              <w:rPr>
                <w:rFonts w:hint="default" w:ascii="华文楷体" w:hAnsi="华文楷体" w:eastAsia="华文楷体" w:cs="华文楷体"/>
                <w:color w:val="auto"/>
                <w:sz w:val="22"/>
                <w:szCs w:val="21"/>
                <w:lang w:val="en-US" w:eastAsia="zh-CN" w:bidi="ar-SA"/>
              </w:rPr>
            </w:pPr>
            <w:r>
              <w:rPr>
                <w:rFonts w:hint="eastAsia" w:ascii="宋体" w:hAnsi="宋体" w:eastAsia="宋体" w:cs="宋体"/>
                <w:color w:val="auto"/>
                <w:sz w:val="22"/>
                <w:szCs w:val="21"/>
                <w:lang w:val="en-US" w:eastAsia="zh-CN" w:bidi="ar-SA"/>
              </w:rPr>
              <w:t>第11.1款</w:t>
            </w:r>
          </w:p>
        </w:tc>
        <w:tc>
          <w:tcPr>
            <w:tcW w:w="1742" w:type="dxa"/>
            <w:vAlign w:val="center"/>
          </w:tcPr>
          <w:p w14:paraId="41FC2B89">
            <w:pPr>
              <w:widowControl w:val="0"/>
              <w:adjustRightInd w:val="0"/>
              <w:snapToGrid w:val="0"/>
              <w:spacing w:line="240" w:lineRule="auto"/>
              <w:jc w:val="both"/>
              <w:textAlignment w:val="auto"/>
              <w:rPr>
                <w:rFonts w:hint="default" w:ascii="宋体" w:hAnsi="宋体" w:eastAsia="宋体"/>
                <w:color w:val="auto"/>
                <w:kern w:val="2"/>
                <w:szCs w:val="21"/>
                <w:lang w:val="en-US" w:eastAsia="zh-CN"/>
              </w:rPr>
            </w:pPr>
            <w:r>
              <w:rPr>
                <w:rFonts w:hint="eastAsia" w:ascii="宋体" w:hAnsi="宋体" w:eastAsia="宋体"/>
                <w:color w:val="auto"/>
                <w:kern w:val="2"/>
                <w:szCs w:val="21"/>
                <w:lang w:val="en-US" w:eastAsia="zh-CN"/>
              </w:rPr>
              <w:t>其他应当保密的信息</w:t>
            </w:r>
          </w:p>
        </w:tc>
        <w:tc>
          <w:tcPr>
            <w:tcW w:w="6112" w:type="dxa"/>
            <w:vAlign w:val="center"/>
          </w:tcPr>
          <w:p w14:paraId="654CE3CD">
            <w:pPr>
              <w:widowControl w:val="0"/>
              <w:adjustRightInd w:val="0"/>
              <w:snapToGrid w:val="0"/>
              <w:spacing w:line="240" w:lineRule="auto"/>
              <w:jc w:val="left"/>
              <w:textAlignment w:val="auto"/>
              <w:rPr>
                <w:rFonts w:ascii="宋体" w:hAnsi="宋体" w:eastAsia="宋体"/>
                <w:color w:val="auto"/>
                <w:kern w:val="2"/>
                <w:szCs w:val="21"/>
              </w:rPr>
            </w:pPr>
          </w:p>
        </w:tc>
      </w:tr>
      <w:tr w14:paraId="0CD16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07C7284">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第二节</w:t>
            </w:r>
          </w:p>
          <w:p w14:paraId="1E849431">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第1</w:t>
            </w:r>
            <w:r>
              <w:rPr>
                <w:rFonts w:hint="eastAsia" w:ascii="宋体" w:hAnsi="宋体" w:eastAsia="宋体"/>
                <w:color w:val="auto"/>
                <w:kern w:val="2"/>
                <w:szCs w:val="21"/>
                <w:lang w:val="en-US" w:eastAsia="zh-CN"/>
              </w:rPr>
              <w:t>2</w:t>
            </w:r>
            <w:r>
              <w:rPr>
                <w:rFonts w:hint="eastAsia" w:ascii="宋体" w:hAnsi="宋体" w:eastAsia="宋体"/>
                <w:color w:val="auto"/>
                <w:kern w:val="2"/>
                <w:szCs w:val="21"/>
              </w:rPr>
              <w:t>.2款</w:t>
            </w:r>
          </w:p>
        </w:tc>
        <w:tc>
          <w:tcPr>
            <w:tcW w:w="1742" w:type="dxa"/>
            <w:vAlign w:val="center"/>
          </w:tcPr>
          <w:p w14:paraId="346E5A34">
            <w:pPr>
              <w:widowControl w:val="0"/>
              <w:adjustRightInd w:val="0"/>
              <w:snapToGrid w:val="0"/>
              <w:spacing w:line="240" w:lineRule="auto"/>
              <w:jc w:val="left"/>
              <w:textAlignment w:val="auto"/>
              <w:rPr>
                <w:rFonts w:hint="eastAsia" w:ascii="宋体" w:hAnsi="宋体" w:eastAsia="宋体"/>
                <w:color w:val="auto"/>
                <w:kern w:val="2"/>
                <w:szCs w:val="21"/>
                <w:lang w:eastAsia="zh-CN"/>
              </w:rPr>
            </w:pPr>
            <w:r>
              <w:rPr>
                <w:rFonts w:hint="eastAsia" w:ascii="宋体" w:hAnsi="宋体" w:eastAsia="宋体"/>
                <w:color w:val="auto"/>
                <w:kern w:val="2"/>
                <w:szCs w:val="21"/>
              </w:rPr>
              <w:t>合同价款支付</w:t>
            </w:r>
            <w:r>
              <w:rPr>
                <w:rFonts w:hint="eastAsia" w:ascii="宋体" w:hAnsi="宋体" w:eastAsia="宋体"/>
                <w:color w:val="auto"/>
                <w:kern w:val="2"/>
                <w:szCs w:val="21"/>
                <w:lang w:eastAsia="zh-CN"/>
              </w:rPr>
              <w:t>时间</w:t>
            </w:r>
          </w:p>
        </w:tc>
        <w:tc>
          <w:tcPr>
            <w:tcW w:w="6112" w:type="dxa"/>
            <w:vAlign w:val="center"/>
          </w:tcPr>
          <w:p w14:paraId="732DDD35">
            <w:pPr>
              <w:widowControl w:val="0"/>
              <w:adjustRightInd w:val="0"/>
              <w:snapToGrid w:val="0"/>
              <w:spacing w:line="240" w:lineRule="auto"/>
              <w:jc w:val="left"/>
              <w:textAlignment w:val="auto"/>
              <w:rPr>
                <w:rFonts w:ascii="宋体" w:hAnsi="宋体" w:eastAsia="宋体"/>
                <w:color w:val="auto"/>
                <w:kern w:val="2"/>
                <w:szCs w:val="21"/>
              </w:rPr>
            </w:pPr>
          </w:p>
        </w:tc>
      </w:tr>
      <w:tr w14:paraId="3C12CD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E094908">
            <w:pPr>
              <w:widowControl w:val="0"/>
              <w:adjustRightInd w:val="0"/>
              <w:snapToGrid w:val="0"/>
              <w:spacing w:line="240" w:lineRule="auto"/>
              <w:jc w:val="center"/>
              <w:textAlignment w:val="auto"/>
              <w:rPr>
                <w:rFonts w:hint="eastAsia" w:ascii="宋体" w:hAnsi="宋体" w:eastAsia="宋体"/>
                <w:color w:val="auto"/>
                <w:kern w:val="2"/>
                <w:szCs w:val="21"/>
              </w:rPr>
            </w:pPr>
            <w:r>
              <w:rPr>
                <w:rFonts w:hint="eastAsia" w:ascii="宋体" w:hAnsi="宋体" w:eastAsia="宋体"/>
                <w:color w:val="auto"/>
                <w:kern w:val="2"/>
                <w:szCs w:val="21"/>
              </w:rPr>
              <w:t>第二节</w:t>
            </w:r>
          </w:p>
          <w:p w14:paraId="09F6D720">
            <w:pPr>
              <w:widowControl w:val="0"/>
              <w:adjustRightInd w:val="0"/>
              <w:snapToGrid w:val="0"/>
              <w:spacing w:line="240" w:lineRule="auto"/>
              <w:jc w:val="center"/>
              <w:textAlignment w:val="auto"/>
              <w:rPr>
                <w:rFonts w:hint="eastAsia" w:ascii="宋体" w:hAnsi="宋体" w:eastAsia="宋体"/>
                <w:color w:val="auto"/>
                <w:kern w:val="2"/>
                <w:szCs w:val="21"/>
              </w:rPr>
            </w:pPr>
            <w:r>
              <w:rPr>
                <w:rFonts w:hint="eastAsia" w:ascii="宋体" w:hAnsi="宋体" w:eastAsia="宋体"/>
                <w:color w:val="auto"/>
                <w:kern w:val="2"/>
                <w:szCs w:val="21"/>
              </w:rPr>
              <w:t>第</w:t>
            </w:r>
            <w:r>
              <w:rPr>
                <w:rFonts w:hint="eastAsia" w:ascii="宋体" w:hAnsi="宋体" w:eastAsia="宋体"/>
                <w:color w:val="auto"/>
                <w:kern w:val="2"/>
                <w:szCs w:val="21"/>
                <w:lang w:val="en-US" w:eastAsia="zh-CN"/>
              </w:rPr>
              <w:t>13.2</w:t>
            </w:r>
            <w:r>
              <w:rPr>
                <w:rFonts w:hint="eastAsia" w:ascii="宋体" w:hAnsi="宋体" w:eastAsia="宋体"/>
                <w:color w:val="auto"/>
                <w:kern w:val="2"/>
                <w:szCs w:val="21"/>
              </w:rPr>
              <w:t>款</w:t>
            </w:r>
          </w:p>
        </w:tc>
        <w:tc>
          <w:tcPr>
            <w:tcW w:w="1742" w:type="dxa"/>
            <w:vAlign w:val="center"/>
          </w:tcPr>
          <w:p w14:paraId="05DE35D0">
            <w:pPr>
              <w:widowControl w:val="0"/>
              <w:adjustRightInd w:val="0"/>
              <w:snapToGrid w:val="0"/>
              <w:spacing w:line="240" w:lineRule="auto"/>
              <w:jc w:val="left"/>
              <w:textAlignment w:val="auto"/>
              <w:rPr>
                <w:rFonts w:hint="default" w:ascii="宋体" w:hAnsi="宋体" w:eastAsia="宋体"/>
                <w:color w:val="auto"/>
                <w:kern w:val="2"/>
                <w:szCs w:val="21"/>
                <w:lang w:val="en-US" w:eastAsia="zh-CN"/>
              </w:rPr>
            </w:pPr>
            <w:r>
              <w:rPr>
                <w:rFonts w:hint="eastAsia" w:ascii="宋体" w:hAnsi="宋体" w:eastAsia="宋体"/>
                <w:color w:val="auto"/>
                <w:kern w:val="2"/>
                <w:szCs w:val="21"/>
                <w:lang w:val="en-US" w:eastAsia="zh-CN"/>
              </w:rPr>
              <w:t>履约保证金不予退还的情形</w:t>
            </w:r>
          </w:p>
        </w:tc>
        <w:tc>
          <w:tcPr>
            <w:tcW w:w="6112" w:type="dxa"/>
            <w:vAlign w:val="center"/>
          </w:tcPr>
          <w:p w14:paraId="28113C90">
            <w:pPr>
              <w:widowControl w:val="0"/>
              <w:adjustRightInd w:val="0"/>
              <w:snapToGrid w:val="0"/>
              <w:spacing w:line="240" w:lineRule="auto"/>
              <w:jc w:val="left"/>
              <w:textAlignment w:val="auto"/>
              <w:rPr>
                <w:rFonts w:ascii="宋体" w:hAnsi="宋体" w:eastAsia="宋体"/>
                <w:color w:val="auto"/>
                <w:kern w:val="2"/>
                <w:szCs w:val="21"/>
              </w:rPr>
            </w:pPr>
          </w:p>
        </w:tc>
      </w:tr>
      <w:tr w14:paraId="115F63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0B973D">
            <w:pPr>
              <w:widowControl w:val="0"/>
              <w:adjustRightInd w:val="0"/>
              <w:snapToGrid w:val="0"/>
              <w:spacing w:line="240" w:lineRule="auto"/>
              <w:jc w:val="center"/>
              <w:textAlignment w:val="auto"/>
              <w:rPr>
                <w:rFonts w:hint="eastAsia" w:ascii="宋体" w:hAnsi="宋体" w:eastAsia="宋体"/>
                <w:color w:val="auto"/>
                <w:kern w:val="2"/>
                <w:szCs w:val="21"/>
              </w:rPr>
            </w:pPr>
            <w:r>
              <w:rPr>
                <w:rFonts w:hint="eastAsia" w:ascii="宋体" w:hAnsi="宋体" w:eastAsia="宋体"/>
                <w:color w:val="auto"/>
                <w:kern w:val="2"/>
                <w:szCs w:val="21"/>
              </w:rPr>
              <w:t>第二节</w:t>
            </w:r>
          </w:p>
          <w:p w14:paraId="247D70FD">
            <w:pPr>
              <w:widowControl w:val="0"/>
              <w:adjustRightInd w:val="0"/>
              <w:snapToGrid w:val="0"/>
              <w:spacing w:line="240" w:lineRule="auto"/>
              <w:jc w:val="center"/>
              <w:textAlignment w:val="auto"/>
              <w:rPr>
                <w:rFonts w:hint="eastAsia" w:ascii="宋体" w:hAnsi="宋体" w:eastAsia="宋体"/>
                <w:color w:val="auto"/>
                <w:kern w:val="2"/>
                <w:szCs w:val="21"/>
              </w:rPr>
            </w:pPr>
            <w:r>
              <w:rPr>
                <w:rFonts w:hint="eastAsia" w:ascii="宋体" w:hAnsi="宋体" w:eastAsia="宋体"/>
                <w:color w:val="auto"/>
                <w:kern w:val="2"/>
                <w:szCs w:val="21"/>
              </w:rPr>
              <w:t>第</w:t>
            </w:r>
            <w:r>
              <w:rPr>
                <w:rFonts w:hint="eastAsia" w:ascii="宋体" w:hAnsi="宋体" w:eastAsia="宋体"/>
                <w:color w:val="auto"/>
                <w:kern w:val="2"/>
                <w:szCs w:val="21"/>
                <w:lang w:val="en-US" w:eastAsia="zh-CN"/>
              </w:rPr>
              <w:t>13.3</w:t>
            </w:r>
            <w:r>
              <w:rPr>
                <w:rFonts w:hint="eastAsia" w:ascii="宋体" w:hAnsi="宋体" w:eastAsia="宋体"/>
                <w:color w:val="auto"/>
                <w:kern w:val="2"/>
                <w:szCs w:val="21"/>
              </w:rPr>
              <w:t>款</w:t>
            </w:r>
          </w:p>
        </w:tc>
        <w:tc>
          <w:tcPr>
            <w:tcW w:w="1742" w:type="dxa"/>
            <w:vAlign w:val="center"/>
          </w:tcPr>
          <w:p w14:paraId="04EA758D">
            <w:pPr>
              <w:widowControl w:val="0"/>
              <w:adjustRightInd w:val="0"/>
              <w:snapToGrid w:val="0"/>
              <w:spacing w:line="240" w:lineRule="auto"/>
              <w:jc w:val="left"/>
              <w:textAlignment w:val="auto"/>
              <w:rPr>
                <w:rFonts w:ascii="宋体" w:hAnsi="宋体" w:eastAsia="宋体"/>
                <w:color w:val="auto"/>
                <w:kern w:val="2"/>
                <w:szCs w:val="21"/>
              </w:rPr>
            </w:pPr>
            <w:r>
              <w:rPr>
                <w:rFonts w:hint="eastAsia" w:ascii="宋体" w:hAnsi="宋体" w:eastAsia="宋体"/>
                <w:color w:val="auto"/>
                <w:kern w:val="2"/>
                <w:szCs w:val="21"/>
              </w:rPr>
              <w:t>履约保证金退还时间及</w:t>
            </w:r>
            <w:r>
              <w:rPr>
                <w:rFonts w:hint="eastAsia" w:ascii="宋体" w:hAnsi="宋体" w:eastAsia="宋体"/>
                <w:color w:val="auto"/>
                <w:kern w:val="2"/>
                <w:szCs w:val="21"/>
                <w:lang w:eastAsia="zh-CN"/>
              </w:rPr>
              <w:t>逾期退还的</w:t>
            </w:r>
            <w:r>
              <w:rPr>
                <w:rFonts w:hint="eastAsia" w:ascii="宋体" w:hAnsi="宋体" w:eastAsia="宋体"/>
                <w:color w:val="auto"/>
                <w:kern w:val="2"/>
                <w:szCs w:val="21"/>
              </w:rPr>
              <w:t>违约金</w:t>
            </w:r>
          </w:p>
        </w:tc>
        <w:tc>
          <w:tcPr>
            <w:tcW w:w="6112" w:type="dxa"/>
            <w:vAlign w:val="center"/>
          </w:tcPr>
          <w:p w14:paraId="696F55A6">
            <w:pPr>
              <w:widowControl w:val="0"/>
              <w:adjustRightInd w:val="0"/>
              <w:snapToGrid w:val="0"/>
              <w:spacing w:line="240" w:lineRule="auto"/>
              <w:jc w:val="left"/>
              <w:textAlignment w:val="auto"/>
              <w:rPr>
                <w:rFonts w:ascii="宋体" w:hAnsi="宋体" w:eastAsia="宋体"/>
                <w:color w:val="auto"/>
                <w:kern w:val="2"/>
                <w:szCs w:val="21"/>
              </w:rPr>
            </w:pPr>
          </w:p>
        </w:tc>
      </w:tr>
      <w:tr w14:paraId="7D5EE3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3A8CEC7">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第二节</w:t>
            </w:r>
          </w:p>
          <w:p w14:paraId="52C93B2B">
            <w:pPr>
              <w:widowControl w:val="0"/>
              <w:adjustRightInd w:val="0"/>
              <w:snapToGrid w:val="0"/>
              <w:spacing w:line="240" w:lineRule="auto"/>
              <w:jc w:val="center"/>
              <w:textAlignment w:val="auto"/>
              <w:rPr>
                <w:rFonts w:hint="eastAsia" w:ascii="宋体" w:hAnsi="宋体" w:eastAsia="宋体"/>
                <w:color w:val="auto"/>
                <w:kern w:val="2"/>
                <w:szCs w:val="21"/>
              </w:rPr>
            </w:pPr>
            <w:r>
              <w:rPr>
                <w:rFonts w:hint="eastAsia" w:ascii="宋体" w:hAnsi="宋体" w:eastAsia="宋体"/>
                <w:color w:val="auto"/>
                <w:kern w:val="2"/>
                <w:szCs w:val="21"/>
              </w:rPr>
              <w:t>第1</w:t>
            </w:r>
            <w:r>
              <w:rPr>
                <w:rFonts w:hint="eastAsia" w:ascii="宋体" w:hAnsi="宋体" w:eastAsia="宋体"/>
                <w:color w:val="auto"/>
                <w:kern w:val="2"/>
                <w:szCs w:val="21"/>
                <w:lang w:val="en-US" w:eastAsia="zh-CN"/>
              </w:rPr>
              <w:t>4</w:t>
            </w:r>
            <w:r>
              <w:rPr>
                <w:rFonts w:hint="eastAsia" w:ascii="宋体" w:hAnsi="宋体" w:eastAsia="宋体"/>
                <w:color w:val="auto"/>
                <w:kern w:val="2"/>
                <w:szCs w:val="21"/>
              </w:rPr>
              <w:t>.1（</w:t>
            </w:r>
            <w:r>
              <w:rPr>
                <w:rFonts w:hint="eastAsia" w:ascii="宋体" w:hAnsi="宋体" w:eastAsia="宋体"/>
                <w:color w:val="auto"/>
                <w:kern w:val="2"/>
                <w:szCs w:val="21"/>
                <w:lang w:val="en-US" w:eastAsia="zh-CN"/>
              </w:rPr>
              <w:t>3</w:t>
            </w:r>
            <w:r>
              <w:rPr>
                <w:rFonts w:hint="eastAsia" w:ascii="宋体" w:hAnsi="宋体" w:eastAsia="宋体"/>
                <w:color w:val="auto"/>
                <w:kern w:val="2"/>
                <w:szCs w:val="21"/>
              </w:rPr>
              <w:t>）项</w:t>
            </w:r>
          </w:p>
        </w:tc>
        <w:tc>
          <w:tcPr>
            <w:tcW w:w="1742" w:type="dxa"/>
            <w:vAlign w:val="center"/>
          </w:tcPr>
          <w:p w14:paraId="1D710EDE">
            <w:pPr>
              <w:widowControl w:val="0"/>
              <w:adjustRightInd w:val="0"/>
              <w:snapToGrid w:val="0"/>
              <w:spacing w:line="240" w:lineRule="auto"/>
              <w:jc w:val="left"/>
              <w:textAlignment w:val="auto"/>
              <w:rPr>
                <w:rFonts w:hint="eastAsia" w:ascii="宋体" w:hAnsi="宋体" w:eastAsia="宋体"/>
                <w:color w:val="auto"/>
                <w:kern w:val="2"/>
                <w:szCs w:val="21"/>
                <w:lang w:val="en-US" w:eastAsia="zh-CN"/>
              </w:rPr>
            </w:pPr>
            <w:r>
              <w:rPr>
                <w:rFonts w:hint="eastAsia" w:ascii="宋体" w:hAnsi="宋体" w:eastAsia="宋体"/>
                <w:color w:val="auto"/>
                <w:kern w:val="2"/>
                <w:szCs w:val="21"/>
                <w:lang w:val="en-US" w:eastAsia="zh-CN"/>
              </w:rPr>
              <w:t>运行监督、维修期限</w:t>
            </w:r>
          </w:p>
        </w:tc>
        <w:tc>
          <w:tcPr>
            <w:tcW w:w="6112" w:type="dxa"/>
            <w:vAlign w:val="center"/>
          </w:tcPr>
          <w:p w14:paraId="60F41B23">
            <w:pPr>
              <w:widowControl w:val="0"/>
              <w:adjustRightInd w:val="0"/>
              <w:snapToGrid w:val="0"/>
              <w:spacing w:line="240" w:lineRule="auto"/>
              <w:jc w:val="left"/>
              <w:textAlignment w:val="auto"/>
              <w:rPr>
                <w:rFonts w:ascii="宋体" w:hAnsi="宋体" w:eastAsia="宋体"/>
                <w:color w:val="auto"/>
                <w:kern w:val="2"/>
                <w:szCs w:val="21"/>
              </w:rPr>
            </w:pPr>
          </w:p>
        </w:tc>
      </w:tr>
      <w:tr w14:paraId="30FC5A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7311710">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第二节</w:t>
            </w:r>
          </w:p>
          <w:p w14:paraId="082DFE3F">
            <w:pPr>
              <w:widowControl w:val="0"/>
              <w:adjustRightInd w:val="0"/>
              <w:snapToGrid w:val="0"/>
              <w:spacing w:line="240" w:lineRule="auto"/>
              <w:jc w:val="center"/>
              <w:textAlignment w:val="auto"/>
              <w:rPr>
                <w:rFonts w:hint="eastAsia" w:ascii="宋体" w:hAnsi="宋体" w:eastAsia="宋体"/>
                <w:color w:val="auto"/>
                <w:kern w:val="2"/>
                <w:szCs w:val="21"/>
              </w:rPr>
            </w:pPr>
            <w:r>
              <w:rPr>
                <w:rFonts w:hint="eastAsia" w:ascii="宋体" w:hAnsi="宋体" w:eastAsia="宋体"/>
                <w:color w:val="auto"/>
                <w:kern w:val="2"/>
                <w:szCs w:val="21"/>
              </w:rPr>
              <w:t>第1</w:t>
            </w:r>
            <w:r>
              <w:rPr>
                <w:rFonts w:hint="eastAsia" w:ascii="宋体" w:hAnsi="宋体" w:eastAsia="宋体"/>
                <w:color w:val="auto"/>
                <w:kern w:val="2"/>
                <w:szCs w:val="21"/>
                <w:lang w:val="en-US" w:eastAsia="zh-CN"/>
              </w:rPr>
              <w:t>4</w:t>
            </w:r>
            <w:r>
              <w:rPr>
                <w:rFonts w:hint="eastAsia" w:ascii="宋体" w:hAnsi="宋体" w:eastAsia="宋体"/>
                <w:color w:val="auto"/>
                <w:kern w:val="2"/>
                <w:szCs w:val="21"/>
              </w:rPr>
              <w:t>.1（</w:t>
            </w:r>
            <w:r>
              <w:rPr>
                <w:rFonts w:hint="eastAsia" w:ascii="宋体" w:hAnsi="宋体" w:eastAsia="宋体"/>
                <w:color w:val="auto"/>
                <w:kern w:val="2"/>
                <w:szCs w:val="21"/>
                <w:lang w:val="en-US" w:eastAsia="zh-CN"/>
              </w:rPr>
              <w:t>5</w:t>
            </w:r>
            <w:r>
              <w:rPr>
                <w:rFonts w:hint="eastAsia" w:ascii="宋体" w:hAnsi="宋体" w:eastAsia="宋体"/>
                <w:color w:val="auto"/>
                <w:kern w:val="2"/>
                <w:szCs w:val="21"/>
              </w:rPr>
              <w:t>）项</w:t>
            </w:r>
          </w:p>
        </w:tc>
        <w:tc>
          <w:tcPr>
            <w:tcW w:w="1742" w:type="dxa"/>
            <w:vAlign w:val="center"/>
          </w:tcPr>
          <w:p w14:paraId="1BCC9633">
            <w:pPr>
              <w:widowControl w:val="0"/>
              <w:adjustRightInd w:val="0"/>
              <w:snapToGrid w:val="0"/>
              <w:spacing w:line="240" w:lineRule="auto"/>
              <w:jc w:val="left"/>
              <w:textAlignment w:val="auto"/>
              <w:rPr>
                <w:rFonts w:hint="default" w:ascii="宋体" w:hAnsi="宋体" w:eastAsia="宋体"/>
                <w:color w:val="auto"/>
                <w:kern w:val="2"/>
                <w:szCs w:val="21"/>
                <w:lang w:val="en-US" w:eastAsia="zh-CN"/>
              </w:rPr>
            </w:pPr>
            <w:r>
              <w:rPr>
                <w:rFonts w:hint="eastAsia" w:ascii="宋体" w:hAnsi="宋体" w:eastAsia="宋体"/>
                <w:color w:val="auto"/>
                <w:kern w:val="2"/>
                <w:szCs w:val="21"/>
                <w:lang w:val="en-US" w:eastAsia="zh-CN"/>
              </w:rPr>
              <w:t>货物回收的约定</w:t>
            </w:r>
          </w:p>
        </w:tc>
        <w:tc>
          <w:tcPr>
            <w:tcW w:w="6112" w:type="dxa"/>
            <w:vAlign w:val="center"/>
          </w:tcPr>
          <w:p w14:paraId="54559F72">
            <w:pPr>
              <w:widowControl w:val="0"/>
              <w:adjustRightInd w:val="0"/>
              <w:snapToGrid w:val="0"/>
              <w:spacing w:line="240" w:lineRule="auto"/>
              <w:jc w:val="left"/>
              <w:textAlignment w:val="auto"/>
              <w:rPr>
                <w:rFonts w:ascii="宋体" w:hAnsi="宋体" w:eastAsia="宋体"/>
                <w:color w:val="auto"/>
                <w:kern w:val="2"/>
                <w:szCs w:val="21"/>
              </w:rPr>
            </w:pPr>
          </w:p>
        </w:tc>
      </w:tr>
      <w:tr w14:paraId="188795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98E516">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第二节</w:t>
            </w:r>
          </w:p>
          <w:p w14:paraId="284BD2E2">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第1</w:t>
            </w:r>
            <w:r>
              <w:rPr>
                <w:rFonts w:hint="eastAsia" w:ascii="宋体" w:hAnsi="宋体" w:eastAsia="宋体"/>
                <w:color w:val="auto"/>
                <w:kern w:val="2"/>
                <w:szCs w:val="21"/>
                <w:lang w:val="en-US" w:eastAsia="zh-CN"/>
              </w:rPr>
              <w:t>4</w:t>
            </w:r>
            <w:r>
              <w:rPr>
                <w:rFonts w:hint="eastAsia" w:ascii="宋体" w:hAnsi="宋体" w:eastAsia="宋体"/>
                <w:color w:val="auto"/>
                <w:kern w:val="2"/>
                <w:szCs w:val="21"/>
              </w:rPr>
              <w:t>.1（</w:t>
            </w:r>
            <w:r>
              <w:rPr>
                <w:rFonts w:hint="eastAsia" w:ascii="宋体" w:hAnsi="宋体" w:eastAsia="宋体"/>
                <w:color w:val="auto"/>
                <w:kern w:val="2"/>
                <w:szCs w:val="21"/>
                <w:lang w:val="en-US" w:eastAsia="zh-CN"/>
              </w:rPr>
              <w:t>6</w:t>
            </w:r>
            <w:r>
              <w:rPr>
                <w:rFonts w:hint="eastAsia" w:ascii="宋体" w:hAnsi="宋体" w:eastAsia="宋体"/>
                <w:color w:val="auto"/>
                <w:kern w:val="2"/>
                <w:szCs w:val="21"/>
              </w:rPr>
              <w:t>）项</w:t>
            </w:r>
          </w:p>
        </w:tc>
        <w:tc>
          <w:tcPr>
            <w:tcW w:w="1742" w:type="dxa"/>
            <w:vAlign w:val="center"/>
          </w:tcPr>
          <w:p w14:paraId="7E939134">
            <w:pPr>
              <w:widowControl w:val="0"/>
              <w:adjustRightInd w:val="0"/>
              <w:snapToGrid w:val="0"/>
              <w:spacing w:line="240" w:lineRule="auto"/>
              <w:jc w:val="left"/>
              <w:textAlignment w:val="auto"/>
              <w:rPr>
                <w:rFonts w:ascii="宋体" w:hAnsi="宋体" w:eastAsia="宋体"/>
                <w:color w:val="auto"/>
                <w:kern w:val="2"/>
                <w:szCs w:val="21"/>
              </w:rPr>
            </w:pPr>
            <w:r>
              <w:rPr>
                <w:rFonts w:hint="eastAsia" w:ascii="宋体" w:hAnsi="宋体" w:eastAsia="宋体"/>
                <w:color w:val="auto"/>
                <w:kern w:val="2"/>
                <w:szCs w:val="21"/>
              </w:rPr>
              <w:t>乙方提供的其他服务</w:t>
            </w:r>
          </w:p>
        </w:tc>
        <w:tc>
          <w:tcPr>
            <w:tcW w:w="6112" w:type="dxa"/>
            <w:vAlign w:val="center"/>
          </w:tcPr>
          <w:p w14:paraId="43975035">
            <w:pPr>
              <w:widowControl w:val="0"/>
              <w:adjustRightInd w:val="0"/>
              <w:snapToGrid w:val="0"/>
              <w:spacing w:line="240" w:lineRule="auto"/>
              <w:jc w:val="left"/>
              <w:textAlignment w:val="auto"/>
              <w:rPr>
                <w:rFonts w:ascii="宋体" w:hAnsi="宋体" w:eastAsia="宋体"/>
                <w:color w:val="auto"/>
                <w:kern w:val="2"/>
                <w:szCs w:val="21"/>
              </w:rPr>
            </w:pPr>
          </w:p>
        </w:tc>
      </w:tr>
      <w:tr w14:paraId="3281C3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036F12">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第二节</w:t>
            </w:r>
          </w:p>
          <w:p w14:paraId="22C8CD89">
            <w:pPr>
              <w:widowControl w:val="0"/>
              <w:adjustRightInd w:val="0"/>
              <w:snapToGrid w:val="0"/>
              <w:spacing w:line="240" w:lineRule="auto"/>
              <w:jc w:val="center"/>
              <w:textAlignment w:val="auto"/>
              <w:rPr>
                <w:rFonts w:hint="default" w:ascii="宋体" w:hAnsi="宋体" w:eastAsia="宋体"/>
                <w:color w:val="auto"/>
                <w:kern w:val="2"/>
                <w:szCs w:val="21"/>
                <w:lang w:val="en-US" w:eastAsia="zh-CN"/>
              </w:rPr>
            </w:pPr>
            <w:r>
              <w:rPr>
                <w:rFonts w:hint="eastAsia" w:ascii="宋体" w:hAnsi="宋体" w:eastAsia="宋体"/>
                <w:color w:val="auto"/>
                <w:kern w:val="2"/>
                <w:szCs w:val="21"/>
              </w:rPr>
              <w:t>第1</w:t>
            </w:r>
            <w:r>
              <w:rPr>
                <w:rFonts w:hint="eastAsia" w:ascii="宋体" w:hAnsi="宋体" w:eastAsia="宋体"/>
                <w:color w:val="auto"/>
                <w:kern w:val="2"/>
                <w:szCs w:val="21"/>
                <w:lang w:val="en-US" w:eastAsia="zh-CN"/>
              </w:rPr>
              <w:t>5</w:t>
            </w:r>
            <w:r>
              <w:rPr>
                <w:rFonts w:hint="eastAsia" w:ascii="宋体" w:hAnsi="宋体" w:eastAsia="宋体"/>
                <w:color w:val="auto"/>
                <w:kern w:val="2"/>
                <w:szCs w:val="21"/>
              </w:rPr>
              <w:t>.</w:t>
            </w:r>
            <w:r>
              <w:rPr>
                <w:rFonts w:hint="eastAsia" w:ascii="宋体" w:hAnsi="宋体" w:eastAsia="宋体"/>
                <w:color w:val="auto"/>
                <w:kern w:val="2"/>
                <w:szCs w:val="21"/>
                <w:lang w:val="en-US" w:eastAsia="zh-CN"/>
              </w:rPr>
              <w:t>1款</w:t>
            </w:r>
          </w:p>
        </w:tc>
        <w:tc>
          <w:tcPr>
            <w:tcW w:w="1742" w:type="dxa"/>
            <w:vAlign w:val="center"/>
          </w:tcPr>
          <w:p w14:paraId="6651144E">
            <w:pPr>
              <w:widowControl w:val="0"/>
              <w:adjustRightInd w:val="0"/>
              <w:snapToGrid w:val="0"/>
              <w:spacing w:line="240" w:lineRule="auto"/>
              <w:jc w:val="left"/>
              <w:textAlignment w:val="auto"/>
              <w:rPr>
                <w:rFonts w:hint="eastAsia" w:ascii="宋体" w:hAnsi="宋体" w:eastAsia="宋体"/>
                <w:color w:val="auto"/>
                <w:kern w:val="2"/>
                <w:szCs w:val="21"/>
              </w:rPr>
            </w:pPr>
            <w:r>
              <w:rPr>
                <w:rFonts w:hint="eastAsia" w:ascii="宋体" w:hAnsi="宋体" w:eastAsia="宋体"/>
                <w:color w:val="auto"/>
                <w:kern w:val="2"/>
                <w:szCs w:val="21"/>
                <w:highlight w:val="none"/>
                <w:lang w:eastAsia="zh-CN"/>
              </w:rPr>
              <w:t>修理、重作、更换相关具体规定</w:t>
            </w:r>
          </w:p>
        </w:tc>
        <w:tc>
          <w:tcPr>
            <w:tcW w:w="6112" w:type="dxa"/>
            <w:vAlign w:val="center"/>
          </w:tcPr>
          <w:p w14:paraId="436ED2BF">
            <w:pPr>
              <w:widowControl w:val="0"/>
              <w:adjustRightInd w:val="0"/>
              <w:snapToGrid w:val="0"/>
              <w:spacing w:line="240" w:lineRule="auto"/>
              <w:jc w:val="left"/>
              <w:textAlignment w:val="auto"/>
              <w:rPr>
                <w:rFonts w:ascii="宋体" w:hAnsi="宋体" w:eastAsia="宋体"/>
                <w:color w:val="auto"/>
                <w:kern w:val="2"/>
                <w:szCs w:val="21"/>
              </w:rPr>
            </w:pPr>
          </w:p>
        </w:tc>
      </w:tr>
      <w:tr w14:paraId="3F8F2E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3F94AD">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第二节</w:t>
            </w:r>
          </w:p>
          <w:p w14:paraId="04A11168">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第1</w:t>
            </w:r>
            <w:r>
              <w:rPr>
                <w:rFonts w:hint="eastAsia" w:ascii="宋体" w:hAnsi="宋体" w:eastAsia="宋体"/>
                <w:color w:val="auto"/>
                <w:kern w:val="2"/>
                <w:szCs w:val="21"/>
                <w:lang w:val="en-US" w:eastAsia="zh-CN"/>
              </w:rPr>
              <w:t>5</w:t>
            </w:r>
            <w:r>
              <w:rPr>
                <w:rFonts w:hint="eastAsia" w:ascii="宋体" w:hAnsi="宋体" w:eastAsia="宋体"/>
                <w:color w:val="auto"/>
                <w:kern w:val="2"/>
                <w:szCs w:val="21"/>
              </w:rPr>
              <w:t>.2（2）项</w:t>
            </w:r>
          </w:p>
        </w:tc>
        <w:tc>
          <w:tcPr>
            <w:tcW w:w="1742" w:type="dxa"/>
            <w:vAlign w:val="center"/>
          </w:tcPr>
          <w:p w14:paraId="5E1E478F">
            <w:pPr>
              <w:widowControl w:val="0"/>
              <w:adjustRightInd w:val="0"/>
              <w:snapToGrid w:val="0"/>
              <w:spacing w:line="240" w:lineRule="auto"/>
              <w:jc w:val="left"/>
              <w:textAlignment w:val="auto"/>
              <w:rPr>
                <w:rFonts w:ascii="宋体" w:hAnsi="宋体" w:eastAsia="宋体"/>
                <w:color w:val="auto"/>
                <w:kern w:val="2"/>
                <w:szCs w:val="21"/>
              </w:rPr>
            </w:pPr>
            <w:r>
              <w:rPr>
                <w:rFonts w:hint="eastAsia" w:ascii="宋体" w:hAnsi="宋体" w:eastAsia="宋体"/>
                <w:color w:val="auto"/>
                <w:kern w:val="2"/>
                <w:szCs w:val="21"/>
              </w:rPr>
              <w:t>迟延交货赔偿费</w:t>
            </w:r>
          </w:p>
        </w:tc>
        <w:tc>
          <w:tcPr>
            <w:tcW w:w="6112" w:type="dxa"/>
            <w:vAlign w:val="center"/>
          </w:tcPr>
          <w:p w14:paraId="4427C24D">
            <w:pPr>
              <w:widowControl w:val="0"/>
              <w:adjustRightInd w:val="0"/>
              <w:snapToGrid w:val="0"/>
              <w:spacing w:line="240" w:lineRule="auto"/>
              <w:jc w:val="left"/>
              <w:textAlignment w:val="auto"/>
              <w:rPr>
                <w:rFonts w:ascii="宋体" w:hAnsi="宋体" w:eastAsia="宋体"/>
                <w:color w:val="auto"/>
                <w:kern w:val="2"/>
                <w:szCs w:val="21"/>
                <w:u w:val="single"/>
              </w:rPr>
            </w:pPr>
          </w:p>
        </w:tc>
      </w:tr>
      <w:tr w14:paraId="62569C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333138">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第二节</w:t>
            </w:r>
          </w:p>
          <w:p w14:paraId="3B86D9AA">
            <w:pPr>
              <w:widowControl w:val="0"/>
              <w:adjustRightInd w:val="0"/>
              <w:snapToGrid w:val="0"/>
              <w:spacing w:line="240" w:lineRule="auto"/>
              <w:jc w:val="center"/>
              <w:textAlignment w:val="auto"/>
              <w:rPr>
                <w:rFonts w:hint="eastAsia" w:ascii="宋体" w:hAnsi="宋体" w:eastAsia="宋体"/>
                <w:color w:val="auto"/>
                <w:kern w:val="2"/>
                <w:szCs w:val="21"/>
              </w:rPr>
            </w:pPr>
            <w:r>
              <w:rPr>
                <w:rFonts w:hint="eastAsia" w:ascii="宋体" w:hAnsi="宋体" w:eastAsia="宋体"/>
                <w:color w:val="auto"/>
                <w:kern w:val="2"/>
                <w:szCs w:val="21"/>
              </w:rPr>
              <w:t>第1</w:t>
            </w:r>
            <w:r>
              <w:rPr>
                <w:rFonts w:hint="eastAsia" w:ascii="宋体" w:hAnsi="宋体" w:eastAsia="宋体"/>
                <w:color w:val="auto"/>
                <w:kern w:val="2"/>
                <w:szCs w:val="21"/>
                <w:lang w:val="en-US" w:eastAsia="zh-CN"/>
              </w:rPr>
              <w:t>5</w:t>
            </w:r>
            <w:r>
              <w:rPr>
                <w:rFonts w:hint="eastAsia" w:ascii="宋体" w:hAnsi="宋体" w:eastAsia="宋体"/>
                <w:color w:val="auto"/>
                <w:kern w:val="2"/>
                <w:szCs w:val="21"/>
              </w:rPr>
              <w:t>.</w:t>
            </w:r>
            <w:r>
              <w:rPr>
                <w:rFonts w:hint="eastAsia" w:ascii="宋体" w:hAnsi="宋体" w:eastAsia="宋体"/>
                <w:color w:val="auto"/>
                <w:kern w:val="2"/>
                <w:szCs w:val="21"/>
                <w:lang w:val="en-US" w:eastAsia="zh-CN"/>
              </w:rPr>
              <w:t>3款</w:t>
            </w:r>
          </w:p>
        </w:tc>
        <w:tc>
          <w:tcPr>
            <w:tcW w:w="1742" w:type="dxa"/>
            <w:vAlign w:val="center"/>
          </w:tcPr>
          <w:p w14:paraId="1FBA4C73">
            <w:pPr>
              <w:widowControl w:val="0"/>
              <w:adjustRightInd w:val="0"/>
              <w:snapToGrid w:val="0"/>
              <w:spacing w:line="240" w:lineRule="auto"/>
              <w:jc w:val="left"/>
              <w:textAlignment w:val="auto"/>
              <w:rPr>
                <w:rFonts w:hint="eastAsia" w:ascii="宋体" w:hAnsi="宋体" w:eastAsia="宋体"/>
                <w:color w:val="auto"/>
                <w:kern w:val="2"/>
                <w:szCs w:val="21"/>
              </w:rPr>
            </w:pPr>
            <w:r>
              <w:rPr>
                <w:rFonts w:hint="eastAsia" w:ascii="宋体" w:hAnsi="宋体" w:eastAsia="宋体"/>
                <w:color w:val="auto"/>
                <w:kern w:val="2"/>
                <w:szCs w:val="21"/>
              </w:rPr>
              <w:t>逾期付款利息</w:t>
            </w:r>
          </w:p>
        </w:tc>
        <w:tc>
          <w:tcPr>
            <w:tcW w:w="6112" w:type="dxa"/>
            <w:vAlign w:val="center"/>
          </w:tcPr>
          <w:p w14:paraId="6A542230">
            <w:pPr>
              <w:widowControl w:val="0"/>
              <w:adjustRightInd w:val="0"/>
              <w:snapToGrid w:val="0"/>
              <w:spacing w:line="240" w:lineRule="auto"/>
              <w:jc w:val="left"/>
              <w:textAlignment w:val="auto"/>
              <w:rPr>
                <w:rFonts w:ascii="宋体" w:hAnsi="宋体" w:eastAsia="宋体"/>
                <w:color w:val="auto"/>
                <w:kern w:val="2"/>
                <w:szCs w:val="21"/>
                <w:u w:val="single"/>
              </w:rPr>
            </w:pPr>
          </w:p>
        </w:tc>
      </w:tr>
      <w:tr w14:paraId="7FCF35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4973DA7">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第二节</w:t>
            </w:r>
          </w:p>
          <w:p w14:paraId="3DEF66F8">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第1</w:t>
            </w:r>
            <w:r>
              <w:rPr>
                <w:rFonts w:hint="eastAsia" w:ascii="宋体" w:hAnsi="宋体" w:eastAsia="宋体"/>
                <w:color w:val="auto"/>
                <w:kern w:val="2"/>
                <w:szCs w:val="21"/>
                <w:lang w:val="en-US" w:eastAsia="zh-CN"/>
              </w:rPr>
              <w:t>5</w:t>
            </w:r>
            <w:r>
              <w:rPr>
                <w:rFonts w:hint="eastAsia" w:ascii="宋体" w:hAnsi="宋体" w:eastAsia="宋体"/>
                <w:color w:val="auto"/>
                <w:kern w:val="2"/>
                <w:szCs w:val="21"/>
              </w:rPr>
              <w:t>.4</w:t>
            </w:r>
            <w:r>
              <w:rPr>
                <w:rFonts w:hint="eastAsia" w:ascii="宋体" w:hAnsi="宋体" w:eastAsia="宋体"/>
                <w:color w:val="auto"/>
                <w:kern w:val="2"/>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3E058A3C">
            <w:pPr>
              <w:widowControl w:val="0"/>
              <w:adjustRightInd w:val="0"/>
              <w:snapToGrid w:val="0"/>
              <w:spacing w:line="240" w:lineRule="auto"/>
              <w:jc w:val="left"/>
              <w:textAlignment w:val="auto"/>
              <w:rPr>
                <w:rFonts w:ascii="宋体" w:hAnsi="宋体" w:eastAsia="宋体"/>
                <w:color w:val="auto"/>
                <w:kern w:val="2"/>
                <w:szCs w:val="21"/>
              </w:rPr>
            </w:pPr>
            <w:r>
              <w:rPr>
                <w:rFonts w:hint="eastAsia" w:ascii="宋体" w:hAnsi="宋体" w:eastAsia="宋体"/>
                <w:color w:val="auto"/>
                <w:kern w:val="2"/>
                <w:szCs w:val="21"/>
              </w:rPr>
              <w:t>其他违约责任</w:t>
            </w:r>
          </w:p>
        </w:tc>
        <w:tc>
          <w:tcPr>
            <w:tcW w:w="6112" w:type="dxa"/>
            <w:tcBorders>
              <w:left w:val="single" w:color="auto" w:sz="2" w:space="0"/>
              <w:bottom w:val="single" w:color="auto" w:sz="2" w:space="0"/>
            </w:tcBorders>
            <w:vAlign w:val="center"/>
          </w:tcPr>
          <w:p w14:paraId="5B0E2746">
            <w:pPr>
              <w:widowControl w:val="0"/>
              <w:adjustRightInd w:val="0"/>
              <w:snapToGrid w:val="0"/>
              <w:spacing w:line="240" w:lineRule="auto"/>
              <w:jc w:val="left"/>
              <w:textAlignment w:val="auto"/>
              <w:rPr>
                <w:rFonts w:ascii="宋体" w:hAnsi="宋体" w:eastAsia="宋体"/>
                <w:color w:val="auto"/>
                <w:kern w:val="2"/>
                <w:szCs w:val="21"/>
                <w:u w:val="single"/>
              </w:rPr>
            </w:pPr>
          </w:p>
        </w:tc>
      </w:tr>
      <w:tr w14:paraId="32E15A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10666A6">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第二节</w:t>
            </w:r>
          </w:p>
          <w:p w14:paraId="7287ED2E">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w:t>
            </w:r>
            <w:r>
              <w:rPr>
                <w:rFonts w:hint="eastAsia" w:ascii="宋体" w:hAnsi="宋体" w:eastAsia="宋体"/>
                <w:color w:val="auto"/>
                <w:kern w:val="2"/>
                <w:szCs w:val="21"/>
                <w:lang w:val="en-US" w:eastAsia="zh-CN"/>
              </w:rPr>
              <w:t>19</w:t>
            </w:r>
            <w:r>
              <w:rPr>
                <w:rFonts w:hint="eastAsia" w:ascii="宋体" w:hAnsi="宋体" w:eastAsia="宋体"/>
                <w:color w:val="auto"/>
                <w:kern w:val="2"/>
                <w:szCs w:val="21"/>
              </w:rPr>
              <w:t>.2</w:t>
            </w:r>
            <w:r>
              <w:rPr>
                <w:rFonts w:hint="eastAsia" w:ascii="宋体" w:hAnsi="宋体" w:eastAsia="宋体"/>
                <w:color w:val="auto"/>
                <w:kern w:val="2"/>
                <w:szCs w:val="21"/>
                <w:lang w:val="en-US" w:eastAsia="zh-CN"/>
              </w:rPr>
              <w:t>款</w:t>
            </w:r>
          </w:p>
        </w:tc>
        <w:tc>
          <w:tcPr>
            <w:tcW w:w="1742" w:type="dxa"/>
            <w:tcBorders>
              <w:top w:val="single" w:color="auto" w:sz="2" w:space="0"/>
              <w:left w:val="single" w:color="auto" w:sz="2" w:space="0"/>
              <w:right w:val="single" w:color="auto" w:sz="2" w:space="0"/>
            </w:tcBorders>
            <w:vAlign w:val="center"/>
          </w:tcPr>
          <w:p w14:paraId="34CA3FAE">
            <w:pPr>
              <w:widowControl w:val="0"/>
              <w:adjustRightInd w:val="0"/>
              <w:snapToGrid w:val="0"/>
              <w:spacing w:line="240" w:lineRule="auto"/>
              <w:jc w:val="left"/>
              <w:textAlignment w:val="auto"/>
              <w:rPr>
                <w:rFonts w:ascii="宋体" w:hAnsi="宋体" w:eastAsia="宋体"/>
                <w:color w:val="auto"/>
                <w:kern w:val="2"/>
                <w:szCs w:val="21"/>
              </w:rPr>
            </w:pPr>
            <w:r>
              <w:rPr>
                <w:rFonts w:hint="eastAsia" w:ascii="宋体" w:hAnsi="宋体" w:eastAsia="宋体"/>
                <w:color w:val="auto"/>
                <w:kern w:val="2"/>
                <w:szCs w:val="21"/>
                <w:lang w:val="en-US" w:eastAsia="zh-CN"/>
              </w:rPr>
              <w:t>解决争议的方法</w:t>
            </w:r>
          </w:p>
        </w:tc>
        <w:tc>
          <w:tcPr>
            <w:tcW w:w="6112" w:type="dxa"/>
            <w:tcBorders>
              <w:top w:val="single" w:color="auto" w:sz="2" w:space="0"/>
              <w:left w:val="single" w:color="auto" w:sz="2" w:space="0"/>
            </w:tcBorders>
            <w:vAlign w:val="center"/>
          </w:tcPr>
          <w:p w14:paraId="07CF8127">
            <w:pPr>
              <w:widowControl w:val="0"/>
              <w:autoSpaceDE w:val="0"/>
              <w:autoSpaceDN w:val="0"/>
              <w:adjustRightInd w:val="0"/>
              <w:snapToGrid w:val="0"/>
              <w:spacing w:line="400" w:lineRule="exact"/>
              <w:jc w:val="left"/>
              <w:textAlignment w:val="auto"/>
              <w:rPr>
                <w:rFonts w:hint="eastAsia" w:ascii="宋体" w:hAnsi="宋体" w:eastAsia="宋体" w:cs="宋体"/>
                <w:b w:val="0"/>
                <w:bCs w:val="0"/>
                <w:iCs/>
                <w:color w:val="auto"/>
                <w:kern w:val="2"/>
                <w:szCs w:val="21"/>
              </w:rPr>
            </w:pPr>
            <w:r>
              <w:rPr>
                <w:rFonts w:hint="eastAsia" w:ascii="宋体" w:hAnsi="宋体" w:eastAsia="宋体" w:cs="宋体"/>
                <w:b w:val="0"/>
                <w:bCs w:val="0"/>
                <w:iCs/>
                <w:color w:val="auto"/>
                <w:kern w:val="2"/>
                <w:szCs w:val="21"/>
              </w:rPr>
              <w:t>因本合同及合同有关事项发生的争议，按下列第</w:t>
            </w:r>
            <w:r>
              <w:rPr>
                <w:rFonts w:hint="eastAsia" w:ascii="宋体" w:hAnsi="宋体" w:eastAsia="宋体" w:cs="宋体"/>
                <w:b w:val="0"/>
                <w:bCs w:val="0"/>
                <w:iCs/>
                <w:color w:val="auto"/>
                <w:kern w:val="2"/>
                <w:szCs w:val="21"/>
                <w:u w:val="single"/>
              </w:rPr>
              <w:t xml:space="preserve">   </w:t>
            </w:r>
            <w:r>
              <w:rPr>
                <w:rFonts w:hint="eastAsia" w:ascii="宋体" w:hAnsi="宋体" w:eastAsia="宋体" w:cs="宋体"/>
                <w:b w:val="0"/>
                <w:bCs w:val="0"/>
                <w:iCs/>
                <w:color w:val="auto"/>
                <w:kern w:val="2"/>
                <w:szCs w:val="21"/>
              </w:rPr>
              <w:t>种方式解决：</w:t>
            </w:r>
          </w:p>
          <w:p w14:paraId="3002D34E">
            <w:pPr>
              <w:widowControl w:val="0"/>
              <w:autoSpaceDE w:val="0"/>
              <w:autoSpaceDN w:val="0"/>
              <w:adjustRightInd w:val="0"/>
              <w:snapToGrid w:val="0"/>
              <w:spacing w:line="400" w:lineRule="exact"/>
              <w:jc w:val="left"/>
              <w:textAlignment w:val="auto"/>
              <w:rPr>
                <w:rFonts w:hint="eastAsia" w:ascii="宋体" w:hAnsi="宋体" w:eastAsia="宋体" w:cs="宋体"/>
                <w:b w:val="0"/>
                <w:bCs w:val="0"/>
                <w:iCs/>
                <w:color w:val="auto"/>
                <w:kern w:val="2"/>
                <w:szCs w:val="21"/>
              </w:rPr>
            </w:pPr>
            <w:r>
              <w:rPr>
                <w:rFonts w:hint="eastAsia" w:ascii="宋体" w:hAnsi="宋体" w:eastAsia="宋体" w:cs="宋体"/>
                <w:b w:val="0"/>
                <w:bCs w:val="0"/>
                <w:iCs/>
                <w:color w:val="auto"/>
                <w:kern w:val="2"/>
                <w:szCs w:val="21"/>
              </w:rPr>
              <w:t>（1）向</w:t>
            </w:r>
            <w:r>
              <w:rPr>
                <w:rFonts w:hint="eastAsia" w:ascii="宋体" w:hAnsi="宋体" w:eastAsia="宋体" w:cs="宋体"/>
                <w:b w:val="0"/>
                <w:bCs w:val="0"/>
                <w:iCs/>
                <w:color w:val="auto"/>
                <w:kern w:val="2"/>
                <w:szCs w:val="21"/>
                <w:u w:val="single"/>
              </w:rPr>
              <w:t xml:space="preserve">                    </w:t>
            </w:r>
            <w:r>
              <w:rPr>
                <w:rFonts w:hint="eastAsia" w:ascii="宋体" w:hAnsi="宋体" w:eastAsia="宋体" w:cs="宋体"/>
                <w:b w:val="0"/>
                <w:bCs w:val="0"/>
                <w:iCs/>
                <w:color w:val="auto"/>
                <w:kern w:val="2"/>
                <w:szCs w:val="21"/>
              </w:rPr>
              <w:t>仲裁委员会申请仲裁，仲裁地点为</w:t>
            </w:r>
            <w:r>
              <w:rPr>
                <w:rFonts w:hint="eastAsia" w:ascii="宋体" w:hAnsi="宋体" w:eastAsia="宋体" w:cs="宋体"/>
                <w:b w:val="0"/>
                <w:bCs w:val="0"/>
                <w:iCs/>
                <w:color w:val="auto"/>
                <w:kern w:val="2"/>
                <w:szCs w:val="21"/>
                <w:u w:val="single"/>
              </w:rPr>
              <w:t xml:space="preserve">           </w:t>
            </w:r>
            <w:r>
              <w:rPr>
                <w:rFonts w:hint="eastAsia" w:ascii="宋体" w:hAnsi="宋体" w:eastAsia="宋体" w:cs="宋体"/>
                <w:b w:val="0"/>
                <w:bCs w:val="0"/>
                <w:iCs/>
                <w:color w:val="auto"/>
                <w:kern w:val="2"/>
                <w:szCs w:val="21"/>
              </w:rPr>
              <w:t>；</w:t>
            </w:r>
          </w:p>
          <w:p w14:paraId="129E7022">
            <w:pPr>
              <w:widowControl w:val="0"/>
              <w:adjustRightInd w:val="0"/>
              <w:snapToGrid w:val="0"/>
              <w:spacing w:line="240" w:lineRule="auto"/>
              <w:ind w:firstLine="0" w:firstLineChars="0"/>
              <w:jc w:val="left"/>
              <w:textAlignment w:val="auto"/>
              <w:rPr>
                <w:rFonts w:ascii="宋体" w:hAnsi="宋体" w:eastAsia="宋体"/>
                <w:color w:val="auto"/>
                <w:kern w:val="2"/>
                <w:szCs w:val="21"/>
                <w:u w:val="single"/>
              </w:rPr>
            </w:pPr>
            <w:r>
              <w:rPr>
                <w:rFonts w:hint="eastAsia" w:ascii="宋体" w:hAnsi="宋体" w:eastAsia="宋体" w:cs="宋体"/>
                <w:b w:val="0"/>
                <w:bCs w:val="0"/>
                <w:iCs/>
                <w:color w:val="auto"/>
                <w:kern w:val="2"/>
                <w:szCs w:val="21"/>
              </w:rPr>
              <w:t>（2）向</w:t>
            </w:r>
            <w:r>
              <w:rPr>
                <w:rFonts w:hint="eastAsia" w:ascii="宋体" w:hAnsi="宋体" w:eastAsia="宋体" w:cs="宋体"/>
                <w:b w:val="0"/>
                <w:bCs w:val="0"/>
                <w:iCs/>
                <w:color w:val="auto"/>
                <w:kern w:val="2"/>
                <w:szCs w:val="21"/>
                <w:u w:val="single"/>
              </w:rPr>
              <w:t xml:space="preserve">                    </w:t>
            </w:r>
            <w:r>
              <w:rPr>
                <w:rFonts w:hint="eastAsia" w:ascii="宋体" w:hAnsi="宋体" w:eastAsia="宋体" w:cs="宋体"/>
                <w:b w:val="0"/>
                <w:bCs w:val="0"/>
                <w:iCs/>
                <w:color w:val="auto"/>
                <w:kern w:val="2"/>
                <w:szCs w:val="21"/>
              </w:rPr>
              <w:t>人民法院起诉。</w:t>
            </w:r>
          </w:p>
        </w:tc>
      </w:tr>
      <w:tr w14:paraId="1469F2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41BA834">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第二节</w:t>
            </w:r>
          </w:p>
          <w:p w14:paraId="1F79AE0E">
            <w:pPr>
              <w:widowControl w:val="0"/>
              <w:adjustRightInd w:val="0"/>
              <w:snapToGrid w:val="0"/>
              <w:spacing w:line="240" w:lineRule="auto"/>
              <w:jc w:val="center"/>
              <w:textAlignment w:val="auto"/>
              <w:rPr>
                <w:rFonts w:ascii="宋体" w:hAnsi="宋体" w:eastAsia="宋体"/>
                <w:color w:val="auto"/>
                <w:kern w:val="2"/>
                <w:szCs w:val="21"/>
              </w:rPr>
            </w:pPr>
            <w:r>
              <w:rPr>
                <w:rFonts w:hint="eastAsia" w:ascii="宋体" w:hAnsi="宋体" w:eastAsia="宋体"/>
                <w:color w:val="auto"/>
                <w:kern w:val="2"/>
                <w:szCs w:val="21"/>
              </w:rPr>
              <w:t>第2</w:t>
            </w:r>
            <w:r>
              <w:rPr>
                <w:rFonts w:hint="eastAsia" w:ascii="宋体" w:hAnsi="宋体" w:eastAsia="宋体"/>
                <w:color w:val="auto"/>
                <w:kern w:val="2"/>
                <w:szCs w:val="21"/>
                <w:lang w:val="en-US" w:eastAsia="zh-CN"/>
              </w:rPr>
              <w:t>3.1</w:t>
            </w:r>
            <w:r>
              <w:rPr>
                <w:rFonts w:hint="eastAsia" w:ascii="宋体" w:hAnsi="宋体" w:eastAsia="宋体"/>
                <w:color w:val="auto"/>
                <w:kern w:val="2"/>
                <w:szCs w:val="21"/>
                <w:lang w:eastAsia="zh-CN"/>
              </w:rPr>
              <w:t>款</w:t>
            </w:r>
          </w:p>
        </w:tc>
        <w:tc>
          <w:tcPr>
            <w:tcW w:w="1742" w:type="dxa"/>
            <w:vAlign w:val="center"/>
          </w:tcPr>
          <w:p w14:paraId="682FA910">
            <w:pPr>
              <w:widowControl w:val="0"/>
              <w:adjustRightInd w:val="0"/>
              <w:snapToGrid w:val="0"/>
              <w:spacing w:line="240" w:lineRule="auto"/>
              <w:jc w:val="left"/>
              <w:textAlignment w:val="auto"/>
              <w:rPr>
                <w:rFonts w:ascii="宋体" w:hAnsi="宋体" w:eastAsia="宋体"/>
                <w:color w:val="auto"/>
                <w:kern w:val="2"/>
                <w:szCs w:val="21"/>
              </w:rPr>
            </w:pPr>
            <w:r>
              <w:rPr>
                <w:rFonts w:hint="eastAsia" w:ascii="宋体" w:hAnsi="宋体" w:eastAsia="宋体"/>
                <w:bCs/>
                <w:color w:val="auto"/>
                <w:kern w:val="2"/>
                <w:szCs w:val="21"/>
                <w:highlight w:val="none"/>
                <w:lang w:eastAsia="zh-CN"/>
              </w:rPr>
              <w:t>其他专用条款</w:t>
            </w:r>
          </w:p>
        </w:tc>
        <w:tc>
          <w:tcPr>
            <w:tcW w:w="6112" w:type="dxa"/>
            <w:vAlign w:val="center"/>
          </w:tcPr>
          <w:p w14:paraId="56F5AF01">
            <w:pPr>
              <w:widowControl w:val="0"/>
              <w:adjustRightInd w:val="0"/>
              <w:snapToGrid w:val="0"/>
              <w:spacing w:line="240" w:lineRule="auto"/>
              <w:jc w:val="left"/>
              <w:textAlignment w:val="auto"/>
              <w:rPr>
                <w:rFonts w:hint="default" w:ascii="宋体" w:hAnsi="宋体" w:eastAsia="宋体"/>
                <w:color w:val="auto"/>
                <w:kern w:val="2"/>
                <w:szCs w:val="21"/>
                <w:lang w:val="en-US" w:eastAsia="zh-CN"/>
              </w:rPr>
            </w:pPr>
          </w:p>
        </w:tc>
      </w:tr>
    </w:tbl>
    <w:p w14:paraId="657EF08E">
      <w:pPr>
        <w:pStyle w:val="46"/>
        <w:rPr>
          <w:rFonts w:hint="eastAsia" w:ascii="仿宋_GB2312" w:hAnsi="仿宋_GB2312" w:eastAsia="仿宋_GB2312" w:cs="仿宋_GB2312"/>
          <w:color w:val="auto"/>
          <w:kern w:val="2"/>
          <w:sz w:val="32"/>
          <w:szCs w:val="32"/>
          <w:lang w:val="en-US" w:eastAsia="zh-CN"/>
        </w:rPr>
      </w:pPr>
    </w:p>
    <w:p w14:paraId="184F4666">
      <w:pPr>
        <w:pStyle w:val="46"/>
        <w:rPr>
          <w:rFonts w:hint="eastAsia" w:ascii="仿宋_GB2312" w:hAnsi="仿宋_GB2312" w:eastAsia="仿宋_GB2312" w:cs="仿宋_GB2312"/>
          <w:color w:val="auto"/>
          <w:kern w:val="2"/>
          <w:sz w:val="32"/>
          <w:szCs w:val="32"/>
          <w:lang w:val="en-US" w:eastAsia="zh-CN"/>
        </w:rPr>
      </w:pPr>
    </w:p>
    <w:p w14:paraId="119962B6">
      <w:pPr>
        <w:pStyle w:val="46"/>
        <w:rPr>
          <w:rFonts w:hint="eastAsia" w:ascii="仿宋_GB2312" w:hAnsi="仿宋_GB2312" w:eastAsia="仿宋_GB2312" w:cs="仿宋_GB2312"/>
          <w:color w:val="auto"/>
          <w:kern w:val="2"/>
          <w:sz w:val="32"/>
          <w:szCs w:val="32"/>
          <w:lang w:val="en-US" w:eastAsia="zh-CN"/>
        </w:rPr>
      </w:pPr>
    </w:p>
    <w:p w14:paraId="26C0A680">
      <w:pPr>
        <w:pStyle w:val="46"/>
        <w:rPr>
          <w:rFonts w:hint="eastAsia" w:ascii="仿宋_GB2312" w:hAnsi="仿宋_GB2312" w:eastAsia="仿宋_GB2312" w:cs="仿宋_GB2312"/>
          <w:color w:val="auto"/>
          <w:kern w:val="2"/>
          <w:sz w:val="32"/>
          <w:szCs w:val="32"/>
          <w:lang w:val="en-US" w:eastAsia="zh-CN"/>
        </w:rPr>
      </w:pPr>
    </w:p>
    <w:p w14:paraId="36C58595">
      <w:pPr>
        <w:pStyle w:val="46"/>
        <w:rPr>
          <w:rFonts w:hint="eastAsia" w:ascii="仿宋_GB2312" w:hAnsi="仿宋_GB2312" w:eastAsia="仿宋_GB2312" w:cs="仿宋_GB2312"/>
          <w:color w:val="auto"/>
          <w:kern w:val="2"/>
          <w:sz w:val="32"/>
          <w:szCs w:val="32"/>
          <w:lang w:val="en-US" w:eastAsia="zh-CN"/>
        </w:rPr>
      </w:pPr>
    </w:p>
    <w:p w14:paraId="73A84F89">
      <w:pPr>
        <w:pStyle w:val="46"/>
        <w:rPr>
          <w:rFonts w:hint="eastAsia" w:ascii="仿宋_GB2312" w:hAnsi="仿宋_GB2312" w:eastAsia="仿宋_GB2312" w:cs="仿宋_GB2312"/>
          <w:color w:val="auto"/>
          <w:kern w:val="2"/>
          <w:sz w:val="32"/>
          <w:szCs w:val="32"/>
          <w:lang w:val="en-US" w:eastAsia="zh-CN"/>
        </w:rPr>
      </w:pPr>
    </w:p>
    <w:p w14:paraId="2AB37E14">
      <w:pPr>
        <w:pStyle w:val="46"/>
        <w:rPr>
          <w:rFonts w:hint="eastAsia" w:ascii="仿宋_GB2312" w:hAnsi="仿宋_GB2312" w:eastAsia="仿宋_GB2312" w:cs="仿宋_GB2312"/>
          <w:color w:val="auto"/>
          <w:kern w:val="2"/>
          <w:sz w:val="32"/>
          <w:szCs w:val="32"/>
          <w:lang w:val="en-US" w:eastAsia="zh-CN"/>
        </w:rPr>
      </w:pPr>
    </w:p>
    <w:p w14:paraId="12C02653">
      <w:pPr>
        <w:pStyle w:val="46"/>
        <w:rPr>
          <w:rFonts w:hint="eastAsia" w:ascii="仿宋_GB2312" w:hAnsi="仿宋_GB2312" w:eastAsia="仿宋_GB2312" w:cs="仿宋_GB2312"/>
          <w:color w:val="auto"/>
          <w:kern w:val="2"/>
          <w:sz w:val="32"/>
          <w:szCs w:val="32"/>
          <w:lang w:val="en-US" w:eastAsia="zh-CN"/>
        </w:rPr>
      </w:pPr>
    </w:p>
    <w:p w14:paraId="681359C5">
      <w:pPr>
        <w:pStyle w:val="46"/>
        <w:rPr>
          <w:rFonts w:hint="eastAsia" w:ascii="仿宋_GB2312" w:hAnsi="仿宋_GB2312" w:eastAsia="仿宋_GB2312" w:cs="仿宋_GB2312"/>
          <w:color w:val="auto"/>
          <w:kern w:val="2"/>
          <w:sz w:val="32"/>
          <w:szCs w:val="32"/>
          <w:lang w:val="en-US" w:eastAsia="zh-CN"/>
        </w:rPr>
      </w:pPr>
    </w:p>
    <w:p w14:paraId="5F4B343E">
      <w:pPr>
        <w:pStyle w:val="46"/>
        <w:rPr>
          <w:rFonts w:hint="eastAsia" w:ascii="仿宋_GB2312" w:hAnsi="仿宋_GB2312" w:eastAsia="仿宋_GB2312" w:cs="仿宋_GB2312"/>
          <w:color w:val="auto"/>
          <w:kern w:val="2"/>
          <w:sz w:val="32"/>
          <w:szCs w:val="32"/>
          <w:lang w:val="en-US" w:eastAsia="zh-CN"/>
        </w:rPr>
      </w:pPr>
    </w:p>
    <w:p w14:paraId="3484C612">
      <w:pPr>
        <w:pStyle w:val="46"/>
        <w:rPr>
          <w:rFonts w:hint="eastAsia" w:ascii="仿宋_GB2312" w:hAnsi="仿宋_GB2312" w:eastAsia="仿宋_GB2312" w:cs="仿宋_GB2312"/>
          <w:color w:val="auto"/>
          <w:kern w:val="2"/>
          <w:sz w:val="32"/>
          <w:szCs w:val="32"/>
          <w:lang w:val="en-US" w:eastAsia="zh-CN"/>
        </w:rPr>
      </w:pPr>
    </w:p>
    <w:p w14:paraId="4D80C123">
      <w:pPr>
        <w:pStyle w:val="46"/>
        <w:rPr>
          <w:rFonts w:hint="eastAsia" w:ascii="仿宋_GB2312" w:hAnsi="仿宋_GB2312" w:eastAsia="仿宋_GB2312" w:cs="仿宋_GB2312"/>
          <w:color w:val="auto"/>
          <w:kern w:val="2"/>
          <w:sz w:val="32"/>
          <w:szCs w:val="32"/>
          <w:lang w:val="en-US" w:eastAsia="zh-CN"/>
        </w:rPr>
      </w:pPr>
    </w:p>
    <w:p w14:paraId="17CABD35">
      <w:pPr>
        <w:pStyle w:val="46"/>
        <w:rPr>
          <w:rFonts w:hint="eastAsia" w:ascii="仿宋_GB2312" w:hAnsi="仿宋_GB2312" w:eastAsia="仿宋_GB2312" w:cs="仿宋_GB2312"/>
          <w:color w:val="auto"/>
          <w:kern w:val="2"/>
          <w:sz w:val="32"/>
          <w:szCs w:val="32"/>
          <w:lang w:val="en-US" w:eastAsia="zh-CN"/>
        </w:rPr>
      </w:pPr>
    </w:p>
    <w:p w14:paraId="1B9807B2">
      <w:pPr>
        <w:pStyle w:val="46"/>
        <w:rPr>
          <w:rFonts w:hint="eastAsia" w:ascii="仿宋_GB2312" w:hAnsi="仿宋_GB2312" w:eastAsia="仿宋_GB2312" w:cs="仿宋_GB2312"/>
          <w:color w:val="auto"/>
          <w:kern w:val="2"/>
          <w:sz w:val="32"/>
          <w:szCs w:val="32"/>
          <w:lang w:val="en-US" w:eastAsia="zh-CN"/>
        </w:rPr>
      </w:pPr>
    </w:p>
    <w:p w14:paraId="5105B70C">
      <w:pPr>
        <w:pStyle w:val="46"/>
        <w:rPr>
          <w:rFonts w:hint="eastAsia" w:ascii="仿宋_GB2312" w:hAnsi="仿宋_GB2312" w:eastAsia="仿宋_GB2312" w:cs="仿宋_GB2312"/>
          <w:color w:val="auto"/>
          <w:kern w:val="2"/>
          <w:sz w:val="32"/>
          <w:szCs w:val="32"/>
          <w:lang w:val="en-US" w:eastAsia="zh-CN"/>
        </w:rPr>
      </w:pPr>
    </w:p>
    <w:p w14:paraId="4A56AFD1">
      <w:pPr>
        <w:pStyle w:val="46"/>
        <w:rPr>
          <w:rFonts w:hint="eastAsia" w:ascii="仿宋_GB2312" w:hAnsi="仿宋_GB2312" w:eastAsia="仿宋_GB2312" w:cs="仿宋_GB2312"/>
          <w:color w:val="auto"/>
          <w:kern w:val="2"/>
          <w:sz w:val="32"/>
          <w:szCs w:val="32"/>
          <w:lang w:val="en-US" w:eastAsia="zh-CN"/>
        </w:rPr>
      </w:pPr>
    </w:p>
    <w:p w14:paraId="36D576F8">
      <w:pPr>
        <w:pStyle w:val="46"/>
        <w:rPr>
          <w:rFonts w:hint="eastAsia" w:ascii="仿宋_GB2312" w:hAnsi="仿宋_GB2312" w:eastAsia="仿宋_GB2312" w:cs="仿宋_GB2312"/>
          <w:color w:val="auto"/>
          <w:kern w:val="2"/>
          <w:sz w:val="32"/>
          <w:szCs w:val="32"/>
          <w:lang w:val="en-US" w:eastAsia="zh-CN"/>
        </w:rPr>
      </w:pPr>
    </w:p>
    <w:p w14:paraId="5EC73E39">
      <w:pPr>
        <w:pStyle w:val="2"/>
        <w:rPr>
          <w:color w:val="auto"/>
        </w:rPr>
      </w:pPr>
      <w:bookmarkStart w:id="320" w:name="_Toc20044"/>
      <w:bookmarkStart w:id="321" w:name="_Toc22842"/>
      <w:r>
        <w:rPr>
          <w:rFonts w:hint="eastAsia"/>
          <w:color w:val="auto"/>
        </w:rPr>
        <w:t>第六章</w:t>
      </w:r>
      <w:bookmarkEnd w:id="312"/>
      <w:bookmarkEnd w:id="313"/>
      <w:bookmarkEnd w:id="314"/>
      <w:bookmarkEnd w:id="320"/>
      <w:bookmarkStart w:id="322" w:name="_Toc454525917"/>
      <w:r>
        <w:rPr>
          <w:rFonts w:hint="eastAsia"/>
          <w:color w:val="auto"/>
        </w:rPr>
        <w:t xml:space="preserve">  投标文件格式</w:t>
      </w:r>
      <w:bookmarkEnd w:id="315"/>
      <w:bookmarkEnd w:id="316"/>
      <w:bookmarkEnd w:id="321"/>
      <w:bookmarkEnd w:id="322"/>
    </w:p>
    <w:p w14:paraId="2748FE5C">
      <w:pPr>
        <w:spacing w:line="360" w:lineRule="auto"/>
        <w:rPr>
          <w:rFonts w:ascii="宋体" w:hAnsi="宋体" w:cs="宋体"/>
          <w:color w:val="auto"/>
        </w:rPr>
      </w:pPr>
    </w:p>
    <w:p w14:paraId="7B85EB3B">
      <w:pPr>
        <w:jc w:val="center"/>
        <w:rPr>
          <w:rFonts w:ascii="宋体" w:hAnsi="宋体" w:cs="宋体"/>
          <w:b/>
          <w:color w:val="auto"/>
          <w:kern w:val="36"/>
          <w:sz w:val="36"/>
          <w:szCs w:val="36"/>
        </w:rPr>
      </w:pPr>
    </w:p>
    <w:p w14:paraId="1B5FF8F6">
      <w:pPr>
        <w:jc w:val="center"/>
        <w:rPr>
          <w:rFonts w:ascii="宋体" w:hAnsi="宋体" w:cs="宋体"/>
          <w:b/>
          <w:color w:val="auto"/>
          <w:kern w:val="36"/>
          <w:sz w:val="36"/>
          <w:szCs w:val="36"/>
        </w:rPr>
      </w:pPr>
    </w:p>
    <w:p w14:paraId="407003D0">
      <w:pPr>
        <w:jc w:val="center"/>
        <w:rPr>
          <w:rFonts w:ascii="宋体" w:hAnsi="宋体" w:cs="宋体"/>
          <w:b/>
          <w:color w:val="auto"/>
          <w:kern w:val="36"/>
          <w:sz w:val="36"/>
          <w:szCs w:val="36"/>
        </w:rPr>
      </w:pPr>
    </w:p>
    <w:p w14:paraId="61C4DA7C">
      <w:pPr>
        <w:jc w:val="center"/>
        <w:rPr>
          <w:rFonts w:ascii="宋体" w:hAnsi="宋体" w:cs="宋体"/>
          <w:b/>
          <w:color w:val="auto"/>
          <w:kern w:val="36"/>
          <w:sz w:val="36"/>
          <w:szCs w:val="36"/>
        </w:rPr>
      </w:pPr>
    </w:p>
    <w:p w14:paraId="74350D8A">
      <w:pPr>
        <w:jc w:val="center"/>
        <w:rPr>
          <w:rFonts w:ascii="宋体" w:hAnsi="宋体" w:cs="宋体"/>
          <w:b/>
          <w:color w:val="auto"/>
          <w:kern w:val="36"/>
          <w:sz w:val="36"/>
          <w:szCs w:val="36"/>
        </w:rPr>
      </w:pPr>
    </w:p>
    <w:p w14:paraId="55A63A86">
      <w:pPr>
        <w:jc w:val="center"/>
        <w:rPr>
          <w:rFonts w:ascii="宋体" w:hAnsi="宋体" w:cs="宋体"/>
          <w:b/>
          <w:color w:val="auto"/>
          <w:kern w:val="36"/>
          <w:sz w:val="36"/>
          <w:szCs w:val="36"/>
        </w:rPr>
      </w:pPr>
    </w:p>
    <w:p w14:paraId="7F963158">
      <w:pPr>
        <w:jc w:val="center"/>
        <w:rPr>
          <w:rFonts w:ascii="宋体" w:hAnsi="宋体" w:cs="宋体"/>
          <w:b/>
          <w:color w:val="auto"/>
          <w:kern w:val="36"/>
          <w:sz w:val="36"/>
          <w:szCs w:val="36"/>
        </w:rPr>
      </w:pPr>
    </w:p>
    <w:p w14:paraId="49904CB1">
      <w:pPr>
        <w:jc w:val="center"/>
        <w:rPr>
          <w:rFonts w:ascii="宋体" w:hAnsi="宋体" w:cs="宋体"/>
          <w:b/>
          <w:color w:val="auto"/>
          <w:kern w:val="36"/>
          <w:sz w:val="36"/>
          <w:szCs w:val="36"/>
        </w:rPr>
      </w:pPr>
    </w:p>
    <w:p w14:paraId="770342A9">
      <w:pPr>
        <w:jc w:val="center"/>
        <w:rPr>
          <w:rFonts w:ascii="宋体" w:hAnsi="宋体" w:cs="宋体"/>
          <w:b/>
          <w:color w:val="auto"/>
          <w:kern w:val="36"/>
          <w:sz w:val="36"/>
          <w:szCs w:val="36"/>
        </w:rPr>
      </w:pPr>
    </w:p>
    <w:p w14:paraId="2CDBD0BB">
      <w:pPr>
        <w:jc w:val="center"/>
        <w:rPr>
          <w:rFonts w:ascii="宋体" w:hAnsi="宋体" w:cs="宋体"/>
          <w:b/>
          <w:color w:val="auto"/>
          <w:kern w:val="36"/>
          <w:sz w:val="36"/>
          <w:szCs w:val="36"/>
        </w:rPr>
      </w:pPr>
    </w:p>
    <w:p w14:paraId="425211FE">
      <w:pPr>
        <w:jc w:val="center"/>
        <w:rPr>
          <w:rFonts w:ascii="宋体" w:hAnsi="宋体" w:cs="宋体"/>
          <w:b/>
          <w:color w:val="auto"/>
          <w:kern w:val="36"/>
          <w:sz w:val="36"/>
          <w:szCs w:val="36"/>
        </w:rPr>
      </w:pPr>
    </w:p>
    <w:p w14:paraId="35EB0E54">
      <w:pPr>
        <w:jc w:val="center"/>
        <w:rPr>
          <w:rFonts w:ascii="宋体" w:hAnsi="宋体" w:cs="宋体"/>
          <w:b/>
          <w:color w:val="auto"/>
          <w:kern w:val="36"/>
          <w:sz w:val="36"/>
          <w:szCs w:val="36"/>
        </w:rPr>
      </w:pPr>
    </w:p>
    <w:p w14:paraId="56B0769C">
      <w:pPr>
        <w:jc w:val="center"/>
        <w:rPr>
          <w:rFonts w:ascii="宋体" w:hAnsi="宋体" w:cs="宋体"/>
          <w:b/>
          <w:color w:val="auto"/>
          <w:kern w:val="36"/>
          <w:sz w:val="36"/>
          <w:szCs w:val="36"/>
        </w:rPr>
      </w:pPr>
    </w:p>
    <w:p w14:paraId="4FBD45E0">
      <w:pPr>
        <w:jc w:val="center"/>
        <w:rPr>
          <w:rFonts w:ascii="宋体" w:hAnsi="宋体" w:cs="宋体"/>
          <w:b/>
          <w:color w:val="auto"/>
          <w:kern w:val="36"/>
          <w:sz w:val="36"/>
          <w:szCs w:val="36"/>
        </w:rPr>
      </w:pPr>
    </w:p>
    <w:p w14:paraId="04981BF8">
      <w:pPr>
        <w:jc w:val="center"/>
        <w:rPr>
          <w:rFonts w:ascii="宋体" w:hAnsi="宋体" w:cs="宋体"/>
          <w:b/>
          <w:color w:val="auto"/>
          <w:kern w:val="36"/>
          <w:sz w:val="36"/>
          <w:szCs w:val="36"/>
        </w:rPr>
      </w:pPr>
    </w:p>
    <w:p w14:paraId="21F19936">
      <w:pPr>
        <w:jc w:val="center"/>
        <w:rPr>
          <w:rFonts w:ascii="宋体" w:hAnsi="宋体" w:cs="宋体"/>
          <w:b/>
          <w:color w:val="auto"/>
          <w:kern w:val="36"/>
          <w:sz w:val="36"/>
          <w:szCs w:val="36"/>
        </w:rPr>
      </w:pPr>
    </w:p>
    <w:p w14:paraId="61F96C3F">
      <w:pPr>
        <w:jc w:val="center"/>
        <w:rPr>
          <w:rFonts w:ascii="宋体" w:hAnsi="宋体" w:cs="宋体"/>
          <w:b/>
          <w:color w:val="auto"/>
          <w:kern w:val="36"/>
          <w:sz w:val="36"/>
          <w:szCs w:val="36"/>
        </w:rPr>
      </w:pPr>
    </w:p>
    <w:p w14:paraId="38BB4204">
      <w:pPr>
        <w:jc w:val="center"/>
        <w:rPr>
          <w:rFonts w:ascii="宋体" w:hAnsi="宋体" w:cs="宋体"/>
          <w:b/>
          <w:color w:val="auto"/>
          <w:kern w:val="36"/>
          <w:sz w:val="36"/>
          <w:szCs w:val="36"/>
        </w:rPr>
      </w:pPr>
    </w:p>
    <w:p w14:paraId="44D4EB9D">
      <w:pPr>
        <w:jc w:val="center"/>
        <w:rPr>
          <w:rFonts w:ascii="宋体" w:hAnsi="宋体" w:cs="宋体"/>
          <w:b/>
          <w:color w:val="auto"/>
          <w:kern w:val="36"/>
          <w:sz w:val="36"/>
          <w:szCs w:val="36"/>
        </w:rPr>
      </w:pPr>
    </w:p>
    <w:p w14:paraId="2A524151">
      <w:pPr>
        <w:pStyle w:val="27"/>
        <w:ind w:left="63" w:right="63" w:firstLine="361"/>
        <w:rPr>
          <w:rFonts w:ascii="宋体" w:hAnsi="宋体" w:cs="宋体"/>
          <w:b/>
          <w:color w:val="auto"/>
          <w:kern w:val="36"/>
          <w:sz w:val="36"/>
          <w:szCs w:val="36"/>
        </w:rPr>
      </w:pPr>
    </w:p>
    <w:p w14:paraId="52B0773C">
      <w:pPr>
        <w:jc w:val="left"/>
        <w:rPr>
          <w:rFonts w:ascii="宋体" w:hAnsi="宋体" w:cs="宋体"/>
          <w:b/>
          <w:color w:val="auto"/>
          <w:kern w:val="36"/>
          <w:sz w:val="36"/>
          <w:szCs w:val="36"/>
        </w:rPr>
      </w:pPr>
    </w:p>
    <w:p w14:paraId="73EDC503">
      <w:pPr>
        <w:spacing w:line="360" w:lineRule="auto"/>
        <w:jc w:val="center"/>
        <w:rPr>
          <w:rFonts w:hint="eastAsia" w:ascii="宋体" w:hAnsi="宋体" w:eastAsia="宋体" w:cs="宋体"/>
          <w:b/>
          <w:color w:val="auto"/>
          <w:kern w:val="36"/>
          <w:sz w:val="44"/>
          <w:szCs w:val="44"/>
          <w:lang w:eastAsia="zh-CN"/>
        </w:rPr>
      </w:pPr>
      <w:r>
        <w:rPr>
          <w:rFonts w:hint="eastAsia" w:ascii="宋体" w:hAnsi="宋体" w:cs="宋体"/>
          <w:b/>
          <w:color w:val="auto"/>
          <w:kern w:val="36"/>
          <w:sz w:val="48"/>
          <w:szCs w:val="48"/>
          <w:lang w:val="en-US" w:eastAsia="zh-CN"/>
        </w:rPr>
        <w:t>义马市东区卫生院康复科业务能力提升医疗设备购置项目</w:t>
      </w:r>
      <w:r>
        <w:rPr>
          <w:rFonts w:hint="eastAsia" w:ascii="宋体" w:hAnsi="宋体" w:eastAsia="宋体" w:cs="宋体"/>
          <w:b/>
          <w:color w:val="auto"/>
          <w:kern w:val="36"/>
          <w:sz w:val="44"/>
          <w:szCs w:val="44"/>
          <w:lang w:eastAsia="zh-CN"/>
        </w:rPr>
        <w:t xml:space="preserve"> </w:t>
      </w:r>
    </w:p>
    <w:p w14:paraId="3B1C056E">
      <w:pPr>
        <w:spacing w:line="360" w:lineRule="auto"/>
        <w:jc w:val="center"/>
        <w:rPr>
          <w:rFonts w:hint="eastAsia" w:ascii="宋体" w:hAnsi="宋体" w:eastAsia="宋体" w:cs="宋体"/>
          <w:b/>
          <w:color w:val="auto"/>
          <w:kern w:val="36"/>
          <w:sz w:val="44"/>
          <w:szCs w:val="44"/>
          <w:lang w:val="en-US" w:eastAsia="zh-CN"/>
        </w:rPr>
      </w:pPr>
    </w:p>
    <w:p w14:paraId="3940CCDE">
      <w:pPr>
        <w:spacing w:line="360" w:lineRule="auto"/>
        <w:jc w:val="center"/>
        <w:rPr>
          <w:rFonts w:hint="eastAsia" w:ascii="宋体" w:hAnsi="宋体" w:cs="宋体"/>
          <w:b/>
          <w:color w:val="auto"/>
          <w:kern w:val="36"/>
          <w:sz w:val="36"/>
          <w:szCs w:val="36"/>
          <w:lang w:eastAsia="zh-CN"/>
        </w:rPr>
      </w:pPr>
    </w:p>
    <w:p w14:paraId="2E222004">
      <w:pPr>
        <w:jc w:val="left"/>
        <w:rPr>
          <w:rFonts w:hint="eastAsia" w:ascii="宋体" w:hAnsi="宋体" w:cs="宋体"/>
          <w:b/>
          <w:color w:val="auto"/>
          <w:kern w:val="36"/>
          <w:sz w:val="36"/>
          <w:szCs w:val="36"/>
        </w:rPr>
      </w:pPr>
      <w:bookmarkStart w:id="323" w:name="_Toc380589625"/>
    </w:p>
    <w:p w14:paraId="43288398">
      <w:pPr>
        <w:spacing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采购编号：</w:t>
      </w:r>
    </w:p>
    <w:p w14:paraId="3980F3B2">
      <w:pPr>
        <w:spacing w:line="360" w:lineRule="auto"/>
        <w:jc w:val="center"/>
        <w:rPr>
          <w:rFonts w:ascii="宋体" w:hAnsi="宋体" w:cs="宋体"/>
          <w:b/>
          <w:color w:val="auto"/>
          <w:kern w:val="36"/>
          <w:sz w:val="36"/>
          <w:szCs w:val="36"/>
        </w:rPr>
      </w:pPr>
      <w:r>
        <w:rPr>
          <w:rFonts w:hint="eastAsia" w:ascii="宋体" w:hAnsi="宋体" w:eastAsia="宋体" w:cs="宋体"/>
          <w:color w:val="auto"/>
          <w:sz w:val="32"/>
          <w:szCs w:val="32"/>
        </w:rPr>
        <w:t>项目编号：</w:t>
      </w:r>
    </w:p>
    <w:p w14:paraId="4EF64274">
      <w:pPr>
        <w:jc w:val="left"/>
        <w:rPr>
          <w:rFonts w:ascii="宋体" w:hAnsi="宋体" w:cs="宋体"/>
          <w:b/>
          <w:color w:val="auto"/>
          <w:kern w:val="36"/>
          <w:sz w:val="36"/>
          <w:szCs w:val="36"/>
        </w:rPr>
      </w:pPr>
    </w:p>
    <w:p w14:paraId="7D1C40EA">
      <w:pPr>
        <w:jc w:val="left"/>
        <w:rPr>
          <w:rFonts w:ascii="宋体" w:hAnsi="宋体" w:cs="宋体"/>
          <w:b/>
          <w:color w:val="auto"/>
          <w:kern w:val="36"/>
          <w:sz w:val="36"/>
          <w:szCs w:val="36"/>
        </w:rPr>
      </w:pPr>
    </w:p>
    <w:p w14:paraId="3C76F79C">
      <w:pPr>
        <w:jc w:val="center"/>
        <w:rPr>
          <w:rFonts w:ascii="宋体" w:hAnsi="宋体" w:cs="宋体"/>
          <w:b/>
          <w:color w:val="auto"/>
          <w:kern w:val="36"/>
          <w:sz w:val="36"/>
          <w:szCs w:val="36"/>
        </w:rPr>
      </w:pPr>
      <w:r>
        <w:rPr>
          <w:rFonts w:hint="eastAsia" w:ascii="宋体" w:hAnsi="宋体" w:eastAsia="宋体" w:cs="宋体"/>
          <w:b/>
          <w:bCs/>
          <w:color w:val="auto"/>
          <w:sz w:val="72"/>
          <w:szCs w:val="72"/>
        </w:rPr>
        <w:t>投 标 文 件</w:t>
      </w:r>
      <w:bookmarkEnd w:id="323"/>
    </w:p>
    <w:p w14:paraId="0A88D1F1">
      <w:pPr>
        <w:jc w:val="left"/>
        <w:rPr>
          <w:rFonts w:ascii="宋体" w:hAnsi="宋体" w:cs="宋体"/>
          <w:b/>
          <w:color w:val="auto"/>
          <w:kern w:val="36"/>
          <w:sz w:val="36"/>
          <w:szCs w:val="36"/>
        </w:rPr>
      </w:pPr>
    </w:p>
    <w:p w14:paraId="189F9901">
      <w:pPr>
        <w:jc w:val="left"/>
        <w:rPr>
          <w:rFonts w:ascii="宋体" w:hAnsi="宋体" w:cs="宋体"/>
          <w:b/>
          <w:color w:val="auto"/>
          <w:kern w:val="36"/>
          <w:sz w:val="36"/>
          <w:szCs w:val="36"/>
        </w:rPr>
      </w:pPr>
    </w:p>
    <w:p w14:paraId="3B329C63">
      <w:pPr>
        <w:jc w:val="left"/>
        <w:rPr>
          <w:rFonts w:ascii="宋体" w:hAnsi="宋体" w:cs="宋体"/>
          <w:b/>
          <w:color w:val="auto"/>
          <w:kern w:val="36"/>
          <w:sz w:val="36"/>
          <w:szCs w:val="36"/>
        </w:rPr>
      </w:pPr>
    </w:p>
    <w:p w14:paraId="70091504">
      <w:pPr>
        <w:jc w:val="left"/>
        <w:rPr>
          <w:rFonts w:ascii="宋体" w:hAnsi="宋体" w:cs="宋体"/>
          <w:b/>
          <w:color w:val="auto"/>
          <w:kern w:val="36"/>
          <w:sz w:val="36"/>
          <w:szCs w:val="36"/>
        </w:rPr>
      </w:pPr>
    </w:p>
    <w:p w14:paraId="0F06C3DF">
      <w:pPr>
        <w:jc w:val="left"/>
        <w:rPr>
          <w:rFonts w:ascii="宋体" w:hAnsi="宋体" w:cs="宋体"/>
          <w:b/>
          <w:color w:val="auto"/>
          <w:kern w:val="36"/>
          <w:sz w:val="36"/>
          <w:szCs w:val="36"/>
        </w:rPr>
      </w:pPr>
    </w:p>
    <w:p w14:paraId="778FB8B2">
      <w:pPr>
        <w:spacing w:line="360" w:lineRule="auto"/>
        <w:ind w:firstLine="1478" w:firstLineChars="462"/>
        <w:rPr>
          <w:rFonts w:ascii="宋体" w:hAnsi="宋体" w:cs="宋体"/>
          <w:color w:val="auto"/>
          <w:sz w:val="32"/>
          <w:szCs w:val="32"/>
          <w:u w:val="single"/>
        </w:rPr>
      </w:pPr>
      <w:r>
        <w:rPr>
          <w:rFonts w:hint="eastAsia" w:ascii="宋体" w:hAnsi="宋体" w:cs="宋体"/>
          <w:color w:val="auto"/>
          <w:sz w:val="32"/>
          <w:szCs w:val="32"/>
        </w:rPr>
        <w:t>投标人名称（盖公章）：</w:t>
      </w:r>
      <w:r>
        <w:rPr>
          <w:rFonts w:hint="eastAsia" w:ascii="宋体" w:hAnsi="宋体" w:cs="宋体"/>
          <w:color w:val="auto"/>
          <w:sz w:val="32"/>
          <w:szCs w:val="32"/>
          <w:u w:val="single"/>
        </w:rPr>
        <w:t xml:space="preserve">                      </w:t>
      </w:r>
    </w:p>
    <w:p w14:paraId="61FBA3BA">
      <w:pPr>
        <w:spacing w:line="360" w:lineRule="auto"/>
        <w:ind w:firstLine="1478" w:firstLineChars="462"/>
        <w:jc w:val="center"/>
        <w:rPr>
          <w:rFonts w:ascii="宋体" w:hAnsi="宋体" w:cs="宋体"/>
          <w:color w:val="auto"/>
          <w:sz w:val="32"/>
          <w:szCs w:val="32"/>
        </w:rPr>
      </w:pPr>
    </w:p>
    <w:p w14:paraId="49180C7E">
      <w:pPr>
        <w:spacing w:line="360" w:lineRule="auto"/>
        <w:ind w:firstLine="1478" w:firstLineChars="462"/>
        <w:rPr>
          <w:rFonts w:ascii="宋体" w:hAnsi="宋体" w:cs="宋体"/>
          <w:color w:val="auto"/>
          <w:sz w:val="32"/>
          <w:szCs w:val="32"/>
          <w:u w:val="single"/>
        </w:rPr>
      </w:pPr>
      <w:r>
        <w:rPr>
          <w:rFonts w:hint="eastAsia" w:ascii="宋体" w:hAnsi="宋体" w:cs="宋体"/>
          <w:color w:val="auto"/>
          <w:sz w:val="32"/>
          <w:szCs w:val="32"/>
        </w:rPr>
        <w:t>法定代表人（电子签章）：</w:t>
      </w:r>
      <w:r>
        <w:rPr>
          <w:rFonts w:hint="eastAsia" w:ascii="宋体" w:hAnsi="宋体" w:cs="宋体"/>
          <w:color w:val="auto"/>
          <w:sz w:val="32"/>
          <w:szCs w:val="32"/>
          <w:u w:val="single"/>
        </w:rPr>
        <w:t xml:space="preserve">                    </w:t>
      </w:r>
    </w:p>
    <w:p w14:paraId="1F5B4C63">
      <w:pPr>
        <w:spacing w:line="360" w:lineRule="auto"/>
        <w:ind w:firstLine="1478" w:firstLineChars="462"/>
        <w:rPr>
          <w:rFonts w:ascii="宋体" w:hAnsi="宋体" w:cs="宋体"/>
          <w:color w:val="auto"/>
          <w:sz w:val="32"/>
          <w:szCs w:val="32"/>
        </w:rPr>
      </w:pPr>
    </w:p>
    <w:p w14:paraId="44DD4892">
      <w:pPr>
        <w:spacing w:line="360" w:lineRule="auto"/>
        <w:ind w:firstLine="1478" w:firstLineChars="462"/>
        <w:rPr>
          <w:rFonts w:ascii="宋体" w:hAnsi="宋体" w:cs="宋体"/>
          <w:b/>
          <w:color w:val="auto"/>
          <w:sz w:val="32"/>
          <w:szCs w:val="32"/>
        </w:rPr>
      </w:pPr>
      <w:r>
        <w:rPr>
          <w:rFonts w:hint="eastAsia" w:ascii="宋体" w:hAnsi="宋体" w:cs="宋体"/>
          <w:color w:val="auto"/>
          <w:sz w:val="32"/>
          <w:szCs w:val="32"/>
        </w:rPr>
        <w:t xml:space="preserve">日  期： </w:t>
      </w:r>
      <w:r>
        <w:rPr>
          <w:rFonts w:hint="eastAsia" w:ascii="宋体" w:hAnsi="宋体" w:cs="宋体"/>
          <w:color w:val="auto"/>
          <w:sz w:val="32"/>
          <w:szCs w:val="32"/>
          <w:u w:val="single"/>
        </w:rPr>
        <w:tab/>
      </w:r>
      <w:r>
        <w:rPr>
          <w:rFonts w:hint="eastAsia" w:ascii="宋体" w:hAnsi="宋体" w:cs="宋体"/>
          <w:color w:val="auto"/>
          <w:sz w:val="32"/>
          <w:szCs w:val="32"/>
          <w:u w:val="single"/>
        </w:rPr>
        <w:t xml:space="preserve">      </w:t>
      </w:r>
      <w:r>
        <w:rPr>
          <w:rFonts w:hint="eastAsia" w:ascii="宋体" w:hAnsi="宋体" w:cs="宋体"/>
          <w:color w:val="auto"/>
          <w:sz w:val="32"/>
          <w:szCs w:val="32"/>
        </w:rPr>
        <w:t>年</w:t>
      </w:r>
      <w:r>
        <w:rPr>
          <w:rFonts w:hint="eastAsia" w:ascii="宋体" w:hAnsi="宋体" w:cs="宋体"/>
          <w:color w:val="auto"/>
          <w:sz w:val="32"/>
          <w:szCs w:val="32"/>
          <w:u w:val="single"/>
        </w:rPr>
        <w:t xml:space="preserve">        </w:t>
      </w:r>
      <w:r>
        <w:rPr>
          <w:rFonts w:hint="eastAsia" w:ascii="宋体" w:hAnsi="宋体" w:cs="宋体"/>
          <w:color w:val="auto"/>
          <w:sz w:val="32"/>
          <w:szCs w:val="32"/>
        </w:rPr>
        <w:t>月</w:t>
      </w:r>
      <w:r>
        <w:rPr>
          <w:rFonts w:hint="eastAsia" w:ascii="宋体" w:hAnsi="宋体" w:cs="宋体"/>
          <w:color w:val="auto"/>
          <w:sz w:val="32"/>
          <w:szCs w:val="32"/>
          <w:u w:val="single"/>
        </w:rPr>
        <w:t xml:space="preserve">        </w:t>
      </w:r>
      <w:r>
        <w:rPr>
          <w:rFonts w:hint="eastAsia" w:ascii="宋体" w:hAnsi="宋体" w:cs="宋体"/>
          <w:color w:val="auto"/>
          <w:sz w:val="32"/>
          <w:szCs w:val="32"/>
        </w:rPr>
        <w:t xml:space="preserve"> 日</w:t>
      </w:r>
    </w:p>
    <w:p w14:paraId="0C082996">
      <w:pPr>
        <w:jc w:val="left"/>
        <w:rPr>
          <w:rFonts w:ascii="宋体" w:hAnsi="宋体" w:cs="宋体"/>
          <w:b/>
          <w:color w:val="auto"/>
          <w:kern w:val="36"/>
          <w:sz w:val="36"/>
          <w:szCs w:val="36"/>
        </w:rPr>
      </w:pPr>
    </w:p>
    <w:p w14:paraId="77D79FDC">
      <w:pPr>
        <w:pStyle w:val="3"/>
        <w:rPr>
          <w:color w:val="auto"/>
        </w:rPr>
      </w:pPr>
      <w:r>
        <w:rPr>
          <w:rFonts w:hint="eastAsia"/>
          <w:color w:val="auto"/>
        </w:rPr>
        <w:t>目  录</w:t>
      </w:r>
    </w:p>
    <w:p w14:paraId="1A53B1C8">
      <w:pPr>
        <w:jc w:val="center"/>
        <w:rPr>
          <w:color w:val="auto"/>
        </w:rPr>
      </w:pPr>
      <w:r>
        <w:rPr>
          <w:rFonts w:hint="eastAsia"/>
          <w:color w:val="auto"/>
        </w:rPr>
        <w:t>（自拟）</w:t>
      </w:r>
    </w:p>
    <w:p w14:paraId="781A9D92">
      <w:pPr>
        <w:jc w:val="left"/>
        <w:rPr>
          <w:rFonts w:ascii="宋体" w:hAnsi="宋体" w:cs="宋体"/>
          <w:b/>
          <w:color w:val="auto"/>
          <w:kern w:val="36"/>
          <w:sz w:val="36"/>
          <w:szCs w:val="36"/>
        </w:rPr>
      </w:pPr>
    </w:p>
    <w:p w14:paraId="32CE286C">
      <w:pPr>
        <w:jc w:val="left"/>
        <w:rPr>
          <w:rFonts w:ascii="宋体" w:hAnsi="宋体" w:cs="宋体"/>
          <w:b/>
          <w:color w:val="auto"/>
          <w:kern w:val="36"/>
          <w:sz w:val="36"/>
          <w:szCs w:val="36"/>
        </w:rPr>
      </w:pPr>
    </w:p>
    <w:p w14:paraId="156727AD">
      <w:pPr>
        <w:jc w:val="left"/>
        <w:rPr>
          <w:rFonts w:ascii="宋体" w:hAnsi="宋体" w:cs="宋体"/>
          <w:b/>
          <w:color w:val="auto"/>
          <w:kern w:val="36"/>
          <w:sz w:val="36"/>
          <w:szCs w:val="36"/>
        </w:rPr>
      </w:pPr>
    </w:p>
    <w:p w14:paraId="778111BC">
      <w:pPr>
        <w:jc w:val="left"/>
        <w:rPr>
          <w:rFonts w:ascii="宋体" w:hAnsi="宋体" w:cs="宋体"/>
          <w:b/>
          <w:color w:val="auto"/>
          <w:kern w:val="36"/>
          <w:sz w:val="36"/>
          <w:szCs w:val="36"/>
        </w:rPr>
      </w:pPr>
    </w:p>
    <w:p w14:paraId="233BCDEB">
      <w:pPr>
        <w:jc w:val="left"/>
        <w:rPr>
          <w:rFonts w:ascii="宋体" w:hAnsi="宋体" w:cs="宋体"/>
          <w:b/>
          <w:color w:val="auto"/>
          <w:kern w:val="36"/>
          <w:sz w:val="36"/>
          <w:szCs w:val="36"/>
        </w:rPr>
      </w:pPr>
    </w:p>
    <w:p w14:paraId="52474913">
      <w:pPr>
        <w:jc w:val="left"/>
        <w:rPr>
          <w:rFonts w:ascii="宋体" w:hAnsi="宋体" w:cs="宋体"/>
          <w:b/>
          <w:color w:val="auto"/>
          <w:kern w:val="36"/>
          <w:sz w:val="36"/>
          <w:szCs w:val="36"/>
        </w:rPr>
      </w:pPr>
    </w:p>
    <w:p w14:paraId="3B6DA50B">
      <w:pPr>
        <w:jc w:val="left"/>
        <w:rPr>
          <w:rFonts w:ascii="宋体" w:hAnsi="宋体" w:cs="宋体"/>
          <w:b/>
          <w:color w:val="auto"/>
          <w:kern w:val="36"/>
          <w:sz w:val="36"/>
          <w:szCs w:val="36"/>
        </w:rPr>
      </w:pPr>
    </w:p>
    <w:p w14:paraId="10DAD953">
      <w:pPr>
        <w:jc w:val="left"/>
        <w:rPr>
          <w:rFonts w:ascii="宋体" w:hAnsi="宋体" w:cs="宋体"/>
          <w:b/>
          <w:color w:val="auto"/>
          <w:kern w:val="36"/>
          <w:sz w:val="36"/>
          <w:szCs w:val="36"/>
        </w:rPr>
      </w:pPr>
    </w:p>
    <w:p w14:paraId="791E9449">
      <w:pPr>
        <w:jc w:val="left"/>
        <w:rPr>
          <w:rFonts w:ascii="宋体" w:hAnsi="宋体" w:cs="宋体"/>
          <w:b/>
          <w:color w:val="auto"/>
          <w:kern w:val="36"/>
          <w:sz w:val="36"/>
          <w:szCs w:val="36"/>
        </w:rPr>
      </w:pPr>
    </w:p>
    <w:p w14:paraId="49291743">
      <w:pPr>
        <w:jc w:val="left"/>
        <w:rPr>
          <w:rFonts w:ascii="宋体" w:hAnsi="宋体" w:cs="宋体"/>
          <w:b/>
          <w:color w:val="auto"/>
          <w:kern w:val="36"/>
          <w:sz w:val="36"/>
          <w:szCs w:val="36"/>
        </w:rPr>
      </w:pPr>
    </w:p>
    <w:p w14:paraId="0BDCB477">
      <w:pPr>
        <w:jc w:val="left"/>
        <w:rPr>
          <w:rFonts w:ascii="宋体" w:hAnsi="宋体" w:cs="宋体"/>
          <w:b/>
          <w:color w:val="auto"/>
          <w:kern w:val="36"/>
          <w:sz w:val="36"/>
          <w:szCs w:val="36"/>
        </w:rPr>
      </w:pPr>
    </w:p>
    <w:p w14:paraId="7A7B6B6D">
      <w:pPr>
        <w:jc w:val="left"/>
        <w:rPr>
          <w:rFonts w:ascii="宋体" w:hAnsi="宋体" w:cs="宋体"/>
          <w:b/>
          <w:color w:val="auto"/>
          <w:kern w:val="36"/>
          <w:sz w:val="36"/>
          <w:szCs w:val="36"/>
        </w:rPr>
      </w:pPr>
    </w:p>
    <w:p w14:paraId="0C82490D">
      <w:pPr>
        <w:jc w:val="left"/>
        <w:rPr>
          <w:rFonts w:ascii="宋体" w:hAnsi="宋体" w:cs="宋体"/>
          <w:b/>
          <w:color w:val="auto"/>
          <w:kern w:val="36"/>
          <w:sz w:val="36"/>
          <w:szCs w:val="36"/>
        </w:rPr>
      </w:pPr>
    </w:p>
    <w:p w14:paraId="06826AB0">
      <w:pPr>
        <w:jc w:val="left"/>
        <w:rPr>
          <w:rFonts w:ascii="宋体" w:hAnsi="宋体" w:cs="宋体"/>
          <w:b/>
          <w:color w:val="auto"/>
          <w:kern w:val="36"/>
          <w:sz w:val="36"/>
          <w:szCs w:val="36"/>
        </w:rPr>
      </w:pPr>
    </w:p>
    <w:p w14:paraId="36079F18">
      <w:pPr>
        <w:jc w:val="left"/>
        <w:rPr>
          <w:rFonts w:ascii="宋体" w:hAnsi="宋体" w:cs="宋体"/>
          <w:b/>
          <w:color w:val="auto"/>
          <w:kern w:val="36"/>
          <w:sz w:val="36"/>
          <w:szCs w:val="36"/>
        </w:rPr>
      </w:pPr>
    </w:p>
    <w:p w14:paraId="04554268">
      <w:pPr>
        <w:jc w:val="left"/>
        <w:rPr>
          <w:rFonts w:ascii="宋体" w:hAnsi="宋体" w:cs="宋体"/>
          <w:b/>
          <w:color w:val="auto"/>
          <w:kern w:val="36"/>
          <w:sz w:val="36"/>
          <w:szCs w:val="36"/>
        </w:rPr>
      </w:pPr>
    </w:p>
    <w:p w14:paraId="6C9A167C">
      <w:pPr>
        <w:jc w:val="left"/>
        <w:rPr>
          <w:rFonts w:ascii="宋体" w:hAnsi="宋体" w:cs="宋体"/>
          <w:b/>
          <w:color w:val="auto"/>
          <w:kern w:val="36"/>
          <w:sz w:val="36"/>
          <w:szCs w:val="36"/>
        </w:rPr>
      </w:pPr>
    </w:p>
    <w:p w14:paraId="38309F69">
      <w:pPr>
        <w:jc w:val="left"/>
        <w:rPr>
          <w:rFonts w:ascii="宋体" w:hAnsi="宋体" w:cs="宋体"/>
          <w:b/>
          <w:color w:val="auto"/>
          <w:kern w:val="36"/>
          <w:sz w:val="36"/>
          <w:szCs w:val="36"/>
        </w:rPr>
      </w:pPr>
    </w:p>
    <w:p w14:paraId="571E75DB">
      <w:pPr>
        <w:jc w:val="left"/>
        <w:rPr>
          <w:rFonts w:ascii="宋体" w:hAnsi="宋体" w:cs="宋体"/>
          <w:b/>
          <w:color w:val="auto"/>
          <w:kern w:val="36"/>
          <w:sz w:val="36"/>
          <w:szCs w:val="36"/>
        </w:rPr>
      </w:pPr>
    </w:p>
    <w:p w14:paraId="452AAAF2">
      <w:pPr>
        <w:jc w:val="left"/>
        <w:rPr>
          <w:rFonts w:ascii="宋体" w:hAnsi="宋体" w:cs="宋体"/>
          <w:b/>
          <w:color w:val="auto"/>
          <w:kern w:val="36"/>
          <w:sz w:val="36"/>
          <w:szCs w:val="36"/>
        </w:rPr>
      </w:pPr>
    </w:p>
    <w:p w14:paraId="66B34323">
      <w:pPr>
        <w:jc w:val="left"/>
        <w:rPr>
          <w:rFonts w:ascii="宋体" w:hAnsi="宋体" w:cs="宋体"/>
          <w:b/>
          <w:color w:val="auto"/>
          <w:kern w:val="36"/>
          <w:sz w:val="36"/>
          <w:szCs w:val="36"/>
        </w:rPr>
      </w:pPr>
    </w:p>
    <w:p w14:paraId="5C90E671">
      <w:pPr>
        <w:pStyle w:val="3"/>
        <w:rPr>
          <w:color w:val="auto"/>
        </w:rPr>
      </w:pPr>
      <w:bookmarkStart w:id="324" w:name="_Toc13394"/>
      <w:bookmarkStart w:id="325" w:name="_Toc63238018"/>
      <w:bookmarkStart w:id="326" w:name="_Toc452708904"/>
      <w:bookmarkStart w:id="327" w:name="_Toc452907951"/>
      <w:r>
        <w:rPr>
          <w:rFonts w:hint="eastAsia"/>
          <w:color w:val="auto"/>
        </w:rPr>
        <w:t>一、投 标 函</w:t>
      </w:r>
      <w:bookmarkEnd w:id="324"/>
      <w:bookmarkEnd w:id="325"/>
    </w:p>
    <w:p w14:paraId="7446FB40">
      <w:pPr>
        <w:spacing w:before="75" w:after="75" w:line="276" w:lineRule="auto"/>
        <w:jc w:val="left"/>
        <w:textAlignment w:val="auto"/>
        <w:rPr>
          <w:rFonts w:ascii="宋体" w:hAnsi="宋体" w:cs="宋体"/>
          <w:color w:val="auto"/>
          <w:sz w:val="24"/>
          <w:szCs w:val="24"/>
        </w:rPr>
      </w:pPr>
      <w:r>
        <w:rPr>
          <w:rFonts w:hint="eastAsia" w:ascii="宋体" w:hAnsi="宋体" w:cs="宋体"/>
          <w:color w:val="auto"/>
          <w:sz w:val="24"/>
          <w:szCs w:val="24"/>
        </w:rPr>
        <w:t xml:space="preserve">致:  </w:t>
      </w:r>
      <w:r>
        <w:rPr>
          <w:rFonts w:hint="eastAsia" w:ascii="宋体" w:hAnsi="宋体" w:cs="宋体"/>
          <w:color w:val="auto"/>
          <w:sz w:val="24"/>
          <w:szCs w:val="24"/>
          <w:u w:val="single"/>
        </w:rPr>
        <w:t xml:space="preserve">              </w:t>
      </w:r>
      <w:r>
        <w:rPr>
          <w:rFonts w:hint="eastAsia" w:ascii="宋体" w:hAnsi="宋体" w:cs="宋体"/>
          <w:color w:val="auto"/>
          <w:sz w:val="24"/>
          <w:szCs w:val="24"/>
        </w:rPr>
        <w:t>（</w:t>
      </w:r>
      <w:r>
        <w:rPr>
          <w:rFonts w:hint="eastAsia" w:ascii="宋体" w:hAnsi="宋体" w:cs="宋体"/>
          <w:color w:val="auto"/>
          <w:sz w:val="24"/>
          <w:szCs w:val="24"/>
          <w:lang w:eastAsia="zh-CN"/>
        </w:rPr>
        <w:t>采购人</w:t>
      </w:r>
      <w:r>
        <w:rPr>
          <w:rFonts w:hint="eastAsia" w:ascii="宋体" w:hAnsi="宋体" w:cs="宋体"/>
          <w:color w:val="auto"/>
          <w:sz w:val="24"/>
          <w:szCs w:val="24"/>
        </w:rPr>
        <w:t>名称）</w:t>
      </w:r>
    </w:p>
    <w:p w14:paraId="206DE8B2">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1．我方已仔细研究了</w:t>
      </w:r>
      <w:r>
        <w:rPr>
          <w:rFonts w:hint="eastAsia" w:ascii="宋体" w:hAnsi="宋体" w:cs="宋体"/>
          <w:color w:val="auto"/>
          <w:sz w:val="24"/>
          <w:szCs w:val="24"/>
          <w:u w:val="single"/>
        </w:rPr>
        <w:t xml:space="preserve">       （项目名称）       </w:t>
      </w:r>
      <w:r>
        <w:rPr>
          <w:rFonts w:hint="eastAsia" w:ascii="宋体" w:hAnsi="宋体" w:cs="宋体"/>
          <w:color w:val="auto"/>
          <w:sz w:val="24"/>
          <w:szCs w:val="24"/>
        </w:rPr>
        <w:t>招标文件的全部内容，愿意以人民币：</w:t>
      </w:r>
      <w:r>
        <w:rPr>
          <w:rFonts w:hint="eastAsia" w:ascii="宋体" w:hAnsi="宋体" w:cs="宋体"/>
          <w:color w:val="auto"/>
          <w:sz w:val="24"/>
          <w:szCs w:val="24"/>
          <w:u w:val="single"/>
        </w:rPr>
        <w:t>（大写）              （¥：            ）</w:t>
      </w:r>
      <w:r>
        <w:rPr>
          <w:rFonts w:hint="eastAsia" w:ascii="宋体" w:hAnsi="宋体" w:cs="宋体"/>
          <w:color w:val="auto"/>
          <w:sz w:val="24"/>
          <w:szCs w:val="24"/>
        </w:rPr>
        <w:t>的投标总报价，提供本项目全部产品及售后相关服务，并严格按合同约定履行义务。</w:t>
      </w:r>
    </w:p>
    <w:p w14:paraId="70D7009C">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2．我方承诺除商务和技术偏差表列出的偏差外，我方响应招标文件的全部要求。</w:t>
      </w:r>
    </w:p>
    <w:p w14:paraId="299DC2FD">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3．我方承诺在招标文件规定的90天投标有效期内不撤销投标文件。</w:t>
      </w:r>
    </w:p>
    <w:p w14:paraId="74A7F139">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4．如我方中标，我方承诺：</w:t>
      </w:r>
    </w:p>
    <w:p w14:paraId="589DF5A2">
      <w:pPr>
        <w:spacing w:line="440" w:lineRule="exact"/>
        <w:ind w:left="960" w:leftChars="400" w:hanging="120" w:hangingChars="50"/>
        <w:rPr>
          <w:rFonts w:ascii="宋体" w:hAnsi="宋体" w:cs="宋体"/>
          <w:color w:val="auto"/>
          <w:sz w:val="24"/>
          <w:szCs w:val="24"/>
        </w:rPr>
      </w:pPr>
      <w:r>
        <w:rPr>
          <w:rFonts w:hint="eastAsia" w:ascii="宋体" w:hAnsi="宋体" w:cs="宋体"/>
          <w:color w:val="auto"/>
          <w:sz w:val="24"/>
          <w:szCs w:val="24"/>
        </w:rPr>
        <w:t>（1）在收到中标通知书后，在中标通知书规定的期限内与你方签订合同；</w:t>
      </w:r>
    </w:p>
    <w:p w14:paraId="41490D48">
      <w:pPr>
        <w:spacing w:line="440" w:lineRule="exact"/>
        <w:ind w:left="960" w:leftChars="400" w:hanging="120" w:hangingChars="50"/>
        <w:rPr>
          <w:rFonts w:ascii="宋体" w:hAnsi="宋体" w:cs="宋体"/>
          <w:color w:val="auto"/>
          <w:sz w:val="24"/>
          <w:szCs w:val="24"/>
        </w:rPr>
      </w:pPr>
      <w:r>
        <w:rPr>
          <w:rFonts w:hint="eastAsia" w:ascii="宋体" w:hAnsi="宋体" w:cs="宋体"/>
          <w:color w:val="auto"/>
          <w:sz w:val="24"/>
          <w:szCs w:val="24"/>
        </w:rPr>
        <w:t>（2）在签订合同时不向你方提出附加条件；</w:t>
      </w:r>
    </w:p>
    <w:p w14:paraId="66523DA1">
      <w:pPr>
        <w:spacing w:line="440" w:lineRule="exact"/>
        <w:ind w:left="960" w:leftChars="400" w:hanging="120" w:hangingChars="50"/>
        <w:rPr>
          <w:rFonts w:ascii="宋体" w:hAnsi="宋体" w:cs="宋体"/>
          <w:color w:val="auto"/>
          <w:sz w:val="24"/>
          <w:szCs w:val="24"/>
        </w:rPr>
      </w:pPr>
      <w:r>
        <w:rPr>
          <w:rFonts w:hint="eastAsia" w:ascii="宋体" w:hAnsi="宋体" w:cs="宋体"/>
          <w:color w:val="auto"/>
          <w:sz w:val="24"/>
          <w:szCs w:val="24"/>
        </w:rPr>
        <w:t>（3）</w:t>
      </w:r>
      <w:bookmarkStart w:id="328" w:name="_Toc369531694"/>
      <w:bookmarkStart w:id="329" w:name="_Toc352691658"/>
      <w:bookmarkStart w:id="330" w:name="_Toc1187"/>
      <w:r>
        <w:rPr>
          <w:rFonts w:hint="eastAsia" w:ascii="宋体" w:hAnsi="宋体" w:cs="宋体"/>
          <w:color w:val="auto"/>
          <w:sz w:val="24"/>
          <w:szCs w:val="24"/>
        </w:rPr>
        <w:t>在合同约定的期限内完成合同规定的全部义务；</w:t>
      </w:r>
    </w:p>
    <w:p w14:paraId="183CCE1B">
      <w:pPr>
        <w:spacing w:line="440" w:lineRule="exact"/>
        <w:ind w:left="960" w:leftChars="400" w:hanging="120" w:hangingChars="50"/>
        <w:rPr>
          <w:rFonts w:ascii="宋体" w:hAnsi="宋体" w:cs="宋体"/>
          <w:color w:val="auto"/>
          <w:sz w:val="24"/>
          <w:szCs w:val="24"/>
        </w:rPr>
      </w:pPr>
      <w:r>
        <w:rPr>
          <w:rFonts w:hint="eastAsia" w:ascii="宋体" w:hAnsi="宋体" w:cs="宋体"/>
          <w:color w:val="auto"/>
          <w:sz w:val="24"/>
          <w:szCs w:val="24"/>
        </w:rPr>
        <w:t>（4）</w:t>
      </w:r>
      <w:bookmarkEnd w:id="328"/>
      <w:bookmarkEnd w:id="329"/>
      <w:bookmarkEnd w:id="330"/>
      <w:r>
        <w:rPr>
          <w:rFonts w:hint="eastAsia" w:ascii="宋体" w:hAnsi="宋体" w:cs="宋体"/>
          <w:color w:val="auto"/>
          <w:sz w:val="24"/>
          <w:szCs w:val="24"/>
        </w:rPr>
        <w:t>我方完全理解并接受因我方无故放弃中标或拒签合同而受到的任何处罚。</w:t>
      </w:r>
    </w:p>
    <w:p w14:paraId="6B9F3074">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5．我方在此声明，所递交的投标文件及有关资料内容完整、真实和准确，且不存在第二章“投标人须知”第1.4.3项规定的任何一种情形。</w:t>
      </w:r>
    </w:p>
    <w:p w14:paraId="3A759FED">
      <w:pPr>
        <w:spacing w:line="440" w:lineRule="exact"/>
        <w:rPr>
          <w:rFonts w:ascii="宋体" w:hAnsi="宋体" w:cs="宋体"/>
          <w:color w:val="auto"/>
          <w:sz w:val="24"/>
          <w:szCs w:val="24"/>
        </w:rPr>
      </w:pPr>
    </w:p>
    <w:p w14:paraId="08343B1A">
      <w:pPr>
        <w:spacing w:line="440" w:lineRule="exact"/>
        <w:rPr>
          <w:rFonts w:ascii="宋体" w:hAnsi="宋体" w:cs="宋体"/>
          <w:color w:val="auto"/>
          <w:sz w:val="24"/>
          <w:szCs w:val="24"/>
        </w:rPr>
      </w:pPr>
    </w:p>
    <w:p w14:paraId="2F7528AB">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投标人：</w:t>
      </w:r>
      <w:r>
        <w:rPr>
          <w:rFonts w:hint="eastAsia" w:ascii="宋体" w:hAnsi="宋体" w:cs="宋体"/>
          <w:color w:val="auto"/>
          <w:sz w:val="24"/>
          <w:szCs w:val="24"/>
          <w:u w:val="single"/>
        </w:rPr>
        <w:t xml:space="preserve">（盖公章）                        </w:t>
      </w:r>
    </w:p>
    <w:p w14:paraId="5171E7B3">
      <w:pPr>
        <w:spacing w:line="440" w:lineRule="exact"/>
        <w:ind w:firstLine="480" w:firstLineChars="200"/>
        <w:rPr>
          <w:rFonts w:ascii="宋体" w:hAnsi="宋体" w:cs="宋体"/>
          <w:color w:val="auto"/>
          <w:sz w:val="24"/>
          <w:szCs w:val="24"/>
          <w:u w:val="single"/>
        </w:rPr>
      </w:pPr>
      <w:r>
        <w:rPr>
          <w:rFonts w:hint="eastAsia" w:ascii="宋体" w:hAnsi="宋体" w:cs="宋体"/>
          <w:color w:val="auto"/>
          <w:sz w:val="24"/>
          <w:szCs w:val="24"/>
        </w:rPr>
        <w:t>法定代表人（法人电子签章）：</w:t>
      </w:r>
      <w:r>
        <w:rPr>
          <w:rFonts w:hint="eastAsia" w:ascii="宋体" w:hAnsi="宋体" w:cs="宋体"/>
          <w:color w:val="auto"/>
          <w:sz w:val="24"/>
          <w:szCs w:val="24"/>
          <w:u w:val="single"/>
        </w:rPr>
        <w:t xml:space="preserve">              </w:t>
      </w:r>
    </w:p>
    <w:p w14:paraId="0CFC32ED">
      <w:pPr>
        <w:spacing w:line="440" w:lineRule="exact"/>
        <w:ind w:firstLine="480" w:firstLineChars="200"/>
        <w:rPr>
          <w:rFonts w:ascii="宋体" w:hAnsi="宋体" w:cs="宋体"/>
          <w:color w:val="auto"/>
          <w:sz w:val="24"/>
          <w:szCs w:val="24"/>
          <w:u w:val="single"/>
        </w:rPr>
      </w:pPr>
      <w:r>
        <w:rPr>
          <w:rFonts w:hint="eastAsia" w:ascii="宋体" w:hAnsi="宋体" w:cs="宋体"/>
          <w:color w:val="auto"/>
          <w:sz w:val="24"/>
          <w:szCs w:val="24"/>
        </w:rPr>
        <w:t>地  址：</w:t>
      </w:r>
      <w:r>
        <w:rPr>
          <w:rFonts w:hint="eastAsia" w:ascii="宋体" w:hAnsi="宋体" w:cs="宋体"/>
          <w:color w:val="auto"/>
          <w:sz w:val="24"/>
          <w:szCs w:val="24"/>
          <w:u w:val="single"/>
        </w:rPr>
        <w:t xml:space="preserve">                              </w:t>
      </w:r>
    </w:p>
    <w:p w14:paraId="2AC9734D">
      <w:pPr>
        <w:spacing w:line="440" w:lineRule="exact"/>
        <w:ind w:firstLine="480" w:firstLineChars="200"/>
        <w:rPr>
          <w:rFonts w:ascii="宋体" w:hAnsi="宋体" w:cs="宋体"/>
          <w:color w:val="auto"/>
          <w:sz w:val="24"/>
          <w:szCs w:val="24"/>
          <w:u w:val="single"/>
        </w:rPr>
      </w:pPr>
      <w:r>
        <w:rPr>
          <w:rFonts w:hint="eastAsia" w:ascii="宋体" w:hAnsi="宋体" w:cs="宋体"/>
          <w:color w:val="auto"/>
          <w:sz w:val="24"/>
          <w:szCs w:val="24"/>
        </w:rPr>
        <w:t>联系人：</w:t>
      </w:r>
      <w:r>
        <w:rPr>
          <w:rFonts w:hint="eastAsia" w:ascii="宋体" w:hAnsi="宋体" w:cs="宋体"/>
          <w:color w:val="auto"/>
          <w:sz w:val="24"/>
          <w:szCs w:val="24"/>
          <w:u w:val="single"/>
        </w:rPr>
        <w:t xml:space="preserve">                      </w:t>
      </w:r>
    </w:p>
    <w:p w14:paraId="6D037627">
      <w:pPr>
        <w:spacing w:line="440" w:lineRule="exact"/>
        <w:ind w:firstLine="480" w:firstLineChars="200"/>
        <w:rPr>
          <w:rFonts w:ascii="宋体" w:hAnsi="宋体" w:cs="宋体"/>
          <w:color w:val="auto"/>
          <w:sz w:val="24"/>
          <w:szCs w:val="24"/>
          <w:u w:val="single"/>
        </w:rPr>
      </w:pPr>
      <w:r>
        <w:rPr>
          <w:rFonts w:hint="eastAsia" w:ascii="宋体" w:hAnsi="宋体" w:cs="宋体"/>
          <w:color w:val="auto"/>
          <w:sz w:val="24"/>
          <w:szCs w:val="24"/>
        </w:rPr>
        <w:t>电  话：</w:t>
      </w:r>
      <w:r>
        <w:rPr>
          <w:rFonts w:hint="eastAsia" w:ascii="宋体" w:hAnsi="宋体" w:cs="宋体"/>
          <w:color w:val="auto"/>
          <w:sz w:val="24"/>
          <w:szCs w:val="24"/>
          <w:u w:val="single"/>
        </w:rPr>
        <w:t xml:space="preserve">                      </w:t>
      </w:r>
    </w:p>
    <w:p w14:paraId="5CD5EE84">
      <w:pPr>
        <w:spacing w:line="44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日  期：</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DDDA5CF">
      <w:pPr>
        <w:jc w:val="left"/>
        <w:rPr>
          <w:rFonts w:ascii="宋体" w:hAnsi="宋体" w:cs="宋体"/>
          <w:b/>
          <w:color w:val="auto"/>
          <w:kern w:val="36"/>
          <w:sz w:val="36"/>
          <w:szCs w:val="36"/>
        </w:rPr>
      </w:pPr>
    </w:p>
    <w:p w14:paraId="22AF0AD5">
      <w:pPr>
        <w:jc w:val="left"/>
        <w:rPr>
          <w:rFonts w:ascii="宋体" w:hAnsi="宋体" w:cs="宋体"/>
          <w:b/>
          <w:color w:val="auto"/>
          <w:kern w:val="36"/>
          <w:sz w:val="36"/>
          <w:szCs w:val="36"/>
        </w:rPr>
      </w:pPr>
    </w:p>
    <w:p w14:paraId="0103582F">
      <w:pPr>
        <w:jc w:val="left"/>
        <w:rPr>
          <w:rFonts w:ascii="宋体" w:hAnsi="宋体" w:cs="宋体"/>
          <w:b/>
          <w:color w:val="auto"/>
          <w:kern w:val="36"/>
          <w:sz w:val="36"/>
          <w:szCs w:val="36"/>
        </w:rPr>
      </w:pPr>
    </w:p>
    <w:p w14:paraId="699994F1">
      <w:pPr>
        <w:jc w:val="left"/>
        <w:rPr>
          <w:rFonts w:ascii="宋体" w:hAnsi="宋体" w:cs="宋体"/>
          <w:b/>
          <w:color w:val="auto"/>
          <w:kern w:val="36"/>
          <w:sz w:val="36"/>
          <w:szCs w:val="36"/>
        </w:rPr>
      </w:pPr>
    </w:p>
    <w:p w14:paraId="24D208BC">
      <w:pPr>
        <w:jc w:val="left"/>
        <w:rPr>
          <w:rFonts w:ascii="宋体" w:hAnsi="宋体" w:cs="宋体"/>
          <w:b/>
          <w:color w:val="auto"/>
          <w:kern w:val="36"/>
          <w:sz w:val="36"/>
          <w:szCs w:val="36"/>
        </w:rPr>
      </w:pPr>
    </w:p>
    <w:p w14:paraId="33992271">
      <w:pPr>
        <w:jc w:val="left"/>
        <w:rPr>
          <w:rFonts w:ascii="宋体" w:hAnsi="宋体" w:cs="宋体"/>
          <w:b/>
          <w:color w:val="auto"/>
          <w:kern w:val="36"/>
          <w:sz w:val="36"/>
          <w:szCs w:val="36"/>
        </w:rPr>
      </w:pPr>
    </w:p>
    <w:bookmarkEnd w:id="326"/>
    <w:bookmarkEnd w:id="327"/>
    <w:p w14:paraId="08B26762">
      <w:pPr>
        <w:jc w:val="center"/>
        <w:rPr>
          <w:rFonts w:ascii="宋体" w:hAnsi="宋体" w:cs="宋体"/>
          <w:b/>
          <w:color w:val="auto"/>
          <w:kern w:val="36"/>
          <w:sz w:val="36"/>
          <w:szCs w:val="36"/>
        </w:rPr>
      </w:pPr>
      <w:bookmarkStart w:id="331" w:name="_Toc10528"/>
      <w:r>
        <w:rPr>
          <w:rFonts w:hint="eastAsia" w:ascii="宋体" w:hAnsi="宋体" w:cs="宋体"/>
          <w:b/>
          <w:color w:val="auto"/>
          <w:kern w:val="36"/>
          <w:sz w:val="36"/>
          <w:szCs w:val="36"/>
        </w:rPr>
        <w:t>二、开标一览表</w:t>
      </w:r>
      <w:bookmarkEnd w:id="331"/>
    </w:p>
    <w:tbl>
      <w:tblPr>
        <w:tblStyle w:val="29"/>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3020"/>
        <w:gridCol w:w="1497"/>
        <w:gridCol w:w="3612"/>
      </w:tblGrid>
      <w:tr w14:paraId="20D9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51" w:type="pct"/>
            <w:vAlign w:val="center"/>
          </w:tcPr>
          <w:p w14:paraId="5211CF04">
            <w:pPr>
              <w:suppressAutoHyphens/>
              <w:adjustRightInd w:val="0"/>
              <w:snapToGrid w:val="0"/>
              <w:jc w:val="center"/>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项目名称</w:t>
            </w:r>
          </w:p>
        </w:tc>
        <w:tc>
          <w:tcPr>
            <w:tcW w:w="4148" w:type="pct"/>
            <w:gridSpan w:val="3"/>
            <w:vAlign w:val="bottom"/>
          </w:tcPr>
          <w:p w14:paraId="730AC982">
            <w:pPr>
              <w:suppressAutoHyphens/>
              <w:adjustRightInd w:val="0"/>
              <w:snapToGrid w:val="0"/>
              <w:rPr>
                <w:rFonts w:hint="eastAsia" w:ascii="宋体" w:hAnsi="宋体" w:eastAsia="宋体" w:cs="宋体"/>
                <w:color w:val="auto"/>
                <w:kern w:val="1"/>
                <w:sz w:val="24"/>
                <w:szCs w:val="24"/>
              </w:rPr>
            </w:pPr>
          </w:p>
        </w:tc>
      </w:tr>
      <w:tr w14:paraId="5CF2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51" w:type="pct"/>
            <w:vAlign w:val="center"/>
          </w:tcPr>
          <w:p w14:paraId="676338E3">
            <w:pPr>
              <w:suppressAutoHyphens/>
              <w:adjustRightInd w:val="0"/>
              <w:snapToGrid w:val="0"/>
              <w:jc w:val="center"/>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投标人名称</w:t>
            </w:r>
          </w:p>
        </w:tc>
        <w:tc>
          <w:tcPr>
            <w:tcW w:w="4148" w:type="pct"/>
            <w:gridSpan w:val="3"/>
            <w:vAlign w:val="center"/>
          </w:tcPr>
          <w:p w14:paraId="4295D11F">
            <w:pPr>
              <w:suppressAutoHyphens/>
              <w:adjustRightInd w:val="0"/>
              <w:snapToGrid w:val="0"/>
              <w:rPr>
                <w:rFonts w:hint="eastAsia" w:ascii="宋体" w:hAnsi="宋体" w:eastAsia="宋体" w:cs="宋体"/>
                <w:color w:val="auto"/>
                <w:kern w:val="1"/>
                <w:sz w:val="24"/>
                <w:szCs w:val="24"/>
              </w:rPr>
            </w:pPr>
          </w:p>
        </w:tc>
      </w:tr>
      <w:tr w14:paraId="6615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51" w:type="pct"/>
            <w:vAlign w:val="center"/>
          </w:tcPr>
          <w:p w14:paraId="1870E0BE">
            <w:pPr>
              <w:suppressAutoHyphens/>
              <w:adjustRightInd w:val="0"/>
              <w:snapToGrid w:val="0"/>
              <w:jc w:val="center"/>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项目负责人</w:t>
            </w:r>
          </w:p>
        </w:tc>
        <w:tc>
          <w:tcPr>
            <w:tcW w:w="1541" w:type="pct"/>
            <w:vAlign w:val="center"/>
          </w:tcPr>
          <w:p w14:paraId="69485981">
            <w:pPr>
              <w:suppressAutoHyphens/>
              <w:adjustRightInd w:val="0"/>
              <w:snapToGrid w:val="0"/>
              <w:rPr>
                <w:rFonts w:hint="eastAsia" w:ascii="宋体" w:hAnsi="宋体" w:eastAsia="宋体" w:cs="宋体"/>
                <w:color w:val="auto"/>
                <w:kern w:val="1"/>
                <w:sz w:val="24"/>
                <w:szCs w:val="24"/>
              </w:rPr>
            </w:pPr>
          </w:p>
        </w:tc>
        <w:tc>
          <w:tcPr>
            <w:tcW w:w="764" w:type="pct"/>
            <w:vAlign w:val="center"/>
          </w:tcPr>
          <w:p w14:paraId="6B45F33C">
            <w:pPr>
              <w:suppressAutoHyphens/>
              <w:adjustRightInd w:val="0"/>
              <w:snapToGrid w:val="0"/>
              <w:jc w:val="center"/>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职  称</w:t>
            </w:r>
          </w:p>
          <w:p w14:paraId="17251994">
            <w:pPr>
              <w:suppressAutoHyphens/>
              <w:adjustRightInd w:val="0"/>
              <w:snapToGrid w:val="0"/>
              <w:jc w:val="center"/>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lang w:eastAsia="zh-CN"/>
              </w:rPr>
              <w:t>（</w:t>
            </w:r>
            <w:r>
              <w:rPr>
                <w:rFonts w:hint="eastAsia" w:ascii="宋体" w:hAnsi="宋体" w:cs="宋体"/>
                <w:color w:val="auto"/>
                <w:kern w:val="1"/>
                <w:sz w:val="24"/>
                <w:szCs w:val="24"/>
                <w:lang w:val="en-US" w:eastAsia="zh-CN"/>
              </w:rPr>
              <w:t>如有</w:t>
            </w:r>
            <w:r>
              <w:rPr>
                <w:rFonts w:hint="eastAsia" w:ascii="宋体" w:hAnsi="宋体" w:cs="宋体"/>
                <w:color w:val="auto"/>
                <w:kern w:val="1"/>
                <w:sz w:val="24"/>
                <w:szCs w:val="24"/>
                <w:lang w:eastAsia="zh-CN"/>
              </w:rPr>
              <w:t>）</w:t>
            </w:r>
          </w:p>
        </w:tc>
        <w:tc>
          <w:tcPr>
            <w:tcW w:w="1842" w:type="pct"/>
            <w:vAlign w:val="center"/>
          </w:tcPr>
          <w:p w14:paraId="5ECB0188">
            <w:pPr>
              <w:suppressAutoHyphens/>
              <w:adjustRightInd w:val="0"/>
              <w:snapToGrid w:val="0"/>
              <w:rPr>
                <w:rFonts w:hint="eastAsia" w:ascii="宋体" w:hAnsi="宋体" w:eastAsia="宋体" w:cs="宋体"/>
                <w:color w:val="auto"/>
                <w:kern w:val="1"/>
                <w:sz w:val="24"/>
                <w:szCs w:val="24"/>
              </w:rPr>
            </w:pPr>
          </w:p>
        </w:tc>
      </w:tr>
      <w:tr w14:paraId="0196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51" w:type="pct"/>
            <w:vAlign w:val="center"/>
          </w:tcPr>
          <w:p w14:paraId="59F5CCFF">
            <w:pPr>
              <w:suppressAutoHyphens/>
              <w:adjustRightInd w:val="0"/>
              <w:snapToGrid w:val="0"/>
              <w:jc w:val="center"/>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项目联系人</w:t>
            </w:r>
          </w:p>
        </w:tc>
        <w:tc>
          <w:tcPr>
            <w:tcW w:w="1541" w:type="pct"/>
            <w:vAlign w:val="center"/>
          </w:tcPr>
          <w:p w14:paraId="4B8528AE">
            <w:pPr>
              <w:suppressAutoHyphens/>
              <w:adjustRightInd w:val="0"/>
              <w:snapToGrid w:val="0"/>
              <w:rPr>
                <w:rFonts w:hint="eastAsia" w:ascii="宋体" w:hAnsi="宋体" w:eastAsia="宋体" w:cs="宋体"/>
                <w:color w:val="auto"/>
                <w:kern w:val="1"/>
                <w:sz w:val="24"/>
                <w:szCs w:val="24"/>
              </w:rPr>
            </w:pPr>
          </w:p>
        </w:tc>
        <w:tc>
          <w:tcPr>
            <w:tcW w:w="764" w:type="pct"/>
            <w:vAlign w:val="center"/>
          </w:tcPr>
          <w:p w14:paraId="45C04F98">
            <w:pPr>
              <w:suppressAutoHyphens/>
              <w:adjustRightInd w:val="0"/>
              <w:snapToGrid w:val="0"/>
              <w:jc w:val="center"/>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联系电话</w:t>
            </w:r>
          </w:p>
        </w:tc>
        <w:tc>
          <w:tcPr>
            <w:tcW w:w="1842" w:type="pct"/>
            <w:vAlign w:val="center"/>
          </w:tcPr>
          <w:p w14:paraId="5C2A63A7">
            <w:pPr>
              <w:suppressAutoHyphens/>
              <w:adjustRightInd w:val="0"/>
              <w:snapToGrid w:val="0"/>
              <w:rPr>
                <w:rFonts w:hint="eastAsia" w:ascii="宋体" w:hAnsi="宋体" w:eastAsia="宋体" w:cs="宋体"/>
                <w:color w:val="auto"/>
                <w:kern w:val="1"/>
                <w:sz w:val="24"/>
                <w:szCs w:val="24"/>
              </w:rPr>
            </w:pPr>
          </w:p>
        </w:tc>
      </w:tr>
      <w:tr w14:paraId="4115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1" w:type="pct"/>
            <w:vAlign w:val="center"/>
          </w:tcPr>
          <w:p w14:paraId="4CBC7240">
            <w:pPr>
              <w:suppressAutoHyphens/>
              <w:adjustRightInd w:val="0"/>
              <w:snapToGrid w:val="0"/>
              <w:jc w:val="center"/>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投标总报价</w:t>
            </w:r>
          </w:p>
        </w:tc>
        <w:tc>
          <w:tcPr>
            <w:tcW w:w="4148" w:type="pct"/>
            <w:gridSpan w:val="3"/>
            <w:vAlign w:val="center"/>
          </w:tcPr>
          <w:p w14:paraId="0BA985F3">
            <w:pPr>
              <w:suppressAutoHyphens/>
              <w:adjustRightInd w:val="0"/>
              <w:snapToGrid w:val="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大写：</w:t>
            </w:r>
            <w:r>
              <w:rPr>
                <w:rFonts w:hint="eastAsia" w:ascii="宋体" w:hAnsi="宋体" w:eastAsia="宋体" w:cs="宋体"/>
                <w:color w:val="auto"/>
                <w:kern w:val="1"/>
                <w:sz w:val="24"/>
                <w:szCs w:val="24"/>
                <w:u w:val="single" w:color="auto"/>
              </w:rPr>
              <w:t xml:space="preserve">                               </w:t>
            </w:r>
          </w:p>
          <w:p w14:paraId="451568CB">
            <w:pPr>
              <w:suppressAutoHyphens/>
              <w:adjustRightInd w:val="0"/>
              <w:snapToGrid w:val="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小写¥：</w:t>
            </w:r>
            <w:r>
              <w:rPr>
                <w:rFonts w:hint="eastAsia" w:ascii="宋体" w:hAnsi="宋体" w:eastAsia="宋体" w:cs="宋体"/>
                <w:color w:val="auto"/>
                <w:kern w:val="1"/>
                <w:sz w:val="24"/>
                <w:szCs w:val="24"/>
                <w:u w:val="single" w:color="auto"/>
              </w:rPr>
              <w:t xml:space="preserve">          </w:t>
            </w:r>
            <w:r>
              <w:rPr>
                <w:rFonts w:hint="eastAsia" w:ascii="宋体" w:hAnsi="宋体" w:eastAsia="宋体" w:cs="宋体"/>
                <w:color w:val="auto"/>
                <w:kern w:val="1"/>
                <w:sz w:val="24"/>
                <w:szCs w:val="24"/>
              </w:rPr>
              <w:t>元</w:t>
            </w:r>
          </w:p>
        </w:tc>
      </w:tr>
      <w:tr w14:paraId="5816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51" w:type="pct"/>
            <w:vAlign w:val="center"/>
          </w:tcPr>
          <w:p w14:paraId="5FBD83EE">
            <w:pPr>
              <w:suppressAutoHyphens/>
              <w:adjustRightInd w:val="0"/>
              <w:snapToGrid w:val="0"/>
              <w:jc w:val="center"/>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交货期限</w:t>
            </w:r>
          </w:p>
        </w:tc>
        <w:tc>
          <w:tcPr>
            <w:tcW w:w="4148" w:type="pct"/>
            <w:gridSpan w:val="3"/>
            <w:vAlign w:val="center"/>
          </w:tcPr>
          <w:p w14:paraId="10CB61A5">
            <w:pPr>
              <w:suppressAutoHyphens/>
              <w:adjustRightInd w:val="0"/>
              <w:snapToGrid w:val="0"/>
              <w:rPr>
                <w:rFonts w:hint="eastAsia" w:ascii="宋体" w:hAnsi="宋体" w:eastAsia="宋体" w:cs="宋体"/>
                <w:color w:val="auto"/>
                <w:kern w:val="1"/>
                <w:sz w:val="24"/>
                <w:szCs w:val="24"/>
              </w:rPr>
            </w:pPr>
          </w:p>
        </w:tc>
      </w:tr>
      <w:tr w14:paraId="5156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51" w:type="pct"/>
            <w:vAlign w:val="center"/>
          </w:tcPr>
          <w:p w14:paraId="3B47F699">
            <w:pPr>
              <w:suppressAutoHyphens/>
              <w:adjustRightInd w:val="0"/>
              <w:snapToGrid w:val="0"/>
              <w:jc w:val="center"/>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质量</w:t>
            </w:r>
          </w:p>
        </w:tc>
        <w:tc>
          <w:tcPr>
            <w:tcW w:w="4148" w:type="pct"/>
            <w:gridSpan w:val="3"/>
            <w:vAlign w:val="center"/>
          </w:tcPr>
          <w:p w14:paraId="1395346D">
            <w:pPr>
              <w:suppressAutoHyphens/>
              <w:adjustRightInd w:val="0"/>
              <w:snapToGrid w:val="0"/>
              <w:rPr>
                <w:rFonts w:hint="eastAsia" w:ascii="宋体" w:hAnsi="宋体" w:eastAsia="宋体" w:cs="宋体"/>
                <w:color w:val="auto"/>
                <w:kern w:val="1"/>
                <w:sz w:val="24"/>
                <w:szCs w:val="24"/>
                <w:lang w:eastAsia="zh-CN"/>
              </w:rPr>
            </w:pPr>
          </w:p>
        </w:tc>
      </w:tr>
      <w:tr w14:paraId="1ED4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51" w:type="pct"/>
            <w:vAlign w:val="center"/>
          </w:tcPr>
          <w:p w14:paraId="181EFF24">
            <w:pPr>
              <w:suppressAutoHyphens/>
              <w:adjustRightInd w:val="0"/>
              <w:snapToGrid w:val="0"/>
              <w:jc w:val="center"/>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质保期</w:t>
            </w:r>
          </w:p>
        </w:tc>
        <w:tc>
          <w:tcPr>
            <w:tcW w:w="4148" w:type="pct"/>
            <w:gridSpan w:val="3"/>
            <w:vAlign w:val="center"/>
          </w:tcPr>
          <w:p w14:paraId="4184367C">
            <w:pPr>
              <w:suppressAutoHyphens/>
              <w:adjustRightInd w:val="0"/>
              <w:snapToGrid w:val="0"/>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u w:val="single" w:color="auto"/>
                <w:lang w:val="en-US" w:eastAsia="zh-CN"/>
              </w:rPr>
              <w:t xml:space="preserve">        </w:t>
            </w:r>
            <w:r>
              <w:rPr>
                <w:rFonts w:hint="eastAsia" w:ascii="宋体" w:hAnsi="宋体" w:cs="宋体"/>
                <w:color w:val="auto"/>
                <w:kern w:val="1"/>
                <w:sz w:val="24"/>
                <w:szCs w:val="24"/>
                <w:u w:val="none" w:color="auto"/>
                <w:lang w:val="en-US" w:eastAsia="zh-CN"/>
              </w:rPr>
              <w:t>年</w:t>
            </w:r>
          </w:p>
        </w:tc>
      </w:tr>
      <w:tr w14:paraId="7D8F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51" w:type="pct"/>
            <w:vAlign w:val="center"/>
          </w:tcPr>
          <w:p w14:paraId="4C8BE3EB">
            <w:pPr>
              <w:suppressAutoHyphens/>
              <w:adjustRightInd w:val="0"/>
              <w:snapToGrid w:val="0"/>
              <w:jc w:val="center"/>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投标有效期</w:t>
            </w:r>
          </w:p>
        </w:tc>
        <w:tc>
          <w:tcPr>
            <w:tcW w:w="4148" w:type="pct"/>
            <w:gridSpan w:val="3"/>
            <w:vAlign w:val="center"/>
          </w:tcPr>
          <w:p w14:paraId="6EF336FA">
            <w:pPr>
              <w:suppressAutoHyphens/>
              <w:adjustRightInd w:val="0"/>
              <w:snapToGrid w:val="0"/>
              <w:rPr>
                <w:rFonts w:hint="eastAsia" w:ascii="宋体" w:hAnsi="宋体" w:eastAsia="宋体" w:cs="宋体"/>
                <w:color w:val="auto"/>
                <w:kern w:val="1"/>
                <w:sz w:val="24"/>
                <w:szCs w:val="24"/>
              </w:rPr>
            </w:pPr>
          </w:p>
        </w:tc>
      </w:tr>
      <w:tr w14:paraId="4EE6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trPr>
        <w:tc>
          <w:tcPr>
            <w:tcW w:w="851" w:type="pct"/>
            <w:vAlign w:val="center"/>
          </w:tcPr>
          <w:p w14:paraId="174B6EE7">
            <w:pPr>
              <w:suppressAutoHyphens/>
              <w:adjustRightInd w:val="0"/>
              <w:snapToGrid w:val="0"/>
              <w:jc w:val="center"/>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服务承诺</w:t>
            </w:r>
          </w:p>
        </w:tc>
        <w:tc>
          <w:tcPr>
            <w:tcW w:w="4148" w:type="pct"/>
            <w:gridSpan w:val="3"/>
            <w:vAlign w:val="center"/>
          </w:tcPr>
          <w:p w14:paraId="2CFCAD0D">
            <w:pPr>
              <w:suppressAutoHyphens/>
              <w:adjustRightInd w:val="0"/>
              <w:snapToGrid w:val="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可另行附页</w:t>
            </w:r>
          </w:p>
        </w:tc>
      </w:tr>
    </w:tbl>
    <w:p w14:paraId="64AC1785">
      <w:pPr>
        <w:suppressAutoHyphens/>
        <w:adjustRightInd w:val="0"/>
        <w:snapToGrid w:val="0"/>
        <w:rPr>
          <w:rFonts w:hint="eastAsia" w:ascii="宋体" w:hAnsi="宋体" w:eastAsia="宋体" w:cs="宋体"/>
          <w:color w:val="auto"/>
          <w:kern w:val="1"/>
          <w:sz w:val="24"/>
          <w:szCs w:val="24"/>
        </w:rPr>
      </w:pPr>
      <w:bookmarkStart w:id="332" w:name="_Toc322654684"/>
      <w:bookmarkStart w:id="333" w:name="_Toc303697559"/>
      <w:r>
        <w:rPr>
          <w:rFonts w:hint="eastAsia" w:ascii="宋体" w:hAnsi="宋体" w:eastAsia="宋体" w:cs="宋体"/>
          <w:color w:val="auto"/>
          <w:kern w:val="1"/>
          <w:sz w:val="24"/>
          <w:szCs w:val="24"/>
        </w:rPr>
        <w:t>投标人：</w:t>
      </w:r>
      <w:bookmarkEnd w:id="332"/>
      <w:r>
        <w:rPr>
          <w:rFonts w:hint="eastAsia" w:ascii="宋体" w:hAnsi="宋体" w:eastAsia="宋体" w:cs="宋体"/>
          <w:color w:val="auto"/>
          <w:kern w:val="1"/>
          <w:sz w:val="24"/>
          <w:szCs w:val="24"/>
        </w:rPr>
        <w:t>（盖单位电子公章）</w:t>
      </w:r>
    </w:p>
    <w:p w14:paraId="538143B4">
      <w:pPr>
        <w:pStyle w:val="27"/>
        <w:rPr>
          <w:rFonts w:hint="eastAsia"/>
          <w:color w:val="auto"/>
        </w:rPr>
      </w:pPr>
    </w:p>
    <w:p w14:paraId="310E604D">
      <w:pPr>
        <w:suppressAutoHyphens/>
        <w:adjustRightInd w:val="0"/>
        <w:snapToGrid w:val="0"/>
        <w:rPr>
          <w:rFonts w:ascii="宋体" w:hAnsi="宋体" w:cs="宋体"/>
          <w:b/>
          <w:color w:val="auto"/>
          <w:kern w:val="36"/>
          <w:sz w:val="36"/>
          <w:szCs w:val="36"/>
        </w:rPr>
      </w:pPr>
      <w:r>
        <w:rPr>
          <w:rFonts w:hint="eastAsia" w:ascii="宋体" w:hAnsi="宋体" w:eastAsia="宋体" w:cs="宋体"/>
          <w:color w:val="auto"/>
          <w:kern w:val="1"/>
          <w:sz w:val="24"/>
          <w:szCs w:val="24"/>
        </w:rPr>
        <w:t>法定代表人</w:t>
      </w:r>
      <w:bookmarkEnd w:id="333"/>
      <w:r>
        <w:rPr>
          <w:rFonts w:hint="eastAsia" w:ascii="宋体" w:hAnsi="宋体" w:eastAsia="宋体" w:cs="宋体"/>
          <w:color w:val="auto"/>
          <w:kern w:val="1"/>
          <w:sz w:val="24"/>
          <w:szCs w:val="24"/>
        </w:rPr>
        <w:t>：（法人电子签章）</w:t>
      </w:r>
      <w:bookmarkStart w:id="334" w:name="_Toc309605966"/>
      <w:bookmarkEnd w:id="334"/>
    </w:p>
    <w:p w14:paraId="6F65E692">
      <w:pPr>
        <w:widowControl w:val="0"/>
        <w:spacing w:line="360" w:lineRule="auto"/>
        <w:ind w:firstLine="561" w:firstLineChars="216"/>
        <w:jc w:val="left"/>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注：1、此表中的投标总价应和投标函中的投标总价相一致；若用文字表示的数值与用数字表示的数值不一致，以文字表示的数值为准。</w:t>
      </w:r>
      <w:bookmarkStart w:id="335" w:name="_Toc359842905"/>
      <w:bookmarkEnd w:id="335"/>
      <w:bookmarkStart w:id="336" w:name="_Toc325383407"/>
      <w:bookmarkEnd w:id="336"/>
      <w:bookmarkStart w:id="337" w:name="_Toc324696984"/>
      <w:bookmarkEnd w:id="337"/>
      <w:bookmarkStart w:id="338" w:name="_Toc325446133"/>
      <w:bookmarkEnd w:id="338"/>
      <w:bookmarkStart w:id="339" w:name="_Toc266859802"/>
      <w:bookmarkEnd w:id="339"/>
      <w:bookmarkStart w:id="340" w:name="_Toc526072759"/>
      <w:bookmarkEnd w:id="340"/>
      <w:bookmarkStart w:id="341" w:name="_Toc321903857"/>
      <w:bookmarkEnd w:id="341"/>
    </w:p>
    <w:p w14:paraId="730E1C3C">
      <w:pPr>
        <w:widowControl w:val="0"/>
        <w:numPr>
          <w:ilvl w:val="0"/>
          <w:numId w:val="10"/>
        </w:numPr>
        <w:spacing w:line="360" w:lineRule="auto"/>
        <w:ind w:firstLine="561" w:firstLineChars="216"/>
        <w:jc w:val="left"/>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附项目负责人、项目联系人身份证</w:t>
      </w:r>
      <w:r>
        <w:rPr>
          <w:rFonts w:hint="eastAsia" w:ascii="宋体" w:hAnsi="宋体" w:cs="宋体"/>
          <w:color w:val="auto"/>
          <w:kern w:val="2"/>
          <w:sz w:val="26"/>
          <w:szCs w:val="28"/>
          <w:lang w:val="en-US" w:eastAsia="zh-CN"/>
        </w:rPr>
        <w:t>原件的</w:t>
      </w:r>
      <w:r>
        <w:rPr>
          <w:rFonts w:hint="eastAsia" w:ascii="宋体" w:hAnsi="宋体" w:eastAsia="宋体" w:cs="宋体"/>
          <w:color w:val="auto"/>
          <w:kern w:val="2"/>
          <w:sz w:val="26"/>
          <w:szCs w:val="28"/>
        </w:rPr>
        <w:t>正反两面的扫描件。</w:t>
      </w:r>
    </w:p>
    <w:p w14:paraId="5C8A5C5D">
      <w:pPr>
        <w:pStyle w:val="27"/>
        <w:numPr>
          <w:ilvl w:val="0"/>
          <w:numId w:val="0"/>
        </w:numPr>
        <w:adjustRightInd w:val="0"/>
        <w:spacing w:after="60" w:line="360" w:lineRule="atLeast"/>
        <w:ind w:right="63" w:rightChars="30"/>
        <w:jc w:val="center"/>
        <w:textAlignment w:val="baseline"/>
        <w:rPr>
          <w:color w:val="auto"/>
        </w:rPr>
      </w:pPr>
    </w:p>
    <w:p w14:paraId="4DA89144">
      <w:pPr>
        <w:pStyle w:val="28"/>
        <w:rPr>
          <w:color w:val="auto"/>
        </w:rPr>
      </w:pPr>
    </w:p>
    <w:p w14:paraId="24BB8BB2">
      <w:pPr>
        <w:jc w:val="center"/>
        <w:rPr>
          <w:rFonts w:ascii="宋体" w:hAnsi="宋体" w:cs="宋体"/>
          <w:b/>
          <w:color w:val="auto"/>
          <w:kern w:val="36"/>
          <w:sz w:val="36"/>
          <w:szCs w:val="36"/>
        </w:rPr>
      </w:pPr>
      <w:bookmarkStart w:id="342" w:name="_Toc11159"/>
      <w:bookmarkStart w:id="343" w:name="_Toc71728953"/>
      <w:bookmarkStart w:id="344" w:name="_Toc79597630"/>
      <w:bookmarkStart w:id="345" w:name="_Toc63238020"/>
      <w:bookmarkStart w:id="346" w:name="_Toc452907957"/>
      <w:bookmarkStart w:id="347" w:name="_Toc422041010"/>
      <w:bookmarkStart w:id="348" w:name="_Toc395626667"/>
      <w:bookmarkStart w:id="349" w:name="_Toc312141140"/>
      <w:r>
        <w:rPr>
          <w:rFonts w:hint="eastAsia" w:ascii="宋体" w:hAnsi="宋体" w:cs="宋体"/>
          <w:b/>
          <w:color w:val="auto"/>
          <w:kern w:val="36"/>
          <w:sz w:val="36"/>
          <w:szCs w:val="36"/>
        </w:rPr>
        <w:t>三、分项报价表</w:t>
      </w:r>
      <w:bookmarkEnd w:id="342"/>
      <w:bookmarkEnd w:id="343"/>
      <w:bookmarkEnd w:id="344"/>
    </w:p>
    <w:p w14:paraId="4288F89F">
      <w:pPr>
        <w:jc w:val="left"/>
        <w:rPr>
          <w:rFonts w:ascii="宋体" w:hAnsi="宋体" w:cs="宋体"/>
          <w:b/>
          <w:color w:val="auto"/>
          <w:kern w:val="36"/>
          <w:sz w:val="36"/>
          <w:szCs w:val="36"/>
        </w:rPr>
      </w:pPr>
    </w:p>
    <w:tbl>
      <w:tblPr>
        <w:tblStyle w:val="29"/>
        <w:tblW w:w="4991" w:type="pct"/>
        <w:jc w:val="center"/>
        <w:tblLayout w:type="autofit"/>
        <w:tblCellMar>
          <w:top w:w="0" w:type="dxa"/>
          <w:left w:w="108" w:type="dxa"/>
          <w:bottom w:w="0" w:type="dxa"/>
          <w:right w:w="108" w:type="dxa"/>
        </w:tblCellMar>
      </w:tblPr>
      <w:tblGrid>
        <w:gridCol w:w="712"/>
        <w:gridCol w:w="1239"/>
        <w:gridCol w:w="1119"/>
        <w:gridCol w:w="1245"/>
        <w:gridCol w:w="1576"/>
        <w:gridCol w:w="745"/>
        <w:gridCol w:w="840"/>
        <w:gridCol w:w="801"/>
        <w:gridCol w:w="753"/>
        <w:gridCol w:w="805"/>
      </w:tblGrid>
      <w:tr w14:paraId="45E7E4D9">
        <w:tblPrEx>
          <w:tblCellMar>
            <w:top w:w="0" w:type="dxa"/>
            <w:left w:w="108" w:type="dxa"/>
            <w:bottom w:w="0" w:type="dxa"/>
            <w:right w:w="108" w:type="dxa"/>
          </w:tblCellMar>
        </w:tblPrEx>
        <w:trPr>
          <w:cantSplit/>
          <w:trHeight w:val="317" w:hRule="atLeast"/>
          <w:jc w:val="center"/>
        </w:trPr>
        <w:tc>
          <w:tcPr>
            <w:tcW w:w="362" w:type="pct"/>
            <w:tcBorders>
              <w:top w:val="single" w:color="auto" w:sz="4" w:space="0"/>
              <w:left w:val="single" w:color="auto" w:sz="4" w:space="0"/>
              <w:bottom w:val="single" w:color="auto" w:sz="4" w:space="0"/>
              <w:right w:val="single" w:color="auto" w:sz="4" w:space="0"/>
            </w:tcBorders>
            <w:vAlign w:val="center"/>
          </w:tcPr>
          <w:p w14:paraId="0B84E97F">
            <w:pPr>
              <w:jc w:val="center"/>
              <w:rPr>
                <w:rFonts w:hint="eastAsia" w:ascii="宋体" w:hAnsi="宋体" w:eastAsia="宋体" w:cs="宋体"/>
                <w:b/>
                <w:bCs/>
                <w:color w:val="auto"/>
              </w:rPr>
            </w:pPr>
            <w:r>
              <w:rPr>
                <w:rFonts w:hint="eastAsia" w:ascii="宋体" w:hAnsi="宋体" w:eastAsia="宋体" w:cs="宋体"/>
                <w:b/>
                <w:bCs/>
                <w:color w:val="auto"/>
                <w:lang w:val="en-US" w:eastAsia="zh-CN"/>
              </w:rPr>
              <w:t>序号</w:t>
            </w:r>
          </w:p>
        </w:tc>
        <w:tc>
          <w:tcPr>
            <w:tcW w:w="630" w:type="pct"/>
            <w:tcBorders>
              <w:top w:val="single" w:color="auto" w:sz="4" w:space="0"/>
              <w:left w:val="nil"/>
              <w:bottom w:val="single" w:color="auto" w:sz="4" w:space="0"/>
              <w:right w:val="single" w:color="auto" w:sz="4" w:space="0"/>
            </w:tcBorders>
            <w:vAlign w:val="center"/>
          </w:tcPr>
          <w:p w14:paraId="67CE0B2F">
            <w:pPr>
              <w:jc w:val="center"/>
              <w:rPr>
                <w:rFonts w:hint="eastAsia" w:ascii="宋体" w:hAnsi="宋体" w:eastAsia="宋体" w:cs="宋体"/>
                <w:b/>
                <w:bCs/>
                <w:color w:val="auto"/>
              </w:rPr>
            </w:pPr>
            <w:r>
              <w:rPr>
                <w:rFonts w:hint="eastAsia" w:ascii="宋体" w:hAnsi="宋体" w:cs="宋体"/>
                <w:b/>
                <w:bCs/>
                <w:color w:val="auto"/>
                <w:lang w:val="en-US" w:eastAsia="zh-CN"/>
              </w:rPr>
              <w:t>产品</w:t>
            </w:r>
            <w:r>
              <w:rPr>
                <w:rFonts w:hint="eastAsia" w:ascii="宋体" w:hAnsi="宋体" w:eastAsia="宋体" w:cs="宋体"/>
                <w:b/>
                <w:bCs/>
                <w:color w:val="auto"/>
              </w:rPr>
              <w:t>名称</w:t>
            </w:r>
          </w:p>
        </w:tc>
        <w:tc>
          <w:tcPr>
            <w:tcW w:w="569" w:type="pct"/>
            <w:tcBorders>
              <w:top w:val="single" w:color="auto" w:sz="4" w:space="0"/>
              <w:left w:val="nil"/>
              <w:bottom w:val="single" w:color="auto" w:sz="4" w:space="0"/>
              <w:right w:val="single" w:color="auto" w:sz="4" w:space="0"/>
            </w:tcBorders>
            <w:shd w:val="clear" w:color="auto" w:fill="auto"/>
            <w:vAlign w:val="center"/>
          </w:tcPr>
          <w:p w14:paraId="5AC32952">
            <w:pPr>
              <w:jc w:val="center"/>
              <w:rPr>
                <w:rFonts w:hint="eastAsia" w:ascii="宋体" w:hAnsi="宋体" w:eastAsia="宋体" w:cs="宋体"/>
                <w:b/>
                <w:bCs/>
                <w:color w:val="auto"/>
                <w:sz w:val="21"/>
                <w:u w:color="000000"/>
                <w:lang w:val="en-US" w:eastAsia="zh-CN" w:bidi="ar-SA"/>
              </w:rPr>
            </w:pPr>
            <w:r>
              <w:rPr>
                <w:rFonts w:hint="eastAsia" w:ascii="宋体" w:hAnsi="宋体" w:cs="宋体"/>
                <w:b/>
                <w:bCs/>
                <w:color w:val="auto"/>
                <w:lang w:val="en-US" w:eastAsia="zh-CN"/>
              </w:rPr>
              <w:t>品牌</w:t>
            </w:r>
          </w:p>
        </w:tc>
        <w:tc>
          <w:tcPr>
            <w:tcW w:w="633" w:type="pct"/>
            <w:tcBorders>
              <w:top w:val="single" w:color="auto" w:sz="4" w:space="0"/>
              <w:left w:val="nil"/>
              <w:bottom w:val="single" w:color="auto" w:sz="4" w:space="0"/>
              <w:right w:val="single" w:color="auto" w:sz="4" w:space="0"/>
            </w:tcBorders>
            <w:shd w:val="clear" w:color="auto" w:fill="auto"/>
            <w:vAlign w:val="top"/>
          </w:tcPr>
          <w:p w14:paraId="3802F51C">
            <w:pPr>
              <w:jc w:val="center"/>
              <w:rPr>
                <w:rFonts w:hint="eastAsia" w:ascii="宋体" w:hAnsi="宋体" w:eastAsia="宋体" w:cs="宋体"/>
                <w:b/>
                <w:bCs/>
                <w:color w:val="auto"/>
                <w:sz w:val="21"/>
                <w:u w:color="000000"/>
                <w:lang w:val="en-US" w:eastAsia="zh-CN" w:bidi="ar-SA"/>
              </w:rPr>
            </w:pPr>
            <w:r>
              <w:rPr>
                <w:rFonts w:hint="eastAsia" w:ascii="宋体" w:hAnsi="宋体" w:cs="宋体"/>
                <w:b/>
                <w:bCs/>
                <w:color w:val="auto"/>
                <w:lang w:val="en-US" w:eastAsia="zh-CN"/>
              </w:rPr>
              <w:t>型号</w:t>
            </w:r>
          </w:p>
        </w:tc>
        <w:tc>
          <w:tcPr>
            <w:tcW w:w="801" w:type="pct"/>
            <w:tcBorders>
              <w:top w:val="single" w:color="auto" w:sz="4" w:space="0"/>
              <w:left w:val="nil"/>
              <w:bottom w:val="single" w:color="auto" w:sz="4" w:space="0"/>
              <w:right w:val="single" w:color="auto" w:sz="4" w:space="0"/>
            </w:tcBorders>
            <w:shd w:val="clear" w:color="auto" w:fill="auto"/>
            <w:vAlign w:val="top"/>
          </w:tcPr>
          <w:p w14:paraId="4F3432A7">
            <w:pPr>
              <w:jc w:val="center"/>
              <w:rPr>
                <w:rFonts w:hint="eastAsia" w:ascii="宋体" w:hAnsi="宋体" w:eastAsia="宋体" w:cs="宋体"/>
                <w:b/>
                <w:bCs/>
                <w:color w:val="auto"/>
                <w:sz w:val="21"/>
                <w:u w:color="000000"/>
                <w:lang w:val="en-US" w:eastAsia="zh-CN" w:bidi="ar-SA"/>
              </w:rPr>
            </w:pPr>
            <w:r>
              <w:rPr>
                <w:rFonts w:hint="eastAsia" w:ascii="宋体" w:hAnsi="宋体" w:cs="宋体"/>
                <w:b/>
                <w:bCs/>
                <w:color w:val="auto"/>
                <w:lang w:val="en-US" w:eastAsia="zh-CN"/>
              </w:rPr>
              <w:t>制造商</w:t>
            </w:r>
          </w:p>
        </w:tc>
        <w:tc>
          <w:tcPr>
            <w:tcW w:w="379" w:type="pct"/>
            <w:tcBorders>
              <w:top w:val="single" w:color="auto" w:sz="4" w:space="0"/>
              <w:left w:val="nil"/>
              <w:bottom w:val="single" w:color="auto" w:sz="4" w:space="0"/>
              <w:right w:val="single" w:color="auto" w:sz="4" w:space="0"/>
            </w:tcBorders>
            <w:vAlign w:val="center"/>
          </w:tcPr>
          <w:p w14:paraId="3496A73C">
            <w:pPr>
              <w:jc w:val="center"/>
              <w:rPr>
                <w:rFonts w:hint="eastAsia" w:ascii="宋体" w:hAnsi="宋体" w:eastAsia="宋体" w:cs="宋体"/>
                <w:b/>
                <w:bCs/>
                <w:color w:val="auto"/>
              </w:rPr>
            </w:pPr>
            <w:r>
              <w:rPr>
                <w:rFonts w:hint="eastAsia" w:ascii="宋体" w:hAnsi="宋体" w:eastAsia="宋体" w:cs="宋体"/>
                <w:b/>
                <w:bCs/>
                <w:color w:val="auto"/>
              </w:rPr>
              <w:t>单位</w:t>
            </w:r>
          </w:p>
        </w:tc>
        <w:tc>
          <w:tcPr>
            <w:tcW w:w="427" w:type="pct"/>
            <w:tcBorders>
              <w:top w:val="single" w:color="auto" w:sz="4" w:space="0"/>
              <w:left w:val="nil"/>
              <w:bottom w:val="single" w:color="auto" w:sz="4" w:space="0"/>
              <w:right w:val="single" w:color="auto" w:sz="4" w:space="0"/>
            </w:tcBorders>
            <w:vAlign w:val="center"/>
          </w:tcPr>
          <w:p w14:paraId="66DD1862">
            <w:pPr>
              <w:jc w:val="center"/>
              <w:rPr>
                <w:rFonts w:hint="eastAsia" w:ascii="宋体" w:hAnsi="宋体" w:eastAsia="宋体" w:cs="宋体"/>
                <w:b/>
                <w:bCs/>
                <w:color w:val="auto"/>
              </w:rPr>
            </w:pPr>
            <w:r>
              <w:rPr>
                <w:rFonts w:hint="eastAsia" w:ascii="宋体" w:hAnsi="宋体" w:eastAsia="宋体" w:cs="宋体"/>
                <w:b/>
                <w:bCs/>
                <w:color w:val="auto"/>
              </w:rPr>
              <w:t>数量</w:t>
            </w:r>
          </w:p>
        </w:tc>
        <w:tc>
          <w:tcPr>
            <w:tcW w:w="407" w:type="pct"/>
            <w:tcBorders>
              <w:top w:val="single" w:color="auto" w:sz="4" w:space="0"/>
              <w:left w:val="nil"/>
              <w:bottom w:val="single" w:color="auto" w:sz="4" w:space="0"/>
              <w:right w:val="single" w:color="auto" w:sz="4" w:space="0"/>
            </w:tcBorders>
            <w:vAlign w:val="center"/>
          </w:tcPr>
          <w:p w14:paraId="3542EC25">
            <w:pPr>
              <w:jc w:val="center"/>
              <w:rPr>
                <w:rFonts w:hint="eastAsia" w:ascii="宋体" w:hAnsi="宋体" w:eastAsia="宋体" w:cs="宋体"/>
                <w:b/>
                <w:bCs/>
                <w:color w:val="auto"/>
              </w:rPr>
            </w:pPr>
            <w:r>
              <w:rPr>
                <w:rFonts w:hint="eastAsia" w:ascii="宋体" w:hAnsi="宋体" w:eastAsia="宋体" w:cs="宋体"/>
                <w:b/>
                <w:bCs/>
                <w:color w:val="auto"/>
              </w:rPr>
              <w:t>单价</w:t>
            </w:r>
          </w:p>
        </w:tc>
        <w:tc>
          <w:tcPr>
            <w:tcW w:w="383" w:type="pct"/>
            <w:tcBorders>
              <w:top w:val="single" w:color="auto" w:sz="4" w:space="0"/>
              <w:left w:val="nil"/>
              <w:bottom w:val="single" w:color="auto" w:sz="4" w:space="0"/>
              <w:right w:val="single" w:color="auto" w:sz="4" w:space="0"/>
            </w:tcBorders>
            <w:vAlign w:val="center"/>
          </w:tcPr>
          <w:p w14:paraId="6AFA1CB5">
            <w:pPr>
              <w:jc w:val="center"/>
              <w:rPr>
                <w:rFonts w:hint="eastAsia" w:ascii="宋体" w:hAnsi="宋体" w:eastAsia="宋体" w:cs="宋体"/>
                <w:b/>
                <w:bCs/>
                <w:color w:val="auto"/>
              </w:rPr>
            </w:pPr>
            <w:r>
              <w:rPr>
                <w:rFonts w:hint="eastAsia" w:ascii="宋体" w:hAnsi="宋体" w:eastAsia="宋体" w:cs="宋体"/>
                <w:b/>
                <w:bCs/>
                <w:color w:val="auto"/>
              </w:rPr>
              <w:t>合价</w:t>
            </w:r>
          </w:p>
        </w:tc>
        <w:tc>
          <w:tcPr>
            <w:tcW w:w="404" w:type="pct"/>
            <w:tcBorders>
              <w:top w:val="single" w:color="auto" w:sz="4" w:space="0"/>
              <w:left w:val="nil"/>
              <w:bottom w:val="single" w:color="auto" w:sz="4" w:space="0"/>
              <w:right w:val="single" w:color="auto" w:sz="4" w:space="0"/>
            </w:tcBorders>
            <w:vAlign w:val="center"/>
          </w:tcPr>
          <w:p w14:paraId="611B94B0">
            <w:pPr>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备注</w:t>
            </w:r>
          </w:p>
        </w:tc>
      </w:tr>
      <w:tr w14:paraId="36E0F76A">
        <w:tblPrEx>
          <w:tblCellMar>
            <w:top w:w="0" w:type="dxa"/>
            <w:left w:w="108" w:type="dxa"/>
            <w:bottom w:w="0" w:type="dxa"/>
            <w:right w:w="108" w:type="dxa"/>
          </w:tblCellMar>
        </w:tblPrEx>
        <w:trPr>
          <w:cantSplit/>
          <w:trHeight w:val="128" w:hRule="atLeast"/>
          <w:jc w:val="center"/>
        </w:trPr>
        <w:tc>
          <w:tcPr>
            <w:tcW w:w="362" w:type="pct"/>
            <w:tcBorders>
              <w:top w:val="nil"/>
              <w:left w:val="single" w:color="auto" w:sz="4" w:space="0"/>
              <w:bottom w:val="single" w:color="auto" w:sz="4" w:space="0"/>
              <w:right w:val="single" w:color="auto" w:sz="4" w:space="0"/>
            </w:tcBorders>
          </w:tcPr>
          <w:p w14:paraId="15DACE31">
            <w:pPr>
              <w:jc w:val="left"/>
              <w:rPr>
                <w:rFonts w:hint="eastAsia" w:ascii="宋体" w:hAnsi="宋体" w:cs="宋体"/>
                <w:b/>
                <w:color w:val="auto"/>
                <w:kern w:val="36"/>
                <w:sz w:val="36"/>
                <w:szCs w:val="36"/>
                <w:lang w:val="en-US" w:eastAsia="zh-CN"/>
              </w:rPr>
            </w:pPr>
            <w:bookmarkStart w:id="350" w:name="_Toc22696"/>
            <w:r>
              <w:rPr>
                <w:rFonts w:hint="eastAsia" w:ascii="宋体" w:hAnsi="宋体" w:cs="宋体"/>
                <w:b/>
                <w:color w:val="auto"/>
                <w:kern w:val="36"/>
                <w:sz w:val="36"/>
                <w:szCs w:val="36"/>
              </w:rPr>
              <w:t> </w:t>
            </w:r>
            <w:bookmarkEnd w:id="350"/>
          </w:p>
        </w:tc>
        <w:tc>
          <w:tcPr>
            <w:tcW w:w="630" w:type="pct"/>
            <w:tcBorders>
              <w:top w:val="single" w:color="auto" w:sz="4" w:space="0"/>
              <w:left w:val="nil"/>
              <w:bottom w:val="single" w:color="auto" w:sz="4" w:space="0"/>
              <w:right w:val="single" w:color="auto" w:sz="4" w:space="0"/>
            </w:tcBorders>
          </w:tcPr>
          <w:p w14:paraId="65D1A792">
            <w:pPr>
              <w:jc w:val="left"/>
              <w:rPr>
                <w:rFonts w:ascii="宋体" w:hAnsi="宋体" w:cs="宋体"/>
                <w:b/>
                <w:color w:val="auto"/>
                <w:kern w:val="36"/>
                <w:sz w:val="36"/>
                <w:szCs w:val="36"/>
              </w:rPr>
            </w:pPr>
            <w:bookmarkStart w:id="351" w:name="_Toc11694"/>
            <w:r>
              <w:rPr>
                <w:rFonts w:hint="eastAsia" w:ascii="宋体" w:hAnsi="宋体" w:cs="宋体"/>
                <w:b/>
                <w:color w:val="auto"/>
                <w:kern w:val="36"/>
                <w:sz w:val="36"/>
                <w:szCs w:val="36"/>
              </w:rPr>
              <w:t> </w:t>
            </w:r>
            <w:bookmarkEnd w:id="351"/>
          </w:p>
        </w:tc>
        <w:tc>
          <w:tcPr>
            <w:tcW w:w="569" w:type="pct"/>
            <w:tcBorders>
              <w:top w:val="single" w:color="auto" w:sz="4" w:space="0"/>
              <w:left w:val="nil"/>
              <w:bottom w:val="single" w:color="auto" w:sz="4" w:space="0"/>
              <w:right w:val="single" w:color="auto" w:sz="4" w:space="0"/>
            </w:tcBorders>
            <w:vAlign w:val="center"/>
          </w:tcPr>
          <w:p w14:paraId="22DD9932">
            <w:pPr>
              <w:jc w:val="left"/>
              <w:rPr>
                <w:rFonts w:ascii="宋体" w:hAnsi="宋体" w:cs="宋体"/>
                <w:b/>
                <w:color w:val="auto"/>
                <w:kern w:val="36"/>
                <w:sz w:val="36"/>
                <w:szCs w:val="36"/>
              </w:rPr>
            </w:pPr>
          </w:p>
        </w:tc>
        <w:tc>
          <w:tcPr>
            <w:tcW w:w="633" w:type="pct"/>
            <w:tcBorders>
              <w:top w:val="single" w:color="auto" w:sz="4" w:space="0"/>
              <w:left w:val="nil"/>
              <w:bottom w:val="single" w:color="auto" w:sz="4" w:space="0"/>
              <w:right w:val="single" w:color="auto" w:sz="4" w:space="0"/>
            </w:tcBorders>
          </w:tcPr>
          <w:p w14:paraId="7ED194E5">
            <w:pPr>
              <w:jc w:val="left"/>
              <w:rPr>
                <w:rFonts w:hint="eastAsia" w:ascii="宋体" w:hAnsi="宋体" w:cs="宋体"/>
                <w:b/>
                <w:color w:val="auto"/>
                <w:kern w:val="36"/>
                <w:sz w:val="36"/>
                <w:szCs w:val="36"/>
              </w:rPr>
            </w:pPr>
            <w:bookmarkStart w:id="352" w:name="_Toc30947"/>
          </w:p>
        </w:tc>
        <w:tc>
          <w:tcPr>
            <w:tcW w:w="801" w:type="pct"/>
            <w:tcBorders>
              <w:top w:val="single" w:color="auto" w:sz="4" w:space="0"/>
              <w:left w:val="nil"/>
              <w:bottom w:val="single" w:color="auto" w:sz="4" w:space="0"/>
              <w:right w:val="single" w:color="auto" w:sz="4" w:space="0"/>
            </w:tcBorders>
          </w:tcPr>
          <w:p w14:paraId="0845BC17">
            <w:pPr>
              <w:jc w:val="left"/>
              <w:rPr>
                <w:rFonts w:ascii="宋体" w:hAnsi="宋体" w:cs="宋体"/>
                <w:b/>
                <w:color w:val="auto"/>
                <w:kern w:val="36"/>
                <w:sz w:val="36"/>
                <w:szCs w:val="36"/>
              </w:rPr>
            </w:pPr>
            <w:r>
              <w:rPr>
                <w:rFonts w:hint="eastAsia" w:ascii="宋体" w:hAnsi="宋体" w:cs="宋体"/>
                <w:b/>
                <w:color w:val="auto"/>
                <w:kern w:val="36"/>
                <w:sz w:val="36"/>
                <w:szCs w:val="36"/>
              </w:rPr>
              <w:t> </w:t>
            </w:r>
            <w:bookmarkEnd w:id="352"/>
          </w:p>
        </w:tc>
        <w:tc>
          <w:tcPr>
            <w:tcW w:w="379" w:type="pct"/>
            <w:tcBorders>
              <w:top w:val="single" w:color="auto" w:sz="4" w:space="0"/>
              <w:left w:val="nil"/>
              <w:bottom w:val="single" w:color="auto" w:sz="4" w:space="0"/>
              <w:right w:val="single" w:color="auto" w:sz="4" w:space="0"/>
            </w:tcBorders>
          </w:tcPr>
          <w:p w14:paraId="3FFCF872">
            <w:pPr>
              <w:jc w:val="left"/>
              <w:rPr>
                <w:rFonts w:ascii="宋体" w:hAnsi="宋体" w:cs="宋体"/>
                <w:b/>
                <w:color w:val="auto"/>
                <w:kern w:val="36"/>
                <w:sz w:val="36"/>
                <w:szCs w:val="36"/>
              </w:rPr>
            </w:pPr>
            <w:bookmarkStart w:id="353" w:name="_Toc19952"/>
            <w:r>
              <w:rPr>
                <w:rFonts w:hint="eastAsia" w:ascii="宋体" w:hAnsi="宋体" w:cs="宋体"/>
                <w:b/>
                <w:color w:val="auto"/>
                <w:kern w:val="36"/>
                <w:sz w:val="36"/>
                <w:szCs w:val="36"/>
              </w:rPr>
              <w:t> </w:t>
            </w:r>
            <w:bookmarkEnd w:id="353"/>
          </w:p>
        </w:tc>
        <w:tc>
          <w:tcPr>
            <w:tcW w:w="427" w:type="pct"/>
            <w:tcBorders>
              <w:top w:val="single" w:color="auto" w:sz="4" w:space="0"/>
              <w:left w:val="nil"/>
              <w:bottom w:val="single" w:color="auto" w:sz="4" w:space="0"/>
              <w:right w:val="single" w:color="auto" w:sz="4" w:space="0"/>
            </w:tcBorders>
          </w:tcPr>
          <w:p w14:paraId="025D75E7">
            <w:pPr>
              <w:jc w:val="left"/>
              <w:rPr>
                <w:rFonts w:ascii="宋体" w:hAnsi="宋体" w:cs="宋体"/>
                <w:b/>
                <w:color w:val="auto"/>
                <w:kern w:val="36"/>
                <w:sz w:val="36"/>
                <w:szCs w:val="36"/>
              </w:rPr>
            </w:pPr>
            <w:bookmarkStart w:id="354" w:name="_Toc8687"/>
            <w:r>
              <w:rPr>
                <w:rFonts w:hint="eastAsia" w:ascii="宋体" w:hAnsi="宋体" w:cs="宋体"/>
                <w:b/>
                <w:color w:val="auto"/>
                <w:kern w:val="36"/>
                <w:sz w:val="36"/>
                <w:szCs w:val="36"/>
              </w:rPr>
              <w:t> </w:t>
            </w:r>
            <w:bookmarkEnd w:id="354"/>
          </w:p>
        </w:tc>
        <w:tc>
          <w:tcPr>
            <w:tcW w:w="407" w:type="pct"/>
            <w:tcBorders>
              <w:top w:val="single" w:color="auto" w:sz="4" w:space="0"/>
              <w:left w:val="nil"/>
              <w:bottom w:val="single" w:color="auto" w:sz="4" w:space="0"/>
              <w:right w:val="single" w:color="auto" w:sz="4" w:space="0"/>
            </w:tcBorders>
          </w:tcPr>
          <w:p w14:paraId="1499F043">
            <w:pPr>
              <w:jc w:val="left"/>
              <w:rPr>
                <w:rFonts w:ascii="宋体" w:hAnsi="宋体" w:cs="宋体"/>
                <w:b/>
                <w:color w:val="auto"/>
                <w:kern w:val="36"/>
                <w:sz w:val="36"/>
                <w:szCs w:val="36"/>
              </w:rPr>
            </w:pPr>
            <w:bookmarkStart w:id="355" w:name="_Toc15535"/>
            <w:r>
              <w:rPr>
                <w:rFonts w:hint="eastAsia" w:ascii="宋体" w:hAnsi="宋体" w:cs="宋体"/>
                <w:b/>
                <w:color w:val="auto"/>
                <w:kern w:val="36"/>
                <w:sz w:val="36"/>
                <w:szCs w:val="36"/>
              </w:rPr>
              <w:t> </w:t>
            </w:r>
            <w:bookmarkEnd w:id="355"/>
          </w:p>
        </w:tc>
        <w:tc>
          <w:tcPr>
            <w:tcW w:w="383" w:type="pct"/>
            <w:tcBorders>
              <w:top w:val="single" w:color="auto" w:sz="4" w:space="0"/>
              <w:left w:val="nil"/>
              <w:bottom w:val="single" w:color="auto" w:sz="4" w:space="0"/>
              <w:right w:val="single" w:color="auto" w:sz="4" w:space="0"/>
            </w:tcBorders>
          </w:tcPr>
          <w:p w14:paraId="768C076D">
            <w:pPr>
              <w:jc w:val="left"/>
              <w:rPr>
                <w:rFonts w:ascii="宋体" w:hAnsi="宋体" w:cs="宋体"/>
                <w:b/>
                <w:color w:val="auto"/>
                <w:kern w:val="36"/>
                <w:sz w:val="36"/>
                <w:szCs w:val="36"/>
              </w:rPr>
            </w:pPr>
            <w:bookmarkStart w:id="356" w:name="_Toc14247"/>
            <w:r>
              <w:rPr>
                <w:rFonts w:hint="eastAsia" w:ascii="宋体" w:hAnsi="宋体" w:cs="宋体"/>
                <w:b/>
                <w:color w:val="auto"/>
                <w:kern w:val="36"/>
                <w:sz w:val="36"/>
                <w:szCs w:val="36"/>
              </w:rPr>
              <w:t> </w:t>
            </w:r>
            <w:bookmarkEnd w:id="356"/>
          </w:p>
        </w:tc>
        <w:tc>
          <w:tcPr>
            <w:tcW w:w="404" w:type="pct"/>
            <w:tcBorders>
              <w:top w:val="single" w:color="auto" w:sz="4" w:space="0"/>
              <w:left w:val="nil"/>
              <w:bottom w:val="single" w:color="auto" w:sz="4" w:space="0"/>
              <w:right w:val="single" w:color="auto" w:sz="4" w:space="0"/>
            </w:tcBorders>
          </w:tcPr>
          <w:p w14:paraId="3DC2C1F8">
            <w:pPr>
              <w:jc w:val="left"/>
              <w:rPr>
                <w:rFonts w:hint="eastAsia" w:ascii="宋体" w:hAnsi="宋体" w:cs="宋体"/>
                <w:b/>
                <w:color w:val="auto"/>
                <w:kern w:val="36"/>
                <w:sz w:val="36"/>
                <w:szCs w:val="36"/>
              </w:rPr>
            </w:pPr>
          </w:p>
        </w:tc>
      </w:tr>
      <w:tr w14:paraId="0CA70102">
        <w:tblPrEx>
          <w:tblCellMar>
            <w:top w:w="0" w:type="dxa"/>
            <w:left w:w="108" w:type="dxa"/>
            <w:bottom w:w="0" w:type="dxa"/>
            <w:right w:w="108" w:type="dxa"/>
          </w:tblCellMar>
        </w:tblPrEx>
        <w:trPr>
          <w:cantSplit/>
          <w:trHeight w:val="380" w:hRule="atLeast"/>
          <w:jc w:val="center"/>
        </w:trPr>
        <w:tc>
          <w:tcPr>
            <w:tcW w:w="362" w:type="pct"/>
            <w:tcBorders>
              <w:top w:val="nil"/>
              <w:left w:val="single" w:color="auto" w:sz="4" w:space="0"/>
              <w:bottom w:val="single" w:color="auto" w:sz="4" w:space="0"/>
              <w:right w:val="single" w:color="auto" w:sz="4" w:space="0"/>
            </w:tcBorders>
            <w:vAlign w:val="center"/>
          </w:tcPr>
          <w:p w14:paraId="7C2D7302">
            <w:pPr>
              <w:jc w:val="left"/>
              <w:rPr>
                <w:rFonts w:ascii="宋体" w:hAnsi="宋体" w:cs="宋体"/>
                <w:b/>
                <w:color w:val="auto"/>
                <w:kern w:val="36"/>
                <w:sz w:val="36"/>
                <w:szCs w:val="36"/>
              </w:rPr>
            </w:pPr>
          </w:p>
        </w:tc>
        <w:tc>
          <w:tcPr>
            <w:tcW w:w="630" w:type="pct"/>
            <w:tcBorders>
              <w:top w:val="single" w:color="auto" w:sz="4" w:space="0"/>
              <w:left w:val="nil"/>
              <w:bottom w:val="single" w:color="auto" w:sz="4" w:space="0"/>
              <w:right w:val="single" w:color="auto" w:sz="4" w:space="0"/>
            </w:tcBorders>
          </w:tcPr>
          <w:p w14:paraId="7F3CFFC0">
            <w:pPr>
              <w:jc w:val="left"/>
              <w:rPr>
                <w:rFonts w:ascii="宋体" w:hAnsi="宋体" w:cs="宋体"/>
                <w:b/>
                <w:color w:val="auto"/>
                <w:kern w:val="36"/>
                <w:sz w:val="36"/>
                <w:szCs w:val="36"/>
              </w:rPr>
            </w:pPr>
            <w:bookmarkStart w:id="357" w:name="_Toc30405"/>
            <w:r>
              <w:rPr>
                <w:rFonts w:hint="eastAsia" w:ascii="宋体" w:hAnsi="宋体" w:cs="宋体"/>
                <w:b/>
                <w:color w:val="auto"/>
                <w:kern w:val="36"/>
                <w:sz w:val="36"/>
                <w:szCs w:val="36"/>
              </w:rPr>
              <w:t> </w:t>
            </w:r>
            <w:bookmarkEnd w:id="357"/>
          </w:p>
        </w:tc>
        <w:tc>
          <w:tcPr>
            <w:tcW w:w="569" w:type="pct"/>
            <w:tcBorders>
              <w:top w:val="single" w:color="auto" w:sz="4" w:space="0"/>
              <w:left w:val="nil"/>
              <w:bottom w:val="single" w:color="auto" w:sz="4" w:space="0"/>
              <w:right w:val="single" w:color="auto" w:sz="4" w:space="0"/>
            </w:tcBorders>
          </w:tcPr>
          <w:p w14:paraId="6641AEAC">
            <w:pPr>
              <w:jc w:val="left"/>
              <w:rPr>
                <w:rFonts w:ascii="宋体" w:hAnsi="宋体" w:cs="宋体"/>
                <w:b/>
                <w:color w:val="auto"/>
                <w:kern w:val="36"/>
                <w:sz w:val="36"/>
                <w:szCs w:val="36"/>
              </w:rPr>
            </w:pPr>
          </w:p>
        </w:tc>
        <w:tc>
          <w:tcPr>
            <w:tcW w:w="633" w:type="pct"/>
            <w:tcBorders>
              <w:top w:val="single" w:color="auto" w:sz="4" w:space="0"/>
              <w:left w:val="nil"/>
              <w:bottom w:val="single" w:color="auto" w:sz="4" w:space="0"/>
              <w:right w:val="single" w:color="auto" w:sz="4" w:space="0"/>
            </w:tcBorders>
          </w:tcPr>
          <w:p w14:paraId="4D3E6216">
            <w:pPr>
              <w:jc w:val="left"/>
              <w:rPr>
                <w:rFonts w:hint="eastAsia" w:ascii="宋体" w:hAnsi="宋体" w:cs="宋体"/>
                <w:b/>
                <w:color w:val="auto"/>
                <w:kern w:val="36"/>
                <w:sz w:val="36"/>
                <w:szCs w:val="36"/>
              </w:rPr>
            </w:pPr>
            <w:bookmarkStart w:id="358" w:name="_Toc10836"/>
          </w:p>
        </w:tc>
        <w:tc>
          <w:tcPr>
            <w:tcW w:w="801" w:type="pct"/>
            <w:tcBorders>
              <w:top w:val="single" w:color="auto" w:sz="4" w:space="0"/>
              <w:left w:val="nil"/>
              <w:bottom w:val="single" w:color="auto" w:sz="4" w:space="0"/>
              <w:right w:val="single" w:color="auto" w:sz="4" w:space="0"/>
            </w:tcBorders>
          </w:tcPr>
          <w:p w14:paraId="6DEFE9B0">
            <w:pPr>
              <w:jc w:val="left"/>
              <w:rPr>
                <w:rFonts w:ascii="宋体" w:hAnsi="宋体" w:cs="宋体"/>
                <w:b/>
                <w:color w:val="auto"/>
                <w:kern w:val="36"/>
                <w:sz w:val="36"/>
                <w:szCs w:val="36"/>
              </w:rPr>
            </w:pPr>
            <w:r>
              <w:rPr>
                <w:rFonts w:hint="eastAsia" w:ascii="宋体" w:hAnsi="宋体" w:cs="宋体"/>
                <w:b/>
                <w:color w:val="auto"/>
                <w:kern w:val="36"/>
                <w:sz w:val="36"/>
                <w:szCs w:val="36"/>
              </w:rPr>
              <w:t> </w:t>
            </w:r>
            <w:bookmarkEnd w:id="358"/>
          </w:p>
        </w:tc>
        <w:tc>
          <w:tcPr>
            <w:tcW w:w="379" w:type="pct"/>
            <w:tcBorders>
              <w:top w:val="single" w:color="auto" w:sz="4" w:space="0"/>
              <w:left w:val="nil"/>
              <w:bottom w:val="single" w:color="auto" w:sz="4" w:space="0"/>
              <w:right w:val="single" w:color="auto" w:sz="4" w:space="0"/>
            </w:tcBorders>
          </w:tcPr>
          <w:p w14:paraId="0C135939">
            <w:pPr>
              <w:jc w:val="left"/>
              <w:rPr>
                <w:rFonts w:ascii="宋体" w:hAnsi="宋体" w:cs="宋体"/>
                <w:b/>
                <w:color w:val="auto"/>
                <w:kern w:val="36"/>
                <w:sz w:val="36"/>
                <w:szCs w:val="36"/>
              </w:rPr>
            </w:pPr>
            <w:bookmarkStart w:id="359" w:name="_Toc7905"/>
            <w:r>
              <w:rPr>
                <w:rFonts w:hint="eastAsia" w:ascii="宋体" w:hAnsi="宋体" w:cs="宋体"/>
                <w:b/>
                <w:color w:val="auto"/>
                <w:kern w:val="36"/>
                <w:sz w:val="36"/>
                <w:szCs w:val="36"/>
              </w:rPr>
              <w:t> </w:t>
            </w:r>
            <w:bookmarkEnd w:id="359"/>
          </w:p>
        </w:tc>
        <w:tc>
          <w:tcPr>
            <w:tcW w:w="427" w:type="pct"/>
            <w:tcBorders>
              <w:top w:val="single" w:color="auto" w:sz="4" w:space="0"/>
              <w:left w:val="nil"/>
              <w:bottom w:val="single" w:color="auto" w:sz="4" w:space="0"/>
              <w:right w:val="single" w:color="auto" w:sz="4" w:space="0"/>
            </w:tcBorders>
          </w:tcPr>
          <w:p w14:paraId="7DBAD057">
            <w:pPr>
              <w:jc w:val="left"/>
              <w:rPr>
                <w:rFonts w:ascii="宋体" w:hAnsi="宋体" w:cs="宋体"/>
                <w:b/>
                <w:color w:val="auto"/>
                <w:kern w:val="36"/>
                <w:sz w:val="36"/>
                <w:szCs w:val="36"/>
              </w:rPr>
            </w:pPr>
            <w:bookmarkStart w:id="360" w:name="_Toc21983"/>
            <w:r>
              <w:rPr>
                <w:rFonts w:hint="eastAsia" w:ascii="宋体" w:hAnsi="宋体" w:cs="宋体"/>
                <w:b/>
                <w:color w:val="auto"/>
                <w:kern w:val="36"/>
                <w:sz w:val="36"/>
                <w:szCs w:val="36"/>
              </w:rPr>
              <w:t> </w:t>
            </w:r>
            <w:bookmarkEnd w:id="360"/>
          </w:p>
        </w:tc>
        <w:tc>
          <w:tcPr>
            <w:tcW w:w="407" w:type="pct"/>
            <w:tcBorders>
              <w:top w:val="single" w:color="auto" w:sz="4" w:space="0"/>
              <w:left w:val="nil"/>
              <w:bottom w:val="single" w:color="auto" w:sz="4" w:space="0"/>
              <w:right w:val="single" w:color="auto" w:sz="4" w:space="0"/>
            </w:tcBorders>
          </w:tcPr>
          <w:p w14:paraId="67E07861">
            <w:pPr>
              <w:jc w:val="left"/>
              <w:rPr>
                <w:rFonts w:ascii="宋体" w:hAnsi="宋体" w:cs="宋体"/>
                <w:b/>
                <w:color w:val="auto"/>
                <w:kern w:val="36"/>
                <w:sz w:val="36"/>
                <w:szCs w:val="36"/>
              </w:rPr>
            </w:pPr>
            <w:bookmarkStart w:id="361" w:name="_Toc26856"/>
            <w:r>
              <w:rPr>
                <w:rFonts w:hint="eastAsia" w:ascii="宋体" w:hAnsi="宋体" w:cs="宋体"/>
                <w:b/>
                <w:color w:val="auto"/>
                <w:kern w:val="36"/>
                <w:sz w:val="36"/>
                <w:szCs w:val="36"/>
              </w:rPr>
              <w:t> </w:t>
            </w:r>
            <w:bookmarkEnd w:id="361"/>
          </w:p>
        </w:tc>
        <w:tc>
          <w:tcPr>
            <w:tcW w:w="383" w:type="pct"/>
            <w:tcBorders>
              <w:top w:val="single" w:color="auto" w:sz="4" w:space="0"/>
              <w:left w:val="nil"/>
              <w:bottom w:val="single" w:color="auto" w:sz="4" w:space="0"/>
              <w:right w:val="single" w:color="auto" w:sz="4" w:space="0"/>
            </w:tcBorders>
          </w:tcPr>
          <w:p w14:paraId="70E90784">
            <w:pPr>
              <w:jc w:val="left"/>
              <w:rPr>
                <w:rFonts w:ascii="宋体" w:hAnsi="宋体" w:cs="宋体"/>
                <w:b/>
                <w:color w:val="auto"/>
                <w:kern w:val="36"/>
                <w:sz w:val="36"/>
                <w:szCs w:val="36"/>
              </w:rPr>
            </w:pPr>
            <w:bookmarkStart w:id="362" w:name="_Toc26103"/>
            <w:r>
              <w:rPr>
                <w:rFonts w:hint="eastAsia" w:ascii="宋体" w:hAnsi="宋体" w:cs="宋体"/>
                <w:b/>
                <w:color w:val="auto"/>
                <w:kern w:val="36"/>
                <w:sz w:val="36"/>
                <w:szCs w:val="36"/>
              </w:rPr>
              <w:t> </w:t>
            </w:r>
            <w:bookmarkEnd w:id="362"/>
          </w:p>
        </w:tc>
        <w:tc>
          <w:tcPr>
            <w:tcW w:w="404" w:type="pct"/>
            <w:tcBorders>
              <w:top w:val="single" w:color="auto" w:sz="4" w:space="0"/>
              <w:left w:val="nil"/>
              <w:bottom w:val="single" w:color="auto" w:sz="4" w:space="0"/>
              <w:right w:val="single" w:color="auto" w:sz="4" w:space="0"/>
            </w:tcBorders>
          </w:tcPr>
          <w:p w14:paraId="431E9577">
            <w:pPr>
              <w:jc w:val="left"/>
              <w:rPr>
                <w:rFonts w:hint="eastAsia" w:ascii="宋体" w:hAnsi="宋体" w:cs="宋体"/>
                <w:b/>
                <w:color w:val="auto"/>
                <w:kern w:val="36"/>
                <w:sz w:val="36"/>
                <w:szCs w:val="36"/>
              </w:rPr>
            </w:pPr>
          </w:p>
        </w:tc>
      </w:tr>
      <w:tr w14:paraId="460EF2D3">
        <w:tblPrEx>
          <w:tblCellMar>
            <w:top w:w="0" w:type="dxa"/>
            <w:left w:w="108" w:type="dxa"/>
            <w:bottom w:w="0" w:type="dxa"/>
            <w:right w:w="108" w:type="dxa"/>
          </w:tblCellMar>
        </w:tblPrEx>
        <w:trPr>
          <w:cantSplit/>
          <w:trHeight w:val="380" w:hRule="atLeast"/>
          <w:jc w:val="center"/>
        </w:trPr>
        <w:tc>
          <w:tcPr>
            <w:tcW w:w="362" w:type="pct"/>
            <w:tcBorders>
              <w:top w:val="nil"/>
              <w:left w:val="single" w:color="auto" w:sz="4" w:space="0"/>
              <w:bottom w:val="single" w:color="auto" w:sz="4" w:space="0"/>
              <w:right w:val="single" w:color="auto" w:sz="4" w:space="0"/>
            </w:tcBorders>
            <w:vAlign w:val="center"/>
          </w:tcPr>
          <w:p w14:paraId="04444C0E">
            <w:pPr>
              <w:jc w:val="left"/>
              <w:rPr>
                <w:rFonts w:ascii="宋体" w:hAnsi="宋体" w:cs="宋体"/>
                <w:b/>
                <w:color w:val="auto"/>
                <w:kern w:val="36"/>
                <w:sz w:val="36"/>
                <w:szCs w:val="36"/>
              </w:rPr>
            </w:pPr>
            <w:bookmarkStart w:id="363" w:name="_Toc18217"/>
          </w:p>
        </w:tc>
        <w:tc>
          <w:tcPr>
            <w:tcW w:w="630" w:type="pct"/>
            <w:tcBorders>
              <w:top w:val="single" w:color="auto" w:sz="4" w:space="0"/>
              <w:left w:val="nil"/>
              <w:bottom w:val="single" w:color="auto" w:sz="4" w:space="0"/>
              <w:right w:val="single" w:color="auto" w:sz="4" w:space="0"/>
            </w:tcBorders>
          </w:tcPr>
          <w:p w14:paraId="26FA5ED5">
            <w:pPr>
              <w:jc w:val="left"/>
              <w:rPr>
                <w:rFonts w:hint="eastAsia" w:ascii="宋体" w:hAnsi="宋体" w:cs="宋体"/>
                <w:b/>
                <w:color w:val="auto"/>
                <w:kern w:val="36"/>
                <w:sz w:val="36"/>
                <w:szCs w:val="36"/>
              </w:rPr>
            </w:pPr>
          </w:p>
        </w:tc>
        <w:tc>
          <w:tcPr>
            <w:tcW w:w="569" w:type="pct"/>
            <w:tcBorders>
              <w:top w:val="single" w:color="auto" w:sz="4" w:space="0"/>
              <w:left w:val="nil"/>
              <w:bottom w:val="single" w:color="auto" w:sz="4" w:space="0"/>
              <w:right w:val="single" w:color="auto" w:sz="4" w:space="0"/>
            </w:tcBorders>
          </w:tcPr>
          <w:p w14:paraId="65823562">
            <w:pPr>
              <w:jc w:val="left"/>
              <w:rPr>
                <w:rFonts w:hint="eastAsia" w:ascii="宋体" w:hAnsi="宋体" w:cs="宋体"/>
                <w:b/>
                <w:color w:val="auto"/>
                <w:kern w:val="36"/>
                <w:sz w:val="36"/>
                <w:szCs w:val="36"/>
              </w:rPr>
            </w:pPr>
          </w:p>
        </w:tc>
        <w:tc>
          <w:tcPr>
            <w:tcW w:w="633" w:type="pct"/>
            <w:tcBorders>
              <w:top w:val="single" w:color="auto" w:sz="4" w:space="0"/>
              <w:left w:val="nil"/>
              <w:bottom w:val="single" w:color="auto" w:sz="4" w:space="0"/>
              <w:right w:val="single" w:color="auto" w:sz="4" w:space="0"/>
            </w:tcBorders>
          </w:tcPr>
          <w:p w14:paraId="3A510BB9">
            <w:pPr>
              <w:jc w:val="left"/>
              <w:rPr>
                <w:rFonts w:hint="eastAsia" w:ascii="宋体" w:hAnsi="宋体" w:cs="宋体"/>
                <w:b/>
                <w:color w:val="auto"/>
                <w:kern w:val="36"/>
                <w:sz w:val="36"/>
                <w:szCs w:val="36"/>
              </w:rPr>
            </w:pPr>
          </w:p>
        </w:tc>
        <w:tc>
          <w:tcPr>
            <w:tcW w:w="801" w:type="pct"/>
            <w:tcBorders>
              <w:top w:val="single" w:color="auto" w:sz="4" w:space="0"/>
              <w:left w:val="nil"/>
              <w:bottom w:val="single" w:color="auto" w:sz="4" w:space="0"/>
              <w:right w:val="single" w:color="auto" w:sz="4" w:space="0"/>
            </w:tcBorders>
          </w:tcPr>
          <w:p w14:paraId="644C4CD9">
            <w:pPr>
              <w:jc w:val="left"/>
              <w:rPr>
                <w:rFonts w:hint="eastAsia" w:ascii="宋体" w:hAnsi="宋体" w:cs="宋体"/>
                <w:b/>
                <w:color w:val="auto"/>
                <w:kern w:val="36"/>
                <w:sz w:val="36"/>
                <w:szCs w:val="36"/>
              </w:rPr>
            </w:pPr>
          </w:p>
        </w:tc>
        <w:tc>
          <w:tcPr>
            <w:tcW w:w="379" w:type="pct"/>
            <w:tcBorders>
              <w:top w:val="single" w:color="auto" w:sz="4" w:space="0"/>
              <w:left w:val="nil"/>
              <w:bottom w:val="single" w:color="auto" w:sz="4" w:space="0"/>
              <w:right w:val="single" w:color="auto" w:sz="4" w:space="0"/>
            </w:tcBorders>
          </w:tcPr>
          <w:p w14:paraId="05B0EFE6">
            <w:pPr>
              <w:jc w:val="left"/>
              <w:rPr>
                <w:rFonts w:hint="eastAsia" w:ascii="宋体" w:hAnsi="宋体" w:cs="宋体"/>
                <w:b/>
                <w:color w:val="auto"/>
                <w:kern w:val="36"/>
                <w:sz w:val="36"/>
                <w:szCs w:val="36"/>
              </w:rPr>
            </w:pPr>
          </w:p>
        </w:tc>
        <w:tc>
          <w:tcPr>
            <w:tcW w:w="427" w:type="pct"/>
            <w:tcBorders>
              <w:top w:val="single" w:color="auto" w:sz="4" w:space="0"/>
              <w:left w:val="nil"/>
              <w:bottom w:val="single" w:color="auto" w:sz="4" w:space="0"/>
              <w:right w:val="single" w:color="auto" w:sz="4" w:space="0"/>
            </w:tcBorders>
          </w:tcPr>
          <w:p w14:paraId="27835F3A">
            <w:pPr>
              <w:jc w:val="left"/>
              <w:rPr>
                <w:rFonts w:hint="eastAsia" w:ascii="宋体" w:hAnsi="宋体" w:cs="宋体"/>
                <w:b/>
                <w:color w:val="auto"/>
                <w:kern w:val="36"/>
                <w:sz w:val="36"/>
                <w:szCs w:val="36"/>
              </w:rPr>
            </w:pPr>
          </w:p>
        </w:tc>
        <w:tc>
          <w:tcPr>
            <w:tcW w:w="407" w:type="pct"/>
            <w:tcBorders>
              <w:top w:val="single" w:color="auto" w:sz="4" w:space="0"/>
              <w:left w:val="nil"/>
              <w:bottom w:val="single" w:color="auto" w:sz="4" w:space="0"/>
              <w:right w:val="single" w:color="auto" w:sz="4" w:space="0"/>
            </w:tcBorders>
          </w:tcPr>
          <w:p w14:paraId="2A0E10FD">
            <w:pPr>
              <w:jc w:val="left"/>
              <w:rPr>
                <w:rFonts w:hint="eastAsia" w:ascii="宋体" w:hAnsi="宋体" w:cs="宋体"/>
                <w:b/>
                <w:color w:val="auto"/>
                <w:kern w:val="36"/>
                <w:sz w:val="36"/>
                <w:szCs w:val="36"/>
              </w:rPr>
            </w:pPr>
          </w:p>
        </w:tc>
        <w:tc>
          <w:tcPr>
            <w:tcW w:w="383" w:type="pct"/>
            <w:tcBorders>
              <w:top w:val="single" w:color="auto" w:sz="4" w:space="0"/>
              <w:left w:val="nil"/>
              <w:bottom w:val="single" w:color="auto" w:sz="4" w:space="0"/>
              <w:right w:val="single" w:color="auto" w:sz="4" w:space="0"/>
            </w:tcBorders>
          </w:tcPr>
          <w:p w14:paraId="7ECE2BD2">
            <w:pPr>
              <w:jc w:val="left"/>
              <w:rPr>
                <w:rFonts w:hint="eastAsia" w:ascii="宋体" w:hAnsi="宋体" w:cs="宋体"/>
                <w:b/>
                <w:color w:val="auto"/>
                <w:kern w:val="36"/>
                <w:sz w:val="36"/>
                <w:szCs w:val="36"/>
              </w:rPr>
            </w:pPr>
          </w:p>
        </w:tc>
        <w:tc>
          <w:tcPr>
            <w:tcW w:w="404" w:type="pct"/>
            <w:tcBorders>
              <w:top w:val="single" w:color="auto" w:sz="4" w:space="0"/>
              <w:left w:val="nil"/>
              <w:bottom w:val="single" w:color="auto" w:sz="4" w:space="0"/>
              <w:right w:val="single" w:color="auto" w:sz="4" w:space="0"/>
            </w:tcBorders>
          </w:tcPr>
          <w:p w14:paraId="203998B8">
            <w:pPr>
              <w:jc w:val="left"/>
              <w:rPr>
                <w:rFonts w:hint="eastAsia" w:ascii="宋体" w:hAnsi="宋体" w:cs="宋体"/>
                <w:b/>
                <w:color w:val="auto"/>
                <w:kern w:val="36"/>
                <w:sz w:val="36"/>
                <w:szCs w:val="36"/>
              </w:rPr>
            </w:pPr>
          </w:p>
        </w:tc>
      </w:tr>
      <w:tr w14:paraId="48AB3077">
        <w:tblPrEx>
          <w:tblCellMar>
            <w:top w:w="0" w:type="dxa"/>
            <w:left w:w="108" w:type="dxa"/>
            <w:bottom w:w="0" w:type="dxa"/>
            <w:right w:w="108" w:type="dxa"/>
          </w:tblCellMar>
        </w:tblPrEx>
        <w:trPr>
          <w:cantSplit/>
          <w:trHeight w:val="380" w:hRule="atLeast"/>
          <w:jc w:val="center"/>
        </w:trPr>
        <w:tc>
          <w:tcPr>
            <w:tcW w:w="362" w:type="pct"/>
            <w:tcBorders>
              <w:top w:val="nil"/>
              <w:left w:val="single" w:color="auto" w:sz="4" w:space="0"/>
              <w:bottom w:val="single" w:color="auto" w:sz="4" w:space="0"/>
              <w:right w:val="single" w:color="auto" w:sz="4" w:space="0"/>
            </w:tcBorders>
            <w:vAlign w:val="center"/>
          </w:tcPr>
          <w:p w14:paraId="215EB511">
            <w:pPr>
              <w:jc w:val="left"/>
              <w:rPr>
                <w:rFonts w:ascii="宋体" w:hAnsi="宋体" w:cs="宋体"/>
                <w:b/>
                <w:color w:val="auto"/>
                <w:kern w:val="36"/>
                <w:sz w:val="36"/>
                <w:szCs w:val="36"/>
              </w:rPr>
            </w:pPr>
          </w:p>
        </w:tc>
        <w:tc>
          <w:tcPr>
            <w:tcW w:w="630" w:type="pct"/>
            <w:tcBorders>
              <w:top w:val="single" w:color="auto" w:sz="4" w:space="0"/>
              <w:left w:val="nil"/>
              <w:bottom w:val="single" w:color="auto" w:sz="4" w:space="0"/>
              <w:right w:val="single" w:color="auto" w:sz="4" w:space="0"/>
            </w:tcBorders>
          </w:tcPr>
          <w:p w14:paraId="22493EFE">
            <w:pPr>
              <w:jc w:val="left"/>
              <w:rPr>
                <w:rFonts w:hint="eastAsia" w:ascii="宋体" w:hAnsi="宋体" w:cs="宋体"/>
                <w:b/>
                <w:color w:val="auto"/>
                <w:kern w:val="36"/>
                <w:sz w:val="36"/>
                <w:szCs w:val="36"/>
              </w:rPr>
            </w:pPr>
          </w:p>
        </w:tc>
        <w:tc>
          <w:tcPr>
            <w:tcW w:w="569" w:type="pct"/>
            <w:tcBorders>
              <w:top w:val="single" w:color="auto" w:sz="4" w:space="0"/>
              <w:left w:val="nil"/>
              <w:bottom w:val="single" w:color="auto" w:sz="4" w:space="0"/>
              <w:right w:val="single" w:color="auto" w:sz="4" w:space="0"/>
            </w:tcBorders>
          </w:tcPr>
          <w:p w14:paraId="77740EE7">
            <w:pPr>
              <w:jc w:val="left"/>
              <w:rPr>
                <w:rFonts w:hint="eastAsia" w:ascii="宋体" w:hAnsi="宋体" w:cs="宋体"/>
                <w:b/>
                <w:color w:val="auto"/>
                <w:kern w:val="36"/>
                <w:sz w:val="36"/>
                <w:szCs w:val="36"/>
              </w:rPr>
            </w:pPr>
          </w:p>
        </w:tc>
        <w:tc>
          <w:tcPr>
            <w:tcW w:w="633" w:type="pct"/>
            <w:tcBorders>
              <w:top w:val="single" w:color="auto" w:sz="4" w:space="0"/>
              <w:left w:val="nil"/>
              <w:bottom w:val="single" w:color="auto" w:sz="4" w:space="0"/>
              <w:right w:val="single" w:color="auto" w:sz="4" w:space="0"/>
            </w:tcBorders>
          </w:tcPr>
          <w:p w14:paraId="6E1BFE53">
            <w:pPr>
              <w:jc w:val="left"/>
              <w:rPr>
                <w:rFonts w:hint="eastAsia" w:ascii="宋体" w:hAnsi="宋体" w:cs="宋体"/>
                <w:b/>
                <w:color w:val="auto"/>
                <w:kern w:val="36"/>
                <w:sz w:val="36"/>
                <w:szCs w:val="36"/>
              </w:rPr>
            </w:pPr>
          </w:p>
        </w:tc>
        <w:tc>
          <w:tcPr>
            <w:tcW w:w="801" w:type="pct"/>
            <w:tcBorders>
              <w:top w:val="single" w:color="auto" w:sz="4" w:space="0"/>
              <w:left w:val="nil"/>
              <w:bottom w:val="single" w:color="auto" w:sz="4" w:space="0"/>
              <w:right w:val="single" w:color="auto" w:sz="4" w:space="0"/>
            </w:tcBorders>
          </w:tcPr>
          <w:p w14:paraId="7EA0204A">
            <w:pPr>
              <w:jc w:val="left"/>
              <w:rPr>
                <w:rFonts w:hint="eastAsia" w:ascii="宋体" w:hAnsi="宋体" w:cs="宋体"/>
                <w:b/>
                <w:color w:val="auto"/>
                <w:kern w:val="36"/>
                <w:sz w:val="36"/>
                <w:szCs w:val="36"/>
              </w:rPr>
            </w:pPr>
          </w:p>
        </w:tc>
        <w:tc>
          <w:tcPr>
            <w:tcW w:w="379" w:type="pct"/>
            <w:tcBorders>
              <w:top w:val="single" w:color="auto" w:sz="4" w:space="0"/>
              <w:left w:val="nil"/>
              <w:bottom w:val="single" w:color="auto" w:sz="4" w:space="0"/>
              <w:right w:val="single" w:color="auto" w:sz="4" w:space="0"/>
            </w:tcBorders>
          </w:tcPr>
          <w:p w14:paraId="66BF48F2">
            <w:pPr>
              <w:jc w:val="left"/>
              <w:rPr>
                <w:rFonts w:hint="eastAsia" w:ascii="宋体" w:hAnsi="宋体" w:cs="宋体"/>
                <w:b/>
                <w:color w:val="auto"/>
                <w:kern w:val="36"/>
                <w:sz w:val="36"/>
                <w:szCs w:val="36"/>
              </w:rPr>
            </w:pPr>
          </w:p>
        </w:tc>
        <w:tc>
          <w:tcPr>
            <w:tcW w:w="427" w:type="pct"/>
            <w:tcBorders>
              <w:top w:val="single" w:color="auto" w:sz="4" w:space="0"/>
              <w:left w:val="nil"/>
              <w:bottom w:val="single" w:color="auto" w:sz="4" w:space="0"/>
              <w:right w:val="single" w:color="auto" w:sz="4" w:space="0"/>
            </w:tcBorders>
          </w:tcPr>
          <w:p w14:paraId="2EC35F63">
            <w:pPr>
              <w:jc w:val="left"/>
              <w:rPr>
                <w:rFonts w:hint="eastAsia" w:ascii="宋体" w:hAnsi="宋体" w:cs="宋体"/>
                <w:b/>
                <w:color w:val="auto"/>
                <w:kern w:val="36"/>
                <w:sz w:val="36"/>
                <w:szCs w:val="36"/>
              </w:rPr>
            </w:pPr>
          </w:p>
        </w:tc>
        <w:tc>
          <w:tcPr>
            <w:tcW w:w="407" w:type="pct"/>
            <w:tcBorders>
              <w:top w:val="single" w:color="auto" w:sz="4" w:space="0"/>
              <w:left w:val="nil"/>
              <w:bottom w:val="single" w:color="auto" w:sz="4" w:space="0"/>
              <w:right w:val="single" w:color="auto" w:sz="4" w:space="0"/>
            </w:tcBorders>
          </w:tcPr>
          <w:p w14:paraId="2028AE57">
            <w:pPr>
              <w:jc w:val="left"/>
              <w:rPr>
                <w:rFonts w:hint="eastAsia" w:ascii="宋体" w:hAnsi="宋体" w:cs="宋体"/>
                <w:b/>
                <w:color w:val="auto"/>
                <w:kern w:val="36"/>
                <w:sz w:val="36"/>
                <w:szCs w:val="36"/>
              </w:rPr>
            </w:pPr>
          </w:p>
        </w:tc>
        <w:tc>
          <w:tcPr>
            <w:tcW w:w="383" w:type="pct"/>
            <w:tcBorders>
              <w:top w:val="single" w:color="auto" w:sz="4" w:space="0"/>
              <w:left w:val="nil"/>
              <w:bottom w:val="single" w:color="auto" w:sz="4" w:space="0"/>
              <w:right w:val="single" w:color="auto" w:sz="4" w:space="0"/>
            </w:tcBorders>
          </w:tcPr>
          <w:p w14:paraId="16B9327A">
            <w:pPr>
              <w:jc w:val="left"/>
              <w:rPr>
                <w:rFonts w:hint="eastAsia" w:ascii="宋体" w:hAnsi="宋体" w:cs="宋体"/>
                <w:b/>
                <w:color w:val="auto"/>
                <w:kern w:val="36"/>
                <w:sz w:val="36"/>
                <w:szCs w:val="36"/>
              </w:rPr>
            </w:pPr>
          </w:p>
        </w:tc>
        <w:tc>
          <w:tcPr>
            <w:tcW w:w="404" w:type="pct"/>
            <w:tcBorders>
              <w:top w:val="single" w:color="auto" w:sz="4" w:space="0"/>
              <w:left w:val="nil"/>
              <w:bottom w:val="single" w:color="auto" w:sz="4" w:space="0"/>
              <w:right w:val="single" w:color="auto" w:sz="4" w:space="0"/>
            </w:tcBorders>
          </w:tcPr>
          <w:p w14:paraId="2E855728">
            <w:pPr>
              <w:jc w:val="left"/>
              <w:rPr>
                <w:rFonts w:hint="eastAsia" w:ascii="宋体" w:hAnsi="宋体" w:cs="宋体"/>
                <w:b/>
                <w:color w:val="auto"/>
                <w:kern w:val="36"/>
                <w:sz w:val="36"/>
                <w:szCs w:val="36"/>
              </w:rPr>
            </w:pPr>
          </w:p>
        </w:tc>
      </w:tr>
      <w:tr w14:paraId="44A0B99E">
        <w:tblPrEx>
          <w:tblCellMar>
            <w:top w:w="0" w:type="dxa"/>
            <w:left w:w="108" w:type="dxa"/>
            <w:bottom w:w="0" w:type="dxa"/>
            <w:right w:w="108" w:type="dxa"/>
          </w:tblCellMar>
        </w:tblPrEx>
        <w:trPr>
          <w:cantSplit/>
          <w:trHeight w:val="380" w:hRule="atLeast"/>
          <w:jc w:val="center"/>
        </w:trPr>
        <w:tc>
          <w:tcPr>
            <w:tcW w:w="362" w:type="pct"/>
            <w:tcBorders>
              <w:top w:val="nil"/>
              <w:left w:val="single" w:color="auto" w:sz="4" w:space="0"/>
              <w:bottom w:val="single" w:color="auto" w:sz="4" w:space="0"/>
              <w:right w:val="single" w:color="auto" w:sz="4" w:space="0"/>
            </w:tcBorders>
            <w:vAlign w:val="center"/>
          </w:tcPr>
          <w:p w14:paraId="540D02C9">
            <w:pPr>
              <w:jc w:val="left"/>
              <w:rPr>
                <w:rFonts w:ascii="宋体" w:hAnsi="宋体" w:cs="宋体"/>
                <w:b/>
                <w:color w:val="auto"/>
                <w:kern w:val="36"/>
                <w:sz w:val="36"/>
                <w:szCs w:val="36"/>
              </w:rPr>
            </w:pPr>
          </w:p>
        </w:tc>
        <w:tc>
          <w:tcPr>
            <w:tcW w:w="630" w:type="pct"/>
            <w:tcBorders>
              <w:top w:val="single" w:color="auto" w:sz="4" w:space="0"/>
              <w:left w:val="nil"/>
              <w:bottom w:val="single" w:color="auto" w:sz="4" w:space="0"/>
              <w:right w:val="single" w:color="auto" w:sz="4" w:space="0"/>
            </w:tcBorders>
          </w:tcPr>
          <w:p w14:paraId="694691AA">
            <w:pPr>
              <w:jc w:val="left"/>
              <w:rPr>
                <w:rFonts w:hint="eastAsia" w:ascii="宋体" w:hAnsi="宋体" w:cs="宋体"/>
                <w:b/>
                <w:color w:val="auto"/>
                <w:kern w:val="36"/>
                <w:sz w:val="36"/>
                <w:szCs w:val="36"/>
              </w:rPr>
            </w:pPr>
          </w:p>
        </w:tc>
        <w:tc>
          <w:tcPr>
            <w:tcW w:w="569" w:type="pct"/>
            <w:tcBorders>
              <w:top w:val="single" w:color="auto" w:sz="4" w:space="0"/>
              <w:left w:val="nil"/>
              <w:bottom w:val="single" w:color="auto" w:sz="4" w:space="0"/>
              <w:right w:val="single" w:color="auto" w:sz="4" w:space="0"/>
            </w:tcBorders>
          </w:tcPr>
          <w:p w14:paraId="367172FA">
            <w:pPr>
              <w:jc w:val="left"/>
              <w:rPr>
                <w:rFonts w:hint="eastAsia" w:ascii="宋体" w:hAnsi="宋体" w:cs="宋体"/>
                <w:b/>
                <w:color w:val="auto"/>
                <w:kern w:val="36"/>
                <w:sz w:val="36"/>
                <w:szCs w:val="36"/>
              </w:rPr>
            </w:pPr>
          </w:p>
        </w:tc>
        <w:tc>
          <w:tcPr>
            <w:tcW w:w="633" w:type="pct"/>
            <w:tcBorders>
              <w:top w:val="single" w:color="auto" w:sz="4" w:space="0"/>
              <w:left w:val="nil"/>
              <w:bottom w:val="single" w:color="auto" w:sz="4" w:space="0"/>
              <w:right w:val="single" w:color="auto" w:sz="4" w:space="0"/>
            </w:tcBorders>
          </w:tcPr>
          <w:p w14:paraId="66B3205E">
            <w:pPr>
              <w:jc w:val="left"/>
              <w:rPr>
                <w:rFonts w:hint="eastAsia" w:ascii="宋体" w:hAnsi="宋体" w:cs="宋体"/>
                <w:b/>
                <w:color w:val="auto"/>
                <w:kern w:val="36"/>
                <w:sz w:val="36"/>
                <w:szCs w:val="36"/>
              </w:rPr>
            </w:pPr>
          </w:p>
        </w:tc>
        <w:tc>
          <w:tcPr>
            <w:tcW w:w="801" w:type="pct"/>
            <w:tcBorders>
              <w:top w:val="single" w:color="auto" w:sz="4" w:space="0"/>
              <w:left w:val="nil"/>
              <w:bottom w:val="single" w:color="auto" w:sz="4" w:space="0"/>
              <w:right w:val="single" w:color="auto" w:sz="4" w:space="0"/>
            </w:tcBorders>
          </w:tcPr>
          <w:p w14:paraId="541A8FB1">
            <w:pPr>
              <w:jc w:val="left"/>
              <w:rPr>
                <w:rFonts w:hint="eastAsia" w:ascii="宋体" w:hAnsi="宋体" w:cs="宋体"/>
                <w:b/>
                <w:color w:val="auto"/>
                <w:kern w:val="36"/>
                <w:sz w:val="36"/>
                <w:szCs w:val="36"/>
              </w:rPr>
            </w:pPr>
          </w:p>
        </w:tc>
        <w:tc>
          <w:tcPr>
            <w:tcW w:w="379" w:type="pct"/>
            <w:tcBorders>
              <w:top w:val="single" w:color="auto" w:sz="4" w:space="0"/>
              <w:left w:val="nil"/>
              <w:bottom w:val="single" w:color="auto" w:sz="4" w:space="0"/>
              <w:right w:val="single" w:color="auto" w:sz="4" w:space="0"/>
            </w:tcBorders>
          </w:tcPr>
          <w:p w14:paraId="4F05D189">
            <w:pPr>
              <w:jc w:val="left"/>
              <w:rPr>
                <w:rFonts w:hint="eastAsia" w:ascii="宋体" w:hAnsi="宋体" w:cs="宋体"/>
                <w:b/>
                <w:color w:val="auto"/>
                <w:kern w:val="36"/>
                <w:sz w:val="36"/>
                <w:szCs w:val="36"/>
              </w:rPr>
            </w:pPr>
          </w:p>
        </w:tc>
        <w:tc>
          <w:tcPr>
            <w:tcW w:w="427" w:type="pct"/>
            <w:tcBorders>
              <w:top w:val="single" w:color="auto" w:sz="4" w:space="0"/>
              <w:left w:val="nil"/>
              <w:bottom w:val="single" w:color="auto" w:sz="4" w:space="0"/>
              <w:right w:val="single" w:color="auto" w:sz="4" w:space="0"/>
            </w:tcBorders>
          </w:tcPr>
          <w:p w14:paraId="3769F3A5">
            <w:pPr>
              <w:jc w:val="left"/>
              <w:rPr>
                <w:rFonts w:hint="eastAsia" w:ascii="宋体" w:hAnsi="宋体" w:cs="宋体"/>
                <w:b/>
                <w:color w:val="auto"/>
                <w:kern w:val="36"/>
                <w:sz w:val="36"/>
                <w:szCs w:val="36"/>
              </w:rPr>
            </w:pPr>
          </w:p>
        </w:tc>
        <w:tc>
          <w:tcPr>
            <w:tcW w:w="407" w:type="pct"/>
            <w:tcBorders>
              <w:top w:val="single" w:color="auto" w:sz="4" w:space="0"/>
              <w:left w:val="nil"/>
              <w:bottom w:val="single" w:color="auto" w:sz="4" w:space="0"/>
              <w:right w:val="single" w:color="auto" w:sz="4" w:space="0"/>
            </w:tcBorders>
          </w:tcPr>
          <w:p w14:paraId="2882BDCA">
            <w:pPr>
              <w:jc w:val="left"/>
              <w:rPr>
                <w:rFonts w:hint="eastAsia" w:ascii="宋体" w:hAnsi="宋体" w:cs="宋体"/>
                <w:b/>
                <w:color w:val="auto"/>
                <w:kern w:val="36"/>
                <w:sz w:val="36"/>
                <w:szCs w:val="36"/>
              </w:rPr>
            </w:pPr>
          </w:p>
        </w:tc>
        <w:tc>
          <w:tcPr>
            <w:tcW w:w="383" w:type="pct"/>
            <w:tcBorders>
              <w:top w:val="single" w:color="auto" w:sz="4" w:space="0"/>
              <w:left w:val="nil"/>
              <w:bottom w:val="single" w:color="auto" w:sz="4" w:space="0"/>
              <w:right w:val="single" w:color="auto" w:sz="4" w:space="0"/>
            </w:tcBorders>
          </w:tcPr>
          <w:p w14:paraId="5D62B4B6">
            <w:pPr>
              <w:jc w:val="left"/>
              <w:rPr>
                <w:rFonts w:hint="eastAsia" w:ascii="宋体" w:hAnsi="宋体" w:cs="宋体"/>
                <w:b/>
                <w:color w:val="auto"/>
                <w:kern w:val="36"/>
                <w:sz w:val="36"/>
                <w:szCs w:val="36"/>
              </w:rPr>
            </w:pPr>
          </w:p>
        </w:tc>
        <w:tc>
          <w:tcPr>
            <w:tcW w:w="404" w:type="pct"/>
            <w:tcBorders>
              <w:top w:val="single" w:color="auto" w:sz="4" w:space="0"/>
              <w:left w:val="nil"/>
              <w:bottom w:val="single" w:color="auto" w:sz="4" w:space="0"/>
              <w:right w:val="single" w:color="auto" w:sz="4" w:space="0"/>
            </w:tcBorders>
          </w:tcPr>
          <w:p w14:paraId="0517B2F7">
            <w:pPr>
              <w:jc w:val="left"/>
              <w:rPr>
                <w:rFonts w:hint="eastAsia" w:ascii="宋体" w:hAnsi="宋体" w:cs="宋体"/>
                <w:b/>
                <w:color w:val="auto"/>
                <w:kern w:val="36"/>
                <w:sz w:val="36"/>
                <w:szCs w:val="36"/>
              </w:rPr>
            </w:pPr>
          </w:p>
        </w:tc>
      </w:tr>
      <w:tr w14:paraId="13C39467">
        <w:tblPrEx>
          <w:tblCellMar>
            <w:top w:w="0" w:type="dxa"/>
            <w:left w:w="108" w:type="dxa"/>
            <w:bottom w:w="0" w:type="dxa"/>
            <w:right w:w="108" w:type="dxa"/>
          </w:tblCellMar>
        </w:tblPrEx>
        <w:trPr>
          <w:cantSplit/>
          <w:trHeight w:val="380" w:hRule="atLeast"/>
          <w:jc w:val="center"/>
        </w:trPr>
        <w:tc>
          <w:tcPr>
            <w:tcW w:w="362" w:type="pct"/>
            <w:tcBorders>
              <w:top w:val="nil"/>
              <w:left w:val="single" w:color="auto" w:sz="4" w:space="0"/>
              <w:bottom w:val="single" w:color="auto" w:sz="4" w:space="0"/>
              <w:right w:val="single" w:color="auto" w:sz="4" w:space="0"/>
            </w:tcBorders>
            <w:vAlign w:val="center"/>
          </w:tcPr>
          <w:p w14:paraId="0C0A97B6">
            <w:pPr>
              <w:jc w:val="center"/>
              <w:rPr>
                <w:rFonts w:hint="eastAsia" w:ascii="宋体" w:hAnsi="宋体" w:eastAsia="宋体" w:cs="宋体"/>
                <w:b/>
                <w:color w:val="auto"/>
                <w:kern w:val="36"/>
                <w:sz w:val="36"/>
                <w:szCs w:val="36"/>
                <w:lang w:eastAsia="zh-CN"/>
              </w:rPr>
            </w:pPr>
            <w:r>
              <w:rPr>
                <w:rFonts w:hint="eastAsia" w:ascii="宋体" w:hAnsi="宋体" w:cs="宋体"/>
                <w:b/>
                <w:color w:val="auto"/>
                <w:kern w:val="36"/>
                <w:sz w:val="36"/>
                <w:szCs w:val="36"/>
                <w:lang w:eastAsia="zh-CN"/>
              </w:rPr>
              <w:t>…</w:t>
            </w:r>
          </w:p>
        </w:tc>
        <w:tc>
          <w:tcPr>
            <w:tcW w:w="630" w:type="pct"/>
            <w:tcBorders>
              <w:top w:val="single" w:color="auto" w:sz="4" w:space="0"/>
              <w:left w:val="nil"/>
              <w:bottom w:val="single" w:color="auto" w:sz="4" w:space="0"/>
              <w:right w:val="single" w:color="auto" w:sz="4" w:space="0"/>
            </w:tcBorders>
          </w:tcPr>
          <w:p w14:paraId="1EBCEE62">
            <w:pPr>
              <w:jc w:val="left"/>
              <w:rPr>
                <w:rFonts w:hint="eastAsia" w:ascii="宋体" w:hAnsi="宋体" w:cs="宋体"/>
                <w:b/>
                <w:color w:val="auto"/>
                <w:kern w:val="36"/>
                <w:sz w:val="36"/>
                <w:szCs w:val="36"/>
              </w:rPr>
            </w:pPr>
          </w:p>
        </w:tc>
        <w:tc>
          <w:tcPr>
            <w:tcW w:w="569" w:type="pct"/>
            <w:tcBorders>
              <w:top w:val="single" w:color="auto" w:sz="4" w:space="0"/>
              <w:left w:val="nil"/>
              <w:bottom w:val="single" w:color="auto" w:sz="4" w:space="0"/>
              <w:right w:val="single" w:color="auto" w:sz="4" w:space="0"/>
            </w:tcBorders>
          </w:tcPr>
          <w:p w14:paraId="76B6B648">
            <w:pPr>
              <w:jc w:val="left"/>
              <w:rPr>
                <w:rFonts w:hint="eastAsia" w:ascii="宋体" w:hAnsi="宋体" w:cs="宋体"/>
                <w:b/>
                <w:color w:val="auto"/>
                <w:kern w:val="36"/>
                <w:sz w:val="36"/>
                <w:szCs w:val="36"/>
              </w:rPr>
            </w:pPr>
          </w:p>
        </w:tc>
        <w:tc>
          <w:tcPr>
            <w:tcW w:w="633" w:type="pct"/>
            <w:tcBorders>
              <w:top w:val="single" w:color="auto" w:sz="4" w:space="0"/>
              <w:left w:val="nil"/>
              <w:bottom w:val="single" w:color="auto" w:sz="4" w:space="0"/>
              <w:right w:val="single" w:color="auto" w:sz="4" w:space="0"/>
            </w:tcBorders>
          </w:tcPr>
          <w:p w14:paraId="1E8C0285">
            <w:pPr>
              <w:jc w:val="left"/>
              <w:rPr>
                <w:rFonts w:hint="eastAsia" w:ascii="宋体" w:hAnsi="宋体" w:cs="宋体"/>
                <w:b/>
                <w:color w:val="auto"/>
                <w:kern w:val="36"/>
                <w:sz w:val="36"/>
                <w:szCs w:val="36"/>
              </w:rPr>
            </w:pPr>
          </w:p>
        </w:tc>
        <w:tc>
          <w:tcPr>
            <w:tcW w:w="801" w:type="pct"/>
            <w:tcBorders>
              <w:top w:val="single" w:color="auto" w:sz="4" w:space="0"/>
              <w:left w:val="nil"/>
              <w:bottom w:val="single" w:color="auto" w:sz="4" w:space="0"/>
              <w:right w:val="single" w:color="auto" w:sz="4" w:space="0"/>
            </w:tcBorders>
          </w:tcPr>
          <w:p w14:paraId="015D494D">
            <w:pPr>
              <w:jc w:val="left"/>
              <w:rPr>
                <w:rFonts w:hint="eastAsia" w:ascii="宋体" w:hAnsi="宋体" w:cs="宋体"/>
                <w:b/>
                <w:color w:val="auto"/>
                <w:kern w:val="36"/>
                <w:sz w:val="36"/>
                <w:szCs w:val="36"/>
              </w:rPr>
            </w:pPr>
          </w:p>
        </w:tc>
        <w:tc>
          <w:tcPr>
            <w:tcW w:w="379" w:type="pct"/>
            <w:tcBorders>
              <w:top w:val="single" w:color="auto" w:sz="4" w:space="0"/>
              <w:left w:val="nil"/>
              <w:bottom w:val="single" w:color="auto" w:sz="4" w:space="0"/>
              <w:right w:val="single" w:color="auto" w:sz="4" w:space="0"/>
            </w:tcBorders>
          </w:tcPr>
          <w:p w14:paraId="3E2F3993">
            <w:pPr>
              <w:jc w:val="left"/>
              <w:rPr>
                <w:rFonts w:hint="eastAsia" w:ascii="宋体" w:hAnsi="宋体" w:cs="宋体"/>
                <w:b/>
                <w:color w:val="auto"/>
                <w:kern w:val="36"/>
                <w:sz w:val="36"/>
                <w:szCs w:val="36"/>
              </w:rPr>
            </w:pPr>
          </w:p>
        </w:tc>
        <w:tc>
          <w:tcPr>
            <w:tcW w:w="427" w:type="pct"/>
            <w:tcBorders>
              <w:top w:val="single" w:color="auto" w:sz="4" w:space="0"/>
              <w:left w:val="nil"/>
              <w:bottom w:val="single" w:color="auto" w:sz="4" w:space="0"/>
              <w:right w:val="single" w:color="auto" w:sz="4" w:space="0"/>
            </w:tcBorders>
          </w:tcPr>
          <w:p w14:paraId="27EBB625">
            <w:pPr>
              <w:jc w:val="left"/>
              <w:rPr>
                <w:rFonts w:hint="eastAsia" w:ascii="宋体" w:hAnsi="宋体" w:cs="宋体"/>
                <w:b/>
                <w:color w:val="auto"/>
                <w:kern w:val="36"/>
                <w:sz w:val="36"/>
                <w:szCs w:val="36"/>
              </w:rPr>
            </w:pPr>
          </w:p>
        </w:tc>
        <w:tc>
          <w:tcPr>
            <w:tcW w:w="407" w:type="pct"/>
            <w:tcBorders>
              <w:top w:val="single" w:color="auto" w:sz="4" w:space="0"/>
              <w:left w:val="nil"/>
              <w:bottom w:val="single" w:color="auto" w:sz="4" w:space="0"/>
              <w:right w:val="single" w:color="auto" w:sz="4" w:space="0"/>
            </w:tcBorders>
          </w:tcPr>
          <w:p w14:paraId="5961B0E7">
            <w:pPr>
              <w:jc w:val="left"/>
              <w:rPr>
                <w:rFonts w:hint="eastAsia" w:ascii="宋体" w:hAnsi="宋体" w:cs="宋体"/>
                <w:b/>
                <w:color w:val="auto"/>
                <w:kern w:val="36"/>
                <w:sz w:val="36"/>
                <w:szCs w:val="36"/>
              </w:rPr>
            </w:pPr>
          </w:p>
        </w:tc>
        <w:tc>
          <w:tcPr>
            <w:tcW w:w="383" w:type="pct"/>
            <w:tcBorders>
              <w:top w:val="single" w:color="auto" w:sz="4" w:space="0"/>
              <w:left w:val="nil"/>
              <w:bottom w:val="single" w:color="auto" w:sz="4" w:space="0"/>
              <w:right w:val="single" w:color="auto" w:sz="4" w:space="0"/>
            </w:tcBorders>
          </w:tcPr>
          <w:p w14:paraId="3A65D05B">
            <w:pPr>
              <w:jc w:val="left"/>
              <w:rPr>
                <w:rFonts w:hint="eastAsia" w:ascii="宋体" w:hAnsi="宋体" w:cs="宋体"/>
                <w:b/>
                <w:color w:val="auto"/>
                <w:kern w:val="36"/>
                <w:sz w:val="36"/>
                <w:szCs w:val="36"/>
              </w:rPr>
            </w:pPr>
          </w:p>
        </w:tc>
        <w:tc>
          <w:tcPr>
            <w:tcW w:w="404" w:type="pct"/>
            <w:tcBorders>
              <w:top w:val="single" w:color="auto" w:sz="4" w:space="0"/>
              <w:left w:val="nil"/>
              <w:bottom w:val="single" w:color="auto" w:sz="4" w:space="0"/>
              <w:right w:val="single" w:color="auto" w:sz="4" w:space="0"/>
            </w:tcBorders>
          </w:tcPr>
          <w:p w14:paraId="5A50EB19">
            <w:pPr>
              <w:jc w:val="left"/>
              <w:rPr>
                <w:rFonts w:hint="eastAsia" w:ascii="宋体" w:hAnsi="宋体" w:cs="宋体"/>
                <w:b/>
                <w:color w:val="auto"/>
                <w:kern w:val="36"/>
                <w:sz w:val="36"/>
                <w:szCs w:val="36"/>
              </w:rPr>
            </w:pPr>
          </w:p>
        </w:tc>
      </w:tr>
      <w:tr w14:paraId="50BF0791">
        <w:tblPrEx>
          <w:tblCellMar>
            <w:top w:w="0" w:type="dxa"/>
            <w:left w:w="108" w:type="dxa"/>
            <w:bottom w:w="0" w:type="dxa"/>
            <w:right w:w="108" w:type="dxa"/>
          </w:tblCellMar>
        </w:tblPrEx>
        <w:trPr>
          <w:cantSplit/>
          <w:trHeight w:val="935" w:hRule="atLeast"/>
          <w:jc w:val="center"/>
        </w:trPr>
        <w:tc>
          <w:tcPr>
            <w:tcW w:w="5000" w:type="pct"/>
            <w:gridSpan w:val="10"/>
            <w:tcBorders>
              <w:top w:val="nil"/>
              <w:left w:val="single" w:color="auto" w:sz="4" w:space="0"/>
              <w:bottom w:val="single" w:color="auto" w:sz="4" w:space="0"/>
              <w:right w:val="single" w:color="auto" w:sz="4" w:space="0"/>
            </w:tcBorders>
            <w:vAlign w:val="center"/>
          </w:tcPr>
          <w:p w14:paraId="1F4CB6E3">
            <w:pPr>
              <w:jc w:val="left"/>
              <w:rPr>
                <w:rFonts w:ascii="宋体" w:hAnsi="宋体" w:cs="宋体"/>
                <w:b/>
                <w:color w:val="auto"/>
                <w:kern w:val="36"/>
                <w:sz w:val="36"/>
                <w:szCs w:val="36"/>
                <w:lang w:val="en-US" w:eastAsia="zh-CN"/>
              </w:rPr>
            </w:pPr>
            <w:r>
              <w:rPr>
                <w:rFonts w:hint="eastAsia" w:ascii="宋体" w:hAnsi="宋体" w:cs="宋体"/>
                <w:b/>
                <w:bCs/>
                <w:color w:val="auto"/>
                <w:sz w:val="24"/>
                <w:szCs w:val="24"/>
              </w:rPr>
              <w:t>投标总价(人民币大写)</w:t>
            </w:r>
            <w:bookmarkEnd w:id="363"/>
            <w:r>
              <w:rPr>
                <w:rFonts w:hint="eastAsia" w:ascii="宋体" w:hAnsi="宋体" w:cs="宋体"/>
                <w:b/>
                <w:bCs/>
                <w:color w:val="auto"/>
                <w:sz w:val="24"/>
                <w:szCs w:val="24"/>
              </w:rPr>
              <w:t>：</w:t>
            </w:r>
            <w:r>
              <w:rPr>
                <w:rFonts w:hint="eastAsia" w:ascii="宋体" w:hAnsi="宋体" w:cs="宋体"/>
                <w:b/>
                <w:bCs/>
                <w:color w:val="auto"/>
                <w:sz w:val="24"/>
                <w:szCs w:val="24"/>
                <w:u w:val="single"/>
              </w:rPr>
              <w:t xml:space="preserve">                          （¥：         元）</w:t>
            </w:r>
          </w:p>
        </w:tc>
      </w:tr>
      <w:tr w14:paraId="5F19792B">
        <w:tblPrEx>
          <w:tblCellMar>
            <w:top w:w="0" w:type="dxa"/>
            <w:left w:w="108" w:type="dxa"/>
            <w:bottom w:w="0" w:type="dxa"/>
            <w:right w:w="108" w:type="dxa"/>
          </w:tblCellMar>
        </w:tblPrEx>
        <w:trPr>
          <w:cantSplit/>
          <w:trHeight w:val="443" w:hRule="atLeast"/>
          <w:jc w:val="center"/>
        </w:trPr>
        <w:tc>
          <w:tcPr>
            <w:tcW w:w="5000" w:type="pct"/>
            <w:gridSpan w:val="10"/>
            <w:tcBorders>
              <w:top w:val="nil"/>
              <w:left w:val="single" w:color="auto" w:sz="4" w:space="0"/>
              <w:bottom w:val="single" w:color="auto" w:sz="4" w:space="0"/>
              <w:right w:val="single" w:color="auto" w:sz="4" w:space="0"/>
            </w:tcBorders>
            <w:vAlign w:val="top"/>
          </w:tcPr>
          <w:p w14:paraId="2D607530">
            <w:pPr>
              <w:jc w:val="left"/>
              <w:rPr>
                <w:rFonts w:hint="eastAsia" w:ascii="宋体" w:hAnsi="宋体" w:cs="宋体"/>
                <w:color w:val="auto"/>
                <w:kern w:val="2"/>
                <w:sz w:val="24"/>
                <w:szCs w:val="21"/>
                <w:lang w:val="en-US" w:eastAsia="zh-CN"/>
              </w:rPr>
            </w:pPr>
            <w:r>
              <w:rPr>
                <w:rFonts w:hint="eastAsia" w:ascii="宋体" w:hAnsi="宋体" w:cs="宋体"/>
                <w:color w:val="auto"/>
                <w:kern w:val="2"/>
                <w:sz w:val="24"/>
                <w:szCs w:val="21"/>
                <w:lang w:val="en-US" w:eastAsia="zh-CN"/>
              </w:rPr>
              <w:t>注：1、投标人必须提供所投产品的实际具体的参数值。</w:t>
            </w:r>
          </w:p>
          <w:p w14:paraId="1A2FBC02">
            <w:pPr>
              <w:ind w:firstLine="480" w:firstLineChars="200"/>
              <w:jc w:val="left"/>
              <w:rPr>
                <w:rFonts w:ascii="宋体" w:hAnsi="宋体" w:cs="宋体"/>
                <w:b/>
                <w:color w:val="auto"/>
                <w:kern w:val="36"/>
                <w:sz w:val="36"/>
                <w:szCs w:val="36"/>
                <w:lang w:val="en-US" w:eastAsia="zh-CN"/>
              </w:rPr>
            </w:pPr>
            <w:r>
              <w:rPr>
                <w:rFonts w:hint="eastAsia" w:ascii="宋体" w:hAnsi="宋体" w:cs="宋体"/>
                <w:color w:val="auto"/>
                <w:kern w:val="2"/>
                <w:sz w:val="24"/>
                <w:szCs w:val="21"/>
                <w:lang w:val="en-US" w:eastAsia="zh-CN"/>
              </w:rPr>
              <w:t>2、</w:t>
            </w:r>
            <w:r>
              <w:rPr>
                <w:rFonts w:hint="eastAsia" w:ascii="宋体" w:hAnsi="宋体" w:eastAsia="宋体" w:cs="宋体"/>
                <w:color w:val="auto"/>
                <w:kern w:val="2"/>
                <w:sz w:val="24"/>
                <w:szCs w:val="21"/>
              </w:rPr>
              <w:t>上述报价包含但不限于</w:t>
            </w:r>
            <w:r>
              <w:rPr>
                <w:rFonts w:hint="eastAsia" w:ascii="宋体" w:hAnsi="宋体" w:eastAsia="宋体" w:cs="宋体"/>
                <w:color w:val="auto"/>
                <w:kern w:val="2"/>
                <w:sz w:val="24"/>
                <w:szCs w:val="21"/>
                <w:lang w:eastAsia="zh-CN"/>
              </w:rPr>
              <w:t>货款、标准附件、备品备件、专用工具、包装、运输、装卸、保险、税金、</w:t>
            </w:r>
            <w:r>
              <w:rPr>
                <w:rFonts w:hint="eastAsia" w:ascii="宋体" w:hAnsi="宋体" w:cs="宋体"/>
                <w:color w:val="auto"/>
                <w:kern w:val="2"/>
                <w:sz w:val="24"/>
                <w:szCs w:val="21"/>
                <w:lang w:eastAsia="zh-CN"/>
              </w:rPr>
              <w:t>交货到位以及安装、调试、培训、售后服务等一切费用</w:t>
            </w:r>
            <w:r>
              <w:rPr>
                <w:rFonts w:hint="eastAsia" w:ascii="宋体" w:hAnsi="宋体" w:eastAsia="宋体" w:cs="宋体"/>
                <w:color w:val="auto"/>
                <w:kern w:val="2"/>
                <w:sz w:val="24"/>
                <w:szCs w:val="21"/>
              </w:rPr>
              <w:t>。</w:t>
            </w:r>
          </w:p>
        </w:tc>
      </w:tr>
    </w:tbl>
    <w:p w14:paraId="08CFDD61">
      <w:pPr>
        <w:jc w:val="left"/>
        <w:rPr>
          <w:rFonts w:ascii="宋体" w:hAnsi="宋体" w:cs="宋体"/>
          <w:b/>
          <w:color w:val="auto"/>
          <w:kern w:val="36"/>
          <w:sz w:val="36"/>
          <w:szCs w:val="36"/>
        </w:rPr>
      </w:pPr>
    </w:p>
    <w:p w14:paraId="778FE207">
      <w:pPr>
        <w:widowControl w:val="0"/>
        <w:spacing w:line="360" w:lineRule="auto"/>
        <w:ind w:left="141" w:leftChars="67" w:firstLine="561" w:firstLineChars="216"/>
        <w:textAlignment w:val="auto"/>
        <w:rPr>
          <w:rFonts w:hint="eastAsia" w:ascii="宋体" w:hAnsi="宋体" w:eastAsia="宋体" w:cs="宋体"/>
          <w:color w:val="auto"/>
          <w:kern w:val="2"/>
          <w:sz w:val="26"/>
          <w:szCs w:val="28"/>
          <w:lang w:val="zh-CN"/>
        </w:rPr>
      </w:pPr>
      <w:r>
        <w:rPr>
          <w:rFonts w:hint="eastAsia" w:ascii="宋体" w:hAnsi="宋体" w:eastAsia="宋体" w:cs="宋体"/>
          <w:color w:val="auto"/>
          <w:kern w:val="2"/>
          <w:sz w:val="26"/>
          <w:szCs w:val="28"/>
        </w:rPr>
        <w:t>投标人：（盖公章）</w:t>
      </w:r>
      <w:r>
        <w:rPr>
          <w:rFonts w:hint="eastAsia" w:ascii="宋体" w:hAnsi="宋体" w:eastAsia="宋体" w:cs="宋体"/>
          <w:color w:val="auto"/>
          <w:kern w:val="2"/>
          <w:sz w:val="26"/>
          <w:szCs w:val="28"/>
          <w:lang w:val="zh-CN"/>
        </w:rPr>
        <w:t xml:space="preserve">   </w:t>
      </w:r>
    </w:p>
    <w:p w14:paraId="5BEE267B">
      <w:pPr>
        <w:widowControl w:val="0"/>
        <w:spacing w:line="360" w:lineRule="auto"/>
        <w:ind w:left="141" w:leftChars="67" w:firstLine="561" w:firstLineChars="216"/>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法定代表人：（法人电子签章）</w:t>
      </w:r>
    </w:p>
    <w:p w14:paraId="5234F82A">
      <w:pPr>
        <w:widowControl w:val="0"/>
        <w:spacing w:line="360" w:lineRule="auto"/>
        <w:ind w:left="141" w:leftChars="67" w:firstLine="561" w:firstLineChars="216"/>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1.</w:t>
      </w:r>
      <w:r>
        <w:rPr>
          <w:rFonts w:hint="eastAsia" w:ascii="宋体" w:hAnsi="宋体" w:eastAsia="宋体" w:cs="宋体"/>
          <w:color w:val="auto"/>
          <w:kern w:val="2"/>
          <w:sz w:val="26"/>
          <w:szCs w:val="28"/>
          <w:lang w:val="zh-CN"/>
        </w:rPr>
        <w:t xml:space="preserve"> </w:t>
      </w:r>
      <w:r>
        <w:rPr>
          <w:rFonts w:hint="eastAsia" w:ascii="宋体" w:hAnsi="宋体" w:eastAsia="宋体" w:cs="宋体"/>
          <w:color w:val="auto"/>
          <w:kern w:val="2"/>
          <w:sz w:val="26"/>
          <w:szCs w:val="28"/>
        </w:rPr>
        <w:t>投标人根据招标文件采购清单中的各项内容并按照上述格式详细填报计费项目、分项价格和投标合价</w:t>
      </w:r>
      <w:r>
        <w:rPr>
          <w:rFonts w:hint="eastAsia" w:ascii="宋体" w:hAnsi="宋体" w:eastAsia="宋体" w:cs="宋体"/>
          <w:color w:val="auto"/>
          <w:kern w:val="2"/>
          <w:sz w:val="26"/>
          <w:szCs w:val="28"/>
          <w:lang w:eastAsia="zh-CN"/>
        </w:rPr>
        <w:t>。</w:t>
      </w:r>
      <w:r>
        <w:rPr>
          <w:rFonts w:hint="eastAsia" w:ascii="宋体" w:hAnsi="宋体" w:eastAsia="宋体" w:cs="宋体"/>
          <w:color w:val="auto"/>
          <w:kern w:val="2"/>
          <w:sz w:val="26"/>
          <w:szCs w:val="28"/>
        </w:rPr>
        <w:t>投标人可根据填报内容需要自行扩展表格，但不能修改表格内实质性内容。</w:t>
      </w:r>
    </w:p>
    <w:p w14:paraId="79447DC7">
      <w:pPr>
        <w:widowControl w:val="0"/>
        <w:spacing w:line="360" w:lineRule="auto"/>
        <w:ind w:left="141" w:leftChars="67" w:firstLine="561" w:firstLineChars="216"/>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2.表中的投标总价应和开标一览表中的投标总价相一致；</w:t>
      </w:r>
    </w:p>
    <w:p w14:paraId="1EDEEC2D">
      <w:pPr>
        <w:widowControl w:val="0"/>
        <w:spacing w:line="360" w:lineRule="auto"/>
        <w:ind w:left="141" w:leftChars="67" w:firstLine="561" w:firstLineChars="216"/>
        <w:textAlignment w:val="auto"/>
        <w:rPr>
          <w:rFonts w:ascii="宋体" w:hAnsi="宋体" w:cs="宋体"/>
          <w:b/>
          <w:color w:val="auto"/>
          <w:kern w:val="36"/>
          <w:sz w:val="36"/>
          <w:szCs w:val="36"/>
        </w:rPr>
      </w:pPr>
      <w:r>
        <w:rPr>
          <w:rFonts w:hint="eastAsia" w:ascii="宋体" w:hAnsi="宋体" w:eastAsia="宋体" w:cs="宋体"/>
          <w:color w:val="auto"/>
          <w:kern w:val="2"/>
          <w:sz w:val="26"/>
          <w:szCs w:val="28"/>
        </w:rPr>
        <w:t>3.如果按单价计算的结果与总价不一致，以单价为准修正总价，但单价金额小数点有明显错误的除外；</w:t>
      </w:r>
    </w:p>
    <w:p w14:paraId="34B94DAF">
      <w:pPr>
        <w:jc w:val="left"/>
        <w:rPr>
          <w:rFonts w:ascii="宋体" w:hAnsi="宋体" w:cs="宋体"/>
          <w:b/>
          <w:color w:val="auto"/>
          <w:kern w:val="36"/>
          <w:sz w:val="36"/>
          <w:szCs w:val="36"/>
        </w:rPr>
      </w:pPr>
      <w:r>
        <w:rPr>
          <w:rFonts w:hint="eastAsia" w:ascii="宋体" w:hAnsi="宋体" w:cs="宋体"/>
          <w:b/>
          <w:color w:val="auto"/>
          <w:kern w:val="36"/>
          <w:sz w:val="36"/>
          <w:szCs w:val="36"/>
        </w:rPr>
        <w:br w:type="page"/>
      </w:r>
    </w:p>
    <w:p w14:paraId="06B06997">
      <w:pPr>
        <w:jc w:val="center"/>
        <w:rPr>
          <w:rFonts w:ascii="宋体" w:hAnsi="宋体" w:cs="宋体"/>
          <w:b/>
          <w:color w:val="auto"/>
          <w:kern w:val="36"/>
          <w:sz w:val="36"/>
          <w:szCs w:val="36"/>
        </w:rPr>
      </w:pPr>
      <w:bookmarkStart w:id="364" w:name="_Toc17149"/>
      <w:r>
        <w:rPr>
          <w:rFonts w:hint="eastAsia" w:ascii="宋体" w:hAnsi="宋体" w:cs="宋体"/>
          <w:b/>
          <w:color w:val="auto"/>
          <w:kern w:val="36"/>
          <w:sz w:val="36"/>
          <w:szCs w:val="36"/>
        </w:rPr>
        <w:t>四、</w:t>
      </w:r>
      <w:bookmarkEnd w:id="345"/>
      <w:bookmarkEnd w:id="364"/>
      <w:r>
        <w:rPr>
          <w:rFonts w:hint="eastAsia" w:ascii="宋体" w:hAnsi="宋体" w:cs="宋体"/>
          <w:b/>
          <w:color w:val="auto"/>
          <w:kern w:val="36"/>
          <w:sz w:val="36"/>
          <w:szCs w:val="36"/>
        </w:rPr>
        <w:t>技术规格响应/偏离表</w:t>
      </w:r>
    </w:p>
    <w:tbl>
      <w:tblPr>
        <w:tblStyle w:val="29"/>
        <w:tblW w:w="10375" w:type="dxa"/>
        <w:jc w:val="center"/>
        <w:tblLayout w:type="fixed"/>
        <w:tblCellMar>
          <w:top w:w="0" w:type="dxa"/>
          <w:left w:w="28" w:type="dxa"/>
          <w:bottom w:w="0" w:type="dxa"/>
          <w:right w:w="28" w:type="dxa"/>
        </w:tblCellMar>
      </w:tblPr>
      <w:tblGrid>
        <w:gridCol w:w="951"/>
        <w:gridCol w:w="1203"/>
        <w:gridCol w:w="2907"/>
        <w:gridCol w:w="3261"/>
        <w:gridCol w:w="992"/>
        <w:gridCol w:w="1061"/>
      </w:tblGrid>
      <w:tr w14:paraId="57DB6354">
        <w:tblPrEx>
          <w:tblCellMar>
            <w:top w:w="0" w:type="dxa"/>
            <w:left w:w="28" w:type="dxa"/>
            <w:bottom w:w="0" w:type="dxa"/>
            <w:right w:w="28" w:type="dxa"/>
          </w:tblCellMar>
        </w:tblPrEx>
        <w:trPr>
          <w:trHeight w:val="875"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2900F8A3">
            <w:pPr>
              <w:widowControl w:val="0"/>
              <w:spacing w:line="320" w:lineRule="exact"/>
              <w:jc w:val="center"/>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序号</w:t>
            </w:r>
          </w:p>
        </w:tc>
        <w:tc>
          <w:tcPr>
            <w:tcW w:w="1203" w:type="dxa"/>
            <w:tcBorders>
              <w:top w:val="single" w:color="auto" w:sz="4" w:space="0"/>
              <w:left w:val="single" w:color="auto" w:sz="4" w:space="0"/>
              <w:bottom w:val="single" w:color="auto" w:sz="4" w:space="0"/>
              <w:right w:val="single" w:color="auto" w:sz="4" w:space="0"/>
            </w:tcBorders>
            <w:vAlign w:val="center"/>
          </w:tcPr>
          <w:p w14:paraId="1B910C50">
            <w:pPr>
              <w:widowControl w:val="0"/>
              <w:spacing w:line="320" w:lineRule="exact"/>
              <w:jc w:val="center"/>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名称</w:t>
            </w:r>
          </w:p>
        </w:tc>
        <w:tc>
          <w:tcPr>
            <w:tcW w:w="2907" w:type="dxa"/>
            <w:tcBorders>
              <w:top w:val="single" w:color="auto" w:sz="4" w:space="0"/>
              <w:left w:val="single" w:color="auto" w:sz="4" w:space="0"/>
              <w:bottom w:val="single" w:color="auto" w:sz="4" w:space="0"/>
              <w:right w:val="single" w:color="auto" w:sz="4" w:space="0"/>
            </w:tcBorders>
            <w:vAlign w:val="center"/>
          </w:tcPr>
          <w:p w14:paraId="4E87A54C">
            <w:pPr>
              <w:widowControl w:val="0"/>
              <w:spacing w:line="320" w:lineRule="exact"/>
              <w:jc w:val="center"/>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采购</w:t>
            </w:r>
            <w:r>
              <w:rPr>
                <w:rFonts w:hint="eastAsia" w:ascii="宋体" w:hAnsi="宋体" w:cs="宋体"/>
                <w:color w:val="auto"/>
                <w:kern w:val="2"/>
                <w:sz w:val="26"/>
                <w:szCs w:val="28"/>
                <w:lang w:val="en-US" w:eastAsia="zh-CN"/>
              </w:rPr>
              <w:t>产品</w:t>
            </w:r>
            <w:r>
              <w:rPr>
                <w:rFonts w:hint="eastAsia" w:ascii="宋体" w:hAnsi="宋体" w:eastAsia="宋体" w:cs="宋体"/>
                <w:color w:val="auto"/>
                <w:kern w:val="2"/>
                <w:sz w:val="26"/>
                <w:szCs w:val="28"/>
              </w:rPr>
              <w:t>参数要求</w:t>
            </w:r>
          </w:p>
        </w:tc>
        <w:tc>
          <w:tcPr>
            <w:tcW w:w="3261" w:type="dxa"/>
            <w:tcBorders>
              <w:top w:val="single" w:color="auto" w:sz="4" w:space="0"/>
              <w:left w:val="nil"/>
              <w:bottom w:val="single" w:color="auto" w:sz="4" w:space="0"/>
              <w:right w:val="single" w:color="auto" w:sz="4" w:space="0"/>
            </w:tcBorders>
            <w:vAlign w:val="center"/>
          </w:tcPr>
          <w:p w14:paraId="3AFF798D">
            <w:pPr>
              <w:widowControl w:val="0"/>
              <w:spacing w:line="320" w:lineRule="exact"/>
              <w:jc w:val="center"/>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投标</w:t>
            </w:r>
            <w:r>
              <w:rPr>
                <w:rFonts w:hint="eastAsia" w:ascii="宋体" w:hAnsi="宋体" w:eastAsia="宋体" w:cs="宋体"/>
                <w:color w:val="auto"/>
                <w:kern w:val="2"/>
                <w:sz w:val="26"/>
                <w:szCs w:val="28"/>
                <w:lang w:val="en-US" w:eastAsia="zh-CN"/>
              </w:rPr>
              <w:t>产品</w:t>
            </w:r>
            <w:r>
              <w:rPr>
                <w:rFonts w:hint="eastAsia" w:ascii="宋体" w:hAnsi="宋体" w:eastAsia="宋体" w:cs="宋体"/>
                <w:color w:val="auto"/>
                <w:kern w:val="2"/>
                <w:sz w:val="26"/>
                <w:szCs w:val="28"/>
              </w:rPr>
              <w:t>参数</w:t>
            </w:r>
          </w:p>
        </w:tc>
        <w:tc>
          <w:tcPr>
            <w:tcW w:w="992" w:type="dxa"/>
            <w:tcBorders>
              <w:top w:val="single" w:color="auto" w:sz="4" w:space="0"/>
              <w:left w:val="nil"/>
              <w:bottom w:val="single" w:color="auto" w:sz="4" w:space="0"/>
              <w:right w:val="single" w:color="auto" w:sz="4" w:space="0"/>
            </w:tcBorders>
            <w:vAlign w:val="center"/>
          </w:tcPr>
          <w:p w14:paraId="4C9523A9">
            <w:pPr>
              <w:widowControl w:val="0"/>
              <w:spacing w:line="320" w:lineRule="exact"/>
              <w:jc w:val="center"/>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偏离</w:t>
            </w:r>
          </w:p>
        </w:tc>
        <w:tc>
          <w:tcPr>
            <w:tcW w:w="1061" w:type="dxa"/>
            <w:tcBorders>
              <w:top w:val="single" w:color="auto" w:sz="4" w:space="0"/>
              <w:left w:val="nil"/>
              <w:bottom w:val="single" w:color="auto" w:sz="4" w:space="0"/>
              <w:right w:val="single" w:color="auto" w:sz="4" w:space="0"/>
            </w:tcBorders>
            <w:vAlign w:val="center"/>
          </w:tcPr>
          <w:p w14:paraId="7C7E9FE1">
            <w:pPr>
              <w:widowControl w:val="0"/>
              <w:spacing w:line="320" w:lineRule="exact"/>
              <w:jc w:val="center"/>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说明</w:t>
            </w:r>
          </w:p>
        </w:tc>
      </w:tr>
      <w:tr w14:paraId="61E4206D">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5DA69DD1">
            <w:pPr>
              <w:jc w:val="left"/>
              <w:rPr>
                <w:rFonts w:ascii="宋体" w:hAnsi="宋体" w:cs="宋体"/>
                <w:b/>
                <w:color w:val="auto"/>
                <w:kern w:val="36"/>
                <w:sz w:val="36"/>
                <w:szCs w:val="36"/>
              </w:rPr>
            </w:pPr>
          </w:p>
        </w:tc>
        <w:tc>
          <w:tcPr>
            <w:tcW w:w="1203" w:type="dxa"/>
            <w:tcBorders>
              <w:top w:val="single" w:color="auto" w:sz="4" w:space="0"/>
              <w:left w:val="single" w:color="auto" w:sz="4" w:space="0"/>
              <w:bottom w:val="single" w:color="auto" w:sz="4" w:space="0"/>
              <w:right w:val="single" w:color="auto" w:sz="4" w:space="0"/>
            </w:tcBorders>
          </w:tcPr>
          <w:p w14:paraId="0FC60AB6">
            <w:pPr>
              <w:jc w:val="left"/>
              <w:rPr>
                <w:rFonts w:ascii="宋体" w:hAnsi="宋体" w:cs="宋体"/>
                <w:b/>
                <w:color w:val="auto"/>
                <w:kern w:val="36"/>
                <w:sz w:val="36"/>
                <w:szCs w:val="36"/>
              </w:rPr>
            </w:pPr>
          </w:p>
        </w:tc>
        <w:tc>
          <w:tcPr>
            <w:tcW w:w="2907" w:type="dxa"/>
            <w:tcBorders>
              <w:top w:val="single" w:color="auto" w:sz="4" w:space="0"/>
              <w:left w:val="single" w:color="auto" w:sz="4" w:space="0"/>
              <w:bottom w:val="single" w:color="auto" w:sz="4" w:space="0"/>
              <w:right w:val="single" w:color="auto" w:sz="4" w:space="0"/>
            </w:tcBorders>
            <w:vAlign w:val="center"/>
          </w:tcPr>
          <w:p w14:paraId="4490B846">
            <w:pPr>
              <w:jc w:val="left"/>
              <w:rPr>
                <w:rFonts w:ascii="宋体" w:hAnsi="宋体" w:cs="宋体"/>
                <w:b/>
                <w:color w:val="auto"/>
                <w:kern w:val="36"/>
                <w:sz w:val="36"/>
                <w:szCs w:val="36"/>
              </w:rPr>
            </w:pPr>
          </w:p>
        </w:tc>
        <w:tc>
          <w:tcPr>
            <w:tcW w:w="3261" w:type="dxa"/>
            <w:tcBorders>
              <w:top w:val="single" w:color="auto" w:sz="4" w:space="0"/>
              <w:left w:val="nil"/>
              <w:bottom w:val="single" w:color="auto" w:sz="4" w:space="0"/>
              <w:right w:val="single" w:color="auto" w:sz="4" w:space="0"/>
            </w:tcBorders>
            <w:vAlign w:val="center"/>
          </w:tcPr>
          <w:p w14:paraId="613F5BE9">
            <w:pPr>
              <w:jc w:val="left"/>
              <w:rPr>
                <w:rFonts w:ascii="宋体" w:hAnsi="宋体" w:cs="宋体"/>
                <w:b/>
                <w:color w:val="auto"/>
                <w:kern w:val="36"/>
                <w:sz w:val="36"/>
                <w:szCs w:val="36"/>
              </w:rPr>
            </w:pPr>
          </w:p>
        </w:tc>
        <w:tc>
          <w:tcPr>
            <w:tcW w:w="992" w:type="dxa"/>
            <w:tcBorders>
              <w:top w:val="single" w:color="auto" w:sz="4" w:space="0"/>
              <w:left w:val="nil"/>
              <w:bottom w:val="single" w:color="auto" w:sz="4" w:space="0"/>
              <w:right w:val="single" w:color="auto" w:sz="4" w:space="0"/>
            </w:tcBorders>
            <w:vAlign w:val="center"/>
          </w:tcPr>
          <w:p w14:paraId="72A91B24">
            <w:pPr>
              <w:jc w:val="left"/>
              <w:rPr>
                <w:rFonts w:ascii="宋体" w:hAnsi="宋体" w:cs="宋体"/>
                <w:b/>
                <w:color w:val="auto"/>
                <w:kern w:val="36"/>
                <w:sz w:val="36"/>
                <w:szCs w:val="36"/>
              </w:rPr>
            </w:pPr>
          </w:p>
        </w:tc>
        <w:tc>
          <w:tcPr>
            <w:tcW w:w="1061" w:type="dxa"/>
            <w:tcBorders>
              <w:top w:val="single" w:color="auto" w:sz="4" w:space="0"/>
              <w:left w:val="nil"/>
              <w:bottom w:val="single" w:color="auto" w:sz="4" w:space="0"/>
              <w:right w:val="single" w:color="auto" w:sz="4" w:space="0"/>
            </w:tcBorders>
            <w:vAlign w:val="center"/>
          </w:tcPr>
          <w:p w14:paraId="77D80FF6">
            <w:pPr>
              <w:jc w:val="left"/>
              <w:rPr>
                <w:rFonts w:ascii="宋体" w:hAnsi="宋体" w:cs="宋体"/>
                <w:b/>
                <w:color w:val="auto"/>
                <w:kern w:val="36"/>
                <w:sz w:val="36"/>
                <w:szCs w:val="36"/>
              </w:rPr>
            </w:pPr>
          </w:p>
        </w:tc>
      </w:tr>
      <w:tr w14:paraId="17DC8E55">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22181F43">
            <w:pPr>
              <w:jc w:val="left"/>
              <w:rPr>
                <w:rFonts w:ascii="宋体" w:hAnsi="宋体" w:cs="宋体"/>
                <w:b/>
                <w:color w:val="auto"/>
                <w:kern w:val="36"/>
                <w:sz w:val="36"/>
                <w:szCs w:val="36"/>
              </w:rPr>
            </w:pPr>
          </w:p>
        </w:tc>
        <w:tc>
          <w:tcPr>
            <w:tcW w:w="1203" w:type="dxa"/>
            <w:tcBorders>
              <w:top w:val="single" w:color="auto" w:sz="4" w:space="0"/>
              <w:left w:val="single" w:color="auto" w:sz="4" w:space="0"/>
              <w:bottom w:val="single" w:color="auto" w:sz="4" w:space="0"/>
              <w:right w:val="single" w:color="auto" w:sz="4" w:space="0"/>
            </w:tcBorders>
          </w:tcPr>
          <w:p w14:paraId="24764C9E">
            <w:pPr>
              <w:jc w:val="left"/>
              <w:rPr>
                <w:rFonts w:ascii="宋体" w:hAnsi="宋体" w:cs="宋体"/>
                <w:b/>
                <w:color w:val="auto"/>
                <w:kern w:val="36"/>
                <w:sz w:val="36"/>
                <w:szCs w:val="36"/>
              </w:rPr>
            </w:pPr>
          </w:p>
        </w:tc>
        <w:tc>
          <w:tcPr>
            <w:tcW w:w="2907" w:type="dxa"/>
            <w:tcBorders>
              <w:top w:val="single" w:color="auto" w:sz="4" w:space="0"/>
              <w:left w:val="single" w:color="auto" w:sz="4" w:space="0"/>
              <w:bottom w:val="single" w:color="auto" w:sz="4" w:space="0"/>
              <w:right w:val="single" w:color="auto" w:sz="4" w:space="0"/>
            </w:tcBorders>
            <w:vAlign w:val="center"/>
          </w:tcPr>
          <w:p w14:paraId="085267FB">
            <w:pPr>
              <w:jc w:val="left"/>
              <w:rPr>
                <w:rFonts w:ascii="宋体" w:hAnsi="宋体" w:cs="宋体"/>
                <w:b/>
                <w:color w:val="auto"/>
                <w:kern w:val="36"/>
                <w:sz w:val="36"/>
                <w:szCs w:val="36"/>
              </w:rPr>
            </w:pPr>
          </w:p>
        </w:tc>
        <w:tc>
          <w:tcPr>
            <w:tcW w:w="3261" w:type="dxa"/>
            <w:tcBorders>
              <w:top w:val="single" w:color="auto" w:sz="4" w:space="0"/>
              <w:left w:val="nil"/>
              <w:bottom w:val="single" w:color="auto" w:sz="4" w:space="0"/>
              <w:right w:val="single" w:color="auto" w:sz="4" w:space="0"/>
            </w:tcBorders>
            <w:vAlign w:val="center"/>
          </w:tcPr>
          <w:p w14:paraId="23FB7C3C">
            <w:pPr>
              <w:jc w:val="left"/>
              <w:rPr>
                <w:rFonts w:ascii="宋体" w:hAnsi="宋体" w:cs="宋体"/>
                <w:b/>
                <w:color w:val="auto"/>
                <w:kern w:val="36"/>
                <w:sz w:val="36"/>
                <w:szCs w:val="36"/>
              </w:rPr>
            </w:pPr>
          </w:p>
        </w:tc>
        <w:tc>
          <w:tcPr>
            <w:tcW w:w="992" w:type="dxa"/>
            <w:tcBorders>
              <w:top w:val="single" w:color="auto" w:sz="4" w:space="0"/>
              <w:left w:val="nil"/>
              <w:bottom w:val="single" w:color="auto" w:sz="4" w:space="0"/>
              <w:right w:val="single" w:color="auto" w:sz="4" w:space="0"/>
            </w:tcBorders>
            <w:vAlign w:val="center"/>
          </w:tcPr>
          <w:p w14:paraId="1F828B49">
            <w:pPr>
              <w:jc w:val="left"/>
              <w:rPr>
                <w:rFonts w:ascii="宋体" w:hAnsi="宋体" w:cs="宋体"/>
                <w:b/>
                <w:color w:val="auto"/>
                <w:kern w:val="36"/>
                <w:sz w:val="36"/>
                <w:szCs w:val="36"/>
              </w:rPr>
            </w:pPr>
          </w:p>
        </w:tc>
        <w:tc>
          <w:tcPr>
            <w:tcW w:w="1061" w:type="dxa"/>
            <w:tcBorders>
              <w:top w:val="single" w:color="auto" w:sz="4" w:space="0"/>
              <w:left w:val="nil"/>
              <w:bottom w:val="single" w:color="auto" w:sz="4" w:space="0"/>
              <w:right w:val="single" w:color="auto" w:sz="4" w:space="0"/>
            </w:tcBorders>
            <w:vAlign w:val="center"/>
          </w:tcPr>
          <w:p w14:paraId="7914380E">
            <w:pPr>
              <w:jc w:val="left"/>
              <w:rPr>
                <w:rFonts w:ascii="宋体" w:hAnsi="宋体" w:cs="宋体"/>
                <w:b/>
                <w:color w:val="auto"/>
                <w:kern w:val="36"/>
                <w:sz w:val="36"/>
                <w:szCs w:val="36"/>
              </w:rPr>
            </w:pPr>
          </w:p>
        </w:tc>
      </w:tr>
      <w:tr w14:paraId="0954A352">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072E8D1D">
            <w:pPr>
              <w:jc w:val="left"/>
              <w:rPr>
                <w:rFonts w:ascii="宋体" w:hAnsi="宋体" w:cs="宋体"/>
                <w:b/>
                <w:color w:val="auto"/>
                <w:kern w:val="36"/>
                <w:sz w:val="36"/>
                <w:szCs w:val="36"/>
              </w:rPr>
            </w:pPr>
          </w:p>
        </w:tc>
        <w:tc>
          <w:tcPr>
            <w:tcW w:w="1203" w:type="dxa"/>
            <w:tcBorders>
              <w:top w:val="single" w:color="auto" w:sz="4" w:space="0"/>
              <w:left w:val="single" w:color="auto" w:sz="4" w:space="0"/>
              <w:bottom w:val="single" w:color="auto" w:sz="4" w:space="0"/>
              <w:right w:val="single" w:color="auto" w:sz="4" w:space="0"/>
            </w:tcBorders>
          </w:tcPr>
          <w:p w14:paraId="338BCD12">
            <w:pPr>
              <w:jc w:val="left"/>
              <w:rPr>
                <w:rFonts w:ascii="宋体" w:hAnsi="宋体" w:cs="宋体"/>
                <w:b/>
                <w:color w:val="auto"/>
                <w:kern w:val="36"/>
                <w:sz w:val="36"/>
                <w:szCs w:val="36"/>
              </w:rPr>
            </w:pPr>
          </w:p>
        </w:tc>
        <w:tc>
          <w:tcPr>
            <w:tcW w:w="2907" w:type="dxa"/>
            <w:tcBorders>
              <w:top w:val="single" w:color="auto" w:sz="4" w:space="0"/>
              <w:left w:val="single" w:color="auto" w:sz="4" w:space="0"/>
              <w:bottom w:val="single" w:color="auto" w:sz="4" w:space="0"/>
              <w:right w:val="single" w:color="auto" w:sz="4" w:space="0"/>
            </w:tcBorders>
            <w:vAlign w:val="center"/>
          </w:tcPr>
          <w:p w14:paraId="413A7B71">
            <w:pPr>
              <w:jc w:val="left"/>
              <w:rPr>
                <w:rFonts w:ascii="宋体" w:hAnsi="宋体" w:cs="宋体"/>
                <w:b/>
                <w:color w:val="auto"/>
                <w:kern w:val="36"/>
                <w:sz w:val="36"/>
                <w:szCs w:val="36"/>
              </w:rPr>
            </w:pPr>
          </w:p>
        </w:tc>
        <w:tc>
          <w:tcPr>
            <w:tcW w:w="3261" w:type="dxa"/>
            <w:tcBorders>
              <w:top w:val="single" w:color="auto" w:sz="4" w:space="0"/>
              <w:left w:val="nil"/>
              <w:bottom w:val="single" w:color="auto" w:sz="4" w:space="0"/>
              <w:right w:val="single" w:color="auto" w:sz="4" w:space="0"/>
            </w:tcBorders>
            <w:vAlign w:val="center"/>
          </w:tcPr>
          <w:p w14:paraId="663261D2">
            <w:pPr>
              <w:jc w:val="left"/>
              <w:rPr>
                <w:rFonts w:ascii="宋体" w:hAnsi="宋体" w:cs="宋体"/>
                <w:b/>
                <w:color w:val="auto"/>
                <w:kern w:val="36"/>
                <w:sz w:val="36"/>
                <w:szCs w:val="36"/>
              </w:rPr>
            </w:pPr>
          </w:p>
        </w:tc>
        <w:tc>
          <w:tcPr>
            <w:tcW w:w="992" w:type="dxa"/>
            <w:tcBorders>
              <w:top w:val="single" w:color="auto" w:sz="4" w:space="0"/>
              <w:left w:val="nil"/>
              <w:bottom w:val="single" w:color="auto" w:sz="4" w:space="0"/>
              <w:right w:val="single" w:color="auto" w:sz="4" w:space="0"/>
            </w:tcBorders>
            <w:vAlign w:val="center"/>
          </w:tcPr>
          <w:p w14:paraId="2D1EC2CE">
            <w:pPr>
              <w:jc w:val="left"/>
              <w:rPr>
                <w:rFonts w:ascii="宋体" w:hAnsi="宋体" w:cs="宋体"/>
                <w:b/>
                <w:color w:val="auto"/>
                <w:kern w:val="36"/>
                <w:sz w:val="36"/>
                <w:szCs w:val="36"/>
              </w:rPr>
            </w:pPr>
          </w:p>
        </w:tc>
        <w:tc>
          <w:tcPr>
            <w:tcW w:w="1061" w:type="dxa"/>
            <w:tcBorders>
              <w:top w:val="single" w:color="auto" w:sz="4" w:space="0"/>
              <w:left w:val="nil"/>
              <w:bottom w:val="single" w:color="auto" w:sz="4" w:space="0"/>
              <w:right w:val="single" w:color="auto" w:sz="4" w:space="0"/>
            </w:tcBorders>
            <w:vAlign w:val="center"/>
          </w:tcPr>
          <w:p w14:paraId="237B3EB3">
            <w:pPr>
              <w:jc w:val="left"/>
              <w:rPr>
                <w:rFonts w:ascii="宋体" w:hAnsi="宋体" w:cs="宋体"/>
                <w:b/>
                <w:color w:val="auto"/>
                <w:kern w:val="36"/>
                <w:sz w:val="36"/>
                <w:szCs w:val="36"/>
              </w:rPr>
            </w:pPr>
          </w:p>
        </w:tc>
      </w:tr>
      <w:tr w14:paraId="0A787F53">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31278A97">
            <w:pPr>
              <w:jc w:val="left"/>
              <w:rPr>
                <w:rFonts w:ascii="宋体" w:hAnsi="宋体" w:cs="宋体"/>
                <w:b/>
                <w:color w:val="auto"/>
                <w:kern w:val="36"/>
                <w:sz w:val="36"/>
                <w:szCs w:val="36"/>
              </w:rPr>
            </w:pPr>
          </w:p>
        </w:tc>
        <w:tc>
          <w:tcPr>
            <w:tcW w:w="1203" w:type="dxa"/>
            <w:tcBorders>
              <w:top w:val="single" w:color="auto" w:sz="4" w:space="0"/>
              <w:left w:val="single" w:color="auto" w:sz="4" w:space="0"/>
              <w:bottom w:val="single" w:color="auto" w:sz="4" w:space="0"/>
              <w:right w:val="single" w:color="auto" w:sz="4" w:space="0"/>
            </w:tcBorders>
          </w:tcPr>
          <w:p w14:paraId="32641962">
            <w:pPr>
              <w:jc w:val="left"/>
              <w:rPr>
                <w:rFonts w:ascii="宋体" w:hAnsi="宋体" w:cs="宋体"/>
                <w:b/>
                <w:color w:val="auto"/>
                <w:kern w:val="36"/>
                <w:sz w:val="36"/>
                <w:szCs w:val="36"/>
              </w:rPr>
            </w:pPr>
          </w:p>
        </w:tc>
        <w:tc>
          <w:tcPr>
            <w:tcW w:w="2907" w:type="dxa"/>
            <w:tcBorders>
              <w:top w:val="single" w:color="auto" w:sz="4" w:space="0"/>
              <w:left w:val="single" w:color="auto" w:sz="4" w:space="0"/>
              <w:bottom w:val="single" w:color="auto" w:sz="4" w:space="0"/>
              <w:right w:val="single" w:color="auto" w:sz="4" w:space="0"/>
            </w:tcBorders>
            <w:vAlign w:val="center"/>
          </w:tcPr>
          <w:p w14:paraId="06479D94">
            <w:pPr>
              <w:jc w:val="left"/>
              <w:rPr>
                <w:rFonts w:ascii="宋体" w:hAnsi="宋体" w:cs="宋体"/>
                <w:b/>
                <w:color w:val="auto"/>
                <w:kern w:val="36"/>
                <w:sz w:val="36"/>
                <w:szCs w:val="36"/>
              </w:rPr>
            </w:pPr>
          </w:p>
        </w:tc>
        <w:tc>
          <w:tcPr>
            <w:tcW w:w="3261" w:type="dxa"/>
            <w:tcBorders>
              <w:top w:val="single" w:color="auto" w:sz="4" w:space="0"/>
              <w:left w:val="nil"/>
              <w:bottom w:val="single" w:color="auto" w:sz="4" w:space="0"/>
              <w:right w:val="single" w:color="auto" w:sz="4" w:space="0"/>
            </w:tcBorders>
            <w:vAlign w:val="center"/>
          </w:tcPr>
          <w:p w14:paraId="157460A3">
            <w:pPr>
              <w:jc w:val="left"/>
              <w:rPr>
                <w:rFonts w:ascii="宋体" w:hAnsi="宋体" w:cs="宋体"/>
                <w:b/>
                <w:color w:val="auto"/>
                <w:kern w:val="36"/>
                <w:sz w:val="36"/>
                <w:szCs w:val="36"/>
              </w:rPr>
            </w:pPr>
          </w:p>
        </w:tc>
        <w:tc>
          <w:tcPr>
            <w:tcW w:w="992" w:type="dxa"/>
            <w:tcBorders>
              <w:top w:val="single" w:color="auto" w:sz="4" w:space="0"/>
              <w:left w:val="nil"/>
              <w:bottom w:val="single" w:color="auto" w:sz="4" w:space="0"/>
              <w:right w:val="single" w:color="auto" w:sz="4" w:space="0"/>
            </w:tcBorders>
            <w:vAlign w:val="center"/>
          </w:tcPr>
          <w:p w14:paraId="018F4F04">
            <w:pPr>
              <w:jc w:val="left"/>
              <w:rPr>
                <w:rFonts w:ascii="宋体" w:hAnsi="宋体" w:cs="宋体"/>
                <w:b/>
                <w:color w:val="auto"/>
                <w:kern w:val="36"/>
                <w:sz w:val="36"/>
                <w:szCs w:val="36"/>
              </w:rPr>
            </w:pPr>
          </w:p>
        </w:tc>
        <w:tc>
          <w:tcPr>
            <w:tcW w:w="1061" w:type="dxa"/>
            <w:tcBorders>
              <w:top w:val="single" w:color="auto" w:sz="4" w:space="0"/>
              <w:left w:val="nil"/>
              <w:bottom w:val="single" w:color="auto" w:sz="4" w:space="0"/>
              <w:right w:val="single" w:color="auto" w:sz="4" w:space="0"/>
            </w:tcBorders>
            <w:vAlign w:val="center"/>
          </w:tcPr>
          <w:p w14:paraId="773C44F2">
            <w:pPr>
              <w:jc w:val="left"/>
              <w:rPr>
                <w:rFonts w:ascii="宋体" w:hAnsi="宋体" w:cs="宋体"/>
                <w:b/>
                <w:color w:val="auto"/>
                <w:kern w:val="36"/>
                <w:sz w:val="36"/>
                <w:szCs w:val="36"/>
              </w:rPr>
            </w:pPr>
          </w:p>
        </w:tc>
      </w:tr>
      <w:tr w14:paraId="792859F1">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102D4988">
            <w:pPr>
              <w:jc w:val="left"/>
              <w:rPr>
                <w:rFonts w:ascii="宋体" w:hAnsi="宋体" w:cs="宋体"/>
                <w:b/>
                <w:color w:val="auto"/>
                <w:kern w:val="36"/>
                <w:sz w:val="36"/>
                <w:szCs w:val="36"/>
              </w:rPr>
            </w:pPr>
          </w:p>
        </w:tc>
        <w:tc>
          <w:tcPr>
            <w:tcW w:w="1203" w:type="dxa"/>
            <w:tcBorders>
              <w:top w:val="single" w:color="auto" w:sz="4" w:space="0"/>
              <w:left w:val="single" w:color="auto" w:sz="4" w:space="0"/>
              <w:bottom w:val="single" w:color="auto" w:sz="4" w:space="0"/>
              <w:right w:val="single" w:color="auto" w:sz="4" w:space="0"/>
            </w:tcBorders>
          </w:tcPr>
          <w:p w14:paraId="24C8E3B8">
            <w:pPr>
              <w:jc w:val="left"/>
              <w:rPr>
                <w:rFonts w:ascii="宋体" w:hAnsi="宋体" w:cs="宋体"/>
                <w:b/>
                <w:color w:val="auto"/>
                <w:kern w:val="36"/>
                <w:sz w:val="36"/>
                <w:szCs w:val="36"/>
              </w:rPr>
            </w:pPr>
          </w:p>
        </w:tc>
        <w:tc>
          <w:tcPr>
            <w:tcW w:w="2907" w:type="dxa"/>
            <w:tcBorders>
              <w:top w:val="single" w:color="auto" w:sz="4" w:space="0"/>
              <w:left w:val="single" w:color="auto" w:sz="4" w:space="0"/>
              <w:bottom w:val="single" w:color="auto" w:sz="4" w:space="0"/>
              <w:right w:val="single" w:color="auto" w:sz="4" w:space="0"/>
            </w:tcBorders>
            <w:vAlign w:val="center"/>
          </w:tcPr>
          <w:p w14:paraId="320950E3">
            <w:pPr>
              <w:jc w:val="left"/>
              <w:rPr>
                <w:rFonts w:ascii="宋体" w:hAnsi="宋体" w:cs="宋体"/>
                <w:b/>
                <w:color w:val="auto"/>
                <w:kern w:val="36"/>
                <w:sz w:val="36"/>
                <w:szCs w:val="36"/>
              </w:rPr>
            </w:pPr>
          </w:p>
        </w:tc>
        <w:tc>
          <w:tcPr>
            <w:tcW w:w="3261" w:type="dxa"/>
            <w:tcBorders>
              <w:top w:val="single" w:color="auto" w:sz="4" w:space="0"/>
              <w:left w:val="nil"/>
              <w:bottom w:val="single" w:color="auto" w:sz="4" w:space="0"/>
              <w:right w:val="single" w:color="auto" w:sz="4" w:space="0"/>
            </w:tcBorders>
            <w:vAlign w:val="center"/>
          </w:tcPr>
          <w:p w14:paraId="040F4873">
            <w:pPr>
              <w:jc w:val="left"/>
              <w:rPr>
                <w:rFonts w:ascii="宋体" w:hAnsi="宋体" w:cs="宋体"/>
                <w:b/>
                <w:color w:val="auto"/>
                <w:kern w:val="36"/>
                <w:sz w:val="36"/>
                <w:szCs w:val="36"/>
              </w:rPr>
            </w:pPr>
          </w:p>
        </w:tc>
        <w:tc>
          <w:tcPr>
            <w:tcW w:w="992" w:type="dxa"/>
            <w:tcBorders>
              <w:top w:val="single" w:color="auto" w:sz="4" w:space="0"/>
              <w:left w:val="nil"/>
              <w:bottom w:val="single" w:color="auto" w:sz="4" w:space="0"/>
              <w:right w:val="single" w:color="auto" w:sz="4" w:space="0"/>
            </w:tcBorders>
            <w:vAlign w:val="center"/>
          </w:tcPr>
          <w:p w14:paraId="4FC3F4B6">
            <w:pPr>
              <w:jc w:val="left"/>
              <w:rPr>
                <w:rFonts w:ascii="宋体" w:hAnsi="宋体" w:cs="宋体"/>
                <w:b/>
                <w:color w:val="auto"/>
                <w:kern w:val="36"/>
                <w:sz w:val="36"/>
                <w:szCs w:val="36"/>
              </w:rPr>
            </w:pPr>
          </w:p>
        </w:tc>
        <w:tc>
          <w:tcPr>
            <w:tcW w:w="1061" w:type="dxa"/>
            <w:tcBorders>
              <w:top w:val="single" w:color="auto" w:sz="4" w:space="0"/>
              <w:left w:val="nil"/>
              <w:bottom w:val="single" w:color="auto" w:sz="4" w:space="0"/>
              <w:right w:val="single" w:color="auto" w:sz="4" w:space="0"/>
            </w:tcBorders>
            <w:vAlign w:val="center"/>
          </w:tcPr>
          <w:p w14:paraId="7C777E1D">
            <w:pPr>
              <w:jc w:val="left"/>
              <w:rPr>
                <w:rFonts w:ascii="宋体" w:hAnsi="宋体" w:cs="宋体"/>
                <w:b/>
                <w:color w:val="auto"/>
                <w:kern w:val="36"/>
                <w:sz w:val="36"/>
                <w:szCs w:val="36"/>
              </w:rPr>
            </w:pPr>
          </w:p>
        </w:tc>
      </w:tr>
    </w:tbl>
    <w:p w14:paraId="3D4FC730">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7AF8E409">
      <w:pPr>
        <w:widowControl w:val="0"/>
        <w:spacing w:line="460" w:lineRule="exact"/>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法定代表人：（法人电子签章）</w:t>
      </w:r>
    </w:p>
    <w:p w14:paraId="60409463">
      <w:pPr>
        <w:pStyle w:val="27"/>
        <w:rPr>
          <w:rFonts w:hint="eastAsia"/>
          <w:color w:val="auto"/>
        </w:rPr>
      </w:pPr>
    </w:p>
    <w:p w14:paraId="71EDD7F1">
      <w:pPr>
        <w:widowControl w:val="0"/>
        <w:spacing w:line="460" w:lineRule="exact"/>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投标人：（盖单位电子公章）</w:t>
      </w:r>
    </w:p>
    <w:p w14:paraId="10030403">
      <w:pPr>
        <w:pStyle w:val="27"/>
        <w:rPr>
          <w:rFonts w:hint="eastAsia"/>
          <w:color w:val="auto"/>
        </w:rPr>
      </w:pPr>
    </w:p>
    <w:p w14:paraId="150FB601">
      <w:pPr>
        <w:widowControl w:val="0"/>
        <w:spacing w:line="460" w:lineRule="exact"/>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注：</w:t>
      </w:r>
    </w:p>
    <w:p w14:paraId="7CF7EA1F">
      <w:pPr>
        <w:widowControl w:val="0"/>
        <w:spacing w:line="460" w:lineRule="exact"/>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1、投标人应对照招标文件技术规格逐条做出说明，申明与技术规格条文的响应或偏差</w:t>
      </w:r>
      <w:r>
        <w:rPr>
          <w:rFonts w:hint="eastAsia" w:ascii="宋体" w:hAnsi="宋体" w:cs="宋体"/>
          <w:color w:val="auto"/>
          <w:kern w:val="2"/>
          <w:sz w:val="26"/>
          <w:szCs w:val="28"/>
          <w:lang w:eastAsia="zh-CN"/>
        </w:rPr>
        <w:t>（</w:t>
      </w:r>
      <w:r>
        <w:rPr>
          <w:rFonts w:hint="eastAsia" w:ascii="宋体" w:hAnsi="宋体" w:cs="宋体"/>
          <w:color w:val="auto"/>
          <w:kern w:val="2"/>
          <w:sz w:val="26"/>
          <w:szCs w:val="28"/>
          <w:lang w:val="en-US" w:eastAsia="zh-CN"/>
        </w:rPr>
        <w:t>等于招标文件参数基础要求或在基础要求误差范围以内的为无偏离；误差范围外，比招标文件参数要求更优的为正偏离，更差的为负偏离</w:t>
      </w:r>
      <w:r>
        <w:rPr>
          <w:rFonts w:hint="eastAsia" w:ascii="宋体" w:hAnsi="宋体" w:cs="宋体"/>
          <w:color w:val="auto"/>
          <w:kern w:val="2"/>
          <w:sz w:val="26"/>
          <w:szCs w:val="28"/>
          <w:lang w:eastAsia="zh-CN"/>
        </w:rPr>
        <w:t>）。</w:t>
      </w:r>
      <w:r>
        <w:rPr>
          <w:rFonts w:hint="eastAsia" w:ascii="宋体" w:hAnsi="宋体" w:eastAsia="宋体" w:cs="宋体"/>
          <w:color w:val="auto"/>
          <w:kern w:val="2"/>
          <w:sz w:val="26"/>
          <w:szCs w:val="28"/>
        </w:rPr>
        <w:t>投标人必须提供所投产品的</w:t>
      </w:r>
      <w:r>
        <w:rPr>
          <w:rFonts w:hint="eastAsia" w:ascii="宋体" w:hAnsi="宋体" w:cs="宋体"/>
          <w:color w:val="auto"/>
          <w:kern w:val="2"/>
          <w:sz w:val="26"/>
          <w:szCs w:val="28"/>
          <w:lang w:val="en-US" w:eastAsia="zh-CN"/>
        </w:rPr>
        <w:t>实际</w:t>
      </w:r>
      <w:r>
        <w:rPr>
          <w:rFonts w:hint="eastAsia" w:ascii="宋体" w:hAnsi="宋体" w:eastAsia="宋体" w:cs="宋体"/>
          <w:color w:val="auto"/>
          <w:kern w:val="2"/>
          <w:sz w:val="26"/>
          <w:szCs w:val="28"/>
        </w:rPr>
        <w:t>具体</w:t>
      </w:r>
      <w:r>
        <w:rPr>
          <w:rFonts w:hint="eastAsia" w:ascii="宋体" w:hAnsi="宋体" w:cs="宋体"/>
          <w:color w:val="auto"/>
          <w:kern w:val="2"/>
          <w:sz w:val="26"/>
          <w:szCs w:val="28"/>
          <w:lang w:eastAsia="zh-CN"/>
        </w:rPr>
        <w:t>的</w:t>
      </w:r>
      <w:r>
        <w:rPr>
          <w:rFonts w:hint="eastAsia" w:ascii="宋体" w:hAnsi="宋体" w:eastAsia="宋体" w:cs="宋体"/>
          <w:color w:val="auto"/>
          <w:kern w:val="2"/>
          <w:sz w:val="26"/>
          <w:szCs w:val="28"/>
        </w:rPr>
        <w:t>参数值。</w:t>
      </w:r>
    </w:p>
    <w:p w14:paraId="4F04C017">
      <w:pPr>
        <w:widowControl w:val="0"/>
        <w:spacing w:line="460" w:lineRule="exact"/>
        <w:ind w:firstLine="520" w:firstLineChars="200"/>
        <w:textAlignment w:val="auto"/>
        <w:rPr>
          <w:rFonts w:hint="eastAsia" w:ascii="宋体" w:hAnsi="宋体" w:eastAsia="宋体" w:cs="宋体"/>
          <w:color w:val="auto"/>
          <w:kern w:val="2"/>
          <w:sz w:val="26"/>
          <w:szCs w:val="28"/>
          <w:lang w:val="en-US" w:eastAsia="zh-CN"/>
        </w:rPr>
      </w:pPr>
      <w:r>
        <w:rPr>
          <w:rFonts w:hint="eastAsia" w:ascii="宋体" w:hAnsi="宋体" w:eastAsia="宋体" w:cs="宋体"/>
          <w:color w:val="auto"/>
          <w:kern w:val="2"/>
          <w:sz w:val="26"/>
          <w:szCs w:val="28"/>
        </w:rPr>
        <w:t>2、如果投标人承诺了没有偏差或未填报偏差项，在评审时评标委员会认为仍存在偏差，则视为有意隐瞒事实，有可能导致废标。在本表中做出偏离说明的</w:t>
      </w:r>
      <w:r>
        <w:rPr>
          <w:rFonts w:hint="eastAsia" w:ascii="宋体" w:hAnsi="宋体" w:cs="宋体"/>
          <w:color w:val="auto"/>
          <w:kern w:val="2"/>
          <w:sz w:val="26"/>
          <w:szCs w:val="28"/>
          <w:lang w:val="en-US" w:eastAsia="zh-CN"/>
        </w:rPr>
        <w:t>产品</w:t>
      </w:r>
      <w:r>
        <w:rPr>
          <w:rFonts w:hint="eastAsia" w:ascii="宋体" w:hAnsi="宋体" w:eastAsia="宋体" w:cs="宋体"/>
          <w:color w:val="auto"/>
          <w:kern w:val="2"/>
          <w:sz w:val="26"/>
          <w:szCs w:val="28"/>
        </w:rPr>
        <w:t>，投标人应当提供所投设备的</w:t>
      </w:r>
      <w:r>
        <w:rPr>
          <w:rFonts w:hint="eastAsia" w:ascii="宋体" w:hAnsi="宋体" w:cs="宋体"/>
          <w:color w:val="auto"/>
          <w:kern w:val="2"/>
          <w:sz w:val="26"/>
          <w:szCs w:val="28"/>
          <w:lang w:val="en-US" w:eastAsia="zh-CN"/>
        </w:rPr>
        <w:t>实际</w:t>
      </w:r>
      <w:r>
        <w:rPr>
          <w:rFonts w:hint="eastAsia" w:ascii="宋体" w:hAnsi="宋体" w:eastAsia="宋体" w:cs="宋体"/>
          <w:color w:val="auto"/>
          <w:kern w:val="2"/>
          <w:sz w:val="26"/>
          <w:szCs w:val="28"/>
        </w:rPr>
        <w:t>具体参数值</w:t>
      </w:r>
      <w:r>
        <w:rPr>
          <w:rFonts w:hint="eastAsia" w:ascii="宋体" w:hAnsi="宋体" w:cs="宋体"/>
          <w:color w:val="auto"/>
          <w:kern w:val="2"/>
          <w:sz w:val="26"/>
          <w:szCs w:val="28"/>
          <w:lang w:eastAsia="zh-CN"/>
        </w:rPr>
        <w:t>，</w:t>
      </w:r>
      <w:r>
        <w:rPr>
          <w:rFonts w:hint="eastAsia" w:ascii="宋体" w:hAnsi="宋体" w:cs="宋体"/>
          <w:color w:val="auto"/>
          <w:kern w:val="2"/>
          <w:sz w:val="26"/>
          <w:szCs w:val="28"/>
          <w:lang w:val="en-US" w:eastAsia="zh-CN"/>
        </w:rPr>
        <w:t>并对其真实性负责</w:t>
      </w:r>
      <w:r>
        <w:rPr>
          <w:rFonts w:hint="eastAsia" w:ascii="宋体" w:hAnsi="宋体" w:cs="宋体"/>
          <w:color w:val="auto"/>
          <w:kern w:val="2"/>
          <w:sz w:val="26"/>
          <w:szCs w:val="28"/>
          <w:lang w:eastAsia="zh-CN"/>
        </w:rPr>
        <w:t>；</w:t>
      </w:r>
      <w:r>
        <w:rPr>
          <w:rFonts w:hint="eastAsia" w:ascii="宋体" w:hAnsi="宋体" w:cs="宋体"/>
          <w:color w:val="auto"/>
          <w:kern w:val="2"/>
          <w:sz w:val="26"/>
          <w:szCs w:val="28"/>
          <w:lang w:val="en-US" w:eastAsia="zh-CN"/>
        </w:rPr>
        <w:t>中标供应商在供货时须提供对应的相关证明材料（医疗器械注册证、</w:t>
      </w:r>
      <w:r>
        <w:rPr>
          <w:rFonts w:hint="eastAsia" w:ascii="宋体" w:hAnsi="宋体" w:eastAsia="宋体" w:cs="宋体"/>
          <w:color w:val="auto"/>
          <w:kern w:val="2"/>
          <w:sz w:val="26"/>
          <w:szCs w:val="28"/>
        </w:rPr>
        <w:t>原厂商技术白皮书</w:t>
      </w:r>
      <w:r>
        <w:rPr>
          <w:rFonts w:hint="eastAsia" w:ascii="宋体" w:hAnsi="宋体" w:cs="宋体"/>
          <w:color w:val="auto"/>
          <w:kern w:val="2"/>
          <w:sz w:val="26"/>
          <w:szCs w:val="28"/>
          <w:lang w:val="en-US" w:eastAsia="zh-CN"/>
        </w:rPr>
        <w:t>、产品</w:t>
      </w:r>
      <w:r>
        <w:rPr>
          <w:rFonts w:hint="eastAsia" w:ascii="宋体" w:hAnsi="宋体" w:eastAsia="宋体" w:cs="宋体"/>
          <w:color w:val="auto"/>
          <w:kern w:val="2"/>
          <w:sz w:val="26"/>
          <w:szCs w:val="28"/>
        </w:rPr>
        <w:t>说明书</w:t>
      </w:r>
      <w:r>
        <w:rPr>
          <w:rFonts w:hint="eastAsia" w:ascii="宋体" w:hAnsi="宋体" w:cs="宋体"/>
          <w:color w:val="auto"/>
          <w:kern w:val="2"/>
          <w:sz w:val="26"/>
          <w:szCs w:val="28"/>
          <w:lang w:val="en-US" w:eastAsia="zh-CN"/>
        </w:rPr>
        <w:t>、</w:t>
      </w:r>
      <w:r>
        <w:rPr>
          <w:rFonts w:hint="eastAsia" w:ascii="宋体" w:hAnsi="宋体" w:eastAsia="宋体" w:cs="宋体"/>
          <w:color w:val="auto"/>
          <w:kern w:val="2"/>
          <w:sz w:val="26"/>
          <w:szCs w:val="28"/>
        </w:rPr>
        <w:t>具有国家认可的检测机构出具的检测报告</w:t>
      </w:r>
      <w:r>
        <w:rPr>
          <w:rFonts w:hint="eastAsia" w:ascii="宋体" w:hAnsi="宋体" w:cs="宋体"/>
          <w:color w:val="auto"/>
          <w:kern w:val="2"/>
          <w:sz w:val="26"/>
          <w:szCs w:val="28"/>
          <w:lang w:val="en-US" w:eastAsia="zh-CN"/>
        </w:rPr>
        <w:t>等）。</w:t>
      </w:r>
    </w:p>
    <w:p w14:paraId="1C7B22EC">
      <w:pPr>
        <w:widowControl w:val="0"/>
        <w:spacing w:line="460" w:lineRule="exact"/>
        <w:ind w:firstLine="723" w:firstLineChars="200"/>
        <w:textAlignment w:val="auto"/>
        <w:rPr>
          <w:rFonts w:ascii="宋体" w:hAnsi="宋体" w:cs="宋体"/>
          <w:b/>
          <w:color w:val="auto"/>
          <w:kern w:val="36"/>
          <w:sz w:val="36"/>
          <w:szCs w:val="36"/>
        </w:rPr>
      </w:pPr>
    </w:p>
    <w:p w14:paraId="52BCB1A4">
      <w:pPr>
        <w:jc w:val="left"/>
        <w:rPr>
          <w:rFonts w:ascii="宋体" w:hAnsi="宋体" w:cs="宋体"/>
          <w:b/>
          <w:color w:val="auto"/>
          <w:kern w:val="36"/>
          <w:sz w:val="36"/>
          <w:szCs w:val="36"/>
        </w:rPr>
      </w:pPr>
    </w:p>
    <w:p w14:paraId="54538B54">
      <w:pPr>
        <w:jc w:val="left"/>
        <w:rPr>
          <w:rFonts w:ascii="宋体" w:hAnsi="宋体" w:cs="宋体"/>
          <w:b/>
          <w:color w:val="auto"/>
          <w:kern w:val="36"/>
          <w:sz w:val="36"/>
          <w:szCs w:val="36"/>
        </w:rPr>
      </w:pPr>
      <w:bookmarkStart w:id="365" w:name="_Toc63238021"/>
      <w:bookmarkStart w:id="366" w:name="_Toc7193"/>
      <w:r>
        <w:rPr>
          <w:rFonts w:hint="eastAsia" w:ascii="宋体" w:hAnsi="宋体" w:cs="宋体"/>
          <w:b/>
          <w:color w:val="auto"/>
          <w:kern w:val="36"/>
          <w:sz w:val="36"/>
          <w:szCs w:val="36"/>
        </w:rPr>
        <w:br w:type="page"/>
      </w:r>
    </w:p>
    <w:bookmarkEnd w:id="365"/>
    <w:bookmarkEnd w:id="366"/>
    <w:p w14:paraId="637056F6">
      <w:pPr>
        <w:pStyle w:val="3"/>
        <w:rPr>
          <w:color w:val="auto"/>
        </w:rPr>
      </w:pPr>
      <w:r>
        <w:rPr>
          <w:rFonts w:hint="eastAsia"/>
          <w:color w:val="auto"/>
        </w:rPr>
        <w:t>五、项目实施方案</w:t>
      </w:r>
    </w:p>
    <w:p w14:paraId="4CEB45D3">
      <w:pPr>
        <w:widowControl w:val="0"/>
        <w:spacing w:line="240" w:lineRule="auto"/>
        <w:jc w:val="center"/>
        <w:textAlignment w:val="auto"/>
        <w:rPr>
          <w:rFonts w:ascii="宋体" w:hAnsi="宋体" w:cs="宋体"/>
          <w:color w:val="auto"/>
          <w:kern w:val="2"/>
          <w:sz w:val="26"/>
          <w:szCs w:val="28"/>
        </w:rPr>
      </w:pPr>
    </w:p>
    <w:p w14:paraId="0BB4E856">
      <w:pPr>
        <w:widowControl w:val="0"/>
        <w:spacing w:line="240" w:lineRule="auto"/>
        <w:jc w:val="center"/>
        <w:textAlignment w:val="auto"/>
        <w:rPr>
          <w:rFonts w:ascii="宋体" w:hAnsi="宋体" w:cs="宋体"/>
          <w:color w:val="auto"/>
          <w:kern w:val="2"/>
          <w:sz w:val="26"/>
          <w:szCs w:val="28"/>
        </w:rPr>
      </w:pPr>
      <w:r>
        <w:rPr>
          <w:rFonts w:hint="eastAsia" w:ascii="宋体" w:hAnsi="宋体" w:cs="宋体"/>
          <w:color w:val="auto"/>
          <w:kern w:val="2"/>
          <w:sz w:val="26"/>
          <w:szCs w:val="28"/>
        </w:rPr>
        <w:t>（投标人根据本项目实际情况编写）</w:t>
      </w:r>
    </w:p>
    <w:p w14:paraId="30191B9E">
      <w:pPr>
        <w:jc w:val="left"/>
        <w:rPr>
          <w:rFonts w:ascii="宋体" w:hAnsi="宋体" w:cs="宋体"/>
          <w:b/>
          <w:color w:val="auto"/>
          <w:kern w:val="36"/>
          <w:sz w:val="36"/>
          <w:szCs w:val="36"/>
        </w:rPr>
      </w:pPr>
    </w:p>
    <w:p w14:paraId="5E699BF9">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3ACC3470">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040C31F5">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130C17BD">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0D053A2A">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04698A99">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168E8566">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0357BFE9">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4CB951D6">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38CC6798">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0C40F159">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1235F04A">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16EF6757">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2FEAFEF9">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05F8114C">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6BAF0F2A">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2372B251">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0B7D3DC0">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30B2268D">
      <w:pPr>
        <w:jc w:val="left"/>
        <w:rPr>
          <w:rFonts w:ascii="宋体" w:hAnsi="宋体" w:cs="宋体"/>
          <w:b/>
          <w:color w:val="auto"/>
          <w:kern w:val="36"/>
          <w:sz w:val="36"/>
          <w:szCs w:val="36"/>
        </w:rPr>
      </w:pPr>
      <w:r>
        <w:rPr>
          <w:rFonts w:hint="eastAsia" w:ascii="宋体" w:hAnsi="宋体" w:cs="宋体"/>
          <w:b/>
          <w:color w:val="auto"/>
          <w:kern w:val="36"/>
          <w:sz w:val="36"/>
          <w:szCs w:val="36"/>
        </w:rPr>
        <w:br w:type="page"/>
      </w:r>
    </w:p>
    <w:p w14:paraId="3CF53DE1">
      <w:pPr>
        <w:jc w:val="center"/>
        <w:rPr>
          <w:rFonts w:ascii="宋体" w:hAnsi="宋体" w:cs="宋体"/>
          <w:b/>
          <w:color w:val="auto"/>
          <w:kern w:val="36"/>
          <w:sz w:val="36"/>
          <w:szCs w:val="36"/>
        </w:rPr>
      </w:pPr>
      <w:bookmarkStart w:id="367" w:name="_Toc325446134"/>
      <w:bookmarkEnd w:id="367"/>
      <w:bookmarkStart w:id="368" w:name="_Toc324696985"/>
      <w:bookmarkEnd w:id="368"/>
      <w:bookmarkStart w:id="369" w:name="_Toc359842906"/>
      <w:bookmarkEnd w:id="369"/>
      <w:bookmarkStart w:id="370" w:name="_Toc22308"/>
      <w:bookmarkEnd w:id="370"/>
      <w:bookmarkStart w:id="371" w:name="_Toc63238022"/>
      <w:bookmarkStart w:id="372" w:name="_Toc32714"/>
      <w:r>
        <w:rPr>
          <w:rFonts w:hint="eastAsia" w:ascii="宋体" w:hAnsi="宋体" w:cs="宋体"/>
          <w:b/>
          <w:color w:val="auto"/>
          <w:kern w:val="36"/>
          <w:sz w:val="36"/>
          <w:szCs w:val="36"/>
        </w:rPr>
        <w:t>六、投标承诺函</w:t>
      </w:r>
      <w:bookmarkEnd w:id="371"/>
      <w:bookmarkEnd w:id="372"/>
    </w:p>
    <w:p w14:paraId="4EACE59B">
      <w:pPr>
        <w:widowControl w:val="0"/>
        <w:spacing w:line="360" w:lineRule="auto"/>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致（</w:t>
      </w:r>
      <w:r>
        <w:rPr>
          <w:rFonts w:hint="eastAsia" w:ascii="宋体" w:hAnsi="宋体" w:cs="宋体"/>
          <w:color w:val="auto"/>
          <w:kern w:val="2"/>
          <w:sz w:val="26"/>
          <w:szCs w:val="28"/>
          <w:lang w:eastAsia="zh-CN"/>
        </w:rPr>
        <w:t>采购人</w:t>
      </w:r>
      <w:r>
        <w:rPr>
          <w:rFonts w:hint="eastAsia" w:ascii="宋体" w:hAnsi="宋体" w:eastAsia="宋体" w:cs="宋体"/>
          <w:color w:val="auto"/>
          <w:kern w:val="2"/>
          <w:sz w:val="26"/>
          <w:szCs w:val="28"/>
        </w:rPr>
        <w:t>）：</w:t>
      </w:r>
      <w:r>
        <w:rPr>
          <w:rFonts w:hint="eastAsia" w:ascii="宋体" w:hAnsi="宋体" w:eastAsia="宋体" w:cs="宋体"/>
          <w:color w:val="auto"/>
          <w:kern w:val="2"/>
          <w:sz w:val="26"/>
          <w:szCs w:val="28"/>
          <w:u w:val="single" w:color="auto"/>
        </w:rPr>
        <w:t xml:space="preserve">                        </w:t>
      </w:r>
    </w:p>
    <w:p w14:paraId="7E27D87A">
      <w:pPr>
        <w:widowControl w:val="0"/>
        <w:spacing w:line="360" w:lineRule="auto"/>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我公司作为本次</w:t>
      </w:r>
      <w:r>
        <w:rPr>
          <w:rFonts w:hint="eastAsia" w:ascii="宋体" w:hAnsi="宋体" w:cs="宋体"/>
          <w:color w:val="auto"/>
          <w:kern w:val="2"/>
          <w:sz w:val="26"/>
          <w:szCs w:val="28"/>
          <w:lang w:val="en-US" w:eastAsia="zh-CN"/>
        </w:rPr>
        <w:t>招标</w:t>
      </w:r>
      <w:r>
        <w:rPr>
          <w:rFonts w:hint="eastAsia" w:ascii="宋体" w:hAnsi="宋体" w:eastAsia="宋体" w:cs="宋体"/>
          <w:color w:val="auto"/>
          <w:kern w:val="2"/>
          <w:sz w:val="26"/>
          <w:szCs w:val="28"/>
        </w:rPr>
        <w:t>项目的投标人，根据招标文件要求，现郑重承诺如下：</w:t>
      </w:r>
    </w:p>
    <w:p w14:paraId="0BB7287E">
      <w:pPr>
        <w:widowControl w:val="0"/>
        <w:spacing w:line="360" w:lineRule="auto"/>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一、具备《中华人民共和国政府采购法》第二十二条第一款和本项目规定的条件：</w:t>
      </w:r>
    </w:p>
    <w:p w14:paraId="4DA92001">
      <w:pPr>
        <w:widowControl w:val="0"/>
        <w:spacing w:line="360" w:lineRule="auto"/>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（一）具有独立承担民事责任的能力； 　　</w:t>
      </w:r>
    </w:p>
    <w:p w14:paraId="3A7C2394">
      <w:pPr>
        <w:widowControl w:val="0"/>
        <w:spacing w:line="360" w:lineRule="auto"/>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（二）具有良好的商业信誉和健全的财务会计制度； 　</w:t>
      </w:r>
    </w:p>
    <w:p w14:paraId="5D2119FA">
      <w:pPr>
        <w:widowControl w:val="0"/>
        <w:spacing w:line="360" w:lineRule="auto"/>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（三）具有履行合同所必需的设备和专业技术能力； 　　</w:t>
      </w:r>
    </w:p>
    <w:p w14:paraId="19F8905E">
      <w:pPr>
        <w:widowControl w:val="0"/>
        <w:spacing w:line="360" w:lineRule="auto"/>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（四）有依法缴纳税收和社会保障资金的良好记录； 　　</w:t>
      </w:r>
    </w:p>
    <w:p w14:paraId="6AA48F7E">
      <w:pPr>
        <w:widowControl w:val="0"/>
        <w:spacing w:line="360" w:lineRule="auto"/>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（五）参加政府采购活动前三年内，在经营活动中没有重大违法记录；</w:t>
      </w:r>
    </w:p>
    <w:p w14:paraId="6303EBE7">
      <w:pPr>
        <w:widowControl w:val="0"/>
        <w:spacing w:line="360" w:lineRule="auto"/>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（六）法律、行政法规规定的其他条件；</w:t>
      </w:r>
    </w:p>
    <w:p w14:paraId="01C4B48A">
      <w:pPr>
        <w:widowControl w:val="0"/>
        <w:spacing w:line="360" w:lineRule="auto"/>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（七）根据采购项目提出的特定条件。</w:t>
      </w:r>
    </w:p>
    <w:p w14:paraId="4C55DFD1">
      <w:pPr>
        <w:widowControl w:val="0"/>
        <w:spacing w:line="360" w:lineRule="auto"/>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二、完全接受和满足本项目招标文件中规定的实质性要求，如对招标文件有异议，已经在投标截止时间前依法进行维权救济，不存在对招标文件有异议的同时又参加投标以求侥幸中标或者为实现其他非法目的的行为。</w:t>
      </w:r>
    </w:p>
    <w:p w14:paraId="2366AB96">
      <w:pPr>
        <w:widowControl w:val="0"/>
        <w:spacing w:line="360" w:lineRule="auto"/>
        <w:ind w:firstLine="520" w:firstLineChars="200"/>
        <w:textAlignment w:val="auto"/>
        <w:rPr>
          <w:rFonts w:ascii="宋体" w:hAnsi="宋体" w:cs="宋体"/>
          <w:b/>
          <w:color w:val="auto"/>
          <w:kern w:val="36"/>
          <w:sz w:val="36"/>
          <w:szCs w:val="36"/>
        </w:rPr>
      </w:pPr>
      <w:r>
        <w:rPr>
          <w:rFonts w:hint="eastAsia" w:ascii="宋体" w:hAnsi="宋体" w:eastAsia="宋体" w:cs="宋体"/>
          <w:color w:val="auto"/>
          <w:kern w:val="2"/>
          <w:sz w:val="26"/>
          <w:szCs w:val="28"/>
        </w:rPr>
        <w:t>三、参加本次投标活动，不存在与单位负责人为同一人或者存在直接控股、管理关系的其他投标人参与同一合同项下的政府采购活动的行为。</w:t>
      </w:r>
      <w:r>
        <w:rPr>
          <w:rFonts w:hint="eastAsia" w:ascii="宋体" w:hAnsi="宋体" w:cs="宋体"/>
          <w:b/>
          <w:color w:val="auto"/>
          <w:kern w:val="36"/>
          <w:sz w:val="36"/>
          <w:szCs w:val="36"/>
        </w:rPr>
        <w:t>    </w:t>
      </w:r>
    </w:p>
    <w:p w14:paraId="65474506">
      <w:pPr>
        <w:widowControl w:val="0"/>
        <w:spacing w:line="360" w:lineRule="auto"/>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四、参加本次投标活动，不存在为采购项目提供整体设计、规范编制或者项目管理、监理、检测等服务的行为。</w:t>
      </w:r>
    </w:p>
    <w:p w14:paraId="4277062F">
      <w:pPr>
        <w:widowControl w:val="0"/>
        <w:spacing w:line="360" w:lineRule="auto"/>
        <w:ind w:firstLine="520" w:firstLineChars="200"/>
        <w:textAlignment w:val="auto"/>
        <w:rPr>
          <w:rFonts w:ascii="宋体" w:hAnsi="宋体" w:cs="宋体"/>
          <w:b/>
          <w:color w:val="auto"/>
          <w:kern w:val="36"/>
          <w:sz w:val="36"/>
          <w:szCs w:val="36"/>
        </w:rPr>
      </w:pPr>
      <w:r>
        <w:rPr>
          <w:rFonts w:hint="eastAsia" w:ascii="宋体" w:hAnsi="宋体" w:eastAsia="宋体" w:cs="宋体"/>
          <w:color w:val="auto"/>
          <w:kern w:val="2"/>
          <w:sz w:val="26"/>
          <w:szCs w:val="28"/>
        </w:rPr>
        <w:t>五、参加本次投标活动，不存在和其他投标人在同一合同项下的采购项目中，同时委托同一个自然人、同一家庭的人员、同一单位的人员作为代理人的行为。</w:t>
      </w:r>
    </w:p>
    <w:p w14:paraId="716FFA54">
      <w:pPr>
        <w:widowControl w:val="0"/>
        <w:spacing w:line="360" w:lineRule="auto"/>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六、投标人参加本次政府采购活动要求在近三年内投标人和其法定代表人没有行贿犯罪行为。</w:t>
      </w:r>
    </w:p>
    <w:p w14:paraId="3BB4D34F">
      <w:pPr>
        <w:widowControl w:val="0"/>
        <w:spacing w:line="360" w:lineRule="auto"/>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七、参加本次投标活动，不存在联合体投标。</w:t>
      </w:r>
    </w:p>
    <w:p w14:paraId="4B43D2D0">
      <w:pPr>
        <w:widowControl w:val="0"/>
        <w:spacing w:line="360" w:lineRule="auto"/>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八、投标文件中提供的任何材料和技术、服务、商务等响应条款，都是真实的、有效的、合法的。</w:t>
      </w:r>
    </w:p>
    <w:p w14:paraId="6607AA96">
      <w:pPr>
        <w:widowControl w:val="0"/>
        <w:spacing w:line="360" w:lineRule="auto"/>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九、我公司如存在以下行为之一的，愿意接受相关部门的处理：</w:t>
      </w:r>
    </w:p>
    <w:p w14:paraId="67FDDE47">
      <w:pPr>
        <w:widowControl w:val="0"/>
        <w:spacing w:line="360" w:lineRule="auto"/>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（一）投标有效期内撤销投标文件的；</w:t>
      </w:r>
    </w:p>
    <w:p w14:paraId="718FEF8B">
      <w:pPr>
        <w:widowControl w:val="0"/>
        <w:spacing w:line="360" w:lineRule="auto"/>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（二）除因不可抗力之外，在</w:t>
      </w:r>
      <w:r>
        <w:rPr>
          <w:rFonts w:hint="eastAsia" w:ascii="宋体" w:hAnsi="宋体" w:cs="宋体"/>
          <w:color w:val="auto"/>
          <w:kern w:val="2"/>
          <w:sz w:val="26"/>
          <w:szCs w:val="28"/>
          <w:lang w:eastAsia="zh-CN"/>
        </w:rPr>
        <w:t>采购人</w:t>
      </w:r>
      <w:r>
        <w:rPr>
          <w:rFonts w:hint="eastAsia" w:ascii="宋体" w:hAnsi="宋体" w:eastAsia="宋体" w:cs="宋体"/>
          <w:color w:val="auto"/>
          <w:kern w:val="2"/>
          <w:sz w:val="26"/>
          <w:szCs w:val="28"/>
        </w:rPr>
        <w:t>确定中标人前放弃中标候选资格的；</w:t>
      </w:r>
    </w:p>
    <w:p w14:paraId="01E42614">
      <w:pPr>
        <w:widowControl w:val="0"/>
        <w:spacing w:line="360" w:lineRule="auto"/>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（三）无正当理由，拒不按照招标文件的规定与</w:t>
      </w:r>
      <w:r>
        <w:rPr>
          <w:rFonts w:hint="eastAsia" w:ascii="宋体" w:hAnsi="宋体" w:cs="宋体"/>
          <w:color w:val="auto"/>
          <w:kern w:val="2"/>
          <w:sz w:val="26"/>
          <w:szCs w:val="28"/>
          <w:lang w:eastAsia="zh-CN"/>
        </w:rPr>
        <w:t>采购人</w:t>
      </w:r>
      <w:r>
        <w:rPr>
          <w:rFonts w:hint="eastAsia" w:ascii="宋体" w:hAnsi="宋体" w:eastAsia="宋体" w:cs="宋体"/>
          <w:color w:val="auto"/>
          <w:kern w:val="2"/>
          <w:sz w:val="26"/>
          <w:szCs w:val="28"/>
        </w:rPr>
        <w:t>签订合同的；</w:t>
      </w:r>
    </w:p>
    <w:p w14:paraId="72CE1F48">
      <w:pPr>
        <w:widowControl w:val="0"/>
        <w:spacing w:line="360" w:lineRule="auto"/>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（四）在投标文件中提供虚假材料谋取中标；</w:t>
      </w:r>
    </w:p>
    <w:p w14:paraId="4210F15D">
      <w:pPr>
        <w:widowControl w:val="0"/>
        <w:spacing w:line="360" w:lineRule="auto"/>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（五）与</w:t>
      </w:r>
      <w:r>
        <w:rPr>
          <w:rFonts w:hint="eastAsia" w:ascii="宋体" w:hAnsi="宋体" w:cs="宋体"/>
          <w:color w:val="auto"/>
          <w:kern w:val="2"/>
          <w:sz w:val="26"/>
          <w:szCs w:val="28"/>
          <w:lang w:eastAsia="zh-CN"/>
        </w:rPr>
        <w:t>采购人</w:t>
      </w:r>
      <w:r>
        <w:rPr>
          <w:rFonts w:hint="eastAsia" w:ascii="宋体" w:hAnsi="宋体" w:eastAsia="宋体" w:cs="宋体"/>
          <w:color w:val="auto"/>
          <w:kern w:val="2"/>
          <w:sz w:val="26"/>
          <w:szCs w:val="28"/>
        </w:rPr>
        <w:t>、其他投标人或者采购代理机构恶意串通投标的；</w:t>
      </w:r>
    </w:p>
    <w:p w14:paraId="198085AF">
      <w:pPr>
        <w:widowControl w:val="0"/>
        <w:spacing w:line="360" w:lineRule="auto"/>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（六）投标有效期内，投标人在政府采购活动中有违法、违规、违纪行为的。</w:t>
      </w:r>
    </w:p>
    <w:p w14:paraId="20E37A55">
      <w:pPr>
        <w:widowControl w:val="0"/>
        <w:spacing w:line="360" w:lineRule="auto"/>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由此产生的一切法律后果和责任由我公司承担。我公司声明放弃对此提出任何异议和追索的权利。</w:t>
      </w:r>
    </w:p>
    <w:p w14:paraId="02E13D65">
      <w:pPr>
        <w:widowControl w:val="0"/>
        <w:spacing w:line="360" w:lineRule="auto"/>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本公司对上述承诺的内容事项真实性负责。如经查实上述承诺的内容事项存在虚假，我公司愿意接受以提供虚假材料谋取中标追究法律责任。</w:t>
      </w:r>
    </w:p>
    <w:p w14:paraId="12C2BDC7">
      <w:pPr>
        <w:widowControl w:val="0"/>
        <w:spacing w:line="360" w:lineRule="auto"/>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       </w:t>
      </w:r>
    </w:p>
    <w:p w14:paraId="172B3FFC">
      <w:pPr>
        <w:widowControl w:val="0"/>
        <w:spacing w:line="360" w:lineRule="auto"/>
        <w:ind w:firstLine="520" w:firstLineChars="200"/>
        <w:textAlignment w:val="auto"/>
        <w:rPr>
          <w:rFonts w:hint="eastAsia" w:ascii="宋体" w:hAnsi="宋体" w:eastAsia="宋体" w:cs="宋体"/>
          <w:color w:val="auto"/>
          <w:kern w:val="2"/>
          <w:sz w:val="26"/>
          <w:szCs w:val="28"/>
        </w:rPr>
      </w:pPr>
    </w:p>
    <w:p w14:paraId="03880FB4">
      <w:pPr>
        <w:widowControl w:val="0"/>
        <w:spacing w:line="360" w:lineRule="auto"/>
        <w:ind w:firstLine="520" w:firstLineChars="200"/>
        <w:textAlignment w:val="auto"/>
        <w:rPr>
          <w:rFonts w:hint="eastAsia" w:ascii="宋体" w:hAnsi="宋体" w:eastAsia="宋体" w:cs="宋体"/>
          <w:color w:val="auto"/>
          <w:kern w:val="2"/>
          <w:sz w:val="26"/>
          <w:szCs w:val="28"/>
        </w:rPr>
      </w:pPr>
    </w:p>
    <w:p w14:paraId="07F0182D">
      <w:pPr>
        <w:widowControl w:val="0"/>
        <w:spacing w:line="360" w:lineRule="auto"/>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投标人名称（盖公章）：</w:t>
      </w:r>
      <w:r>
        <w:rPr>
          <w:rFonts w:hint="eastAsia" w:ascii="宋体" w:hAnsi="宋体" w:eastAsia="宋体" w:cs="宋体"/>
          <w:color w:val="auto"/>
          <w:kern w:val="2"/>
          <w:sz w:val="26"/>
          <w:szCs w:val="28"/>
          <w:u w:val="single" w:color="auto"/>
        </w:rPr>
        <w:t xml:space="preserve">                      </w:t>
      </w:r>
    </w:p>
    <w:p w14:paraId="5E32E2FB">
      <w:pPr>
        <w:widowControl w:val="0"/>
        <w:spacing w:line="360" w:lineRule="auto"/>
        <w:ind w:firstLine="520" w:firstLineChars="200"/>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法定代表人（电子签章）：</w:t>
      </w:r>
      <w:r>
        <w:rPr>
          <w:rFonts w:hint="eastAsia" w:ascii="宋体" w:hAnsi="宋体" w:eastAsia="宋体" w:cs="宋体"/>
          <w:color w:val="auto"/>
          <w:kern w:val="2"/>
          <w:sz w:val="26"/>
          <w:szCs w:val="28"/>
          <w:u w:val="single" w:color="auto"/>
        </w:rPr>
        <w:t xml:space="preserve">               </w:t>
      </w:r>
    </w:p>
    <w:p w14:paraId="3028DC9E">
      <w:pPr>
        <w:widowControl w:val="0"/>
        <w:spacing w:line="360" w:lineRule="auto"/>
        <w:ind w:firstLine="520" w:firstLineChars="200"/>
        <w:textAlignment w:val="auto"/>
        <w:rPr>
          <w:rFonts w:ascii="宋体" w:hAnsi="宋体" w:cs="宋体"/>
          <w:b/>
          <w:color w:val="auto"/>
          <w:kern w:val="36"/>
          <w:sz w:val="36"/>
          <w:szCs w:val="36"/>
        </w:rPr>
      </w:pPr>
      <w:r>
        <w:rPr>
          <w:rFonts w:hint="eastAsia" w:ascii="宋体" w:hAnsi="宋体" w:eastAsia="宋体" w:cs="宋体"/>
          <w:color w:val="auto"/>
          <w:kern w:val="2"/>
          <w:sz w:val="26"/>
          <w:szCs w:val="28"/>
        </w:rPr>
        <w:t>日期：       年     月     日 </w:t>
      </w:r>
    </w:p>
    <w:p w14:paraId="302C91CC">
      <w:pPr>
        <w:jc w:val="left"/>
        <w:rPr>
          <w:rFonts w:ascii="宋体" w:hAnsi="宋体" w:cs="宋体"/>
          <w:b/>
          <w:color w:val="auto"/>
          <w:kern w:val="36"/>
          <w:sz w:val="36"/>
          <w:szCs w:val="36"/>
        </w:rPr>
      </w:pPr>
    </w:p>
    <w:p w14:paraId="74666740">
      <w:pPr>
        <w:jc w:val="left"/>
        <w:rPr>
          <w:rFonts w:ascii="宋体" w:hAnsi="宋体" w:cs="宋体"/>
          <w:b/>
          <w:color w:val="auto"/>
          <w:kern w:val="36"/>
          <w:sz w:val="36"/>
          <w:szCs w:val="36"/>
        </w:rPr>
      </w:pPr>
    </w:p>
    <w:p w14:paraId="498ABB4A">
      <w:pPr>
        <w:jc w:val="left"/>
        <w:rPr>
          <w:rFonts w:ascii="宋体" w:hAnsi="宋体" w:cs="宋体"/>
          <w:b/>
          <w:color w:val="auto"/>
          <w:kern w:val="36"/>
          <w:sz w:val="36"/>
          <w:szCs w:val="36"/>
        </w:rPr>
      </w:pPr>
    </w:p>
    <w:p w14:paraId="2946B702">
      <w:pPr>
        <w:jc w:val="center"/>
        <w:rPr>
          <w:rFonts w:ascii="宋体" w:hAnsi="宋体" w:cs="宋体"/>
          <w:b/>
          <w:color w:val="auto"/>
          <w:kern w:val="36"/>
          <w:sz w:val="36"/>
          <w:szCs w:val="36"/>
        </w:rPr>
      </w:pPr>
      <w:bookmarkStart w:id="373" w:name="_Toc26420"/>
      <w:bookmarkEnd w:id="373"/>
      <w:bookmarkStart w:id="374" w:name="_Toc63238024"/>
      <w:bookmarkStart w:id="375" w:name="_Toc24794"/>
      <w:r>
        <w:rPr>
          <w:rFonts w:hint="eastAsia" w:ascii="宋体" w:hAnsi="宋体" w:cs="宋体"/>
          <w:b/>
          <w:color w:val="auto"/>
          <w:kern w:val="36"/>
          <w:sz w:val="36"/>
          <w:szCs w:val="36"/>
        </w:rPr>
        <w:t>七、法定代表人身份证明书</w:t>
      </w:r>
      <w:bookmarkEnd w:id="374"/>
      <w:bookmarkEnd w:id="375"/>
    </w:p>
    <w:p w14:paraId="40CD8AE7">
      <w:pPr>
        <w:jc w:val="left"/>
        <w:rPr>
          <w:rFonts w:ascii="宋体" w:hAnsi="宋体" w:cs="宋体"/>
          <w:b/>
          <w:color w:val="auto"/>
          <w:kern w:val="36"/>
          <w:sz w:val="36"/>
          <w:szCs w:val="36"/>
        </w:rPr>
      </w:pPr>
    </w:p>
    <w:p w14:paraId="27D3715E">
      <w:pPr>
        <w:widowControl w:val="0"/>
        <w:spacing w:line="360" w:lineRule="auto"/>
        <w:ind w:firstLine="561" w:firstLineChars="216"/>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投标人名称：</w:t>
      </w:r>
    </w:p>
    <w:p w14:paraId="746753B0">
      <w:pPr>
        <w:widowControl w:val="0"/>
        <w:spacing w:line="360" w:lineRule="auto"/>
        <w:ind w:firstLine="561" w:firstLineChars="216"/>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单位性质：</w:t>
      </w:r>
    </w:p>
    <w:p w14:paraId="77B12001">
      <w:pPr>
        <w:widowControl w:val="0"/>
        <w:spacing w:line="360" w:lineRule="auto"/>
        <w:ind w:firstLine="561" w:firstLineChars="216"/>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地  址：</w:t>
      </w:r>
    </w:p>
    <w:p w14:paraId="6CF93320">
      <w:pPr>
        <w:widowControl w:val="0"/>
        <w:spacing w:line="360" w:lineRule="auto"/>
        <w:ind w:firstLine="561" w:firstLineChars="216"/>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成立时间：</w:t>
      </w:r>
      <w:r>
        <w:rPr>
          <w:rFonts w:hint="eastAsia" w:ascii="宋体" w:hAnsi="宋体" w:eastAsia="宋体" w:cs="宋体"/>
          <w:color w:val="auto"/>
          <w:kern w:val="2"/>
          <w:sz w:val="26"/>
          <w:szCs w:val="28"/>
          <w:u w:val="single" w:color="auto"/>
        </w:rPr>
        <w:t xml:space="preserve"> </w:t>
      </w:r>
      <w:r>
        <w:rPr>
          <w:rFonts w:hint="eastAsia" w:ascii="宋体" w:hAnsi="宋体" w:cs="宋体"/>
          <w:color w:val="auto"/>
          <w:kern w:val="2"/>
          <w:sz w:val="26"/>
          <w:szCs w:val="28"/>
          <w:u w:val="single" w:color="auto"/>
          <w:lang w:val="en-US" w:eastAsia="zh-CN"/>
        </w:rPr>
        <w:t xml:space="preserve">    </w:t>
      </w:r>
      <w:r>
        <w:rPr>
          <w:rFonts w:hint="eastAsia" w:ascii="宋体" w:hAnsi="宋体" w:eastAsia="宋体" w:cs="宋体"/>
          <w:color w:val="auto"/>
          <w:kern w:val="2"/>
          <w:sz w:val="26"/>
          <w:szCs w:val="28"/>
          <w:u w:val="single" w:color="auto"/>
        </w:rPr>
        <w:t xml:space="preserve"> </w:t>
      </w:r>
      <w:r>
        <w:rPr>
          <w:rFonts w:hint="eastAsia" w:ascii="宋体" w:hAnsi="宋体" w:eastAsia="宋体" w:cs="宋体"/>
          <w:color w:val="auto"/>
          <w:kern w:val="2"/>
          <w:sz w:val="26"/>
          <w:szCs w:val="28"/>
        </w:rPr>
        <w:t>年</w:t>
      </w:r>
      <w:r>
        <w:rPr>
          <w:rFonts w:hint="eastAsia" w:ascii="宋体" w:hAnsi="宋体" w:eastAsia="宋体" w:cs="宋体"/>
          <w:color w:val="auto"/>
          <w:kern w:val="2"/>
          <w:sz w:val="26"/>
          <w:szCs w:val="28"/>
          <w:u w:val="single" w:color="auto"/>
        </w:rPr>
        <w:t xml:space="preserve">  </w:t>
      </w:r>
      <w:r>
        <w:rPr>
          <w:rFonts w:hint="eastAsia" w:ascii="宋体" w:hAnsi="宋体" w:cs="宋体"/>
          <w:color w:val="auto"/>
          <w:kern w:val="2"/>
          <w:sz w:val="26"/>
          <w:szCs w:val="28"/>
          <w:u w:val="single" w:color="auto"/>
          <w:lang w:val="en-US" w:eastAsia="zh-CN"/>
        </w:rPr>
        <w:t xml:space="preserve">  </w:t>
      </w:r>
      <w:r>
        <w:rPr>
          <w:rFonts w:hint="eastAsia" w:ascii="宋体" w:hAnsi="宋体" w:eastAsia="宋体" w:cs="宋体"/>
          <w:color w:val="auto"/>
          <w:kern w:val="2"/>
          <w:sz w:val="26"/>
          <w:szCs w:val="28"/>
          <w:u w:val="single" w:color="auto"/>
        </w:rPr>
        <w:t xml:space="preserve"> </w:t>
      </w:r>
      <w:r>
        <w:rPr>
          <w:rFonts w:hint="eastAsia" w:ascii="宋体" w:hAnsi="宋体" w:eastAsia="宋体" w:cs="宋体"/>
          <w:color w:val="auto"/>
          <w:kern w:val="2"/>
          <w:sz w:val="26"/>
          <w:szCs w:val="28"/>
        </w:rPr>
        <w:t>月</w:t>
      </w:r>
      <w:r>
        <w:rPr>
          <w:rFonts w:hint="eastAsia" w:ascii="宋体" w:hAnsi="宋体" w:eastAsia="宋体" w:cs="宋体"/>
          <w:color w:val="auto"/>
          <w:kern w:val="2"/>
          <w:sz w:val="26"/>
          <w:szCs w:val="28"/>
          <w:u w:val="single" w:color="auto"/>
        </w:rPr>
        <w:t xml:space="preserve"> </w:t>
      </w:r>
      <w:r>
        <w:rPr>
          <w:rFonts w:hint="eastAsia" w:ascii="宋体" w:hAnsi="宋体" w:cs="宋体"/>
          <w:color w:val="auto"/>
          <w:kern w:val="2"/>
          <w:sz w:val="26"/>
          <w:szCs w:val="28"/>
          <w:u w:val="single" w:color="auto"/>
          <w:lang w:val="en-US" w:eastAsia="zh-CN"/>
        </w:rPr>
        <w:t xml:space="preserve">   </w:t>
      </w:r>
      <w:r>
        <w:rPr>
          <w:rFonts w:hint="eastAsia" w:ascii="宋体" w:hAnsi="宋体" w:eastAsia="宋体" w:cs="宋体"/>
          <w:color w:val="auto"/>
          <w:kern w:val="2"/>
          <w:sz w:val="26"/>
          <w:szCs w:val="28"/>
          <w:u w:val="single" w:color="auto"/>
        </w:rPr>
        <w:t xml:space="preserve"> </w:t>
      </w:r>
      <w:r>
        <w:rPr>
          <w:rFonts w:hint="eastAsia" w:ascii="宋体" w:hAnsi="宋体" w:eastAsia="宋体" w:cs="宋体"/>
          <w:color w:val="auto"/>
          <w:kern w:val="2"/>
          <w:sz w:val="26"/>
          <w:szCs w:val="28"/>
        </w:rPr>
        <w:t>日</w:t>
      </w:r>
    </w:p>
    <w:p w14:paraId="28D4119A">
      <w:pPr>
        <w:widowControl w:val="0"/>
        <w:spacing w:line="360" w:lineRule="auto"/>
        <w:ind w:firstLine="561" w:firstLineChars="216"/>
        <w:textAlignment w:val="auto"/>
        <w:rPr>
          <w:rFonts w:hint="default" w:ascii="宋体" w:hAnsi="宋体" w:eastAsia="宋体" w:cs="宋体"/>
          <w:color w:val="auto"/>
          <w:kern w:val="2"/>
          <w:sz w:val="26"/>
          <w:szCs w:val="28"/>
          <w:u w:val="single" w:color="auto"/>
          <w:lang w:val="en-US" w:eastAsia="zh-CN"/>
        </w:rPr>
      </w:pPr>
      <w:r>
        <w:rPr>
          <w:rFonts w:hint="eastAsia" w:ascii="宋体" w:hAnsi="宋体" w:eastAsia="宋体" w:cs="宋体"/>
          <w:color w:val="auto"/>
          <w:kern w:val="2"/>
          <w:sz w:val="26"/>
          <w:szCs w:val="28"/>
        </w:rPr>
        <w:t>姓名：</w:t>
      </w:r>
      <w:r>
        <w:rPr>
          <w:rFonts w:hint="eastAsia" w:ascii="宋体" w:hAnsi="宋体" w:eastAsia="宋体" w:cs="宋体"/>
          <w:color w:val="auto"/>
          <w:kern w:val="2"/>
          <w:sz w:val="26"/>
          <w:szCs w:val="28"/>
          <w:u w:val="single" w:color="auto"/>
        </w:rPr>
        <w:t xml:space="preserve">  </w:t>
      </w:r>
      <w:r>
        <w:rPr>
          <w:rFonts w:hint="eastAsia" w:ascii="宋体" w:hAnsi="宋体" w:cs="宋体"/>
          <w:color w:val="auto"/>
          <w:kern w:val="2"/>
          <w:sz w:val="26"/>
          <w:szCs w:val="28"/>
          <w:u w:val="single" w:color="auto"/>
          <w:lang w:val="en-US" w:eastAsia="zh-CN"/>
        </w:rPr>
        <w:t xml:space="preserve">       </w:t>
      </w:r>
      <w:r>
        <w:rPr>
          <w:rFonts w:hint="eastAsia" w:ascii="宋体" w:hAnsi="宋体" w:eastAsia="宋体" w:cs="宋体"/>
          <w:color w:val="auto"/>
          <w:kern w:val="2"/>
          <w:sz w:val="26"/>
          <w:szCs w:val="28"/>
          <w:u w:val="single" w:color="auto"/>
        </w:rPr>
        <w:t xml:space="preserve"> </w:t>
      </w:r>
      <w:r>
        <w:rPr>
          <w:rFonts w:hint="eastAsia" w:ascii="宋体" w:hAnsi="宋体" w:eastAsia="宋体" w:cs="宋体"/>
          <w:color w:val="auto"/>
          <w:kern w:val="2"/>
          <w:sz w:val="26"/>
          <w:szCs w:val="28"/>
        </w:rPr>
        <w:t>性别：</w:t>
      </w:r>
      <w:r>
        <w:rPr>
          <w:rFonts w:hint="eastAsia" w:ascii="宋体" w:hAnsi="宋体" w:eastAsia="宋体" w:cs="宋体"/>
          <w:color w:val="auto"/>
          <w:kern w:val="2"/>
          <w:sz w:val="26"/>
          <w:szCs w:val="28"/>
          <w:u w:val="single" w:color="auto"/>
        </w:rPr>
        <w:t xml:space="preserve">  </w:t>
      </w:r>
      <w:r>
        <w:rPr>
          <w:rFonts w:hint="eastAsia" w:ascii="宋体" w:hAnsi="宋体" w:cs="宋体"/>
          <w:color w:val="auto"/>
          <w:kern w:val="2"/>
          <w:sz w:val="26"/>
          <w:szCs w:val="28"/>
          <w:u w:val="single" w:color="auto"/>
          <w:lang w:val="en-US" w:eastAsia="zh-CN"/>
        </w:rPr>
        <w:t xml:space="preserve">  </w:t>
      </w:r>
      <w:r>
        <w:rPr>
          <w:rFonts w:hint="eastAsia" w:ascii="宋体" w:hAnsi="宋体" w:eastAsia="宋体" w:cs="宋体"/>
          <w:color w:val="auto"/>
          <w:kern w:val="2"/>
          <w:sz w:val="26"/>
          <w:szCs w:val="28"/>
          <w:u w:val="single" w:color="auto"/>
        </w:rPr>
        <w:t xml:space="preserve"> </w:t>
      </w:r>
      <w:r>
        <w:rPr>
          <w:rFonts w:hint="eastAsia" w:ascii="宋体" w:hAnsi="宋体" w:eastAsia="宋体" w:cs="宋体"/>
          <w:color w:val="auto"/>
          <w:kern w:val="2"/>
          <w:sz w:val="26"/>
          <w:szCs w:val="28"/>
        </w:rPr>
        <w:t>年龄：</w:t>
      </w:r>
      <w:r>
        <w:rPr>
          <w:rFonts w:hint="eastAsia" w:ascii="宋体" w:hAnsi="宋体" w:eastAsia="宋体" w:cs="宋体"/>
          <w:color w:val="auto"/>
          <w:kern w:val="2"/>
          <w:sz w:val="26"/>
          <w:szCs w:val="28"/>
          <w:u w:val="single" w:color="auto"/>
        </w:rPr>
        <w:t xml:space="preserve">  </w:t>
      </w:r>
      <w:r>
        <w:rPr>
          <w:rFonts w:hint="eastAsia" w:ascii="宋体" w:hAnsi="宋体" w:cs="宋体"/>
          <w:color w:val="auto"/>
          <w:kern w:val="2"/>
          <w:sz w:val="26"/>
          <w:szCs w:val="28"/>
          <w:u w:val="single" w:color="auto"/>
          <w:lang w:val="en-US" w:eastAsia="zh-CN"/>
        </w:rPr>
        <w:t xml:space="preserve">  </w:t>
      </w:r>
      <w:r>
        <w:rPr>
          <w:rFonts w:hint="eastAsia" w:ascii="宋体" w:hAnsi="宋体" w:eastAsia="宋体" w:cs="宋体"/>
          <w:color w:val="auto"/>
          <w:kern w:val="2"/>
          <w:sz w:val="26"/>
          <w:szCs w:val="28"/>
          <w:u w:val="single" w:color="auto"/>
        </w:rPr>
        <w:t xml:space="preserve"> </w:t>
      </w:r>
      <w:r>
        <w:rPr>
          <w:rFonts w:hint="eastAsia" w:ascii="宋体" w:hAnsi="宋体" w:eastAsia="宋体" w:cs="宋体"/>
          <w:color w:val="auto"/>
          <w:kern w:val="2"/>
          <w:sz w:val="26"/>
          <w:szCs w:val="28"/>
        </w:rPr>
        <w:t>职务：</w:t>
      </w:r>
      <w:r>
        <w:rPr>
          <w:rFonts w:hint="eastAsia" w:ascii="宋体" w:hAnsi="宋体" w:cs="宋体"/>
          <w:color w:val="auto"/>
          <w:kern w:val="2"/>
          <w:sz w:val="26"/>
          <w:szCs w:val="28"/>
          <w:u w:val="single" w:color="auto"/>
          <w:lang w:val="en-US" w:eastAsia="zh-CN"/>
        </w:rPr>
        <w:t xml:space="preserve">        </w:t>
      </w:r>
    </w:p>
    <w:p w14:paraId="77706775">
      <w:pPr>
        <w:widowControl w:val="0"/>
        <w:spacing w:line="360" w:lineRule="auto"/>
        <w:ind w:firstLine="561" w:firstLineChars="216"/>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系</w:t>
      </w:r>
      <w:r>
        <w:rPr>
          <w:rFonts w:hint="eastAsia" w:ascii="宋体" w:hAnsi="宋体" w:eastAsia="宋体" w:cs="宋体"/>
          <w:color w:val="auto"/>
          <w:kern w:val="2"/>
          <w:sz w:val="26"/>
          <w:szCs w:val="28"/>
          <w:u w:val="single" w:color="auto"/>
        </w:rPr>
        <w:t xml:space="preserve">     （投标人名称）</w:t>
      </w:r>
      <w:r>
        <w:rPr>
          <w:rFonts w:hint="eastAsia" w:ascii="宋体" w:hAnsi="宋体" w:cs="宋体"/>
          <w:color w:val="auto"/>
          <w:kern w:val="2"/>
          <w:sz w:val="26"/>
          <w:szCs w:val="28"/>
          <w:u w:val="single" w:color="auto"/>
          <w:lang w:val="en-US" w:eastAsia="zh-CN"/>
        </w:rPr>
        <w:t xml:space="preserve">        </w:t>
      </w:r>
      <w:r>
        <w:rPr>
          <w:rFonts w:hint="eastAsia" w:ascii="宋体" w:hAnsi="宋体" w:eastAsia="宋体" w:cs="宋体"/>
          <w:color w:val="auto"/>
          <w:kern w:val="2"/>
          <w:sz w:val="26"/>
          <w:szCs w:val="28"/>
        </w:rPr>
        <w:t>的法定代表人。</w:t>
      </w:r>
    </w:p>
    <w:p w14:paraId="302B329E">
      <w:pPr>
        <w:widowControl w:val="0"/>
        <w:spacing w:line="360" w:lineRule="auto"/>
        <w:ind w:firstLine="561" w:firstLineChars="216"/>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特此证明。</w:t>
      </w:r>
    </w:p>
    <w:p w14:paraId="0ACE57B3">
      <w:pPr>
        <w:widowControl w:val="0"/>
        <w:spacing w:line="360" w:lineRule="auto"/>
        <w:ind w:firstLine="561" w:firstLineChars="216"/>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 xml:space="preserve"> </w:t>
      </w:r>
    </w:p>
    <w:p w14:paraId="53E4B105">
      <w:pPr>
        <w:widowControl w:val="0"/>
        <w:spacing w:line="360" w:lineRule="auto"/>
        <w:ind w:firstLine="561" w:firstLineChars="216"/>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投标人：</w:t>
      </w:r>
      <w:r>
        <w:rPr>
          <w:rFonts w:hint="eastAsia" w:ascii="宋体" w:hAnsi="宋体" w:eastAsia="宋体" w:cs="宋体"/>
          <w:color w:val="auto"/>
          <w:kern w:val="2"/>
          <w:sz w:val="26"/>
          <w:szCs w:val="28"/>
          <w:u w:val="single" w:color="auto"/>
        </w:rPr>
        <w:t>（盖单位电子公章）</w:t>
      </w:r>
    </w:p>
    <w:p w14:paraId="0CE96673">
      <w:pPr>
        <w:widowControl w:val="0"/>
        <w:spacing w:line="360" w:lineRule="auto"/>
        <w:ind w:firstLine="561" w:firstLineChars="216"/>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日期:     年    月   日</w:t>
      </w:r>
    </w:p>
    <w:p w14:paraId="07A51158">
      <w:pPr>
        <w:widowControl w:val="0"/>
        <w:spacing w:line="360" w:lineRule="auto"/>
        <w:ind w:firstLine="561" w:firstLineChars="216"/>
        <w:textAlignment w:val="auto"/>
        <w:rPr>
          <w:rFonts w:hint="eastAsia" w:ascii="宋体" w:hAnsi="宋体" w:eastAsia="宋体" w:cs="宋体"/>
          <w:color w:val="auto"/>
          <w:kern w:val="2"/>
          <w:sz w:val="26"/>
          <w:szCs w:val="28"/>
        </w:rPr>
      </w:pPr>
    </w:p>
    <w:p w14:paraId="1034448B">
      <w:pPr>
        <w:widowControl w:val="0"/>
        <w:spacing w:line="360" w:lineRule="auto"/>
        <w:ind w:firstLine="561" w:firstLineChars="216"/>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附：法定代表人的</w:t>
      </w:r>
      <w:bookmarkStart w:id="376" w:name="_Toc221330133"/>
      <w:r>
        <w:rPr>
          <w:rFonts w:hint="eastAsia" w:ascii="宋体" w:hAnsi="宋体" w:eastAsia="宋体" w:cs="宋体"/>
          <w:color w:val="auto"/>
          <w:kern w:val="2"/>
          <w:sz w:val="26"/>
          <w:szCs w:val="28"/>
        </w:rPr>
        <w:t>身份证原件正反面的扫描件。</w:t>
      </w:r>
      <w:bookmarkEnd w:id="376"/>
    </w:p>
    <w:p w14:paraId="2C720C4D">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bookmarkStart w:id="377" w:name="_Toc9017"/>
      <w:bookmarkEnd w:id="377"/>
      <w:bookmarkStart w:id="378" w:name="_Toc325383405"/>
      <w:bookmarkEnd w:id="378"/>
      <w:bookmarkStart w:id="379" w:name="_Toc359842904"/>
      <w:bookmarkEnd w:id="379"/>
      <w:bookmarkStart w:id="380" w:name="_Toc324696982"/>
      <w:bookmarkEnd w:id="380"/>
      <w:bookmarkStart w:id="381" w:name="_Toc325446131"/>
      <w:bookmarkEnd w:id="381"/>
      <w:r>
        <w:rPr>
          <w:rFonts w:hint="eastAsia" w:ascii="宋体" w:hAnsi="宋体" w:cs="宋体"/>
          <w:b/>
          <w:color w:val="auto"/>
          <w:kern w:val="36"/>
          <w:sz w:val="36"/>
          <w:szCs w:val="36"/>
        </w:rPr>
        <w:t xml:space="preserve"> </w:t>
      </w:r>
      <w:bookmarkStart w:id="382" w:name="_Toc63238025"/>
    </w:p>
    <w:p w14:paraId="605F4706">
      <w:pPr>
        <w:jc w:val="left"/>
        <w:rPr>
          <w:rFonts w:ascii="宋体" w:hAnsi="宋体" w:cs="宋体"/>
          <w:b/>
          <w:color w:val="auto"/>
          <w:kern w:val="36"/>
          <w:sz w:val="36"/>
          <w:szCs w:val="36"/>
        </w:rPr>
      </w:pPr>
      <w:bookmarkStart w:id="383" w:name="_Toc19889"/>
      <w:r>
        <w:rPr>
          <w:rFonts w:hint="eastAsia" w:ascii="宋体" w:hAnsi="宋体" w:cs="宋体"/>
          <w:b/>
          <w:color w:val="auto"/>
          <w:kern w:val="36"/>
          <w:sz w:val="36"/>
          <w:szCs w:val="36"/>
        </w:rPr>
        <w:br w:type="page"/>
      </w:r>
    </w:p>
    <w:p w14:paraId="37FCD9F3">
      <w:pPr>
        <w:jc w:val="center"/>
        <w:rPr>
          <w:rFonts w:ascii="宋体" w:hAnsi="宋体" w:cs="宋体"/>
          <w:b/>
          <w:color w:val="auto"/>
          <w:kern w:val="36"/>
          <w:sz w:val="36"/>
          <w:szCs w:val="36"/>
        </w:rPr>
      </w:pPr>
      <w:r>
        <w:rPr>
          <w:rFonts w:hint="eastAsia" w:ascii="宋体" w:hAnsi="宋体" w:cs="宋体"/>
          <w:b/>
          <w:color w:val="auto"/>
          <w:kern w:val="36"/>
          <w:sz w:val="36"/>
          <w:szCs w:val="36"/>
        </w:rPr>
        <w:t>八、法定代表人授权委托书</w:t>
      </w:r>
      <w:bookmarkEnd w:id="382"/>
      <w:bookmarkEnd w:id="383"/>
    </w:p>
    <w:p w14:paraId="7363DBFC">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2C48823B">
      <w:pPr>
        <w:widowControl w:val="0"/>
        <w:spacing w:line="360" w:lineRule="auto"/>
        <w:ind w:firstLine="561" w:firstLineChars="216"/>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本人</w:t>
      </w:r>
      <w:r>
        <w:rPr>
          <w:rFonts w:hint="eastAsia" w:ascii="宋体" w:hAnsi="宋体" w:eastAsia="宋体" w:cs="宋体"/>
          <w:color w:val="auto"/>
          <w:kern w:val="2"/>
          <w:sz w:val="26"/>
          <w:szCs w:val="28"/>
          <w:u w:val="single" w:color="auto"/>
        </w:rPr>
        <w:t xml:space="preserve">  （姓名）</w:t>
      </w:r>
      <w:r>
        <w:rPr>
          <w:rFonts w:hint="eastAsia" w:ascii="宋体" w:hAnsi="宋体" w:eastAsia="宋体" w:cs="宋体"/>
          <w:color w:val="auto"/>
          <w:kern w:val="2"/>
          <w:sz w:val="26"/>
          <w:szCs w:val="28"/>
        </w:rPr>
        <w:t>系</w:t>
      </w:r>
      <w:r>
        <w:rPr>
          <w:rFonts w:hint="eastAsia" w:ascii="宋体" w:hAnsi="宋体" w:eastAsia="宋体" w:cs="宋体"/>
          <w:color w:val="auto"/>
          <w:kern w:val="2"/>
          <w:sz w:val="26"/>
          <w:szCs w:val="28"/>
          <w:u w:val="single" w:color="auto"/>
        </w:rPr>
        <w:t xml:space="preserve">   （投标人名称）</w:t>
      </w:r>
      <w:r>
        <w:rPr>
          <w:rFonts w:hint="eastAsia" w:ascii="宋体" w:hAnsi="宋体" w:eastAsia="宋体" w:cs="宋体"/>
          <w:color w:val="auto"/>
          <w:kern w:val="2"/>
          <w:sz w:val="26"/>
          <w:szCs w:val="28"/>
        </w:rPr>
        <w:t>的法定代表人，在此授权</w:t>
      </w:r>
      <w:r>
        <w:rPr>
          <w:rFonts w:hint="eastAsia" w:ascii="宋体" w:hAnsi="宋体" w:eastAsia="宋体" w:cs="宋体"/>
          <w:color w:val="auto"/>
          <w:kern w:val="2"/>
          <w:sz w:val="26"/>
          <w:szCs w:val="28"/>
          <w:u w:val="single" w:color="auto"/>
        </w:rPr>
        <w:t>（姓名）</w:t>
      </w:r>
      <w:r>
        <w:rPr>
          <w:rFonts w:hint="eastAsia" w:ascii="宋体" w:hAnsi="宋体" w:eastAsia="宋体" w:cs="宋体"/>
          <w:color w:val="auto"/>
          <w:kern w:val="2"/>
          <w:sz w:val="26"/>
          <w:szCs w:val="28"/>
        </w:rPr>
        <w:t>，身份证号码：</w:t>
      </w:r>
      <w:r>
        <w:rPr>
          <w:rFonts w:hint="eastAsia" w:ascii="宋体" w:hAnsi="宋体" w:eastAsia="宋体" w:cs="宋体"/>
          <w:color w:val="auto"/>
          <w:kern w:val="2"/>
          <w:sz w:val="26"/>
          <w:szCs w:val="28"/>
          <w:u w:val="single" w:color="auto"/>
        </w:rPr>
        <w:t xml:space="preserve">     </w:t>
      </w:r>
      <w:r>
        <w:rPr>
          <w:rFonts w:hint="eastAsia" w:ascii="宋体" w:hAnsi="宋体" w:eastAsia="宋体" w:cs="宋体"/>
          <w:color w:val="auto"/>
          <w:kern w:val="2"/>
          <w:sz w:val="26"/>
          <w:szCs w:val="28"/>
          <w:u w:val="single" w:color="auto"/>
          <w:lang w:val="en-US" w:eastAsia="zh-CN"/>
        </w:rPr>
        <w:t xml:space="preserve">              </w:t>
      </w:r>
      <w:r>
        <w:rPr>
          <w:rFonts w:hint="eastAsia" w:ascii="宋体" w:hAnsi="宋体" w:eastAsia="宋体" w:cs="宋体"/>
          <w:color w:val="auto"/>
          <w:kern w:val="2"/>
          <w:sz w:val="26"/>
          <w:szCs w:val="28"/>
          <w:u w:val="single" w:color="auto"/>
        </w:rPr>
        <w:t xml:space="preserve"> </w:t>
      </w:r>
      <w:r>
        <w:rPr>
          <w:rFonts w:hint="eastAsia" w:ascii="宋体" w:hAnsi="宋体" w:eastAsia="宋体" w:cs="宋体"/>
          <w:color w:val="auto"/>
          <w:kern w:val="2"/>
          <w:sz w:val="26"/>
          <w:szCs w:val="28"/>
        </w:rPr>
        <w:t>，作为我方合法授权代表，以我方名义并代表我单位全权处理</w:t>
      </w:r>
      <w:r>
        <w:rPr>
          <w:rFonts w:hint="eastAsia" w:ascii="宋体" w:hAnsi="宋体" w:eastAsia="宋体" w:cs="宋体"/>
          <w:color w:val="auto"/>
          <w:kern w:val="2"/>
          <w:sz w:val="26"/>
          <w:szCs w:val="28"/>
          <w:u w:val="single" w:color="auto"/>
        </w:rPr>
        <w:t xml:space="preserve">      （项目名称）       </w:t>
      </w:r>
      <w:r>
        <w:rPr>
          <w:rFonts w:hint="eastAsia" w:ascii="宋体" w:hAnsi="宋体" w:eastAsia="宋体" w:cs="宋体"/>
          <w:color w:val="auto"/>
          <w:kern w:val="2"/>
          <w:sz w:val="26"/>
          <w:szCs w:val="28"/>
        </w:rPr>
        <w:t>投标及相关事宜。</w:t>
      </w:r>
    </w:p>
    <w:p w14:paraId="780EC755">
      <w:pPr>
        <w:widowControl w:val="0"/>
        <w:spacing w:line="360" w:lineRule="auto"/>
        <w:ind w:firstLine="561" w:firstLineChars="216"/>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授权期限：自本授权书签署之日起，至本项目完全结束止。</w:t>
      </w:r>
    </w:p>
    <w:p w14:paraId="2F57B781">
      <w:pPr>
        <w:widowControl w:val="0"/>
        <w:spacing w:line="360" w:lineRule="auto"/>
        <w:ind w:firstLine="561" w:firstLineChars="216"/>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在授权范围和期限内，被授权人所实施的行为具有法律效力，授权人予以认可。被授权人无权转让委托权，特此委托。</w:t>
      </w:r>
    </w:p>
    <w:p w14:paraId="09756BF5">
      <w:pPr>
        <w:widowControl w:val="0"/>
        <w:spacing w:line="360" w:lineRule="auto"/>
        <w:ind w:firstLine="561" w:firstLineChars="216"/>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 xml:space="preserve"> </w:t>
      </w:r>
    </w:p>
    <w:p w14:paraId="2B7F06D7">
      <w:pPr>
        <w:widowControl w:val="0"/>
        <w:spacing w:before="156" w:beforeLines="50" w:after="100" w:afterAutospacing="1" w:line="360" w:lineRule="auto"/>
        <w:ind w:firstLine="561" w:firstLineChars="216"/>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投标人：</w:t>
      </w:r>
      <w:r>
        <w:rPr>
          <w:rFonts w:hint="eastAsia" w:ascii="宋体" w:hAnsi="宋体" w:eastAsia="宋体" w:cs="宋体"/>
          <w:color w:val="auto"/>
          <w:kern w:val="2"/>
          <w:sz w:val="26"/>
          <w:szCs w:val="28"/>
          <w:u w:val="single" w:color="auto"/>
        </w:rPr>
        <w:t>（盖单位电子公章）</w:t>
      </w:r>
    </w:p>
    <w:p w14:paraId="16A2EED4">
      <w:pPr>
        <w:widowControl w:val="0"/>
        <w:spacing w:before="156" w:beforeLines="50" w:after="100" w:afterAutospacing="1" w:line="360" w:lineRule="auto"/>
        <w:ind w:firstLine="561" w:firstLineChars="216"/>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法定代表人：</w:t>
      </w:r>
      <w:r>
        <w:rPr>
          <w:rFonts w:hint="eastAsia" w:ascii="宋体" w:hAnsi="宋体" w:eastAsia="宋体" w:cs="宋体"/>
          <w:color w:val="auto"/>
          <w:kern w:val="2"/>
          <w:sz w:val="26"/>
          <w:szCs w:val="28"/>
          <w:u w:val="single" w:color="auto"/>
        </w:rPr>
        <w:t>（法人电子签章）</w:t>
      </w:r>
    </w:p>
    <w:p w14:paraId="7883D92C">
      <w:pPr>
        <w:widowControl w:val="0"/>
        <w:spacing w:before="156" w:beforeLines="50" w:after="100" w:afterAutospacing="1" w:line="360" w:lineRule="auto"/>
        <w:ind w:firstLine="561" w:firstLineChars="216"/>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委托代理人：</w:t>
      </w:r>
      <w:r>
        <w:rPr>
          <w:rFonts w:hint="eastAsia" w:ascii="宋体" w:hAnsi="宋体" w:eastAsia="宋体" w:cs="宋体"/>
          <w:color w:val="auto"/>
          <w:kern w:val="2"/>
          <w:sz w:val="26"/>
          <w:szCs w:val="28"/>
          <w:u w:val="single" w:color="auto"/>
        </w:rPr>
        <w:t xml:space="preserve">           </w:t>
      </w:r>
      <w:r>
        <w:rPr>
          <w:rFonts w:hint="eastAsia" w:ascii="宋体" w:hAnsi="宋体" w:eastAsia="宋体" w:cs="宋体"/>
          <w:color w:val="auto"/>
          <w:kern w:val="2"/>
          <w:sz w:val="26"/>
          <w:szCs w:val="28"/>
        </w:rPr>
        <w:t>（法人电子签章）</w:t>
      </w:r>
    </w:p>
    <w:p w14:paraId="36E98C30">
      <w:pPr>
        <w:widowControl w:val="0"/>
        <w:spacing w:before="156" w:beforeLines="50" w:after="100" w:afterAutospacing="1" w:line="360" w:lineRule="auto"/>
        <w:ind w:firstLine="561" w:firstLineChars="216"/>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日期：    年   月   日</w:t>
      </w:r>
    </w:p>
    <w:p w14:paraId="3DFCCCF1">
      <w:pPr>
        <w:widowControl w:val="0"/>
        <w:spacing w:line="360" w:lineRule="auto"/>
        <w:ind w:firstLine="561" w:firstLineChars="216"/>
        <w:textAlignment w:val="auto"/>
        <w:rPr>
          <w:rFonts w:hint="eastAsia" w:ascii="宋体" w:hAnsi="宋体" w:eastAsia="宋体" w:cs="宋体"/>
          <w:color w:val="auto"/>
          <w:kern w:val="2"/>
          <w:sz w:val="26"/>
          <w:szCs w:val="28"/>
        </w:rPr>
      </w:pPr>
    </w:p>
    <w:p w14:paraId="66921A36">
      <w:pPr>
        <w:widowControl w:val="0"/>
        <w:spacing w:line="360" w:lineRule="auto"/>
        <w:ind w:firstLine="561" w:firstLineChars="216"/>
        <w:textAlignment w:val="auto"/>
        <w:rPr>
          <w:rFonts w:hint="eastAsia" w:ascii="宋体" w:hAnsi="宋体" w:eastAsia="宋体" w:cs="宋体"/>
          <w:color w:val="auto"/>
          <w:kern w:val="2"/>
          <w:sz w:val="26"/>
          <w:szCs w:val="28"/>
        </w:rPr>
      </w:pPr>
      <w:r>
        <w:rPr>
          <w:rFonts w:hint="eastAsia" w:ascii="宋体" w:hAnsi="宋体" w:eastAsia="宋体" w:cs="宋体"/>
          <w:color w:val="auto"/>
          <w:kern w:val="2"/>
          <w:sz w:val="26"/>
          <w:szCs w:val="28"/>
        </w:rPr>
        <w:t>附：被授权人的身份证原件正反面的扫描件。</w:t>
      </w:r>
    </w:p>
    <w:p w14:paraId="2F14E16A">
      <w:pPr>
        <w:widowControl w:val="0"/>
        <w:spacing w:line="360" w:lineRule="auto"/>
        <w:ind w:firstLine="561" w:firstLineChars="216"/>
        <w:textAlignment w:val="auto"/>
        <w:rPr>
          <w:rFonts w:hint="eastAsia" w:ascii="宋体" w:hAnsi="宋体" w:eastAsia="宋体" w:cs="宋体"/>
          <w:color w:val="auto"/>
          <w:kern w:val="2"/>
          <w:sz w:val="26"/>
          <w:szCs w:val="28"/>
        </w:rPr>
      </w:pPr>
    </w:p>
    <w:p w14:paraId="6B200A61">
      <w:pPr>
        <w:widowControl w:val="0"/>
        <w:spacing w:line="360" w:lineRule="auto"/>
        <w:ind w:firstLine="561" w:firstLineChars="216"/>
        <w:textAlignment w:val="auto"/>
        <w:rPr>
          <w:rFonts w:hint="eastAsia" w:ascii="宋体" w:hAnsi="宋体" w:eastAsia="宋体" w:cs="宋体"/>
          <w:color w:val="auto"/>
          <w:kern w:val="2"/>
          <w:sz w:val="26"/>
          <w:szCs w:val="28"/>
        </w:rPr>
      </w:pPr>
    </w:p>
    <w:p w14:paraId="4E49BB0E">
      <w:pPr>
        <w:adjustRightInd w:val="0"/>
        <w:snapToGrid w:val="0"/>
        <w:spacing w:after="200" w:line="480" w:lineRule="exact"/>
        <w:ind w:firstLine="361" w:firstLineChars="150"/>
        <w:jc w:val="left"/>
        <w:rPr>
          <w:rFonts w:hint="eastAsia" w:ascii="宋体" w:hAnsi="宋体" w:eastAsia="宋体" w:cs="宋体"/>
          <w:b/>
          <w:bCs/>
          <w:color w:val="auto"/>
          <w:sz w:val="24"/>
          <w:lang w:eastAsia="zh-CN"/>
        </w:rPr>
      </w:pPr>
      <w:bookmarkStart w:id="384" w:name="_Toc359842907"/>
      <w:bookmarkEnd w:id="384"/>
      <w:bookmarkStart w:id="385" w:name="_Toc325446135"/>
      <w:bookmarkEnd w:id="385"/>
      <w:bookmarkStart w:id="386" w:name="_Toc325383409"/>
      <w:bookmarkEnd w:id="386"/>
      <w:bookmarkStart w:id="387" w:name="_Toc22015"/>
      <w:bookmarkEnd w:id="387"/>
      <w:bookmarkStart w:id="388" w:name="_Toc324696986"/>
      <w:bookmarkEnd w:id="388"/>
      <w:bookmarkStart w:id="389" w:name="_Toc63238026"/>
      <w:r>
        <w:rPr>
          <w:rFonts w:hint="eastAsia" w:ascii="宋体" w:hAnsi="宋体" w:eastAsia="宋体" w:cs="宋体"/>
          <w:b/>
          <w:bCs/>
          <w:color w:val="auto"/>
          <w:sz w:val="24"/>
        </w:rPr>
        <w:t>注：因电子投标文件中委托代理人无法手写签字，委托代理人可以用打印字体代替签字，并由法定代表人电子签章</w:t>
      </w:r>
      <w:r>
        <w:rPr>
          <w:rFonts w:hint="eastAsia" w:ascii="宋体" w:hAnsi="宋体" w:eastAsia="宋体" w:cs="宋体"/>
          <w:b/>
          <w:bCs/>
          <w:color w:val="auto"/>
          <w:sz w:val="24"/>
          <w:lang w:eastAsia="zh-CN"/>
        </w:rPr>
        <w:t>。</w:t>
      </w:r>
    </w:p>
    <w:p w14:paraId="401334AF">
      <w:pPr>
        <w:jc w:val="left"/>
        <w:rPr>
          <w:rFonts w:ascii="宋体" w:hAnsi="宋体" w:cs="宋体"/>
          <w:b/>
          <w:color w:val="auto"/>
          <w:kern w:val="36"/>
          <w:sz w:val="36"/>
          <w:szCs w:val="36"/>
        </w:rPr>
      </w:pPr>
    </w:p>
    <w:p w14:paraId="5BE6155F">
      <w:pPr>
        <w:pStyle w:val="27"/>
        <w:rPr>
          <w:color w:val="auto"/>
        </w:rPr>
      </w:pPr>
    </w:p>
    <w:p w14:paraId="213552B7">
      <w:pPr>
        <w:jc w:val="center"/>
        <w:rPr>
          <w:rFonts w:hint="eastAsia" w:ascii="宋体" w:hAnsi="宋体" w:eastAsia="宋体" w:cs="宋体"/>
          <w:b/>
          <w:color w:val="auto"/>
          <w:kern w:val="36"/>
          <w:sz w:val="36"/>
          <w:szCs w:val="36"/>
          <w:lang w:eastAsia="zh-CN"/>
        </w:rPr>
      </w:pPr>
      <w:bookmarkStart w:id="390" w:name="_Toc31170"/>
      <w:r>
        <w:rPr>
          <w:rFonts w:hint="eastAsia" w:ascii="宋体" w:hAnsi="宋体" w:cs="宋体"/>
          <w:b/>
          <w:color w:val="auto"/>
          <w:kern w:val="36"/>
          <w:sz w:val="36"/>
          <w:szCs w:val="36"/>
        </w:rPr>
        <w:t>九、</w:t>
      </w:r>
      <w:bookmarkEnd w:id="389"/>
      <w:bookmarkEnd w:id="390"/>
      <w:r>
        <w:rPr>
          <w:rFonts w:hint="eastAsia" w:ascii="宋体" w:hAnsi="宋体" w:cs="宋体"/>
          <w:b/>
          <w:color w:val="auto"/>
          <w:kern w:val="36"/>
          <w:sz w:val="36"/>
          <w:szCs w:val="36"/>
          <w:lang w:eastAsia="zh-CN"/>
        </w:rPr>
        <w:t>资格审查资料</w:t>
      </w:r>
    </w:p>
    <w:p w14:paraId="3293EAB0">
      <w:pPr>
        <w:keepNext/>
        <w:keepLines/>
        <w:widowControl w:val="0"/>
        <w:spacing w:line="415" w:lineRule="auto"/>
        <w:ind w:left="210" w:leftChars="100" w:right="210" w:rightChars="100" w:firstLine="281" w:firstLineChars="100"/>
        <w:jc w:val="center"/>
        <w:textAlignment w:val="auto"/>
        <w:outlineLvl w:val="2"/>
        <w:rPr>
          <w:rFonts w:ascii="宋体" w:hAnsi="宋体" w:cs="宋体"/>
          <w:b/>
          <w:color w:val="auto"/>
          <w:kern w:val="36"/>
          <w:sz w:val="36"/>
          <w:szCs w:val="36"/>
        </w:rPr>
      </w:pPr>
      <w:bookmarkStart w:id="391" w:name="_Toc30144"/>
      <w:r>
        <w:rPr>
          <w:rFonts w:hint="eastAsia" w:ascii="宋体" w:hAnsi="宋体" w:eastAsia="宋体" w:cs="宋体"/>
          <w:b/>
          <w:bCs/>
          <w:color w:val="auto"/>
          <w:kern w:val="2"/>
          <w:sz w:val="28"/>
          <w:szCs w:val="32"/>
        </w:rPr>
        <w:t>（一）投标人基本情况表</w:t>
      </w:r>
      <w:bookmarkEnd w:id="391"/>
    </w:p>
    <w:tbl>
      <w:tblPr>
        <w:tblStyle w:val="29"/>
        <w:tblW w:w="9329" w:type="dxa"/>
        <w:jc w:val="center"/>
        <w:tblLayout w:type="fixed"/>
        <w:tblCellMar>
          <w:top w:w="0" w:type="dxa"/>
          <w:left w:w="108" w:type="dxa"/>
          <w:bottom w:w="0" w:type="dxa"/>
          <w:right w:w="108" w:type="dxa"/>
        </w:tblCellMar>
      </w:tblPr>
      <w:tblGrid>
        <w:gridCol w:w="2111"/>
        <w:gridCol w:w="1135"/>
        <w:gridCol w:w="2123"/>
        <w:gridCol w:w="1698"/>
        <w:gridCol w:w="2262"/>
      </w:tblGrid>
      <w:tr w14:paraId="1BB1D803">
        <w:tblPrEx>
          <w:tblCellMar>
            <w:top w:w="0" w:type="dxa"/>
            <w:left w:w="108" w:type="dxa"/>
            <w:bottom w:w="0" w:type="dxa"/>
            <w:right w:w="108" w:type="dxa"/>
          </w:tblCellMar>
        </w:tblPrEx>
        <w:trPr>
          <w:trHeight w:val="76" w:hRule="atLeast"/>
          <w:jc w:val="center"/>
        </w:trPr>
        <w:tc>
          <w:tcPr>
            <w:tcW w:w="2111" w:type="dxa"/>
            <w:tcBorders>
              <w:top w:val="single" w:color="auto" w:sz="4" w:space="0"/>
              <w:left w:val="single" w:color="auto" w:sz="4" w:space="0"/>
              <w:bottom w:val="single" w:color="auto" w:sz="4" w:space="0"/>
              <w:right w:val="single" w:color="auto" w:sz="4" w:space="0"/>
            </w:tcBorders>
            <w:vAlign w:val="center"/>
          </w:tcPr>
          <w:p w14:paraId="5E012DF0">
            <w:pPr>
              <w:widowControl w:val="0"/>
              <w:spacing w:line="360" w:lineRule="auto"/>
              <w:jc w:val="center"/>
              <w:textAlignment w:val="auto"/>
              <w:rPr>
                <w:rFonts w:ascii="宋体" w:hAnsi="宋体" w:eastAsia="宋体" w:cs="宋体"/>
                <w:color w:val="auto"/>
                <w:kern w:val="2"/>
                <w:sz w:val="26"/>
                <w:szCs w:val="28"/>
              </w:rPr>
            </w:pPr>
            <w:bookmarkStart w:id="392" w:name="_Toc321831166"/>
            <w:r>
              <w:rPr>
                <w:rFonts w:hint="eastAsia" w:ascii="宋体" w:hAnsi="宋体" w:eastAsia="宋体" w:cs="宋体"/>
                <w:color w:val="auto"/>
                <w:kern w:val="2"/>
                <w:sz w:val="26"/>
                <w:szCs w:val="28"/>
              </w:rPr>
              <w:t>投标人名称</w:t>
            </w:r>
            <w:bookmarkEnd w:id="392"/>
          </w:p>
        </w:tc>
        <w:tc>
          <w:tcPr>
            <w:tcW w:w="3258" w:type="dxa"/>
            <w:gridSpan w:val="2"/>
            <w:tcBorders>
              <w:top w:val="single" w:color="auto" w:sz="4" w:space="0"/>
              <w:left w:val="nil"/>
              <w:bottom w:val="single" w:color="auto" w:sz="4" w:space="0"/>
              <w:right w:val="nil"/>
            </w:tcBorders>
            <w:vAlign w:val="center"/>
          </w:tcPr>
          <w:p w14:paraId="14A8CDC8">
            <w:pPr>
              <w:widowControl w:val="0"/>
              <w:spacing w:line="360" w:lineRule="auto"/>
              <w:jc w:val="center"/>
              <w:textAlignment w:val="auto"/>
              <w:rPr>
                <w:rFonts w:ascii="宋体" w:hAnsi="宋体" w:eastAsia="宋体" w:cs="宋体"/>
                <w:color w:val="auto"/>
                <w:kern w:val="2"/>
                <w:sz w:val="26"/>
                <w:szCs w:val="28"/>
              </w:rPr>
            </w:pPr>
          </w:p>
        </w:tc>
        <w:tc>
          <w:tcPr>
            <w:tcW w:w="1698" w:type="dxa"/>
            <w:tcBorders>
              <w:top w:val="single" w:color="auto" w:sz="4" w:space="0"/>
              <w:left w:val="single" w:color="auto" w:sz="4" w:space="0"/>
              <w:bottom w:val="single" w:color="auto" w:sz="4" w:space="0"/>
              <w:right w:val="nil"/>
            </w:tcBorders>
            <w:vAlign w:val="center"/>
          </w:tcPr>
          <w:p w14:paraId="4E2A172F">
            <w:pPr>
              <w:widowControl w:val="0"/>
              <w:spacing w:line="360" w:lineRule="auto"/>
              <w:jc w:val="center"/>
              <w:textAlignment w:val="auto"/>
              <w:rPr>
                <w:rFonts w:ascii="宋体" w:hAnsi="宋体" w:eastAsia="宋体" w:cs="宋体"/>
                <w:color w:val="auto"/>
                <w:kern w:val="2"/>
                <w:sz w:val="26"/>
                <w:szCs w:val="28"/>
              </w:rPr>
            </w:pPr>
            <w:r>
              <w:rPr>
                <w:rFonts w:hint="eastAsia" w:ascii="宋体" w:hAnsi="宋体" w:eastAsia="宋体" w:cs="宋体"/>
                <w:color w:val="auto"/>
                <w:kern w:val="2"/>
                <w:sz w:val="26"/>
                <w:szCs w:val="28"/>
              </w:rPr>
              <w:t>注册地址</w:t>
            </w:r>
          </w:p>
        </w:tc>
        <w:tc>
          <w:tcPr>
            <w:tcW w:w="2262" w:type="dxa"/>
            <w:tcBorders>
              <w:top w:val="single" w:color="auto" w:sz="4" w:space="0"/>
              <w:left w:val="single" w:color="auto" w:sz="4" w:space="0"/>
              <w:bottom w:val="single" w:color="auto" w:sz="4" w:space="0"/>
              <w:right w:val="single" w:color="auto" w:sz="8" w:space="0"/>
            </w:tcBorders>
            <w:vAlign w:val="center"/>
          </w:tcPr>
          <w:p w14:paraId="03F46F7F">
            <w:pPr>
              <w:widowControl w:val="0"/>
              <w:spacing w:line="360" w:lineRule="auto"/>
              <w:jc w:val="center"/>
              <w:textAlignment w:val="auto"/>
              <w:rPr>
                <w:rFonts w:ascii="宋体" w:hAnsi="宋体" w:eastAsia="宋体" w:cs="宋体"/>
                <w:color w:val="auto"/>
                <w:kern w:val="2"/>
                <w:sz w:val="26"/>
                <w:szCs w:val="28"/>
              </w:rPr>
            </w:pPr>
          </w:p>
        </w:tc>
      </w:tr>
      <w:tr w14:paraId="4792C890">
        <w:tblPrEx>
          <w:tblCellMar>
            <w:top w:w="0" w:type="dxa"/>
            <w:left w:w="108" w:type="dxa"/>
            <w:bottom w:w="0" w:type="dxa"/>
            <w:right w:w="108" w:type="dxa"/>
          </w:tblCellMar>
        </w:tblPrEx>
        <w:trPr>
          <w:trHeight w:val="506" w:hRule="atLeast"/>
          <w:jc w:val="center"/>
        </w:trPr>
        <w:tc>
          <w:tcPr>
            <w:tcW w:w="2111" w:type="dxa"/>
            <w:vMerge w:val="restart"/>
            <w:tcBorders>
              <w:top w:val="nil"/>
              <w:left w:val="single" w:color="auto" w:sz="4" w:space="0"/>
              <w:bottom w:val="single" w:color="auto" w:sz="4" w:space="0"/>
              <w:right w:val="single" w:color="auto" w:sz="4" w:space="0"/>
            </w:tcBorders>
            <w:vAlign w:val="center"/>
          </w:tcPr>
          <w:p w14:paraId="243DC9EC">
            <w:pPr>
              <w:widowControl w:val="0"/>
              <w:spacing w:line="360" w:lineRule="auto"/>
              <w:jc w:val="center"/>
              <w:textAlignment w:val="auto"/>
              <w:rPr>
                <w:rFonts w:ascii="宋体" w:hAnsi="宋体" w:eastAsia="宋体" w:cs="宋体"/>
                <w:color w:val="auto"/>
                <w:kern w:val="2"/>
                <w:sz w:val="26"/>
                <w:szCs w:val="28"/>
              </w:rPr>
            </w:pPr>
            <w:r>
              <w:rPr>
                <w:rFonts w:hint="eastAsia" w:ascii="宋体" w:hAnsi="宋体" w:eastAsia="宋体" w:cs="宋体"/>
                <w:color w:val="auto"/>
                <w:kern w:val="2"/>
                <w:sz w:val="26"/>
                <w:szCs w:val="28"/>
              </w:rPr>
              <w:t>联系人</w:t>
            </w:r>
          </w:p>
        </w:tc>
        <w:tc>
          <w:tcPr>
            <w:tcW w:w="3258" w:type="dxa"/>
            <w:gridSpan w:val="2"/>
            <w:vMerge w:val="restart"/>
            <w:tcBorders>
              <w:top w:val="single" w:color="auto" w:sz="4" w:space="0"/>
              <w:left w:val="nil"/>
              <w:right w:val="single" w:color="auto" w:sz="4" w:space="0"/>
            </w:tcBorders>
            <w:vAlign w:val="center"/>
          </w:tcPr>
          <w:p w14:paraId="71016E16">
            <w:pPr>
              <w:widowControl w:val="0"/>
              <w:spacing w:line="360" w:lineRule="auto"/>
              <w:jc w:val="center"/>
              <w:textAlignment w:val="auto"/>
              <w:rPr>
                <w:rFonts w:ascii="宋体" w:hAnsi="宋体" w:eastAsia="宋体" w:cs="宋体"/>
                <w:color w:val="auto"/>
                <w:kern w:val="2"/>
                <w:sz w:val="26"/>
                <w:szCs w:val="28"/>
              </w:rPr>
            </w:pPr>
          </w:p>
        </w:tc>
        <w:tc>
          <w:tcPr>
            <w:tcW w:w="1698" w:type="dxa"/>
            <w:tcBorders>
              <w:top w:val="single" w:color="auto" w:sz="4" w:space="0"/>
              <w:left w:val="nil"/>
              <w:bottom w:val="single" w:color="auto" w:sz="4" w:space="0"/>
              <w:right w:val="single" w:color="auto" w:sz="4" w:space="0"/>
            </w:tcBorders>
            <w:vAlign w:val="center"/>
          </w:tcPr>
          <w:p w14:paraId="33DFB62F">
            <w:pPr>
              <w:widowControl w:val="0"/>
              <w:spacing w:line="360" w:lineRule="auto"/>
              <w:jc w:val="center"/>
              <w:textAlignment w:val="auto"/>
              <w:rPr>
                <w:rFonts w:ascii="宋体" w:hAnsi="宋体" w:eastAsia="宋体" w:cs="宋体"/>
                <w:color w:val="auto"/>
                <w:kern w:val="2"/>
                <w:sz w:val="26"/>
                <w:szCs w:val="28"/>
              </w:rPr>
            </w:pPr>
            <w:r>
              <w:rPr>
                <w:rFonts w:hint="eastAsia" w:ascii="宋体" w:hAnsi="宋体" w:eastAsia="宋体" w:cs="宋体"/>
                <w:color w:val="auto"/>
                <w:kern w:val="2"/>
                <w:sz w:val="26"/>
                <w:szCs w:val="28"/>
              </w:rPr>
              <w:t>联系电话</w:t>
            </w:r>
          </w:p>
        </w:tc>
        <w:tc>
          <w:tcPr>
            <w:tcW w:w="2262" w:type="dxa"/>
            <w:tcBorders>
              <w:top w:val="single" w:color="auto" w:sz="4" w:space="0"/>
              <w:left w:val="nil"/>
              <w:bottom w:val="single" w:color="auto" w:sz="4" w:space="0"/>
              <w:right w:val="single" w:color="auto" w:sz="8" w:space="0"/>
            </w:tcBorders>
            <w:vAlign w:val="center"/>
          </w:tcPr>
          <w:p w14:paraId="5B572903">
            <w:pPr>
              <w:widowControl w:val="0"/>
              <w:spacing w:line="360" w:lineRule="auto"/>
              <w:jc w:val="center"/>
              <w:textAlignment w:val="auto"/>
              <w:rPr>
                <w:rFonts w:ascii="宋体" w:hAnsi="宋体" w:eastAsia="宋体" w:cs="宋体"/>
                <w:color w:val="auto"/>
                <w:kern w:val="2"/>
                <w:sz w:val="26"/>
                <w:szCs w:val="28"/>
              </w:rPr>
            </w:pPr>
          </w:p>
        </w:tc>
      </w:tr>
      <w:tr w14:paraId="55F21695">
        <w:tblPrEx>
          <w:tblCellMar>
            <w:top w:w="0" w:type="dxa"/>
            <w:left w:w="108" w:type="dxa"/>
            <w:bottom w:w="0" w:type="dxa"/>
            <w:right w:w="108" w:type="dxa"/>
          </w:tblCellMar>
        </w:tblPrEx>
        <w:trPr>
          <w:trHeight w:val="522" w:hRule="atLeast"/>
          <w:jc w:val="center"/>
        </w:trPr>
        <w:tc>
          <w:tcPr>
            <w:tcW w:w="2111" w:type="dxa"/>
            <w:vMerge w:val="continue"/>
            <w:tcBorders>
              <w:top w:val="nil"/>
              <w:left w:val="single" w:color="auto" w:sz="4" w:space="0"/>
              <w:bottom w:val="single" w:color="auto" w:sz="4" w:space="0"/>
              <w:right w:val="single" w:color="auto" w:sz="4" w:space="0"/>
            </w:tcBorders>
            <w:vAlign w:val="center"/>
          </w:tcPr>
          <w:p w14:paraId="6EAEA1E7">
            <w:pPr>
              <w:widowControl w:val="0"/>
              <w:spacing w:line="360" w:lineRule="auto"/>
              <w:jc w:val="center"/>
              <w:textAlignment w:val="auto"/>
              <w:rPr>
                <w:rFonts w:ascii="宋体" w:hAnsi="宋体" w:eastAsia="宋体" w:cs="宋体"/>
                <w:color w:val="auto"/>
                <w:kern w:val="2"/>
                <w:sz w:val="26"/>
                <w:szCs w:val="28"/>
              </w:rPr>
            </w:pPr>
          </w:p>
        </w:tc>
        <w:tc>
          <w:tcPr>
            <w:tcW w:w="3258" w:type="dxa"/>
            <w:gridSpan w:val="2"/>
            <w:vMerge w:val="continue"/>
            <w:tcBorders>
              <w:left w:val="nil"/>
              <w:bottom w:val="single" w:color="auto" w:sz="4" w:space="0"/>
              <w:right w:val="single" w:color="auto" w:sz="4" w:space="0"/>
            </w:tcBorders>
            <w:vAlign w:val="center"/>
          </w:tcPr>
          <w:p w14:paraId="21DB333F">
            <w:pPr>
              <w:widowControl w:val="0"/>
              <w:spacing w:line="360" w:lineRule="auto"/>
              <w:jc w:val="center"/>
              <w:textAlignment w:val="auto"/>
              <w:rPr>
                <w:rFonts w:ascii="宋体" w:hAnsi="宋体" w:eastAsia="宋体" w:cs="宋体"/>
                <w:color w:val="auto"/>
                <w:kern w:val="2"/>
                <w:sz w:val="26"/>
                <w:szCs w:val="28"/>
              </w:rPr>
            </w:pPr>
          </w:p>
        </w:tc>
        <w:tc>
          <w:tcPr>
            <w:tcW w:w="1698" w:type="dxa"/>
            <w:tcBorders>
              <w:top w:val="single" w:color="auto" w:sz="4" w:space="0"/>
              <w:left w:val="nil"/>
              <w:bottom w:val="single" w:color="auto" w:sz="4" w:space="0"/>
              <w:right w:val="single" w:color="auto" w:sz="4" w:space="0"/>
            </w:tcBorders>
            <w:vAlign w:val="center"/>
          </w:tcPr>
          <w:p w14:paraId="5FB1A8A6">
            <w:pPr>
              <w:widowControl w:val="0"/>
              <w:spacing w:line="360" w:lineRule="auto"/>
              <w:jc w:val="center"/>
              <w:textAlignment w:val="auto"/>
              <w:rPr>
                <w:rFonts w:ascii="宋体" w:hAnsi="宋体" w:eastAsia="宋体" w:cs="宋体"/>
                <w:color w:val="auto"/>
                <w:kern w:val="2"/>
                <w:sz w:val="26"/>
                <w:szCs w:val="28"/>
              </w:rPr>
            </w:pPr>
            <w:r>
              <w:rPr>
                <w:rFonts w:hint="eastAsia" w:ascii="宋体" w:hAnsi="宋体" w:eastAsia="宋体" w:cs="宋体"/>
                <w:color w:val="auto"/>
                <w:kern w:val="2"/>
                <w:sz w:val="26"/>
                <w:szCs w:val="28"/>
              </w:rPr>
              <w:t>电子邮箱</w:t>
            </w:r>
          </w:p>
        </w:tc>
        <w:tc>
          <w:tcPr>
            <w:tcW w:w="2262" w:type="dxa"/>
            <w:tcBorders>
              <w:top w:val="single" w:color="auto" w:sz="4" w:space="0"/>
              <w:left w:val="nil"/>
              <w:bottom w:val="single" w:color="auto" w:sz="4" w:space="0"/>
              <w:right w:val="single" w:color="auto" w:sz="8" w:space="0"/>
            </w:tcBorders>
            <w:vAlign w:val="center"/>
          </w:tcPr>
          <w:p w14:paraId="0934878D">
            <w:pPr>
              <w:widowControl w:val="0"/>
              <w:spacing w:line="360" w:lineRule="auto"/>
              <w:jc w:val="center"/>
              <w:textAlignment w:val="auto"/>
              <w:rPr>
                <w:rFonts w:ascii="宋体" w:hAnsi="宋体" w:eastAsia="宋体" w:cs="宋体"/>
                <w:color w:val="auto"/>
                <w:kern w:val="2"/>
                <w:sz w:val="26"/>
                <w:szCs w:val="28"/>
              </w:rPr>
            </w:pPr>
          </w:p>
        </w:tc>
      </w:tr>
      <w:tr w14:paraId="1263891C">
        <w:tblPrEx>
          <w:tblCellMar>
            <w:top w:w="0" w:type="dxa"/>
            <w:left w:w="108" w:type="dxa"/>
            <w:bottom w:w="0" w:type="dxa"/>
            <w:right w:w="108" w:type="dxa"/>
          </w:tblCellMar>
        </w:tblPrEx>
        <w:trPr>
          <w:trHeight w:val="506" w:hRule="atLeast"/>
          <w:jc w:val="center"/>
        </w:trPr>
        <w:tc>
          <w:tcPr>
            <w:tcW w:w="2111" w:type="dxa"/>
            <w:tcBorders>
              <w:top w:val="single" w:color="auto" w:sz="4" w:space="0"/>
              <w:left w:val="single" w:color="auto" w:sz="4" w:space="0"/>
              <w:bottom w:val="single" w:color="auto" w:sz="4" w:space="0"/>
              <w:right w:val="single" w:color="auto" w:sz="4" w:space="0"/>
            </w:tcBorders>
            <w:vAlign w:val="center"/>
          </w:tcPr>
          <w:p w14:paraId="4E4EA9C4">
            <w:pPr>
              <w:widowControl w:val="0"/>
              <w:spacing w:line="360" w:lineRule="auto"/>
              <w:jc w:val="center"/>
              <w:textAlignment w:val="auto"/>
              <w:rPr>
                <w:rFonts w:ascii="宋体" w:hAnsi="宋体" w:eastAsia="宋体" w:cs="宋体"/>
                <w:color w:val="auto"/>
                <w:kern w:val="2"/>
                <w:sz w:val="26"/>
                <w:szCs w:val="28"/>
              </w:rPr>
            </w:pPr>
            <w:r>
              <w:rPr>
                <w:rFonts w:hint="eastAsia" w:ascii="宋体" w:hAnsi="宋体" w:eastAsia="宋体" w:cs="宋体"/>
                <w:color w:val="auto"/>
                <w:kern w:val="2"/>
                <w:sz w:val="26"/>
                <w:szCs w:val="28"/>
              </w:rPr>
              <w:t>法定代表人</w:t>
            </w:r>
          </w:p>
        </w:tc>
        <w:tc>
          <w:tcPr>
            <w:tcW w:w="1135" w:type="dxa"/>
            <w:tcBorders>
              <w:top w:val="single" w:color="auto" w:sz="4" w:space="0"/>
              <w:left w:val="nil"/>
              <w:bottom w:val="single" w:color="auto" w:sz="4" w:space="0"/>
              <w:right w:val="single" w:color="auto" w:sz="4" w:space="0"/>
            </w:tcBorders>
            <w:vAlign w:val="center"/>
          </w:tcPr>
          <w:p w14:paraId="7FFAD864">
            <w:pPr>
              <w:widowControl w:val="0"/>
              <w:spacing w:line="360" w:lineRule="auto"/>
              <w:jc w:val="center"/>
              <w:textAlignment w:val="auto"/>
              <w:rPr>
                <w:rFonts w:ascii="宋体" w:hAnsi="宋体" w:eastAsia="宋体" w:cs="宋体"/>
                <w:color w:val="auto"/>
                <w:kern w:val="2"/>
                <w:sz w:val="26"/>
                <w:szCs w:val="28"/>
              </w:rPr>
            </w:pPr>
            <w:r>
              <w:rPr>
                <w:rFonts w:hint="eastAsia" w:ascii="宋体" w:hAnsi="宋体" w:eastAsia="宋体" w:cs="宋体"/>
                <w:color w:val="auto"/>
                <w:kern w:val="2"/>
                <w:sz w:val="26"/>
                <w:szCs w:val="28"/>
              </w:rPr>
              <w:t>姓名</w:t>
            </w:r>
          </w:p>
        </w:tc>
        <w:tc>
          <w:tcPr>
            <w:tcW w:w="2123" w:type="dxa"/>
            <w:tcBorders>
              <w:top w:val="single" w:color="auto" w:sz="4" w:space="0"/>
              <w:left w:val="nil"/>
              <w:bottom w:val="single" w:color="auto" w:sz="4" w:space="0"/>
              <w:right w:val="single" w:color="auto" w:sz="4" w:space="0"/>
            </w:tcBorders>
            <w:vAlign w:val="center"/>
          </w:tcPr>
          <w:p w14:paraId="0E071AEA">
            <w:pPr>
              <w:widowControl w:val="0"/>
              <w:spacing w:line="360" w:lineRule="auto"/>
              <w:jc w:val="center"/>
              <w:textAlignment w:val="auto"/>
              <w:rPr>
                <w:rFonts w:ascii="宋体" w:hAnsi="宋体" w:eastAsia="宋体" w:cs="宋体"/>
                <w:color w:val="auto"/>
                <w:kern w:val="2"/>
                <w:sz w:val="26"/>
                <w:szCs w:val="28"/>
              </w:rPr>
            </w:pPr>
          </w:p>
        </w:tc>
        <w:tc>
          <w:tcPr>
            <w:tcW w:w="1698" w:type="dxa"/>
            <w:tcBorders>
              <w:top w:val="single" w:color="auto" w:sz="4" w:space="0"/>
              <w:left w:val="nil"/>
              <w:bottom w:val="single" w:color="auto" w:sz="4" w:space="0"/>
              <w:right w:val="single" w:color="auto" w:sz="4" w:space="0"/>
            </w:tcBorders>
            <w:vAlign w:val="center"/>
          </w:tcPr>
          <w:p w14:paraId="25A90E26">
            <w:pPr>
              <w:widowControl w:val="0"/>
              <w:spacing w:line="360" w:lineRule="auto"/>
              <w:jc w:val="center"/>
              <w:textAlignment w:val="auto"/>
              <w:rPr>
                <w:rFonts w:ascii="宋体" w:hAnsi="宋体" w:eastAsia="宋体" w:cs="宋体"/>
                <w:color w:val="auto"/>
                <w:kern w:val="2"/>
                <w:sz w:val="26"/>
                <w:szCs w:val="28"/>
              </w:rPr>
            </w:pPr>
            <w:r>
              <w:rPr>
                <w:rFonts w:hint="eastAsia" w:ascii="宋体" w:hAnsi="宋体" w:eastAsia="宋体" w:cs="宋体"/>
                <w:color w:val="auto"/>
                <w:kern w:val="2"/>
                <w:sz w:val="26"/>
                <w:szCs w:val="28"/>
              </w:rPr>
              <w:t>职务</w:t>
            </w:r>
          </w:p>
        </w:tc>
        <w:tc>
          <w:tcPr>
            <w:tcW w:w="2262" w:type="dxa"/>
            <w:tcBorders>
              <w:top w:val="single" w:color="auto" w:sz="4" w:space="0"/>
              <w:left w:val="nil"/>
              <w:bottom w:val="single" w:color="auto" w:sz="4" w:space="0"/>
              <w:right w:val="single" w:color="auto" w:sz="8" w:space="0"/>
            </w:tcBorders>
            <w:vAlign w:val="center"/>
          </w:tcPr>
          <w:p w14:paraId="052EA34F">
            <w:pPr>
              <w:widowControl w:val="0"/>
              <w:spacing w:line="360" w:lineRule="auto"/>
              <w:jc w:val="center"/>
              <w:textAlignment w:val="auto"/>
              <w:rPr>
                <w:rFonts w:ascii="宋体" w:hAnsi="宋体" w:eastAsia="宋体" w:cs="宋体"/>
                <w:color w:val="auto"/>
                <w:kern w:val="2"/>
                <w:sz w:val="26"/>
                <w:szCs w:val="28"/>
              </w:rPr>
            </w:pPr>
          </w:p>
        </w:tc>
      </w:tr>
      <w:tr w14:paraId="2ABB0612">
        <w:tblPrEx>
          <w:tblCellMar>
            <w:top w:w="0" w:type="dxa"/>
            <w:left w:w="108" w:type="dxa"/>
            <w:bottom w:w="0" w:type="dxa"/>
            <w:right w:w="108" w:type="dxa"/>
          </w:tblCellMar>
        </w:tblPrEx>
        <w:trPr>
          <w:trHeight w:val="457" w:hRule="atLeast"/>
          <w:jc w:val="center"/>
        </w:trPr>
        <w:tc>
          <w:tcPr>
            <w:tcW w:w="2111" w:type="dxa"/>
            <w:tcBorders>
              <w:top w:val="single" w:color="auto" w:sz="4" w:space="0"/>
              <w:left w:val="single" w:color="auto" w:sz="8" w:space="0"/>
              <w:bottom w:val="single" w:color="auto" w:sz="4" w:space="0"/>
              <w:right w:val="single" w:color="auto" w:sz="4" w:space="0"/>
            </w:tcBorders>
            <w:vAlign w:val="center"/>
          </w:tcPr>
          <w:p w14:paraId="5C2CFE37">
            <w:pPr>
              <w:widowControl w:val="0"/>
              <w:spacing w:line="360" w:lineRule="auto"/>
              <w:jc w:val="center"/>
              <w:textAlignment w:val="auto"/>
              <w:rPr>
                <w:rFonts w:ascii="宋体" w:hAnsi="宋体" w:eastAsia="宋体" w:cs="宋体"/>
                <w:color w:val="auto"/>
                <w:kern w:val="2"/>
                <w:sz w:val="26"/>
                <w:szCs w:val="28"/>
              </w:rPr>
            </w:pPr>
            <w:r>
              <w:rPr>
                <w:rFonts w:hint="eastAsia" w:ascii="宋体" w:hAnsi="宋体" w:eastAsia="宋体" w:cs="宋体"/>
                <w:color w:val="auto"/>
                <w:kern w:val="2"/>
                <w:sz w:val="26"/>
                <w:szCs w:val="28"/>
              </w:rPr>
              <w:t>单位性质</w:t>
            </w:r>
          </w:p>
        </w:tc>
        <w:tc>
          <w:tcPr>
            <w:tcW w:w="3258" w:type="dxa"/>
            <w:gridSpan w:val="2"/>
            <w:tcBorders>
              <w:top w:val="single" w:color="auto" w:sz="4" w:space="0"/>
              <w:left w:val="nil"/>
              <w:bottom w:val="single" w:color="auto" w:sz="4" w:space="0"/>
              <w:right w:val="single" w:color="auto" w:sz="4" w:space="0"/>
            </w:tcBorders>
            <w:vAlign w:val="center"/>
          </w:tcPr>
          <w:p w14:paraId="32B9D306">
            <w:pPr>
              <w:widowControl w:val="0"/>
              <w:spacing w:line="360" w:lineRule="auto"/>
              <w:jc w:val="center"/>
              <w:textAlignment w:val="auto"/>
              <w:rPr>
                <w:rFonts w:ascii="宋体" w:hAnsi="宋体" w:eastAsia="宋体" w:cs="宋体"/>
                <w:color w:val="auto"/>
                <w:kern w:val="2"/>
                <w:sz w:val="26"/>
                <w:szCs w:val="28"/>
              </w:rPr>
            </w:pPr>
          </w:p>
        </w:tc>
        <w:tc>
          <w:tcPr>
            <w:tcW w:w="1698" w:type="dxa"/>
            <w:tcBorders>
              <w:top w:val="single" w:color="auto" w:sz="4" w:space="0"/>
              <w:left w:val="nil"/>
              <w:bottom w:val="single" w:color="auto" w:sz="4" w:space="0"/>
              <w:right w:val="single" w:color="auto" w:sz="4" w:space="0"/>
            </w:tcBorders>
            <w:vAlign w:val="center"/>
          </w:tcPr>
          <w:p w14:paraId="0E54844A">
            <w:pPr>
              <w:widowControl w:val="0"/>
              <w:spacing w:line="360" w:lineRule="auto"/>
              <w:jc w:val="center"/>
              <w:textAlignment w:val="auto"/>
              <w:rPr>
                <w:rFonts w:ascii="宋体" w:hAnsi="宋体" w:eastAsia="宋体" w:cs="宋体"/>
                <w:color w:val="auto"/>
                <w:kern w:val="2"/>
                <w:sz w:val="26"/>
                <w:szCs w:val="28"/>
              </w:rPr>
            </w:pPr>
            <w:r>
              <w:rPr>
                <w:rFonts w:hint="eastAsia" w:ascii="宋体" w:hAnsi="宋体" w:eastAsia="宋体" w:cs="宋体"/>
                <w:color w:val="auto"/>
                <w:kern w:val="2"/>
                <w:sz w:val="26"/>
                <w:szCs w:val="28"/>
              </w:rPr>
              <w:t>成立时间</w:t>
            </w:r>
          </w:p>
        </w:tc>
        <w:tc>
          <w:tcPr>
            <w:tcW w:w="2262" w:type="dxa"/>
            <w:tcBorders>
              <w:top w:val="single" w:color="auto" w:sz="4" w:space="0"/>
              <w:left w:val="nil"/>
              <w:bottom w:val="single" w:color="auto" w:sz="4" w:space="0"/>
              <w:right w:val="single" w:color="auto" w:sz="8" w:space="0"/>
            </w:tcBorders>
            <w:vAlign w:val="center"/>
          </w:tcPr>
          <w:p w14:paraId="3AC57770">
            <w:pPr>
              <w:widowControl w:val="0"/>
              <w:spacing w:line="360" w:lineRule="auto"/>
              <w:jc w:val="center"/>
              <w:textAlignment w:val="auto"/>
              <w:rPr>
                <w:rFonts w:ascii="宋体" w:hAnsi="宋体" w:eastAsia="宋体" w:cs="宋体"/>
                <w:color w:val="auto"/>
                <w:kern w:val="2"/>
                <w:sz w:val="26"/>
                <w:szCs w:val="28"/>
              </w:rPr>
            </w:pPr>
          </w:p>
        </w:tc>
      </w:tr>
      <w:tr w14:paraId="3567D21A">
        <w:tblPrEx>
          <w:tblCellMar>
            <w:top w:w="0" w:type="dxa"/>
            <w:left w:w="108" w:type="dxa"/>
            <w:bottom w:w="0" w:type="dxa"/>
            <w:right w:w="108" w:type="dxa"/>
          </w:tblCellMar>
        </w:tblPrEx>
        <w:trPr>
          <w:trHeight w:val="457" w:hRule="atLeast"/>
          <w:jc w:val="center"/>
        </w:trPr>
        <w:tc>
          <w:tcPr>
            <w:tcW w:w="2111" w:type="dxa"/>
            <w:tcBorders>
              <w:top w:val="single" w:color="auto" w:sz="4" w:space="0"/>
              <w:left w:val="single" w:color="auto" w:sz="8" w:space="0"/>
              <w:bottom w:val="single" w:color="auto" w:sz="4" w:space="0"/>
              <w:right w:val="single" w:color="auto" w:sz="4" w:space="0"/>
            </w:tcBorders>
            <w:vAlign w:val="center"/>
          </w:tcPr>
          <w:p w14:paraId="25F6AAAD">
            <w:pPr>
              <w:widowControl w:val="0"/>
              <w:spacing w:line="360" w:lineRule="auto"/>
              <w:jc w:val="center"/>
              <w:textAlignment w:val="auto"/>
              <w:rPr>
                <w:rFonts w:ascii="宋体" w:hAnsi="宋体" w:eastAsia="宋体" w:cs="宋体"/>
                <w:color w:val="auto"/>
                <w:kern w:val="2"/>
                <w:sz w:val="26"/>
                <w:szCs w:val="28"/>
              </w:rPr>
            </w:pPr>
            <w:r>
              <w:rPr>
                <w:rFonts w:hint="eastAsia" w:ascii="宋体" w:hAnsi="宋体" w:eastAsia="宋体" w:cs="宋体"/>
                <w:color w:val="auto"/>
                <w:kern w:val="2"/>
                <w:sz w:val="26"/>
                <w:szCs w:val="28"/>
              </w:rPr>
              <w:t>经营范围</w:t>
            </w:r>
          </w:p>
        </w:tc>
        <w:tc>
          <w:tcPr>
            <w:tcW w:w="3258" w:type="dxa"/>
            <w:gridSpan w:val="2"/>
            <w:tcBorders>
              <w:top w:val="single" w:color="auto" w:sz="4" w:space="0"/>
              <w:left w:val="nil"/>
              <w:bottom w:val="single" w:color="auto" w:sz="4" w:space="0"/>
              <w:right w:val="single" w:color="auto" w:sz="4" w:space="0"/>
            </w:tcBorders>
            <w:vAlign w:val="center"/>
          </w:tcPr>
          <w:p w14:paraId="7C944AC2">
            <w:pPr>
              <w:widowControl w:val="0"/>
              <w:spacing w:line="360" w:lineRule="auto"/>
              <w:jc w:val="center"/>
              <w:textAlignment w:val="auto"/>
              <w:rPr>
                <w:rFonts w:ascii="宋体" w:hAnsi="宋体" w:eastAsia="宋体" w:cs="宋体"/>
                <w:color w:val="auto"/>
                <w:kern w:val="2"/>
                <w:sz w:val="26"/>
                <w:szCs w:val="28"/>
              </w:rPr>
            </w:pPr>
          </w:p>
        </w:tc>
        <w:tc>
          <w:tcPr>
            <w:tcW w:w="1698" w:type="dxa"/>
            <w:tcBorders>
              <w:top w:val="single" w:color="auto" w:sz="4" w:space="0"/>
              <w:left w:val="nil"/>
              <w:bottom w:val="single" w:color="auto" w:sz="4" w:space="0"/>
              <w:right w:val="single" w:color="auto" w:sz="4" w:space="0"/>
            </w:tcBorders>
            <w:vAlign w:val="center"/>
          </w:tcPr>
          <w:p w14:paraId="5FC300A0">
            <w:pPr>
              <w:widowControl w:val="0"/>
              <w:spacing w:line="360" w:lineRule="auto"/>
              <w:jc w:val="center"/>
              <w:textAlignment w:val="auto"/>
              <w:rPr>
                <w:rFonts w:ascii="宋体" w:hAnsi="宋体" w:eastAsia="宋体" w:cs="宋体"/>
                <w:color w:val="auto"/>
                <w:kern w:val="2"/>
                <w:sz w:val="26"/>
                <w:szCs w:val="28"/>
              </w:rPr>
            </w:pPr>
            <w:r>
              <w:rPr>
                <w:rFonts w:hint="eastAsia" w:ascii="宋体" w:hAnsi="宋体" w:eastAsia="宋体" w:cs="宋体"/>
                <w:color w:val="auto"/>
                <w:kern w:val="2"/>
                <w:sz w:val="26"/>
                <w:szCs w:val="28"/>
              </w:rPr>
              <w:t>注册资金</w:t>
            </w:r>
          </w:p>
        </w:tc>
        <w:tc>
          <w:tcPr>
            <w:tcW w:w="2262" w:type="dxa"/>
            <w:tcBorders>
              <w:top w:val="single" w:color="auto" w:sz="4" w:space="0"/>
              <w:left w:val="nil"/>
              <w:bottom w:val="single" w:color="auto" w:sz="4" w:space="0"/>
              <w:right w:val="single" w:color="auto" w:sz="8" w:space="0"/>
            </w:tcBorders>
            <w:vAlign w:val="center"/>
          </w:tcPr>
          <w:p w14:paraId="3BD7FD58">
            <w:pPr>
              <w:widowControl w:val="0"/>
              <w:spacing w:line="360" w:lineRule="auto"/>
              <w:jc w:val="center"/>
              <w:textAlignment w:val="auto"/>
              <w:rPr>
                <w:rFonts w:ascii="宋体" w:hAnsi="宋体" w:eastAsia="宋体" w:cs="宋体"/>
                <w:color w:val="auto"/>
                <w:kern w:val="2"/>
                <w:sz w:val="26"/>
                <w:szCs w:val="28"/>
              </w:rPr>
            </w:pPr>
          </w:p>
        </w:tc>
      </w:tr>
      <w:tr w14:paraId="68D8DEBA">
        <w:tblPrEx>
          <w:tblCellMar>
            <w:top w:w="0" w:type="dxa"/>
            <w:left w:w="108" w:type="dxa"/>
            <w:bottom w:w="0" w:type="dxa"/>
            <w:right w:w="108" w:type="dxa"/>
          </w:tblCellMar>
        </w:tblPrEx>
        <w:trPr>
          <w:trHeight w:val="506" w:hRule="atLeast"/>
          <w:jc w:val="center"/>
        </w:trPr>
        <w:tc>
          <w:tcPr>
            <w:tcW w:w="2111" w:type="dxa"/>
            <w:tcBorders>
              <w:top w:val="single" w:color="auto" w:sz="4" w:space="0"/>
              <w:left w:val="single" w:color="auto" w:sz="8" w:space="0"/>
              <w:bottom w:val="single" w:color="auto" w:sz="4" w:space="0"/>
              <w:right w:val="single" w:color="auto" w:sz="4" w:space="0"/>
            </w:tcBorders>
            <w:vAlign w:val="center"/>
          </w:tcPr>
          <w:p w14:paraId="4153B90A">
            <w:pPr>
              <w:widowControl w:val="0"/>
              <w:spacing w:line="360" w:lineRule="auto"/>
              <w:jc w:val="center"/>
              <w:textAlignment w:val="auto"/>
              <w:rPr>
                <w:rFonts w:ascii="宋体" w:hAnsi="宋体" w:eastAsia="宋体" w:cs="宋体"/>
                <w:color w:val="auto"/>
                <w:kern w:val="2"/>
                <w:sz w:val="26"/>
                <w:szCs w:val="28"/>
              </w:rPr>
            </w:pPr>
            <w:r>
              <w:rPr>
                <w:rFonts w:hint="eastAsia" w:ascii="宋体" w:hAnsi="宋体" w:eastAsia="宋体" w:cs="宋体"/>
                <w:color w:val="auto"/>
                <w:kern w:val="2"/>
                <w:sz w:val="26"/>
                <w:szCs w:val="28"/>
              </w:rPr>
              <w:t>开户银行</w:t>
            </w:r>
          </w:p>
        </w:tc>
        <w:tc>
          <w:tcPr>
            <w:tcW w:w="3258" w:type="dxa"/>
            <w:gridSpan w:val="2"/>
            <w:tcBorders>
              <w:top w:val="single" w:color="auto" w:sz="4" w:space="0"/>
              <w:left w:val="nil"/>
              <w:bottom w:val="single" w:color="auto" w:sz="4" w:space="0"/>
              <w:right w:val="single" w:color="auto" w:sz="4" w:space="0"/>
            </w:tcBorders>
            <w:vAlign w:val="center"/>
          </w:tcPr>
          <w:p w14:paraId="2BD708CC">
            <w:pPr>
              <w:widowControl w:val="0"/>
              <w:spacing w:line="360" w:lineRule="auto"/>
              <w:jc w:val="center"/>
              <w:textAlignment w:val="auto"/>
              <w:rPr>
                <w:rFonts w:ascii="宋体" w:hAnsi="宋体" w:eastAsia="宋体" w:cs="宋体"/>
                <w:color w:val="auto"/>
                <w:kern w:val="2"/>
                <w:sz w:val="26"/>
                <w:szCs w:val="28"/>
              </w:rPr>
            </w:pPr>
          </w:p>
        </w:tc>
        <w:tc>
          <w:tcPr>
            <w:tcW w:w="1698" w:type="dxa"/>
            <w:tcBorders>
              <w:top w:val="single" w:color="auto" w:sz="4" w:space="0"/>
              <w:left w:val="nil"/>
              <w:bottom w:val="single" w:color="auto" w:sz="4" w:space="0"/>
              <w:right w:val="single" w:color="auto" w:sz="4" w:space="0"/>
            </w:tcBorders>
            <w:vAlign w:val="center"/>
          </w:tcPr>
          <w:p w14:paraId="22E04E79">
            <w:pPr>
              <w:widowControl w:val="0"/>
              <w:spacing w:line="360" w:lineRule="auto"/>
              <w:jc w:val="center"/>
              <w:textAlignment w:val="auto"/>
              <w:rPr>
                <w:rFonts w:ascii="宋体" w:hAnsi="宋体" w:eastAsia="宋体" w:cs="宋体"/>
                <w:color w:val="auto"/>
                <w:kern w:val="2"/>
                <w:sz w:val="26"/>
                <w:szCs w:val="28"/>
              </w:rPr>
            </w:pPr>
            <w:r>
              <w:rPr>
                <w:rFonts w:hint="eastAsia" w:ascii="宋体" w:hAnsi="宋体" w:eastAsia="宋体" w:cs="宋体"/>
                <w:color w:val="auto"/>
                <w:kern w:val="2"/>
                <w:sz w:val="26"/>
                <w:szCs w:val="28"/>
              </w:rPr>
              <w:t>开户账号</w:t>
            </w:r>
          </w:p>
        </w:tc>
        <w:tc>
          <w:tcPr>
            <w:tcW w:w="2262" w:type="dxa"/>
            <w:tcBorders>
              <w:top w:val="single" w:color="auto" w:sz="4" w:space="0"/>
              <w:left w:val="nil"/>
              <w:bottom w:val="single" w:color="auto" w:sz="4" w:space="0"/>
              <w:right w:val="single" w:color="auto" w:sz="8" w:space="0"/>
            </w:tcBorders>
            <w:vAlign w:val="center"/>
          </w:tcPr>
          <w:p w14:paraId="582E4C73">
            <w:pPr>
              <w:widowControl w:val="0"/>
              <w:spacing w:line="360" w:lineRule="auto"/>
              <w:jc w:val="center"/>
              <w:textAlignment w:val="auto"/>
              <w:rPr>
                <w:rFonts w:ascii="宋体" w:hAnsi="宋体" w:eastAsia="宋体" w:cs="宋体"/>
                <w:color w:val="auto"/>
                <w:kern w:val="2"/>
                <w:sz w:val="26"/>
                <w:szCs w:val="28"/>
              </w:rPr>
            </w:pPr>
          </w:p>
        </w:tc>
      </w:tr>
      <w:tr w14:paraId="01E9592C">
        <w:tblPrEx>
          <w:tblCellMar>
            <w:top w:w="0" w:type="dxa"/>
            <w:left w:w="108" w:type="dxa"/>
            <w:bottom w:w="0" w:type="dxa"/>
            <w:right w:w="108" w:type="dxa"/>
          </w:tblCellMar>
        </w:tblPrEx>
        <w:trPr>
          <w:cantSplit/>
          <w:trHeight w:val="76" w:hRule="atLeast"/>
          <w:jc w:val="center"/>
        </w:trPr>
        <w:tc>
          <w:tcPr>
            <w:tcW w:w="2111" w:type="dxa"/>
            <w:tcBorders>
              <w:top w:val="single" w:color="auto" w:sz="4" w:space="0"/>
              <w:left w:val="single" w:color="auto" w:sz="8" w:space="0"/>
              <w:bottom w:val="single" w:color="auto" w:sz="4" w:space="0"/>
              <w:right w:val="nil"/>
            </w:tcBorders>
            <w:vAlign w:val="center"/>
          </w:tcPr>
          <w:p w14:paraId="65F9C7D3">
            <w:pPr>
              <w:widowControl w:val="0"/>
              <w:spacing w:line="360" w:lineRule="auto"/>
              <w:jc w:val="center"/>
              <w:textAlignment w:val="auto"/>
              <w:rPr>
                <w:rFonts w:ascii="宋体" w:hAnsi="宋体" w:eastAsia="宋体" w:cs="宋体"/>
                <w:color w:val="auto"/>
                <w:kern w:val="2"/>
                <w:sz w:val="26"/>
                <w:szCs w:val="28"/>
              </w:rPr>
            </w:pPr>
            <w:r>
              <w:rPr>
                <w:rFonts w:hint="eastAsia" w:ascii="宋体" w:hAnsi="宋体" w:eastAsia="宋体" w:cs="宋体"/>
                <w:color w:val="auto"/>
                <w:kern w:val="2"/>
                <w:sz w:val="26"/>
                <w:szCs w:val="28"/>
              </w:rPr>
              <w:t>员工数量</w:t>
            </w:r>
          </w:p>
        </w:tc>
        <w:tc>
          <w:tcPr>
            <w:tcW w:w="7218" w:type="dxa"/>
            <w:gridSpan w:val="4"/>
            <w:tcBorders>
              <w:top w:val="single" w:color="auto" w:sz="4" w:space="0"/>
              <w:left w:val="single" w:color="auto" w:sz="4" w:space="0"/>
              <w:bottom w:val="single" w:color="auto" w:sz="4" w:space="0"/>
              <w:right w:val="single" w:color="auto" w:sz="8" w:space="0"/>
            </w:tcBorders>
            <w:vAlign w:val="center"/>
          </w:tcPr>
          <w:p w14:paraId="256C619E">
            <w:pPr>
              <w:widowControl w:val="0"/>
              <w:spacing w:line="360" w:lineRule="auto"/>
              <w:jc w:val="center"/>
              <w:textAlignment w:val="auto"/>
              <w:rPr>
                <w:rFonts w:ascii="宋体" w:hAnsi="宋体" w:eastAsia="宋体" w:cs="宋体"/>
                <w:color w:val="auto"/>
                <w:kern w:val="2"/>
                <w:sz w:val="26"/>
                <w:szCs w:val="28"/>
              </w:rPr>
            </w:pPr>
          </w:p>
        </w:tc>
      </w:tr>
      <w:tr w14:paraId="763C3011">
        <w:tblPrEx>
          <w:tblCellMar>
            <w:top w:w="0" w:type="dxa"/>
            <w:left w:w="108" w:type="dxa"/>
            <w:bottom w:w="0" w:type="dxa"/>
            <w:right w:w="108" w:type="dxa"/>
          </w:tblCellMar>
        </w:tblPrEx>
        <w:trPr>
          <w:trHeight w:val="506" w:hRule="atLeast"/>
          <w:jc w:val="center"/>
        </w:trPr>
        <w:tc>
          <w:tcPr>
            <w:tcW w:w="2111" w:type="dxa"/>
            <w:tcBorders>
              <w:top w:val="single" w:color="auto" w:sz="4" w:space="0"/>
              <w:left w:val="single" w:color="auto" w:sz="8" w:space="0"/>
              <w:bottom w:val="single" w:color="auto" w:sz="4" w:space="0"/>
              <w:right w:val="single" w:color="auto" w:sz="4" w:space="0"/>
            </w:tcBorders>
            <w:vAlign w:val="center"/>
          </w:tcPr>
          <w:p w14:paraId="5B2B2D97">
            <w:pPr>
              <w:widowControl w:val="0"/>
              <w:spacing w:line="360" w:lineRule="auto"/>
              <w:jc w:val="center"/>
              <w:textAlignment w:val="auto"/>
              <w:rPr>
                <w:rFonts w:ascii="宋体" w:hAnsi="宋体" w:eastAsia="宋体" w:cs="宋体"/>
                <w:color w:val="auto"/>
                <w:kern w:val="2"/>
                <w:sz w:val="26"/>
                <w:szCs w:val="28"/>
              </w:rPr>
            </w:pPr>
            <w:r>
              <w:rPr>
                <w:rFonts w:hint="eastAsia" w:ascii="宋体" w:hAnsi="宋体" w:eastAsia="宋体" w:cs="宋体"/>
                <w:color w:val="auto"/>
                <w:kern w:val="2"/>
                <w:sz w:val="26"/>
                <w:szCs w:val="28"/>
              </w:rPr>
              <w:t>隶属和/或控股情况</w:t>
            </w:r>
          </w:p>
        </w:tc>
        <w:tc>
          <w:tcPr>
            <w:tcW w:w="3258" w:type="dxa"/>
            <w:gridSpan w:val="2"/>
            <w:tcBorders>
              <w:top w:val="single" w:color="auto" w:sz="4" w:space="0"/>
              <w:left w:val="nil"/>
              <w:bottom w:val="single" w:color="auto" w:sz="4" w:space="0"/>
              <w:right w:val="single" w:color="auto" w:sz="4" w:space="0"/>
            </w:tcBorders>
            <w:vAlign w:val="center"/>
          </w:tcPr>
          <w:p w14:paraId="36A678BE">
            <w:pPr>
              <w:widowControl w:val="0"/>
              <w:spacing w:line="360" w:lineRule="auto"/>
              <w:jc w:val="center"/>
              <w:textAlignment w:val="auto"/>
              <w:rPr>
                <w:rFonts w:ascii="宋体" w:hAnsi="宋体" w:eastAsia="宋体" w:cs="宋体"/>
                <w:color w:val="auto"/>
                <w:kern w:val="2"/>
                <w:sz w:val="26"/>
                <w:szCs w:val="28"/>
              </w:rPr>
            </w:pPr>
          </w:p>
        </w:tc>
        <w:tc>
          <w:tcPr>
            <w:tcW w:w="1698" w:type="dxa"/>
            <w:tcBorders>
              <w:top w:val="single" w:color="auto" w:sz="4" w:space="0"/>
              <w:left w:val="nil"/>
              <w:bottom w:val="single" w:color="auto" w:sz="4" w:space="0"/>
              <w:right w:val="single" w:color="auto" w:sz="4" w:space="0"/>
            </w:tcBorders>
            <w:vAlign w:val="center"/>
          </w:tcPr>
          <w:p w14:paraId="7ABE7CEC">
            <w:pPr>
              <w:widowControl w:val="0"/>
              <w:spacing w:line="360" w:lineRule="auto"/>
              <w:jc w:val="center"/>
              <w:textAlignment w:val="auto"/>
              <w:rPr>
                <w:rFonts w:ascii="宋体" w:hAnsi="宋体" w:eastAsia="宋体" w:cs="宋体"/>
                <w:color w:val="auto"/>
                <w:kern w:val="2"/>
                <w:sz w:val="26"/>
                <w:szCs w:val="28"/>
              </w:rPr>
            </w:pPr>
            <w:r>
              <w:rPr>
                <w:rFonts w:hint="eastAsia" w:ascii="宋体" w:hAnsi="宋体" w:eastAsia="宋体" w:cs="宋体"/>
                <w:color w:val="auto"/>
                <w:kern w:val="2"/>
                <w:sz w:val="26"/>
                <w:szCs w:val="28"/>
              </w:rPr>
              <w:t>是否为中小企业</w:t>
            </w:r>
          </w:p>
        </w:tc>
        <w:tc>
          <w:tcPr>
            <w:tcW w:w="2262" w:type="dxa"/>
            <w:tcBorders>
              <w:top w:val="single" w:color="auto" w:sz="4" w:space="0"/>
              <w:left w:val="nil"/>
              <w:bottom w:val="single" w:color="auto" w:sz="4" w:space="0"/>
              <w:right w:val="single" w:color="auto" w:sz="8" w:space="0"/>
            </w:tcBorders>
            <w:vAlign w:val="center"/>
          </w:tcPr>
          <w:p w14:paraId="770173DA">
            <w:pPr>
              <w:widowControl w:val="0"/>
              <w:spacing w:line="360" w:lineRule="auto"/>
              <w:jc w:val="center"/>
              <w:textAlignment w:val="auto"/>
              <w:rPr>
                <w:rFonts w:ascii="宋体" w:hAnsi="宋体" w:eastAsia="宋体" w:cs="宋体"/>
                <w:color w:val="auto"/>
                <w:kern w:val="2"/>
                <w:sz w:val="26"/>
                <w:szCs w:val="28"/>
              </w:rPr>
            </w:pPr>
          </w:p>
        </w:tc>
      </w:tr>
      <w:tr w14:paraId="11D15013">
        <w:tblPrEx>
          <w:tblCellMar>
            <w:top w:w="0" w:type="dxa"/>
            <w:left w:w="108" w:type="dxa"/>
            <w:bottom w:w="0" w:type="dxa"/>
            <w:right w:w="108" w:type="dxa"/>
          </w:tblCellMar>
        </w:tblPrEx>
        <w:trPr>
          <w:trHeight w:val="506" w:hRule="atLeast"/>
          <w:jc w:val="center"/>
        </w:trPr>
        <w:tc>
          <w:tcPr>
            <w:tcW w:w="2111" w:type="dxa"/>
            <w:tcBorders>
              <w:top w:val="single" w:color="auto" w:sz="4" w:space="0"/>
              <w:left w:val="single" w:color="auto" w:sz="8" w:space="0"/>
              <w:bottom w:val="single" w:color="auto" w:sz="4" w:space="0"/>
              <w:right w:val="single" w:color="auto" w:sz="4" w:space="0"/>
            </w:tcBorders>
            <w:vAlign w:val="center"/>
          </w:tcPr>
          <w:p w14:paraId="24095943">
            <w:pPr>
              <w:widowControl w:val="0"/>
              <w:spacing w:line="360" w:lineRule="auto"/>
              <w:jc w:val="center"/>
              <w:textAlignment w:val="auto"/>
              <w:rPr>
                <w:rFonts w:ascii="宋体" w:hAnsi="宋体" w:eastAsia="宋体" w:cs="宋体"/>
                <w:color w:val="auto"/>
                <w:kern w:val="2"/>
                <w:sz w:val="26"/>
                <w:szCs w:val="28"/>
              </w:rPr>
            </w:pPr>
            <w:r>
              <w:rPr>
                <w:rFonts w:hint="eastAsia" w:ascii="宋体" w:hAnsi="宋体" w:eastAsia="宋体" w:cs="宋体"/>
                <w:color w:val="auto"/>
                <w:kern w:val="2"/>
                <w:sz w:val="26"/>
                <w:szCs w:val="28"/>
              </w:rPr>
              <w:t>依法缴纳税收和社会保障资金</w:t>
            </w:r>
          </w:p>
        </w:tc>
        <w:tc>
          <w:tcPr>
            <w:tcW w:w="3258" w:type="dxa"/>
            <w:gridSpan w:val="2"/>
            <w:tcBorders>
              <w:top w:val="single" w:color="auto" w:sz="4" w:space="0"/>
              <w:left w:val="nil"/>
              <w:bottom w:val="single" w:color="auto" w:sz="4" w:space="0"/>
              <w:right w:val="nil"/>
            </w:tcBorders>
            <w:vAlign w:val="center"/>
          </w:tcPr>
          <w:p w14:paraId="3AC62A07">
            <w:pPr>
              <w:widowControl w:val="0"/>
              <w:spacing w:line="360" w:lineRule="auto"/>
              <w:jc w:val="center"/>
              <w:textAlignment w:val="auto"/>
              <w:rPr>
                <w:rFonts w:ascii="宋体" w:hAnsi="宋体" w:eastAsia="宋体" w:cs="宋体"/>
                <w:color w:val="auto"/>
                <w:kern w:val="2"/>
                <w:sz w:val="26"/>
                <w:szCs w:val="28"/>
              </w:rPr>
            </w:pPr>
            <w:r>
              <w:rPr>
                <w:rFonts w:hint="eastAsia" w:ascii="宋体" w:hAnsi="宋体" w:eastAsia="宋体" w:cs="宋体"/>
                <w:color w:val="auto"/>
                <w:kern w:val="2"/>
                <w:sz w:val="26"/>
                <w:szCs w:val="28"/>
              </w:rPr>
              <w:t>（依法缴纳税收则标明：√未缴纳则标明：×）(无需缴纳的需作说明。）</w:t>
            </w:r>
          </w:p>
        </w:tc>
        <w:tc>
          <w:tcPr>
            <w:tcW w:w="1698" w:type="dxa"/>
            <w:tcBorders>
              <w:top w:val="single" w:color="auto" w:sz="4" w:space="0"/>
              <w:left w:val="single" w:color="auto" w:sz="4" w:space="0"/>
              <w:bottom w:val="single" w:color="auto" w:sz="4" w:space="0"/>
              <w:right w:val="nil"/>
            </w:tcBorders>
            <w:vAlign w:val="center"/>
          </w:tcPr>
          <w:p w14:paraId="1206160A">
            <w:pPr>
              <w:widowControl w:val="0"/>
              <w:spacing w:line="360" w:lineRule="auto"/>
              <w:jc w:val="center"/>
              <w:textAlignment w:val="auto"/>
              <w:rPr>
                <w:rFonts w:ascii="宋体" w:hAnsi="宋体" w:eastAsia="宋体" w:cs="宋体"/>
                <w:color w:val="auto"/>
                <w:kern w:val="2"/>
                <w:sz w:val="26"/>
                <w:szCs w:val="28"/>
              </w:rPr>
            </w:pPr>
            <w:r>
              <w:rPr>
                <w:rFonts w:hint="eastAsia" w:ascii="宋体" w:hAnsi="宋体" w:eastAsia="宋体" w:cs="宋体"/>
                <w:color w:val="auto"/>
                <w:kern w:val="2"/>
                <w:sz w:val="26"/>
                <w:szCs w:val="28"/>
              </w:rPr>
              <w:t>近三年经营活动情况</w:t>
            </w:r>
          </w:p>
        </w:tc>
        <w:tc>
          <w:tcPr>
            <w:tcW w:w="2262" w:type="dxa"/>
            <w:tcBorders>
              <w:top w:val="single" w:color="auto" w:sz="4" w:space="0"/>
              <w:left w:val="single" w:color="auto" w:sz="4" w:space="0"/>
              <w:bottom w:val="single" w:color="auto" w:sz="4" w:space="0"/>
              <w:right w:val="single" w:color="auto" w:sz="8" w:space="0"/>
            </w:tcBorders>
            <w:vAlign w:val="center"/>
          </w:tcPr>
          <w:p w14:paraId="735D7B63">
            <w:pPr>
              <w:widowControl w:val="0"/>
              <w:spacing w:line="360" w:lineRule="auto"/>
              <w:jc w:val="center"/>
              <w:textAlignment w:val="auto"/>
              <w:rPr>
                <w:rFonts w:ascii="宋体" w:hAnsi="宋体" w:eastAsia="宋体" w:cs="宋体"/>
                <w:color w:val="auto"/>
                <w:kern w:val="2"/>
                <w:sz w:val="26"/>
                <w:szCs w:val="28"/>
              </w:rPr>
            </w:pPr>
            <w:r>
              <w:rPr>
                <w:rFonts w:hint="eastAsia" w:ascii="宋体" w:hAnsi="宋体" w:eastAsia="宋体" w:cs="宋体"/>
                <w:color w:val="auto"/>
                <w:kern w:val="2"/>
                <w:sz w:val="26"/>
                <w:szCs w:val="28"/>
              </w:rPr>
              <w:t>（无重大违法记录则标明：√有违法记录则标明：×）</w:t>
            </w:r>
          </w:p>
        </w:tc>
      </w:tr>
    </w:tbl>
    <w:p w14:paraId="670268F9">
      <w:pPr>
        <w:widowControl w:val="0"/>
        <w:spacing w:line="360" w:lineRule="auto"/>
        <w:jc w:val="center"/>
        <w:textAlignment w:val="auto"/>
        <w:rPr>
          <w:rFonts w:ascii="宋体" w:hAnsi="宋体" w:eastAsia="宋体" w:cs="宋体"/>
          <w:color w:val="auto"/>
          <w:kern w:val="2"/>
          <w:sz w:val="26"/>
          <w:szCs w:val="28"/>
        </w:rPr>
      </w:pPr>
    </w:p>
    <w:p w14:paraId="0AA5A3C9">
      <w:pPr>
        <w:widowControl w:val="0"/>
        <w:spacing w:line="360" w:lineRule="auto"/>
        <w:jc w:val="left"/>
        <w:textAlignment w:val="auto"/>
        <w:rPr>
          <w:rFonts w:ascii="宋体" w:hAnsi="宋体" w:eastAsia="宋体" w:cs="宋体"/>
          <w:color w:val="auto"/>
          <w:kern w:val="2"/>
          <w:sz w:val="26"/>
          <w:szCs w:val="28"/>
        </w:rPr>
      </w:pPr>
      <w:r>
        <w:rPr>
          <w:rFonts w:hint="eastAsia" w:ascii="宋体" w:hAnsi="宋体" w:eastAsia="宋体" w:cs="宋体"/>
          <w:color w:val="auto"/>
          <w:kern w:val="2"/>
          <w:sz w:val="26"/>
          <w:szCs w:val="28"/>
        </w:rPr>
        <w:t>法定代表人（电子签章）：</w:t>
      </w:r>
    </w:p>
    <w:p w14:paraId="5CB534A9">
      <w:pPr>
        <w:widowControl w:val="0"/>
        <w:spacing w:line="360" w:lineRule="auto"/>
        <w:jc w:val="left"/>
        <w:textAlignment w:val="auto"/>
        <w:rPr>
          <w:rFonts w:ascii="宋体" w:hAnsi="宋体" w:cs="宋体"/>
          <w:b/>
          <w:color w:val="auto"/>
          <w:kern w:val="36"/>
          <w:sz w:val="36"/>
          <w:szCs w:val="36"/>
        </w:rPr>
      </w:pPr>
      <w:r>
        <w:rPr>
          <w:rFonts w:hint="eastAsia" w:ascii="宋体" w:hAnsi="宋体" w:eastAsia="宋体" w:cs="宋体"/>
          <w:color w:val="auto"/>
          <w:kern w:val="2"/>
          <w:sz w:val="26"/>
          <w:szCs w:val="28"/>
        </w:rPr>
        <w:t>投标人（盖单位电子公章）：</w:t>
      </w:r>
    </w:p>
    <w:p w14:paraId="22D494EF">
      <w:pPr>
        <w:jc w:val="left"/>
        <w:rPr>
          <w:rFonts w:ascii="宋体" w:hAnsi="宋体" w:cs="宋体"/>
          <w:b/>
          <w:color w:val="auto"/>
          <w:kern w:val="36"/>
          <w:sz w:val="36"/>
          <w:szCs w:val="36"/>
        </w:rPr>
      </w:pPr>
      <w:r>
        <w:rPr>
          <w:rFonts w:hint="eastAsia" w:ascii="宋体" w:hAnsi="宋体" w:cs="宋体"/>
          <w:b/>
          <w:color w:val="auto"/>
          <w:kern w:val="36"/>
          <w:sz w:val="36"/>
          <w:szCs w:val="36"/>
        </w:rPr>
        <w:br w:type="page"/>
      </w:r>
    </w:p>
    <w:bookmarkEnd w:id="346"/>
    <w:bookmarkEnd w:id="347"/>
    <w:bookmarkEnd w:id="348"/>
    <w:bookmarkEnd w:id="349"/>
    <w:p w14:paraId="6571C692">
      <w:pPr>
        <w:jc w:val="center"/>
        <w:rPr>
          <w:rFonts w:ascii="宋体" w:hAnsi="宋体" w:cs="宋体"/>
          <w:b/>
          <w:color w:val="auto"/>
          <w:kern w:val="36"/>
          <w:sz w:val="36"/>
          <w:szCs w:val="36"/>
        </w:rPr>
      </w:pPr>
      <w:r>
        <w:rPr>
          <w:rFonts w:hint="eastAsia" w:ascii="宋体" w:hAnsi="宋体" w:eastAsia="宋体" w:cs="宋体"/>
          <w:b/>
          <w:bCs/>
          <w:color w:val="auto"/>
          <w:kern w:val="2"/>
          <w:sz w:val="28"/>
          <w:szCs w:val="32"/>
        </w:rPr>
        <w:t>（二）投标人资格证明文件</w:t>
      </w:r>
    </w:p>
    <w:p w14:paraId="2A025988">
      <w:pPr>
        <w:jc w:val="left"/>
        <w:rPr>
          <w:rFonts w:ascii="宋体" w:hAnsi="宋体" w:cs="宋体"/>
          <w:b/>
          <w:color w:val="auto"/>
          <w:kern w:val="36"/>
          <w:sz w:val="36"/>
          <w:szCs w:val="36"/>
        </w:rPr>
      </w:pPr>
    </w:p>
    <w:p w14:paraId="7880F28F">
      <w:pPr>
        <w:spacing w:line="360" w:lineRule="auto"/>
        <w:rPr>
          <w:rFonts w:hint="eastAsia" w:ascii="宋体" w:hAnsi="宋体" w:eastAsia="宋体" w:cs="Times New Roman"/>
          <w:color w:val="auto"/>
          <w:sz w:val="24"/>
        </w:rPr>
      </w:pPr>
      <w:r>
        <w:rPr>
          <w:rFonts w:hint="eastAsia" w:ascii="宋体" w:hAnsi="宋体"/>
          <w:color w:val="auto"/>
          <w:sz w:val="24"/>
          <w:lang w:val="en-US" w:eastAsia="zh-CN"/>
        </w:rPr>
        <w:t>逐项</w:t>
      </w:r>
      <w:r>
        <w:rPr>
          <w:rFonts w:hint="eastAsia" w:ascii="宋体" w:hAnsi="宋体"/>
          <w:color w:val="auto"/>
          <w:sz w:val="24"/>
        </w:rPr>
        <w:t>附以下所有证件、证明原件的扫描件（扫描件须清晰可辨，</w:t>
      </w:r>
      <w:r>
        <w:rPr>
          <w:rFonts w:hint="eastAsia" w:ascii="宋体" w:hAnsi="宋体"/>
          <w:color w:val="auto"/>
          <w:sz w:val="24"/>
          <w:lang w:val="en-US" w:eastAsia="zh-CN"/>
        </w:rPr>
        <w:t>投标人</w:t>
      </w:r>
      <w:r>
        <w:rPr>
          <w:rFonts w:hint="eastAsia" w:ascii="宋体" w:hAnsi="宋体"/>
          <w:color w:val="auto"/>
          <w:sz w:val="24"/>
        </w:rPr>
        <w:t>对其真实性负责）</w:t>
      </w:r>
      <w:r>
        <w:rPr>
          <w:rFonts w:hint="eastAsia" w:ascii="宋体" w:hAnsi="宋体" w:eastAsia="宋体" w:cs="Times New Roman"/>
          <w:color w:val="auto"/>
          <w:sz w:val="24"/>
        </w:rPr>
        <w:t>：</w:t>
      </w:r>
    </w:p>
    <w:p w14:paraId="28DFD2D1">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1、满足《中华人民共和国政府采购法》第二十二条规定的相关证明材料或承诺书；</w:t>
      </w:r>
    </w:p>
    <w:p w14:paraId="7187FAD4">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、满足本项目特定资格要求的证明材料：</w:t>
      </w:r>
    </w:p>
    <w:p w14:paraId="646C2A70">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（1）投标人营业执照（副本）、投标人在</w:t>
      </w:r>
      <w:r>
        <w:rPr>
          <w:rFonts w:hint="eastAsia" w:ascii="宋体" w:hAnsi="宋体" w:cs="Times New Roman"/>
          <w:color w:val="auto"/>
          <w:sz w:val="24"/>
          <w:lang w:eastAsia="zh-CN"/>
        </w:rPr>
        <w:t>人员、资金、设备及专业技术等方面具有与本项目相匹配的合同履约能力</w:t>
      </w:r>
      <w:r>
        <w:rPr>
          <w:rFonts w:hint="eastAsia" w:ascii="宋体" w:hAnsi="宋体" w:eastAsia="宋体" w:cs="Times New Roman"/>
          <w:color w:val="auto"/>
          <w:sz w:val="24"/>
        </w:rPr>
        <w:t>的承诺书；</w:t>
      </w:r>
    </w:p>
    <w:p w14:paraId="6F368AFF">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w:t>
      </w:r>
      <w:r>
        <w:rPr>
          <w:rFonts w:hint="eastAsia" w:ascii="宋体" w:hAnsi="宋体" w:cs="Times New Roman"/>
          <w:color w:val="auto"/>
          <w:sz w:val="24"/>
          <w:lang w:val="en-US" w:eastAsia="zh-CN"/>
        </w:rPr>
        <w:t>制造商投标的，提供有效的《医疗器械生产许可证》；经销商投标的，提供有效的《医疗器械经营许可证》或备案凭证</w:t>
      </w:r>
      <w:r>
        <w:rPr>
          <w:rFonts w:hint="eastAsia" w:ascii="宋体" w:hAnsi="宋体" w:cs="Times New Roman"/>
          <w:color w:val="auto"/>
          <w:sz w:val="24"/>
          <w:lang w:eastAsia="zh-CN"/>
        </w:rPr>
        <w:t>；</w:t>
      </w:r>
    </w:p>
    <w:p w14:paraId="4EE1BC4F">
      <w:pPr>
        <w:spacing w:line="360" w:lineRule="auto"/>
        <w:ind w:firstLine="480" w:firstLineChars="200"/>
        <w:rPr>
          <w:rFonts w:hint="eastAsia" w:ascii="宋体" w:hAnsi="宋体" w:eastAsia="宋体" w:cs="Times New Roman"/>
          <w:color w:val="auto"/>
          <w:sz w:val="24"/>
        </w:rPr>
      </w:pPr>
      <w:r>
        <w:rPr>
          <w:rFonts w:hint="eastAsia" w:ascii="宋体" w:hAnsi="宋体" w:cs="Times New Roman"/>
          <w:color w:val="auto"/>
          <w:sz w:val="24"/>
          <w:lang w:eastAsia="zh-CN"/>
        </w:rPr>
        <w:t>（</w:t>
      </w:r>
      <w:r>
        <w:rPr>
          <w:rFonts w:hint="eastAsia" w:ascii="宋体" w:hAnsi="宋体" w:cs="Times New Roman"/>
          <w:color w:val="auto"/>
          <w:sz w:val="24"/>
          <w:lang w:val="en-US" w:eastAsia="zh-CN"/>
        </w:rPr>
        <w:t>3</w:t>
      </w:r>
      <w:r>
        <w:rPr>
          <w:rFonts w:hint="eastAsia" w:ascii="宋体" w:hAnsi="宋体" w:cs="Times New Roman"/>
          <w:color w:val="auto"/>
          <w:sz w:val="24"/>
          <w:lang w:eastAsia="zh-CN"/>
        </w:rPr>
        <w:t>）</w:t>
      </w:r>
      <w:r>
        <w:rPr>
          <w:rFonts w:hint="eastAsia" w:ascii="宋体" w:hAnsi="宋体" w:eastAsia="宋体" w:cs="Times New Roman"/>
          <w:color w:val="auto"/>
          <w:sz w:val="24"/>
        </w:rPr>
        <w:t>“中国执行信息公开网”（http://zxgk.court.gov.cn/shixin/）投标人没有被列入失信被执行人的查询结果截图、“信用中国”（www.creditchina.gov.cn）投标人没有被列入重大税收违法失信主体的查询结果截图、“中国政府采购网”（http://www.ccgp.gov.cn/）</w:t>
      </w:r>
      <w:r>
        <w:rPr>
          <w:rFonts w:hint="eastAsia" w:ascii="宋体" w:hAnsi="宋体" w:cs="Times New Roman"/>
          <w:color w:val="auto"/>
          <w:sz w:val="24"/>
          <w:lang w:val="en-US" w:eastAsia="zh-CN"/>
        </w:rPr>
        <w:t>及</w:t>
      </w:r>
      <w:r>
        <w:rPr>
          <w:rFonts w:hint="eastAsia" w:ascii="宋体" w:hAnsi="宋体" w:eastAsia="宋体" w:cs="Times New Roman"/>
          <w:color w:val="auto"/>
          <w:sz w:val="24"/>
        </w:rPr>
        <w:t>“信用中国”（www.creditchina.gov.cn）投标人</w:t>
      </w:r>
      <w:r>
        <w:rPr>
          <w:rFonts w:hint="eastAsia" w:ascii="宋体" w:hAnsi="宋体" w:cs="Times New Roman"/>
          <w:color w:val="auto"/>
          <w:sz w:val="24"/>
          <w:lang w:val="en-US" w:eastAsia="zh-CN"/>
        </w:rPr>
        <w:t>均</w:t>
      </w:r>
      <w:r>
        <w:rPr>
          <w:rFonts w:hint="eastAsia" w:ascii="宋体" w:hAnsi="宋体" w:eastAsia="宋体" w:cs="Times New Roman"/>
          <w:color w:val="auto"/>
          <w:sz w:val="24"/>
        </w:rPr>
        <w:t>没有被列入政府采购严重违法失信行为记录名单的查询结果截图；</w:t>
      </w:r>
    </w:p>
    <w:p w14:paraId="67017620">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w:t>
      </w:r>
      <w:r>
        <w:rPr>
          <w:rFonts w:hint="eastAsia" w:ascii="宋体" w:hAnsi="宋体" w:cs="Times New Roman"/>
          <w:color w:val="auto"/>
          <w:sz w:val="24"/>
          <w:lang w:val="en-US" w:eastAsia="zh-CN"/>
        </w:rPr>
        <w:t>4</w:t>
      </w:r>
      <w:r>
        <w:rPr>
          <w:rFonts w:hint="eastAsia" w:ascii="宋体" w:hAnsi="宋体" w:eastAsia="宋体" w:cs="Times New Roman"/>
          <w:color w:val="auto"/>
          <w:sz w:val="24"/>
        </w:rPr>
        <w:t>）中国裁判文书网（http://wenshu.court.gov.cn/）投标人及法定代表人无行贿犯罪记录的查询截图（或提供无行贿犯罪记录承诺书）；</w:t>
      </w:r>
    </w:p>
    <w:p w14:paraId="3EF46CE9">
      <w:pPr>
        <w:spacing w:line="360" w:lineRule="auto"/>
        <w:ind w:firstLine="480" w:firstLineChars="200"/>
        <w:rPr>
          <w:rFonts w:hint="default" w:ascii="宋体" w:hAnsi="宋体" w:cs="宋体"/>
          <w:b/>
          <w:color w:val="auto"/>
          <w:kern w:val="36"/>
          <w:sz w:val="36"/>
          <w:szCs w:val="36"/>
          <w:lang w:val="en-US" w:eastAsia="zh-CN"/>
        </w:rPr>
      </w:pPr>
      <w:r>
        <w:rPr>
          <w:rFonts w:hint="eastAsia" w:ascii="宋体" w:hAnsi="宋体" w:eastAsia="宋体" w:cs="Times New Roman"/>
          <w:color w:val="auto"/>
          <w:sz w:val="24"/>
          <w:lang w:val="en-US" w:eastAsia="zh-CN"/>
        </w:rPr>
        <w:t>（</w:t>
      </w:r>
      <w:r>
        <w:rPr>
          <w:rFonts w:hint="eastAsia" w:ascii="宋体" w:hAnsi="宋体" w:cs="Times New Roman"/>
          <w:color w:val="auto"/>
          <w:sz w:val="24"/>
          <w:lang w:val="en-US" w:eastAsia="zh-CN"/>
        </w:rPr>
        <w:t>5</w:t>
      </w:r>
      <w:r>
        <w:rPr>
          <w:rFonts w:hint="eastAsia" w:ascii="宋体" w:hAnsi="宋体" w:eastAsia="宋体" w:cs="Times New Roman"/>
          <w:color w:val="auto"/>
          <w:sz w:val="24"/>
          <w:lang w:val="en-US" w:eastAsia="zh-CN"/>
        </w:rPr>
        <w:t>）投标人</w:t>
      </w:r>
      <w:r>
        <w:rPr>
          <w:rFonts w:hint="eastAsia" w:ascii="宋体" w:hAnsi="宋体" w:cs="Times New Roman"/>
          <w:color w:val="auto"/>
          <w:sz w:val="24"/>
          <w:lang w:val="en-US" w:eastAsia="zh-CN"/>
        </w:rPr>
        <w:t>及法定代表人</w:t>
      </w:r>
      <w:r>
        <w:rPr>
          <w:rFonts w:hint="eastAsia" w:ascii="宋体" w:hAnsi="宋体" w:eastAsia="宋体" w:cs="Times New Roman"/>
          <w:color w:val="auto"/>
          <w:sz w:val="24"/>
          <w:lang w:val="en-US" w:eastAsia="zh-CN"/>
        </w:rPr>
        <w:t>无商业贿赂和不正当竞争行为承诺书。</w:t>
      </w:r>
    </w:p>
    <w:p w14:paraId="69F93BBD">
      <w:pPr>
        <w:jc w:val="left"/>
        <w:rPr>
          <w:rFonts w:ascii="宋体" w:hAnsi="宋体" w:cs="宋体"/>
          <w:b/>
          <w:color w:val="auto"/>
          <w:kern w:val="36"/>
          <w:sz w:val="36"/>
          <w:szCs w:val="36"/>
        </w:rPr>
      </w:pPr>
    </w:p>
    <w:p w14:paraId="4D362F17">
      <w:pPr>
        <w:jc w:val="left"/>
        <w:rPr>
          <w:rFonts w:ascii="宋体" w:hAnsi="宋体" w:cs="宋体"/>
          <w:b/>
          <w:color w:val="auto"/>
          <w:kern w:val="36"/>
          <w:sz w:val="36"/>
          <w:szCs w:val="36"/>
        </w:rPr>
      </w:pPr>
    </w:p>
    <w:p w14:paraId="3BE51237">
      <w:pPr>
        <w:jc w:val="left"/>
        <w:rPr>
          <w:rFonts w:ascii="宋体" w:hAnsi="宋体" w:cs="宋体"/>
          <w:b/>
          <w:color w:val="auto"/>
          <w:kern w:val="36"/>
          <w:sz w:val="36"/>
          <w:szCs w:val="36"/>
        </w:rPr>
      </w:pPr>
    </w:p>
    <w:p w14:paraId="23AA7B60">
      <w:pPr>
        <w:jc w:val="left"/>
        <w:rPr>
          <w:rFonts w:ascii="宋体" w:hAnsi="宋体" w:cs="宋体"/>
          <w:b/>
          <w:color w:val="auto"/>
          <w:kern w:val="36"/>
          <w:sz w:val="36"/>
          <w:szCs w:val="36"/>
        </w:rPr>
      </w:pPr>
    </w:p>
    <w:p w14:paraId="34F42397">
      <w:pPr>
        <w:jc w:val="left"/>
        <w:rPr>
          <w:rFonts w:ascii="宋体" w:hAnsi="宋体" w:cs="宋体"/>
          <w:b/>
          <w:color w:val="auto"/>
          <w:kern w:val="36"/>
          <w:sz w:val="36"/>
          <w:szCs w:val="36"/>
        </w:rPr>
      </w:pPr>
    </w:p>
    <w:p w14:paraId="2F0DF21C">
      <w:pPr>
        <w:jc w:val="left"/>
        <w:rPr>
          <w:rFonts w:ascii="宋体" w:hAnsi="宋体" w:cs="宋体"/>
          <w:b/>
          <w:color w:val="auto"/>
          <w:kern w:val="36"/>
          <w:sz w:val="36"/>
          <w:szCs w:val="36"/>
        </w:rPr>
      </w:pPr>
    </w:p>
    <w:p w14:paraId="475E0488">
      <w:pPr>
        <w:jc w:val="left"/>
        <w:rPr>
          <w:rFonts w:ascii="宋体" w:hAnsi="宋体" w:cs="宋体"/>
          <w:b/>
          <w:color w:val="auto"/>
          <w:kern w:val="36"/>
          <w:sz w:val="36"/>
          <w:szCs w:val="36"/>
        </w:rPr>
      </w:pPr>
    </w:p>
    <w:p w14:paraId="2B61DD8B">
      <w:pPr>
        <w:jc w:val="left"/>
        <w:rPr>
          <w:rFonts w:ascii="宋体" w:hAnsi="宋体" w:cs="宋体"/>
          <w:b/>
          <w:color w:val="auto"/>
          <w:kern w:val="36"/>
          <w:sz w:val="36"/>
          <w:szCs w:val="36"/>
        </w:rPr>
      </w:pPr>
    </w:p>
    <w:p w14:paraId="382EC04A">
      <w:pPr>
        <w:jc w:val="left"/>
        <w:rPr>
          <w:rFonts w:ascii="宋体" w:hAnsi="宋体" w:cs="宋体"/>
          <w:b/>
          <w:color w:val="auto"/>
          <w:kern w:val="36"/>
          <w:sz w:val="36"/>
          <w:szCs w:val="36"/>
        </w:rPr>
      </w:pPr>
    </w:p>
    <w:p w14:paraId="2728A5FD">
      <w:pPr>
        <w:jc w:val="center"/>
        <w:rPr>
          <w:rFonts w:ascii="宋体" w:hAnsi="宋体" w:cs="宋体"/>
          <w:b/>
          <w:color w:val="auto"/>
          <w:kern w:val="36"/>
          <w:sz w:val="36"/>
          <w:szCs w:val="36"/>
        </w:rPr>
      </w:pPr>
      <w:r>
        <w:rPr>
          <w:rFonts w:hint="eastAsia" w:ascii="宋体" w:hAnsi="宋体" w:cs="宋体"/>
          <w:b/>
          <w:color w:val="auto"/>
          <w:kern w:val="36"/>
          <w:sz w:val="36"/>
          <w:szCs w:val="36"/>
          <w:lang w:val="en-US" w:eastAsia="zh-CN"/>
        </w:rPr>
        <w:t>十、</w:t>
      </w:r>
      <w:r>
        <w:rPr>
          <w:rFonts w:hint="eastAsia" w:ascii="宋体" w:hAnsi="宋体" w:cs="宋体"/>
          <w:b/>
          <w:color w:val="auto"/>
          <w:kern w:val="36"/>
          <w:sz w:val="36"/>
          <w:szCs w:val="36"/>
        </w:rPr>
        <w:t>投标人认为应附的其他资料</w:t>
      </w:r>
    </w:p>
    <w:p w14:paraId="318F8BFE">
      <w:pPr>
        <w:spacing w:line="360" w:lineRule="auto"/>
        <w:ind w:firstLine="420" w:firstLineChars="175"/>
        <w:rPr>
          <w:rFonts w:hint="eastAsia" w:ascii="宋体" w:hAnsi="宋体" w:eastAsia="宋体" w:cs="Times New Roman"/>
          <w:color w:val="auto"/>
          <w:sz w:val="24"/>
        </w:rPr>
      </w:pPr>
      <w:r>
        <w:rPr>
          <w:rFonts w:hint="eastAsia" w:ascii="宋体" w:hAnsi="宋体" w:eastAsia="宋体" w:cs="Times New Roman"/>
          <w:color w:val="auto"/>
          <w:sz w:val="24"/>
        </w:rPr>
        <w:t>包括但不限于：</w:t>
      </w:r>
    </w:p>
    <w:p w14:paraId="4775A30A">
      <w:pPr>
        <w:numPr>
          <w:ilvl w:val="0"/>
          <w:numId w:val="0"/>
        </w:numPr>
        <w:spacing w:line="360" w:lineRule="auto"/>
        <w:ind w:firstLine="480" w:firstLineChars="200"/>
        <w:rPr>
          <w:rFonts w:hint="default" w:ascii="宋体" w:hAnsi="宋体" w:cs="Times New Roman"/>
          <w:color w:val="auto"/>
          <w:sz w:val="24"/>
          <w:lang w:val="en-US" w:eastAsia="zh-CN"/>
        </w:rPr>
      </w:pPr>
      <w:r>
        <w:rPr>
          <w:rFonts w:hint="default" w:ascii="宋体" w:hAnsi="宋体" w:cs="Times New Roman"/>
          <w:color w:val="auto"/>
          <w:sz w:val="24"/>
          <w:lang w:val="en-US" w:eastAsia="zh-CN"/>
        </w:rPr>
        <w:t>（1）符合价格扣除政策的投标人，提供如下相应材料原件的扫描件：</w:t>
      </w:r>
    </w:p>
    <w:p w14:paraId="4D2608EE">
      <w:pPr>
        <w:numPr>
          <w:ilvl w:val="0"/>
          <w:numId w:val="0"/>
        </w:numPr>
        <w:spacing w:line="360" w:lineRule="auto"/>
        <w:ind w:firstLine="480" w:firstLineChars="200"/>
        <w:rPr>
          <w:rFonts w:hint="default" w:ascii="宋体" w:hAnsi="宋体" w:cs="Times New Roman"/>
          <w:color w:val="auto"/>
          <w:sz w:val="24"/>
          <w:lang w:val="en-US" w:eastAsia="zh-CN"/>
        </w:rPr>
      </w:pPr>
      <w:r>
        <w:rPr>
          <w:rFonts w:hint="default" w:ascii="宋体" w:hAnsi="宋体" w:cs="Times New Roman"/>
          <w:color w:val="auto"/>
          <w:sz w:val="24"/>
          <w:lang w:val="en-US" w:eastAsia="zh-CN"/>
        </w:rPr>
        <w:t>小微企业提供《中小企业声明函》；</w:t>
      </w:r>
    </w:p>
    <w:p w14:paraId="27BE8A8E">
      <w:pPr>
        <w:numPr>
          <w:ilvl w:val="0"/>
          <w:numId w:val="0"/>
        </w:numPr>
        <w:spacing w:line="360" w:lineRule="auto"/>
        <w:ind w:firstLine="480" w:firstLineChars="200"/>
        <w:rPr>
          <w:rFonts w:hint="default" w:ascii="宋体" w:hAnsi="宋体" w:cs="Times New Roman"/>
          <w:color w:val="auto"/>
          <w:sz w:val="24"/>
          <w:lang w:val="en-US" w:eastAsia="zh-CN"/>
        </w:rPr>
      </w:pPr>
      <w:r>
        <w:rPr>
          <w:rFonts w:hint="default" w:ascii="宋体" w:hAnsi="宋体" w:cs="Times New Roman"/>
          <w:color w:val="auto"/>
          <w:sz w:val="24"/>
          <w:lang w:val="en-US" w:eastAsia="zh-CN"/>
        </w:rPr>
        <w:t>监狱企业提供由省级以上监狱管理局、戒毒管理局（含新疆生产建设兵团）出具的属于监狱企业的证明文件；</w:t>
      </w:r>
    </w:p>
    <w:p w14:paraId="1368210E">
      <w:pPr>
        <w:numPr>
          <w:ilvl w:val="0"/>
          <w:numId w:val="0"/>
        </w:numPr>
        <w:spacing w:line="360" w:lineRule="auto"/>
        <w:ind w:firstLine="480" w:firstLineChars="200"/>
        <w:rPr>
          <w:rFonts w:hint="default" w:ascii="宋体" w:hAnsi="宋体" w:cs="Times New Roman"/>
          <w:color w:val="auto"/>
          <w:sz w:val="24"/>
          <w:lang w:val="en-US" w:eastAsia="zh-CN"/>
        </w:rPr>
      </w:pPr>
      <w:r>
        <w:rPr>
          <w:rFonts w:hint="default" w:ascii="宋体" w:hAnsi="宋体" w:cs="Times New Roman"/>
          <w:color w:val="auto"/>
          <w:sz w:val="24"/>
          <w:lang w:val="en-US" w:eastAsia="zh-CN"/>
        </w:rPr>
        <w:t>残疾人福利性单位提供《残疾人福利性单位声明函》及相关证明材料</w:t>
      </w:r>
      <w:r>
        <w:rPr>
          <w:rFonts w:hint="eastAsia" w:ascii="宋体" w:hAnsi="宋体" w:cs="Times New Roman"/>
          <w:color w:val="auto"/>
          <w:sz w:val="24"/>
          <w:lang w:val="en-US" w:eastAsia="zh-CN"/>
        </w:rPr>
        <w:t>。</w:t>
      </w:r>
    </w:p>
    <w:p w14:paraId="480A5EEE">
      <w:pPr>
        <w:spacing w:line="360" w:lineRule="auto"/>
        <w:ind w:firstLine="420" w:firstLineChars="175"/>
        <w:rPr>
          <w:rFonts w:hint="eastAsia" w:ascii="宋体" w:hAnsi="宋体" w:cs="宋体"/>
          <w:b/>
          <w:color w:val="auto"/>
          <w:kern w:val="36"/>
          <w:sz w:val="36"/>
          <w:szCs w:val="36"/>
        </w:rPr>
      </w:pPr>
      <w:r>
        <w:rPr>
          <w:rFonts w:hint="eastAsia" w:ascii="宋体" w:hAnsi="宋体" w:eastAsia="宋体" w:cs="Times New Roman"/>
          <w:color w:val="auto"/>
          <w:sz w:val="24"/>
        </w:rPr>
        <w:t>（2）招标文件及评标办法中要求投标人提供的相关</w:t>
      </w:r>
      <w:r>
        <w:rPr>
          <w:rFonts w:hint="eastAsia" w:ascii="宋体" w:hAnsi="宋体" w:cs="Times New Roman"/>
          <w:color w:val="auto"/>
          <w:sz w:val="24"/>
          <w:lang w:val="en-US" w:eastAsia="zh-CN"/>
        </w:rPr>
        <w:t>证件、</w:t>
      </w:r>
      <w:r>
        <w:rPr>
          <w:rFonts w:hint="eastAsia" w:ascii="宋体" w:hAnsi="宋体" w:eastAsia="宋体" w:cs="Times New Roman"/>
          <w:color w:val="auto"/>
          <w:sz w:val="24"/>
        </w:rPr>
        <w:t>证明</w:t>
      </w:r>
      <w:r>
        <w:rPr>
          <w:rFonts w:hint="eastAsia" w:ascii="宋体" w:hAnsi="宋体" w:cs="Times New Roman"/>
          <w:color w:val="auto"/>
          <w:sz w:val="24"/>
          <w:lang w:val="en-US" w:eastAsia="zh-CN"/>
        </w:rPr>
        <w:t>等</w:t>
      </w:r>
      <w:r>
        <w:rPr>
          <w:rFonts w:hint="eastAsia" w:ascii="宋体" w:hAnsi="宋体" w:eastAsia="宋体" w:cs="Times New Roman"/>
          <w:color w:val="auto"/>
          <w:sz w:val="24"/>
        </w:rPr>
        <w:t>材料；</w:t>
      </w:r>
    </w:p>
    <w:p w14:paraId="02BB43BC">
      <w:pPr>
        <w:jc w:val="left"/>
        <w:rPr>
          <w:rFonts w:ascii="宋体" w:hAnsi="宋体" w:cs="宋体"/>
          <w:b/>
          <w:color w:val="auto"/>
          <w:kern w:val="36"/>
          <w:sz w:val="36"/>
          <w:szCs w:val="36"/>
        </w:rPr>
      </w:pPr>
    </w:p>
    <w:p w14:paraId="53B72134">
      <w:pPr>
        <w:jc w:val="left"/>
        <w:rPr>
          <w:rFonts w:ascii="宋体" w:hAnsi="宋体" w:cs="宋体"/>
          <w:b/>
          <w:color w:val="auto"/>
          <w:kern w:val="36"/>
          <w:sz w:val="36"/>
          <w:szCs w:val="36"/>
        </w:rPr>
      </w:pPr>
    </w:p>
    <w:p w14:paraId="59D56DC1">
      <w:pPr>
        <w:jc w:val="left"/>
        <w:rPr>
          <w:rFonts w:ascii="宋体" w:hAnsi="宋体" w:cs="宋体"/>
          <w:b/>
          <w:color w:val="auto"/>
          <w:kern w:val="36"/>
          <w:sz w:val="36"/>
          <w:szCs w:val="36"/>
        </w:rPr>
      </w:pPr>
    </w:p>
    <w:p w14:paraId="1EFDB594">
      <w:pPr>
        <w:jc w:val="left"/>
        <w:rPr>
          <w:rFonts w:ascii="宋体" w:hAnsi="宋体" w:cs="宋体"/>
          <w:b/>
          <w:color w:val="auto"/>
          <w:kern w:val="36"/>
          <w:sz w:val="36"/>
          <w:szCs w:val="36"/>
        </w:rPr>
      </w:pPr>
    </w:p>
    <w:p w14:paraId="5C22CAFE">
      <w:pPr>
        <w:jc w:val="left"/>
        <w:rPr>
          <w:rFonts w:ascii="宋体" w:hAnsi="宋体" w:cs="宋体"/>
          <w:b/>
          <w:color w:val="auto"/>
          <w:kern w:val="36"/>
          <w:sz w:val="36"/>
          <w:szCs w:val="36"/>
        </w:rPr>
      </w:pPr>
    </w:p>
    <w:p w14:paraId="3AE98F55">
      <w:pPr>
        <w:jc w:val="left"/>
        <w:rPr>
          <w:rFonts w:ascii="宋体" w:hAnsi="宋体" w:cs="宋体"/>
          <w:b/>
          <w:color w:val="auto"/>
          <w:kern w:val="36"/>
          <w:sz w:val="36"/>
          <w:szCs w:val="36"/>
        </w:rPr>
      </w:pPr>
    </w:p>
    <w:p w14:paraId="120A1AE9">
      <w:pPr>
        <w:jc w:val="left"/>
        <w:rPr>
          <w:rFonts w:ascii="宋体" w:hAnsi="宋体" w:cs="宋体"/>
          <w:b/>
          <w:color w:val="auto"/>
          <w:kern w:val="36"/>
          <w:sz w:val="36"/>
          <w:szCs w:val="36"/>
        </w:rPr>
      </w:pPr>
    </w:p>
    <w:p w14:paraId="1D44D66B">
      <w:pPr>
        <w:jc w:val="left"/>
        <w:rPr>
          <w:rFonts w:ascii="宋体" w:hAnsi="宋体" w:cs="宋体"/>
          <w:b/>
          <w:color w:val="auto"/>
          <w:kern w:val="36"/>
          <w:sz w:val="36"/>
          <w:szCs w:val="36"/>
        </w:rPr>
      </w:pPr>
    </w:p>
    <w:p w14:paraId="7C877CDF">
      <w:pPr>
        <w:jc w:val="left"/>
        <w:rPr>
          <w:rFonts w:ascii="宋体" w:hAnsi="宋体" w:cs="宋体"/>
          <w:b/>
          <w:color w:val="auto"/>
          <w:kern w:val="36"/>
          <w:sz w:val="36"/>
          <w:szCs w:val="36"/>
        </w:rPr>
      </w:pPr>
    </w:p>
    <w:p w14:paraId="4A3B2913">
      <w:pPr>
        <w:jc w:val="left"/>
        <w:rPr>
          <w:rFonts w:ascii="宋体" w:hAnsi="宋体" w:cs="宋体"/>
          <w:b/>
          <w:color w:val="auto"/>
          <w:kern w:val="36"/>
          <w:sz w:val="36"/>
          <w:szCs w:val="36"/>
        </w:rPr>
      </w:pPr>
    </w:p>
    <w:p w14:paraId="2E43C48E">
      <w:pPr>
        <w:jc w:val="left"/>
        <w:rPr>
          <w:rFonts w:ascii="宋体" w:hAnsi="宋体" w:cs="宋体"/>
          <w:b/>
          <w:color w:val="auto"/>
          <w:kern w:val="36"/>
          <w:sz w:val="36"/>
          <w:szCs w:val="36"/>
        </w:rPr>
      </w:pPr>
    </w:p>
    <w:p w14:paraId="6E53D088">
      <w:pPr>
        <w:jc w:val="left"/>
        <w:rPr>
          <w:rFonts w:ascii="宋体" w:hAnsi="宋体" w:cs="宋体"/>
          <w:b/>
          <w:color w:val="auto"/>
          <w:kern w:val="36"/>
          <w:sz w:val="36"/>
          <w:szCs w:val="36"/>
        </w:rPr>
      </w:pPr>
    </w:p>
    <w:p w14:paraId="13D6AF11">
      <w:pPr>
        <w:jc w:val="left"/>
        <w:rPr>
          <w:rFonts w:ascii="宋体" w:hAnsi="宋体" w:cs="宋体"/>
          <w:b/>
          <w:color w:val="auto"/>
          <w:kern w:val="36"/>
          <w:sz w:val="36"/>
          <w:szCs w:val="36"/>
        </w:rPr>
      </w:pPr>
    </w:p>
    <w:p w14:paraId="03363EF5">
      <w:pPr>
        <w:jc w:val="left"/>
        <w:rPr>
          <w:rFonts w:ascii="宋体" w:hAnsi="宋体" w:cs="宋体"/>
          <w:b/>
          <w:color w:val="auto"/>
          <w:kern w:val="36"/>
          <w:sz w:val="36"/>
          <w:szCs w:val="36"/>
        </w:rPr>
      </w:pPr>
    </w:p>
    <w:p w14:paraId="6C288819">
      <w:pPr>
        <w:jc w:val="left"/>
        <w:rPr>
          <w:rFonts w:ascii="宋体" w:hAnsi="宋体" w:cs="宋体"/>
          <w:b/>
          <w:color w:val="auto"/>
          <w:kern w:val="36"/>
          <w:sz w:val="36"/>
          <w:szCs w:val="36"/>
        </w:rPr>
      </w:pPr>
    </w:p>
    <w:p w14:paraId="3BE957EF">
      <w:pPr>
        <w:jc w:val="left"/>
        <w:rPr>
          <w:rFonts w:ascii="宋体" w:hAnsi="宋体" w:cs="宋体"/>
          <w:b/>
          <w:color w:val="auto"/>
          <w:kern w:val="36"/>
          <w:sz w:val="36"/>
          <w:szCs w:val="36"/>
        </w:rPr>
      </w:pPr>
    </w:p>
    <w:p w14:paraId="1B82219E">
      <w:pPr>
        <w:jc w:val="left"/>
        <w:rPr>
          <w:rFonts w:ascii="宋体" w:hAnsi="宋体" w:cs="宋体"/>
          <w:color w:val="auto"/>
          <w:sz w:val="10"/>
          <w:szCs w:val="10"/>
        </w:rPr>
      </w:pPr>
      <w:r>
        <w:rPr>
          <w:rFonts w:hint="eastAsia" w:ascii="宋体" w:hAnsi="宋体" w:cs="宋体"/>
          <w:color w:val="auto"/>
          <w:sz w:val="28"/>
          <w:szCs w:val="28"/>
        </w:rPr>
        <w:t>附件1：</w:t>
      </w:r>
    </w:p>
    <w:p w14:paraId="66BB6CE6">
      <w:pPr>
        <w:widowControl w:val="0"/>
        <w:spacing w:line="480" w:lineRule="auto"/>
        <w:jc w:val="center"/>
        <w:textAlignment w:val="auto"/>
        <w:rPr>
          <w:rFonts w:ascii="宋体" w:hAnsi="宋体" w:cs="宋体"/>
          <w:bCs/>
          <w:color w:val="auto"/>
          <w:sz w:val="30"/>
          <w:szCs w:val="30"/>
        </w:rPr>
      </w:pPr>
      <w:r>
        <w:rPr>
          <w:rFonts w:hint="eastAsia" w:ascii="宋体" w:hAnsi="宋体" w:cs="宋体"/>
          <w:bCs/>
          <w:color w:val="auto"/>
          <w:sz w:val="30"/>
          <w:szCs w:val="30"/>
        </w:rPr>
        <w:t>中小企业声明函（货物）</w:t>
      </w:r>
    </w:p>
    <w:p w14:paraId="7455159D">
      <w:pPr>
        <w:widowControl w:val="0"/>
        <w:spacing w:line="360" w:lineRule="auto"/>
        <w:ind w:firstLine="638" w:firstLineChars="266"/>
        <w:textAlignment w:val="auto"/>
        <w:rPr>
          <w:rFonts w:ascii="宋体" w:hAnsi="宋体" w:cs="宋体"/>
          <w:color w:val="auto"/>
          <w:kern w:val="2"/>
          <w:sz w:val="24"/>
          <w:szCs w:val="24"/>
        </w:rPr>
      </w:pPr>
      <w:r>
        <w:rPr>
          <w:rFonts w:hint="eastAsia" w:ascii="宋体" w:hAnsi="宋体" w:cs="宋体"/>
          <w:color w:val="auto"/>
          <w:kern w:val="2"/>
          <w:sz w:val="24"/>
          <w:szCs w:val="24"/>
        </w:rPr>
        <w:t>本公司（联合体）郑重声明，根据《政府采购促进中小企业发展管理办法》（财库﹝2020﹞46 号）的规定，本公司（联合体）参加</w:t>
      </w:r>
      <w:r>
        <w:rPr>
          <w:rFonts w:hint="eastAsia" w:ascii="宋体" w:hAnsi="宋体" w:cs="宋体"/>
          <w:color w:val="auto"/>
          <w:kern w:val="2"/>
          <w:sz w:val="24"/>
          <w:szCs w:val="24"/>
          <w:u w:val="single" w:color="auto"/>
        </w:rPr>
        <w:t>（</w:t>
      </w:r>
      <w:r>
        <w:rPr>
          <w:rFonts w:hint="eastAsia" w:ascii="宋体" w:hAnsi="宋体" w:cs="宋体"/>
          <w:color w:val="auto"/>
          <w:kern w:val="2"/>
          <w:sz w:val="24"/>
          <w:szCs w:val="24"/>
          <w:u w:val="single" w:color="auto"/>
          <w:lang w:val="en-US" w:eastAsia="zh-CN"/>
        </w:rPr>
        <w:t>采购人</w:t>
      </w:r>
      <w:r>
        <w:rPr>
          <w:rFonts w:hint="eastAsia" w:ascii="宋体" w:hAnsi="宋体" w:cs="宋体"/>
          <w:color w:val="auto"/>
          <w:kern w:val="2"/>
          <w:sz w:val="24"/>
          <w:szCs w:val="24"/>
          <w:u w:val="single" w:color="auto"/>
        </w:rPr>
        <w:t>单位名称）</w:t>
      </w:r>
      <w:r>
        <w:rPr>
          <w:rFonts w:hint="eastAsia" w:ascii="宋体" w:hAnsi="宋体" w:cs="宋体"/>
          <w:color w:val="auto"/>
          <w:kern w:val="2"/>
          <w:sz w:val="24"/>
          <w:szCs w:val="24"/>
        </w:rPr>
        <w:t>的</w:t>
      </w:r>
      <w:r>
        <w:rPr>
          <w:rFonts w:hint="eastAsia" w:ascii="宋体" w:hAnsi="宋体" w:cs="宋体"/>
          <w:color w:val="auto"/>
          <w:kern w:val="2"/>
          <w:sz w:val="24"/>
          <w:szCs w:val="24"/>
          <w:u w:val="single" w:color="auto"/>
        </w:rPr>
        <w:t>（项目名称）</w:t>
      </w:r>
      <w:r>
        <w:rPr>
          <w:rFonts w:hint="eastAsia" w:ascii="宋体" w:hAnsi="宋体" w:cs="宋体"/>
          <w:color w:val="auto"/>
          <w:kern w:val="2"/>
          <w:sz w:val="24"/>
          <w:szCs w:val="24"/>
        </w:rPr>
        <w:t>采购活动，提供的货物全部由符合政策要求的中小企业制造。相关企业（含联合体中的中小企业、签订分包意向协议的中小企业）的具体情况如下：</w:t>
      </w:r>
    </w:p>
    <w:p w14:paraId="1A15155F">
      <w:pPr>
        <w:widowControl w:val="0"/>
        <w:spacing w:line="360" w:lineRule="auto"/>
        <w:ind w:firstLine="638" w:firstLineChars="266"/>
        <w:textAlignment w:val="auto"/>
        <w:rPr>
          <w:rFonts w:ascii="宋体" w:hAnsi="宋体" w:cs="宋体"/>
          <w:color w:val="auto"/>
          <w:kern w:val="2"/>
          <w:sz w:val="24"/>
          <w:szCs w:val="24"/>
        </w:rPr>
      </w:pPr>
      <w:r>
        <w:rPr>
          <w:rFonts w:hint="eastAsia" w:ascii="宋体" w:hAnsi="宋体" w:cs="宋体"/>
          <w:color w:val="auto"/>
          <w:kern w:val="2"/>
          <w:sz w:val="24"/>
          <w:szCs w:val="24"/>
        </w:rPr>
        <w:t xml:space="preserve">1. </w:t>
      </w:r>
      <w:r>
        <w:rPr>
          <w:rFonts w:hint="eastAsia" w:ascii="宋体" w:hAnsi="宋体" w:cs="宋体"/>
          <w:color w:val="auto"/>
          <w:kern w:val="2"/>
          <w:sz w:val="24"/>
          <w:szCs w:val="24"/>
          <w:u w:val="single"/>
        </w:rPr>
        <w:t xml:space="preserve">（标的名称） </w:t>
      </w:r>
      <w:r>
        <w:rPr>
          <w:rFonts w:hint="eastAsia" w:ascii="宋体" w:hAnsi="宋体" w:cs="宋体"/>
          <w:color w:val="auto"/>
          <w:kern w:val="2"/>
          <w:sz w:val="24"/>
          <w:szCs w:val="24"/>
        </w:rPr>
        <w:t>，属于</w:t>
      </w:r>
      <w:r>
        <w:rPr>
          <w:rFonts w:hint="eastAsia" w:ascii="宋体" w:hAnsi="宋体" w:cs="宋体"/>
          <w:color w:val="auto"/>
          <w:kern w:val="2"/>
          <w:sz w:val="24"/>
          <w:szCs w:val="24"/>
          <w:u w:val="single"/>
        </w:rPr>
        <w:t>（招标文件中明确的所属行业</w:t>
      </w:r>
      <w:r>
        <w:rPr>
          <w:rFonts w:hint="eastAsia" w:ascii="宋体" w:hAnsi="宋体" w:cs="宋体"/>
          <w:color w:val="auto"/>
          <w:kern w:val="2"/>
          <w:sz w:val="24"/>
          <w:szCs w:val="24"/>
          <w:u w:val="single"/>
          <w:lang w:eastAsia="zh-CN"/>
        </w:rPr>
        <w:t>——</w:t>
      </w:r>
      <w:r>
        <w:rPr>
          <w:rFonts w:hint="eastAsia" w:ascii="宋体" w:hAnsi="宋体" w:cs="宋体"/>
          <w:color w:val="auto"/>
          <w:kern w:val="2"/>
          <w:sz w:val="24"/>
          <w:szCs w:val="24"/>
          <w:u w:val="single"/>
          <w:lang w:val="en-US" w:eastAsia="zh-CN"/>
        </w:rPr>
        <w:t>工业</w:t>
      </w:r>
      <w:r>
        <w:rPr>
          <w:rFonts w:hint="eastAsia" w:ascii="宋体" w:hAnsi="宋体" w:cs="宋体"/>
          <w:color w:val="auto"/>
          <w:kern w:val="2"/>
          <w:sz w:val="24"/>
          <w:szCs w:val="24"/>
          <w:u w:val="single"/>
        </w:rPr>
        <w:t>）</w:t>
      </w:r>
      <w:r>
        <w:rPr>
          <w:rFonts w:hint="eastAsia" w:ascii="宋体" w:hAnsi="宋体" w:cs="宋体"/>
          <w:color w:val="auto"/>
          <w:kern w:val="2"/>
          <w:sz w:val="24"/>
          <w:szCs w:val="24"/>
        </w:rPr>
        <w:t>行业；制造商为</w:t>
      </w:r>
      <w:r>
        <w:rPr>
          <w:rFonts w:hint="eastAsia" w:ascii="宋体" w:hAnsi="宋体" w:cs="宋体"/>
          <w:color w:val="auto"/>
          <w:kern w:val="2"/>
          <w:sz w:val="24"/>
          <w:szCs w:val="24"/>
          <w:u w:val="single"/>
        </w:rPr>
        <w:t>（企业名称）</w:t>
      </w:r>
      <w:r>
        <w:rPr>
          <w:rFonts w:hint="eastAsia" w:ascii="宋体" w:hAnsi="宋体" w:cs="宋体"/>
          <w:color w:val="auto"/>
          <w:kern w:val="2"/>
          <w:sz w:val="24"/>
          <w:szCs w:val="24"/>
        </w:rPr>
        <w:t>，从业人员</w:t>
      </w:r>
      <w:r>
        <w:rPr>
          <w:rFonts w:hint="eastAsia" w:ascii="宋体" w:hAnsi="宋体" w:cs="宋体"/>
          <w:color w:val="auto"/>
          <w:kern w:val="2"/>
          <w:sz w:val="24"/>
          <w:szCs w:val="24"/>
          <w:u w:val="single"/>
        </w:rPr>
        <w:t xml:space="preserve">     </w:t>
      </w:r>
      <w:r>
        <w:rPr>
          <w:rFonts w:hint="eastAsia" w:ascii="宋体" w:hAnsi="宋体" w:cs="宋体"/>
          <w:color w:val="auto"/>
          <w:kern w:val="2"/>
          <w:sz w:val="24"/>
          <w:szCs w:val="24"/>
        </w:rPr>
        <w:t>人，营业收入为</w:t>
      </w:r>
      <w:r>
        <w:rPr>
          <w:rFonts w:hint="eastAsia" w:ascii="宋体" w:hAnsi="宋体" w:cs="宋体"/>
          <w:color w:val="auto"/>
          <w:kern w:val="2"/>
          <w:sz w:val="24"/>
          <w:szCs w:val="24"/>
          <w:u w:val="single"/>
        </w:rPr>
        <w:t xml:space="preserve">     </w:t>
      </w:r>
      <w:r>
        <w:rPr>
          <w:rFonts w:hint="eastAsia" w:ascii="宋体" w:hAnsi="宋体" w:cs="宋体"/>
          <w:color w:val="auto"/>
          <w:kern w:val="2"/>
          <w:sz w:val="24"/>
          <w:szCs w:val="24"/>
        </w:rPr>
        <w:t>万元，资产总额为</w:t>
      </w:r>
      <w:r>
        <w:rPr>
          <w:rFonts w:hint="eastAsia" w:ascii="宋体" w:hAnsi="宋体" w:cs="宋体"/>
          <w:color w:val="auto"/>
          <w:kern w:val="2"/>
          <w:sz w:val="24"/>
          <w:szCs w:val="24"/>
          <w:u w:val="single"/>
        </w:rPr>
        <w:t xml:space="preserve">     </w:t>
      </w:r>
      <w:r>
        <w:rPr>
          <w:rFonts w:hint="eastAsia" w:ascii="宋体" w:hAnsi="宋体" w:cs="宋体"/>
          <w:color w:val="auto"/>
          <w:kern w:val="2"/>
          <w:sz w:val="24"/>
          <w:szCs w:val="24"/>
        </w:rPr>
        <w:t>万元</w:t>
      </w:r>
      <w:r>
        <w:rPr>
          <w:rFonts w:hint="eastAsia" w:ascii="宋体" w:hAnsi="宋体" w:cs="宋体"/>
          <w:color w:val="auto"/>
          <w:kern w:val="2"/>
          <w:sz w:val="24"/>
          <w:szCs w:val="24"/>
          <w:vertAlign w:val="superscript"/>
        </w:rPr>
        <w:t>1</w:t>
      </w:r>
      <w:r>
        <w:rPr>
          <w:rFonts w:hint="eastAsia" w:ascii="宋体" w:hAnsi="宋体" w:cs="宋体"/>
          <w:color w:val="auto"/>
          <w:kern w:val="2"/>
          <w:sz w:val="24"/>
          <w:szCs w:val="24"/>
        </w:rPr>
        <w:t>，属于</w:t>
      </w:r>
      <w:r>
        <w:rPr>
          <w:rFonts w:hint="eastAsia" w:ascii="宋体" w:hAnsi="宋体" w:cs="宋体"/>
          <w:color w:val="auto"/>
          <w:kern w:val="2"/>
          <w:sz w:val="24"/>
          <w:szCs w:val="24"/>
          <w:u w:val="single"/>
        </w:rPr>
        <w:t>（中型企业</w:t>
      </w:r>
      <w:r>
        <w:rPr>
          <w:rFonts w:hint="eastAsia" w:ascii="宋体" w:hAnsi="宋体" w:cs="宋体"/>
          <w:color w:val="auto"/>
          <w:kern w:val="2"/>
          <w:sz w:val="24"/>
          <w:szCs w:val="24"/>
          <w:u w:val="single"/>
          <w:lang w:val="en-US" w:eastAsia="zh-CN"/>
        </w:rPr>
        <w:t>/</w:t>
      </w:r>
      <w:r>
        <w:rPr>
          <w:rFonts w:hint="eastAsia" w:ascii="宋体" w:hAnsi="宋体" w:cs="宋体"/>
          <w:color w:val="auto"/>
          <w:kern w:val="2"/>
          <w:sz w:val="24"/>
          <w:szCs w:val="24"/>
          <w:u w:val="single"/>
        </w:rPr>
        <w:t>小型企业</w:t>
      </w:r>
      <w:r>
        <w:rPr>
          <w:rFonts w:hint="eastAsia" w:ascii="宋体" w:hAnsi="宋体" w:cs="宋体"/>
          <w:color w:val="auto"/>
          <w:kern w:val="2"/>
          <w:sz w:val="24"/>
          <w:szCs w:val="24"/>
          <w:u w:val="single"/>
          <w:lang w:val="en-US" w:eastAsia="zh-CN"/>
        </w:rPr>
        <w:t>/</w:t>
      </w:r>
      <w:r>
        <w:rPr>
          <w:rFonts w:hint="eastAsia" w:ascii="宋体" w:hAnsi="宋体" w:cs="宋体"/>
          <w:color w:val="auto"/>
          <w:kern w:val="2"/>
          <w:sz w:val="24"/>
          <w:szCs w:val="24"/>
          <w:u w:val="single"/>
        </w:rPr>
        <w:t>微型企业）</w:t>
      </w:r>
      <w:r>
        <w:rPr>
          <w:rFonts w:hint="eastAsia" w:ascii="宋体" w:hAnsi="宋体" w:cs="宋体"/>
          <w:color w:val="auto"/>
          <w:kern w:val="2"/>
          <w:sz w:val="24"/>
          <w:szCs w:val="24"/>
        </w:rPr>
        <w:t>；</w:t>
      </w:r>
    </w:p>
    <w:p w14:paraId="5AE2D1A6">
      <w:pPr>
        <w:widowControl w:val="0"/>
        <w:spacing w:line="360" w:lineRule="auto"/>
        <w:ind w:firstLine="638" w:firstLineChars="266"/>
        <w:textAlignment w:val="auto"/>
        <w:rPr>
          <w:rFonts w:ascii="宋体" w:hAnsi="宋体" w:cs="宋体"/>
          <w:color w:val="auto"/>
          <w:kern w:val="2"/>
          <w:sz w:val="24"/>
          <w:szCs w:val="24"/>
        </w:rPr>
      </w:pPr>
      <w:r>
        <w:rPr>
          <w:rFonts w:hint="eastAsia" w:ascii="宋体" w:hAnsi="宋体" w:cs="宋体"/>
          <w:color w:val="auto"/>
          <w:kern w:val="2"/>
          <w:sz w:val="24"/>
          <w:szCs w:val="24"/>
        </w:rPr>
        <w:t xml:space="preserve">2. </w:t>
      </w:r>
      <w:r>
        <w:rPr>
          <w:rFonts w:hint="eastAsia" w:ascii="宋体" w:hAnsi="宋体" w:cs="宋体"/>
          <w:color w:val="auto"/>
          <w:kern w:val="2"/>
          <w:sz w:val="24"/>
          <w:szCs w:val="24"/>
          <w:u w:val="single"/>
        </w:rPr>
        <w:t>（标的名称）</w:t>
      </w:r>
      <w:r>
        <w:rPr>
          <w:rFonts w:hint="eastAsia" w:ascii="宋体" w:hAnsi="宋体" w:cs="宋体"/>
          <w:color w:val="auto"/>
          <w:kern w:val="2"/>
          <w:sz w:val="24"/>
          <w:szCs w:val="24"/>
        </w:rPr>
        <w:t xml:space="preserve"> ，属于</w:t>
      </w:r>
      <w:r>
        <w:rPr>
          <w:rFonts w:hint="eastAsia" w:ascii="宋体" w:hAnsi="宋体" w:cs="宋体"/>
          <w:color w:val="auto"/>
          <w:kern w:val="2"/>
          <w:sz w:val="24"/>
          <w:szCs w:val="24"/>
          <w:u w:val="single"/>
        </w:rPr>
        <w:t>（招标文件中明确的所属行业</w:t>
      </w:r>
      <w:r>
        <w:rPr>
          <w:rFonts w:hint="eastAsia" w:ascii="宋体" w:hAnsi="宋体" w:cs="宋体"/>
          <w:color w:val="auto"/>
          <w:kern w:val="2"/>
          <w:sz w:val="24"/>
          <w:szCs w:val="24"/>
          <w:u w:val="single"/>
          <w:lang w:eastAsia="zh-CN"/>
        </w:rPr>
        <w:t>——</w:t>
      </w:r>
      <w:r>
        <w:rPr>
          <w:rFonts w:hint="eastAsia" w:ascii="宋体" w:hAnsi="宋体" w:cs="宋体"/>
          <w:color w:val="auto"/>
          <w:kern w:val="2"/>
          <w:sz w:val="24"/>
          <w:szCs w:val="24"/>
          <w:u w:val="single"/>
          <w:lang w:val="en-US" w:eastAsia="zh-CN"/>
        </w:rPr>
        <w:t>工业</w:t>
      </w:r>
      <w:r>
        <w:rPr>
          <w:rFonts w:hint="eastAsia" w:ascii="宋体" w:hAnsi="宋体" w:cs="宋体"/>
          <w:color w:val="auto"/>
          <w:kern w:val="2"/>
          <w:sz w:val="24"/>
          <w:szCs w:val="24"/>
          <w:u w:val="single"/>
        </w:rPr>
        <w:t>）</w:t>
      </w:r>
      <w:r>
        <w:rPr>
          <w:rFonts w:hint="eastAsia" w:ascii="宋体" w:hAnsi="宋体" w:cs="宋体"/>
          <w:color w:val="auto"/>
          <w:kern w:val="2"/>
          <w:sz w:val="24"/>
          <w:szCs w:val="24"/>
        </w:rPr>
        <w:t>行业；制造商为</w:t>
      </w:r>
      <w:r>
        <w:rPr>
          <w:rFonts w:hint="eastAsia" w:ascii="宋体" w:hAnsi="宋体" w:cs="宋体"/>
          <w:color w:val="auto"/>
          <w:kern w:val="2"/>
          <w:sz w:val="24"/>
          <w:szCs w:val="24"/>
          <w:u w:val="single"/>
        </w:rPr>
        <w:t>（企业名称）</w:t>
      </w:r>
      <w:r>
        <w:rPr>
          <w:rFonts w:hint="eastAsia" w:ascii="宋体" w:hAnsi="宋体" w:cs="宋体"/>
          <w:color w:val="auto"/>
          <w:kern w:val="2"/>
          <w:sz w:val="24"/>
          <w:szCs w:val="24"/>
        </w:rPr>
        <w:t>，从业人员</w:t>
      </w:r>
      <w:r>
        <w:rPr>
          <w:rFonts w:hint="eastAsia" w:ascii="宋体" w:hAnsi="宋体" w:cs="宋体"/>
          <w:color w:val="auto"/>
          <w:kern w:val="2"/>
          <w:sz w:val="24"/>
          <w:szCs w:val="24"/>
          <w:u w:val="single"/>
        </w:rPr>
        <w:t xml:space="preserve">     </w:t>
      </w:r>
      <w:r>
        <w:rPr>
          <w:rFonts w:hint="eastAsia" w:ascii="宋体" w:hAnsi="宋体" w:cs="宋体"/>
          <w:color w:val="auto"/>
          <w:kern w:val="2"/>
          <w:sz w:val="24"/>
          <w:szCs w:val="24"/>
        </w:rPr>
        <w:t>人，营业收入为</w:t>
      </w:r>
      <w:r>
        <w:rPr>
          <w:rFonts w:hint="eastAsia" w:ascii="宋体" w:hAnsi="宋体" w:cs="宋体"/>
          <w:color w:val="auto"/>
          <w:kern w:val="2"/>
          <w:sz w:val="24"/>
          <w:szCs w:val="24"/>
          <w:u w:val="single"/>
        </w:rPr>
        <w:t xml:space="preserve">     </w:t>
      </w:r>
      <w:r>
        <w:rPr>
          <w:rFonts w:hint="eastAsia" w:ascii="宋体" w:hAnsi="宋体" w:cs="宋体"/>
          <w:color w:val="auto"/>
          <w:kern w:val="2"/>
          <w:sz w:val="24"/>
          <w:szCs w:val="24"/>
        </w:rPr>
        <w:t>万元，资产总额为</w:t>
      </w:r>
      <w:r>
        <w:rPr>
          <w:rFonts w:hint="eastAsia" w:ascii="宋体" w:hAnsi="宋体" w:cs="宋体"/>
          <w:color w:val="auto"/>
          <w:kern w:val="2"/>
          <w:sz w:val="24"/>
          <w:szCs w:val="24"/>
          <w:u w:val="single"/>
        </w:rPr>
        <w:t xml:space="preserve">     </w:t>
      </w:r>
      <w:r>
        <w:rPr>
          <w:rFonts w:hint="eastAsia" w:ascii="宋体" w:hAnsi="宋体" w:cs="宋体"/>
          <w:color w:val="auto"/>
          <w:kern w:val="2"/>
          <w:sz w:val="24"/>
          <w:szCs w:val="24"/>
        </w:rPr>
        <w:t>万元，属于</w:t>
      </w:r>
      <w:r>
        <w:rPr>
          <w:rFonts w:hint="eastAsia" w:ascii="宋体" w:hAnsi="宋体" w:cs="宋体"/>
          <w:color w:val="auto"/>
          <w:kern w:val="2"/>
          <w:sz w:val="24"/>
          <w:szCs w:val="24"/>
          <w:u w:val="single"/>
        </w:rPr>
        <w:t>（中型企业</w:t>
      </w:r>
      <w:r>
        <w:rPr>
          <w:rFonts w:hint="eastAsia" w:ascii="宋体" w:hAnsi="宋体" w:cs="宋体"/>
          <w:color w:val="auto"/>
          <w:kern w:val="2"/>
          <w:sz w:val="24"/>
          <w:szCs w:val="24"/>
          <w:u w:val="single"/>
          <w:lang w:val="en-US" w:eastAsia="zh-CN"/>
        </w:rPr>
        <w:t>/</w:t>
      </w:r>
      <w:r>
        <w:rPr>
          <w:rFonts w:hint="eastAsia" w:ascii="宋体" w:hAnsi="宋体" w:cs="宋体"/>
          <w:color w:val="auto"/>
          <w:kern w:val="2"/>
          <w:sz w:val="24"/>
          <w:szCs w:val="24"/>
          <w:u w:val="single"/>
        </w:rPr>
        <w:t>小型企业</w:t>
      </w:r>
      <w:r>
        <w:rPr>
          <w:rFonts w:hint="eastAsia" w:ascii="宋体" w:hAnsi="宋体" w:cs="宋体"/>
          <w:color w:val="auto"/>
          <w:kern w:val="2"/>
          <w:sz w:val="24"/>
          <w:szCs w:val="24"/>
          <w:u w:val="single"/>
          <w:lang w:val="en-US" w:eastAsia="zh-CN"/>
        </w:rPr>
        <w:t>/</w:t>
      </w:r>
      <w:r>
        <w:rPr>
          <w:rFonts w:hint="eastAsia" w:ascii="宋体" w:hAnsi="宋体" w:cs="宋体"/>
          <w:color w:val="auto"/>
          <w:kern w:val="2"/>
          <w:sz w:val="24"/>
          <w:szCs w:val="24"/>
          <w:u w:val="single"/>
        </w:rPr>
        <w:t>微型企业）</w:t>
      </w:r>
      <w:r>
        <w:rPr>
          <w:rFonts w:hint="eastAsia" w:ascii="宋体" w:hAnsi="宋体" w:cs="宋体"/>
          <w:color w:val="auto"/>
          <w:kern w:val="2"/>
          <w:sz w:val="24"/>
          <w:szCs w:val="24"/>
        </w:rPr>
        <w:t>；</w:t>
      </w:r>
    </w:p>
    <w:p w14:paraId="045F7815">
      <w:pPr>
        <w:widowControl w:val="0"/>
        <w:spacing w:line="360" w:lineRule="auto"/>
        <w:ind w:firstLine="638" w:firstLineChars="266"/>
        <w:textAlignment w:val="auto"/>
        <w:rPr>
          <w:rFonts w:hint="eastAsia" w:ascii="宋体" w:hAnsi="宋体" w:eastAsia="宋体" w:cs="宋体"/>
          <w:color w:val="auto"/>
          <w:kern w:val="2"/>
          <w:sz w:val="24"/>
          <w:szCs w:val="24"/>
          <w:lang w:eastAsia="zh-CN"/>
        </w:rPr>
      </w:pPr>
      <w:r>
        <w:rPr>
          <w:rFonts w:hint="eastAsia" w:ascii="宋体" w:hAnsi="宋体" w:cs="宋体"/>
          <w:color w:val="auto"/>
          <w:kern w:val="2"/>
          <w:sz w:val="24"/>
          <w:szCs w:val="24"/>
          <w:lang w:eastAsia="zh-CN"/>
        </w:rPr>
        <w:t>……</w:t>
      </w:r>
    </w:p>
    <w:p w14:paraId="6187A1E1">
      <w:pPr>
        <w:widowControl w:val="0"/>
        <w:spacing w:line="360" w:lineRule="auto"/>
        <w:ind w:firstLine="638" w:firstLineChars="266"/>
        <w:textAlignment w:val="auto"/>
        <w:rPr>
          <w:rFonts w:ascii="宋体" w:hAnsi="宋体" w:cs="宋体"/>
          <w:color w:val="auto"/>
          <w:kern w:val="2"/>
          <w:sz w:val="24"/>
          <w:szCs w:val="24"/>
        </w:rPr>
      </w:pPr>
      <w:r>
        <w:rPr>
          <w:rFonts w:hint="eastAsia" w:ascii="宋体" w:hAnsi="宋体" w:cs="宋体"/>
          <w:color w:val="auto"/>
          <w:kern w:val="2"/>
          <w:sz w:val="24"/>
          <w:szCs w:val="24"/>
        </w:rPr>
        <w:t>以上企业，不属于大企业的分支机构，不存在控股股东为大企业的情形，也不存在与大企业的负责人为同一人的情形。</w:t>
      </w:r>
    </w:p>
    <w:p w14:paraId="4121A270">
      <w:pPr>
        <w:widowControl w:val="0"/>
        <w:spacing w:line="360" w:lineRule="auto"/>
        <w:ind w:firstLine="638" w:firstLineChars="266"/>
        <w:textAlignment w:val="auto"/>
        <w:rPr>
          <w:rFonts w:ascii="宋体" w:hAnsi="宋体" w:cs="宋体"/>
          <w:color w:val="auto"/>
          <w:kern w:val="2"/>
          <w:sz w:val="24"/>
          <w:szCs w:val="24"/>
        </w:rPr>
      </w:pPr>
      <w:r>
        <w:rPr>
          <w:rFonts w:hint="eastAsia" w:ascii="宋体" w:hAnsi="宋体" w:cs="宋体"/>
          <w:color w:val="auto"/>
          <w:kern w:val="2"/>
          <w:sz w:val="24"/>
          <w:szCs w:val="24"/>
        </w:rPr>
        <w:t>本企业对上述声明内容的真实性负责。如有虚假，将依法承担相应责任。</w:t>
      </w:r>
    </w:p>
    <w:p w14:paraId="769EED0F">
      <w:pPr>
        <w:widowControl w:val="0"/>
        <w:adjustRightInd w:val="0"/>
        <w:spacing w:after="60" w:line="360" w:lineRule="atLeast"/>
        <w:ind w:left="63" w:leftChars="30" w:right="63" w:rightChars="30" w:firstLine="240" w:firstLineChars="100"/>
        <w:jc w:val="center"/>
        <w:rPr>
          <w:rFonts w:ascii="宋体" w:hAnsi="宋体" w:cs="宋体"/>
          <w:color w:val="auto"/>
          <w:kern w:val="2"/>
          <w:sz w:val="24"/>
          <w:szCs w:val="24"/>
        </w:rPr>
      </w:pPr>
    </w:p>
    <w:p w14:paraId="33D60FDA">
      <w:pPr>
        <w:widowControl w:val="0"/>
        <w:spacing w:after="120" w:line="360" w:lineRule="auto"/>
        <w:ind w:left="420" w:leftChars="200" w:firstLine="200"/>
        <w:rPr>
          <w:color w:val="auto"/>
          <w:kern w:val="2"/>
          <w:sz w:val="28"/>
          <w:szCs w:val="22"/>
        </w:rPr>
      </w:pPr>
    </w:p>
    <w:p w14:paraId="1E4A707F">
      <w:pPr>
        <w:widowControl w:val="0"/>
        <w:wordWrap w:val="0"/>
        <w:spacing w:line="360" w:lineRule="auto"/>
        <w:jc w:val="right"/>
        <w:textAlignment w:val="auto"/>
        <w:rPr>
          <w:rFonts w:ascii="宋体" w:hAnsi="宋体" w:cs="宋体"/>
          <w:color w:val="auto"/>
          <w:kern w:val="2"/>
          <w:sz w:val="24"/>
          <w:szCs w:val="24"/>
        </w:rPr>
      </w:pPr>
      <w:r>
        <w:rPr>
          <w:rFonts w:hint="eastAsia" w:ascii="宋体" w:hAnsi="宋体" w:cs="宋体"/>
          <w:color w:val="auto"/>
          <w:kern w:val="2"/>
          <w:sz w:val="24"/>
          <w:szCs w:val="24"/>
        </w:rPr>
        <w:t xml:space="preserve">企业名称（盖章）：          </w:t>
      </w:r>
    </w:p>
    <w:p w14:paraId="0C0E7D2C">
      <w:pPr>
        <w:widowControl w:val="0"/>
        <w:adjustRightInd w:val="0"/>
        <w:spacing w:after="60" w:line="360" w:lineRule="atLeast"/>
        <w:ind w:left="63" w:leftChars="30" w:right="63" w:rightChars="30" w:firstLine="240" w:firstLineChars="100"/>
        <w:jc w:val="center"/>
        <w:rPr>
          <w:rFonts w:ascii="宋体" w:hAnsi="宋体" w:cs="宋体"/>
          <w:color w:val="auto"/>
          <w:kern w:val="2"/>
          <w:sz w:val="24"/>
          <w:szCs w:val="24"/>
        </w:rPr>
      </w:pPr>
    </w:p>
    <w:p w14:paraId="46A946C4">
      <w:pPr>
        <w:widowControl w:val="0"/>
        <w:spacing w:line="360" w:lineRule="auto"/>
        <w:ind w:firstLine="641" w:firstLineChars="266"/>
        <w:jc w:val="left"/>
        <w:textAlignment w:val="auto"/>
        <w:rPr>
          <w:rFonts w:ascii="宋体" w:hAnsi="宋体" w:cs="宋体"/>
          <w:b/>
          <w:bCs/>
          <w:color w:val="auto"/>
          <w:kern w:val="2"/>
          <w:sz w:val="24"/>
        </w:rPr>
      </w:pPr>
      <w:r>
        <w:rPr>
          <w:rFonts w:hint="eastAsia" w:ascii="宋体" w:hAnsi="宋体" w:cs="宋体"/>
          <w:b/>
          <w:bCs/>
          <w:color w:val="auto"/>
          <w:kern w:val="2"/>
          <w:sz w:val="24"/>
        </w:rPr>
        <w:t>日 期：</w:t>
      </w:r>
    </w:p>
    <w:p w14:paraId="796A20A9">
      <w:pPr>
        <w:widowControl w:val="0"/>
        <w:spacing w:line="360" w:lineRule="auto"/>
        <w:ind w:firstLine="641" w:firstLineChars="266"/>
        <w:jc w:val="left"/>
        <w:textAlignment w:val="auto"/>
        <w:rPr>
          <w:rFonts w:ascii="宋体" w:hAnsi="宋体" w:cs="宋体"/>
          <w:b/>
          <w:bCs/>
          <w:color w:val="auto"/>
          <w:kern w:val="2"/>
          <w:sz w:val="24"/>
        </w:rPr>
      </w:pPr>
      <w:r>
        <w:rPr>
          <w:rFonts w:hint="eastAsia" w:ascii="宋体" w:hAnsi="宋体" w:cs="宋体"/>
          <w:b/>
          <w:bCs/>
          <w:color w:val="auto"/>
          <w:kern w:val="2"/>
          <w:sz w:val="24"/>
        </w:rPr>
        <w:t>注：1、从业人员、营业收入、资产总额填报上一年度数据，无上一年度数据的新成立企业可不填报。投标人必须如实填报声明函，如有弄虚作假，一经查实，移交相关部门严肃处理。</w:t>
      </w:r>
    </w:p>
    <w:p w14:paraId="0266A113">
      <w:pPr>
        <w:widowControl w:val="0"/>
        <w:numPr>
          <w:ilvl w:val="0"/>
          <w:numId w:val="11"/>
        </w:numPr>
        <w:spacing w:line="360" w:lineRule="auto"/>
        <w:ind w:firstLine="641" w:firstLineChars="266"/>
        <w:jc w:val="left"/>
        <w:textAlignment w:val="auto"/>
        <w:rPr>
          <w:rFonts w:ascii="宋体" w:hAnsi="宋体" w:cs="宋体"/>
          <w:b/>
          <w:bCs/>
          <w:color w:val="auto"/>
          <w:kern w:val="2"/>
          <w:sz w:val="24"/>
        </w:rPr>
      </w:pPr>
      <w:r>
        <w:rPr>
          <w:rFonts w:hint="eastAsia" w:ascii="宋体" w:hAnsi="宋体" w:cs="宋体"/>
          <w:b/>
          <w:bCs/>
          <w:color w:val="auto"/>
          <w:kern w:val="2"/>
          <w:sz w:val="24"/>
        </w:rPr>
        <w:t>中小企业划分标准见工业和信息化部国家统计局国家发展和改革委员财政部《关于印发中小企业划型标准规定的通知》（工信部联企业【2011】300号）。</w:t>
      </w:r>
    </w:p>
    <w:p w14:paraId="61308F9A">
      <w:pPr>
        <w:pStyle w:val="113"/>
        <w:ind w:firstLine="638" w:firstLineChars="266"/>
        <w:rPr>
          <w:rFonts w:hAnsi="宋体" w:cs="宋体"/>
          <w:color w:val="auto"/>
        </w:rPr>
      </w:pPr>
    </w:p>
    <w:p w14:paraId="768ED9BD">
      <w:pPr>
        <w:widowControl w:val="0"/>
        <w:spacing w:line="240" w:lineRule="auto"/>
        <w:textAlignment w:val="auto"/>
        <w:rPr>
          <w:rFonts w:ascii="宋体" w:hAnsi="宋体" w:cs="宋体"/>
          <w:color w:val="auto"/>
          <w:kern w:val="2"/>
          <w:szCs w:val="24"/>
        </w:rPr>
      </w:pPr>
    </w:p>
    <w:p w14:paraId="362A633F">
      <w:pPr>
        <w:pStyle w:val="113"/>
        <w:ind w:firstLine="0" w:firstLineChars="0"/>
        <w:rPr>
          <w:rFonts w:hAnsi="宋体" w:cs="宋体"/>
          <w:color w:val="auto"/>
        </w:rPr>
      </w:pPr>
    </w:p>
    <w:p w14:paraId="608938DD">
      <w:pPr>
        <w:rPr>
          <w:color w:val="auto"/>
        </w:rPr>
      </w:pPr>
    </w:p>
    <w:p w14:paraId="6F00A84A">
      <w:pPr>
        <w:jc w:val="left"/>
        <w:rPr>
          <w:rFonts w:hint="eastAsia" w:ascii="宋体" w:hAnsi="宋体" w:cs="宋体"/>
          <w:color w:val="auto"/>
          <w:sz w:val="28"/>
          <w:szCs w:val="28"/>
        </w:rPr>
      </w:pPr>
      <w:r>
        <w:rPr>
          <w:rFonts w:hint="eastAsia" w:ascii="宋体" w:hAnsi="宋体" w:cs="宋体"/>
          <w:color w:val="auto"/>
          <w:sz w:val="28"/>
          <w:szCs w:val="28"/>
        </w:rPr>
        <w:t>附件</w:t>
      </w:r>
      <w:r>
        <w:rPr>
          <w:rFonts w:hint="eastAsia" w:ascii="宋体" w:hAnsi="宋体" w:cs="宋体"/>
          <w:color w:val="auto"/>
          <w:sz w:val="28"/>
          <w:szCs w:val="28"/>
          <w:lang w:val="en-US" w:eastAsia="zh-CN"/>
        </w:rPr>
        <w:t>2</w:t>
      </w:r>
      <w:r>
        <w:rPr>
          <w:rFonts w:hint="eastAsia" w:ascii="宋体" w:hAnsi="宋体" w:cs="宋体"/>
          <w:color w:val="auto"/>
          <w:sz w:val="28"/>
          <w:szCs w:val="28"/>
        </w:rPr>
        <w:t>：</w:t>
      </w:r>
    </w:p>
    <w:p w14:paraId="3B5EDEFA">
      <w:pPr>
        <w:jc w:val="center"/>
        <w:rPr>
          <w:rFonts w:ascii="宋体" w:hAnsi="宋体" w:cs="宋体"/>
          <w:color w:val="auto"/>
          <w:sz w:val="30"/>
          <w:szCs w:val="30"/>
        </w:rPr>
      </w:pPr>
      <w:r>
        <w:rPr>
          <w:rFonts w:hint="eastAsia" w:ascii="宋体" w:hAnsi="宋体" w:cs="宋体"/>
          <w:color w:val="auto"/>
          <w:sz w:val="30"/>
          <w:szCs w:val="30"/>
        </w:rPr>
        <w:t>监狱企业证明文件</w:t>
      </w:r>
    </w:p>
    <w:p w14:paraId="75E7AE3D">
      <w:pPr>
        <w:rPr>
          <w:rFonts w:hint="eastAsia" w:ascii="宋体" w:hAnsi="宋体" w:cs="宋体"/>
          <w:color w:val="auto"/>
          <w:sz w:val="24"/>
          <w:szCs w:val="24"/>
        </w:rPr>
      </w:pPr>
    </w:p>
    <w:p w14:paraId="6286AEC8">
      <w:pPr>
        <w:rPr>
          <w:color w:val="auto"/>
        </w:rPr>
      </w:pPr>
      <w:r>
        <w:rPr>
          <w:rFonts w:hint="eastAsia" w:ascii="宋体" w:hAnsi="宋体" w:cs="宋体"/>
          <w:color w:val="auto"/>
          <w:sz w:val="24"/>
          <w:szCs w:val="24"/>
        </w:rPr>
        <w:t>（监狱企业参加政府采购活动时，应当提供由省级以上监狱管理局、戒毒管理局（含新疆生产建设兵团）出具的属于监狱企业的证明文件。在投标文件中提供原件的彩色扫描件。</w:t>
      </w:r>
    </w:p>
    <w:p w14:paraId="0C6FBE57">
      <w:pPr>
        <w:pStyle w:val="17"/>
        <w:rPr>
          <w:color w:val="auto"/>
        </w:rPr>
      </w:pPr>
    </w:p>
    <w:p w14:paraId="75492CE7">
      <w:pPr>
        <w:pStyle w:val="17"/>
        <w:rPr>
          <w:rFonts w:hint="eastAsia" w:ascii="宋体" w:hAnsi="宋体" w:cs="宋体"/>
          <w:color w:val="auto"/>
          <w:sz w:val="28"/>
          <w:szCs w:val="28"/>
        </w:rPr>
      </w:pPr>
    </w:p>
    <w:p w14:paraId="16159ECF">
      <w:pPr>
        <w:pStyle w:val="17"/>
        <w:rPr>
          <w:rFonts w:hint="eastAsia" w:ascii="宋体" w:hAnsi="宋体" w:cs="宋体"/>
          <w:color w:val="auto"/>
          <w:sz w:val="28"/>
          <w:szCs w:val="28"/>
        </w:rPr>
      </w:pPr>
    </w:p>
    <w:p w14:paraId="76556698">
      <w:pPr>
        <w:jc w:val="left"/>
        <w:rPr>
          <w:rFonts w:hint="eastAsia" w:ascii="宋体" w:hAnsi="宋体" w:cs="宋体"/>
          <w:color w:val="auto"/>
          <w:sz w:val="28"/>
          <w:szCs w:val="28"/>
        </w:rPr>
      </w:pPr>
      <w:r>
        <w:rPr>
          <w:rFonts w:hint="eastAsia" w:ascii="宋体" w:hAnsi="宋体" w:cs="宋体"/>
          <w:color w:val="auto"/>
          <w:sz w:val="24"/>
        </w:rPr>
        <w:br w:type="page"/>
      </w:r>
      <w:r>
        <w:rPr>
          <w:rFonts w:hint="eastAsia" w:ascii="宋体" w:hAnsi="宋体" w:cs="宋体"/>
          <w:color w:val="auto"/>
          <w:sz w:val="28"/>
          <w:szCs w:val="28"/>
        </w:rPr>
        <w:t>附件</w:t>
      </w:r>
      <w:r>
        <w:rPr>
          <w:rFonts w:hint="eastAsia" w:ascii="宋体" w:hAnsi="宋体" w:cs="宋体"/>
          <w:color w:val="auto"/>
          <w:sz w:val="28"/>
          <w:szCs w:val="28"/>
          <w:lang w:val="en-US" w:eastAsia="zh-CN"/>
        </w:rPr>
        <w:t>3</w:t>
      </w:r>
      <w:r>
        <w:rPr>
          <w:rFonts w:hint="eastAsia" w:ascii="宋体" w:hAnsi="宋体" w:cs="宋体"/>
          <w:color w:val="auto"/>
          <w:sz w:val="28"/>
          <w:szCs w:val="28"/>
        </w:rPr>
        <w:t>：</w:t>
      </w:r>
    </w:p>
    <w:p w14:paraId="3D656BBE">
      <w:pPr>
        <w:spacing w:line="360" w:lineRule="auto"/>
        <w:jc w:val="center"/>
        <w:rPr>
          <w:rFonts w:ascii="宋体" w:hAnsi="宋体" w:cs="宋体"/>
          <w:bCs/>
          <w:color w:val="auto"/>
          <w:sz w:val="30"/>
          <w:szCs w:val="30"/>
        </w:rPr>
      </w:pPr>
      <w:r>
        <w:rPr>
          <w:rFonts w:hint="eastAsia" w:ascii="宋体" w:hAnsi="宋体" w:cs="宋体"/>
          <w:bCs/>
          <w:color w:val="auto"/>
          <w:sz w:val="30"/>
          <w:szCs w:val="30"/>
        </w:rPr>
        <w:t>残疾人福利性单位声明函</w:t>
      </w:r>
    </w:p>
    <w:p w14:paraId="74BE804B">
      <w:pPr>
        <w:spacing w:after="120" w:line="480" w:lineRule="auto"/>
        <w:jc w:val="left"/>
        <w:rPr>
          <w:rFonts w:ascii="宋体" w:hAnsi="宋体" w:cs="宋体"/>
          <w:color w:val="auto"/>
          <w:sz w:val="24"/>
        </w:rPr>
      </w:pPr>
    </w:p>
    <w:p w14:paraId="5938AC69">
      <w:pPr>
        <w:spacing w:after="120" w:line="480" w:lineRule="auto"/>
        <w:ind w:firstLine="420" w:firstLineChars="175"/>
        <w:jc w:val="left"/>
        <w:rPr>
          <w:rFonts w:ascii="宋体" w:hAnsi="宋体" w:cs="宋体"/>
          <w:color w:val="auto"/>
          <w:sz w:val="24"/>
          <w:szCs w:val="24"/>
        </w:rPr>
      </w:pPr>
      <w:r>
        <w:rPr>
          <w:rFonts w:hint="eastAsia" w:ascii="宋体" w:hAnsi="宋体" w:cs="宋体"/>
          <w:color w:val="auto"/>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szCs w:val="24"/>
          <w:u w:val="single"/>
        </w:rPr>
        <w:t xml:space="preserve">           </w:t>
      </w:r>
      <w:r>
        <w:rPr>
          <w:rFonts w:hint="eastAsia" w:ascii="宋体" w:hAnsi="宋体" w:cs="宋体"/>
          <w:color w:val="auto"/>
          <w:sz w:val="24"/>
          <w:szCs w:val="24"/>
        </w:rPr>
        <w:t>单位的</w:t>
      </w:r>
      <w:r>
        <w:rPr>
          <w:rFonts w:hint="eastAsia" w:ascii="宋体" w:hAnsi="宋体" w:cs="宋体"/>
          <w:color w:val="auto"/>
          <w:sz w:val="24"/>
          <w:szCs w:val="24"/>
          <w:u w:val="single"/>
        </w:rPr>
        <w:t xml:space="preserve">           </w:t>
      </w:r>
      <w:r>
        <w:rPr>
          <w:rFonts w:hint="eastAsia" w:ascii="宋体" w:hAnsi="宋体" w:cs="宋体"/>
          <w:color w:val="auto"/>
          <w:sz w:val="24"/>
          <w:szCs w:val="24"/>
        </w:rPr>
        <w:t>项目采购活动提供本单位制造的货物，或者提供其他残疾人福利性单位制造的货物（不包括使用非残疾人福利性单位注册商标的货物）。</w:t>
      </w:r>
    </w:p>
    <w:p w14:paraId="4762D2DC">
      <w:pPr>
        <w:spacing w:after="120" w:line="480" w:lineRule="auto"/>
        <w:ind w:firstLine="420" w:firstLineChars="175"/>
        <w:jc w:val="left"/>
        <w:rPr>
          <w:rFonts w:ascii="宋体" w:hAnsi="宋体" w:cs="宋体"/>
          <w:color w:val="auto"/>
          <w:sz w:val="24"/>
          <w:szCs w:val="24"/>
        </w:rPr>
      </w:pPr>
      <w:r>
        <w:rPr>
          <w:rFonts w:hint="eastAsia" w:ascii="宋体" w:hAnsi="宋体" w:cs="宋体"/>
          <w:color w:val="auto"/>
          <w:sz w:val="24"/>
          <w:szCs w:val="24"/>
        </w:rPr>
        <w:t>本单位对上述声明的真实性负责。如有虚假，将依法承担相应责任。</w:t>
      </w:r>
    </w:p>
    <w:p w14:paraId="479D9A71">
      <w:pPr>
        <w:spacing w:after="120" w:line="480" w:lineRule="auto"/>
        <w:ind w:firstLine="420" w:firstLineChars="175"/>
        <w:jc w:val="left"/>
        <w:rPr>
          <w:rFonts w:ascii="宋体" w:hAnsi="宋体" w:cs="宋体"/>
          <w:color w:val="auto"/>
          <w:sz w:val="24"/>
          <w:szCs w:val="24"/>
        </w:rPr>
      </w:pPr>
    </w:p>
    <w:p w14:paraId="495F3D11">
      <w:pPr>
        <w:spacing w:after="120" w:line="480" w:lineRule="auto"/>
        <w:jc w:val="left"/>
        <w:rPr>
          <w:rFonts w:ascii="宋体" w:hAnsi="宋体" w:cs="宋体"/>
          <w:color w:val="auto"/>
          <w:sz w:val="24"/>
          <w:szCs w:val="24"/>
        </w:rPr>
      </w:pPr>
      <w:r>
        <w:rPr>
          <w:rFonts w:hint="eastAsia" w:ascii="宋体" w:hAnsi="宋体" w:cs="宋体"/>
          <w:color w:val="auto"/>
          <w:sz w:val="24"/>
          <w:szCs w:val="24"/>
        </w:rPr>
        <w:t>单位名称（</w:t>
      </w:r>
      <w:r>
        <w:rPr>
          <w:rFonts w:hint="eastAsia" w:ascii="宋体" w:hAnsi="宋体" w:cs="宋体"/>
          <w:color w:val="auto"/>
          <w:sz w:val="24"/>
        </w:rPr>
        <w:t>盖公章</w:t>
      </w:r>
      <w:r>
        <w:rPr>
          <w:rFonts w:hint="eastAsia" w:ascii="宋体" w:hAnsi="宋体" w:cs="宋体"/>
          <w:color w:val="auto"/>
          <w:sz w:val="24"/>
          <w:szCs w:val="24"/>
        </w:rPr>
        <w:t>）：</w:t>
      </w:r>
    </w:p>
    <w:p w14:paraId="1E8D46BF">
      <w:pPr>
        <w:spacing w:after="120" w:line="480" w:lineRule="auto"/>
        <w:jc w:val="left"/>
        <w:rPr>
          <w:rFonts w:ascii="宋体" w:hAnsi="宋体" w:cs="宋体"/>
          <w:color w:val="auto"/>
          <w:sz w:val="24"/>
          <w:szCs w:val="24"/>
        </w:rPr>
      </w:pPr>
      <w:r>
        <w:rPr>
          <w:rFonts w:hint="eastAsia" w:ascii="宋体" w:hAnsi="宋体" w:cs="宋体"/>
          <w:color w:val="auto"/>
          <w:sz w:val="24"/>
          <w:szCs w:val="24"/>
        </w:rPr>
        <w:t>日期：</w:t>
      </w:r>
    </w:p>
    <w:p w14:paraId="37A2B35E">
      <w:pPr>
        <w:pStyle w:val="17"/>
        <w:rPr>
          <w:color w:val="auto"/>
        </w:rPr>
      </w:pPr>
    </w:p>
    <w:p w14:paraId="46C2BE47">
      <w:pPr>
        <w:rPr>
          <w:color w:val="auto"/>
        </w:rPr>
      </w:pPr>
    </w:p>
    <w:sectPr>
      <w:footerReference r:id="rId7" w:type="default"/>
      <w:endnotePr>
        <w:numFmt w:val="decimal"/>
      </w:endnotePr>
      <w:pgSz w:w="11905" w:h="16838"/>
      <w:pgMar w:top="1134" w:right="1134" w:bottom="1134" w:left="1134" w:header="719" w:footer="1133" w:gutter="0"/>
      <w:pgBorders>
        <w:top w:val="none" w:sz="0" w:space="0"/>
        <w:left w:val="none" w:sz="0" w:space="0"/>
        <w:bottom w:val="none" w:sz="0" w:space="0"/>
        <w:right w:val="none" w:sz="0" w:space="0"/>
      </w:pgBorders>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汉仪书宋二S">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A4363">
    <w:pPr>
      <w:pStyle w:val="19"/>
      <w:jc w:val="center"/>
    </w:pPr>
  </w:p>
  <w:p w14:paraId="22F2A9A4">
    <w:pPr>
      <w:pStyle w:val="12"/>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9F18D">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07A174">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5007A174">
                    <w:pPr>
                      <w:pStyle w:val="19"/>
                    </w:pPr>
                    <w:r>
                      <w:fldChar w:fldCharType="begin"/>
                    </w:r>
                    <w:r>
                      <w:instrText xml:space="preserve"> PAGE  \* MERGEFORMAT </w:instrText>
                    </w:r>
                    <w:r>
                      <w:fldChar w:fldCharType="separate"/>
                    </w:r>
                    <w:r>
                      <w:t>1</w:t>
                    </w:r>
                    <w:r>
                      <w:fldChar w:fldCharType="end"/>
                    </w:r>
                  </w:p>
                </w:txbxContent>
              </v:textbox>
            </v:shape>
          </w:pict>
        </mc:Fallback>
      </mc:AlternateContent>
    </w:r>
  </w:p>
  <w:p w14:paraId="2813B1B2">
    <w:pPr>
      <w:pStyle w:val="12"/>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D24E3">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2F4C1"/>
    <w:multiLevelType w:val="singleLevel"/>
    <w:tmpl w:val="84C2F4C1"/>
    <w:lvl w:ilvl="0" w:tentative="0">
      <w:start w:val="1"/>
      <w:numFmt w:val="decimal"/>
      <w:suff w:val="nothing"/>
      <w:lvlText w:val="（%1）"/>
      <w:lvlJc w:val="left"/>
    </w:lvl>
  </w:abstractNum>
  <w:abstractNum w:abstractNumId="1">
    <w:nsid w:val="85F792C9"/>
    <w:multiLevelType w:val="singleLevel"/>
    <w:tmpl w:val="85F792C9"/>
    <w:lvl w:ilvl="0" w:tentative="0">
      <w:start w:val="2"/>
      <w:numFmt w:val="decimal"/>
      <w:suff w:val="nothing"/>
      <w:lvlText w:val="%1、"/>
      <w:lvlJc w:val="left"/>
    </w:lvl>
  </w:abstractNum>
  <w:abstractNum w:abstractNumId="2">
    <w:nsid w:val="9CC6F3DA"/>
    <w:multiLevelType w:val="singleLevel"/>
    <w:tmpl w:val="9CC6F3DA"/>
    <w:lvl w:ilvl="0" w:tentative="0">
      <w:start w:val="2"/>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8DD35C2"/>
    <w:multiLevelType w:val="multilevel"/>
    <w:tmpl w:val="08DD35C2"/>
    <w:lvl w:ilvl="0" w:tentative="0">
      <w:start w:val="1"/>
      <w:numFmt w:val="chineseCountingThousand"/>
      <w:pStyle w:val="124"/>
      <w:suff w:val="space"/>
      <w:lvlText w:val="%1"/>
      <w:lvlJc w:val="left"/>
      <w:pPr>
        <w:ind w:left="425" w:hanging="425"/>
      </w:pPr>
      <w:rPr>
        <w:rFonts w:hint="eastAsia"/>
      </w:rPr>
    </w:lvl>
    <w:lvl w:ilvl="1" w:tentative="0">
      <w:start w:val="1"/>
      <w:numFmt w:val="decimal"/>
      <w:pStyle w:val="125"/>
      <w:isLgl/>
      <w:suff w:val="space"/>
      <w:lvlText w:val="%1.%2"/>
      <w:lvlJc w:val="left"/>
      <w:pPr>
        <w:ind w:left="425" w:hanging="425"/>
      </w:pPr>
      <w:rPr>
        <w:rFonts w:hint="eastAsia"/>
      </w:rPr>
    </w:lvl>
    <w:lvl w:ilvl="2" w:tentative="0">
      <w:start w:val="1"/>
      <w:numFmt w:val="decimal"/>
      <w:pStyle w:val="126"/>
      <w:isLgl/>
      <w:suff w:val="space"/>
      <w:lvlText w:val="%1.%2.%3"/>
      <w:lvlJc w:val="left"/>
      <w:pPr>
        <w:ind w:left="425" w:hanging="425"/>
      </w:pPr>
      <w:rPr>
        <w:rFonts w:hint="eastAsia"/>
      </w:rPr>
    </w:lvl>
    <w:lvl w:ilvl="3" w:tentative="0">
      <w:start w:val="1"/>
      <w:numFmt w:val="decimal"/>
      <w:isLgl/>
      <w:suff w:val="space"/>
      <w:lvlText w:val="%1.%2.%3.%4"/>
      <w:lvlJc w:val="left"/>
      <w:pPr>
        <w:ind w:left="425" w:hanging="425"/>
      </w:pPr>
      <w:rPr>
        <w:rFonts w:hint="eastAsia"/>
      </w:rPr>
    </w:lvl>
    <w:lvl w:ilvl="4" w:tentative="0">
      <w:start w:val="1"/>
      <w:numFmt w:val="decimal"/>
      <w:isLgl/>
      <w:suff w:val="space"/>
      <w:lvlText w:val="%1.%2.%3.%4.%5"/>
      <w:lvlJc w:val="left"/>
      <w:pPr>
        <w:ind w:left="4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10">
    <w:nsid w:val="7A0F6431"/>
    <w:multiLevelType w:val="singleLevel"/>
    <w:tmpl w:val="7A0F6431"/>
    <w:lvl w:ilvl="0" w:tentative="0">
      <w:start w:val="1"/>
      <w:numFmt w:val="decimal"/>
      <w:suff w:val="space"/>
      <w:lvlText w:val="%1."/>
      <w:lvlJc w:val="left"/>
    </w:lvl>
  </w:abstractNum>
  <w:num w:numId="1">
    <w:abstractNumId w:val="9"/>
  </w:num>
  <w:num w:numId="2">
    <w:abstractNumId w:val="0"/>
  </w:num>
  <w:num w:numId="3">
    <w:abstractNumId w:val="10"/>
  </w:num>
  <w:num w:numId="4">
    <w:abstractNumId w:val="4"/>
  </w:num>
  <w:num w:numId="5">
    <w:abstractNumId w:val="8"/>
  </w:num>
  <w:num w:numId="6">
    <w:abstractNumId w:val="6"/>
  </w:num>
  <w:num w:numId="7">
    <w:abstractNumId w:val="5"/>
  </w:num>
  <w:num w:numId="8">
    <w:abstractNumId w:val="3"/>
  </w:num>
  <w:num w:numId="9">
    <w:abstractNumId w:val="7"/>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I0MTc1NmJkZWU2Y2FiNDZiZGM4YzdkZDI4NjgifQ=="/>
  </w:docVars>
  <w:rsids>
    <w:rsidRoot w:val="004033AA"/>
    <w:rsid w:val="00000ECB"/>
    <w:rsid w:val="00006424"/>
    <w:rsid w:val="00013D57"/>
    <w:rsid w:val="00021125"/>
    <w:rsid w:val="0002722E"/>
    <w:rsid w:val="0003618B"/>
    <w:rsid w:val="0004599B"/>
    <w:rsid w:val="00062706"/>
    <w:rsid w:val="00063373"/>
    <w:rsid w:val="00064843"/>
    <w:rsid w:val="0007370F"/>
    <w:rsid w:val="00085BB8"/>
    <w:rsid w:val="000A05CC"/>
    <w:rsid w:val="000A14E2"/>
    <w:rsid w:val="000A64A5"/>
    <w:rsid w:val="000C1A4D"/>
    <w:rsid w:val="000C72B2"/>
    <w:rsid w:val="000D1786"/>
    <w:rsid w:val="000E0D21"/>
    <w:rsid w:val="000E434E"/>
    <w:rsid w:val="000F5312"/>
    <w:rsid w:val="00103476"/>
    <w:rsid w:val="001100B0"/>
    <w:rsid w:val="00123AFA"/>
    <w:rsid w:val="00134AD6"/>
    <w:rsid w:val="001476B7"/>
    <w:rsid w:val="00151000"/>
    <w:rsid w:val="00153F7C"/>
    <w:rsid w:val="00170A85"/>
    <w:rsid w:val="0018622E"/>
    <w:rsid w:val="00187C0C"/>
    <w:rsid w:val="001B64A8"/>
    <w:rsid w:val="001C5489"/>
    <w:rsid w:val="001C736D"/>
    <w:rsid w:val="001E3ADA"/>
    <w:rsid w:val="001E44EE"/>
    <w:rsid w:val="002077EA"/>
    <w:rsid w:val="00216E73"/>
    <w:rsid w:val="00220F71"/>
    <w:rsid w:val="002253BA"/>
    <w:rsid w:val="0024197D"/>
    <w:rsid w:val="002426E9"/>
    <w:rsid w:val="00242E3A"/>
    <w:rsid w:val="002676CC"/>
    <w:rsid w:val="00294048"/>
    <w:rsid w:val="00295449"/>
    <w:rsid w:val="002B1314"/>
    <w:rsid w:val="002B5769"/>
    <w:rsid w:val="002B7484"/>
    <w:rsid w:val="002C0DC7"/>
    <w:rsid w:val="002C3B8B"/>
    <w:rsid w:val="002D704B"/>
    <w:rsid w:val="002F1A85"/>
    <w:rsid w:val="002F26B6"/>
    <w:rsid w:val="002F2DCF"/>
    <w:rsid w:val="002F5109"/>
    <w:rsid w:val="002F6C4B"/>
    <w:rsid w:val="00303355"/>
    <w:rsid w:val="00310BFB"/>
    <w:rsid w:val="00314C3A"/>
    <w:rsid w:val="00316859"/>
    <w:rsid w:val="00323E4F"/>
    <w:rsid w:val="00324CEE"/>
    <w:rsid w:val="003451A6"/>
    <w:rsid w:val="003529E8"/>
    <w:rsid w:val="003666A2"/>
    <w:rsid w:val="003703EE"/>
    <w:rsid w:val="00383170"/>
    <w:rsid w:val="003858A7"/>
    <w:rsid w:val="00391987"/>
    <w:rsid w:val="003B061C"/>
    <w:rsid w:val="003B2DAF"/>
    <w:rsid w:val="003B6110"/>
    <w:rsid w:val="003B7E83"/>
    <w:rsid w:val="003E1FAD"/>
    <w:rsid w:val="004033AA"/>
    <w:rsid w:val="00424323"/>
    <w:rsid w:val="00426C8F"/>
    <w:rsid w:val="00431134"/>
    <w:rsid w:val="00436CD8"/>
    <w:rsid w:val="00441D57"/>
    <w:rsid w:val="00446576"/>
    <w:rsid w:val="0046318F"/>
    <w:rsid w:val="00475508"/>
    <w:rsid w:val="00481813"/>
    <w:rsid w:val="00481FB0"/>
    <w:rsid w:val="00483CAA"/>
    <w:rsid w:val="00490567"/>
    <w:rsid w:val="00491BBA"/>
    <w:rsid w:val="004A0A31"/>
    <w:rsid w:val="004C2405"/>
    <w:rsid w:val="004C36D5"/>
    <w:rsid w:val="004D6CAB"/>
    <w:rsid w:val="004E1BFD"/>
    <w:rsid w:val="004E21B6"/>
    <w:rsid w:val="004E2611"/>
    <w:rsid w:val="004E575F"/>
    <w:rsid w:val="004E7501"/>
    <w:rsid w:val="00504241"/>
    <w:rsid w:val="005135B8"/>
    <w:rsid w:val="005170B3"/>
    <w:rsid w:val="0052239F"/>
    <w:rsid w:val="00532656"/>
    <w:rsid w:val="005352E5"/>
    <w:rsid w:val="00544D9C"/>
    <w:rsid w:val="00545557"/>
    <w:rsid w:val="005458C1"/>
    <w:rsid w:val="005565C6"/>
    <w:rsid w:val="00566714"/>
    <w:rsid w:val="00581FE1"/>
    <w:rsid w:val="00586FEC"/>
    <w:rsid w:val="00591613"/>
    <w:rsid w:val="00597E38"/>
    <w:rsid w:val="005A3B81"/>
    <w:rsid w:val="005C31F0"/>
    <w:rsid w:val="005C70E3"/>
    <w:rsid w:val="0061115E"/>
    <w:rsid w:val="00615DEF"/>
    <w:rsid w:val="0061763F"/>
    <w:rsid w:val="00622917"/>
    <w:rsid w:val="00625922"/>
    <w:rsid w:val="00627D97"/>
    <w:rsid w:val="00635882"/>
    <w:rsid w:val="00644DEB"/>
    <w:rsid w:val="00651B3C"/>
    <w:rsid w:val="0065692A"/>
    <w:rsid w:val="006578E1"/>
    <w:rsid w:val="00657FC7"/>
    <w:rsid w:val="00660EFB"/>
    <w:rsid w:val="00665BF0"/>
    <w:rsid w:val="0067563B"/>
    <w:rsid w:val="00680AD9"/>
    <w:rsid w:val="006825B8"/>
    <w:rsid w:val="0068573A"/>
    <w:rsid w:val="006939E6"/>
    <w:rsid w:val="00697F65"/>
    <w:rsid w:val="006A0CC9"/>
    <w:rsid w:val="006A0FA7"/>
    <w:rsid w:val="006A4F47"/>
    <w:rsid w:val="006C343E"/>
    <w:rsid w:val="006C52A7"/>
    <w:rsid w:val="006D290F"/>
    <w:rsid w:val="006E3F4D"/>
    <w:rsid w:val="006F77AD"/>
    <w:rsid w:val="00714D0B"/>
    <w:rsid w:val="00716352"/>
    <w:rsid w:val="00716E40"/>
    <w:rsid w:val="00720001"/>
    <w:rsid w:val="007200A6"/>
    <w:rsid w:val="007266E4"/>
    <w:rsid w:val="00737DD1"/>
    <w:rsid w:val="007422C1"/>
    <w:rsid w:val="00747EB5"/>
    <w:rsid w:val="007508C7"/>
    <w:rsid w:val="007540A8"/>
    <w:rsid w:val="007677CE"/>
    <w:rsid w:val="007725FE"/>
    <w:rsid w:val="007839F2"/>
    <w:rsid w:val="00790928"/>
    <w:rsid w:val="00791EB1"/>
    <w:rsid w:val="00791FCC"/>
    <w:rsid w:val="007A50D7"/>
    <w:rsid w:val="007A6448"/>
    <w:rsid w:val="007A74D5"/>
    <w:rsid w:val="007C0FB5"/>
    <w:rsid w:val="007C1A41"/>
    <w:rsid w:val="007C3EE6"/>
    <w:rsid w:val="007D37E8"/>
    <w:rsid w:val="007D4735"/>
    <w:rsid w:val="007E1076"/>
    <w:rsid w:val="007F3E77"/>
    <w:rsid w:val="00826CA4"/>
    <w:rsid w:val="008662AE"/>
    <w:rsid w:val="008704F5"/>
    <w:rsid w:val="00873966"/>
    <w:rsid w:val="0088240D"/>
    <w:rsid w:val="00894B53"/>
    <w:rsid w:val="008954D8"/>
    <w:rsid w:val="00896779"/>
    <w:rsid w:val="008C40FE"/>
    <w:rsid w:val="008D40CF"/>
    <w:rsid w:val="008E529B"/>
    <w:rsid w:val="008F0AB9"/>
    <w:rsid w:val="008F1F6D"/>
    <w:rsid w:val="00901AF8"/>
    <w:rsid w:val="00904725"/>
    <w:rsid w:val="00904C98"/>
    <w:rsid w:val="00904FF0"/>
    <w:rsid w:val="009134C7"/>
    <w:rsid w:val="009158CD"/>
    <w:rsid w:val="00925AC4"/>
    <w:rsid w:val="00931782"/>
    <w:rsid w:val="009323AA"/>
    <w:rsid w:val="00947B8A"/>
    <w:rsid w:val="0095242C"/>
    <w:rsid w:val="009635C3"/>
    <w:rsid w:val="0097071E"/>
    <w:rsid w:val="00986222"/>
    <w:rsid w:val="0099001F"/>
    <w:rsid w:val="009944CF"/>
    <w:rsid w:val="009A75DA"/>
    <w:rsid w:val="009C28C3"/>
    <w:rsid w:val="009D5E67"/>
    <w:rsid w:val="009E3A57"/>
    <w:rsid w:val="009F17A6"/>
    <w:rsid w:val="009F565D"/>
    <w:rsid w:val="00A01991"/>
    <w:rsid w:val="00A2445E"/>
    <w:rsid w:val="00A35C66"/>
    <w:rsid w:val="00A433DC"/>
    <w:rsid w:val="00A72504"/>
    <w:rsid w:val="00A764AB"/>
    <w:rsid w:val="00A82B48"/>
    <w:rsid w:val="00A843CF"/>
    <w:rsid w:val="00AA4F14"/>
    <w:rsid w:val="00AA518C"/>
    <w:rsid w:val="00AB0B45"/>
    <w:rsid w:val="00AB2EA4"/>
    <w:rsid w:val="00AB5B91"/>
    <w:rsid w:val="00AC1EA7"/>
    <w:rsid w:val="00AD3846"/>
    <w:rsid w:val="00AD4521"/>
    <w:rsid w:val="00AE5054"/>
    <w:rsid w:val="00AF0961"/>
    <w:rsid w:val="00AF3434"/>
    <w:rsid w:val="00AF3900"/>
    <w:rsid w:val="00B01F7E"/>
    <w:rsid w:val="00B06CF6"/>
    <w:rsid w:val="00B07E12"/>
    <w:rsid w:val="00B20176"/>
    <w:rsid w:val="00B317EA"/>
    <w:rsid w:val="00B55B19"/>
    <w:rsid w:val="00B57F89"/>
    <w:rsid w:val="00B625B5"/>
    <w:rsid w:val="00B67F39"/>
    <w:rsid w:val="00B74594"/>
    <w:rsid w:val="00B8214D"/>
    <w:rsid w:val="00B93D9F"/>
    <w:rsid w:val="00BA4C04"/>
    <w:rsid w:val="00BA7AB4"/>
    <w:rsid w:val="00BC6356"/>
    <w:rsid w:val="00BD1813"/>
    <w:rsid w:val="00BD55FA"/>
    <w:rsid w:val="00BD7B86"/>
    <w:rsid w:val="00BE28B1"/>
    <w:rsid w:val="00BE30BD"/>
    <w:rsid w:val="00BF3547"/>
    <w:rsid w:val="00C03018"/>
    <w:rsid w:val="00C07BAF"/>
    <w:rsid w:val="00C11FCE"/>
    <w:rsid w:val="00C2304B"/>
    <w:rsid w:val="00C238B9"/>
    <w:rsid w:val="00C27255"/>
    <w:rsid w:val="00C3414E"/>
    <w:rsid w:val="00C346C4"/>
    <w:rsid w:val="00C37DAA"/>
    <w:rsid w:val="00C523CF"/>
    <w:rsid w:val="00C601B5"/>
    <w:rsid w:val="00C67630"/>
    <w:rsid w:val="00C80A4E"/>
    <w:rsid w:val="00C86AE1"/>
    <w:rsid w:val="00CA5014"/>
    <w:rsid w:val="00CA5638"/>
    <w:rsid w:val="00CB1190"/>
    <w:rsid w:val="00CB4371"/>
    <w:rsid w:val="00CC6FCC"/>
    <w:rsid w:val="00CC7EC8"/>
    <w:rsid w:val="00D20302"/>
    <w:rsid w:val="00D251F4"/>
    <w:rsid w:val="00D340F8"/>
    <w:rsid w:val="00D34387"/>
    <w:rsid w:val="00D56B74"/>
    <w:rsid w:val="00D66451"/>
    <w:rsid w:val="00D712BF"/>
    <w:rsid w:val="00D74DD9"/>
    <w:rsid w:val="00D90861"/>
    <w:rsid w:val="00DA4A69"/>
    <w:rsid w:val="00DB1DA1"/>
    <w:rsid w:val="00DB6402"/>
    <w:rsid w:val="00DD0204"/>
    <w:rsid w:val="00DE4C0D"/>
    <w:rsid w:val="00DE597A"/>
    <w:rsid w:val="00DF0136"/>
    <w:rsid w:val="00E240D1"/>
    <w:rsid w:val="00E415CA"/>
    <w:rsid w:val="00E54AE1"/>
    <w:rsid w:val="00E57464"/>
    <w:rsid w:val="00E60C3E"/>
    <w:rsid w:val="00E7411F"/>
    <w:rsid w:val="00E8373E"/>
    <w:rsid w:val="00E85CFC"/>
    <w:rsid w:val="00E86008"/>
    <w:rsid w:val="00EA0061"/>
    <w:rsid w:val="00EB7E7A"/>
    <w:rsid w:val="00ED625C"/>
    <w:rsid w:val="00F02884"/>
    <w:rsid w:val="00F05604"/>
    <w:rsid w:val="00F3530C"/>
    <w:rsid w:val="00F426EB"/>
    <w:rsid w:val="00F44367"/>
    <w:rsid w:val="00F501E5"/>
    <w:rsid w:val="00F621B1"/>
    <w:rsid w:val="00F64E60"/>
    <w:rsid w:val="00F7321B"/>
    <w:rsid w:val="00F903C9"/>
    <w:rsid w:val="00F956DB"/>
    <w:rsid w:val="00F97336"/>
    <w:rsid w:val="00FA32B9"/>
    <w:rsid w:val="00FB09C1"/>
    <w:rsid w:val="00FB21BF"/>
    <w:rsid w:val="00FC34C0"/>
    <w:rsid w:val="00FC4ABF"/>
    <w:rsid w:val="00FD08B8"/>
    <w:rsid w:val="00FE0802"/>
    <w:rsid w:val="00FF1541"/>
    <w:rsid w:val="01347A59"/>
    <w:rsid w:val="014F6641"/>
    <w:rsid w:val="01657609"/>
    <w:rsid w:val="017A009C"/>
    <w:rsid w:val="019517D3"/>
    <w:rsid w:val="01D45E31"/>
    <w:rsid w:val="01EF2027"/>
    <w:rsid w:val="02753E85"/>
    <w:rsid w:val="02C90288"/>
    <w:rsid w:val="02CD587E"/>
    <w:rsid w:val="032E40FE"/>
    <w:rsid w:val="03373831"/>
    <w:rsid w:val="03630182"/>
    <w:rsid w:val="03A12785"/>
    <w:rsid w:val="03E91B56"/>
    <w:rsid w:val="03F75310"/>
    <w:rsid w:val="043E3B55"/>
    <w:rsid w:val="045043B6"/>
    <w:rsid w:val="04611731"/>
    <w:rsid w:val="04625AF6"/>
    <w:rsid w:val="04814D63"/>
    <w:rsid w:val="048C0A29"/>
    <w:rsid w:val="04933E65"/>
    <w:rsid w:val="04A059DD"/>
    <w:rsid w:val="04B113EE"/>
    <w:rsid w:val="04E1331F"/>
    <w:rsid w:val="04EC41D8"/>
    <w:rsid w:val="051A013B"/>
    <w:rsid w:val="051D0639"/>
    <w:rsid w:val="052A53FB"/>
    <w:rsid w:val="056A3A4A"/>
    <w:rsid w:val="05942874"/>
    <w:rsid w:val="059B1E55"/>
    <w:rsid w:val="05BE5B43"/>
    <w:rsid w:val="05EB4AAB"/>
    <w:rsid w:val="061D0684"/>
    <w:rsid w:val="061E4834"/>
    <w:rsid w:val="062260D2"/>
    <w:rsid w:val="067A7CBC"/>
    <w:rsid w:val="073A17BD"/>
    <w:rsid w:val="073A569E"/>
    <w:rsid w:val="07615CC0"/>
    <w:rsid w:val="078A2181"/>
    <w:rsid w:val="07C62EC1"/>
    <w:rsid w:val="07F27D26"/>
    <w:rsid w:val="08477E09"/>
    <w:rsid w:val="08805332"/>
    <w:rsid w:val="08937B69"/>
    <w:rsid w:val="08A52FEB"/>
    <w:rsid w:val="08B51480"/>
    <w:rsid w:val="08C23B9D"/>
    <w:rsid w:val="08CF1E16"/>
    <w:rsid w:val="08F5187C"/>
    <w:rsid w:val="0918379A"/>
    <w:rsid w:val="092D39C0"/>
    <w:rsid w:val="0930288B"/>
    <w:rsid w:val="093729BD"/>
    <w:rsid w:val="09642858"/>
    <w:rsid w:val="098328E5"/>
    <w:rsid w:val="099235C4"/>
    <w:rsid w:val="099E33D8"/>
    <w:rsid w:val="09B96D4E"/>
    <w:rsid w:val="09C22FFB"/>
    <w:rsid w:val="09C9255D"/>
    <w:rsid w:val="09D84F58"/>
    <w:rsid w:val="09DC700B"/>
    <w:rsid w:val="09F21DD4"/>
    <w:rsid w:val="0A434869"/>
    <w:rsid w:val="0A7B4003"/>
    <w:rsid w:val="0AD804FF"/>
    <w:rsid w:val="0AD936FE"/>
    <w:rsid w:val="0AE95411"/>
    <w:rsid w:val="0AF337C6"/>
    <w:rsid w:val="0AFA5870"/>
    <w:rsid w:val="0AFE56F3"/>
    <w:rsid w:val="0B2944CA"/>
    <w:rsid w:val="0B3853A8"/>
    <w:rsid w:val="0B4646A3"/>
    <w:rsid w:val="0B4D3BF1"/>
    <w:rsid w:val="0B51154E"/>
    <w:rsid w:val="0B94142E"/>
    <w:rsid w:val="0BD279F0"/>
    <w:rsid w:val="0BD7795F"/>
    <w:rsid w:val="0BF5314C"/>
    <w:rsid w:val="0BF86502"/>
    <w:rsid w:val="0C5C5076"/>
    <w:rsid w:val="0C692CAD"/>
    <w:rsid w:val="0C6D700F"/>
    <w:rsid w:val="0C823427"/>
    <w:rsid w:val="0C847986"/>
    <w:rsid w:val="0C85560D"/>
    <w:rsid w:val="0CC84092"/>
    <w:rsid w:val="0CE701C0"/>
    <w:rsid w:val="0CE80C27"/>
    <w:rsid w:val="0D156991"/>
    <w:rsid w:val="0D162709"/>
    <w:rsid w:val="0D3F6E11"/>
    <w:rsid w:val="0DAB10A3"/>
    <w:rsid w:val="0DF742CC"/>
    <w:rsid w:val="0E0830A9"/>
    <w:rsid w:val="0E185C00"/>
    <w:rsid w:val="0E1A2186"/>
    <w:rsid w:val="0E6A5BE9"/>
    <w:rsid w:val="0EFD216F"/>
    <w:rsid w:val="0F2729AB"/>
    <w:rsid w:val="0F382F71"/>
    <w:rsid w:val="0F574FD9"/>
    <w:rsid w:val="0F7766F2"/>
    <w:rsid w:val="0F8971C2"/>
    <w:rsid w:val="0F981026"/>
    <w:rsid w:val="0FBC6D41"/>
    <w:rsid w:val="100E7ACD"/>
    <w:rsid w:val="101D7D43"/>
    <w:rsid w:val="10574912"/>
    <w:rsid w:val="10594F72"/>
    <w:rsid w:val="10C9546A"/>
    <w:rsid w:val="11106EF4"/>
    <w:rsid w:val="111B48F8"/>
    <w:rsid w:val="113A5FFA"/>
    <w:rsid w:val="1151724C"/>
    <w:rsid w:val="1158451D"/>
    <w:rsid w:val="115F7010"/>
    <w:rsid w:val="11A3409A"/>
    <w:rsid w:val="11AF3031"/>
    <w:rsid w:val="11AF4316"/>
    <w:rsid w:val="11ED1C8A"/>
    <w:rsid w:val="121B0DDB"/>
    <w:rsid w:val="122B100A"/>
    <w:rsid w:val="123E38AD"/>
    <w:rsid w:val="125D103B"/>
    <w:rsid w:val="12B04A66"/>
    <w:rsid w:val="12DF6112"/>
    <w:rsid w:val="12F06E17"/>
    <w:rsid w:val="12F31522"/>
    <w:rsid w:val="135F7111"/>
    <w:rsid w:val="13716384"/>
    <w:rsid w:val="13A520F1"/>
    <w:rsid w:val="13BA2040"/>
    <w:rsid w:val="13DF5603"/>
    <w:rsid w:val="1424570B"/>
    <w:rsid w:val="148B7538"/>
    <w:rsid w:val="14B4506D"/>
    <w:rsid w:val="14C37F95"/>
    <w:rsid w:val="14FA5832"/>
    <w:rsid w:val="14FF341B"/>
    <w:rsid w:val="15037DC6"/>
    <w:rsid w:val="15041051"/>
    <w:rsid w:val="15550070"/>
    <w:rsid w:val="15787A38"/>
    <w:rsid w:val="159E15E7"/>
    <w:rsid w:val="15AF7257"/>
    <w:rsid w:val="15CD13E4"/>
    <w:rsid w:val="15E77241"/>
    <w:rsid w:val="15F67F1A"/>
    <w:rsid w:val="160B4AC6"/>
    <w:rsid w:val="1628769E"/>
    <w:rsid w:val="165072F3"/>
    <w:rsid w:val="16757273"/>
    <w:rsid w:val="16977637"/>
    <w:rsid w:val="16B93F47"/>
    <w:rsid w:val="16D72F09"/>
    <w:rsid w:val="17036DEF"/>
    <w:rsid w:val="1752258F"/>
    <w:rsid w:val="177A1C52"/>
    <w:rsid w:val="17A51566"/>
    <w:rsid w:val="17AD43A0"/>
    <w:rsid w:val="17F760E2"/>
    <w:rsid w:val="18035EFB"/>
    <w:rsid w:val="186A0F81"/>
    <w:rsid w:val="18724BC4"/>
    <w:rsid w:val="188744BB"/>
    <w:rsid w:val="18CD6371"/>
    <w:rsid w:val="18D372CC"/>
    <w:rsid w:val="18E07217"/>
    <w:rsid w:val="18EB251B"/>
    <w:rsid w:val="19191E1D"/>
    <w:rsid w:val="194A7D94"/>
    <w:rsid w:val="195B57CC"/>
    <w:rsid w:val="1960102C"/>
    <w:rsid w:val="197B5DCD"/>
    <w:rsid w:val="19B7492C"/>
    <w:rsid w:val="19C14CC1"/>
    <w:rsid w:val="19E215E1"/>
    <w:rsid w:val="19EE334E"/>
    <w:rsid w:val="1A0071CF"/>
    <w:rsid w:val="1A102EB4"/>
    <w:rsid w:val="1A1D12A0"/>
    <w:rsid w:val="1A304E0A"/>
    <w:rsid w:val="1A3A701D"/>
    <w:rsid w:val="1AC9731E"/>
    <w:rsid w:val="1AD31C39"/>
    <w:rsid w:val="1AFD753F"/>
    <w:rsid w:val="1B1E117D"/>
    <w:rsid w:val="1B2242A1"/>
    <w:rsid w:val="1B2274CC"/>
    <w:rsid w:val="1B713E9F"/>
    <w:rsid w:val="1B7258A8"/>
    <w:rsid w:val="1BA333BA"/>
    <w:rsid w:val="1BA41B3E"/>
    <w:rsid w:val="1BF70739"/>
    <w:rsid w:val="1C1F2E07"/>
    <w:rsid w:val="1C5A616E"/>
    <w:rsid w:val="1C8E5838"/>
    <w:rsid w:val="1CAD5B7B"/>
    <w:rsid w:val="1D3A7D4E"/>
    <w:rsid w:val="1D5110E2"/>
    <w:rsid w:val="1D524C30"/>
    <w:rsid w:val="1D5E5FA2"/>
    <w:rsid w:val="1D5E77CC"/>
    <w:rsid w:val="1D6C6288"/>
    <w:rsid w:val="1D6E79F7"/>
    <w:rsid w:val="1D780960"/>
    <w:rsid w:val="1D7B0D8F"/>
    <w:rsid w:val="1DBD3D02"/>
    <w:rsid w:val="1DC970CB"/>
    <w:rsid w:val="1DEE2CF9"/>
    <w:rsid w:val="1E471237"/>
    <w:rsid w:val="1E4B1082"/>
    <w:rsid w:val="1E614014"/>
    <w:rsid w:val="1E8F08B6"/>
    <w:rsid w:val="1E9B3E19"/>
    <w:rsid w:val="1ED05260"/>
    <w:rsid w:val="1ED57D2E"/>
    <w:rsid w:val="1F12334B"/>
    <w:rsid w:val="1F15637C"/>
    <w:rsid w:val="1F22420D"/>
    <w:rsid w:val="1F2E5389"/>
    <w:rsid w:val="1F3C1B5B"/>
    <w:rsid w:val="1F8441A3"/>
    <w:rsid w:val="1F8D5332"/>
    <w:rsid w:val="1FCB2A40"/>
    <w:rsid w:val="1FED02F8"/>
    <w:rsid w:val="20022798"/>
    <w:rsid w:val="2049149F"/>
    <w:rsid w:val="207E5B72"/>
    <w:rsid w:val="208308AE"/>
    <w:rsid w:val="20A8477C"/>
    <w:rsid w:val="20CB4B08"/>
    <w:rsid w:val="20CC1D5B"/>
    <w:rsid w:val="20F70FD3"/>
    <w:rsid w:val="210971ED"/>
    <w:rsid w:val="216E7FC6"/>
    <w:rsid w:val="21A703B6"/>
    <w:rsid w:val="21D461FE"/>
    <w:rsid w:val="22706D1A"/>
    <w:rsid w:val="22764D9B"/>
    <w:rsid w:val="227E596B"/>
    <w:rsid w:val="23283774"/>
    <w:rsid w:val="236560B4"/>
    <w:rsid w:val="2366364A"/>
    <w:rsid w:val="236707A4"/>
    <w:rsid w:val="236C2E3A"/>
    <w:rsid w:val="23BA3996"/>
    <w:rsid w:val="23C15D17"/>
    <w:rsid w:val="23E1005B"/>
    <w:rsid w:val="23E307BA"/>
    <w:rsid w:val="240A1BB0"/>
    <w:rsid w:val="240B669A"/>
    <w:rsid w:val="2418565D"/>
    <w:rsid w:val="24523E22"/>
    <w:rsid w:val="24596D0B"/>
    <w:rsid w:val="24661BC1"/>
    <w:rsid w:val="246A68CF"/>
    <w:rsid w:val="246B7754"/>
    <w:rsid w:val="24751465"/>
    <w:rsid w:val="24763558"/>
    <w:rsid w:val="24883A38"/>
    <w:rsid w:val="248E0D74"/>
    <w:rsid w:val="249102D6"/>
    <w:rsid w:val="24BF7F6F"/>
    <w:rsid w:val="24ED6C69"/>
    <w:rsid w:val="24F251A8"/>
    <w:rsid w:val="24FA6740"/>
    <w:rsid w:val="25087E1D"/>
    <w:rsid w:val="251E5D16"/>
    <w:rsid w:val="252D7CDF"/>
    <w:rsid w:val="25394CA0"/>
    <w:rsid w:val="25594900"/>
    <w:rsid w:val="25861D82"/>
    <w:rsid w:val="25AD20A6"/>
    <w:rsid w:val="2644734D"/>
    <w:rsid w:val="268A1E16"/>
    <w:rsid w:val="26DA32B8"/>
    <w:rsid w:val="270D202F"/>
    <w:rsid w:val="277228E5"/>
    <w:rsid w:val="27833A77"/>
    <w:rsid w:val="278E00B8"/>
    <w:rsid w:val="27905D4A"/>
    <w:rsid w:val="27AA6379"/>
    <w:rsid w:val="27ED23D1"/>
    <w:rsid w:val="280645E4"/>
    <w:rsid w:val="285F7858"/>
    <w:rsid w:val="289840DF"/>
    <w:rsid w:val="28A41BFF"/>
    <w:rsid w:val="28A507E6"/>
    <w:rsid w:val="28BF56E5"/>
    <w:rsid w:val="28F65471"/>
    <w:rsid w:val="29094647"/>
    <w:rsid w:val="29220014"/>
    <w:rsid w:val="296E3259"/>
    <w:rsid w:val="29794214"/>
    <w:rsid w:val="29820015"/>
    <w:rsid w:val="299536C9"/>
    <w:rsid w:val="29A63B6E"/>
    <w:rsid w:val="29C64906"/>
    <w:rsid w:val="29CB57F6"/>
    <w:rsid w:val="29E259F5"/>
    <w:rsid w:val="29E37B05"/>
    <w:rsid w:val="29F24B4B"/>
    <w:rsid w:val="2A403DF7"/>
    <w:rsid w:val="2A7012EB"/>
    <w:rsid w:val="2ACD2ECB"/>
    <w:rsid w:val="2AE13EFE"/>
    <w:rsid w:val="2B0E4043"/>
    <w:rsid w:val="2B430715"/>
    <w:rsid w:val="2B4D3E13"/>
    <w:rsid w:val="2B882FDD"/>
    <w:rsid w:val="2BB834F7"/>
    <w:rsid w:val="2BC37160"/>
    <w:rsid w:val="2C177717"/>
    <w:rsid w:val="2C187060"/>
    <w:rsid w:val="2CB412F0"/>
    <w:rsid w:val="2CCE4B29"/>
    <w:rsid w:val="2D5544F6"/>
    <w:rsid w:val="2D972CA6"/>
    <w:rsid w:val="2E563DBD"/>
    <w:rsid w:val="2E7B1F74"/>
    <w:rsid w:val="2E8856F2"/>
    <w:rsid w:val="2E976DAE"/>
    <w:rsid w:val="2EB20110"/>
    <w:rsid w:val="2ECD27D0"/>
    <w:rsid w:val="2EFA558F"/>
    <w:rsid w:val="2F0221EE"/>
    <w:rsid w:val="2F1123E9"/>
    <w:rsid w:val="2F3F2FA2"/>
    <w:rsid w:val="2F584AE2"/>
    <w:rsid w:val="2FA64538"/>
    <w:rsid w:val="2FBD7899"/>
    <w:rsid w:val="2FFA32F9"/>
    <w:rsid w:val="30437BA4"/>
    <w:rsid w:val="3063409D"/>
    <w:rsid w:val="308927A6"/>
    <w:rsid w:val="30CF4571"/>
    <w:rsid w:val="30F208AD"/>
    <w:rsid w:val="312608BD"/>
    <w:rsid w:val="31351F07"/>
    <w:rsid w:val="319941E5"/>
    <w:rsid w:val="31A02A9B"/>
    <w:rsid w:val="31C301AE"/>
    <w:rsid w:val="31E4714A"/>
    <w:rsid w:val="31F022BE"/>
    <w:rsid w:val="321D74D1"/>
    <w:rsid w:val="32250B75"/>
    <w:rsid w:val="325101ED"/>
    <w:rsid w:val="327F64D7"/>
    <w:rsid w:val="32C20171"/>
    <w:rsid w:val="32CF12AA"/>
    <w:rsid w:val="3309364B"/>
    <w:rsid w:val="339E34BB"/>
    <w:rsid w:val="33D8467A"/>
    <w:rsid w:val="34123FD2"/>
    <w:rsid w:val="3420297D"/>
    <w:rsid w:val="34523B36"/>
    <w:rsid w:val="345E3ECA"/>
    <w:rsid w:val="34BF2C67"/>
    <w:rsid w:val="34E645EB"/>
    <w:rsid w:val="34F128C2"/>
    <w:rsid w:val="35155C6B"/>
    <w:rsid w:val="35531555"/>
    <w:rsid w:val="35707939"/>
    <w:rsid w:val="3579427A"/>
    <w:rsid w:val="358D6543"/>
    <w:rsid w:val="35C67E07"/>
    <w:rsid w:val="35E528E0"/>
    <w:rsid w:val="35F715DC"/>
    <w:rsid w:val="365E630D"/>
    <w:rsid w:val="3677309A"/>
    <w:rsid w:val="368C6775"/>
    <w:rsid w:val="3727713D"/>
    <w:rsid w:val="373B6744"/>
    <w:rsid w:val="374B5942"/>
    <w:rsid w:val="375B4860"/>
    <w:rsid w:val="378C308C"/>
    <w:rsid w:val="37974F10"/>
    <w:rsid w:val="37BF5C8E"/>
    <w:rsid w:val="37D60135"/>
    <w:rsid w:val="37F02623"/>
    <w:rsid w:val="38142F75"/>
    <w:rsid w:val="38786A80"/>
    <w:rsid w:val="38845CFA"/>
    <w:rsid w:val="38887767"/>
    <w:rsid w:val="38900001"/>
    <w:rsid w:val="389C5B17"/>
    <w:rsid w:val="38C74734"/>
    <w:rsid w:val="38D12D00"/>
    <w:rsid w:val="38D649FB"/>
    <w:rsid w:val="3925145A"/>
    <w:rsid w:val="39B85C3D"/>
    <w:rsid w:val="39FE15FA"/>
    <w:rsid w:val="3A3758E9"/>
    <w:rsid w:val="3A8D375B"/>
    <w:rsid w:val="3A8F10B9"/>
    <w:rsid w:val="3A9A0C28"/>
    <w:rsid w:val="3AA14B1A"/>
    <w:rsid w:val="3ABF04FE"/>
    <w:rsid w:val="3AC93886"/>
    <w:rsid w:val="3AE55345"/>
    <w:rsid w:val="3AEC0481"/>
    <w:rsid w:val="3B075A58"/>
    <w:rsid w:val="3B4F41B5"/>
    <w:rsid w:val="3B733730"/>
    <w:rsid w:val="3B8B7C9A"/>
    <w:rsid w:val="3BA725FA"/>
    <w:rsid w:val="3BAA54F3"/>
    <w:rsid w:val="3BAE2F94"/>
    <w:rsid w:val="3BB81633"/>
    <w:rsid w:val="3BD553B9"/>
    <w:rsid w:val="3BFE720B"/>
    <w:rsid w:val="3C0C5D23"/>
    <w:rsid w:val="3C447401"/>
    <w:rsid w:val="3C5E752D"/>
    <w:rsid w:val="3C6E282D"/>
    <w:rsid w:val="3C774352"/>
    <w:rsid w:val="3C821498"/>
    <w:rsid w:val="3CB96676"/>
    <w:rsid w:val="3CC01BC6"/>
    <w:rsid w:val="3CE41DD8"/>
    <w:rsid w:val="3CED29C3"/>
    <w:rsid w:val="3D095BC8"/>
    <w:rsid w:val="3DE53BA3"/>
    <w:rsid w:val="3E06661A"/>
    <w:rsid w:val="3E3E7205"/>
    <w:rsid w:val="3E536F88"/>
    <w:rsid w:val="3E8A3D8C"/>
    <w:rsid w:val="3EAF443E"/>
    <w:rsid w:val="3EB137E0"/>
    <w:rsid w:val="3F0F17F8"/>
    <w:rsid w:val="3F314B6D"/>
    <w:rsid w:val="3F353023"/>
    <w:rsid w:val="3F6E7CD0"/>
    <w:rsid w:val="3F7638B1"/>
    <w:rsid w:val="3FD92059"/>
    <w:rsid w:val="3FE82AEC"/>
    <w:rsid w:val="404A1D02"/>
    <w:rsid w:val="405D597D"/>
    <w:rsid w:val="406C10C7"/>
    <w:rsid w:val="4085463C"/>
    <w:rsid w:val="40D07EFD"/>
    <w:rsid w:val="40D44A99"/>
    <w:rsid w:val="40E96E54"/>
    <w:rsid w:val="410B04FA"/>
    <w:rsid w:val="414876B5"/>
    <w:rsid w:val="415874C8"/>
    <w:rsid w:val="41780E5D"/>
    <w:rsid w:val="41964445"/>
    <w:rsid w:val="41AF1F3C"/>
    <w:rsid w:val="41C45CB4"/>
    <w:rsid w:val="42361F00"/>
    <w:rsid w:val="423936D8"/>
    <w:rsid w:val="42530DE6"/>
    <w:rsid w:val="429531AD"/>
    <w:rsid w:val="42CF1434"/>
    <w:rsid w:val="42EA0CA7"/>
    <w:rsid w:val="42FC322C"/>
    <w:rsid w:val="42FF243B"/>
    <w:rsid w:val="431F609B"/>
    <w:rsid w:val="43555F5F"/>
    <w:rsid w:val="438C2802"/>
    <w:rsid w:val="43941C41"/>
    <w:rsid w:val="43CF73F9"/>
    <w:rsid w:val="43EF4E29"/>
    <w:rsid w:val="44062C36"/>
    <w:rsid w:val="44503D3A"/>
    <w:rsid w:val="44DD3AFD"/>
    <w:rsid w:val="44E61934"/>
    <w:rsid w:val="44EA027E"/>
    <w:rsid w:val="45022F0D"/>
    <w:rsid w:val="451C3597"/>
    <w:rsid w:val="454D7D6F"/>
    <w:rsid w:val="45611A6C"/>
    <w:rsid w:val="4568155D"/>
    <w:rsid w:val="458D4E26"/>
    <w:rsid w:val="45CF4C28"/>
    <w:rsid w:val="45F70E3F"/>
    <w:rsid w:val="460745AA"/>
    <w:rsid w:val="463422F9"/>
    <w:rsid w:val="46AD540D"/>
    <w:rsid w:val="46BA5335"/>
    <w:rsid w:val="46C978C9"/>
    <w:rsid w:val="472A5B1F"/>
    <w:rsid w:val="475278BE"/>
    <w:rsid w:val="475A611D"/>
    <w:rsid w:val="476F4F18"/>
    <w:rsid w:val="4787063C"/>
    <w:rsid w:val="47941C85"/>
    <w:rsid w:val="479D310F"/>
    <w:rsid w:val="47C84024"/>
    <w:rsid w:val="47CD0701"/>
    <w:rsid w:val="47F208C7"/>
    <w:rsid w:val="483D49AD"/>
    <w:rsid w:val="48525B23"/>
    <w:rsid w:val="48836008"/>
    <w:rsid w:val="48AE69F2"/>
    <w:rsid w:val="48BA13BF"/>
    <w:rsid w:val="48D60BBC"/>
    <w:rsid w:val="48D60CF4"/>
    <w:rsid w:val="48D6322F"/>
    <w:rsid w:val="48F226FC"/>
    <w:rsid w:val="49191A20"/>
    <w:rsid w:val="491B3CA7"/>
    <w:rsid w:val="493C25D4"/>
    <w:rsid w:val="49541370"/>
    <w:rsid w:val="496916B2"/>
    <w:rsid w:val="49912EC3"/>
    <w:rsid w:val="499F618F"/>
    <w:rsid w:val="49CF51F6"/>
    <w:rsid w:val="4A6C699A"/>
    <w:rsid w:val="4A7701CC"/>
    <w:rsid w:val="4AB752B5"/>
    <w:rsid w:val="4AE942C7"/>
    <w:rsid w:val="4AF55130"/>
    <w:rsid w:val="4AF56EDE"/>
    <w:rsid w:val="4AF6378C"/>
    <w:rsid w:val="4AFD5D93"/>
    <w:rsid w:val="4B3317B5"/>
    <w:rsid w:val="4B424C7A"/>
    <w:rsid w:val="4B5720FC"/>
    <w:rsid w:val="4B6B4431"/>
    <w:rsid w:val="4BBA2927"/>
    <w:rsid w:val="4BEB3A96"/>
    <w:rsid w:val="4C426F80"/>
    <w:rsid w:val="4C4A3198"/>
    <w:rsid w:val="4C527F79"/>
    <w:rsid w:val="4C655557"/>
    <w:rsid w:val="4C7E34C3"/>
    <w:rsid w:val="4C8E36EB"/>
    <w:rsid w:val="4C940979"/>
    <w:rsid w:val="4C95051F"/>
    <w:rsid w:val="4C9F082B"/>
    <w:rsid w:val="4CBF5463"/>
    <w:rsid w:val="4CF65041"/>
    <w:rsid w:val="4CFA2E28"/>
    <w:rsid w:val="4D0B4C1E"/>
    <w:rsid w:val="4D5C6E36"/>
    <w:rsid w:val="4D6A60D9"/>
    <w:rsid w:val="4D7A5E5A"/>
    <w:rsid w:val="4D8902AC"/>
    <w:rsid w:val="4D9B50BA"/>
    <w:rsid w:val="4DB72C31"/>
    <w:rsid w:val="4DC10097"/>
    <w:rsid w:val="4DE1108A"/>
    <w:rsid w:val="4E1D46D5"/>
    <w:rsid w:val="4E367A91"/>
    <w:rsid w:val="4E8C46BF"/>
    <w:rsid w:val="4ED743E9"/>
    <w:rsid w:val="4F22401A"/>
    <w:rsid w:val="4F50251B"/>
    <w:rsid w:val="4F6E558B"/>
    <w:rsid w:val="4F76206A"/>
    <w:rsid w:val="4F7E4ECB"/>
    <w:rsid w:val="4FD14195"/>
    <w:rsid w:val="4FD472B3"/>
    <w:rsid w:val="502F74F4"/>
    <w:rsid w:val="5049357F"/>
    <w:rsid w:val="50616A70"/>
    <w:rsid w:val="50746F7D"/>
    <w:rsid w:val="50A15412"/>
    <w:rsid w:val="50B118D4"/>
    <w:rsid w:val="50E3068F"/>
    <w:rsid w:val="50F62973"/>
    <w:rsid w:val="51085F40"/>
    <w:rsid w:val="511F1731"/>
    <w:rsid w:val="514E7348"/>
    <w:rsid w:val="518E0DA5"/>
    <w:rsid w:val="51C3126A"/>
    <w:rsid w:val="51DE5856"/>
    <w:rsid w:val="52025057"/>
    <w:rsid w:val="522B768A"/>
    <w:rsid w:val="52333D51"/>
    <w:rsid w:val="525F7337"/>
    <w:rsid w:val="52952D55"/>
    <w:rsid w:val="52AD71EC"/>
    <w:rsid w:val="52BA6E95"/>
    <w:rsid w:val="52E50DDD"/>
    <w:rsid w:val="52FF2067"/>
    <w:rsid w:val="52FF6BCC"/>
    <w:rsid w:val="530E3233"/>
    <w:rsid w:val="533D29B0"/>
    <w:rsid w:val="534F4B71"/>
    <w:rsid w:val="5394300C"/>
    <w:rsid w:val="53C54323"/>
    <w:rsid w:val="53E84FBE"/>
    <w:rsid w:val="541479EE"/>
    <w:rsid w:val="543640EE"/>
    <w:rsid w:val="543D3205"/>
    <w:rsid w:val="5477195C"/>
    <w:rsid w:val="548D55FC"/>
    <w:rsid w:val="54920C32"/>
    <w:rsid w:val="54FD6EBD"/>
    <w:rsid w:val="55321F18"/>
    <w:rsid w:val="5569790E"/>
    <w:rsid w:val="5574194F"/>
    <w:rsid w:val="55C34E4B"/>
    <w:rsid w:val="55D371A2"/>
    <w:rsid w:val="56282237"/>
    <w:rsid w:val="563A35F1"/>
    <w:rsid w:val="565803B4"/>
    <w:rsid w:val="566F7244"/>
    <w:rsid w:val="567A3354"/>
    <w:rsid w:val="569F41A2"/>
    <w:rsid w:val="56C2774C"/>
    <w:rsid w:val="56CD6F61"/>
    <w:rsid w:val="572E6AA7"/>
    <w:rsid w:val="573572DC"/>
    <w:rsid w:val="57441CE4"/>
    <w:rsid w:val="57556632"/>
    <w:rsid w:val="57590062"/>
    <w:rsid w:val="576D604E"/>
    <w:rsid w:val="57721870"/>
    <w:rsid w:val="57AA1D7A"/>
    <w:rsid w:val="57C02622"/>
    <w:rsid w:val="57CF08AC"/>
    <w:rsid w:val="57ED1C25"/>
    <w:rsid w:val="5860280E"/>
    <w:rsid w:val="58690F0C"/>
    <w:rsid w:val="586B2214"/>
    <w:rsid w:val="58796BCD"/>
    <w:rsid w:val="5886386C"/>
    <w:rsid w:val="58931910"/>
    <w:rsid w:val="589F0489"/>
    <w:rsid w:val="58D852AD"/>
    <w:rsid w:val="58E4341A"/>
    <w:rsid w:val="58E660B8"/>
    <w:rsid w:val="58F5764D"/>
    <w:rsid w:val="59044790"/>
    <w:rsid w:val="592801FB"/>
    <w:rsid w:val="59410E34"/>
    <w:rsid w:val="59D421F5"/>
    <w:rsid w:val="59DD749F"/>
    <w:rsid w:val="59F662D6"/>
    <w:rsid w:val="59FA62BF"/>
    <w:rsid w:val="59FD2E9E"/>
    <w:rsid w:val="5A417EBB"/>
    <w:rsid w:val="5A941D0F"/>
    <w:rsid w:val="5AC62645"/>
    <w:rsid w:val="5B0D3D54"/>
    <w:rsid w:val="5B0D5E18"/>
    <w:rsid w:val="5B217D3D"/>
    <w:rsid w:val="5B417F1E"/>
    <w:rsid w:val="5B7B7BB3"/>
    <w:rsid w:val="5B9F39FA"/>
    <w:rsid w:val="5BE71A07"/>
    <w:rsid w:val="5BF7298D"/>
    <w:rsid w:val="5C612DAF"/>
    <w:rsid w:val="5C7D23A4"/>
    <w:rsid w:val="5D4A61AE"/>
    <w:rsid w:val="5D9E3405"/>
    <w:rsid w:val="5DCD09F9"/>
    <w:rsid w:val="5DD377E3"/>
    <w:rsid w:val="5DF360A8"/>
    <w:rsid w:val="5E08423C"/>
    <w:rsid w:val="5E967537"/>
    <w:rsid w:val="5EB70E6F"/>
    <w:rsid w:val="5EBB602F"/>
    <w:rsid w:val="5ED2780B"/>
    <w:rsid w:val="5EEB4428"/>
    <w:rsid w:val="5F1D01DB"/>
    <w:rsid w:val="5F265382"/>
    <w:rsid w:val="5F2C2ACF"/>
    <w:rsid w:val="5F770B9F"/>
    <w:rsid w:val="5F8F1551"/>
    <w:rsid w:val="5FA12D39"/>
    <w:rsid w:val="5FBB79FE"/>
    <w:rsid w:val="5FDE3479"/>
    <w:rsid w:val="5FFD4A74"/>
    <w:rsid w:val="601B508F"/>
    <w:rsid w:val="60236557"/>
    <w:rsid w:val="602D0A71"/>
    <w:rsid w:val="603E6688"/>
    <w:rsid w:val="606E0EE9"/>
    <w:rsid w:val="607B7CC3"/>
    <w:rsid w:val="608F34D9"/>
    <w:rsid w:val="608F41B1"/>
    <w:rsid w:val="60E2185B"/>
    <w:rsid w:val="60F56C9F"/>
    <w:rsid w:val="60FE0C6B"/>
    <w:rsid w:val="610A3715"/>
    <w:rsid w:val="611C66E2"/>
    <w:rsid w:val="61547CDD"/>
    <w:rsid w:val="619C18F4"/>
    <w:rsid w:val="61BB6C21"/>
    <w:rsid w:val="61D27B22"/>
    <w:rsid w:val="61E57855"/>
    <w:rsid w:val="624D1966"/>
    <w:rsid w:val="6271733B"/>
    <w:rsid w:val="627854AB"/>
    <w:rsid w:val="62957C63"/>
    <w:rsid w:val="62BA38A0"/>
    <w:rsid w:val="62DD530F"/>
    <w:rsid w:val="62EE4DB7"/>
    <w:rsid w:val="62FD6181"/>
    <w:rsid w:val="632E6FDA"/>
    <w:rsid w:val="634C6B6D"/>
    <w:rsid w:val="63512C0B"/>
    <w:rsid w:val="63554566"/>
    <w:rsid w:val="635F3ED0"/>
    <w:rsid w:val="637304BC"/>
    <w:rsid w:val="638D663E"/>
    <w:rsid w:val="63AB322F"/>
    <w:rsid w:val="63C67212"/>
    <w:rsid w:val="63FA510E"/>
    <w:rsid w:val="6406522D"/>
    <w:rsid w:val="645E569D"/>
    <w:rsid w:val="648F7988"/>
    <w:rsid w:val="64D67929"/>
    <w:rsid w:val="64DB7DCC"/>
    <w:rsid w:val="65014BD6"/>
    <w:rsid w:val="6525230A"/>
    <w:rsid w:val="65637158"/>
    <w:rsid w:val="659E3590"/>
    <w:rsid w:val="65C65E78"/>
    <w:rsid w:val="65EE47FE"/>
    <w:rsid w:val="65F55FCF"/>
    <w:rsid w:val="66065FEC"/>
    <w:rsid w:val="66076242"/>
    <w:rsid w:val="662326FA"/>
    <w:rsid w:val="66534E24"/>
    <w:rsid w:val="66725281"/>
    <w:rsid w:val="66872646"/>
    <w:rsid w:val="66BA5445"/>
    <w:rsid w:val="67030D86"/>
    <w:rsid w:val="671908A3"/>
    <w:rsid w:val="67201D84"/>
    <w:rsid w:val="676C3ACC"/>
    <w:rsid w:val="67A4786A"/>
    <w:rsid w:val="67AB6E4B"/>
    <w:rsid w:val="67AC1A46"/>
    <w:rsid w:val="67CD63BE"/>
    <w:rsid w:val="67E1162F"/>
    <w:rsid w:val="67F105D6"/>
    <w:rsid w:val="682409AB"/>
    <w:rsid w:val="68B34D09"/>
    <w:rsid w:val="68C63810"/>
    <w:rsid w:val="68F9389A"/>
    <w:rsid w:val="6903751F"/>
    <w:rsid w:val="692F00F1"/>
    <w:rsid w:val="693309B8"/>
    <w:rsid w:val="69617B69"/>
    <w:rsid w:val="6968484C"/>
    <w:rsid w:val="697508F2"/>
    <w:rsid w:val="698A0CE2"/>
    <w:rsid w:val="69AF4642"/>
    <w:rsid w:val="6A1539CF"/>
    <w:rsid w:val="6A1E20AA"/>
    <w:rsid w:val="6A234CFD"/>
    <w:rsid w:val="6A2377BC"/>
    <w:rsid w:val="6AB4228A"/>
    <w:rsid w:val="6AE14931"/>
    <w:rsid w:val="6AE87324"/>
    <w:rsid w:val="6AFE54E3"/>
    <w:rsid w:val="6B186D78"/>
    <w:rsid w:val="6B40528E"/>
    <w:rsid w:val="6B712DC1"/>
    <w:rsid w:val="6B777044"/>
    <w:rsid w:val="6B7923D0"/>
    <w:rsid w:val="6B7E03D2"/>
    <w:rsid w:val="6B7F25D9"/>
    <w:rsid w:val="6B8750BF"/>
    <w:rsid w:val="6BA77929"/>
    <w:rsid w:val="6BAD0E0E"/>
    <w:rsid w:val="6BE143C2"/>
    <w:rsid w:val="6BE36B0F"/>
    <w:rsid w:val="6BFD39ED"/>
    <w:rsid w:val="6C4D6722"/>
    <w:rsid w:val="6C515AE7"/>
    <w:rsid w:val="6C930666"/>
    <w:rsid w:val="6CAD1E30"/>
    <w:rsid w:val="6CCA52D5"/>
    <w:rsid w:val="6CFC5A53"/>
    <w:rsid w:val="6D082362"/>
    <w:rsid w:val="6D142257"/>
    <w:rsid w:val="6D2E5DFF"/>
    <w:rsid w:val="6D405689"/>
    <w:rsid w:val="6D6D6950"/>
    <w:rsid w:val="6D6E67FF"/>
    <w:rsid w:val="6D990A5C"/>
    <w:rsid w:val="6DA62618"/>
    <w:rsid w:val="6DAF5DA1"/>
    <w:rsid w:val="6DD8026E"/>
    <w:rsid w:val="6E04448D"/>
    <w:rsid w:val="6E0E5B82"/>
    <w:rsid w:val="6E777A87"/>
    <w:rsid w:val="6EE176B6"/>
    <w:rsid w:val="6F040096"/>
    <w:rsid w:val="6F0B3B97"/>
    <w:rsid w:val="6F263764"/>
    <w:rsid w:val="6F435BBB"/>
    <w:rsid w:val="6F4D434A"/>
    <w:rsid w:val="6F52749C"/>
    <w:rsid w:val="6F5B05D6"/>
    <w:rsid w:val="6F6807FD"/>
    <w:rsid w:val="6FCB2D3C"/>
    <w:rsid w:val="700510C2"/>
    <w:rsid w:val="70056E0D"/>
    <w:rsid w:val="70860455"/>
    <w:rsid w:val="709D1E9D"/>
    <w:rsid w:val="70A767C2"/>
    <w:rsid w:val="70D207A3"/>
    <w:rsid w:val="70E86ED8"/>
    <w:rsid w:val="70F91796"/>
    <w:rsid w:val="724D0AFE"/>
    <w:rsid w:val="72CF35F6"/>
    <w:rsid w:val="72F4196B"/>
    <w:rsid w:val="72F939F1"/>
    <w:rsid w:val="73271980"/>
    <w:rsid w:val="73306B39"/>
    <w:rsid w:val="73600DF5"/>
    <w:rsid w:val="73762532"/>
    <w:rsid w:val="738A16DE"/>
    <w:rsid w:val="73A82E9A"/>
    <w:rsid w:val="73B0235A"/>
    <w:rsid w:val="73CD4857"/>
    <w:rsid w:val="73CF2F2C"/>
    <w:rsid w:val="73F25E01"/>
    <w:rsid w:val="74535F81"/>
    <w:rsid w:val="746B2CF0"/>
    <w:rsid w:val="749649DF"/>
    <w:rsid w:val="74EA6126"/>
    <w:rsid w:val="75164F3F"/>
    <w:rsid w:val="756243FB"/>
    <w:rsid w:val="760831D5"/>
    <w:rsid w:val="760F1EF6"/>
    <w:rsid w:val="76131A53"/>
    <w:rsid w:val="761D589F"/>
    <w:rsid w:val="7656089D"/>
    <w:rsid w:val="76576E57"/>
    <w:rsid w:val="76C02583"/>
    <w:rsid w:val="76C065DE"/>
    <w:rsid w:val="76C16BAD"/>
    <w:rsid w:val="76CB6F68"/>
    <w:rsid w:val="76D31A0E"/>
    <w:rsid w:val="76E06829"/>
    <w:rsid w:val="77674E27"/>
    <w:rsid w:val="77697187"/>
    <w:rsid w:val="77B2098B"/>
    <w:rsid w:val="77C81D49"/>
    <w:rsid w:val="7836709F"/>
    <w:rsid w:val="78C83D38"/>
    <w:rsid w:val="78DB486F"/>
    <w:rsid w:val="78E67D9E"/>
    <w:rsid w:val="79020A71"/>
    <w:rsid w:val="7909003F"/>
    <w:rsid w:val="793D7B1F"/>
    <w:rsid w:val="796A7518"/>
    <w:rsid w:val="7971723D"/>
    <w:rsid w:val="79C3218F"/>
    <w:rsid w:val="79CD4620"/>
    <w:rsid w:val="7A2A47B7"/>
    <w:rsid w:val="7A3B22B0"/>
    <w:rsid w:val="7A6E609F"/>
    <w:rsid w:val="7A925003"/>
    <w:rsid w:val="7AD1304C"/>
    <w:rsid w:val="7AE6195B"/>
    <w:rsid w:val="7B652B9F"/>
    <w:rsid w:val="7BB6423F"/>
    <w:rsid w:val="7BD52FA2"/>
    <w:rsid w:val="7BF61A16"/>
    <w:rsid w:val="7C570530"/>
    <w:rsid w:val="7C5D1A09"/>
    <w:rsid w:val="7C61254C"/>
    <w:rsid w:val="7C8B6DF3"/>
    <w:rsid w:val="7C8B78A5"/>
    <w:rsid w:val="7CAB2FF1"/>
    <w:rsid w:val="7CE611E8"/>
    <w:rsid w:val="7D157DA8"/>
    <w:rsid w:val="7D73629F"/>
    <w:rsid w:val="7D7D673C"/>
    <w:rsid w:val="7DC67533"/>
    <w:rsid w:val="7E0E55E6"/>
    <w:rsid w:val="7E2B7BC1"/>
    <w:rsid w:val="7E461224"/>
    <w:rsid w:val="7E570E67"/>
    <w:rsid w:val="7E7230D6"/>
    <w:rsid w:val="7E7A3563"/>
    <w:rsid w:val="7E7C79BD"/>
    <w:rsid w:val="7EBA60B3"/>
    <w:rsid w:val="7ED76320"/>
    <w:rsid w:val="7EEC37A0"/>
    <w:rsid w:val="7EFB6981"/>
    <w:rsid w:val="7EFC7DF6"/>
    <w:rsid w:val="7F1B4B4D"/>
    <w:rsid w:val="7F5D1AC3"/>
    <w:rsid w:val="7F7D7358"/>
    <w:rsid w:val="7F88415D"/>
    <w:rsid w:val="7F8C2C66"/>
    <w:rsid w:val="7FAA7590"/>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25"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45"/>
    <w:qFormat/>
    <w:uiPriority w:val="0"/>
    <w:pPr>
      <w:keepNext/>
      <w:keepLines/>
      <w:widowControl w:val="0"/>
      <w:spacing w:before="340" w:after="330" w:line="500" w:lineRule="exact"/>
      <w:jc w:val="center"/>
      <w:textAlignment w:val="auto"/>
      <w:outlineLvl w:val="0"/>
    </w:pPr>
    <w:rPr>
      <w:b/>
      <w:bCs/>
      <w:color w:val="auto"/>
      <w:kern w:val="44"/>
      <w:sz w:val="44"/>
      <w:szCs w:val="44"/>
    </w:rPr>
  </w:style>
  <w:style w:type="paragraph" w:styleId="3">
    <w:name w:val="heading 2"/>
    <w:basedOn w:val="1"/>
    <w:next w:val="1"/>
    <w:link w:val="47"/>
    <w:unhideWhenUsed/>
    <w:qFormat/>
    <w:uiPriority w:val="9"/>
    <w:pPr>
      <w:keepNext/>
      <w:keepLines/>
      <w:spacing w:before="260" w:after="260" w:line="460" w:lineRule="exact"/>
      <w:jc w:val="center"/>
      <w:outlineLvl w:val="1"/>
    </w:pPr>
    <w:rPr>
      <w:rFonts w:asciiTheme="majorHAnsi" w:hAnsiTheme="majorHAnsi" w:cstheme="majorBidi"/>
      <w:b/>
      <w:bCs/>
      <w:sz w:val="36"/>
      <w:szCs w:val="32"/>
    </w:rPr>
  </w:style>
  <w:style w:type="paragraph" w:styleId="4">
    <w:name w:val="heading 3"/>
    <w:basedOn w:val="1"/>
    <w:next w:val="1"/>
    <w:link w:val="48"/>
    <w:qFormat/>
    <w:uiPriority w:val="0"/>
    <w:pPr>
      <w:autoSpaceDE w:val="0"/>
      <w:autoSpaceDN w:val="0"/>
      <w:adjustRightInd w:val="0"/>
      <w:spacing w:before="16" w:line="500" w:lineRule="exact"/>
      <w:jc w:val="left"/>
      <w:outlineLvl w:val="2"/>
    </w:pPr>
    <w:rPr>
      <w:rFonts w:ascii="仿宋_GB2312" w:hAnsi="仿宋_GB2312"/>
      <w:b/>
      <w:kern w:val="2"/>
      <w:sz w:val="24"/>
    </w:rPr>
  </w:style>
  <w:style w:type="paragraph" w:styleId="5">
    <w:name w:val="heading 4"/>
    <w:basedOn w:val="1"/>
    <w:next w:val="1"/>
    <w:link w:val="49"/>
    <w:qFormat/>
    <w:uiPriority w:val="9"/>
    <w:pPr>
      <w:keepNext/>
      <w:keepLines/>
      <w:spacing w:before="280" w:after="290" w:line="376" w:lineRule="atLeast"/>
      <w:outlineLvl w:val="3"/>
    </w:pPr>
    <w:rPr>
      <w:rFonts w:ascii="Cambria" w:hAnsi="Cambria"/>
      <w:b/>
      <w:bCs/>
      <w:sz w:val="28"/>
      <w:szCs w:val="28"/>
    </w:rPr>
  </w:style>
  <w:style w:type="paragraph" w:styleId="6">
    <w:name w:val="heading 5"/>
    <w:basedOn w:val="1"/>
    <w:next w:val="1"/>
    <w:link w:val="50"/>
    <w:qFormat/>
    <w:uiPriority w:val="9"/>
    <w:pPr>
      <w:keepNext/>
      <w:keepLines/>
      <w:spacing w:before="280" w:after="290" w:line="376" w:lineRule="atLeast"/>
      <w:outlineLvl w:val="4"/>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unhideWhenUsed/>
    <w:qFormat/>
    <w:uiPriority w:val="99"/>
    <w:pPr>
      <w:ind w:firstLine="420" w:firstLineChars="200"/>
      <w:jc w:val="left"/>
    </w:pPr>
    <w:rPr>
      <w:sz w:val="20"/>
    </w:rPr>
  </w:style>
  <w:style w:type="paragraph" w:styleId="8">
    <w:name w:val="Document Map"/>
    <w:basedOn w:val="1"/>
    <w:link w:val="112"/>
    <w:semiHidden/>
    <w:unhideWhenUsed/>
    <w:qFormat/>
    <w:uiPriority w:val="99"/>
    <w:rPr>
      <w:rFonts w:ascii="宋体"/>
      <w:sz w:val="18"/>
      <w:szCs w:val="18"/>
    </w:rPr>
  </w:style>
  <w:style w:type="paragraph" w:styleId="9">
    <w:name w:val="annotation text"/>
    <w:basedOn w:val="1"/>
    <w:link w:val="51"/>
    <w:unhideWhenUsed/>
    <w:qFormat/>
    <w:uiPriority w:val="99"/>
    <w:pPr>
      <w:jc w:val="left"/>
    </w:pPr>
  </w:style>
  <w:style w:type="paragraph" w:styleId="10">
    <w:name w:val="Salutation"/>
    <w:basedOn w:val="1"/>
    <w:next w:val="1"/>
    <w:link w:val="52"/>
    <w:qFormat/>
    <w:uiPriority w:val="0"/>
    <w:rPr>
      <w:rFonts w:ascii="仿宋_GB2312" w:eastAsia="仿宋_GB2312"/>
      <w:sz w:val="28"/>
    </w:rPr>
  </w:style>
  <w:style w:type="paragraph" w:styleId="11">
    <w:name w:val="Body Text 3"/>
    <w:basedOn w:val="1"/>
    <w:qFormat/>
    <w:uiPriority w:val="0"/>
    <w:rPr>
      <w:rFonts w:ascii="宋体"/>
      <w:sz w:val="24"/>
    </w:rPr>
  </w:style>
  <w:style w:type="paragraph" w:styleId="12">
    <w:name w:val="Body Text"/>
    <w:basedOn w:val="1"/>
    <w:next w:val="1"/>
    <w:link w:val="53"/>
    <w:qFormat/>
    <w:uiPriority w:val="0"/>
    <w:pPr>
      <w:spacing w:after="120"/>
    </w:pPr>
    <w:rPr>
      <w:sz w:val="20"/>
    </w:rPr>
  </w:style>
  <w:style w:type="paragraph" w:styleId="13">
    <w:name w:val="Body Text Indent"/>
    <w:basedOn w:val="1"/>
    <w:link w:val="55"/>
    <w:qFormat/>
    <w:uiPriority w:val="0"/>
    <w:pPr>
      <w:spacing w:line="360" w:lineRule="exact"/>
      <w:ind w:left="1077" w:leftChars="513" w:firstLine="2" w:firstLineChars="1"/>
      <w:jc w:val="left"/>
      <w:textAlignment w:val="auto"/>
    </w:pPr>
    <w:rPr>
      <w:rFonts w:ascii="ˎ̥" w:hAnsi="ˎ̥"/>
      <w:color w:val="333333"/>
      <w:kern w:val="2"/>
      <w:szCs w:val="22"/>
    </w:rPr>
  </w:style>
  <w:style w:type="paragraph" w:styleId="14">
    <w:name w:val="List 2"/>
    <w:basedOn w:val="1"/>
    <w:qFormat/>
    <w:uiPriority w:val="0"/>
    <w:pPr>
      <w:ind w:left="100" w:leftChars="200" w:hanging="200" w:hangingChars="200"/>
    </w:pPr>
  </w:style>
  <w:style w:type="paragraph" w:styleId="15">
    <w:name w:val="Plain Text"/>
    <w:basedOn w:val="1"/>
    <w:link w:val="56"/>
    <w:qFormat/>
    <w:uiPriority w:val="99"/>
    <w:rPr>
      <w:rFonts w:ascii="宋体" w:hAnsi="Courier New" w:eastAsia="仿宋_GB2312"/>
      <w:kern w:val="2"/>
      <w:sz w:val="30"/>
      <w:szCs w:val="22"/>
    </w:rPr>
  </w:style>
  <w:style w:type="paragraph" w:styleId="16">
    <w:name w:val="Date"/>
    <w:basedOn w:val="1"/>
    <w:next w:val="1"/>
    <w:link w:val="57"/>
    <w:qFormat/>
    <w:uiPriority w:val="0"/>
    <w:pPr>
      <w:ind w:left="100" w:leftChars="2500"/>
    </w:pPr>
  </w:style>
  <w:style w:type="paragraph" w:styleId="17">
    <w:name w:val="Body Text Indent 2"/>
    <w:basedOn w:val="1"/>
    <w:link w:val="58"/>
    <w:qFormat/>
    <w:uiPriority w:val="0"/>
    <w:pPr>
      <w:spacing w:line="360" w:lineRule="exact"/>
      <w:ind w:left="716" w:leftChars="341" w:firstLine="2"/>
      <w:jc w:val="left"/>
      <w:textAlignment w:val="auto"/>
    </w:pPr>
    <w:rPr>
      <w:rFonts w:ascii="ˎ̥" w:hAnsi="ˎ̥"/>
      <w:color w:val="333333"/>
      <w:kern w:val="2"/>
      <w:szCs w:val="22"/>
    </w:rPr>
  </w:style>
  <w:style w:type="paragraph" w:styleId="18">
    <w:name w:val="Balloon Text"/>
    <w:basedOn w:val="1"/>
    <w:link w:val="59"/>
    <w:unhideWhenUsed/>
    <w:qFormat/>
    <w:uiPriority w:val="99"/>
    <w:pPr>
      <w:spacing w:line="240" w:lineRule="auto"/>
    </w:pPr>
    <w:rPr>
      <w:rFonts w:ascii="Calibri" w:hAnsi="Calibri"/>
      <w:kern w:val="2"/>
      <w:sz w:val="18"/>
      <w:szCs w:val="18"/>
    </w:rPr>
  </w:style>
  <w:style w:type="paragraph" w:styleId="19">
    <w:name w:val="footer"/>
    <w:basedOn w:val="1"/>
    <w:link w:val="60"/>
    <w:unhideWhenUsed/>
    <w:qFormat/>
    <w:uiPriority w:val="99"/>
    <w:pPr>
      <w:widowControl w:val="0"/>
      <w:tabs>
        <w:tab w:val="center" w:pos="4153"/>
        <w:tab w:val="right" w:pos="8306"/>
      </w:tabs>
      <w:snapToGrid w:val="0"/>
      <w:spacing w:line="240" w:lineRule="auto"/>
      <w:jc w:val="left"/>
      <w:textAlignment w:val="auto"/>
    </w:pPr>
    <w:rPr>
      <w:rFonts w:ascii="Calibri" w:hAnsi="Calibri"/>
      <w:color w:val="auto"/>
      <w:kern w:val="2"/>
      <w:sz w:val="18"/>
      <w:szCs w:val="18"/>
    </w:rPr>
  </w:style>
  <w:style w:type="paragraph" w:styleId="20">
    <w:name w:val="envelope return"/>
    <w:basedOn w:val="1"/>
    <w:unhideWhenUsed/>
    <w:qFormat/>
    <w:uiPriority w:val="99"/>
    <w:pPr>
      <w:snapToGrid w:val="0"/>
    </w:pPr>
    <w:rPr>
      <w:rFonts w:ascii="等线 Light" w:hAnsi="等线 Light" w:eastAsia="等线 Light"/>
    </w:rPr>
  </w:style>
  <w:style w:type="paragraph" w:styleId="21">
    <w:name w:val="header"/>
    <w:basedOn w:val="1"/>
    <w:link w:val="61"/>
    <w:unhideWhenUsed/>
    <w:qFormat/>
    <w:uiPriority w:val="99"/>
    <w:pPr>
      <w:widowControl w:val="0"/>
      <w:pBdr>
        <w:bottom w:val="single" w:color="auto" w:sz="6" w:space="1"/>
      </w:pBdr>
      <w:tabs>
        <w:tab w:val="center" w:pos="4153"/>
        <w:tab w:val="right" w:pos="8306"/>
      </w:tabs>
      <w:snapToGrid w:val="0"/>
      <w:spacing w:line="240" w:lineRule="auto"/>
      <w:jc w:val="center"/>
      <w:textAlignment w:val="auto"/>
    </w:pPr>
    <w:rPr>
      <w:rFonts w:ascii="Calibri" w:hAnsi="Calibri"/>
      <w:color w:val="auto"/>
      <w:kern w:val="2"/>
      <w:sz w:val="18"/>
      <w:szCs w:val="18"/>
    </w:rPr>
  </w:style>
  <w:style w:type="paragraph" w:styleId="22">
    <w:name w:val="toc 1"/>
    <w:basedOn w:val="1"/>
    <w:next w:val="1"/>
    <w:unhideWhenUsed/>
    <w:qFormat/>
    <w:uiPriority w:val="39"/>
  </w:style>
  <w:style w:type="paragraph" w:styleId="23">
    <w:name w:val="Body Text 2"/>
    <w:basedOn w:val="1"/>
    <w:next w:val="12"/>
    <w:link w:val="54"/>
    <w:qFormat/>
    <w:uiPriority w:val="0"/>
    <w:pPr>
      <w:spacing w:line="480" w:lineRule="auto"/>
    </w:pPr>
  </w:style>
  <w:style w:type="paragraph" w:styleId="24">
    <w:name w:val="Message Header"/>
    <w:basedOn w:val="1"/>
    <w:link w:val="6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5">
    <w:name w:val="Normal (Web)"/>
    <w:basedOn w:val="1"/>
    <w:semiHidden/>
    <w:unhideWhenUsed/>
    <w:qFormat/>
    <w:uiPriority w:val="99"/>
    <w:pPr>
      <w:spacing w:before="100" w:beforeAutospacing="1" w:after="100" w:afterAutospacing="1"/>
      <w:jc w:val="left"/>
    </w:pPr>
    <w:rPr>
      <w:rFonts w:ascii="宋体" w:hAnsi="宋体" w:cs="宋体"/>
      <w:sz w:val="24"/>
      <w:szCs w:val="24"/>
    </w:rPr>
  </w:style>
  <w:style w:type="paragraph" w:styleId="26">
    <w:name w:val="annotation subject"/>
    <w:basedOn w:val="9"/>
    <w:next w:val="9"/>
    <w:link w:val="63"/>
    <w:unhideWhenUsed/>
    <w:qFormat/>
    <w:uiPriority w:val="99"/>
    <w:rPr>
      <w:b/>
      <w:bCs/>
    </w:rPr>
  </w:style>
  <w:style w:type="paragraph" w:styleId="27">
    <w:name w:val="Body Text First Indent"/>
    <w:basedOn w:val="12"/>
    <w:next w:val="28"/>
    <w:qFormat/>
    <w:uiPriority w:val="0"/>
    <w:pPr>
      <w:adjustRightInd w:val="0"/>
      <w:spacing w:after="60" w:line="360" w:lineRule="atLeast"/>
      <w:ind w:left="72" w:leftChars="30" w:right="30" w:rightChars="30" w:firstLine="420" w:firstLineChars="100"/>
      <w:jc w:val="center"/>
    </w:pPr>
    <w:rPr>
      <w:kern w:val="2"/>
      <w:sz w:val="21"/>
    </w:rPr>
  </w:style>
  <w:style w:type="paragraph" w:styleId="28">
    <w:name w:val="Body Text First Indent 2"/>
    <w:basedOn w:val="13"/>
    <w:next w:val="1"/>
    <w:qFormat/>
    <w:uiPriority w:val="0"/>
    <w:pPr>
      <w:spacing w:after="120" w:line="360" w:lineRule="auto"/>
      <w:ind w:left="200" w:leftChars="200" w:firstLine="200"/>
    </w:pPr>
    <w:rPr>
      <w:sz w:val="28"/>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FollowedHyperlink"/>
    <w:basedOn w:val="31"/>
    <w:unhideWhenUsed/>
    <w:qFormat/>
    <w:uiPriority w:val="99"/>
    <w:rPr>
      <w:color w:val="800080"/>
      <w:u w:val="none"/>
    </w:rPr>
  </w:style>
  <w:style w:type="character" w:styleId="34">
    <w:name w:val="Emphasis"/>
    <w:basedOn w:val="31"/>
    <w:qFormat/>
    <w:uiPriority w:val="20"/>
    <w:rPr>
      <w:b/>
      <w:bCs/>
    </w:rPr>
  </w:style>
  <w:style w:type="character" w:styleId="35">
    <w:name w:val="HTML Definition"/>
    <w:basedOn w:val="31"/>
    <w:unhideWhenUsed/>
    <w:qFormat/>
    <w:uiPriority w:val="99"/>
  </w:style>
  <w:style w:type="character" w:styleId="36">
    <w:name w:val="HTML Typewriter"/>
    <w:basedOn w:val="31"/>
    <w:unhideWhenUsed/>
    <w:qFormat/>
    <w:uiPriority w:val="99"/>
    <w:rPr>
      <w:rFonts w:hint="default" w:ascii="monospace" w:hAnsi="monospace" w:eastAsia="monospace" w:cs="monospace"/>
      <w:sz w:val="20"/>
    </w:rPr>
  </w:style>
  <w:style w:type="character" w:styleId="37">
    <w:name w:val="HTML Acronym"/>
    <w:basedOn w:val="31"/>
    <w:unhideWhenUsed/>
    <w:qFormat/>
    <w:uiPriority w:val="99"/>
  </w:style>
  <w:style w:type="character" w:styleId="38">
    <w:name w:val="HTML Variable"/>
    <w:basedOn w:val="31"/>
    <w:unhideWhenUsed/>
    <w:qFormat/>
    <w:uiPriority w:val="99"/>
  </w:style>
  <w:style w:type="character" w:styleId="39">
    <w:name w:val="Hyperlink"/>
    <w:basedOn w:val="31"/>
    <w:qFormat/>
    <w:uiPriority w:val="99"/>
    <w:rPr>
      <w:color w:val="0000FF"/>
      <w:u w:val="none"/>
    </w:rPr>
  </w:style>
  <w:style w:type="character" w:styleId="40">
    <w:name w:val="HTML Code"/>
    <w:basedOn w:val="31"/>
    <w:unhideWhenUsed/>
    <w:qFormat/>
    <w:uiPriority w:val="99"/>
    <w:rPr>
      <w:rFonts w:hint="default" w:ascii="monospace" w:hAnsi="monospace" w:eastAsia="monospace" w:cs="monospace"/>
      <w:sz w:val="20"/>
    </w:rPr>
  </w:style>
  <w:style w:type="character" w:styleId="41">
    <w:name w:val="annotation reference"/>
    <w:unhideWhenUsed/>
    <w:qFormat/>
    <w:uiPriority w:val="0"/>
    <w:rPr>
      <w:sz w:val="21"/>
      <w:szCs w:val="21"/>
    </w:rPr>
  </w:style>
  <w:style w:type="character" w:styleId="42">
    <w:name w:val="HTML Cite"/>
    <w:basedOn w:val="31"/>
    <w:unhideWhenUsed/>
    <w:qFormat/>
    <w:uiPriority w:val="99"/>
  </w:style>
  <w:style w:type="character" w:styleId="43">
    <w:name w:val="HTML Keyboard"/>
    <w:basedOn w:val="31"/>
    <w:unhideWhenUsed/>
    <w:qFormat/>
    <w:uiPriority w:val="99"/>
    <w:rPr>
      <w:rFonts w:ascii="monospace" w:hAnsi="monospace" w:eastAsia="monospace" w:cs="monospace"/>
      <w:sz w:val="20"/>
    </w:rPr>
  </w:style>
  <w:style w:type="character" w:styleId="44">
    <w:name w:val="HTML Sample"/>
    <w:basedOn w:val="31"/>
    <w:unhideWhenUsed/>
    <w:qFormat/>
    <w:uiPriority w:val="99"/>
    <w:rPr>
      <w:rFonts w:hint="default" w:ascii="monospace" w:hAnsi="monospace" w:eastAsia="monospace" w:cs="monospace"/>
    </w:rPr>
  </w:style>
  <w:style w:type="character" w:customStyle="1" w:styleId="45">
    <w:name w:val="标题 1 Char"/>
    <w:basedOn w:val="31"/>
    <w:link w:val="2"/>
    <w:qFormat/>
    <w:uiPriority w:val="0"/>
    <w:rPr>
      <w:rFonts w:ascii="Times New Roman" w:hAnsi="Times New Roman" w:eastAsia="宋体" w:cs="Times New Roman"/>
      <w:b/>
      <w:bCs/>
      <w:kern w:val="44"/>
      <w:sz w:val="44"/>
      <w:szCs w:val="44"/>
      <w:u w:color="000000"/>
    </w:rPr>
  </w:style>
  <w:style w:type="paragraph" w:customStyle="1" w:styleId="4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7">
    <w:name w:val="标题 2 Char"/>
    <w:basedOn w:val="31"/>
    <w:link w:val="3"/>
    <w:qFormat/>
    <w:uiPriority w:val="9"/>
    <w:rPr>
      <w:rFonts w:eastAsia="宋体" w:asciiTheme="majorHAnsi" w:hAnsiTheme="majorHAnsi" w:cstheme="majorBidi"/>
      <w:b/>
      <w:bCs/>
      <w:color w:val="000000"/>
      <w:kern w:val="0"/>
      <w:sz w:val="36"/>
      <w:szCs w:val="32"/>
      <w:u w:color="000000"/>
    </w:rPr>
  </w:style>
  <w:style w:type="character" w:customStyle="1" w:styleId="48">
    <w:name w:val="标题 3 Char"/>
    <w:basedOn w:val="31"/>
    <w:link w:val="4"/>
    <w:qFormat/>
    <w:uiPriority w:val="0"/>
    <w:rPr>
      <w:rFonts w:ascii="仿宋_GB2312" w:hAnsi="仿宋_GB2312" w:eastAsia="宋体" w:cs="Times New Roman"/>
      <w:b/>
      <w:color w:val="000000"/>
      <w:sz w:val="24"/>
      <w:szCs w:val="20"/>
      <w:u w:color="000000"/>
    </w:rPr>
  </w:style>
  <w:style w:type="character" w:customStyle="1" w:styleId="49">
    <w:name w:val="标题 4 Char"/>
    <w:basedOn w:val="31"/>
    <w:link w:val="5"/>
    <w:qFormat/>
    <w:uiPriority w:val="9"/>
    <w:rPr>
      <w:rFonts w:ascii="Cambria" w:hAnsi="Cambria" w:eastAsia="宋体" w:cs="Times New Roman"/>
      <w:b/>
      <w:bCs/>
      <w:color w:val="000000"/>
      <w:kern w:val="0"/>
      <w:sz w:val="28"/>
      <w:szCs w:val="28"/>
      <w:u w:color="000000"/>
    </w:rPr>
  </w:style>
  <w:style w:type="character" w:customStyle="1" w:styleId="50">
    <w:name w:val="标题 5 Char"/>
    <w:basedOn w:val="31"/>
    <w:link w:val="6"/>
    <w:qFormat/>
    <w:uiPriority w:val="9"/>
    <w:rPr>
      <w:rFonts w:ascii="Times New Roman" w:hAnsi="Times New Roman" w:eastAsia="宋体" w:cs="Times New Roman"/>
      <w:b/>
      <w:bCs/>
      <w:color w:val="000000"/>
      <w:kern w:val="0"/>
      <w:sz w:val="28"/>
      <w:szCs w:val="28"/>
      <w:u w:color="000000"/>
    </w:rPr>
  </w:style>
  <w:style w:type="character" w:customStyle="1" w:styleId="51">
    <w:name w:val="批注文字 Char"/>
    <w:basedOn w:val="31"/>
    <w:link w:val="9"/>
    <w:qFormat/>
    <w:uiPriority w:val="99"/>
    <w:rPr>
      <w:rFonts w:ascii="Times New Roman" w:hAnsi="Times New Roman" w:eastAsia="宋体" w:cs="Times New Roman"/>
      <w:color w:val="000000"/>
      <w:kern w:val="0"/>
      <w:szCs w:val="20"/>
      <w:u w:color="000000"/>
    </w:rPr>
  </w:style>
  <w:style w:type="character" w:customStyle="1" w:styleId="52">
    <w:name w:val="称呼 Char"/>
    <w:basedOn w:val="31"/>
    <w:link w:val="10"/>
    <w:qFormat/>
    <w:uiPriority w:val="0"/>
    <w:rPr>
      <w:rFonts w:ascii="仿宋_GB2312" w:hAnsi="Times New Roman" w:eastAsia="仿宋_GB2312" w:cs="Times New Roman"/>
      <w:color w:val="000000"/>
      <w:kern w:val="0"/>
      <w:sz w:val="28"/>
      <w:szCs w:val="20"/>
      <w:u w:color="000000"/>
    </w:rPr>
  </w:style>
  <w:style w:type="character" w:customStyle="1" w:styleId="53">
    <w:name w:val="正文文本 Char"/>
    <w:basedOn w:val="31"/>
    <w:link w:val="12"/>
    <w:qFormat/>
    <w:uiPriority w:val="0"/>
    <w:rPr>
      <w:rFonts w:ascii="Times New Roman" w:hAnsi="Times New Roman" w:eastAsia="宋体" w:cs="Times New Roman"/>
      <w:color w:val="000000"/>
      <w:kern w:val="0"/>
      <w:sz w:val="20"/>
      <w:szCs w:val="20"/>
      <w:u w:color="000000"/>
    </w:rPr>
  </w:style>
  <w:style w:type="character" w:customStyle="1" w:styleId="54">
    <w:name w:val="正文文本 2 Char"/>
    <w:basedOn w:val="31"/>
    <w:link w:val="23"/>
    <w:qFormat/>
    <w:uiPriority w:val="0"/>
    <w:rPr>
      <w:rFonts w:ascii="Times New Roman" w:hAnsi="Times New Roman" w:eastAsia="宋体" w:cs="Times New Roman"/>
      <w:color w:val="000000"/>
      <w:kern w:val="0"/>
      <w:szCs w:val="20"/>
      <w:u w:color="000000"/>
    </w:rPr>
  </w:style>
  <w:style w:type="character" w:customStyle="1" w:styleId="55">
    <w:name w:val="正文文本缩进 Char"/>
    <w:basedOn w:val="31"/>
    <w:link w:val="13"/>
    <w:qFormat/>
    <w:uiPriority w:val="0"/>
    <w:rPr>
      <w:rFonts w:ascii="ˎ̥" w:hAnsi="ˎ̥" w:eastAsia="宋体" w:cs="Times New Roman"/>
      <w:color w:val="333333"/>
      <w:u w:color="000000"/>
    </w:rPr>
  </w:style>
  <w:style w:type="character" w:customStyle="1" w:styleId="56">
    <w:name w:val="纯文本 Char"/>
    <w:basedOn w:val="31"/>
    <w:link w:val="15"/>
    <w:qFormat/>
    <w:uiPriority w:val="99"/>
    <w:rPr>
      <w:rFonts w:ascii="宋体" w:hAnsi="Courier New" w:eastAsia="仿宋_GB2312" w:cs="Times New Roman"/>
      <w:color w:val="000000"/>
      <w:sz w:val="30"/>
      <w:u w:color="000000"/>
    </w:rPr>
  </w:style>
  <w:style w:type="character" w:customStyle="1" w:styleId="57">
    <w:name w:val="日期 Char"/>
    <w:basedOn w:val="31"/>
    <w:link w:val="16"/>
    <w:qFormat/>
    <w:uiPriority w:val="0"/>
    <w:rPr>
      <w:rFonts w:ascii="Times New Roman" w:hAnsi="Times New Roman" w:eastAsia="宋体" w:cs="Times New Roman"/>
      <w:color w:val="000000"/>
      <w:kern w:val="0"/>
      <w:szCs w:val="20"/>
      <w:u w:color="000000"/>
    </w:rPr>
  </w:style>
  <w:style w:type="character" w:customStyle="1" w:styleId="58">
    <w:name w:val="正文文本缩进 2 Char"/>
    <w:basedOn w:val="31"/>
    <w:link w:val="17"/>
    <w:qFormat/>
    <w:uiPriority w:val="0"/>
    <w:rPr>
      <w:rFonts w:ascii="ˎ̥" w:hAnsi="ˎ̥" w:eastAsia="宋体" w:cs="Times New Roman"/>
      <w:color w:val="333333"/>
      <w:u w:color="000000"/>
    </w:rPr>
  </w:style>
  <w:style w:type="character" w:customStyle="1" w:styleId="59">
    <w:name w:val="批注框文本 Char"/>
    <w:basedOn w:val="31"/>
    <w:link w:val="18"/>
    <w:qFormat/>
    <w:uiPriority w:val="99"/>
    <w:rPr>
      <w:rFonts w:ascii="Calibri" w:hAnsi="Calibri" w:eastAsia="宋体" w:cs="Times New Roman"/>
      <w:color w:val="000000"/>
      <w:sz w:val="18"/>
      <w:szCs w:val="18"/>
      <w:u w:color="000000"/>
    </w:rPr>
  </w:style>
  <w:style w:type="character" w:customStyle="1" w:styleId="60">
    <w:name w:val="页脚 Char"/>
    <w:basedOn w:val="31"/>
    <w:link w:val="19"/>
    <w:qFormat/>
    <w:uiPriority w:val="99"/>
    <w:rPr>
      <w:rFonts w:ascii="Calibri" w:hAnsi="Calibri" w:eastAsia="宋体" w:cs="Times New Roman"/>
      <w:sz w:val="18"/>
      <w:szCs w:val="18"/>
      <w:u w:color="000000"/>
    </w:rPr>
  </w:style>
  <w:style w:type="character" w:customStyle="1" w:styleId="61">
    <w:name w:val="页眉 Char"/>
    <w:basedOn w:val="31"/>
    <w:link w:val="21"/>
    <w:qFormat/>
    <w:uiPriority w:val="99"/>
    <w:rPr>
      <w:rFonts w:ascii="Calibri" w:hAnsi="Calibri" w:eastAsia="宋体" w:cs="Times New Roman"/>
      <w:sz w:val="18"/>
      <w:szCs w:val="18"/>
      <w:u w:color="000000"/>
    </w:rPr>
  </w:style>
  <w:style w:type="character" w:customStyle="1" w:styleId="62">
    <w:name w:val="信息标题 Char"/>
    <w:basedOn w:val="31"/>
    <w:link w:val="24"/>
    <w:qFormat/>
    <w:uiPriority w:val="99"/>
    <w:rPr>
      <w:rFonts w:ascii="Cambria" w:hAnsi="Cambria" w:eastAsia="宋体" w:cs="Times New Roman"/>
      <w:color w:val="000000"/>
      <w:kern w:val="0"/>
      <w:sz w:val="24"/>
      <w:szCs w:val="20"/>
      <w:u w:color="000000"/>
      <w:shd w:val="pct20" w:color="auto" w:fill="auto"/>
    </w:rPr>
  </w:style>
  <w:style w:type="character" w:customStyle="1" w:styleId="63">
    <w:name w:val="批注主题 Char"/>
    <w:basedOn w:val="51"/>
    <w:link w:val="26"/>
    <w:qFormat/>
    <w:uiPriority w:val="99"/>
    <w:rPr>
      <w:rFonts w:ascii="Times New Roman" w:hAnsi="Times New Roman" w:eastAsia="宋体" w:cs="Times New Roman"/>
      <w:b/>
      <w:bCs/>
      <w:color w:val="000000"/>
      <w:kern w:val="0"/>
      <w:szCs w:val="20"/>
      <w:u w:color="000000"/>
    </w:rPr>
  </w:style>
  <w:style w:type="character" w:customStyle="1" w:styleId="64">
    <w:name w:val="批注文字 Char1"/>
    <w:basedOn w:val="31"/>
    <w:qFormat/>
    <w:uiPriority w:val="99"/>
    <w:rPr>
      <w:rFonts w:ascii="Times New Roman" w:hAnsi="Times New Roman" w:eastAsia="宋体" w:cs="Times New Roman"/>
      <w:color w:val="000000"/>
      <w:kern w:val="0"/>
      <w:szCs w:val="20"/>
      <w:u w:color="000000"/>
    </w:rPr>
  </w:style>
  <w:style w:type="character" w:customStyle="1" w:styleId="65">
    <w:name w:val="称呼 Char1"/>
    <w:basedOn w:val="31"/>
    <w:qFormat/>
    <w:uiPriority w:val="99"/>
    <w:rPr>
      <w:rFonts w:ascii="仿宋_GB2312" w:hAnsi="Times New Roman" w:eastAsia="仿宋_GB2312" w:cs="Times New Roman"/>
      <w:color w:val="000000"/>
      <w:kern w:val="0"/>
      <w:sz w:val="28"/>
      <w:szCs w:val="20"/>
      <w:u w:color="000000"/>
    </w:rPr>
  </w:style>
  <w:style w:type="character" w:customStyle="1" w:styleId="66">
    <w:name w:val="正文文本缩进 Char1"/>
    <w:basedOn w:val="31"/>
    <w:qFormat/>
    <w:uiPriority w:val="99"/>
    <w:rPr>
      <w:rFonts w:ascii="ˎ̥" w:hAnsi="ˎ̥"/>
      <w:color w:val="333333"/>
      <w:u w:color="000000"/>
    </w:rPr>
  </w:style>
  <w:style w:type="character" w:customStyle="1" w:styleId="67">
    <w:name w:val="日期 Char1"/>
    <w:basedOn w:val="31"/>
    <w:qFormat/>
    <w:uiPriority w:val="99"/>
    <w:rPr>
      <w:rFonts w:ascii="Times New Roman" w:hAnsi="Times New Roman" w:eastAsia="宋体" w:cs="Times New Roman"/>
      <w:color w:val="000000"/>
      <w:kern w:val="0"/>
      <w:szCs w:val="20"/>
      <w:u w:color="000000"/>
    </w:rPr>
  </w:style>
  <w:style w:type="character" w:customStyle="1" w:styleId="68">
    <w:name w:val="正文文本缩进 2 Char1"/>
    <w:basedOn w:val="31"/>
    <w:qFormat/>
    <w:uiPriority w:val="99"/>
    <w:rPr>
      <w:rFonts w:ascii="ˎ̥" w:hAnsi="ˎ̥"/>
      <w:color w:val="333333"/>
      <w:u w:color="000000"/>
    </w:rPr>
  </w:style>
  <w:style w:type="character" w:customStyle="1" w:styleId="69">
    <w:name w:val="批注框文本 Char1"/>
    <w:basedOn w:val="31"/>
    <w:qFormat/>
    <w:uiPriority w:val="99"/>
    <w:rPr>
      <w:color w:val="000000"/>
      <w:sz w:val="18"/>
      <w:szCs w:val="18"/>
      <w:u w:color="000000"/>
    </w:rPr>
  </w:style>
  <w:style w:type="character" w:customStyle="1" w:styleId="70">
    <w:name w:val="批注主题 Char1"/>
    <w:basedOn w:val="64"/>
    <w:qFormat/>
    <w:uiPriority w:val="99"/>
    <w:rPr>
      <w:rFonts w:ascii="Times New Roman" w:hAnsi="Times New Roman" w:eastAsia="宋体" w:cs="Times New Roman"/>
      <w:b/>
      <w:bCs/>
      <w:color w:val="000000"/>
      <w:kern w:val="0"/>
      <w:szCs w:val="20"/>
      <w:u w:color="000000"/>
    </w:rPr>
  </w:style>
  <w:style w:type="paragraph" w:customStyle="1" w:styleId="71">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72">
    <w:name w:val="链接"/>
    <w:qFormat/>
    <w:uiPriority w:val="0"/>
    <w:rPr>
      <w:rFonts w:ascii="Times New Roman" w:eastAsia="宋体"/>
      <w:color w:val="0000FF"/>
      <w:sz w:val="21"/>
      <w:u w:val="single" w:color="0000FF"/>
      <w:vertAlign w:val="baseline"/>
      <w:lang w:val="en-US" w:eastAsia="zh-CN"/>
    </w:rPr>
  </w:style>
  <w:style w:type="character" w:customStyle="1" w:styleId="73">
    <w:name w:val="默认段落字体{858D7CFB-ED40-4347-BF05-701D383B685F}"/>
    <w:qFormat/>
    <w:uiPriority w:val="0"/>
    <w:rPr>
      <w:rFonts w:ascii="Times New Roman" w:eastAsia="宋体"/>
      <w:color w:val="000000"/>
      <w:spacing w:val="0"/>
      <w:w w:val="100"/>
      <w:sz w:val="21"/>
      <w:u w:val="none" w:color="000000"/>
      <w:vertAlign w:val="baseline"/>
      <w:lang w:val="en-US" w:eastAsia="zh-CN"/>
    </w:rPr>
  </w:style>
  <w:style w:type="character" w:customStyle="1" w:styleId="74">
    <w:name w:val="样式 标书正文 + 下划线 Char"/>
    <w:qFormat/>
    <w:uiPriority w:val="0"/>
    <w:rPr>
      <w:rFonts w:eastAsia="楷体_GB2312"/>
      <w:kern w:val="2"/>
      <w:sz w:val="28"/>
      <w:u w:val="single"/>
      <w:lang w:val="en-US" w:eastAsia="zh-CN"/>
    </w:rPr>
  </w:style>
  <w:style w:type="character" w:customStyle="1" w:styleId="75">
    <w:name w:val="纯文本 Char1"/>
    <w:qFormat/>
    <w:uiPriority w:val="99"/>
    <w:rPr>
      <w:rFonts w:ascii="宋体" w:hAnsi="Courier New" w:eastAsia="仿宋_GB2312"/>
      <w:color w:val="000000"/>
      <w:sz w:val="30"/>
      <w:u w:color="000000"/>
    </w:rPr>
  </w:style>
  <w:style w:type="character" w:customStyle="1" w:styleId="76">
    <w:name w:val="要点{858D7CFB-ED40-4347-BF05-701D383B685F}"/>
    <w:qFormat/>
    <w:uiPriority w:val="0"/>
    <w:rPr>
      <w:rFonts w:ascii="Times New Roman" w:eastAsia="宋体"/>
      <w:b/>
      <w:color w:val="000000"/>
      <w:spacing w:val="0"/>
      <w:w w:val="100"/>
      <w:sz w:val="21"/>
      <w:u w:val="none" w:color="000000"/>
      <w:vertAlign w:val="baseline"/>
      <w:lang w:val="en-US" w:eastAsia="zh-CN"/>
    </w:rPr>
  </w:style>
  <w:style w:type="character" w:customStyle="1" w:styleId="77">
    <w:name w:val="Char Char"/>
    <w:qFormat/>
    <w:uiPriority w:val="0"/>
    <w:rPr>
      <w:rFonts w:ascii="仿宋_GB2312" w:eastAsia="仿宋_GB2312"/>
      <w:b/>
      <w:color w:val="000000"/>
      <w:spacing w:val="0"/>
      <w:w w:val="100"/>
      <w:sz w:val="24"/>
      <w:u w:val="none" w:color="000000"/>
      <w:vertAlign w:val="baseline"/>
      <w:lang w:val="en-US" w:eastAsia="zh-CN"/>
    </w:rPr>
  </w:style>
  <w:style w:type="character" w:customStyle="1" w:styleId="78">
    <w:name w:val="页码{858D7CFB-ED40-4347-BF05-701D383B685F}"/>
    <w:qFormat/>
    <w:uiPriority w:val="0"/>
    <w:rPr>
      <w:rFonts w:ascii="Times New Roman" w:eastAsia="宋体"/>
      <w:color w:val="000000"/>
      <w:spacing w:val="0"/>
      <w:w w:val="100"/>
      <w:sz w:val="21"/>
      <w:u w:val="none" w:color="000000"/>
      <w:vertAlign w:val="baseline"/>
      <w:lang w:val="en-US" w:eastAsia="zh-CN"/>
    </w:rPr>
  </w:style>
  <w:style w:type="paragraph" w:customStyle="1" w:styleId="79">
    <w:name w:val="样式 标题 3 + (中文) 黑体 小四 非加粗 段前: 7.8 磅 段后: 0 磅 行距: 固定值 20 磅"/>
    <w:basedOn w:val="4"/>
    <w:qFormat/>
    <w:uiPriority w:val="0"/>
    <w:pPr>
      <w:keepNext/>
      <w:keepLines/>
      <w:widowControl w:val="0"/>
      <w:autoSpaceDE/>
      <w:autoSpaceDN/>
      <w:adjustRightInd/>
      <w:spacing w:before="0" w:line="400" w:lineRule="exact"/>
      <w:jc w:val="both"/>
      <w:textAlignment w:val="auto"/>
    </w:pPr>
    <w:rPr>
      <w:rFonts w:ascii="Times New Roman" w:eastAsia="黑体" w:cs="宋体"/>
      <w:b w:val="0"/>
      <w:color w:val="auto"/>
    </w:rPr>
  </w:style>
  <w:style w:type="paragraph" w:customStyle="1" w:styleId="80">
    <w:name w:val="普通表格1"/>
    <w:qFormat/>
    <w:uiPriority w:val="0"/>
    <w:pPr>
      <w:spacing w:line="351" w:lineRule="atLeast"/>
      <w:jc w:val="both"/>
      <w:textAlignment w:val="baseline"/>
    </w:pPr>
    <w:rPr>
      <w:rFonts w:ascii="Times New Roman" w:hAnsi="Times New Roman" w:eastAsia="宋体" w:cs="Times New Roman"/>
      <w:color w:val="000000"/>
      <w:sz w:val="21"/>
      <w:u w:color="000000"/>
      <w:lang w:val="en-US" w:eastAsia="zh-CN" w:bidi="ar-SA"/>
    </w:rPr>
  </w:style>
  <w:style w:type="paragraph" w:customStyle="1" w:styleId="81">
    <w:name w:val="无列表1"/>
    <w:qFormat/>
    <w:uiPriority w:val="0"/>
    <w:pPr>
      <w:spacing w:line="351" w:lineRule="atLeast"/>
      <w:jc w:val="both"/>
      <w:textAlignment w:val="baseline"/>
    </w:pPr>
    <w:rPr>
      <w:rFonts w:ascii="Times New Roman" w:hAnsi="Times New Roman" w:eastAsia="宋体" w:cs="Times New Roman"/>
      <w:color w:val="000000"/>
      <w:sz w:val="21"/>
      <w:u w:color="000000"/>
      <w:lang w:val="en-US" w:eastAsia="zh-CN" w:bidi="ar-SA"/>
    </w:rPr>
  </w:style>
  <w:style w:type="paragraph" w:customStyle="1" w:styleId="82">
    <w:name w:val="WPS Plain"/>
    <w:qFormat/>
    <w:uiPriority w:val="0"/>
    <w:rPr>
      <w:rFonts w:ascii="Times New Roman" w:hAnsi="Times New Roman" w:eastAsia="宋体" w:cs="Times New Roman"/>
      <w:lang w:val="en-US" w:eastAsia="zh-CN" w:bidi="ar-SA"/>
    </w:rPr>
  </w:style>
  <w:style w:type="paragraph" w:customStyle="1" w:styleId="83">
    <w:name w:val="reader-word-layer"/>
    <w:basedOn w:val="1"/>
    <w:qFormat/>
    <w:uiPriority w:val="0"/>
    <w:pPr>
      <w:spacing w:before="100" w:beforeAutospacing="1" w:after="100" w:afterAutospacing="1"/>
      <w:jc w:val="left"/>
    </w:pPr>
    <w:rPr>
      <w:rFonts w:ascii="宋体" w:hAnsi="宋体" w:cs="宋体"/>
      <w:sz w:val="24"/>
    </w:rPr>
  </w:style>
  <w:style w:type="paragraph" w:customStyle="1" w:styleId="84">
    <w:name w:val="cjk"/>
    <w:basedOn w:val="1"/>
    <w:qFormat/>
    <w:uiPriority w:val="0"/>
    <w:pPr>
      <w:spacing w:beforeAutospacing="1" w:afterAutospacing="1"/>
      <w:jc w:val="left"/>
    </w:pPr>
    <w:rPr>
      <w:rFonts w:hint="eastAsia" w:ascii="宋体" w:hAnsi="宋体"/>
      <w:sz w:val="24"/>
    </w:rPr>
  </w:style>
  <w:style w:type="paragraph" w:styleId="85">
    <w:name w:val="List Paragraph"/>
    <w:basedOn w:val="1"/>
    <w:link w:val="117"/>
    <w:qFormat/>
    <w:uiPriority w:val="99"/>
    <w:pPr>
      <w:widowControl w:val="0"/>
      <w:spacing w:line="240" w:lineRule="auto"/>
      <w:ind w:firstLine="420" w:firstLineChars="200"/>
      <w:textAlignment w:val="auto"/>
    </w:pPr>
    <w:rPr>
      <w:rFonts w:ascii="Calibri" w:hAnsi="Calibri"/>
      <w:color w:val="auto"/>
      <w:kern w:val="2"/>
      <w:szCs w:val="22"/>
    </w:rPr>
  </w:style>
  <w:style w:type="paragraph" w:styleId="86">
    <w:name w:val="No Spacing"/>
    <w:qFormat/>
    <w:uiPriority w:val="1"/>
    <w:pPr>
      <w:widowControl w:val="0"/>
      <w:jc w:val="both"/>
    </w:pPr>
    <w:rPr>
      <w:rFonts w:ascii="Times New Roman" w:hAnsi="Times New Roman" w:eastAsia="仿宋_GB2312" w:cs="Times New Roman"/>
      <w:kern w:val="2"/>
      <w:sz w:val="21"/>
      <w:szCs w:val="22"/>
      <w:lang w:val="en-US" w:eastAsia="zh-CN" w:bidi="ar-SA"/>
    </w:rPr>
  </w:style>
  <w:style w:type="paragraph" w:customStyle="1" w:styleId="87">
    <w:name w:val="无间隔1"/>
    <w:basedOn w:val="1"/>
    <w:qFormat/>
    <w:uiPriority w:val="0"/>
    <w:pPr>
      <w:spacing w:line="400" w:lineRule="exact"/>
    </w:pPr>
    <w:rPr>
      <w:sz w:val="24"/>
      <w:szCs w:val="21"/>
    </w:rPr>
  </w:style>
  <w:style w:type="paragraph" w:customStyle="1" w:styleId="88">
    <w:name w:val="Table Paragraph"/>
    <w:basedOn w:val="1"/>
    <w:qFormat/>
    <w:uiPriority w:val="1"/>
    <w:rPr>
      <w:rFonts w:ascii="宋体" w:hAnsi="宋体" w:cs="宋体"/>
      <w:lang w:val="zh-CN" w:bidi="zh-CN"/>
    </w:rPr>
  </w:style>
  <w:style w:type="character" w:customStyle="1" w:styleId="89">
    <w:name w:val="hover1"/>
    <w:basedOn w:val="31"/>
    <w:qFormat/>
    <w:uiPriority w:val="0"/>
    <w:rPr>
      <w:color w:val="2590EB"/>
    </w:rPr>
  </w:style>
  <w:style w:type="character" w:customStyle="1" w:styleId="90">
    <w:name w:val="hover2"/>
    <w:basedOn w:val="31"/>
    <w:qFormat/>
    <w:uiPriority w:val="0"/>
    <w:rPr>
      <w:color w:val="2590EB"/>
    </w:rPr>
  </w:style>
  <w:style w:type="character" w:customStyle="1" w:styleId="91">
    <w:name w:val="hover3"/>
    <w:basedOn w:val="31"/>
    <w:qFormat/>
    <w:uiPriority w:val="0"/>
  </w:style>
  <w:style w:type="character" w:customStyle="1" w:styleId="92">
    <w:name w:val="mini-outputtext1"/>
    <w:basedOn w:val="31"/>
    <w:qFormat/>
    <w:uiPriority w:val="0"/>
  </w:style>
  <w:style w:type="character" w:customStyle="1" w:styleId="93">
    <w:name w:val="font01"/>
    <w:qFormat/>
    <w:uiPriority w:val="0"/>
    <w:rPr>
      <w:rFonts w:hint="eastAsia" w:ascii="宋体" w:hAnsi="宋体" w:eastAsia="宋体" w:cs="宋体"/>
      <w:color w:val="000000"/>
      <w:sz w:val="24"/>
      <w:szCs w:val="24"/>
      <w:u w:val="none"/>
    </w:rPr>
  </w:style>
  <w:style w:type="paragraph" w:customStyle="1" w:styleId="94">
    <w:name w:val="msonormal"/>
    <w:basedOn w:val="1"/>
    <w:qFormat/>
    <w:uiPriority w:val="0"/>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95">
    <w:name w:val="font5"/>
    <w:basedOn w:val="1"/>
    <w:qFormat/>
    <w:uiPriority w:val="0"/>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96">
    <w:name w:val="xl66"/>
    <w:basedOn w:val="1"/>
    <w:qFormat/>
    <w:uiPriority w:val="0"/>
    <w:pPr>
      <w:spacing w:before="100" w:beforeAutospacing="1" w:after="100" w:afterAutospacing="1" w:line="240" w:lineRule="auto"/>
      <w:jc w:val="center"/>
      <w:textAlignment w:val="auto"/>
    </w:pPr>
    <w:rPr>
      <w:rFonts w:ascii="宋体" w:hAnsi="宋体" w:cs="宋体"/>
      <w:color w:val="auto"/>
      <w:sz w:val="24"/>
      <w:szCs w:val="24"/>
    </w:rPr>
  </w:style>
  <w:style w:type="paragraph" w:customStyle="1" w:styleId="97">
    <w:name w:val="xl67"/>
    <w:basedOn w:val="1"/>
    <w:qFormat/>
    <w:uiPriority w:val="0"/>
    <w:pPr>
      <w:spacing w:before="100" w:beforeAutospacing="1" w:after="100" w:afterAutospacing="1" w:line="240" w:lineRule="auto"/>
      <w:jc w:val="center"/>
      <w:textAlignment w:val="auto"/>
    </w:pPr>
    <w:rPr>
      <w:rFonts w:ascii="宋体" w:hAnsi="宋体" w:cs="宋体"/>
      <w:color w:val="FF0000"/>
      <w:sz w:val="24"/>
      <w:szCs w:val="24"/>
    </w:rPr>
  </w:style>
  <w:style w:type="paragraph" w:customStyle="1" w:styleId="98">
    <w:name w:val="xl68"/>
    <w:basedOn w:val="1"/>
    <w:qFormat/>
    <w:uiPriority w:val="0"/>
    <w:pPr>
      <w:spacing w:before="100" w:beforeAutospacing="1" w:after="100" w:afterAutospacing="1" w:line="240" w:lineRule="auto"/>
      <w:jc w:val="center"/>
      <w:textAlignment w:val="auto"/>
    </w:pPr>
    <w:rPr>
      <w:rFonts w:ascii="宋体" w:hAnsi="宋体" w:cs="宋体"/>
      <w:color w:val="auto"/>
      <w:sz w:val="24"/>
      <w:szCs w:val="24"/>
    </w:rPr>
  </w:style>
  <w:style w:type="paragraph" w:customStyle="1" w:styleId="99">
    <w:name w:val="xl69"/>
    <w:basedOn w:val="1"/>
    <w:qFormat/>
    <w:uiPriority w:val="0"/>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00">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24"/>
      <w:szCs w:val="24"/>
    </w:rPr>
  </w:style>
  <w:style w:type="paragraph" w:customStyle="1" w:styleId="101">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24"/>
      <w:szCs w:val="24"/>
    </w:rPr>
  </w:style>
  <w:style w:type="paragraph" w:customStyle="1" w:styleId="102">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03">
    <w:name w:val="xl73"/>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24"/>
      <w:szCs w:val="24"/>
    </w:rPr>
  </w:style>
  <w:style w:type="paragraph" w:customStyle="1" w:styleId="104">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bottom"/>
    </w:pPr>
    <w:rPr>
      <w:rFonts w:ascii="宋体" w:hAnsi="宋体" w:cs="宋体"/>
      <w:color w:val="auto"/>
      <w:sz w:val="24"/>
      <w:szCs w:val="24"/>
    </w:rPr>
  </w:style>
  <w:style w:type="paragraph" w:customStyle="1" w:styleId="105">
    <w:name w:val="xl75"/>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24"/>
      <w:szCs w:val="24"/>
    </w:rPr>
  </w:style>
  <w:style w:type="paragraph" w:customStyle="1" w:styleId="106">
    <w:name w:val="xl76"/>
    <w:basedOn w:val="1"/>
    <w:qFormat/>
    <w:uiPriority w:val="0"/>
    <w:pPr>
      <w:pBdr>
        <w:left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24"/>
      <w:szCs w:val="24"/>
    </w:rPr>
  </w:style>
  <w:style w:type="paragraph" w:customStyle="1" w:styleId="107">
    <w:name w:val="xl77"/>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24"/>
      <w:szCs w:val="24"/>
    </w:rPr>
  </w:style>
  <w:style w:type="paragraph" w:customStyle="1" w:styleId="108">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09">
    <w:name w:val="xl79"/>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24"/>
      <w:szCs w:val="24"/>
    </w:rPr>
  </w:style>
  <w:style w:type="character" w:customStyle="1" w:styleId="110">
    <w:name w:val="font51"/>
    <w:basedOn w:val="31"/>
    <w:qFormat/>
    <w:uiPriority w:val="0"/>
    <w:rPr>
      <w:rFonts w:hint="eastAsia" w:ascii="宋体" w:hAnsi="宋体" w:eastAsia="宋体" w:cs="宋体"/>
      <w:color w:val="FF0000"/>
      <w:sz w:val="22"/>
      <w:szCs w:val="22"/>
      <w:u w:val="none"/>
    </w:rPr>
  </w:style>
  <w:style w:type="character" w:customStyle="1" w:styleId="111">
    <w:name w:val="font41"/>
    <w:basedOn w:val="31"/>
    <w:qFormat/>
    <w:uiPriority w:val="0"/>
    <w:rPr>
      <w:rFonts w:hint="eastAsia" w:ascii="宋体" w:hAnsi="宋体" w:eastAsia="宋体" w:cs="宋体"/>
      <w:color w:val="000000"/>
      <w:sz w:val="22"/>
      <w:szCs w:val="22"/>
      <w:u w:val="none"/>
    </w:rPr>
  </w:style>
  <w:style w:type="character" w:customStyle="1" w:styleId="112">
    <w:name w:val="文档结构图 Char"/>
    <w:basedOn w:val="31"/>
    <w:link w:val="8"/>
    <w:semiHidden/>
    <w:qFormat/>
    <w:uiPriority w:val="99"/>
    <w:rPr>
      <w:rFonts w:ascii="宋体"/>
      <w:color w:val="000000"/>
      <w:sz w:val="18"/>
      <w:szCs w:val="18"/>
      <w:u w:color="000000"/>
    </w:rPr>
  </w:style>
  <w:style w:type="paragraph" w:customStyle="1" w:styleId="11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114">
    <w:name w:val="p0"/>
    <w:basedOn w:val="1"/>
    <w:qFormat/>
    <w:uiPriority w:val="0"/>
    <w:rPr>
      <w:rFonts w:hint="eastAsia"/>
    </w:rPr>
  </w:style>
  <w:style w:type="character" w:customStyle="1" w:styleId="115">
    <w:name w:val="font31"/>
    <w:basedOn w:val="31"/>
    <w:qFormat/>
    <w:uiPriority w:val="0"/>
    <w:rPr>
      <w:rFonts w:hint="eastAsia" w:ascii="宋体" w:hAnsi="宋体" w:eastAsia="宋体" w:cs="宋体"/>
      <w:color w:val="000000"/>
      <w:sz w:val="18"/>
      <w:szCs w:val="18"/>
      <w:u w:val="none"/>
    </w:rPr>
  </w:style>
  <w:style w:type="character" w:customStyle="1" w:styleId="116">
    <w:name w:val="font81"/>
    <w:basedOn w:val="31"/>
    <w:qFormat/>
    <w:uiPriority w:val="0"/>
    <w:rPr>
      <w:rFonts w:ascii="Calibri" w:hAnsi="Calibri" w:cs="Calibri"/>
      <w:color w:val="000000"/>
      <w:sz w:val="18"/>
      <w:szCs w:val="18"/>
      <w:u w:val="none"/>
    </w:rPr>
  </w:style>
  <w:style w:type="character" w:customStyle="1" w:styleId="117">
    <w:name w:val="列出段落 Char"/>
    <w:link w:val="85"/>
    <w:qFormat/>
    <w:uiPriority w:val="99"/>
    <w:rPr>
      <w:rFonts w:ascii="Calibri" w:hAnsi="Calibri"/>
      <w:kern w:val="2"/>
      <w:sz w:val="21"/>
      <w:szCs w:val="22"/>
      <w:u w:color="000000"/>
    </w:rPr>
  </w:style>
  <w:style w:type="paragraph" w:customStyle="1" w:styleId="118">
    <w:name w:val="*正文_1"/>
    <w:basedOn w:val="119"/>
    <w:next w:val="1"/>
    <w:qFormat/>
    <w:uiPriority w:val="0"/>
    <w:pPr>
      <w:widowControl/>
      <w:spacing w:line="360" w:lineRule="auto"/>
      <w:ind w:firstLine="482"/>
    </w:pPr>
    <w:rPr>
      <w:rFonts w:ascii="微软雅黑" w:hAnsi="微软雅黑" w:eastAsia="微软雅黑" w:cs="Times New Roman"/>
      <w:kern w:val="0"/>
      <w:szCs w:val="20"/>
    </w:rPr>
  </w:style>
  <w:style w:type="paragraph" w:customStyle="1" w:styleId="119">
    <w:name w:val="正文_1_1"/>
    <w:next w:val="12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Default_1"/>
    <w:next w:val="119"/>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21">
    <w:name w:val="表格"/>
    <w:basedOn w:val="1"/>
    <w:qFormat/>
    <w:uiPriority w:val="0"/>
    <w:pPr>
      <w:widowControl w:val="0"/>
      <w:spacing w:line="288" w:lineRule="auto"/>
      <w:jc w:val="center"/>
    </w:pPr>
    <w:rPr>
      <w:rFonts w:eastAsia="宋体"/>
      <w:sz w:val="21"/>
    </w:rPr>
  </w:style>
  <w:style w:type="paragraph" w:customStyle="1" w:styleId="122">
    <w:name w:val="表内文本"/>
    <w:basedOn w:val="1"/>
    <w:qFormat/>
    <w:uiPriority w:val="0"/>
    <w:pPr>
      <w:widowControl/>
      <w:spacing w:line="240" w:lineRule="auto"/>
      <w:ind w:firstLine="0" w:firstLineChars="0"/>
      <w:jc w:val="center"/>
    </w:pPr>
    <w:rPr>
      <w:sz w:val="21"/>
      <w:szCs w:val="24"/>
    </w:rPr>
  </w:style>
  <w:style w:type="paragraph" w:customStyle="1" w:styleId="123">
    <w:name w:val="列出段落1"/>
    <w:basedOn w:val="1"/>
    <w:qFormat/>
    <w:uiPriority w:val="0"/>
    <w:pPr>
      <w:ind w:firstLine="420" w:firstLineChars="200"/>
    </w:pPr>
    <w:rPr>
      <w:szCs w:val="21"/>
    </w:rPr>
  </w:style>
  <w:style w:type="paragraph" w:customStyle="1" w:styleId="124">
    <w:name w:val="题1"/>
    <w:basedOn w:val="2"/>
    <w:next w:val="1"/>
    <w:qFormat/>
    <w:uiPriority w:val="0"/>
    <w:pPr>
      <w:numPr>
        <w:ilvl w:val="0"/>
        <w:numId w:val="1"/>
      </w:numPr>
    </w:pPr>
  </w:style>
  <w:style w:type="paragraph" w:customStyle="1" w:styleId="125">
    <w:name w:val="题2"/>
    <w:basedOn w:val="3"/>
    <w:next w:val="1"/>
    <w:autoRedefine/>
    <w:qFormat/>
    <w:uiPriority w:val="0"/>
    <w:pPr>
      <w:numPr>
        <w:ilvl w:val="1"/>
        <w:numId w:val="1"/>
      </w:numPr>
    </w:pPr>
  </w:style>
  <w:style w:type="paragraph" w:customStyle="1" w:styleId="126">
    <w:name w:val="题3"/>
    <w:basedOn w:val="4"/>
    <w:next w:val="1"/>
    <w:qFormat/>
    <w:uiPriority w:val="0"/>
    <w:pPr>
      <w:numPr>
        <w:ilvl w:val="2"/>
        <w:numId w:val="1"/>
      </w:numPr>
      <w:spacing w:before="156" w:after="156"/>
    </w:pPr>
  </w:style>
  <w:style w:type="paragraph" w:customStyle="1" w:styleId="127">
    <w:name w:val="大标题"/>
    <w:basedOn w:val="1"/>
    <w:next w:val="28"/>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128">
    <w:name w:val="_Style 13"/>
    <w:qFormat/>
    <w:uiPriority w:val="0"/>
    <w:pPr>
      <w:spacing w:before="120" w:after="120" w:line="288" w:lineRule="auto"/>
      <w:ind w:left="0"/>
      <w:jc w:val="left"/>
    </w:pPr>
    <w:rPr>
      <w:rFonts w:ascii="Arial" w:hAnsi="Arial" w:eastAsia="等线" w:cs="Arial"/>
      <w:sz w:val="22"/>
      <w:szCs w:val="22"/>
    </w:rPr>
  </w:style>
  <w:style w:type="paragraph" w:customStyle="1" w:styleId="129">
    <w:name w:val="Table Text"/>
    <w:basedOn w:val="1"/>
    <w:semiHidden/>
    <w:qFormat/>
    <w:uiPriority w:val="0"/>
    <w:rPr>
      <w:rFonts w:ascii="宋体" w:hAnsi="宋体" w:eastAsia="宋体" w:cs="宋体"/>
    </w:rPr>
  </w:style>
  <w:style w:type="table" w:customStyle="1" w:styleId="130">
    <w:name w:val="Table Normal"/>
    <w:semiHidden/>
    <w:unhideWhenUsed/>
    <w:qFormat/>
    <w:uiPriority w:val="0"/>
    <w:pPr>
      <w:spacing w:after="0" w:line="240" w:lineRule="auto"/>
    </w:pPr>
    <w:rPr>
      <w:kern w:val="0"/>
      <w:sz w:val="20"/>
      <w:szCs w:val="20"/>
      <w14:ligatures w14:val="none"/>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B9E35-5250-4A4E-8F2A-495F526C91B5}">
  <ds:schemaRefs/>
</ds:datastoreItem>
</file>

<file path=docProps/app.xml><?xml version="1.0" encoding="utf-8"?>
<Properties xmlns="http://schemas.openxmlformats.org/officeDocument/2006/extended-properties" xmlns:vt="http://schemas.openxmlformats.org/officeDocument/2006/docPropsVTypes">
  <Template>Normal</Template>
  <Pages>70</Pages>
  <Words>37163</Words>
  <Characters>40524</Characters>
  <Lines>346</Lines>
  <Paragraphs>97</Paragraphs>
  <TotalTime>34</TotalTime>
  <ScaleCrop>false</ScaleCrop>
  <LinksUpToDate>false</LinksUpToDate>
  <CharactersWithSpaces>43822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2022-03-24T01:45:00Z</dcterms:created>
  <dc:creator>louxia</dc:creator>
  <cp:lastModifiedBy>盛美工程管理</cp:lastModifiedBy>
  <cp:lastPrinted>2025-12-16T08:06:14Z</cp:lastPrinted>
  <dcterms:modified xsi:type="dcterms:W3CDTF">2025-12-16T08:35:34Z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D737C39BE727450E9D6D5873A9BA4F7F</vt:lpwstr>
  </property>
  <property fmtid="{D5CDD505-2E9C-101B-9397-08002B2CF9AE}" pid="4" name="KSOTemplateDocerSaveRecord">
    <vt:lpwstr>eyJoZGlkIjoiMWUzYjI0MTc1NmJkZWU2Y2FiNDZiZGM4YzdkZDI4NjgiLCJ1c2VySWQiOiIyMzcxMzg1MTYifQ==</vt:lpwstr>
  </property>
</Properties>
</file>