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D84087">
      <w:pPr>
        <w:keepNext w:val="0"/>
        <w:keepLines w:val="0"/>
        <w:widowControl/>
        <w:suppressLineNumbers w:val="0"/>
        <w:jc w:val="center"/>
        <w:rPr>
          <w:rFonts w:hint="eastAsia" w:ascii="宋体" w:hAnsi="宋体" w:eastAsia="宋体" w:cs="宋体"/>
          <w:b/>
          <w:bCs/>
          <w:color w:val="auto"/>
          <w:kern w:val="0"/>
          <w:sz w:val="52"/>
          <w:szCs w:val="52"/>
          <w:highlight w:val="none"/>
          <w:lang w:val="en-US" w:eastAsia="zh-CN" w:bidi="ar"/>
        </w:rPr>
      </w:pPr>
      <w:bookmarkStart w:id="55" w:name="_GoBack"/>
      <w:bookmarkEnd w:id="55"/>
      <w:r>
        <w:rPr>
          <w:rFonts w:hint="eastAsia" w:ascii="宋体" w:hAnsi="宋体" w:eastAsia="宋体" w:cs="宋体"/>
          <w:b/>
          <w:bCs/>
          <w:color w:val="auto"/>
          <w:kern w:val="0"/>
          <w:sz w:val="52"/>
          <w:szCs w:val="52"/>
          <w:highlight w:val="none"/>
          <w:lang w:val="en-US" w:eastAsia="zh-CN" w:bidi="ar"/>
        </w:rPr>
        <w:t>渑池县X波段相控阵天气雷达建设工程</w:t>
      </w:r>
    </w:p>
    <w:p w14:paraId="23167B75">
      <w:pPr>
        <w:keepNext w:val="0"/>
        <w:keepLines w:val="0"/>
        <w:widowControl/>
        <w:suppressLineNumbers w:val="0"/>
        <w:jc w:val="center"/>
        <w:rPr>
          <w:rFonts w:hint="eastAsia" w:ascii="宋体" w:hAnsi="宋体" w:eastAsia="宋体" w:cs="宋体"/>
          <w:b/>
          <w:bCs/>
          <w:color w:val="auto"/>
          <w:kern w:val="0"/>
          <w:sz w:val="52"/>
          <w:szCs w:val="52"/>
          <w:highlight w:val="none"/>
          <w:lang w:val="en-US" w:eastAsia="zh-CN" w:bidi="ar"/>
        </w:rPr>
      </w:pPr>
    </w:p>
    <w:p w14:paraId="30138DB9">
      <w:pPr>
        <w:keepNext w:val="0"/>
        <w:keepLines w:val="0"/>
        <w:widowControl/>
        <w:suppressLineNumbers w:val="0"/>
        <w:jc w:val="center"/>
        <w:rPr>
          <w:rFonts w:hint="eastAsia" w:ascii="宋体" w:hAnsi="宋体" w:eastAsia="宋体" w:cs="宋体"/>
          <w:b/>
          <w:bCs/>
          <w:color w:val="auto"/>
          <w:kern w:val="0"/>
          <w:sz w:val="52"/>
          <w:szCs w:val="52"/>
          <w:highlight w:val="none"/>
          <w:lang w:val="en-US" w:eastAsia="zh-CN" w:bidi="ar"/>
        </w:rPr>
      </w:pPr>
    </w:p>
    <w:p w14:paraId="5C91CA72">
      <w:pPr>
        <w:keepNext w:val="0"/>
        <w:keepLines w:val="0"/>
        <w:widowControl/>
        <w:suppressLineNumbers w:val="0"/>
        <w:jc w:val="center"/>
        <w:rPr>
          <w:color w:val="auto"/>
          <w:sz w:val="21"/>
          <w:szCs w:val="24"/>
          <w:highlight w:val="none"/>
        </w:rPr>
      </w:pPr>
      <w:r>
        <w:rPr>
          <w:rFonts w:hint="eastAsia" w:ascii="宋体" w:hAnsi="宋体" w:eastAsia="宋体" w:cs="宋体"/>
          <w:b/>
          <w:bCs/>
          <w:color w:val="auto"/>
          <w:kern w:val="0"/>
          <w:sz w:val="52"/>
          <w:szCs w:val="52"/>
          <w:highlight w:val="none"/>
          <w:lang w:val="en-US" w:eastAsia="zh-CN" w:bidi="ar"/>
        </w:rPr>
        <w:t>竞争性磋商文件</w:t>
      </w:r>
    </w:p>
    <w:p w14:paraId="6C97F986">
      <w:pPr>
        <w:keepNext w:val="0"/>
        <w:keepLines w:val="0"/>
        <w:widowControl/>
        <w:suppressLineNumbers w:val="0"/>
        <w:jc w:val="left"/>
        <w:rPr>
          <w:rFonts w:hint="eastAsia" w:ascii="宋体" w:hAnsi="宋体" w:eastAsia="宋体" w:cs="宋体"/>
          <w:b/>
          <w:bCs/>
          <w:color w:val="auto"/>
          <w:kern w:val="0"/>
          <w:sz w:val="28"/>
          <w:szCs w:val="28"/>
          <w:highlight w:val="none"/>
          <w:lang w:val="en-US" w:eastAsia="zh-CN" w:bidi="ar"/>
        </w:rPr>
      </w:pPr>
    </w:p>
    <w:p w14:paraId="4D20649A">
      <w:pPr>
        <w:keepNext w:val="0"/>
        <w:keepLines w:val="0"/>
        <w:widowControl/>
        <w:suppressLineNumbers w:val="0"/>
        <w:ind w:firstLine="3092" w:firstLineChars="1100"/>
        <w:jc w:val="left"/>
        <w:rPr>
          <w:rFonts w:hint="eastAsia" w:ascii="宋体" w:hAnsi="宋体" w:eastAsia="宋体" w:cs="宋体"/>
          <w:b/>
          <w:bCs/>
          <w:color w:val="auto"/>
          <w:kern w:val="0"/>
          <w:sz w:val="28"/>
          <w:szCs w:val="28"/>
          <w:highlight w:val="none"/>
          <w:lang w:val="en-US" w:eastAsia="zh-CN" w:bidi="ar"/>
        </w:rPr>
      </w:pPr>
    </w:p>
    <w:p w14:paraId="5863363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kern w:val="0"/>
          <w:sz w:val="52"/>
          <w:szCs w:val="52"/>
          <w:highlight w:val="none"/>
          <w:lang w:val="en-US" w:eastAsia="zh-CN" w:bidi="ar"/>
        </w:rPr>
      </w:pPr>
    </w:p>
    <w:p w14:paraId="01476E7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kern w:val="0"/>
          <w:sz w:val="52"/>
          <w:szCs w:val="52"/>
          <w:highlight w:val="none"/>
          <w:lang w:val="en-US" w:eastAsia="zh-CN" w:bidi="ar"/>
        </w:rPr>
      </w:pPr>
      <w:r>
        <w:rPr>
          <w:color w:val="auto"/>
          <w:highlight w:val="none"/>
        </w:rPr>
        <w:drawing>
          <wp:anchor distT="0" distB="0" distL="114300" distR="114300" simplePos="0" relativeHeight="251660288" behindDoc="1" locked="0" layoutInCell="1" allowOverlap="1">
            <wp:simplePos x="0" y="0"/>
            <wp:positionH relativeFrom="column">
              <wp:posOffset>1833880</wp:posOffset>
            </wp:positionH>
            <wp:positionV relativeFrom="paragraph">
              <wp:posOffset>4445</wp:posOffset>
            </wp:positionV>
            <wp:extent cx="2482850" cy="2453005"/>
            <wp:effectExtent l="0" t="0" r="0" b="0"/>
            <wp:wrapTight wrapText="bothSides">
              <wp:wrapPolygon>
                <wp:start x="9833" y="1118"/>
                <wp:lineTo x="8618" y="1230"/>
                <wp:lineTo x="5303" y="2572"/>
                <wp:lineTo x="5193" y="3019"/>
                <wp:lineTo x="3867" y="4697"/>
                <wp:lineTo x="3204" y="6486"/>
                <wp:lineTo x="1657" y="8052"/>
                <wp:lineTo x="1326" y="10065"/>
                <wp:lineTo x="1547" y="13643"/>
                <wp:lineTo x="2210" y="15433"/>
                <wp:lineTo x="3204" y="17222"/>
                <wp:lineTo x="5082" y="19011"/>
                <wp:lineTo x="5193" y="19347"/>
                <wp:lineTo x="8949" y="20800"/>
                <wp:lineTo x="9833" y="21024"/>
                <wp:lineTo x="12595" y="21024"/>
                <wp:lineTo x="13479" y="20800"/>
                <wp:lineTo x="17125" y="19347"/>
                <wp:lineTo x="17236" y="19011"/>
                <wp:lineTo x="18893" y="17222"/>
                <wp:lineTo x="19556" y="15433"/>
                <wp:lineTo x="19777" y="13643"/>
                <wp:lineTo x="20550" y="13643"/>
                <wp:lineTo x="21103" y="12860"/>
                <wp:lineTo x="20882" y="10065"/>
                <wp:lineTo x="20329" y="8275"/>
                <wp:lineTo x="18893" y="6486"/>
                <wp:lineTo x="18893" y="4697"/>
                <wp:lineTo x="17125" y="2684"/>
                <wp:lineTo x="14142" y="1230"/>
                <wp:lineTo x="13258" y="1118"/>
                <wp:lineTo x="9833" y="1118"/>
              </wp:wrapPolygon>
            </wp:wrapTight>
            <wp:docPr id="5" name="图片 1" descr="崇璟工程管理咨询有限公司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崇璟工程管理咨询有限公司_1"/>
                    <pic:cNvPicPr>
                      <a:picLocks noChangeAspect="1"/>
                    </pic:cNvPicPr>
                  </pic:nvPicPr>
                  <pic:blipFill>
                    <a:blip r:embed="rId8" cstate="print"/>
                    <a:srcRect l="24594" t="24054" r="23897" b="25027"/>
                    <a:stretch>
                      <a:fillRect/>
                    </a:stretch>
                  </pic:blipFill>
                  <pic:spPr>
                    <a:xfrm>
                      <a:off x="0" y="0"/>
                      <a:ext cx="2482850" cy="2453005"/>
                    </a:xfrm>
                    <a:prstGeom prst="rect">
                      <a:avLst/>
                    </a:prstGeom>
                    <a:noFill/>
                    <a:ln>
                      <a:noFill/>
                    </a:ln>
                  </pic:spPr>
                </pic:pic>
              </a:graphicData>
            </a:graphic>
          </wp:anchor>
        </w:drawing>
      </w:r>
    </w:p>
    <w:p w14:paraId="3CC6D07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kern w:val="0"/>
          <w:sz w:val="52"/>
          <w:szCs w:val="52"/>
          <w:highlight w:val="none"/>
          <w:lang w:val="en-US" w:eastAsia="zh-CN" w:bidi="ar"/>
        </w:rPr>
      </w:pPr>
    </w:p>
    <w:p w14:paraId="6B30B82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kern w:val="0"/>
          <w:sz w:val="52"/>
          <w:szCs w:val="52"/>
          <w:highlight w:val="none"/>
          <w:lang w:val="en-US" w:eastAsia="zh-CN" w:bidi="ar"/>
        </w:rPr>
      </w:pPr>
    </w:p>
    <w:p w14:paraId="5784E833">
      <w:pPr>
        <w:keepNext w:val="0"/>
        <w:keepLines w:val="0"/>
        <w:widowControl/>
        <w:suppressLineNumbers w:val="0"/>
        <w:jc w:val="left"/>
        <w:rPr>
          <w:rFonts w:hint="eastAsia" w:ascii="宋体" w:hAnsi="宋体" w:eastAsia="宋体" w:cs="宋体"/>
          <w:b/>
          <w:bCs/>
          <w:color w:val="auto"/>
          <w:kern w:val="0"/>
          <w:sz w:val="28"/>
          <w:szCs w:val="28"/>
          <w:highlight w:val="none"/>
          <w:lang w:val="en-US" w:eastAsia="zh-CN" w:bidi="ar"/>
        </w:rPr>
      </w:pPr>
    </w:p>
    <w:p w14:paraId="2B51F87C">
      <w:pPr>
        <w:keepNext w:val="0"/>
        <w:keepLines w:val="0"/>
        <w:widowControl/>
        <w:suppressLineNumbers w:val="0"/>
        <w:jc w:val="left"/>
        <w:rPr>
          <w:rFonts w:hint="eastAsia" w:ascii="宋体" w:hAnsi="宋体" w:eastAsia="宋体" w:cs="宋体"/>
          <w:b/>
          <w:bCs/>
          <w:color w:val="auto"/>
          <w:kern w:val="0"/>
          <w:sz w:val="28"/>
          <w:szCs w:val="28"/>
          <w:highlight w:val="none"/>
          <w:lang w:val="en-US" w:eastAsia="zh-CN" w:bidi="ar"/>
        </w:rPr>
      </w:pPr>
    </w:p>
    <w:p w14:paraId="61C06E85">
      <w:pPr>
        <w:keepNext w:val="0"/>
        <w:keepLines w:val="0"/>
        <w:widowControl/>
        <w:suppressLineNumbers w:val="0"/>
        <w:jc w:val="center"/>
        <w:rPr>
          <w:rFonts w:hint="eastAsia" w:ascii="宋体" w:hAnsi="宋体" w:eastAsia="宋体" w:cs="宋体"/>
          <w:b/>
          <w:bCs/>
          <w:color w:val="auto"/>
          <w:kern w:val="0"/>
          <w:sz w:val="28"/>
          <w:szCs w:val="28"/>
          <w:highlight w:val="none"/>
          <w:lang w:val="en-US" w:eastAsia="zh-CN" w:bidi="ar"/>
        </w:rPr>
      </w:pPr>
    </w:p>
    <w:p w14:paraId="55DD7154">
      <w:pPr>
        <w:keepNext w:val="0"/>
        <w:keepLines w:val="0"/>
        <w:widowControl/>
        <w:suppressLineNumbers w:val="0"/>
        <w:jc w:val="left"/>
        <w:rPr>
          <w:rFonts w:hint="eastAsia" w:ascii="宋体" w:hAnsi="宋体" w:eastAsia="宋体" w:cs="宋体"/>
          <w:b/>
          <w:bCs/>
          <w:color w:val="auto"/>
          <w:kern w:val="0"/>
          <w:sz w:val="28"/>
          <w:szCs w:val="28"/>
          <w:highlight w:val="none"/>
          <w:lang w:val="en-US" w:eastAsia="zh-CN" w:bidi="ar"/>
        </w:rPr>
      </w:pPr>
    </w:p>
    <w:p w14:paraId="62110A1D">
      <w:pPr>
        <w:keepNext w:val="0"/>
        <w:keepLines w:val="0"/>
        <w:widowControl/>
        <w:suppressLineNumbers w:val="0"/>
        <w:spacing w:line="360" w:lineRule="auto"/>
        <w:ind w:firstLine="3112" w:firstLineChars="1000"/>
        <w:jc w:val="both"/>
        <w:outlineLvl w:val="9"/>
        <w:rPr>
          <w:rFonts w:hint="eastAsia" w:ascii="宋体" w:hAnsi="宋体" w:eastAsia="宋体" w:cs="宋体"/>
          <w:b/>
          <w:bCs/>
          <w:color w:val="auto"/>
          <w:kern w:val="0"/>
          <w:sz w:val="31"/>
          <w:szCs w:val="31"/>
          <w:highlight w:val="none"/>
          <w:lang w:val="en-US" w:eastAsia="zh-CN" w:bidi="ar"/>
        </w:rPr>
      </w:pPr>
      <w:bookmarkStart w:id="0" w:name="_Toc31323"/>
    </w:p>
    <w:p w14:paraId="736AD556">
      <w:pPr>
        <w:keepNext w:val="0"/>
        <w:keepLines w:val="0"/>
        <w:widowControl/>
        <w:suppressLineNumbers w:val="0"/>
        <w:spacing w:line="360" w:lineRule="auto"/>
        <w:ind w:firstLine="3112" w:firstLineChars="1000"/>
        <w:jc w:val="both"/>
        <w:outlineLvl w:val="9"/>
        <w:rPr>
          <w:rFonts w:hint="eastAsia" w:ascii="宋体" w:hAnsi="宋体" w:eastAsia="宋体" w:cs="宋体"/>
          <w:b/>
          <w:bCs/>
          <w:color w:val="auto"/>
          <w:kern w:val="0"/>
          <w:sz w:val="31"/>
          <w:szCs w:val="31"/>
          <w:highlight w:val="none"/>
          <w:lang w:val="en-US" w:eastAsia="zh-CN" w:bidi="ar"/>
        </w:rPr>
      </w:pPr>
    </w:p>
    <w:p w14:paraId="1B2230F2">
      <w:pPr>
        <w:keepNext w:val="0"/>
        <w:keepLines w:val="0"/>
        <w:widowControl/>
        <w:suppressLineNumbers w:val="0"/>
        <w:spacing w:line="360" w:lineRule="auto"/>
        <w:ind w:firstLine="3112" w:firstLineChars="1000"/>
        <w:jc w:val="both"/>
        <w:outlineLvl w:val="9"/>
        <w:rPr>
          <w:rFonts w:hint="eastAsia" w:ascii="宋体" w:hAnsi="宋体" w:eastAsia="宋体" w:cs="宋体"/>
          <w:b/>
          <w:bCs/>
          <w:color w:val="auto"/>
          <w:kern w:val="0"/>
          <w:sz w:val="31"/>
          <w:szCs w:val="31"/>
          <w:highlight w:val="none"/>
          <w:lang w:val="en-US" w:eastAsia="zh-CN" w:bidi="ar"/>
        </w:rPr>
      </w:pPr>
    </w:p>
    <w:p w14:paraId="0E43C016">
      <w:pPr>
        <w:keepNext w:val="0"/>
        <w:keepLines w:val="0"/>
        <w:widowControl/>
        <w:suppressLineNumbers w:val="0"/>
        <w:spacing w:line="360" w:lineRule="auto"/>
        <w:ind w:firstLine="3112" w:firstLineChars="1000"/>
        <w:jc w:val="both"/>
        <w:outlineLvl w:val="9"/>
        <w:rPr>
          <w:rFonts w:hint="default"/>
          <w:color w:val="auto"/>
          <w:highlight w:val="none"/>
          <w:lang w:val="en-US"/>
        </w:rPr>
      </w:pPr>
      <w:r>
        <w:rPr>
          <w:rFonts w:hint="eastAsia" w:ascii="宋体" w:hAnsi="宋体" w:eastAsia="宋体" w:cs="宋体"/>
          <w:b/>
          <w:bCs/>
          <w:color w:val="auto"/>
          <w:kern w:val="0"/>
          <w:sz w:val="31"/>
          <w:szCs w:val="31"/>
          <w:highlight w:val="none"/>
          <w:lang w:val="en-US" w:eastAsia="zh-CN" w:bidi="ar"/>
        </w:rPr>
        <w:t>采购人：</w:t>
      </w:r>
      <w:bookmarkEnd w:id="0"/>
      <w:r>
        <w:rPr>
          <w:rFonts w:hint="eastAsia" w:ascii="宋体" w:hAnsi="宋体" w:cs="宋体"/>
          <w:b/>
          <w:bCs/>
          <w:color w:val="auto"/>
          <w:kern w:val="0"/>
          <w:sz w:val="31"/>
          <w:szCs w:val="31"/>
          <w:highlight w:val="none"/>
          <w:lang w:val="en-US" w:eastAsia="zh-CN" w:bidi="ar"/>
        </w:rPr>
        <w:t>渑池县气象局</w:t>
      </w:r>
    </w:p>
    <w:p w14:paraId="499D0721">
      <w:pPr>
        <w:keepNext w:val="0"/>
        <w:keepLines w:val="0"/>
        <w:widowControl/>
        <w:suppressLineNumbers w:val="0"/>
        <w:spacing w:line="360" w:lineRule="auto"/>
        <w:ind w:firstLine="3112" w:firstLineChars="1000"/>
        <w:jc w:val="both"/>
        <w:rPr>
          <w:rFonts w:hint="eastAsia" w:ascii="宋体" w:hAnsi="宋体" w:cs="宋体"/>
          <w:b/>
          <w:bCs/>
          <w:color w:val="auto"/>
          <w:kern w:val="0"/>
          <w:sz w:val="31"/>
          <w:szCs w:val="31"/>
          <w:highlight w:val="none"/>
          <w:lang w:val="en-US" w:eastAsia="zh-CN" w:bidi="ar"/>
        </w:rPr>
      </w:pPr>
      <w:bookmarkStart w:id="1" w:name="_Toc14251"/>
      <w:r>
        <w:rPr>
          <w:rFonts w:hint="eastAsia" w:ascii="宋体" w:hAnsi="宋体" w:eastAsia="宋体" w:cs="宋体"/>
          <w:b/>
          <w:bCs/>
          <w:color w:val="auto"/>
          <w:kern w:val="0"/>
          <w:sz w:val="31"/>
          <w:szCs w:val="31"/>
          <w:highlight w:val="none"/>
          <w:lang w:val="en-US" w:eastAsia="zh-CN" w:bidi="ar"/>
        </w:rPr>
        <w:t>代理机构：</w:t>
      </w:r>
      <w:bookmarkEnd w:id="1"/>
      <w:r>
        <w:rPr>
          <w:rFonts w:hint="eastAsia" w:ascii="宋体" w:hAnsi="宋体" w:cs="宋体"/>
          <w:b/>
          <w:bCs/>
          <w:color w:val="auto"/>
          <w:kern w:val="0"/>
          <w:sz w:val="31"/>
          <w:szCs w:val="31"/>
          <w:highlight w:val="none"/>
          <w:lang w:val="en-US" w:eastAsia="zh-CN" w:bidi="ar"/>
        </w:rPr>
        <w:t>崇璟工程管理咨询有限公司</w:t>
      </w:r>
    </w:p>
    <w:p w14:paraId="0EF2A78F">
      <w:pPr>
        <w:keepNext w:val="0"/>
        <w:keepLines w:val="0"/>
        <w:widowControl/>
        <w:suppressLineNumbers w:val="0"/>
        <w:spacing w:line="360" w:lineRule="auto"/>
        <w:ind w:firstLine="3112" w:firstLineChars="1000"/>
        <w:jc w:val="both"/>
        <w:rPr>
          <w:rFonts w:hint="eastAsia" w:ascii="宋体" w:hAnsi="宋体" w:eastAsia="宋体" w:cs="宋体"/>
          <w:b/>
          <w:bCs/>
          <w:color w:val="auto"/>
          <w:kern w:val="0"/>
          <w:sz w:val="31"/>
          <w:szCs w:val="31"/>
          <w:highlight w:val="none"/>
          <w:lang w:val="en-US" w:eastAsia="zh-CN" w:bidi="ar"/>
        </w:rPr>
      </w:pPr>
      <w:r>
        <w:rPr>
          <w:rFonts w:hint="eastAsia" w:ascii="宋体" w:hAnsi="宋体" w:eastAsia="宋体" w:cs="宋体"/>
          <w:b/>
          <w:bCs/>
          <w:color w:val="auto"/>
          <w:kern w:val="0"/>
          <w:sz w:val="31"/>
          <w:szCs w:val="31"/>
          <w:highlight w:val="none"/>
          <w:lang w:val="en-US" w:eastAsia="zh-CN" w:bidi="ar"/>
        </w:rPr>
        <w:t>时</w:t>
      </w:r>
      <w:r>
        <w:rPr>
          <w:rFonts w:hint="eastAsia" w:ascii="宋体" w:hAnsi="宋体" w:cs="宋体"/>
          <w:b/>
          <w:bCs/>
          <w:color w:val="auto"/>
          <w:kern w:val="0"/>
          <w:sz w:val="31"/>
          <w:szCs w:val="31"/>
          <w:highlight w:val="none"/>
          <w:lang w:val="en-US" w:eastAsia="zh-CN" w:bidi="ar"/>
        </w:rPr>
        <w:t xml:space="preserve">  </w:t>
      </w:r>
      <w:r>
        <w:rPr>
          <w:rFonts w:hint="eastAsia" w:ascii="宋体" w:hAnsi="宋体" w:eastAsia="宋体" w:cs="宋体"/>
          <w:b/>
          <w:bCs/>
          <w:color w:val="auto"/>
          <w:kern w:val="0"/>
          <w:sz w:val="31"/>
          <w:szCs w:val="31"/>
          <w:highlight w:val="none"/>
          <w:lang w:val="en-US" w:eastAsia="zh-CN" w:bidi="ar"/>
        </w:rPr>
        <w:t>间：二〇二</w:t>
      </w:r>
      <w:r>
        <w:rPr>
          <w:rFonts w:hint="eastAsia" w:ascii="宋体" w:hAnsi="宋体" w:cs="宋体"/>
          <w:b/>
          <w:bCs/>
          <w:color w:val="auto"/>
          <w:kern w:val="0"/>
          <w:sz w:val="31"/>
          <w:szCs w:val="31"/>
          <w:highlight w:val="none"/>
          <w:lang w:val="en-US" w:eastAsia="zh-CN" w:bidi="ar"/>
        </w:rPr>
        <w:t>五</w:t>
      </w:r>
      <w:r>
        <w:rPr>
          <w:rFonts w:hint="eastAsia" w:ascii="宋体" w:hAnsi="宋体" w:eastAsia="宋体" w:cs="宋体"/>
          <w:b/>
          <w:bCs/>
          <w:color w:val="auto"/>
          <w:kern w:val="0"/>
          <w:sz w:val="31"/>
          <w:szCs w:val="31"/>
          <w:highlight w:val="none"/>
          <w:lang w:val="en-US" w:eastAsia="zh-CN" w:bidi="ar"/>
        </w:rPr>
        <w:t>年</w:t>
      </w:r>
      <w:r>
        <w:rPr>
          <w:rFonts w:hint="eastAsia" w:ascii="宋体" w:hAnsi="宋体" w:cs="宋体"/>
          <w:b/>
          <w:bCs/>
          <w:color w:val="auto"/>
          <w:kern w:val="0"/>
          <w:sz w:val="31"/>
          <w:szCs w:val="31"/>
          <w:highlight w:val="none"/>
          <w:lang w:val="en-US" w:eastAsia="zh-CN" w:bidi="ar"/>
        </w:rPr>
        <w:t>十二</w:t>
      </w:r>
      <w:r>
        <w:rPr>
          <w:rFonts w:hint="eastAsia" w:ascii="宋体" w:hAnsi="宋体" w:eastAsia="宋体" w:cs="宋体"/>
          <w:b/>
          <w:bCs/>
          <w:color w:val="auto"/>
          <w:kern w:val="0"/>
          <w:sz w:val="31"/>
          <w:szCs w:val="31"/>
          <w:highlight w:val="none"/>
          <w:lang w:val="en-US" w:eastAsia="zh-CN" w:bidi="ar"/>
        </w:rPr>
        <w:t>月</w:t>
      </w:r>
    </w:p>
    <w:p w14:paraId="2E126AC2">
      <w:pPr>
        <w:spacing w:before="48"/>
        <w:ind w:left="0" w:right="1157" w:firstLine="0"/>
        <w:jc w:val="both"/>
        <w:rPr>
          <w:rFonts w:hint="eastAsia" w:ascii="宋体" w:hAnsi="宋体" w:eastAsia="宋体" w:cs="宋体"/>
          <w:b/>
          <w:bCs/>
          <w:color w:val="auto"/>
          <w:sz w:val="40"/>
          <w:szCs w:val="40"/>
          <w:highlight w:val="none"/>
        </w:rPr>
        <w:sectPr>
          <w:pgSz w:w="11910" w:h="16840"/>
          <w:pgMar w:top="1440" w:right="1080" w:bottom="1440" w:left="1080" w:header="720" w:footer="720" w:gutter="0"/>
          <w:pgNumType w:start="1"/>
          <w:cols w:space="720" w:num="1"/>
        </w:sectPr>
      </w:pPr>
    </w:p>
    <w:p w14:paraId="7F754455">
      <w:pPr>
        <w:spacing w:before="48"/>
        <w:ind w:left="0" w:right="1157" w:firstLine="0"/>
        <w:jc w:val="center"/>
        <w:rPr>
          <w:rFonts w:hint="eastAsia" w:ascii="宋体" w:hAnsi="宋体" w:eastAsia="宋体" w:cs="宋体"/>
          <w:color w:val="auto"/>
          <w:sz w:val="32"/>
          <w:szCs w:val="32"/>
          <w:highlight w:val="none"/>
        </w:rPr>
      </w:pPr>
      <w:r>
        <w:rPr>
          <w:rFonts w:hint="eastAsia" w:ascii="宋体" w:hAnsi="宋体" w:eastAsia="宋体" w:cs="宋体"/>
          <w:b/>
          <w:bCs/>
          <w:color w:val="auto"/>
          <w:sz w:val="40"/>
          <w:szCs w:val="40"/>
          <w:highlight w:val="none"/>
        </w:rPr>
        <w:t>目</w:t>
      </w:r>
      <w:r>
        <w:rPr>
          <w:rFonts w:hint="eastAsia" w:ascii="宋体" w:hAnsi="宋体" w:cs="宋体"/>
          <w:b/>
          <w:bCs/>
          <w:color w:val="auto"/>
          <w:sz w:val="40"/>
          <w:szCs w:val="40"/>
          <w:highlight w:val="none"/>
          <w:lang w:val="en-US" w:eastAsia="zh-CN"/>
        </w:rPr>
        <w:t xml:space="preserve">  </w:t>
      </w:r>
      <w:r>
        <w:rPr>
          <w:rFonts w:hint="eastAsia" w:ascii="宋体" w:hAnsi="宋体" w:eastAsia="宋体" w:cs="宋体"/>
          <w:b/>
          <w:bCs/>
          <w:color w:val="auto"/>
          <w:sz w:val="40"/>
          <w:szCs w:val="40"/>
          <w:highlight w:val="none"/>
        </w:rPr>
        <w:t>录</w:t>
      </w:r>
    </w:p>
    <w:sdt>
      <w:sdtPr>
        <w:rPr>
          <w:rFonts w:ascii="宋体" w:hAnsi="宋体" w:eastAsia="宋体" w:cs="Times New Roman"/>
          <w:color w:val="auto"/>
          <w:kern w:val="2"/>
          <w:sz w:val="21"/>
          <w:szCs w:val="24"/>
          <w:highlight w:val="none"/>
          <w:lang w:val="en-US" w:eastAsia="zh-CN" w:bidi="ar-SA"/>
        </w:rPr>
        <w:id w:val="147468371"/>
        <w15:color w:val="DBDBDB"/>
        <w:docPartObj>
          <w:docPartGallery w:val="Table of Contents"/>
          <w:docPartUnique/>
        </w:docPartObj>
      </w:sdtPr>
      <w:sdtEndPr>
        <w:rPr>
          <w:rFonts w:ascii="宋体" w:hAnsi="宋体" w:eastAsia="宋体" w:cs="Times New Roman"/>
          <w:color w:val="auto"/>
          <w:kern w:val="2"/>
          <w:sz w:val="21"/>
          <w:szCs w:val="24"/>
          <w:highlight w:val="none"/>
          <w:lang w:val="en-US" w:eastAsia="zh-CN" w:bidi="ar-SA"/>
        </w:rPr>
      </w:sdtEndPr>
      <w:sdtContent>
        <w:p w14:paraId="4C0D5EE7">
          <w:pPr>
            <w:spacing w:before="0" w:beforeLines="0" w:after="0" w:afterLines="0" w:line="240" w:lineRule="auto"/>
            <w:ind w:left="0" w:leftChars="0" w:right="0" w:rightChars="0" w:firstLine="0" w:firstLineChars="0"/>
            <w:jc w:val="center"/>
            <w:rPr>
              <w:color w:val="auto"/>
              <w:highlight w:val="none"/>
            </w:rPr>
          </w:pPr>
        </w:p>
        <w:p w14:paraId="1E72A2D8">
          <w:pPr>
            <w:pStyle w:val="19"/>
            <w:keepNext w:val="0"/>
            <w:keepLines w:val="0"/>
            <w:pageBreakBefore w:val="0"/>
            <w:widowControl w:val="0"/>
            <w:tabs>
              <w:tab w:val="right" w:pos="2800"/>
              <w:tab w:val="right" w:leader="dot" w:pos="9026"/>
            </w:tabs>
            <w:kinsoku/>
            <w:wordWrap/>
            <w:overflowPunct/>
            <w:topLinePunct w:val="0"/>
            <w:autoSpaceDE/>
            <w:autoSpaceDN/>
            <w:bidi w:val="0"/>
            <w:adjustRightInd/>
            <w:snapToGrid/>
            <w:textAlignment w:val="auto"/>
            <w:rPr>
              <w:color w:val="auto"/>
              <w:sz w:val="28"/>
              <w:szCs w:val="36"/>
              <w:highlight w:val="none"/>
            </w:rPr>
          </w:pPr>
          <w:r>
            <w:rPr>
              <w:color w:val="auto"/>
              <w:highlight w:val="none"/>
            </w:rPr>
            <w:fldChar w:fldCharType="begin"/>
          </w:r>
          <w:r>
            <w:rPr>
              <w:color w:val="auto"/>
              <w:highlight w:val="none"/>
            </w:rPr>
            <w:instrText xml:space="preserve">TOC \o "1-1" \h \u </w:instrText>
          </w:r>
          <w:r>
            <w:rPr>
              <w:color w:val="auto"/>
              <w:highlight w:val="none"/>
            </w:rPr>
            <w:fldChar w:fldCharType="separate"/>
          </w:r>
          <w:r>
            <w:rPr>
              <w:color w:val="auto"/>
              <w:sz w:val="28"/>
              <w:szCs w:val="36"/>
              <w:highlight w:val="none"/>
            </w:rPr>
            <w:fldChar w:fldCharType="begin"/>
          </w:r>
          <w:r>
            <w:rPr>
              <w:color w:val="auto"/>
              <w:sz w:val="28"/>
              <w:szCs w:val="36"/>
              <w:highlight w:val="none"/>
            </w:rPr>
            <w:instrText xml:space="preserve"> HYPERLINK \l _Toc9688 </w:instrText>
          </w:r>
          <w:r>
            <w:rPr>
              <w:color w:val="auto"/>
              <w:sz w:val="28"/>
              <w:szCs w:val="36"/>
              <w:highlight w:val="none"/>
            </w:rPr>
            <w:fldChar w:fldCharType="separate"/>
          </w:r>
          <w:r>
            <w:rPr>
              <w:color w:val="auto"/>
              <w:sz w:val="28"/>
              <w:szCs w:val="36"/>
              <w:highlight w:val="none"/>
            </w:rPr>
            <w:t>第一章竞争性磋商公告</w:t>
          </w:r>
          <w:r>
            <w:rPr>
              <w:rFonts w:hint="eastAsia"/>
              <w:color w:val="auto"/>
              <w:sz w:val="28"/>
              <w:szCs w:val="36"/>
              <w:highlight w:val="none"/>
              <w:lang w:val="en-US" w:eastAsia="zh-CN"/>
            </w:rPr>
            <w:t>.....................................................................................</w:t>
          </w:r>
          <w:r>
            <w:rPr>
              <w:color w:val="auto"/>
              <w:sz w:val="28"/>
              <w:szCs w:val="36"/>
              <w:highlight w:val="none"/>
            </w:rPr>
            <w:fldChar w:fldCharType="begin"/>
          </w:r>
          <w:r>
            <w:rPr>
              <w:color w:val="auto"/>
              <w:sz w:val="28"/>
              <w:szCs w:val="36"/>
              <w:highlight w:val="none"/>
            </w:rPr>
            <w:instrText xml:space="preserve"> PAGEREF _Toc9688 \h </w:instrText>
          </w:r>
          <w:r>
            <w:rPr>
              <w:color w:val="auto"/>
              <w:sz w:val="28"/>
              <w:szCs w:val="36"/>
              <w:highlight w:val="none"/>
            </w:rPr>
            <w:fldChar w:fldCharType="separate"/>
          </w:r>
          <w:r>
            <w:rPr>
              <w:color w:val="auto"/>
              <w:sz w:val="28"/>
              <w:szCs w:val="36"/>
              <w:highlight w:val="none"/>
            </w:rPr>
            <w:t>1</w:t>
          </w:r>
          <w:r>
            <w:rPr>
              <w:color w:val="auto"/>
              <w:sz w:val="28"/>
              <w:szCs w:val="36"/>
              <w:highlight w:val="none"/>
            </w:rPr>
            <w:fldChar w:fldCharType="end"/>
          </w:r>
          <w:r>
            <w:rPr>
              <w:color w:val="auto"/>
              <w:sz w:val="28"/>
              <w:szCs w:val="36"/>
              <w:highlight w:val="none"/>
            </w:rPr>
            <w:fldChar w:fldCharType="end"/>
          </w:r>
        </w:p>
        <w:p w14:paraId="26C938B3">
          <w:pPr>
            <w:pStyle w:val="19"/>
            <w:keepNext w:val="0"/>
            <w:keepLines w:val="0"/>
            <w:pageBreakBefore w:val="0"/>
            <w:widowControl w:val="0"/>
            <w:tabs>
              <w:tab w:val="right" w:pos="2800"/>
              <w:tab w:val="right" w:leader="dot" w:pos="9026"/>
            </w:tabs>
            <w:kinsoku/>
            <w:wordWrap/>
            <w:overflowPunct/>
            <w:topLinePunct w:val="0"/>
            <w:autoSpaceDE/>
            <w:autoSpaceDN/>
            <w:bidi w:val="0"/>
            <w:adjustRightInd/>
            <w:snapToGrid/>
            <w:textAlignment w:val="auto"/>
            <w:rPr>
              <w:color w:val="auto"/>
              <w:sz w:val="28"/>
              <w:szCs w:val="36"/>
              <w:highlight w:val="none"/>
            </w:rPr>
          </w:pPr>
          <w:r>
            <w:rPr>
              <w:color w:val="auto"/>
              <w:sz w:val="28"/>
              <w:szCs w:val="36"/>
              <w:highlight w:val="none"/>
            </w:rPr>
            <w:fldChar w:fldCharType="begin"/>
          </w:r>
          <w:r>
            <w:rPr>
              <w:color w:val="auto"/>
              <w:sz w:val="28"/>
              <w:szCs w:val="36"/>
              <w:highlight w:val="none"/>
            </w:rPr>
            <w:instrText xml:space="preserve"> HYPERLINK \l _Toc28856 </w:instrText>
          </w:r>
          <w:r>
            <w:rPr>
              <w:color w:val="auto"/>
              <w:sz w:val="28"/>
              <w:szCs w:val="36"/>
              <w:highlight w:val="none"/>
            </w:rPr>
            <w:fldChar w:fldCharType="separate"/>
          </w:r>
          <w:r>
            <w:rPr>
              <w:color w:val="auto"/>
              <w:sz w:val="28"/>
              <w:szCs w:val="36"/>
              <w:highlight w:val="none"/>
            </w:rPr>
            <w:t>第二章供应商须知</w:t>
          </w:r>
          <w:r>
            <w:rPr>
              <w:rFonts w:hint="eastAsia"/>
              <w:color w:val="auto"/>
              <w:sz w:val="28"/>
              <w:szCs w:val="36"/>
              <w:highlight w:val="none"/>
              <w:lang w:val="en-US" w:eastAsia="zh-CN"/>
            </w:rPr>
            <w:t>.............................................................................................</w:t>
          </w:r>
          <w:r>
            <w:rPr>
              <w:color w:val="auto"/>
              <w:sz w:val="28"/>
              <w:szCs w:val="36"/>
              <w:highlight w:val="none"/>
            </w:rPr>
            <w:fldChar w:fldCharType="begin"/>
          </w:r>
          <w:r>
            <w:rPr>
              <w:color w:val="auto"/>
              <w:sz w:val="28"/>
              <w:szCs w:val="36"/>
              <w:highlight w:val="none"/>
            </w:rPr>
            <w:instrText xml:space="preserve"> PAGEREF _Toc28856 \h </w:instrText>
          </w:r>
          <w:r>
            <w:rPr>
              <w:color w:val="auto"/>
              <w:sz w:val="28"/>
              <w:szCs w:val="36"/>
              <w:highlight w:val="none"/>
            </w:rPr>
            <w:fldChar w:fldCharType="separate"/>
          </w:r>
          <w:r>
            <w:rPr>
              <w:color w:val="auto"/>
              <w:sz w:val="28"/>
              <w:szCs w:val="36"/>
              <w:highlight w:val="none"/>
            </w:rPr>
            <w:t>5</w:t>
          </w:r>
          <w:r>
            <w:rPr>
              <w:color w:val="auto"/>
              <w:sz w:val="28"/>
              <w:szCs w:val="36"/>
              <w:highlight w:val="none"/>
            </w:rPr>
            <w:fldChar w:fldCharType="end"/>
          </w:r>
          <w:r>
            <w:rPr>
              <w:color w:val="auto"/>
              <w:sz w:val="28"/>
              <w:szCs w:val="36"/>
              <w:highlight w:val="none"/>
            </w:rPr>
            <w:fldChar w:fldCharType="end"/>
          </w:r>
        </w:p>
        <w:p w14:paraId="5189936E">
          <w:pPr>
            <w:pStyle w:val="19"/>
            <w:keepNext w:val="0"/>
            <w:keepLines w:val="0"/>
            <w:pageBreakBefore w:val="0"/>
            <w:widowControl w:val="0"/>
            <w:tabs>
              <w:tab w:val="right" w:pos="2800"/>
              <w:tab w:val="right" w:leader="dot" w:pos="9026"/>
            </w:tabs>
            <w:kinsoku/>
            <w:wordWrap/>
            <w:overflowPunct/>
            <w:topLinePunct w:val="0"/>
            <w:autoSpaceDE/>
            <w:autoSpaceDN/>
            <w:bidi w:val="0"/>
            <w:adjustRightInd/>
            <w:snapToGrid/>
            <w:textAlignment w:val="auto"/>
            <w:rPr>
              <w:color w:val="auto"/>
              <w:sz w:val="28"/>
              <w:szCs w:val="36"/>
              <w:highlight w:val="none"/>
            </w:rPr>
          </w:pPr>
          <w:r>
            <w:rPr>
              <w:color w:val="auto"/>
              <w:sz w:val="28"/>
              <w:szCs w:val="36"/>
              <w:highlight w:val="none"/>
            </w:rPr>
            <w:fldChar w:fldCharType="begin"/>
          </w:r>
          <w:r>
            <w:rPr>
              <w:color w:val="auto"/>
              <w:sz w:val="28"/>
              <w:szCs w:val="36"/>
              <w:highlight w:val="none"/>
            </w:rPr>
            <w:instrText xml:space="preserve"> HYPERLINK \l _Toc329 </w:instrText>
          </w:r>
          <w:r>
            <w:rPr>
              <w:color w:val="auto"/>
              <w:sz w:val="28"/>
              <w:szCs w:val="36"/>
              <w:highlight w:val="none"/>
            </w:rPr>
            <w:fldChar w:fldCharType="separate"/>
          </w:r>
          <w:r>
            <w:rPr>
              <w:color w:val="auto"/>
              <w:sz w:val="28"/>
              <w:szCs w:val="44"/>
              <w:highlight w:val="none"/>
            </w:rPr>
            <w:t>第三章评标办法</w:t>
          </w:r>
          <w:r>
            <w:rPr>
              <w:rFonts w:hint="eastAsia"/>
              <w:color w:val="auto"/>
              <w:sz w:val="28"/>
              <w:szCs w:val="36"/>
              <w:highlight w:val="none"/>
              <w:lang w:val="en-US" w:eastAsia="zh-CN"/>
            </w:rPr>
            <w:t>...............................................................................................</w:t>
          </w:r>
          <w:r>
            <w:rPr>
              <w:color w:val="auto"/>
              <w:sz w:val="28"/>
              <w:szCs w:val="36"/>
              <w:highlight w:val="none"/>
            </w:rPr>
            <w:fldChar w:fldCharType="begin"/>
          </w:r>
          <w:r>
            <w:rPr>
              <w:color w:val="auto"/>
              <w:sz w:val="28"/>
              <w:szCs w:val="36"/>
              <w:highlight w:val="none"/>
            </w:rPr>
            <w:instrText xml:space="preserve"> PAGEREF _Toc329 \h </w:instrText>
          </w:r>
          <w:r>
            <w:rPr>
              <w:color w:val="auto"/>
              <w:sz w:val="28"/>
              <w:szCs w:val="36"/>
              <w:highlight w:val="none"/>
            </w:rPr>
            <w:fldChar w:fldCharType="separate"/>
          </w:r>
          <w:r>
            <w:rPr>
              <w:color w:val="auto"/>
              <w:sz w:val="28"/>
              <w:szCs w:val="36"/>
              <w:highlight w:val="none"/>
            </w:rPr>
            <w:t>23</w:t>
          </w:r>
          <w:r>
            <w:rPr>
              <w:color w:val="auto"/>
              <w:sz w:val="28"/>
              <w:szCs w:val="36"/>
              <w:highlight w:val="none"/>
            </w:rPr>
            <w:fldChar w:fldCharType="end"/>
          </w:r>
          <w:r>
            <w:rPr>
              <w:color w:val="auto"/>
              <w:sz w:val="28"/>
              <w:szCs w:val="36"/>
              <w:highlight w:val="none"/>
            </w:rPr>
            <w:fldChar w:fldCharType="end"/>
          </w:r>
        </w:p>
        <w:p w14:paraId="3C82F551">
          <w:pPr>
            <w:pStyle w:val="19"/>
            <w:keepNext w:val="0"/>
            <w:keepLines w:val="0"/>
            <w:pageBreakBefore w:val="0"/>
            <w:widowControl w:val="0"/>
            <w:tabs>
              <w:tab w:val="right" w:leader="dot" w:pos="9026"/>
            </w:tabs>
            <w:kinsoku/>
            <w:wordWrap/>
            <w:overflowPunct/>
            <w:topLinePunct w:val="0"/>
            <w:autoSpaceDE/>
            <w:autoSpaceDN/>
            <w:bidi w:val="0"/>
            <w:adjustRightInd/>
            <w:snapToGrid/>
            <w:textAlignment w:val="auto"/>
            <w:rPr>
              <w:color w:val="auto"/>
              <w:sz w:val="28"/>
              <w:szCs w:val="36"/>
              <w:highlight w:val="none"/>
            </w:rPr>
          </w:pPr>
          <w:r>
            <w:rPr>
              <w:color w:val="auto"/>
              <w:sz w:val="28"/>
              <w:szCs w:val="36"/>
              <w:highlight w:val="none"/>
            </w:rPr>
            <w:fldChar w:fldCharType="begin"/>
          </w:r>
          <w:r>
            <w:rPr>
              <w:color w:val="auto"/>
              <w:sz w:val="28"/>
              <w:szCs w:val="36"/>
              <w:highlight w:val="none"/>
            </w:rPr>
            <w:instrText xml:space="preserve"> HYPERLINK \l _Toc14709 </w:instrText>
          </w:r>
          <w:r>
            <w:rPr>
              <w:color w:val="auto"/>
              <w:sz w:val="28"/>
              <w:szCs w:val="36"/>
              <w:highlight w:val="none"/>
            </w:rPr>
            <w:fldChar w:fldCharType="separate"/>
          </w:r>
          <w:r>
            <w:rPr>
              <w:rFonts w:hint="eastAsia"/>
              <w:color w:val="auto"/>
              <w:sz w:val="28"/>
              <w:szCs w:val="36"/>
              <w:highlight w:val="none"/>
            </w:rPr>
            <w:t>第四章 合同主要条款及格式</w:t>
          </w:r>
          <w:r>
            <w:rPr>
              <w:color w:val="auto"/>
              <w:sz w:val="28"/>
              <w:szCs w:val="36"/>
              <w:highlight w:val="none"/>
            </w:rPr>
            <w:tab/>
          </w:r>
          <w:r>
            <w:rPr>
              <w:color w:val="auto"/>
              <w:sz w:val="28"/>
              <w:szCs w:val="36"/>
              <w:highlight w:val="none"/>
            </w:rPr>
            <w:fldChar w:fldCharType="begin"/>
          </w:r>
          <w:r>
            <w:rPr>
              <w:color w:val="auto"/>
              <w:sz w:val="28"/>
              <w:szCs w:val="36"/>
              <w:highlight w:val="none"/>
            </w:rPr>
            <w:instrText xml:space="preserve"> PAGEREF _Toc14709 \h </w:instrText>
          </w:r>
          <w:r>
            <w:rPr>
              <w:color w:val="auto"/>
              <w:sz w:val="28"/>
              <w:szCs w:val="36"/>
              <w:highlight w:val="none"/>
            </w:rPr>
            <w:fldChar w:fldCharType="separate"/>
          </w:r>
          <w:r>
            <w:rPr>
              <w:color w:val="auto"/>
              <w:sz w:val="28"/>
              <w:szCs w:val="36"/>
              <w:highlight w:val="none"/>
            </w:rPr>
            <w:t>29</w:t>
          </w:r>
          <w:r>
            <w:rPr>
              <w:color w:val="auto"/>
              <w:sz w:val="28"/>
              <w:szCs w:val="36"/>
              <w:highlight w:val="none"/>
            </w:rPr>
            <w:fldChar w:fldCharType="end"/>
          </w:r>
          <w:r>
            <w:rPr>
              <w:color w:val="auto"/>
              <w:sz w:val="28"/>
              <w:szCs w:val="36"/>
              <w:highlight w:val="none"/>
            </w:rPr>
            <w:fldChar w:fldCharType="end"/>
          </w:r>
        </w:p>
        <w:p w14:paraId="77DFF0B2">
          <w:pPr>
            <w:pStyle w:val="19"/>
            <w:keepNext w:val="0"/>
            <w:keepLines w:val="0"/>
            <w:pageBreakBefore w:val="0"/>
            <w:widowControl w:val="0"/>
            <w:tabs>
              <w:tab w:val="right" w:leader="dot" w:pos="9026"/>
            </w:tabs>
            <w:kinsoku/>
            <w:wordWrap/>
            <w:overflowPunct/>
            <w:topLinePunct w:val="0"/>
            <w:autoSpaceDE/>
            <w:autoSpaceDN/>
            <w:bidi w:val="0"/>
            <w:adjustRightInd/>
            <w:snapToGrid/>
            <w:textAlignment w:val="auto"/>
            <w:rPr>
              <w:color w:val="auto"/>
              <w:sz w:val="28"/>
              <w:szCs w:val="36"/>
              <w:highlight w:val="none"/>
            </w:rPr>
          </w:pPr>
          <w:r>
            <w:rPr>
              <w:color w:val="auto"/>
              <w:sz w:val="28"/>
              <w:szCs w:val="36"/>
              <w:highlight w:val="none"/>
            </w:rPr>
            <w:fldChar w:fldCharType="begin"/>
          </w:r>
          <w:r>
            <w:rPr>
              <w:color w:val="auto"/>
              <w:sz w:val="28"/>
              <w:szCs w:val="36"/>
              <w:highlight w:val="none"/>
            </w:rPr>
            <w:instrText xml:space="preserve"> HYPERLINK \l _Toc23302 </w:instrText>
          </w:r>
          <w:r>
            <w:rPr>
              <w:color w:val="auto"/>
              <w:sz w:val="28"/>
              <w:szCs w:val="36"/>
              <w:highlight w:val="none"/>
            </w:rPr>
            <w:fldChar w:fldCharType="separate"/>
          </w:r>
          <w:r>
            <w:rPr>
              <w:rFonts w:hint="eastAsia" w:cs="Times New Roman"/>
              <w:color w:val="auto"/>
              <w:sz w:val="28"/>
              <w:szCs w:val="36"/>
              <w:highlight w:val="none"/>
              <w:lang w:val="en-US" w:eastAsia="zh-CN"/>
            </w:rPr>
            <w:t>第五章 工程量清单（另附）</w:t>
          </w:r>
          <w:r>
            <w:rPr>
              <w:color w:val="auto"/>
              <w:sz w:val="28"/>
              <w:szCs w:val="36"/>
              <w:highlight w:val="none"/>
            </w:rPr>
            <w:tab/>
          </w:r>
          <w:r>
            <w:rPr>
              <w:color w:val="auto"/>
              <w:sz w:val="28"/>
              <w:szCs w:val="36"/>
              <w:highlight w:val="none"/>
            </w:rPr>
            <w:fldChar w:fldCharType="begin"/>
          </w:r>
          <w:r>
            <w:rPr>
              <w:color w:val="auto"/>
              <w:sz w:val="28"/>
              <w:szCs w:val="36"/>
              <w:highlight w:val="none"/>
            </w:rPr>
            <w:instrText xml:space="preserve"> PAGEREF _Toc23302 \h </w:instrText>
          </w:r>
          <w:r>
            <w:rPr>
              <w:color w:val="auto"/>
              <w:sz w:val="28"/>
              <w:szCs w:val="36"/>
              <w:highlight w:val="none"/>
            </w:rPr>
            <w:fldChar w:fldCharType="separate"/>
          </w:r>
          <w:r>
            <w:rPr>
              <w:color w:val="auto"/>
              <w:sz w:val="28"/>
              <w:szCs w:val="36"/>
              <w:highlight w:val="none"/>
            </w:rPr>
            <w:t>30</w:t>
          </w:r>
          <w:r>
            <w:rPr>
              <w:color w:val="auto"/>
              <w:sz w:val="28"/>
              <w:szCs w:val="36"/>
              <w:highlight w:val="none"/>
            </w:rPr>
            <w:fldChar w:fldCharType="end"/>
          </w:r>
          <w:r>
            <w:rPr>
              <w:color w:val="auto"/>
              <w:sz w:val="28"/>
              <w:szCs w:val="36"/>
              <w:highlight w:val="none"/>
            </w:rPr>
            <w:fldChar w:fldCharType="end"/>
          </w:r>
        </w:p>
        <w:p w14:paraId="1A67A33B">
          <w:pPr>
            <w:pStyle w:val="19"/>
            <w:keepNext w:val="0"/>
            <w:keepLines w:val="0"/>
            <w:pageBreakBefore w:val="0"/>
            <w:widowControl w:val="0"/>
            <w:tabs>
              <w:tab w:val="right" w:leader="dot" w:pos="9026"/>
            </w:tabs>
            <w:kinsoku/>
            <w:wordWrap/>
            <w:overflowPunct/>
            <w:topLinePunct w:val="0"/>
            <w:autoSpaceDE/>
            <w:autoSpaceDN/>
            <w:bidi w:val="0"/>
            <w:adjustRightInd/>
            <w:snapToGrid/>
            <w:textAlignment w:val="auto"/>
            <w:rPr>
              <w:color w:val="auto"/>
              <w:sz w:val="28"/>
              <w:szCs w:val="36"/>
              <w:highlight w:val="none"/>
            </w:rPr>
          </w:pPr>
          <w:r>
            <w:rPr>
              <w:color w:val="auto"/>
              <w:sz w:val="28"/>
              <w:szCs w:val="36"/>
              <w:highlight w:val="none"/>
            </w:rPr>
            <w:fldChar w:fldCharType="begin"/>
          </w:r>
          <w:r>
            <w:rPr>
              <w:color w:val="auto"/>
              <w:sz w:val="28"/>
              <w:szCs w:val="36"/>
              <w:highlight w:val="none"/>
            </w:rPr>
            <w:instrText xml:space="preserve"> HYPERLINK \l _Toc16643 </w:instrText>
          </w:r>
          <w:r>
            <w:rPr>
              <w:color w:val="auto"/>
              <w:sz w:val="28"/>
              <w:szCs w:val="36"/>
              <w:highlight w:val="none"/>
            </w:rPr>
            <w:fldChar w:fldCharType="separate"/>
          </w:r>
          <w:r>
            <w:rPr>
              <w:rFonts w:hint="eastAsia" w:cs="Times New Roman"/>
              <w:color w:val="auto"/>
              <w:sz w:val="28"/>
              <w:szCs w:val="36"/>
              <w:highlight w:val="none"/>
              <w:lang w:val="en-US" w:eastAsia="zh-CN"/>
            </w:rPr>
            <w:t>第六章  电子化响应文件内容及格式</w:t>
          </w:r>
          <w:r>
            <w:rPr>
              <w:color w:val="auto"/>
              <w:sz w:val="28"/>
              <w:szCs w:val="36"/>
              <w:highlight w:val="none"/>
            </w:rPr>
            <w:tab/>
          </w:r>
          <w:r>
            <w:rPr>
              <w:color w:val="auto"/>
              <w:sz w:val="28"/>
              <w:szCs w:val="36"/>
              <w:highlight w:val="none"/>
            </w:rPr>
            <w:fldChar w:fldCharType="begin"/>
          </w:r>
          <w:r>
            <w:rPr>
              <w:color w:val="auto"/>
              <w:sz w:val="28"/>
              <w:szCs w:val="36"/>
              <w:highlight w:val="none"/>
            </w:rPr>
            <w:instrText xml:space="preserve"> PAGEREF _Toc16643 \h </w:instrText>
          </w:r>
          <w:r>
            <w:rPr>
              <w:color w:val="auto"/>
              <w:sz w:val="28"/>
              <w:szCs w:val="36"/>
              <w:highlight w:val="none"/>
            </w:rPr>
            <w:fldChar w:fldCharType="separate"/>
          </w:r>
          <w:r>
            <w:rPr>
              <w:color w:val="auto"/>
              <w:sz w:val="28"/>
              <w:szCs w:val="36"/>
              <w:highlight w:val="none"/>
            </w:rPr>
            <w:t>31</w:t>
          </w:r>
          <w:r>
            <w:rPr>
              <w:color w:val="auto"/>
              <w:sz w:val="28"/>
              <w:szCs w:val="36"/>
              <w:highlight w:val="none"/>
            </w:rPr>
            <w:fldChar w:fldCharType="end"/>
          </w:r>
          <w:r>
            <w:rPr>
              <w:color w:val="auto"/>
              <w:sz w:val="28"/>
              <w:szCs w:val="36"/>
              <w:highlight w:val="none"/>
            </w:rPr>
            <w:fldChar w:fldCharType="end"/>
          </w:r>
        </w:p>
        <w:p w14:paraId="521C73FD">
          <w:pPr>
            <w:pStyle w:val="19"/>
            <w:tabs>
              <w:tab w:val="right" w:leader="dot" w:pos="9026"/>
            </w:tabs>
            <w:rPr>
              <w:color w:val="auto"/>
              <w:highlight w:val="none"/>
            </w:rPr>
          </w:pPr>
        </w:p>
        <w:p w14:paraId="031931D1">
          <w:pPr>
            <w:rPr>
              <w:color w:val="auto"/>
              <w:highlight w:val="none"/>
            </w:rPr>
          </w:pPr>
          <w:r>
            <w:rPr>
              <w:color w:val="auto"/>
              <w:highlight w:val="none"/>
            </w:rPr>
            <w:fldChar w:fldCharType="end"/>
          </w:r>
        </w:p>
      </w:sdtContent>
    </w:sdt>
    <w:p w14:paraId="1021D8FE">
      <w:pPr>
        <w:pStyle w:val="9"/>
        <w:tabs>
          <w:tab w:val="left" w:pos="1125"/>
        </w:tabs>
        <w:rPr>
          <w:color w:val="auto"/>
          <w:highlight w:val="none"/>
        </w:rPr>
        <w:sectPr>
          <w:footerReference r:id="rId3" w:type="default"/>
          <w:pgSz w:w="11906" w:h="16838"/>
          <w:pgMar w:top="1803" w:right="1440" w:bottom="1803" w:left="1440" w:header="720" w:footer="720" w:gutter="0"/>
          <w:pgNumType w:fmt="decimal"/>
          <w:cols w:space="720" w:num="1"/>
          <w:docGrid w:type="lines" w:linePitch="312" w:charSpace="0"/>
        </w:sectPr>
      </w:pPr>
    </w:p>
    <w:p w14:paraId="6271CB64">
      <w:pPr>
        <w:pStyle w:val="9"/>
        <w:tabs>
          <w:tab w:val="left" w:pos="1125"/>
        </w:tabs>
        <w:rPr>
          <w:color w:val="auto"/>
          <w:highlight w:val="none"/>
        </w:rPr>
      </w:pPr>
      <w:bookmarkStart w:id="2" w:name="_Toc9688"/>
      <w:r>
        <w:rPr>
          <w:color w:val="auto"/>
          <w:highlight w:val="none"/>
        </w:rPr>
        <w:t>第一章</w:t>
      </w:r>
      <w:r>
        <w:rPr>
          <w:color w:val="auto"/>
          <w:highlight w:val="none"/>
        </w:rPr>
        <w:tab/>
      </w:r>
      <w:r>
        <w:rPr>
          <w:color w:val="auto"/>
          <w:highlight w:val="none"/>
        </w:rPr>
        <w:t>竞争性磋商公告</w:t>
      </w:r>
      <w:bookmarkEnd w:id="2"/>
    </w:p>
    <w:p w14:paraId="54137273">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eastAsia="zh-CN"/>
        </w:rPr>
        <w:t>渑池县X波段相控阵天气雷达建设工程</w:t>
      </w:r>
      <w:r>
        <w:rPr>
          <w:rFonts w:hint="eastAsia" w:ascii="宋体" w:hAnsi="宋体" w:eastAsia="宋体" w:cs="宋体"/>
          <w:color w:val="auto"/>
          <w:kern w:val="0"/>
          <w:sz w:val="24"/>
          <w:szCs w:val="24"/>
          <w:highlight w:val="none"/>
        </w:rPr>
        <w:t>的潜在</w:t>
      </w:r>
      <w:r>
        <w:rPr>
          <w:rFonts w:hint="eastAsia" w:ascii="宋体" w:hAnsi="宋体" w:eastAsia="宋体" w:cs="宋体"/>
          <w:color w:val="auto"/>
          <w:kern w:val="0"/>
          <w:sz w:val="24"/>
          <w:szCs w:val="24"/>
          <w:highlight w:val="none"/>
          <w:lang w:eastAsia="zh-CN"/>
        </w:rPr>
        <w:t>响应人</w:t>
      </w:r>
      <w:r>
        <w:rPr>
          <w:rFonts w:hint="eastAsia" w:ascii="宋体" w:hAnsi="宋体" w:eastAsia="宋体" w:cs="宋体"/>
          <w:color w:val="auto"/>
          <w:kern w:val="0"/>
          <w:sz w:val="24"/>
          <w:szCs w:val="24"/>
          <w:highlight w:val="none"/>
        </w:rPr>
        <w:t>应在三门峡市公共资源交易中心网（网址：</w:t>
      </w:r>
      <w:r>
        <w:rPr>
          <w:rFonts w:hint="eastAsia" w:ascii="宋体" w:hAnsi="宋体" w:eastAsia="宋体" w:cs="宋体"/>
          <w:color w:val="auto"/>
          <w:kern w:val="0"/>
          <w:sz w:val="24"/>
          <w:szCs w:val="24"/>
          <w:highlight w:val="none"/>
          <w:lang w:eastAsia="zh-CN"/>
        </w:rPr>
        <w:fldChar w:fldCharType="begin"/>
      </w:r>
      <w:r>
        <w:rPr>
          <w:rFonts w:hint="eastAsia" w:ascii="宋体" w:hAnsi="宋体" w:eastAsia="宋体" w:cs="宋体"/>
          <w:color w:val="auto"/>
          <w:kern w:val="0"/>
          <w:sz w:val="24"/>
          <w:szCs w:val="24"/>
          <w:highlight w:val="none"/>
          <w:lang w:eastAsia="zh-CN"/>
        </w:rPr>
        <w:instrText xml:space="preserve"> HYPERLINK "http://gzjy.smx.gov.cn/）获取磋商文件，并于2024年" </w:instrText>
      </w:r>
      <w:r>
        <w:rPr>
          <w:rFonts w:hint="eastAsia" w:ascii="宋体" w:hAnsi="宋体" w:eastAsia="宋体" w:cs="宋体"/>
          <w:color w:val="auto"/>
          <w:kern w:val="0"/>
          <w:sz w:val="24"/>
          <w:szCs w:val="24"/>
          <w:highlight w:val="none"/>
          <w:lang w:eastAsia="zh-CN"/>
        </w:rPr>
        <w:fldChar w:fldCharType="separate"/>
      </w:r>
      <w:r>
        <w:rPr>
          <w:rFonts w:hint="eastAsia" w:ascii="宋体" w:hAnsi="宋体" w:eastAsia="宋体" w:cs="宋体"/>
          <w:color w:val="auto"/>
          <w:kern w:val="0"/>
          <w:sz w:val="24"/>
          <w:szCs w:val="24"/>
          <w:highlight w:val="none"/>
          <w:lang w:eastAsia="zh-CN"/>
        </w:rPr>
        <w:t>http://gzjy.smx.gov.cn/）获取磋商文件，并于202</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lang w:eastAsia="zh-CN"/>
        </w:rPr>
        <w:t>年</w:t>
      </w:r>
      <w:r>
        <w:rPr>
          <w:rFonts w:hint="eastAsia" w:ascii="宋体" w:hAnsi="宋体" w:eastAsia="宋体" w:cs="宋体"/>
          <w:color w:val="auto"/>
          <w:kern w:val="0"/>
          <w:sz w:val="24"/>
          <w:szCs w:val="24"/>
          <w:highlight w:val="none"/>
          <w:lang w:eastAsia="zh-CN"/>
        </w:rPr>
        <w:fldChar w:fldCharType="end"/>
      </w:r>
      <w:r>
        <w:rPr>
          <w:rFonts w:hint="eastAsia" w:ascii="宋体" w:hAnsi="宋体" w:cs="宋体"/>
          <w:color w:val="auto"/>
          <w:kern w:val="0"/>
          <w:sz w:val="24"/>
          <w:szCs w:val="24"/>
          <w:highlight w:val="none"/>
          <w:lang w:val="en-US" w:eastAsia="zh-CN"/>
        </w:rPr>
        <w:t>1月13</w:t>
      </w:r>
      <w:r>
        <w:rPr>
          <w:rFonts w:hint="eastAsia" w:ascii="宋体" w:hAnsi="宋体" w:eastAsia="宋体" w:cs="宋体"/>
          <w:color w:val="auto"/>
          <w:kern w:val="0"/>
          <w:sz w:val="24"/>
          <w:szCs w:val="24"/>
          <w:highlight w:val="none"/>
          <w:lang w:val="en-US" w:eastAsia="zh-CN"/>
        </w:rPr>
        <w:t>日</w:t>
      </w:r>
      <w:r>
        <w:rPr>
          <w:rFonts w:hint="eastAsia" w:ascii="宋体" w:hAnsi="宋体" w:eastAsia="宋体" w:cs="宋体"/>
          <w:color w:val="auto"/>
          <w:kern w:val="0"/>
          <w:sz w:val="24"/>
          <w:szCs w:val="24"/>
          <w:highlight w:val="none"/>
          <w:lang w:eastAsia="zh-CN"/>
        </w:rPr>
        <w:t>0</w:t>
      </w:r>
      <w:r>
        <w:rPr>
          <w:rFonts w:hint="eastAsia" w:ascii="宋体" w:hAnsi="宋体" w:eastAsia="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lang w:eastAsia="zh-CN"/>
        </w:rPr>
        <w:t>时</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lang w:eastAsia="zh-CN"/>
        </w:rPr>
        <w:t>0分（北京时间）前递交</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lang w:eastAsia="zh-CN"/>
        </w:rPr>
        <w:t>文件。</w:t>
      </w:r>
    </w:p>
    <w:p w14:paraId="676773A8">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一、项目基本情况：</w:t>
      </w:r>
    </w:p>
    <w:p w14:paraId="559E735E">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1、采购编号：</w:t>
      </w:r>
      <w:r>
        <w:rPr>
          <w:rFonts w:hint="eastAsia" w:ascii="宋体" w:hAnsi="宋体" w:cs="宋体"/>
          <w:color w:val="auto"/>
          <w:kern w:val="0"/>
          <w:sz w:val="24"/>
          <w:szCs w:val="24"/>
          <w:highlight w:val="none"/>
          <w:lang w:eastAsia="zh-CN"/>
        </w:rPr>
        <w:t>渑池竞磋采购-2025-187</w:t>
      </w:r>
      <w:r>
        <w:rPr>
          <w:rFonts w:hint="eastAsia" w:ascii="宋体" w:hAnsi="宋体" w:eastAsia="宋体" w:cs="宋体"/>
          <w:color w:val="auto"/>
          <w:kern w:val="0"/>
          <w:sz w:val="24"/>
          <w:szCs w:val="24"/>
          <w:highlight w:val="none"/>
        </w:rPr>
        <w:t>；项目编号：</w:t>
      </w:r>
      <w:r>
        <w:rPr>
          <w:rFonts w:hint="eastAsia" w:ascii="宋体" w:hAnsi="宋体" w:cs="宋体"/>
          <w:color w:val="auto"/>
          <w:kern w:val="0"/>
          <w:sz w:val="24"/>
          <w:szCs w:val="24"/>
          <w:highlight w:val="none"/>
          <w:lang w:eastAsia="zh-CN"/>
        </w:rPr>
        <w:t>MCGZ[2025]312-ZC245</w:t>
      </w:r>
    </w:p>
    <w:p w14:paraId="42E21B27">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2、项目名称：</w:t>
      </w:r>
      <w:r>
        <w:rPr>
          <w:rFonts w:hint="eastAsia" w:ascii="宋体" w:hAnsi="宋体" w:cs="宋体"/>
          <w:color w:val="auto"/>
          <w:kern w:val="0"/>
          <w:sz w:val="24"/>
          <w:szCs w:val="24"/>
          <w:highlight w:val="none"/>
          <w:lang w:eastAsia="zh-CN"/>
        </w:rPr>
        <w:t>渑池县X波段相控阵天气雷达建设工程</w:t>
      </w:r>
    </w:p>
    <w:p w14:paraId="38EFFE5C">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3、采购方式：竞争性磋商</w:t>
      </w:r>
    </w:p>
    <w:p w14:paraId="5A3DE194">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4、预算金额：</w:t>
      </w:r>
      <w:r>
        <w:rPr>
          <w:rFonts w:hint="eastAsia" w:ascii="宋体" w:hAnsi="宋体" w:cs="宋体"/>
          <w:color w:val="auto"/>
          <w:kern w:val="0"/>
          <w:sz w:val="24"/>
          <w:szCs w:val="24"/>
          <w:highlight w:val="none"/>
          <w:lang w:val="en-US" w:eastAsia="zh-CN"/>
        </w:rPr>
        <w:t>1295728.73元</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最高限价：</w:t>
      </w:r>
      <w:r>
        <w:rPr>
          <w:rFonts w:hint="eastAsia" w:ascii="宋体" w:hAnsi="宋体" w:cs="宋体"/>
          <w:color w:val="auto"/>
          <w:kern w:val="0"/>
          <w:sz w:val="24"/>
          <w:szCs w:val="24"/>
          <w:highlight w:val="none"/>
          <w:lang w:val="en-US" w:eastAsia="zh-CN"/>
        </w:rPr>
        <w:t>1295728.73元</w:t>
      </w:r>
    </w:p>
    <w:tbl>
      <w:tblPr>
        <w:tblStyle w:val="21"/>
        <w:tblW w:w="9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620"/>
        <w:gridCol w:w="2381"/>
        <w:gridCol w:w="1819"/>
        <w:gridCol w:w="2118"/>
      </w:tblGrid>
      <w:tr w14:paraId="4BBE5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959" w:type="dxa"/>
            <w:noWrap/>
            <w:vAlign w:val="center"/>
          </w:tcPr>
          <w:p w14:paraId="29AD5FE6">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序号</w:t>
            </w:r>
          </w:p>
        </w:tc>
        <w:tc>
          <w:tcPr>
            <w:tcW w:w="2620" w:type="dxa"/>
            <w:noWrap/>
            <w:vAlign w:val="center"/>
          </w:tcPr>
          <w:p w14:paraId="006AA059">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包号</w:t>
            </w:r>
          </w:p>
        </w:tc>
        <w:tc>
          <w:tcPr>
            <w:tcW w:w="2381" w:type="dxa"/>
            <w:noWrap/>
            <w:vAlign w:val="center"/>
          </w:tcPr>
          <w:p w14:paraId="6C2B34B2">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包名称</w:t>
            </w:r>
          </w:p>
        </w:tc>
        <w:tc>
          <w:tcPr>
            <w:tcW w:w="1819" w:type="dxa"/>
            <w:noWrap/>
            <w:vAlign w:val="center"/>
          </w:tcPr>
          <w:p w14:paraId="7E1896FF">
            <w:pPr>
              <w:keepNext w:val="0"/>
              <w:keepLines w:val="0"/>
              <w:pageBreakBefore w:val="0"/>
              <w:widowControl w:val="0"/>
              <w:kinsoku/>
              <w:wordWrap/>
              <w:overflowPunct/>
              <w:topLinePunct w:val="0"/>
              <w:autoSpaceDE/>
              <w:autoSpaceDN/>
              <w:bidi w:val="0"/>
              <w:adjustRightInd w:val="0"/>
              <w:snapToGrid w:val="0"/>
              <w:spacing w:line="460" w:lineRule="exact"/>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包预算（元）</w:t>
            </w:r>
          </w:p>
        </w:tc>
        <w:tc>
          <w:tcPr>
            <w:tcW w:w="2118" w:type="dxa"/>
            <w:noWrap/>
            <w:vAlign w:val="center"/>
          </w:tcPr>
          <w:p w14:paraId="7F2D0C12">
            <w:pPr>
              <w:keepNext w:val="0"/>
              <w:keepLines w:val="0"/>
              <w:pageBreakBefore w:val="0"/>
              <w:widowControl w:val="0"/>
              <w:kinsoku/>
              <w:wordWrap/>
              <w:overflowPunct/>
              <w:topLinePunct w:val="0"/>
              <w:autoSpaceDE/>
              <w:autoSpaceDN/>
              <w:bidi w:val="0"/>
              <w:adjustRightInd w:val="0"/>
              <w:snapToGrid w:val="0"/>
              <w:spacing w:line="460" w:lineRule="exact"/>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包最高限价（元）</w:t>
            </w:r>
          </w:p>
        </w:tc>
      </w:tr>
      <w:tr w14:paraId="28994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4" w:hRule="atLeast"/>
          <w:jc w:val="center"/>
        </w:trPr>
        <w:tc>
          <w:tcPr>
            <w:tcW w:w="959" w:type="dxa"/>
            <w:noWrap/>
            <w:vAlign w:val="center"/>
          </w:tcPr>
          <w:p w14:paraId="4B9455A7">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2620" w:type="dxa"/>
            <w:noWrap/>
            <w:vAlign w:val="center"/>
          </w:tcPr>
          <w:p w14:paraId="7D162981">
            <w:pPr>
              <w:keepNext w:val="0"/>
              <w:keepLines w:val="0"/>
              <w:pageBreakBefore w:val="0"/>
              <w:widowControl w:val="0"/>
              <w:kinsoku/>
              <w:wordWrap/>
              <w:overflowPunct/>
              <w:topLinePunct w:val="0"/>
              <w:autoSpaceDE/>
              <w:autoSpaceDN/>
              <w:bidi w:val="0"/>
              <w:adjustRightInd w:val="0"/>
              <w:snapToGrid w:val="0"/>
              <w:spacing w:line="460" w:lineRule="exact"/>
              <w:jc w:val="both"/>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eastAsia="zh-CN"/>
              </w:rPr>
              <w:t>MCGZ[2025]312-ZC245</w:t>
            </w:r>
          </w:p>
        </w:tc>
        <w:tc>
          <w:tcPr>
            <w:tcW w:w="2381" w:type="dxa"/>
            <w:noWrap/>
            <w:vAlign w:val="center"/>
          </w:tcPr>
          <w:p w14:paraId="75AF53E2">
            <w:pPr>
              <w:keepNext w:val="0"/>
              <w:keepLines w:val="0"/>
              <w:pageBreakBefore w:val="0"/>
              <w:widowControl w:val="0"/>
              <w:kinsoku/>
              <w:wordWrap/>
              <w:overflowPunct/>
              <w:topLinePunct w:val="0"/>
              <w:autoSpaceDE/>
              <w:autoSpaceDN/>
              <w:bidi w:val="0"/>
              <w:adjustRightInd w:val="0"/>
              <w:snapToGrid w:val="0"/>
              <w:spacing w:line="460" w:lineRule="exact"/>
              <w:jc w:val="both"/>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eastAsia="zh-CN"/>
              </w:rPr>
              <w:t>渑池县X波段相控阵天气雷达建设工程</w:t>
            </w:r>
          </w:p>
        </w:tc>
        <w:tc>
          <w:tcPr>
            <w:tcW w:w="1819" w:type="dxa"/>
            <w:noWrap/>
            <w:vAlign w:val="center"/>
          </w:tcPr>
          <w:p w14:paraId="7671D672">
            <w:pPr>
              <w:keepNext w:val="0"/>
              <w:keepLines w:val="0"/>
              <w:pageBreakBefore w:val="0"/>
              <w:widowControl w:val="0"/>
              <w:kinsoku/>
              <w:wordWrap/>
              <w:overflowPunct/>
              <w:topLinePunct w:val="0"/>
              <w:autoSpaceDE/>
              <w:autoSpaceDN/>
              <w:bidi w:val="0"/>
              <w:adjustRightInd w:val="0"/>
              <w:snapToGrid w:val="0"/>
              <w:spacing w:line="460" w:lineRule="exact"/>
              <w:jc w:val="both"/>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1295728.73</w:t>
            </w:r>
          </w:p>
        </w:tc>
        <w:tc>
          <w:tcPr>
            <w:tcW w:w="2118" w:type="dxa"/>
            <w:noWrap/>
            <w:vAlign w:val="center"/>
          </w:tcPr>
          <w:p w14:paraId="42115455">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1295728.73</w:t>
            </w:r>
          </w:p>
        </w:tc>
      </w:tr>
    </w:tbl>
    <w:p w14:paraId="68AF4AA7">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5、采购需求（包括但不限于标的的名称、数量、简要技术需求或服务要求等）：</w:t>
      </w:r>
    </w:p>
    <w:p w14:paraId="3D63F34F">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eastAsia="zh-CN"/>
        </w:rPr>
        <w:t>5.1、</w:t>
      </w:r>
      <w:r>
        <w:rPr>
          <w:rFonts w:hint="eastAsia" w:ascii="宋体" w:hAnsi="宋体" w:eastAsia="宋体" w:cs="宋体"/>
          <w:color w:val="auto"/>
          <w:kern w:val="0"/>
          <w:sz w:val="24"/>
          <w:szCs w:val="24"/>
          <w:highlight w:val="none"/>
          <w:lang w:val="en-US" w:eastAsia="zh-CN"/>
        </w:rPr>
        <w:t>工程概况</w:t>
      </w:r>
      <w:r>
        <w:rPr>
          <w:rFonts w:hint="eastAsia" w:ascii="宋体" w:hAnsi="宋体" w:eastAsia="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本项目为</w:t>
      </w:r>
      <w:r>
        <w:rPr>
          <w:rFonts w:hint="eastAsia" w:ascii="宋体" w:hAnsi="宋体" w:cs="宋体"/>
          <w:color w:val="auto"/>
          <w:kern w:val="0"/>
          <w:sz w:val="24"/>
          <w:szCs w:val="24"/>
          <w:highlight w:val="none"/>
          <w:lang w:eastAsia="zh-CN"/>
        </w:rPr>
        <w:t>渑池县X波段相控阵天气雷达建设工程</w:t>
      </w:r>
      <w:r>
        <w:rPr>
          <w:rFonts w:hint="eastAsia" w:ascii="宋体" w:hAnsi="宋体" w:eastAsia="宋体" w:cs="宋体"/>
          <w:color w:val="auto"/>
          <w:kern w:val="0"/>
          <w:sz w:val="24"/>
          <w:szCs w:val="24"/>
          <w:highlight w:val="none"/>
          <w:lang w:eastAsia="zh-CN"/>
        </w:rPr>
        <w:t>；（具体详见竞争性磋商文件第五章）</w:t>
      </w:r>
      <w:r>
        <w:rPr>
          <w:rFonts w:hint="eastAsia" w:ascii="宋体" w:hAnsi="宋体" w:eastAsia="宋体" w:cs="宋体"/>
          <w:color w:val="auto"/>
          <w:sz w:val="24"/>
          <w:szCs w:val="24"/>
          <w:highlight w:val="none"/>
        </w:rPr>
        <w:t>。</w:t>
      </w:r>
    </w:p>
    <w:p w14:paraId="3A58D667">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5.2</w:t>
      </w:r>
      <w:r>
        <w:rPr>
          <w:rFonts w:hint="eastAsia" w:ascii="宋体" w:hAnsi="宋体" w:eastAsia="宋体" w:cs="宋体"/>
          <w:color w:val="auto"/>
          <w:kern w:val="0"/>
          <w:sz w:val="24"/>
          <w:szCs w:val="24"/>
          <w:highlight w:val="none"/>
          <w:lang w:eastAsia="zh-CN"/>
        </w:rPr>
        <w:t>、资金来源：财政资金，已落实</w:t>
      </w:r>
    </w:p>
    <w:p w14:paraId="45239376">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5.3</w:t>
      </w:r>
      <w:r>
        <w:rPr>
          <w:rFonts w:hint="eastAsia" w:ascii="宋体" w:hAnsi="宋体" w:eastAsia="宋体" w:cs="宋体"/>
          <w:color w:val="auto"/>
          <w:kern w:val="0"/>
          <w:sz w:val="24"/>
          <w:szCs w:val="24"/>
          <w:highlight w:val="none"/>
          <w:lang w:eastAsia="zh-CN"/>
        </w:rPr>
        <w:t>、项目地点</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渑池县</w:t>
      </w:r>
      <w:r>
        <w:rPr>
          <w:rFonts w:hint="eastAsia" w:ascii="宋体" w:hAnsi="宋体" w:eastAsia="宋体" w:cs="宋体"/>
          <w:color w:val="auto"/>
          <w:kern w:val="0"/>
          <w:sz w:val="24"/>
          <w:szCs w:val="24"/>
          <w:highlight w:val="none"/>
          <w:lang w:val="en-US" w:eastAsia="zh-CN"/>
        </w:rPr>
        <w:t xml:space="preserve"> </w:t>
      </w:r>
    </w:p>
    <w:p w14:paraId="4A301E77">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5.4</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计划工期：</w:t>
      </w:r>
      <w:r>
        <w:rPr>
          <w:rFonts w:hint="eastAsia" w:ascii="宋体" w:hAnsi="宋体" w:cs="宋体"/>
          <w:color w:val="auto"/>
          <w:kern w:val="0"/>
          <w:sz w:val="24"/>
          <w:szCs w:val="24"/>
          <w:highlight w:val="none"/>
          <w:lang w:val="en-US" w:eastAsia="zh-CN"/>
        </w:rPr>
        <w:t>60日历天</w:t>
      </w:r>
    </w:p>
    <w:p w14:paraId="2C1F8134">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5.5</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质量要求：</w:t>
      </w:r>
      <w:r>
        <w:rPr>
          <w:rFonts w:hint="eastAsia" w:ascii="宋体" w:hAnsi="宋体" w:eastAsia="宋体" w:cs="宋体"/>
          <w:color w:val="auto"/>
          <w:kern w:val="0"/>
          <w:sz w:val="24"/>
          <w:szCs w:val="24"/>
          <w:highlight w:val="none"/>
          <w:lang w:eastAsia="zh-CN"/>
        </w:rPr>
        <w:t>合格</w:t>
      </w:r>
    </w:p>
    <w:p w14:paraId="7B985FB7">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6、合同履约期限：</w:t>
      </w:r>
      <w:r>
        <w:rPr>
          <w:rFonts w:hint="eastAsia" w:ascii="宋体" w:hAnsi="宋体" w:cs="宋体"/>
          <w:color w:val="auto"/>
          <w:kern w:val="0"/>
          <w:sz w:val="24"/>
          <w:szCs w:val="24"/>
          <w:highlight w:val="none"/>
          <w:lang w:val="en-US" w:eastAsia="zh-CN"/>
        </w:rPr>
        <w:t>60日历天</w:t>
      </w:r>
    </w:p>
    <w:p w14:paraId="42B400CF">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7、本项目是否接受联合体投标：否</w:t>
      </w:r>
    </w:p>
    <w:p w14:paraId="1CDCAE3E">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8、是否接受进口产品：否</w:t>
      </w:r>
    </w:p>
    <w:p w14:paraId="2E5445BA">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9、是否专门面向中小企业：</w:t>
      </w:r>
      <w:r>
        <w:rPr>
          <w:rFonts w:hint="eastAsia" w:ascii="宋体" w:hAnsi="宋体" w:cs="宋体"/>
          <w:color w:val="auto"/>
          <w:kern w:val="0"/>
          <w:sz w:val="24"/>
          <w:szCs w:val="24"/>
          <w:highlight w:val="none"/>
          <w:lang w:val="en-US" w:eastAsia="zh-CN"/>
        </w:rPr>
        <w:t>否</w:t>
      </w:r>
    </w:p>
    <w:p w14:paraId="27351A91">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二、申请人资格要求：</w:t>
      </w:r>
    </w:p>
    <w:p w14:paraId="067F41AB">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1、满足《中华人民共和国政府采购法》第二十二条规定；</w:t>
      </w:r>
    </w:p>
    <w:p w14:paraId="36B5D43B">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2、落实政府采购政策满足的资格要求：</w:t>
      </w:r>
    </w:p>
    <w:p w14:paraId="0D81F931">
      <w:pPr>
        <w:spacing w:line="360" w:lineRule="auto"/>
        <w:ind w:firstLine="480" w:firstLineChars="200"/>
        <w:rPr>
          <w:rFonts w:hint="eastAsia" w:ascii="宋体" w:hAnsi="宋体" w:eastAsia="宋体" w:cs="宋体"/>
          <w:color w:val="auto"/>
          <w:kern w:val="0"/>
          <w:sz w:val="24"/>
          <w:szCs w:val="24"/>
          <w:highlight w:val="none"/>
          <w:lang w:eastAsia="zh-CN"/>
        </w:rPr>
      </w:pPr>
      <w:r>
        <w:rPr>
          <w:rFonts w:hint="eastAsia" w:ascii="宋体" w:hAnsi="宋体"/>
          <w:color w:val="auto"/>
          <w:sz w:val="24"/>
          <w:szCs w:val="24"/>
          <w:highlight w:val="none"/>
        </w:rPr>
        <w:t>本项目非专门面向中小微企业采购项目，执行促进中小型企业发展政策（残疾人福利性企业、监狱企业视同小微企业）、优先采购节能环保产品等政府采购政策</w:t>
      </w:r>
      <w:r>
        <w:rPr>
          <w:rFonts w:hint="eastAsia" w:ascii="宋体" w:hAnsi="宋体" w:eastAsia="宋体" w:cs="宋体"/>
          <w:color w:val="auto"/>
          <w:kern w:val="0"/>
          <w:sz w:val="24"/>
          <w:szCs w:val="24"/>
          <w:highlight w:val="none"/>
          <w:lang w:eastAsia="zh-CN"/>
        </w:rPr>
        <w:t>；</w:t>
      </w:r>
    </w:p>
    <w:p w14:paraId="0CC9F3E7">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3、本项目的特定资格要求</w:t>
      </w:r>
    </w:p>
    <w:p w14:paraId="63ED4970">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eastAsia="zh-CN"/>
        </w:rPr>
        <w:t>1</w:t>
      </w:r>
      <w:r>
        <w:rPr>
          <w:rFonts w:hint="eastAsia" w:ascii="宋体" w:hAnsi="宋体" w:eastAsia="宋体" w:cs="宋体"/>
          <w:color w:val="auto"/>
          <w:kern w:val="0"/>
          <w:sz w:val="24"/>
          <w:szCs w:val="24"/>
          <w:highlight w:val="none"/>
          <w:lang w:val="en-US" w:eastAsia="zh-CN"/>
        </w:rPr>
        <w:t>供应商具有有效的营业执照</w:t>
      </w:r>
      <w:r>
        <w:rPr>
          <w:rFonts w:hint="eastAsia" w:ascii="宋体" w:hAnsi="宋体" w:eastAsia="宋体" w:cs="宋体"/>
          <w:color w:val="auto"/>
          <w:kern w:val="0"/>
          <w:sz w:val="24"/>
          <w:szCs w:val="24"/>
          <w:highlight w:val="none"/>
          <w:lang w:eastAsia="zh-CN"/>
        </w:rPr>
        <w:t>；</w:t>
      </w:r>
    </w:p>
    <w:p w14:paraId="405E764F">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b w:val="0"/>
          <w:i w:val="0"/>
          <w:caps w:val="0"/>
          <w:color w:val="auto"/>
          <w:spacing w:val="0"/>
          <w:w w:val="100"/>
          <w:sz w:val="24"/>
          <w:szCs w:val="24"/>
          <w:highlight w:val="none"/>
          <w:lang w:eastAsia="zh-CN"/>
        </w:rPr>
      </w:pPr>
      <w:r>
        <w:rPr>
          <w:rFonts w:hint="eastAsia" w:ascii="宋体" w:hAnsi="宋体" w:eastAsia="宋体" w:cs="宋体"/>
          <w:b w:val="0"/>
          <w:i w:val="0"/>
          <w:caps w:val="0"/>
          <w:color w:val="auto"/>
          <w:spacing w:val="0"/>
          <w:w w:val="100"/>
          <w:sz w:val="24"/>
          <w:szCs w:val="24"/>
          <w:highlight w:val="none"/>
          <w:lang w:val="en-US" w:eastAsia="zh-CN"/>
        </w:rPr>
        <w:t>3.2</w:t>
      </w:r>
      <w:r>
        <w:rPr>
          <w:rFonts w:hint="eastAsia" w:ascii="宋体" w:hAnsi="宋体" w:eastAsia="宋体" w:cs="宋体"/>
          <w:b w:val="0"/>
          <w:i w:val="0"/>
          <w:caps w:val="0"/>
          <w:color w:val="auto"/>
          <w:spacing w:val="0"/>
          <w:w w:val="100"/>
          <w:sz w:val="24"/>
          <w:szCs w:val="24"/>
          <w:highlight w:val="none"/>
          <w:lang w:eastAsia="zh-CN"/>
        </w:rPr>
        <w:t>供应商具有</w:t>
      </w:r>
      <w:r>
        <w:rPr>
          <w:rFonts w:hint="eastAsia" w:ascii="宋体" w:hAnsi="宋体" w:cs="宋体"/>
          <w:b w:val="0"/>
          <w:i w:val="0"/>
          <w:caps w:val="0"/>
          <w:color w:val="auto"/>
          <w:spacing w:val="0"/>
          <w:w w:val="100"/>
          <w:sz w:val="24"/>
          <w:szCs w:val="24"/>
          <w:highlight w:val="none"/>
          <w:lang w:eastAsia="zh-CN"/>
        </w:rPr>
        <w:t>建筑工程施工总承包</w:t>
      </w:r>
      <w:r>
        <w:rPr>
          <w:rFonts w:hint="eastAsia" w:ascii="宋体" w:hAnsi="宋体" w:eastAsia="宋体" w:cs="宋体"/>
          <w:b w:val="0"/>
          <w:i w:val="0"/>
          <w:caps w:val="0"/>
          <w:color w:val="auto"/>
          <w:spacing w:val="0"/>
          <w:w w:val="100"/>
          <w:sz w:val="24"/>
          <w:szCs w:val="24"/>
          <w:highlight w:val="none"/>
          <w:lang w:eastAsia="zh-CN"/>
        </w:rPr>
        <w:t>叁级及以上资质</w:t>
      </w:r>
      <w:r>
        <w:rPr>
          <w:rFonts w:hint="eastAsia" w:ascii="宋体" w:hAnsi="宋体" w:cs="宋体"/>
          <w:b w:val="0"/>
          <w:i w:val="0"/>
          <w:caps w:val="0"/>
          <w:color w:val="auto"/>
          <w:spacing w:val="0"/>
          <w:w w:val="100"/>
          <w:sz w:val="24"/>
          <w:szCs w:val="24"/>
          <w:highlight w:val="none"/>
          <w:lang w:val="en-US" w:eastAsia="zh-CN"/>
        </w:rPr>
        <w:t>或钢结构工程专业承包贰级</w:t>
      </w:r>
      <w:r>
        <w:rPr>
          <w:rFonts w:hint="eastAsia" w:ascii="宋体" w:hAnsi="宋体" w:eastAsia="宋体" w:cs="宋体"/>
          <w:b w:val="0"/>
          <w:i w:val="0"/>
          <w:caps w:val="0"/>
          <w:color w:val="auto"/>
          <w:spacing w:val="0"/>
          <w:w w:val="100"/>
          <w:sz w:val="24"/>
          <w:szCs w:val="24"/>
          <w:highlight w:val="none"/>
          <w:lang w:eastAsia="zh-CN"/>
        </w:rPr>
        <w:t>及以上资质，具有有效的安全生产许可证；并在人员、设备、资金等方面具有相应的施工能力。</w:t>
      </w:r>
    </w:p>
    <w:p w14:paraId="259057C7">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b w:val="0"/>
          <w:i w:val="0"/>
          <w:caps w:val="0"/>
          <w:color w:val="auto"/>
          <w:spacing w:val="0"/>
          <w:w w:val="100"/>
          <w:sz w:val="24"/>
          <w:szCs w:val="24"/>
          <w:highlight w:val="none"/>
          <w:lang w:eastAsia="zh-CN"/>
        </w:rPr>
      </w:pPr>
      <w:r>
        <w:rPr>
          <w:rFonts w:hint="eastAsia" w:ascii="宋体" w:hAnsi="宋体" w:eastAsia="宋体" w:cs="宋体"/>
          <w:b w:val="0"/>
          <w:i w:val="0"/>
          <w:caps w:val="0"/>
          <w:color w:val="auto"/>
          <w:spacing w:val="0"/>
          <w:w w:val="100"/>
          <w:sz w:val="24"/>
          <w:szCs w:val="24"/>
          <w:highlight w:val="none"/>
          <w:lang w:eastAsia="zh-CN"/>
        </w:rPr>
        <w:t>3</w:t>
      </w:r>
      <w:r>
        <w:rPr>
          <w:rFonts w:hint="eastAsia" w:ascii="宋体" w:hAnsi="宋体" w:eastAsia="宋体" w:cs="宋体"/>
          <w:b w:val="0"/>
          <w:i w:val="0"/>
          <w:caps w:val="0"/>
          <w:color w:val="auto"/>
          <w:spacing w:val="0"/>
          <w:w w:val="100"/>
          <w:sz w:val="24"/>
          <w:szCs w:val="24"/>
          <w:highlight w:val="none"/>
          <w:lang w:val="en-US" w:eastAsia="zh-CN"/>
        </w:rPr>
        <w:t>.3</w:t>
      </w:r>
      <w:r>
        <w:rPr>
          <w:rFonts w:hint="eastAsia" w:ascii="宋体" w:hAnsi="宋体" w:eastAsia="宋体" w:cs="宋体"/>
          <w:b w:val="0"/>
          <w:i w:val="0"/>
          <w:caps w:val="0"/>
          <w:color w:val="auto"/>
          <w:spacing w:val="0"/>
          <w:w w:val="100"/>
          <w:sz w:val="24"/>
          <w:szCs w:val="24"/>
          <w:highlight w:val="none"/>
          <w:lang w:eastAsia="zh-CN"/>
        </w:rPr>
        <w:t>拟派项目经理须具备相关专业贰级及以上注册建造师资格，具备有效的安全生产考核合格证书，</w:t>
      </w:r>
      <w:r>
        <w:rPr>
          <w:rFonts w:hint="eastAsia" w:ascii="宋体" w:hAnsi="宋体" w:cs="宋体"/>
          <w:b w:val="0"/>
          <w:i w:val="0"/>
          <w:caps w:val="0"/>
          <w:color w:val="auto"/>
          <w:spacing w:val="0"/>
          <w:w w:val="100"/>
          <w:sz w:val="24"/>
          <w:szCs w:val="24"/>
          <w:highlight w:val="none"/>
          <w:lang w:val="en-US" w:eastAsia="zh-CN"/>
        </w:rPr>
        <w:t>提供</w:t>
      </w:r>
      <w:r>
        <w:rPr>
          <w:rFonts w:hint="eastAsia" w:ascii="宋体" w:hAnsi="宋体" w:eastAsia="宋体" w:cs="宋体"/>
          <w:b w:val="0"/>
          <w:i w:val="0"/>
          <w:caps w:val="0"/>
          <w:color w:val="auto"/>
          <w:spacing w:val="0"/>
          <w:w w:val="100"/>
          <w:sz w:val="24"/>
          <w:szCs w:val="24"/>
          <w:highlight w:val="none"/>
          <w:lang w:eastAsia="zh-CN"/>
        </w:rPr>
        <w:t>养老保险缴纳证明且未在其他在建工程项目中担任项目经理；</w:t>
      </w:r>
    </w:p>
    <w:p w14:paraId="099557AF">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3.4供应商</w:t>
      </w:r>
      <w:r>
        <w:rPr>
          <w:rFonts w:hint="eastAsia" w:ascii="宋体" w:hAnsi="宋体" w:eastAsia="宋体" w:cs="宋体"/>
          <w:color w:val="auto"/>
          <w:kern w:val="0"/>
          <w:sz w:val="24"/>
          <w:szCs w:val="24"/>
          <w:highlight w:val="none"/>
          <w:lang w:eastAsia="zh-CN"/>
        </w:rPr>
        <w:t>自行出具本单位无商业贿赂及无不正当竞争行为的承诺书；</w:t>
      </w:r>
    </w:p>
    <w:p w14:paraId="14AEFF45">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3.5未列入“中国执行信息公开网”http://zxgk.court.gov.cn/shixin网站的“失信被执行人”名单、“信用中国”www.creditchina.gov.cn网站的“重大税收违法失信主体”及“中国政府采购网”www.ccgp.gov.cn网站的“政府采购严重违法失信行为记录名单”；（提供“中国执行信息公开网”、“信用中国”和“中国政府采购网”网站的查询信息截图，加盖单位公章，截图需显示查询时间，查询时间：自公告发布之日起至投标截止时间前）；</w:t>
      </w:r>
    </w:p>
    <w:p w14:paraId="13C77A90">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3.6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日期为本项目公告发布之后至开标截止时间止））；</w:t>
      </w:r>
    </w:p>
    <w:p w14:paraId="195CCF2A">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3.7本项目不接受联合体投标，提供非联合体投标承诺，格式自拟。</w:t>
      </w:r>
    </w:p>
    <w:p w14:paraId="70CD2ECF">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注：</w:t>
      </w:r>
      <w:r>
        <w:rPr>
          <w:rFonts w:hint="eastAsia" w:ascii="宋体" w:hAnsi="宋体" w:eastAsia="宋体" w:cs="宋体"/>
          <w:color w:val="auto"/>
          <w:kern w:val="0"/>
          <w:sz w:val="24"/>
          <w:szCs w:val="24"/>
          <w:highlight w:val="none"/>
        </w:rPr>
        <w:t>本项目实行资格后审，资格审查的具体要求见竞争性磋商文件。</w:t>
      </w:r>
    </w:p>
    <w:p w14:paraId="30BA8864">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三、获取</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w:t>
      </w:r>
    </w:p>
    <w:p w14:paraId="5E0E5A77">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1、时间：</w:t>
      </w:r>
      <w:r>
        <w:rPr>
          <w:rFonts w:hint="eastAsia" w:ascii="宋体" w:hAnsi="宋体" w:eastAsia="宋体" w:cs="宋体"/>
          <w:color w:val="auto"/>
          <w:kern w:val="0"/>
          <w:sz w:val="24"/>
          <w:szCs w:val="24"/>
          <w:highlight w:val="none"/>
          <w:lang w:eastAsia="zh-CN"/>
        </w:rPr>
        <w:t>2025年</w:t>
      </w:r>
      <w:r>
        <w:rPr>
          <w:rFonts w:hint="eastAsia" w:ascii="宋体" w:hAnsi="宋体" w:cs="宋体"/>
          <w:color w:val="auto"/>
          <w:kern w:val="0"/>
          <w:sz w:val="24"/>
          <w:szCs w:val="24"/>
          <w:highlight w:val="none"/>
          <w:lang w:val="en-US" w:eastAsia="zh-CN"/>
        </w:rPr>
        <w:t>12</w:t>
      </w:r>
      <w:r>
        <w:rPr>
          <w:rFonts w:hint="eastAsia" w:ascii="宋体" w:hAnsi="宋体" w:eastAsia="宋体" w:cs="宋体"/>
          <w:color w:val="auto"/>
          <w:kern w:val="0"/>
          <w:sz w:val="24"/>
          <w:szCs w:val="24"/>
          <w:highlight w:val="none"/>
          <w:lang w:eastAsia="zh-CN"/>
        </w:rPr>
        <w:t>月</w:t>
      </w:r>
      <w:r>
        <w:rPr>
          <w:rFonts w:hint="eastAsia" w:ascii="宋体" w:hAnsi="宋体" w:cs="宋体"/>
          <w:color w:val="auto"/>
          <w:kern w:val="0"/>
          <w:sz w:val="24"/>
          <w:szCs w:val="24"/>
          <w:highlight w:val="none"/>
          <w:lang w:val="en-US" w:eastAsia="zh-CN"/>
        </w:rPr>
        <w:t>31</w:t>
      </w:r>
      <w:r>
        <w:rPr>
          <w:rFonts w:hint="eastAsia" w:ascii="宋体" w:hAnsi="宋体" w:eastAsia="宋体" w:cs="宋体"/>
          <w:color w:val="auto"/>
          <w:kern w:val="0"/>
          <w:sz w:val="24"/>
          <w:szCs w:val="24"/>
          <w:highlight w:val="none"/>
          <w:lang w:eastAsia="zh-CN"/>
        </w:rPr>
        <w:t>日至202</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lang w:eastAsia="zh-CN"/>
        </w:rPr>
        <w:t>年</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lang w:val="en-US" w:eastAsia="zh-CN"/>
        </w:rPr>
        <w:t>月</w:t>
      </w:r>
      <w:r>
        <w:rPr>
          <w:rFonts w:hint="eastAsia" w:ascii="宋体" w:hAnsi="宋体" w:cs="宋体"/>
          <w:color w:val="auto"/>
          <w:kern w:val="0"/>
          <w:sz w:val="24"/>
          <w:szCs w:val="24"/>
          <w:highlight w:val="none"/>
          <w:lang w:val="en-US" w:eastAsia="zh-CN"/>
        </w:rPr>
        <w:t>13</w:t>
      </w:r>
      <w:r>
        <w:rPr>
          <w:rFonts w:hint="eastAsia" w:ascii="宋体" w:hAnsi="宋体" w:eastAsia="宋体" w:cs="宋体"/>
          <w:color w:val="auto"/>
          <w:kern w:val="0"/>
          <w:sz w:val="24"/>
          <w:szCs w:val="24"/>
          <w:highlight w:val="none"/>
          <w:lang w:val="en-US" w:eastAsia="zh-CN"/>
        </w:rPr>
        <w:t>日</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每天上午00:00至12:00，下午12:00至23:59（北京时间，法定节假日除外。）</w:t>
      </w:r>
    </w:p>
    <w:p w14:paraId="1BEADD2A">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2、地点：三门峡市公共资源交易中心网（网址：http://gzjy.smx.gov.cn/）</w:t>
      </w:r>
    </w:p>
    <w:p w14:paraId="24B2D646">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3、方式：本项目没有报名环节，</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凭CA数字证书通过三门峡市公共资源交易中心网（网址：http://gzjy.smx.gov.cn/），点击公共资源交易平台选择“交易主体登录”，在所参与项目右侧点击参与投标，即可直接下载本项目磋商文件。</w:t>
      </w:r>
    </w:p>
    <w:p w14:paraId="2A9D6750">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注：根据《关于进一步加强公共资源交易管理持续优化营商环境的通知》（三公管办〔2020〕2号）文件的要求,招标（磋商）文件费用不再收取。</w:t>
      </w:r>
    </w:p>
    <w:p w14:paraId="2DEFE490">
      <w:pPr>
        <w:pStyle w:val="39"/>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rPr>
        <w:t>4、售价：0元。</w:t>
      </w:r>
    </w:p>
    <w:p w14:paraId="14AA707F">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四</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响应文件提交</w:t>
      </w:r>
      <w:r>
        <w:rPr>
          <w:rFonts w:hint="eastAsia" w:ascii="宋体" w:hAnsi="宋体" w:eastAsia="宋体" w:cs="宋体"/>
          <w:color w:val="auto"/>
          <w:kern w:val="0"/>
          <w:sz w:val="24"/>
          <w:szCs w:val="24"/>
          <w:highlight w:val="none"/>
        </w:rPr>
        <w:t>：</w:t>
      </w:r>
    </w:p>
    <w:p w14:paraId="4A8FAC5C">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截止</w:t>
      </w:r>
      <w:r>
        <w:rPr>
          <w:rFonts w:hint="eastAsia" w:ascii="宋体" w:hAnsi="宋体" w:eastAsia="宋体" w:cs="宋体"/>
          <w:color w:val="auto"/>
          <w:kern w:val="0"/>
          <w:sz w:val="24"/>
          <w:szCs w:val="24"/>
          <w:highlight w:val="none"/>
        </w:rPr>
        <w:t>时间：</w:t>
      </w:r>
      <w:r>
        <w:rPr>
          <w:rFonts w:hint="eastAsia" w:ascii="宋体" w:hAnsi="宋体" w:cs="宋体"/>
          <w:color w:val="auto"/>
          <w:kern w:val="0"/>
          <w:sz w:val="24"/>
          <w:szCs w:val="24"/>
          <w:highlight w:val="none"/>
          <w:lang w:eastAsia="zh-CN"/>
        </w:rPr>
        <w:t>2026年1月13日8时20分</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北京时间</w:t>
      </w:r>
      <w:r>
        <w:rPr>
          <w:rFonts w:hint="eastAsia" w:ascii="宋体" w:hAnsi="宋体" w:eastAsia="宋体" w:cs="宋体"/>
          <w:color w:val="auto"/>
          <w:kern w:val="0"/>
          <w:sz w:val="24"/>
          <w:szCs w:val="24"/>
          <w:highlight w:val="none"/>
          <w:lang w:eastAsia="zh-CN"/>
        </w:rPr>
        <w:t>）</w:t>
      </w:r>
    </w:p>
    <w:p w14:paraId="6838B4A9">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2、地点：三门峡市公共资源交易中心网（网址：http://gzjy.smx.gov.cn/</w:t>
      </w:r>
      <w:r>
        <w:rPr>
          <w:rFonts w:hint="eastAsia" w:ascii="宋体" w:hAnsi="宋体" w:eastAsia="宋体" w:cs="宋体"/>
          <w:color w:val="auto"/>
          <w:kern w:val="0"/>
          <w:sz w:val="24"/>
          <w:szCs w:val="24"/>
          <w:highlight w:val="none"/>
          <w:lang w:val="en-US" w:eastAsia="zh-CN"/>
        </w:rPr>
        <w:t>）</w:t>
      </w:r>
    </w:p>
    <w:p w14:paraId="0D64816E">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五</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响应文件开启</w:t>
      </w:r>
      <w:r>
        <w:rPr>
          <w:rFonts w:hint="eastAsia" w:ascii="宋体" w:hAnsi="宋体" w:eastAsia="宋体" w:cs="宋体"/>
          <w:color w:val="auto"/>
          <w:kern w:val="0"/>
          <w:sz w:val="24"/>
          <w:szCs w:val="24"/>
          <w:highlight w:val="none"/>
        </w:rPr>
        <w:t>：</w:t>
      </w:r>
    </w:p>
    <w:p w14:paraId="2B7713D7">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1、时间：</w:t>
      </w:r>
      <w:r>
        <w:rPr>
          <w:rFonts w:hint="eastAsia" w:ascii="宋体" w:hAnsi="宋体" w:cs="宋体"/>
          <w:color w:val="auto"/>
          <w:kern w:val="0"/>
          <w:sz w:val="24"/>
          <w:szCs w:val="24"/>
          <w:highlight w:val="none"/>
          <w:lang w:eastAsia="zh-CN"/>
        </w:rPr>
        <w:t>2026年1月13日8时20分</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北京时间</w:t>
      </w:r>
      <w:r>
        <w:rPr>
          <w:rFonts w:hint="eastAsia" w:ascii="宋体" w:hAnsi="宋体" w:eastAsia="宋体" w:cs="宋体"/>
          <w:color w:val="auto"/>
          <w:kern w:val="0"/>
          <w:sz w:val="24"/>
          <w:szCs w:val="24"/>
          <w:highlight w:val="none"/>
          <w:lang w:eastAsia="zh-CN"/>
        </w:rPr>
        <w:t>）</w:t>
      </w:r>
    </w:p>
    <w:p w14:paraId="2586555B">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2、地点：</w:t>
      </w:r>
      <w:r>
        <w:rPr>
          <w:rFonts w:hint="eastAsia" w:ascii="宋体" w:hAnsi="宋体" w:cs="宋体"/>
          <w:color w:val="auto"/>
          <w:kern w:val="0"/>
          <w:sz w:val="24"/>
          <w:szCs w:val="24"/>
          <w:highlight w:val="none"/>
          <w:lang w:eastAsia="zh-CN"/>
        </w:rPr>
        <w:t>渑池县</w:t>
      </w:r>
      <w:r>
        <w:rPr>
          <w:rFonts w:hint="eastAsia" w:ascii="宋体" w:hAnsi="宋体" w:eastAsia="宋体" w:cs="宋体"/>
          <w:color w:val="auto"/>
          <w:kern w:val="0"/>
          <w:sz w:val="24"/>
          <w:szCs w:val="24"/>
          <w:highlight w:val="none"/>
        </w:rPr>
        <w:t>公共资源交易中心</w:t>
      </w:r>
      <w:r>
        <w:rPr>
          <w:rFonts w:hint="eastAsia" w:ascii="宋体" w:hAnsi="宋体" w:eastAsia="宋体" w:cs="宋体"/>
          <w:color w:val="auto"/>
          <w:kern w:val="0"/>
          <w:sz w:val="24"/>
          <w:szCs w:val="24"/>
          <w:highlight w:val="none"/>
          <w:lang w:val="en-US" w:eastAsia="zh-CN"/>
        </w:rPr>
        <w:t>开标二室</w:t>
      </w:r>
      <w:r>
        <w:rPr>
          <w:rFonts w:hint="eastAsia" w:ascii="宋体" w:hAnsi="宋体" w:eastAsia="宋体" w:cs="宋体"/>
          <w:color w:val="auto"/>
          <w:kern w:val="0"/>
          <w:sz w:val="24"/>
          <w:szCs w:val="24"/>
          <w:highlight w:val="none"/>
        </w:rPr>
        <w:t>（网址：http://gzjy.smx.gov.cn/</w:t>
      </w:r>
      <w:r>
        <w:rPr>
          <w:rFonts w:hint="eastAsia" w:ascii="宋体" w:hAnsi="宋体" w:eastAsia="宋体" w:cs="宋体"/>
          <w:color w:val="auto"/>
          <w:kern w:val="0"/>
          <w:sz w:val="24"/>
          <w:szCs w:val="24"/>
          <w:highlight w:val="none"/>
          <w:lang w:eastAsia="zh-CN"/>
        </w:rPr>
        <w:t>）</w:t>
      </w:r>
    </w:p>
    <w:p w14:paraId="31FA0B0F">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六</w:t>
      </w:r>
      <w:r>
        <w:rPr>
          <w:rFonts w:hint="eastAsia" w:ascii="宋体" w:hAnsi="宋体" w:eastAsia="宋体" w:cs="宋体"/>
          <w:color w:val="auto"/>
          <w:kern w:val="0"/>
          <w:sz w:val="24"/>
          <w:szCs w:val="24"/>
          <w:highlight w:val="none"/>
        </w:rPr>
        <w:t>、发布公告的媒介</w:t>
      </w:r>
      <w:r>
        <w:rPr>
          <w:rFonts w:hint="eastAsia" w:ascii="宋体" w:hAnsi="宋体" w:eastAsia="宋体" w:cs="宋体"/>
          <w:color w:val="auto"/>
          <w:kern w:val="0"/>
          <w:sz w:val="24"/>
          <w:szCs w:val="24"/>
          <w:highlight w:val="none"/>
          <w:lang w:val="en-US" w:eastAsia="zh-CN"/>
        </w:rPr>
        <w:t>及公告期限</w:t>
      </w:r>
      <w:r>
        <w:rPr>
          <w:rFonts w:hint="eastAsia" w:ascii="宋体" w:hAnsi="宋体" w:eastAsia="宋体" w:cs="宋体"/>
          <w:color w:val="auto"/>
          <w:kern w:val="0"/>
          <w:sz w:val="24"/>
          <w:szCs w:val="24"/>
          <w:highlight w:val="none"/>
        </w:rPr>
        <w:t>：</w:t>
      </w:r>
    </w:p>
    <w:p w14:paraId="425D1AD0">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本次竞争性磋商公告同时在《河南省政府采购网》</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中国采购与招标网</w:t>
      </w:r>
      <w:r>
        <w:rPr>
          <w:rFonts w:hint="eastAsia" w:ascii="宋体" w:hAnsi="宋体" w:eastAsia="宋体" w:cs="宋体"/>
          <w:color w:val="auto"/>
          <w:kern w:val="0"/>
          <w:sz w:val="24"/>
          <w:szCs w:val="24"/>
          <w:highlight w:val="none"/>
        </w:rPr>
        <w:t>》、《三门峡市公共资源交易中心网》</w:t>
      </w:r>
      <w:r>
        <w:rPr>
          <w:rFonts w:hint="eastAsia" w:ascii="宋体" w:hAnsi="宋体" w:eastAsia="宋体" w:cs="宋体"/>
          <w:color w:val="auto"/>
          <w:kern w:val="0"/>
          <w:sz w:val="24"/>
          <w:szCs w:val="24"/>
          <w:highlight w:val="none"/>
          <w:lang w:val="en-US" w:eastAsia="zh-CN"/>
        </w:rPr>
        <w:t>上</w:t>
      </w:r>
      <w:r>
        <w:rPr>
          <w:rFonts w:hint="eastAsia" w:ascii="宋体" w:hAnsi="宋体" w:eastAsia="宋体" w:cs="宋体"/>
          <w:color w:val="auto"/>
          <w:kern w:val="0"/>
          <w:sz w:val="24"/>
          <w:szCs w:val="24"/>
          <w:highlight w:val="none"/>
        </w:rPr>
        <w:t>发布</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公告期限为</w:t>
      </w:r>
      <w:r>
        <w:rPr>
          <w:rFonts w:hint="eastAsia" w:ascii="宋体" w:hAnsi="宋体" w:eastAsia="宋体" w:cs="宋体"/>
          <w:color w:val="auto"/>
          <w:kern w:val="0"/>
          <w:sz w:val="24"/>
          <w:szCs w:val="24"/>
          <w:highlight w:val="none"/>
          <w:lang w:val="en-US" w:eastAsia="zh-CN"/>
        </w:rPr>
        <w:t>三</w:t>
      </w:r>
      <w:r>
        <w:rPr>
          <w:rFonts w:hint="eastAsia" w:ascii="宋体" w:hAnsi="宋体" w:eastAsia="宋体" w:cs="宋体"/>
          <w:color w:val="auto"/>
          <w:kern w:val="0"/>
          <w:sz w:val="24"/>
          <w:szCs w:val="24"/>
          <w:highlight w:val="none"/>
        </w:rPr>
        <w:t>个工作日。</w:t>
      </w:r>
    </w:p>
    <w:p w14:paraId="38483913">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七</w:t>
      </w:r>
      <w:r>
        <w:rPr>
          <w:rFonts w:hint="eastAsia" w:ascii="宋体" w:hAnsi="宋体" w:eastAsia="宋体" w:cs="宋体"/>
          <w:color w:val="auto"/>
          <w:kern w:val="0"/>
          <w:sz w:val="24"/>
          <w:szCs w:val="24"/>
          <w:highlight w:val="none"/>
        </w:rPr>
        <w:t>、其他补充事宜</w:t>
      </w:r>
    </w:p>
    <w:p w14:paraId="4C7C3956">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应仔细阅读操作手册，在本公告中要求的截止时间前完成竞争性磋商响应文件的上传工作，并充分考虑人为操作等因素，因</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操作不当造成的无法投标等一切后果，由供应商自行承担。</w:t>
      </w:r>
    </w:p>
    <w:p w14:paraId="3815E047">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2、磋商所发生一切费用由各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自行承担，并承担相应的风险和责任。</w:t>
      </w:r>
    </w:p>
    <w:p w14:paraId="190716CB">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3、本项目不组织</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踏勘现场。</w:t>
      </w:r>
    </w:p>
    <w:p w14:paraId="633384B9">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4、本项目无论中标与否，均不退还响应文件。</w:t>
      </w:r>
    </w:p>
    <w:p w14:paraId="3B73426B">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5、本项目资格评审和业绩以</w:t>
      </w:r>
      <w:r>
        <w:rPr>
          <w:rFonts w:hint="eastAsia" w:ascii="宋体" w:hAnsi="宋体" w:eastAsia="宋体" w:cs="宋体"/>
          <w:color w:val="auto"/>
          <w:kern w:val="0"/>
          <w:sz w:val="24"/>
          <w:szCs w:val="24"/>
          <w:highlight w:val="none"/>
          <w:lang w:eastAsia="zh-CN"/>
        </w:rPr>
        <w:t>响应文件</w:t>
      </w:r>
      <w:r>
        <w:rPr>
          <w:rFonts w:hint="eastAsia" w:ascii="宋体" w:hAnsi="宋体" w:eastAsia="宋体" w:cs="宋体"/>
          <w:color w:val="auto"/>
          <w:kern w:val="0"/>
          <w:sz w:val="24"/>
          <w:szCs w:val="24"/>
          <w:highlight w:val="none"/>
        </w:rPr>
        <w:t>为准，</w:t>
      </w:r>
      <w:r>
        <w:rPr>
          <w:rFonts w:hint="eastAsia" w:ascii="宋体" w:hAnsi="宋体" w:eastAsia="宋体" w:cs="宋体"/>
          <w:color w:val="auto"/>
          <w:kern w:val="0"/>
          <w:sz w:val="24"/>
          <w:szCs w:val="24"/>
          <w:highlight w:val="none"/>
          <w:lang w:eastAsia="zh-CN"/>
        </w:rPr>
        <w:t>响应人</w:t>
      </w:r>
      <w:r>
        <w:rPr>
          <w:rFonts w:hint="eastAsia" w:ascii="宋体" w:hAnsi="宋体" w:eastAsia="宋体" w:cs="宋体"/>
          <w:color w:val="auto"/>
          <w:kern w:val="0"/>
          <w:sz w:val="24"/>
          <w:szCs w:val="24"/>
          <w:highlight w:val="none"/>
        </w:rPr>
        <w:t>可使用电子营业执照。</w:t>
      </w:r>
    </w:p>
    <w:p w14:paraId="4758E374">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（1）资格评（预）审部分：资格评（预）审以</w:t>
      </w:r>
      <w:r>
        <w:rPr>
          <w:rFonts w:hint="eastAsia" w:ascii="宋体" w:hAnsi="宋体" w:eastAsia="宋体" w:cs="宋体"/>
          <w:color w:val="auto"/>
          <w:kern w:val="0"/>
          <w:sz w:val="24"/>
          <w:szCs w:val="24"/>
          <w:highlight w:val="none"/>
          <w:lang w:eastAsia="zh-CN"/>
        </w:rPr>
        <w:t>响应文件</w:t>
      </w:r>
      <w:r>
        <w:rPr>
          <w:rFonts w:hint="eastAsia" w:ascii="宋体" w:hAnsi="宋体" w:eastAsia="宋体" w:cs="宋体"/>
          <w:color w:val="auto"/>
          <w:kern w:val="0"/>
          <w:sz w:val="24"/>
          <w:szCs w:val="24"/>
          <w:highlight w:val="none"/>
        </w:rPr>
        <w:t>为准，其上传资料真实性由</w:t>
      </w:r>
      <w:r>
        <w:rPr>
          <w:rFonts w:hint="eastAsia" w:ascii="宋体" w:hAnsi="宋体" w:eastAsia="宋体" w:cs="宋体"/>
          <w:color w:val="auto"/>
          <w:kern w:val="0"/>
          <w:sz w:val="24"/>
          <w:szCs w:val="24"/>
          <w:highlight w:val="none"/>
          <w:lang w:eastAsia="zh-CN"/>
        </w:rPr>
        <w:t>响应人</w:t>
      </w:r>
      <w:r>
        <w:rPr>
          <w:rFonts w:hint="eastAsia" w:ascii="宋体" w:hAnsi="宋体" w:eastAsia="宋体" w:cs="宋体"/>
          <w:color w:val="auto"/>
          <w:kern w:val="0"/>
          <w:sz w:val="24"/>
          <w:szCs w:val="24"/>
          <w:highlight w:val="none"/>
        </w:rPr>
        <w:t>自行承担，同时，</w:t>
      </w:r>
      <w:r>
        <w:rPr>
          <w:rFonts w:hint="eastAsia" w:ascii="宋体" w:hAnsi="宋体" w:eastAsia="宋体" w:cs="宋体"/>
          <w:color w:val="auto"/>
          <w:kern w:val="0"/>
          <w:sz w:val="24"/>
          <w:szCs w:val="24"/>
          <w:highlight w:val="none"/>
          <w:lang w:eastAsia="zh-CN"/>
        </w:rPr>
        <w:t>响应人</w:t>
      </w:r>
      <w:r>
        <w:rPr>
          <w:rFonts w:hint="eastAsia" w:ascii="宋体" w:hAnsi="宋体" w:eastAsia="宋体" w:cs="宋体"/>
          <w:color w:val="auto"/>
          <w:kern w:val="0"/>
          <w:sz w:val="24"/>
          <w:szCs w:val="24"/>
          <w:highlight w:val="none"/>
        </w:rPr>
        <w:t>要完善主体库。</w:t>
      </w:r>
    </w:p>
    <w:p w14:paraId="6A9289C1">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（2）评标打分部分：评标打分部分仍按照100分制原则进行，涉及到资格审查、企业荣誉、人员业绩、企业业绩等计分部分时，以投标单位自行上传到</w:t>
      </w:r>
      <w:r>
        <w:rPr>
          <w:rFonts w:hint="eastAsia" w:ascii="宋体" w:hAnsi="宋体" w:eastAsia="宋体" w:cs="宋体"/>
          <w:color w:val="auto"/>
          <w:kern w:val="0"/>
          <w:sz w:val="24"/>
          <w:szCs w:val="24"/>
          <w:highlight w:val="none"/>
          <w:lang w:eastAsia="zh-CN"/>
        </w:rPr>
        <w:t>响应文件</w:t>
      </w:r>
      <w:r>
        <w:rPr>
          <w:rFonts w:hint="eastAsia" w:ascii="宋体" w:hAnsi="宋体" w:eastAsia="宋体" w:cs="宋体"/>
          <w:color w:val="auto"/>
          <w:kern w:val="0"/>
          <w:sz w:val="24"/>
          <w:szCs w:val="24"/>
          <w:highlight w:val="none"/>
        </w:rPr>
        <w:t>中的相应内容为准。</w:t>
      </w:r>
    </w:p>
    <w:p w14:paraId="0835EC99">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eastAsia="zh-CN"/>
        </w:rPr>
        <w:t>响应文件</w:t>
      </w:r>
      <w:r>
        <w:rPr>
          <w:rFonts w:hint="eastAsia" w:ascii="宋体" w:hAnsi="宋体" w:eastAsia="宋体" w:cs="宋体"/>
          <w:color w:val="auto"/>
          <w:kern w:val="0"/>
          <w:sz w:val="24"/>
          <w:szCs w:val="24"/>
          <w:highlight w:val="none"/>
        </w:rPr>
        <w:t>编制部分：在</w:t>
      </w:r>
      <w:r>
        <w:rPr>
          <w:rFonts w:hint="eastAsia" w:ascii="宋体" w:hAnsi="宋体" w:eastAsia="宋体" w:cs="宋体"/>
          <w:color w:val="auto"/>
          <w:kern w:val="0"/>
          <w:sz w:val="24"/>
          <w:szCs w:val="24"/>
          <w:highlight w:val="none"/>
          <w:lang w:eastAsia="zh-CN"/>
        </w:rPr>
        <w:t>磋商文件</w:t>
      </w:r>
      <w:r>
        <w:rPr>
          <w:rFonts w:hint="eastAsia" w:ascii="宋体" w:hAnsi="宋体" w:eastAsia="宋体" w:cs="宋体"/>
          <w:color w:val="auto"/>
          <w:kern w:val="0"/>
          <w:sz w:val="24"/>
          <w:szCs w:val="24"/>
          <w:highlight w:val="none"/>
        </w:rPr>
        <w:t>中要求</w:t>
      </w:r>
      <w:r>
        <w:rPr>
          <w:rFonts w:hint="eastAsia" w:ascii="宋体" w:hAnsi="宋体" w:eastAsia="宋体" w:cs="宋体"/>
          <w:color w:val="auto"/>
          <w:kern w:val="0"/>
          <w:sz w:val="24"/>
          <w:szCs w:val="24"/>
          <w:highlight w:val="none"/>
          <w:lang w:eastAsia="zh-CN"/>
        </w:rPr>
        <w:t>响应人</w:t>
      </w:r>
      <w:r>
        <w:rPr>
          <w:rFonts w:hint="eastAsia" w:ascii="宋体" w:hAnsi="宋体" w:eastAsia="宋体" w:cs="宋体"/>
          <w:color w:val="auto"/>
          <w:kern w:val="0"/>
          <w:sz w:val="24"/>
          <w:szCs w:val="24"/>
          <w:highlight w:val="none"/>
        </w:rPr>
        <w:t>按照</w:t>
      </w:r>
      <w:r>
        <w:rPr>
          <w:rFonts w:hint="eastAsia" w:ascii="宋体" w:hAnsi="宋体" w:eastAsia="宋体" w:cs="宋体"/>
          <w:color w:val="auto"/>
          <w:kern w:val="0"/>
          <w:sz w:val="24"/>
          <w:szCs w:val="24"/>
          <w:highlight w:val="none"/>
          <w:lang w:eastAsia="zh-CN"/>
        </w:rPr>
        <w:t>响应文件</w:t>
      </w:r>
      <w:r>
        <w:rPr>
          <w:rFonts w:hint="eastAsia" w:ascii="宋体" w:hAnsi="宋体" w:eastAsia="宋体" w:cs="宋体"/>
          <w:color w:val="auto"/>
          <w:kern w:val="0"/>
          <w:sz w:val="24"/>
          <w:szCs w:val="24"/>
          <w:highlight w:val="none"/>
        </w:rPr>
        <w:t>格式进行</w:t>
      </w:r>
      <w:r>
        <w:rPr>
          <w:rFonts w:hint="eastAsia" w:ascii="宋体" w:hAnsi="宋体" w:eastAsia="宋体" w:cs="宋体"/>
          <w:color w:val="auto"/>
          <w:kern w:val="0"/>
          <w:sz w:val="24"/>
          <w:szCs w:val="24"/>
          <w:highlight w:val="none"/>
          <w:lang w:eastAsia="zh-CN"/>
        </w:rPr>
        <w:t>响应文件</w:t>
      </w:r>
      <w:r>
        <w:rPr>
          <w:rFonts w:hint="eastAsia" w:ascii="宋体" w:hAnsi="宋体" w:eastAsia="宋体" w:cs="宋体"/>
          <w:color w:val="auto"/>
          <w:kern w:val="0"/>
          <w:sz w:val="24"/>
          <w:szCs w:val="24"/>
          <w:highlight w:val="none"/>
        </w:rPr>
        <w:t>编制，在</w:t>
      </w:r>
      <w:r>
        <w:rPr>
          <w:rFonts w:hint="eastAsia" w:ascii="宋体" w:hAnsi="宋体" w:eastAsia="宋体" w:cs="宋体"/>
          <w:color w:val="auto"/>
          <w:kern w:val="0"/>
          <w:sz w:val="24"/>
          <w:szCs w:val="24"/>
          <w:highlight w:val="none"/>
          <w:lang w:eastAsia="zh-CN"/>
        </w:rPr>
        <w:t>响应文件</w:t>
      </w:r>
      <w:r>
        <w:rPr>
          <w:rFonts w:hint="eastAsia" w:ascii="宋体" w:hAnsi="宋体" w:eastAsia="宋体" w:cs="宋体"/>
          <w:color w:val="auto"/>
          <w:kern w:val="0"/>
          <w:sz w:val="24"/>
          <w:szCs w:val="24"/>
          <w:highlight w:val="none"/>
        </w:rPr>
        <w:t>编制时，应明确将投标单位企业基本情况、资质人员情况、财务情况、业绩情况编入</w:t>
      </w:r>
      <w:r>
        <w:rPr>
          <w:rFonts w:hint="eastAsia" w:ascii="宋体" w:hAnsi="宋体" w:eastAsia="宋体" w:cs="宋体"/>
          <w:color w:val="auto"/>
          <w:kern w:val="0"/>
          <w:sz w:val="24"/>
          <w:szCs w:val="24"/>
          <w:highlight w:val="none"/>
          <w:lang w:eastAsia="zh-CN"/>
        </w:rPr>
        <w:t>响应文件</w:t>
      </w:r>
      <w:r>
        <w:rPr>
          <w:rFonts w:hint="eastAsia" w:ascii="宋体" w:hAnsi="宋体" w:eastAsia="宋体" w:cs="宋体"/>
          <w:color w:val="auto"/>
          <w:kern w:val="0"/>
          <w:sz w:val="24"/>
          <w:szCs w:val="24"/>
          <w:highlight w:val="none"/>
        </w:rPr>
        <w:t>，便于进行资格审查及评标打分。</w:t>
      </w:r>
    </w:p>
    <w:p w14:paraId="49DC4690">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温馨提示：本项目为电子化、无纸化交易项目，开标时不再接受任何纸质资料，为保证您能投标成功，请需仔细阅读竞争性磋商文件和三门峡市公共资源交易中心官网业务办理指南。</w:t>
      </w:r>
    </w:p>
    <w:p w14:paraId="294B8123">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480" w:firstLineChars="200"/>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八</w:t>
      </w:r>
      <w:r>
        <w:rPr>
          <w:rFonts w:hint="eastAsia" w:ascii="宋体" w:hAnsi="宋体" w:eastAsia="宋体" w:cs="宋体"/>
          <w:color w:val="auto"/>
          <w:kern w:val="0"/>
          <w:sz w:val="24"/>
          <w:szCs w:val="24"/>
          <w:highlight w:val="none"/>
        </w:rPr>
        <w:t>、凡对本次磋商提出询问，请按照以下方式联系：</w:t>
      </w:r>
    </w:p>
    <w:p w14:paraId="24E6E623">
      <w:pPr>
        <w:spacing w:line="360" w:lineRule="auto"/>
        <w:ind w:firstLine="480" w:firstLineChars="200"/>
        <w:outlineLvl w:val="1"/>
        <w:rPr>
          <w:rFonts w:ascii="宋体" w:hAnsi="宋体"/>
          <w:color w:val="auto"/>
          <w:sz w:val="24"/>
          <w:szCs w:val="24"/>
          <w:highlight w:val="none"/>
        </w:rPr>
      </w:pPr>
      <w:bookmarkStart w:id="3" w:name="_Toc21699"/>
      <w:bookmarkStart w:id="4" w:name="_Toc29003"/>
      <w:r>
        <w:rPr>
          <w:rFonts w:hint="eastAsia" w:ascii="宋体" w:hAnsi="宋体"/>
          <w:color w:val="auto"/>
          <w:sz w:val="24"/>
          <w:szCs w:val="24"/>
          <w:highlight w:val="none"/>
        </w:rPr>
        <w:t>1.采购人信息</w:t>
      </w:r>
      <w:bookmarkEnd w:id="3"/>
      <w:bookmarkEnd w:id="4"/>
    </w:p>
    <w:p w14:paraId="4917A129">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名称：渑池县气象局 </w:t>
      </w:r>
    </w:p>
    <w:p w14:paraId="2A8E7092">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地址：渑池县韶山大道</w:t>
      </w:r>
    </w:p>
    <w:p w14:paraId="3581603D">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联系人：杨先生</w:t>
      </w:r>
    </w:p>
    <w:p w14:paraId="3F55DDC6">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联系电话：15333986629</w:t>
      </w:r>
    </w:p>
    <w:p w14:paraId="5C29D80F">
      <w:pPr>
        <w:spacing w:line="360" w:lineRule="auto"/>
        <w:ind w:firstLine="480" w:firstLineChars="200"/>
        <w:outlineLvl w:val="1"/>
        <w:rPr>
          <w:rFonts w:ascii="宋体" w:hAnsi="宋体"/>
          <w:color w:val="auto"/>
          <w:sz w:val="24"/>
          <w:szCs w:val="24"/>
          <w:highlight w:val="none"/>
        </w:rPr>
      </w:pPr>
      <w:bookmarkStart w:id="5" w:name="_Toc12633"/>
      <w:bookmarkStart w:id="6" w:name="_Toc19774"/>
      <w:r>
        <w:rPr>
          <w:rFonts w:hint="eastAsia" w:ascii="宋体" w:hAnsi="宋体"/>
          <w:color w:val="auto"/>
          <w:sz w:val="24"/>
          <w:szCs w:val="24"/>
          <w:highlight w:val="none"/>
        </w:rPr>
        <w:t>2.采购代理机构信息</w:t>
      </w:r>
      <w:bookmarkEnd w:id="5"/>
      <w:bookmarkEnd w:id="6"/>
    </w:p>
    <w:p w14:paraId="4C529D34">
      <w:pPr>
        <w:spacing w:line="360" w:lineRule="auto"/>
        <w:ind w:firstLine="484" w:firstLineChars="202"/>
        <w:rPr>
          <w:rFonts w:asciiTheme="minorEastAsia" w:hAnsiTheme="minorEastAsia" w:cstheme="minorEastAsia"/>
          <w:color w:val="auto"/>
          <w:sz w:val="24"/>
          <w:szCs w:val="24"/>
          <w:highlight w:val="none"/>
        </w:rPr>
      </w:pPr>
      <w:r>
        <w:rPr>
          <w:rFonts w:hint="eastAsia" w:ascii="宋体" w:hAnsi="宋体" w:cs="宋体"/>
          <w:color w:val="auto"/>
          <w:kern w:val="0"/>
          <w:sz w:val="24"/>
          <w:szCs w:val="24"/>
          <w:highlight w:val="none"/>
        </w:rPr>
        <w:t>代理机构：</w:t>
      </w:r>
      <w:bookmarkStart w:id="7" w:name="_Toc22691"/>
      <w:bookmarkStart w:id="8" w:name="_Toc2293"/>
      <w:r>
        <w:rPr>
          <w:rFonts w:hint="eastAsia" w:asciiTheme="minorEastAsia" w:hAnsiTheme="minorEastAsia" w:cstheme="minorEastAsia"/>
          <w:color w:val="auto"/>
          <w:sz w:val="24"/>
          <w:szCs w:val="24"/>
          <w:highlight w:val="none"/>
        </w:rPr>
        <w:t>崇璟工程管理咨询有限公司</w:t>
      </w:r>
    </w:p>
    <w:p w14:paraId="1865A0FF">
      <w:pPr>
        <w:spacing w:line="360" w:lineRule="auto"/>
        <w:ind w:firstLine="484" w:firstLineChars="202"/>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地址：河南省郑州市金水区鸿苑路61号院东区</w:t>
      </w:r>
    </w:p>
    <w:p w14:paraId="0DDE0698">
      <w:pPr>
        <w:spacing w:line="360" w:lineRule="auto"/>
        <w:ind w:firstLine="484" w:firstLineChars="202"/>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联系人：张先生</w:t>
      </w:r>
    </w:p>
    <w:p w14:paraId="19AFB24A">
      <w:pPr>
        <w:spacing w:line="360" w:lineRule="auto"/>
        <w:ind w:firstLine="484" w:firstLineChars="202"/>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联系电话：18603986110</w:t>
      </w:r>
    </w:p>
    <w:p w14:paraId="045775C9">
      <w:pPr>
        <w:spacing w:line="360" w:lineRule="auto"/>
        <w:ind w:firstLine="480" w:firstLineChars="200"/>
        <w:outlineLvl w:val="1"/>
        <w:rPr>
          <w:rFonts w:ascii="宋体" w:hAnsi="宋体"/>
          <w:color w:val="auto"/>
          <w:sz w:val="24"/>
          <w:szCs w:val="24"/>
          <w:highlight w:val="none"/>
        </w:rPr>
      </w:pPr>
      <w:r>
        <w:rPr>
          <w:rFonts w:hint="eastAsia" w:ascii="宋体" w:hAnsi="宋体"/>
          <w:color w:val="auto"/>
          <w:sz w:val="24"/>
          <w:szCs w:val="24"/>
          <w:highlight w:val="none"/>
        </w:rPr>
        <w:t>3.监督单位信息</w:t>
      </w:r>
      <w:bookmarkEnd w:id="7"/>
      <w:bookmarkEnd w:id="8"/>
    </w:p>
    <w:p w14:paraId="2A4E5CA3">
      <w:pPr>
        <w:widowControl/>
        <w:spacing w:line="480" w:lineRule="atLeast"/>
        <w:ind w:firstLine="480"/>
        <w:jc w:val="left"/>
        <w:rPr>
          <w:rFonts w:ascii="微软雅黑" w:hAnsi="微软雅黑" w:eastAsia="微软雅黑" w:cs="微软雅黑"/>
          <w:color w:val="auto"/>
          <w:szCs w:val="21"/>
          <w:highlight w:val="none"/>
        </w:rPr>
      </w:pPr>
      <w:r>
        <w:rPr>
          <w:rFonts w:hint="eastAsia" w:ascii="宋体" w:hAnsi="宋体" w:cs="宋体"/>
          <w:color w:val="auto"/>
          <w:kern w:val="0"/>
          <w:sz w:val="24"/>
          <w:szCs w:val="24"/>
          <w:highlight w:val="none"/>
        </w:rPr>
        <w:t>监督单位：渑池县政府采购办公室</w:t>
      </w:r>
    </w:p>
    <w:p w14:paraId="1B44B109">
      <w:pPr>
        <w:widowControl/>
        <w:spacing w:line="480" w:lineRule="atLeast"/>
        <w:ind w:firstLine="480"/>
        <w:jc w:val="left"/>
        <w:rPr>
          <w:rFonts w:ascii="微软雅黑" w:hAnsi="微软雅黑" w:eastAsia="微软雅黑" w:cs="微软雅黑"/>
          <w:color w:val="auto"/>
          <w:szCs w:val="21"/>
          <w:highlight w:val="none"/>
        </w:rPr>
      </w:pPr>
      <w:r>
        <w:rPr>
          <w:rFonts w:hint="eastAsia" w:ascii="宋体" w:hAnsi="宋体" w:cs="宋体"/>
          <w:color w:val="auto"/>
          <w:kern w:val="0"/>
          <w:sz w:val="24"/>
          <w:szCs w:val="24"/>
          <w:highlight w:val="none"/>
        </w:rPr>
        <w:t>联系方式：0398-4818677</w:t>
      </w:r>
    </w:p>
    <w:p w14:paraId="66115573">
      <w:pPr>
        <w:keepNext w:val="0"/>
        <w:keepLines w:val="0"/>
        <w:widowControl/>
        <w:suppressLineNumbers w:val="0"/>
        <w:ind w:firstLine="1200" w:firstLineChars="500"/>
        <w:jc w:val="left"/>
        <w:rPr>
          <w:rFonts w:ascii="宋体" w:hAnsi="Times New Roman" w:eastAsia="宋体" w:cs="Times New Roman"/>
          <w:color w:val="auto"/>
          <w:kern w:val="0"/>
          <w:sz w:val="24"/>
          <w:szCs w:val="24"/>
          <w:highlight w:val="none"/>
        </w:rPr>
      </w:pPr>
    </w:p>
    <w:p w14:paraId="487058B0">
      <w:pPr>
        <w:rPr>
          <w:b/>
          <w:color w:val="auto"/>
          <w:sz w:val="32"/>
          <w:highlight w:val="none"/>
        </w:rPr>
      </w:pPr>
      <w:r>
        <w:rPr>
          <w:b/>
          <w:color w:val="auto"/>
          <w:sz w:val="32"/>
          <w:highlight w:val="none"/>
        </w:rPr>
        <w:br w:type="page"/>
      </w:r>
    </w:p>
    <w:p w14:paraId="11347664">
      <w:pPr>
        <w:tabs>
          <w:tab w:val="left" w:pos="1283"/>
        </w:tabs>
        <w:spacing w:before="55"/>
        <w:ind w:left="0" w:right="22" w:firstLine="0"/>
        <w:jc w:val="center"/>
        <w:outlineLvl w:val="0"/>
        <w:rPr>
          <w:b/>
          <w:color w:val="auto"/>
          <w:sz w:val="32"/>
          <w:highlight w:val="none"/>
        </w:rPr>
      </w:pPr>
      <w:bookmarkStart w:id="9" w:name="_Toc28856"/>
      <w:r>
        <w:rPr>
          <w:b/>
          <w:color w:val="auto"/>
          <w:sz w:val="32"/>
          <w:highlight w:val="none"/>
        </w:rPr>
        <w:t>第二章</w:t>
      </w:r>
      <w:r>
        <w:rPr>
          <w:b/>
          <w:color w:val="auto"/>
          <w:sz w:val="32"/>
          <w:highlight w:val="none"/>
        </w:rPr>
        <w:tab/>
      </w:r>
      <w:r>
        <w:rPr>
          <w:b/>
          <w:color w:val="auto"/>
          <w:sz w:val="32"/>
          <w:highlight w:val="none"/>
        </w:rPr>
        <w:t>供应商须知</w:t>
      </w:r>
      <w:bookmarkEnd w:id="9"/>
    </w:p>
    <w:p w14:paraId="73E24EB6">
      <w:pPr>
        <w:pStyle w:val="3"/>
        <w:spacing w:before="210" w:after="3"/>
        <w:ind w:left="755" w:right="776"/>
        <w:jc w:val="center"/>
        <w:rPr>
          <w:b/>
          <w:bCs/>
          <w:color w:val="auto"/>
          <w:sz w:val="28"/>
          <w:szCs w:val="32"/>
          <w:highlight w:val="none"/>
        </w:rPr>
      </w:pPr>
      <w:r>
        <w:rPr>
          <w:b/>
          <w:bCs/>
          <w:color w:val="auto"/>
          <w:sz w:val="28"/>
          <w:szCs w:val="32"/>
          <w:highlight w:val="none"/>
        </w:rPr>
        <w:t>供应商须知前附表</w:t>
      </w:r>
    </w:p>
    <w:tbl>
      <w:tblPr>
        <w:tblStyle w:val="21"/>
        <w:tblW w:w="9584" w:type="dxa"/>
        <w:jc w:val="center"/>
        <w:tblLayout w:type="fixed"/>
        <w:tblCellMar>
          <w:top w:w="0" w:type="dxa"/>
          <w:left w:w="108" w:type="dxa"/>
          <w:bottom w:w="0" w:type="dxa"/>
          <w:right w:w="108" w:type="dxa"/>
        </w:tblCellMar>
      </w:tblPr>
      <w:tblGrid>
        <w:gridCol w:w="1101"/>
        <w:gridCol w:w="1838"/>
        <w:gridCol w:w="6645"/>
      </w:tblGrid>
      <w:tr w14:paraId="4553A187">
        <w:tblPrEx>
          <w:tblCellMar>
            <w:top w:w="0" w:type="dxa"/>
            <w:left w:w="108" w:type="dxa"/>
            <w:bottom w:w="0" w:type="dxa"/>
            <w:right w:w="108" w:type="dxa"/>
          </w:tblCellMar>
        </w:tblPrEx>
        <w:trPr>
          <w:trHeight w:val="462"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63997D75">
            <w:pPr>
              <w:spacing w:line="460" w:lineRule="exact"/>
              <w:jc w:val="center"/>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条款号</w:t>
            </w:r>
          </w:p>
        </w:tc>
        <w:tc>
          <w:tcPr>
            <w:tcW w:w="1838" w:type="dxa"/>
            <w:tcBorders>
              <w:top w:val="single" w:color="auto" w:sz="4" w:space="0"/>
              <w:left w:val="nil"/>
              <w:bottom w:val="single" w:color="auto" w:sz="4" w:space="0"/>
              <w:right w:val="single" w:color="auto" w:sz="4" w:space="0"/>
            </w:tcBorders>
            <w:noWrap w:val="0"/>
            <w:vAlign w:val="center"/>
          </w:tcPr>
          <w:p w14:paraId="2FD69642">
            <w:pPr>
              <w:spacing w:line="460" w:lineRule="exact"/>
              <w:jc w:val="center"/>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条款名称</w:t>
            </w:r>
          </w:p>
        </w:tc>
        <w:tc>
          <w:tcPr>
            <w:tcW w:w="6645" w:type="dxa"/>
            <w:tcBorders>
              <w:top w:val="single" w:color="auto" w:sz="4" w:space="0"/>
              <w:left w:val="nil"/>
              <w:bottom w:val="single" w:color="auto" w:sz="4" w:space="0"/>
              <w:right w:val="single" w:color="auto" w:sz="4" w:space="0"/>
            </w:tcBorders>
            <w:noWrap w:val="0"/>
            <w:vAlign w:val="center"/>
          </w:tcPr>
          <w:p w14:paraId="7F08311D">
            <w:pPr>
              <w:spacing w:line="460" w:lineRule="exact"/>
              <w:jc w:val="center"/>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编列内容</w:t>
            </w:r>
          </w:p>
        </w:tc>
      </w:tr>
      <w:tr w14:paraId="36AE4504">
        <w:tblPrEx>
          <w:tblCellMar>
            <w:top w:w="0" w:type="dxa"/>
            <w:left w:w="108" w:type="dxa"/>
            <w:bottom w:w="0" w:type="dxa"/>
            <w:right w:w="108" w:type="dxa"/>
          </w:tblCellMar>
        </w:tblPrEx>
        <w:trPr>
          <w:trHeight w:val="1652" w:hRule="atLeast"/>
          <w:jc w:val="center"/>
        </w:trPr>
        <w:tc>
          <w:tcPr>
            <w:tcW w:w="1101" w:type="dxa"/>
            <w:tcBorders>
              <w:top w:val="nil"/>
              <w:left w:val="single" w:color="auto" w:sz="4" w:space="0"/>
              <w:bottom w:val="single" w:color="auto" w:sz="4" w:space="0"/>
              <w:right w:val="single" w:color="auto" w:sz="4" w:space="0"/>
            </w:tcBorders>
            <w:noWrap w:val="0"/>
            <w:vAlign w:val="center"/>
          </w:tcPr>
          <w:p w14:paraId="58427F82">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1.1</w:t>
            </w:r>
          </w:p>
        </w:tc>
        <w:tc>
          <w:tcPr>
            <w:tcW w:w="1838" w:type="dxa"/>
            <w:tcBorders>
              <w:top w:val="nil"/>
              <w:left w:val="nil"/>
              <w:bottom w:val="single" w:color="auto" w:sz="4" w:space="0"/>
              <w:right w:val="single" w:color="auto" w:sz="4" w:space="0"/>
            </w:tcBorders>
            <w:noWrap w:val="0"/>
            <w:vAlign w:val="center"/>
          </w:tcPr>
          <w:p w14:paraId="3DB208C3">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采购人</w:t>
            </w:r>
          </w:p>
        </w:tc>
        <w:tc>
          <w:tcPr>
            <w:tcW w:w="6645" w:type="dxa"/>
            <w:tcBorders>
              <w:top w:val="single" w:color="auto" w:sz="4" w:space="0"/>
              <w:left w:val="nil"/>
              <w:bottom w:val="single" w:color="auto" w:sz="4" w:space="0"/>
              <w:right w:val="single" w:color="auto" w:sz="4" w:space="0"/>
            </w:tcBorders>
            <w:noWrap w:val="0"/>
            <w:vAlign w:val="center"/>
          </w:tcPr>
          <w:p w14:paraId="1D9A7223">
            <w:pPr>
              <w:pStyle w:val="40"/>
              <w:spacing w:before="6" w:line="360" w:lineRule="auto"/>
              <w:jc w:val="both"/>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 xml:space="preserve">名称：渑池县气象局 </w:t>
            </w:r>
          </w:p>
          <w:p w14:paraId="377BD6C9">
            <w:pPr>
              <w:pStyle w:val="40"/>
              <w:spacing w:before="6" w:line="360" w:lineRule="auto"/>
              <w:jc w:val="both"/>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地址：渑池县韶山大道</w:t>
            </w:r>
          </w:p>
          <w:p w14:paraId="3F9EE782">
            <w:pPr>
              <w:pStyle w:val="40"/>
              <w:spacing w:before="6" w:line="360" w:lineRule="auto"/>
              <w:jc w:val="both"/>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联系人：杨先生</w:t>
            </w:r>
          </w:p>
          <w:p w14:paraId="75CA33B6">
            <w:pPr>
              <w:pStyle w:val="40"/>
              <w:spacing w:before="6" w:line="360" w:lineRule="auto"/>
              <w:jc w:val="both"/>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联系电话：15333986629</w:t>
            </w:r>
          </w:p>
        </w:tc>
      </w:tr>
      <w:tr w14:paraId="188605A2">
        <w:tblPrEx>
          <w:tblCellMar>
            <w:top w:w="0" w:type="dxa"/>
            <w:left w:w="108" w:type="dxa"/>
            <w:bottom w:w="0" w:type="dxa"/>
            <w:right w:w="108" w:type="dxa"/>
          </w:tblCellMar>
        </w:tblPrEx>
        <w:trPr>
          <w:trHeight w:val="1691" w:hRule="atLeast"/>
          <w:jc w:val="center"/>
        </w:trPr>
        <w:tc>
          <w:tcPr>
            <w:tcW w:w="1101" w:type="dxa"/>
            <w:tcBorders>
              <w:top w:val="nil"/>
              <w:left w:val="single" w:color="auto" w:sz="4" w:space="0"/>
              <w:bottom w:val="single" w:color="auto" w:sz="4" w:space="0"/>
              <w:right w:val="single" w:color="auto" w:sz="4" w:space="0"/>
            </w:tcBorders>
            <w:noWrap w:val="0"/>
            <w:vAlign w:val="center"/>
          </w:tcPr>
          <w:p w14:paraId="6119837E">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1.2</w:t>
            </w:r>
          </w:p>
        </w:tc>
        <w:tc>
          <w:tcPr>
            <w:tcW w:w="1838" w:type="dxa"/>
            <w:tcBorders>
              <w:top w:val="nil"/>
              <w:left w:val="nil"/>
              <w:bottom w:val="single" w:color="auto" w:sz="4" w:space="0"/>
              <w:right w:val="single" w:color="auto" w:sz="4" w:space="0"/>
            </w:tcBorders>
            <w:noWrap w:val="0"/>
            <w:vAlign w:val="center"/>
          </w:tcPr>
          <w:p w14:paraId="50D84EFA">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采购代理机构</w:t>
            </w:r>
          </w:p>
        </w:tc>
        <w:tc>
          <w:tcPr>
            <w:tcW w:w="6645" w:type="dxa"/>
            <w:tcBorders>
              <w:top w:val="single" w:color="auto" w:sz="4" w:space="0"/>
              <w:left w:val="nil"/>
              <w:bottom w:val="single" w:color="auto" w:sz="4" w:space="0"/>
              <w:right w:val="single" w:color="auto" w:sz="4" w:space="0"/>
            </w:tcBorders>
            <w:noWrap w:val="0"/>
            <w:vAlign w:val="center"/>
          </w:tcPr>
          <w:p w14:paraId="399B637D">
            <w:pPr>
              <w:pStyle w:val="40"/>
              <w:spacing w:before="6" w:line="360" w:lineRule="auto"/>
              <w:jc w:val="both"/>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代理机构：崇璟工程管理咨询有限公司</w:t>
            </w:r>
          </w:p>
          <w:p w14:paraId="2F1BFAFB">
            <w:pPr>
              <w:pStyle w:val="40"/>
              <w:spacing w:before="6" w:line="360" w:lineRule="auto"/>
              <w:jc w:val="both"/>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地址：河南省郑州市金水区鸿苑路61号院东区</w:t>
            </w:r>
          </w:p>
          <w:p w14:paraId="759732FA">
            <w:pPr>
              <w:pStyle w:val="40"/>
              <w:spacing w:before="6" w:line="360" w:lineRule="auto"/>
              <w:jc w:val="both"/>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联系人：张先生</w:t>
            </w:r>
          </w:p>
          <w:p w14:paraId="46013E38">
            <w:pPr>
              <w:pStyle w:val="40"/>
              <w:spacing w:before="6" w:line="360" w:lineRule="auto"/>
              <w:jc w:val="both"/>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rPr>
              <w:t>联系电话：18603986110</w:t>
            </w:r>
          </w:p>
        </w:tc>
      </w:tr>
      <w:tr w14:paraId="49CEEA94">
        <w:tblPrEx>
          <w:tblCellMar>
            <w:top w:w="0" w:type="dxa"/>
            <w:left w:w="108" w:type="dxa"/>
            <w:bottom w:w="0" w:type="dxa"/>
            <w:right w:w="108" w:type="dxa"/>
          </w:tblCellMar>
        </w:tblPrEx>
        <w:trPr>
          <w:trHeight w:val="553" w:hRule="atLeast"/>
          <w:jc w:val="center"/>
        </w:trPr>
        <w:tc>
          <w:tcPr>
            <w:tcW w:w="1101" w:type="dxa"/>
            <w:tcBorders>
              <w:top w:val="nil"/>
              <w:left w:val="single" w:color="auto" w:sz="4" w:space="0"/>
              <w:bottom w:val="single" w:color="auto" w:sz="4" w:space="0"/>
              <w:right w:val="single" w:color="auto" w:sz="4" w:space="0"/>
            </w:tcBorders>
            <w:noWrap w:val="0"/>
            <w:vAlign w:val="center"/>
          </w:tcPr>
          <w:p w14:paraId="1108B97E">
            <w:pPr>
              <w:widowControl/>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1.3</w:t>
            </w:r>
          </w:p>
        </w:tc>
        <w:tc>
          <w:tcPr>
            <w:tcW w:w="1838" w:type="dxa"/>
            <w:tcBorders>
              <w:top w:val="nil"/>
              <w:left w:val="nil"/>
              <w:bottom w:val="single" w:color="auto" w:sz="4" w:space="0"/>
              <w:right w:val="single" w:color="auto" w:sz="4" w:space="0"/>
            </w:tcBorders>
            <w:noWrap w:val="0"/>
            <w:vAlign w:val="center"/>
          </w:tcPr>
          <w:p w14:paraId="6D36898C">
            <w:pPr>
              <w:widowControl/>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预算</w:t>
            </w:r>
            <w:r>
              <w:rPr>
                <w:rFonts w:ascii="宋体" w:hAnsi="宋体" w:eastAsia="宋体" w:cs="Times New Roman"/>
                <w:color w:val="auto"/>
                <w:sz w:val="24"/>
                <w:szCs w:val="24"/>
                <w:highlight w:val="none"/>
              </w:rPr>
              <w:t>金额</w:t>
            </w:r>
          </w:p>
        </w:tc>
        <w:tc>
          <w:tcPr>
            <w:tcW w:w="6645" w:type="dxa"/>
            <w:tcBorders>
              <w:top w:val="single" w:color="auto" w:sz="4" w:space="0"/>
              <w:left w:val="nil"/>
              <w:bottom w:val="single" w:color="auto" w:sz="4" w:space="0"/>
              <w:right w:val="single" w:color="auto" w:sz="4" w:space="0"/>
            </w:tcBorders>
            <w:noWrap w:val="0"/>
            <w:vAlign w:val="center"/>
          </w:tcPr>
          <w:p w14:paraId="25DCAA0D">
            <w:pPr>
              <w:spacing w:line="460" w:lineRule="exact"/>
              <w:rPr>
                <w:rFonts w:hint="default" w:ascii="宋体" w:hAnsi="宋体" w:eastAsia="宋体" w:cs="Times New Roman"/>
                <w:color w:val="auto"/>
                <w:sz w:val="24"/>
                <w:szCs w:val="24"/>
                <w:highlight w:val="none"/>
                <w:lang w:val="en-US"/>
              </w:rPr>
            </w:pPr>
            <w:r>
              <w:rPr>
                <w:rFonts w:hint="eastAsia" w:ascii="宋体" w:hAnsi="宋体" w:cs="Times New Roman"/>
                <w:color w:val="auto"/>
                <w:sz w:val="24"/>
                <w:szCs w:val="24"/>
                <w:highlight w:val="none"/>
                <w:lang w:val="en-US" w:eastAsia="zh-CN"/>
              </w:rPr>
              <w:t>1295728.73元</w:t>
            </w:r>
          </w:p>
        </w:tc>
      </w:tr>
      <w:tr w14:paraId="7177D8C0">
        <w:tblPrEx>
          <w:tblCellMar>
            <w:top w:w="0" w:type="dxa"/>
            <w:left w:w="108" w:type="dxa"/>
            <w:bottom w:w="0" w:type="dxa"/>
            <w:right w:w="108" w:type="dxa"/>
          </w:tblCellMar>
        </w:tblPrEx>
        <w:trPr>
          <w:trHeight w:val="663"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6FBEF164">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1.4</w:t>
            </w:r>
          </w:p>
        </w:tc>
        <w:tc>
          <w:tcPr>
            <w:tcW w:w="1838" w:type="dxa"/>
            <w:tcBorders>
              <w:top w:val="single" w:color="auto" w:sz="4" w:space="0"/>
              <w:left w:val="nil"/>
              <w:bottom w:val="single" w:color="auto" w:sz="4" w:space="0"/>
              <w:right w:val="single" w:color="auto" w:sz="4" w:space="0"/>
            </w:tcBorders>
            <w:noWrap w:val="0"/>
            <w:vAlign w:val="center"/>
          </w:tcPr>
          <w:p w14:paraId="4AF911A3">
            <w:pPr>
              <w:spacing w:line="460" w:lineRule="exact"/>
              <w:jc w:val="center"/>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rPr>
              <w:t>项目名称</w:t>
            </w:r>
            <w:r>
              <w:rPr>
                <w:rFonts w:hint="eastAsia" w:ascii="宋体" w:hAnsi="宋体" w:eastAsia="宋体" w:cs="Times New Roman"/>
                <w:color w:val="auto"/>
                <w:sz w:val="24"/>
                <w:szCs w:val="24"/>
                <w:highlight w:val="none"/>
                <w:lang w:val="en-US" w:eastAsia="zh-CN"/>
              </w:rPr>
              <w:t>及项目编号</w:t>
            </w:r>
          </w:p>
        </w:tc>
        <w:tc>
          <w:tcPr>
            <w:tcW w:w="6645" w:type="dxa"/>
            <w:tcBorders>
              <w:top w:val="single" w:color="auto" w:sz="4" w:space="0"/>
              <w:left w:val="nil"/>
              <w:bottom w:val="single" w:color="auto" w:sz="4" w:space="0"/>
              <w:right w:val="single" w:color="auto" w:sz="4" w:space="0"/>
            </w:tcBorders>
            <w:noWrap w:val="0"/>
            <w:vAlign w:val="center"/>
          </w:tcPr>
          <w:p w14:paraId="4948ACAC">
            <w:pPr>
              <w:spacing w:line="460" w:lineRule="exact"/>
              <w:rPr>
                <w:rFonts w:hint="eastAsia"/>
                <w:color w:val="auto"/>
                <w:sz w:val="24"/>
                <w:highlight w:val="none"/>
                <w:lang w:eastAsia="zh-CN"/>
              </w:rPr>
            </w:pPr>
            <w:r>
              <w:rPr>
                <w:rFonts w:hint="eastAsia"/>
                <w:color w:val="auto"/>
                <w:sz w:val="24"/>
                <w:highlight w:val="none"/>
                <w:lang w:val="en-US" w:eastAsia="zh-CN"/>
              </w:rPr>
              <w:t>项目名称：</w:t>
            </w:r>
            <w:r>
              <w:rPr>
                <w:rFonts w:hint="eastAsia" w:ascii="宋体" w:hAnsi="宋体" w:cs="宋体"/>
                <w:color w:val="auto"/>
                <w:sz w:val="24"/>
                <w:highlight w:val="none"/>
                <w:lang w:val="en-US" w:eastAsia="zh-CN"/>
              </w:rPr>
              <w:t>渑池县X波段相控阵天气雷达建设工程</w:t>
            </w:r>
          </w:p>
          <w:p w14:paraId="14941C36">
            <w:pPr>
              <w:spacing w:line="460" w:lineRule="exac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采购编号：</w:t>
            </w:r>
            <w:r>
              <w:rPr>
                <w:rFonts w:hint="eastAsia" w:ascii="宋体" w:hAnsi="宋体" w:cs="宋体"/>
                <w:color w:val="auto"/>
                <w:kern w:val="0"/>
                <w:sz w:val="24"/>
                <w:szCs w:val="24"/>
                <w:highlight w:val="none"/>
                <w:lang w:eastAsia="zh-CN"/>
              </w:rPr>
              <w:t>渑池竞磋采购-2025-187</w:t>
            </w:r>
            <w:r>
              <w:rPr>
                <w:rFonts w:hint="eastAsia" w:ascii="宋体" w:hAnsi="宋体" w:eastAsia="宋体" w:cs="宋体"/>
                <w:color w:val="auto"/>
                <w:kern w:val="0"/>
                <w:sz w:val="24"/>
                <w:szCs w:val="24"/>
                <w:highlight w:val="none"/>
              </w:rPr>
              <w:t>；</w:t>
            </w:r>
          </w:p>
          <w:p w14:paraId="1CFC2AF3">
            <w:pPr>
              <w:spacing w:line="460" w:lineRule="exact"/>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kern w:val="0"/>
                <w:sz w:val="24"/>
                <w:szCs w:val="24"/>
                <w:highlight w:val="none"/>
              </w:rPr>
              <w:t>项目编号：</w:t>
            </w:r>
            <w:r>
              <w:rPr>
                <w:rFonts w:hint="eastAsia" w:ascii="宋体" w:hAnsi="宋体" w:cs="宋体"/>
                <w:color w:val="auto"/>
                <w:kern w:val="0"/>
                <w:sz w:val="24"/>
                <w:szCs w:val="24"/>
                <w:highlight w:val="none"/>
                <w:lang w:eastAsia="zh-CN"/>
              </w:rPr>
              <w:t>MCGZ[2025]312-ZC245</w:t>
            </w:r>
          </w:p>
        </w:tc>
      </w:tr>
      <w:tr w14:paraId="11D34FE3">
        <w:tblPrEx>
          <w:tblCellMar>
            <w:top w:w="0" w:type="dxa"/>
            <w:left w:w="108" w:type="dxa"/>
            <w:bottom w:w="0" w:type="dxa"/>
            <w:right w:w="108" w:type="dxa"/>
          </w:tblCellMar>
        </w:tblPrEx>
        <w:trPr>
          <w:trHeight w:val="663"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03891EB6">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1.5</w:t>
            </w:r>
          </w:p>
        </w:tc>
        <w:tc>
          <w:tcPr>
            <w:tcW w:w="1838" w:type="dxa"/>
            <w:tcBorders>
              <w:top w:val="single" w:color="auto" w:sz="4" w:space="0"/>
              <w:left w:val="nil"/>
              <w:bottom w:val="single" w:color="auto" w:sz="4" w:space="0"/>
              <w:right w:val="single" w:color="auto" w:sz="4" w:space="0"/>
            </w:tcBorders>
            <w:noWrap w:val="0"/>
            <w:vAlign w:val="center"/>
          </w:tcPr>
          <w:p w14:paraId="48E11100">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资金来源及</w:t>
            </w:r>
            <w:r>
              <w:rPr>
                <w:rFonts w:ascii="宋体" w:hAnsi="宋体" w:eastAsia="宋体" w:cs="Times New Roman"/>
                <w:color w:val="auto"/>
                <w:sz w:val="24"/>
                <w:szCs w:val="24"/>
                <w:highlight w:val="none"/>
              </w:rPr>
              <w:t>落实情况</w:t>
            </w:r>
          </w:p>
        </w:tc>
        <w:tc>
          <w:tcPr>
            <w:tcW w:w="6645" w:type="dxa"/>
            <w:tcBorders>
              <w:top w:val="single" w:color="auto" w:sz="4" w:space="0"/>
              <w:left w:val="nil"/>
              <w:bottom w:val="single" w:color="auto" w:sz="4" w:space="0"/>
              <w:right w:val="single" w:color="auto" w:sz="4" w:space="0"/>
            </w:tcBorders>
            <w:noWrap w:val="0"/>
            <w:vAlign w:val="center"/>
          </w:tcPr>
          <w:p w14:paraId="21F13B44">
            <w:pPr>
              <w:spacing w:line="360" w:lineRule="auto"/>
              <w:jc w:val="left"/>
              <w:rPr>
                <w:rFonts w:ascii="宋体" w:hAnsi="宋体" w:eastAsia="宋体" w:cs="Times New Roman"/>
                <w:color w:val="auto"/>
                <w:sz w:val="24"/>
                <w:szCs w:val="24"/>
                <w:highlight w:val="none"/>
              </w:rPr>
            </w:pPr>
            <w:r>
              <w:rPr>
                <w:rFonts w:hint="eastAsia" w:ascii="宋体" w:hAnsi="宋体" w:cs="宋体"/>
                <w:color w:val="auto"/>
                <w:kern w:val="0"/>
                <w:sz w:val="24"/>
                <w:szCs w:val="24"/>
                <w:highlight w:val="none"/>
                <w:lang w:eastAsia="zh-CN"/>
              </w:rPr>
              <w:t>财政资金</w:t>
            </w:r>
            <w:r>
              <w:rPr>
                <w:rFonts w:hint="eastAsia" w:ascii="宋体" w:hAnsi="宋体" w:cs="宋体"/>
                <w:color w:val="auto"/>
                <w:kern w:val="0"/>
                <w:sz w:val="24"/>
                <w:szCs w:val="24"/>
                <w:highlight w:val="none"/>
              </w:rPr>
              <w:t>，已落实</w:t>
            </w:r>
          </w:p>
        </w:tc>
      </w:tr>
      <w:tr w14:paraId="2D505C26">
        <w:tblPrEx>
          <w:tblCellMar>
            <w:top w:w="0" w:type="dxa"/>
            <w:left w:w="108" w:type="dxa"/>
            <w:bottom w:w="0" w:type="dxa"/>
            <w:right w:w="108" w:type="dxa"/>
          </w:tblCellMar>
        </w:tblPrEx>
        <w:trPr>
          <w:trHeight w:val="548"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5BA87954">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6</w:t>
            </w:r>
          </w:p>
        </w:tc>
        <w:tc>
          <w:tcPr>
            <w:tcW w:w="1838" w:type="dxa"/>
            <w:tcBorders>
              <w:top w:val="single" w:color="auto" w:sz="4" w:space="0"/>
              <w:left w:val="nil"/>
              <w:bottom w:val="single" w:color="auto" w:sz="4" w:space="0"/>
              <w:right w:val="single" w:color="auto" w:sz="4" w:space="0"/>
            </w:tcBorders>
            <w:noWrap w:val="0"/>
            <w:vAlign w:val="center"/>
          </w:tcPr>
          <w:p w14:paraId="08AF884F">
            <w:pPr>
              <w:spacing w:line="460" w:lineRule="exact"/>
              <w:jc w:val="center"/>
              <w:rPr>
                <w:rFonts w:ascii="宋体" w:hAnsi="宋体" w:eastAsia="宋体" w:cs="Times New Roman"/>
                <w:color w:val="auto"/>
                <w:sz w:val="24"/>
                <w:szCs w:val="24"/>
                <w:highlight w:val="none"/>
              </w:rPr>
            </w:pPr>
            <w:r>
              <w:rPr>
                <w:rFonts w:hint="eastAsia" w:ascii="宋体" w:hAnsi="宋体" w:cs="Times New Roman"/>
                <w:color w:val="auto"/>
                <w:sz w:val="24"/>
                <w:szCs w:val="24"/>
                <w:highlight w:val="none"/>
                <w:lang w:val="en-US" w:eastAsia="zh-CN"/>
              </w:rPr>
              <w:t>项目</w:t>
            </w:r>
            <w:r>
              <w:rPr>
                <w:rFonts w:hint="eastAsia" w:ascii="宋体" w:hAnsi="宋体" w:eastAsia="宋体" w:cs="Times New Roman"/>
                <w:color w:val="auto"/>
                <w:sz w:val="24"/>
                <w:szCs w:val="24"/>
                <w:highlight w:val="none"/>
              </w:rPr>
              <w:t>地点</w:t>
            </w:r>
          </w:p>
        </w:tc>
        <w:tc>
          <w:tcPr>
            <w:tcW w:w="6645" w:type="dxa"/>
            <w:tcBorders>
              <w:top w:val="single" w:color="auto" w:sz="4" w:space="0"/>
              <w:left w:val="nil"/>
              <w:bottom w:val="single" w:color="auto" w:sz="4" w:space="0"/>
              <w:right w:val="single" w:color="auto" w:sz="4" w:space="0"/>
            </w:tcBorders>
            <w:noWrap w:val="0"/>
            <w:vAlign w:val="center"/>
          </w:tcPr>
          <w:p w14:paraId="255F224A">
            <w:pPr>
              <w:spacing w:line="460" w:lineRule="exact"/>
              <w:rPr>
                <w:rFonts w:hint="default"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渑池县</w:t>
            </w:r>
          </w:p>
        </w:tc>
      </w:tr>
      <w:tr w14:paraId="50B39062">
        <w:tblPrEx>
          <w:tblCellMar>
            <w:top w:w="0" w:type="dxa"/>
            <w:left w:w="108" w:type="dxa"/>
            <w:bottom w:w="0" w:type="dxa"/>
            <w:right w:w="108" w:type="dxa"/>
          </w:tblCellMar>
        </w:tblPrEx>
        <w:trPr>
          <w:trHeight w:val="1398" w:hRule="atLeast"/>
          <w:jc w:val="center"/>
        </w:trPr>
        <w:tc>
          <w:tcPr>
            <w:tcW w:w="1101" w:type="dxa"/>
            <w:tcBorders>
              <w:top w:val="nil"/>
              <w:left w:val="single" w:color="auto" w:sz="4" w:space="0"/>
              <w:bottom w:val="single" w:color="auto" w:sz="4" w:space="0"/>
              <w:right w:val="single" w:color="auto" w:sz="4" w:space="0"/>
            </w:tcBorders>
            <w:noWrap w:val="0"/>
            <w:vAlign w:val="center"/>
          </w:tcPr>
          <w:p w14:paraId="7172ABB0">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7</w:t>
            </w:r>
          </w:p>
        </w:tc>
        <w:tc>
          <w:tcPr>
            <w:tcW w:w="1838" w:type="dxa"/>
            <w:tcBorders>
              <w:top w:val="nil"/>
              <w:left w:val="nil"/>
              <w:bottom w:val="single" w:color="auto" w:sz="4" w:space="0"/>
              <w:right w:val="single" w:color="auto" w:sz="4" w:space="0"/>
            </w:tcBorders>
            <w:noWrap w:val="0"/>
            <w:vAlign w:val="center"/>
          </w:tcPr>
          <w:p w14:paraId="539CE032">
            <w:pPr>
              <w:keepLines/>
              <w:spacing w:line="460" w:lineRule="exact"/>
              <w:jc w:val="center"/>
              <w:rPr>
                <w:rFonts w:hint="eastAsia" w:ascii="宋体" w:hAnsi="宋体" w:eastAsia="宋体" w:cs="Times New Roman"/>
                <w:color w:val="auto"/>
                <w:kern w:val="0"/>
                <w:sz w:val="24"/>
                <w:szCs w:val="24"/>
                <w:highlight w:val="none"/>
                <w:lang w:eastAsia="zh-CN"/>
              </w:rPr>
            </w:pPr>
            <w:r>
              <w:rPr>
                <w:rFonts w:hint="eastAsia" w:ascii="宋体" w:hAnsi="宋体" w:cs="Times New Roman"/>
                <w:color w:val="auto"/>
                <w:kern w:val="0"/>
                <w:sz w:val="24"/>
                <w:szCs w:val="24"/>
                <w:highlight w:val="none"/>
                <w:lang w:eastAsia="zh-CN"/>
              </w:rPr>
              <w:t>工程概况</w:t>
            </w:r>
          </w:p>
        </w:tc>
        <w:tc>
          <w:tcPr>
            <w:tcW w:w="6645" w:type="dxa"/>
            <w:tcBorders>
              <w:top w:val="nil"/>
              <w:left w:val="nil"/>
              <w:bottom w:val="single" w:color="auto" w:sz="4" w:space="0"/>
              <w:right w:val="single" w:color="auto" w:sz="4" w:space="0"/>
            </w:tcBorders>
            <w:noWrap w:val="0"/>
            <w:vAlign w:val="center"/>
          </w:tcPr>
          <w:p w14:paraId="15957B51">
            <w:pPr>
              <w:spacing w:line="460" w:lineRule="exact"/>
              <w:rPr>
                <w:rFonts w:ascii="宋体" w:hAnsi="宋体" w:eastAsia="宋体" w:cs="Times New Roman"/>
                <w:color w:val="auto"/>
                <w:sz w:val="24"/>
                <w:szCs w:val="24"/>
                <w:highlight w:val="none"/>
              </w:rPr>
            </w:pPr>
            <w:r>
              <w:rPr>
                <w:rFonts w:hint="eastAsia" w:ascii="宋体" w:hAnsi="宋体" w:cs="宋体"/>
                <w:color w:val="auto"/>
                <w:kern w:val="0"/>
                <w:sz w:val="24"/>
                <w:szCs w:val="24"/>
                <w:highlight w:val="none"/>
                <w:lang w:val="en-US" w:eastAsia="zh-CN"/>
              </w:rPr>
              <w:t>本项目为</w:t>
            </w:r>
            <w:r>
              <w:rPr>
                <w:rFonts w:hint="eastAsia" w:ascii="宋体" w:hAnsi="宋体" w:cs="宋体"/>
                <w:color w:val="auto"/>
                <w:kern w:val="0"/>
                <w:sz w:val="24"/>
                <w:szCs w:val="24"/>
                <w:highlight w:val="none"/>
                <w:lang w:eastAsia="zh-CN"/>
              </w:rPr>
              <w:t>渑池县X波段相控阵天气雷达建设工程（具体详见竞争性磋商文件第五章）</w:t>
            </w:r>
          </w:p>
        </w:tc>
      </w:tr>
      <w:tr w14:paraId="20B786DC">
        <w:tblPrEx>
          <w:tblCellMar>
            <w:top w:w="0" w:type="dxa"/>
            <w:left w:w="108" w:type="dxa"/>
            <w:bottom w:w="0" w:type="dxa"/>
            <w:right w:w="108" w:type="dxa"/>
          </w:tblCellMar>
        </w:tblPrEx>
        <w:trPr>
          <w:trHeight w:val="78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23E5B2E8">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1.8</w:t>
            </w:r>
          </w:p>
        </w:tc>
        <w:tc>
          <w:tcPr>
            <w:tcW w:w="1838" w:type="dxa"/>
            <w:tcBorders>
              <w:top w:val="single" w:color="auto" w:sz="4" w:space="0"/>
              <w:left w:val="nil"/>
              <w:bottom w:val="single" w:color="auto" w:sz="4" w:space="0"/>
              <w:right w:val="single" w:color="auto" w:sz="4" w:space="0"/>
            </w:tcBorders>
            <w:noWrap w:val="0"/>
            <w:vAlign w:val="center"/>
          </w:tcPr>
          <w:p w14:paraId="404BEA1D">
            <w:pPr>
              <w:keepLines/>
              <w:spacing w:line="460" w:lineRule="exact"/>
              <w:jc w:val="center"/>
              <w:rPr>
                <w:rFonts w:hint="eastAsia" w:ascii="宋体" w:hAnsi="宋体" w:eastAsia="宋体" w:cs="Times New Roman"/>
                <w:color w:val="auto"/>
                <w:kern w:val="0"/>
                <w:sz w:val="24"/>
                <w:szCs w:val="24"/>
                <w:highlight w:val="none"/>
                <w:lang w:eastAsia="zh-CN"/>
              </w:rPr>
            </w:pPr>
            <w:r>
              <w:rPr>
                <w:rFonts w:hint="eastAsia" w:ascii="宋体" w:hAnsi="宋体" w:cs="Times New Roman"/>
                <w:color w:val="auto"/>
                <w:kern w:val="0"/>
                <w:sz w:val="24"/>
                <w:szCs w:val="24"/>
                <w:highlight w:val="none"/>
                <w:lang w:val="en-US" w:eastAsia="zh-CN"/>
              </w:rPr>
              <w:t>计划工期</w:t>
            </w:r>
          </w:p>
        </w:tc>
        <w:tc>
          <w:tcPr>
            <w:tcW w:w="6645" w:type="dxa"/>
            <w:tcBorders>
              <w:top w:val="single" w:color="auto" w:sz="4" w:space="0"/>
              <w:left w:val="nil"/>
              <w:bottom w:val="single" w:color="auto" w:sz="4" w:space="0"/>
              <w:right w:val="single" w:color="auto" w:sz="4" w:space="0"/>
            </w:tcBorders>
            <w:noWrap w:val="0"/>
            <w:vAlign w:val="center"/>
          </w:tcPr>
          <w:p w14:paraId="7F7CE701">
            <w:pPr>
              <w:spacing w:line="460" w:lineRule="exact"/>
              <w:rPr>
                <w:rFonts w:hint="default"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60日历天</w:t>
            </w:r>
          </w:p>
        </w:tc>
      </w:tr>
      <w:tr w14:paraId="38778483">
        <w:tblPrEx>
          <w:tblCellMar>
            <w:top w:w="0" w:type="dxa"/>
            <w:left w:w="108" w:type="dxa"/>
            <w:bottom w:w="0" w:type="dxa"/>
            <w:right w:w="108" w:type="dxa"/>
          </w:tblCellMar>
        </w:tblPrEx>
        <w:trPr>
          <w:trHeight w:val="691"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6213FAE8">
            <w:pPr>
              <w:spacing w:line="460" w:lineRule="exact"/>
              <w:jc w:val="center"/>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1.9</w:t>
            </w:r>
          </w:p>
        </w:tc>
        <w:tc>
          <w:tcPr>
            <w:tcW w:w="1838" w:type="dxa"/>
            <w:tcBorders>
              <w:top w:val="single" w:color="auto" w:sz="4" w:space="0"/>
              <w:left w:val="nil"/>
              <w:bottom w:val="single" w:color="auto" w:sz="4" w:space="0"/>
              <w:right w:val="single" w:color="auto" w:sz="4" w:space="0"/>
            </w:tcBorders>
            <w:noWrap w:val="0"/>
            <w:vAlign w:val="center"/>
          </w:tcPr>
          <w:p w14:paraId="5E3B96F4">
            <w:pPr>
              <w:keepLines/>
              <w:spacing w:line="460" w:lineRule="exact"/>
              <w:jc w:val="center"/>
              <w:rPr>
                <w:rFonts w:ascii="宋体" w:hAnsi="宋体" w:eastAsia="宋体" w:cs="Times New Roman"/>
                <w:color w:val="auto"/>
                <w:sz w:val="24"/>
                <w:szCs w:val="21"/>
                <w:highlight w:val="none"/>
              </w:rPr>
            </w:pPr>
            <w:r>
              <w:rPr>
                <w:rFonts w:hint="eastAsia" w:ascii="宋体" w:hAnsi="宋体" w:eastAsia="宋体" w:cs="Times New Roman"/>
                <w:color w:val="auto"/>
                <w:sz w:val="24"/>
                <w:szCs w:val="21"/>
                <w:highlight w:val="none"/>
              </w:rPr>
              <w:t>质量要求</w:t>
            </w:r>
          </w:p>
        </w:tc>
        <w:tc>
          <w:tcPr>
            <w:tcW w:w="6645" w:type="dxa"/>
            <w:tcBorders>
              <w:top w:val="single" w:color="auto" w:sz="4" w:space="0"/>
              <w:left w:val="nil"/>
              <w:bottom w:val="single" w:color="auto" w:sz="4" w:space="0"/>
              <w:right w:val="single" w:color="auto" w:sz="4" w:space="0"/>
            </w:tcBorders>
            <w:noWrap w:val="0"/>
            <w:vAlign w:val="center"/>
          </w:tcPr>
          <w:p w14:paraId="15F71739">
            <w:pPr>
              <w:keepLines/>
              <w:spacing w:line="460" w:lineRule="exact"/>
              <w:jc w:val="left"/>
              <w:rPr>
                <w:rFonts w:hint="eastAsia" w:ascii="宋体" w:hAnsi="宋体" w:eastAsia="宋体" w:cs="Times New Roman"/>
                <w:color w:val="auto"/>
                <w:sz w:val="24"/>
                <w:szCs w:val="21"/>
                <w:highlight w:val="none"/>
                <w:lang w:val="en-US" w:eastAsia="zh-CN"/>
              </w:rPr>
            </w:pPr>
            <w:r>
              <w:rPr>
                <w:rFonts w:hint="eastAsia" w:ascii="宋体" w:hAnsi="宋体" w:cs="Times New Roman"/>
                <w:color w:val="auto"/>
                <w:sz w:val="24"/>
                <w:szCs w:val="21"/>
                <w:highlight w:val="none"/>
                <w:lang w:eastAsia="zh-CN"/>
              </w:rPr>
              <w:t>合格</w:t>
            </w:r>
          </w:p>
        </w:tc>
      </w:tr>
      <w:tr w14:paraId="7CF52BBF">
        <w:tblPrEx>
          <w:tblCellMar>
            <w:top w:w="0" w:type="dxa"/>
            <w:left w:w="108" w:type="dxa"/>
            <w:bottom w:w="0" w:type="dxa"/>
            <w:right w:w="108" w:type="dxa"/>
          </w:tblCellMar>
        </w:tblPrEx>
        <w:trPr>
          <w:trHeight w:val="90"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19944C5D">
            <w:pPr>
              <w:spacing w:line="460" w:lineRule="exact"/>
              <w:ind w:firstLine="240" w:firstLineChars="100"/>
              <w:rPr>
                <w:rFonts w:hint="eastAsia" w:ascii="宋体" w:hAnsi="宋体" w:eastAsia="宋体" w:cs="Times New Roman"/>
                <w:color w:val="auto"/>
                <w:sz w:val="24"/>
                <w:szCs w:val="24"/>
                <w:highlight w:val="none"/>
                <w:lang w:eastAsia="zh-CN"/>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0</w:t>
            </w:r>
          </w:p>
        </w:tc>
        <w:tc>
          <w:tcPr>
            <w:tcW w:w="1838" w:type="dxa"/>
            <w:tcBorders>
              <w:top w:val="single" w:color="auto" w:sz="4" w:space="0"/>
              <w:left w:val="nil"/>
              <w:bottom w:val="single" w:color="auto" w:sz="4" w:space="0"/>
              <w:right w:val="single" w:color="auto" w:sz="4" w:space="0"/>
            </w:tcBorders>
            <w:noWrap w:val="0"/>
            <w:vAlign w:val="center"/>
          </w:tcPr>
          <w:p w14:paraId="03E1036A">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磋商响应供应商资格要求</w:t>
            </w:r>
          </w:p>
        </w:tc>
        <w:tc>
          <w:tcPr>
            <w:tcW w:w="6645" w:type="dxa"/>
            <w:tcBorders>
              <w:top w:val="single" w:color="auto" w:sz="4" w:space="0"/>
              <w:left w:val="nil"/>
              <w:bottom w:val="single" w:color="auto" w:sz="4" w:space="0"/>
              <w:right w:val="single" w:color="auto" w:sz="4" w:space="0"/>
            </w:tcBorders>
            <w:noWrap w:val="0"/>
            <w:vAlign w:val="center"/>
          </w:tcPr>
          <w:p w14:paraId="1F97D2B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1、满足《中华人民共和国政府采购法》第二十二条规定；</w:t>
            </w:r>
          </w:p>
          <w:p w14:paraId="366DD96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2、落实政府采购政策满足的资格要求：</w:t>
            </w:r>
          </w:p>
          <w:p w14:paraId="6787BAC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eastAsia" w:ascii="宋体" w:hAnsi="宋体" w:cs="宋体"/>
                <w:color w:val="auto"/>
                <w:kern w:val="0"/>
                <w:sz w:val="24"/>
                <w:szCs w:val="24"/>
                <w:highlight w:val="none"/>
                <w:lang w:eastAsia="zh-CN"/>
              </w:rPr>
            </w:pPr>
            <w:r>
              <w:rPr>
                <w:rFonts w:hint="eastAsia" w:ascii="宋体" w:hAnsi="宋体" w:cs="宋体"/>
                <w:color w:val="auto"/>
                <w:kern w:val="0"/>
                <w:sz w:val="24"/>
                <w:szCs w:val="24"/>
                <w:highlight w:val="none"/>
                <w:lang w:eastAsia="zh-CN"/>
              </w:rPr>
              <w:t>根据《政府采购促进中小企业发展管理办法》（财库〔2020〕46号）规定，本项目专门面向中小企业采购,同时供应商须提供《中小企业声明函》；</w:t>
            </w:r>
          </w:p>
          <w:p w14:paraId="574C25B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3、本项目的特定资格要求</w:t>
            </w:r>
          </w:p>
          <w:p w14:paraId="07FAF45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eastAsia="zh-CN"/>
              </w:rPr>
              <w:t>1</w:t>
            </w:r>
            <w:r>
              <w:rPr>
                <w:rFonts w:hint="eastAsia" w:ascii="宋体" w:hAnsi="宋体" w:cs="宋体"/>
                <w:color w:val="auto"/>
                <w:kern w:val="0"/>
                <w:sz w:val="24"/>
                <w:szCs w:val="24"/>
                <w:highlight w:val="none"/>
                <w:lang w:val="en-US" w:eastAsia="zh-CN"/>
              </w:rPr>
              <w:t>供应商具有有效的营业执照</w:t>
            </w:r>
            <w:r>
              <w:rPr>
                <w:rFonts w:hint="eastAsia" w:ascii="宋体" w:hAnsi="宋体" w:eastAsia="宋体" w:cs="宋体"/>
                <w:color w:val="auto"/>
                <w:kern w:val="0"/>
                <w:sz w:val="24"/>
                <w:szCs w:val="24"/>
                <w:highlight w:val="none"/>
                <w:lang w:eastAsia="zh-CN"/>
              </w:rPr>
              <w:t>；</w:t>
            </w:r>
          </w:p>
          <w:p w14:paraId="4CA5DDA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b w:val="0"/>
                <w:i w:val="0"/>
                <w:caps w:val="0"/>
                <w:color w:val="auto"/>
                <w:spacing w:val="0"/>
                <w:w w:val="100"/>
                <w:sz w:val="24"/>
                <w:szCs w:val="24"/>
                <w:highlight w:val="none"/>
                <w:lang w:eastAsia="zh-CN"/>
              </w:rPr>
            </w:pPr>
            <w:r>
              <w:rPr>
                <w:rFonts w:hint="eastAsia" w:ascii="宋体" w:hAnsi="宋体" w:cs="宋体"/>
                <w:b w:val="0"/>
                <w:i w:val="0"/>
                <w:caps w:val="0"/>
                <w:color w:val="auto"/>
                <w:spacing w:val="0"/>
                <w:w w:val="100"/>
                <w:sz w:val="24"/>
                <w:szCs w:val="24"/>
                <w:highlight w:val="none"/>
                <w:lang w:val="en-US" w:eastAsia="zh-CN"/>
              </w:rPr>
              <w:t>3.2</w:t>
            </w:r>
            <w:r>
              <w:rPr>
                <w:rFonts w:hint="eastAsia" w:ascii="宋体" w:hAnsi="宋体" w:cs="宋体"/>
                <w:b w:val="0"/>
                <w:i w:val="0"/>
                <w:caps w:val="0"/>
                <w:color w:val="auto"/>
                <w:spacing w:val="0"/>
                <w:w w:val="100"/>
                <w:sz w:val="24"/>
                <w:szCs w:val="24"/>
                <w:highlight w:val="none"/>
                <w:lang w:eastAsia="zh-CN"/>
              </w:rPr>
              <w:t>供应商具有建筑工程施工总承包叁级及以上资质</w:t>
            </w:r>
            <w:r>
              <w:rPr>
                <w:rFonts w:hint="eastAsia" w:ascii="宋体" w:hAnsi="宋体" w:cs="宋体"/>
                <w:b w:val="0"/>
                <w:i w:val="0"/>
                <w:caps w:val="0"/>
                <w:color w:val="auto"/>
                <w:spacing w:val="0"/>
                <w:w w:val="100"/>
                <w:sz w:val="24"/>
                <w:szCs w:val="24"/>
                <w:highlight w:val="none"/>
                <w:lang w:val="en-US" w:eastAsia="zh-CN"/>
              </w:rPr>
              <w:t>或钢结构工程专业承包贰级</w:t>
            </w:r>
            <w:r>
              <w:rPr>
                <w:rFonts w:hint="eastAsia" w:ascii="宋体" w:hAnsi="宋体" w:eastAsia="宋体" w:cs="宋体"/>
                <w:b w:val="0"/>
                <w:i w:val="0"/>
                <w:caps w:val="0"/>
                <w:color w:val="auto"/>
                <w:spacing w:val="0"/>
                <w:w w:val="100"/>
                <w:sz w:val="24"/>
                <w:szCs w:val="24"/>
                <w:highlight w:val="none"/>
                <w:lang w:eastAsia="zh-CN"/>
              </w:rPr>
              <w:t>及以上资质</w:t>
            </w:r>
            <w:r>
              <w:rPr>
                <w:rFonts w:hint="eastAsia" w:ascii="宋体" w:hAnsi="宋体" w:cs="宋体"/>
                <w:b w:val="0"/>
                <w:i w:val="0"/>
                <w:caps w:val="0"/>
                <w:color w:val="auto"/>
                <w:spacing w:val="0"/>
                <w:w w:val="100"/>
                <w:sz w:val="24"/>
                <w:szCs w:val="24"/>
                <w:highlight w:val="none"/>
                <w:lang w:eastAsia="zh-CN"/>
              </w:rPr>
              <w:t>，具有有效的安全生产许可证；并在人员、设备、资金等方面具有相应的施工能力。</w:t>
            </w:r>
          </w:p>
          <w:p w14:paraId="1753E42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b w:val="0"/>
                <w:i w:val="0"/>
                <w:caps w:val="0"/>
                <w:color w:val="auto"/>
                <w:spacing w:val="0"/>
                <w:w w:val="100"/>
                <w:sz w:val="24"/>
                <w:szCs w:val="24"/>
                <w:highlight w:val="none"/>
                <w:lang w:eastAsia="zh-CN"/>
              </w:rPr>
            </w:pPr>
            <w:r>
              <w:rPr>
                <w:rFonts w:hint="eastAsia" w:ascii="宋体" w:hAnsi="宋体" w:cs="宋体"/>
                <w:b w:val="0"/>
                <w:i w:val="0"/>
                <w:caps w:val="0"/>
                <w:color w:val="auto"/>
                <w:spacing w:val="0"/>
                <w:w w:val="100"/>
                <w:sz w:val="24"/>
                <w:szCs w:val="24"/>
                <w:highlight w:val="none"/>
                <w:lang w:eastAsia="zh-CN"/>
              </w:rPr>
              <w:t>3</w:t>
            </w:r>
            <w:r>
              <w:rPr>
                <w:rFonts w:hint="eastAsia" w:ascii="宋体" w:hAnsi="宋体" w:cs="宋体"/>
                <w:b w:val="0"/>
                <w:i w:val="0"/>
                <w:caps w:val="0"/>
                <w:color w:val="auto"/>
                <w:spacing w:val="0"/>
                <w:w w:val="100"/>
                <w:sz w:val="24"/>
                <w:szCs w:val="24"/>
                <w:highlight w:val="none"/>
                <w:lang w:val="en-US" w:eastAsia="zh-CN"/>
              </w:rPr>
              <w:t>.3</w:t>
            </w:r>
            <w:r>
              <w:rPr>
                <w:rFonts w:hint="eastAsia" w:ascii="宋体" w:hAnsi="宋体" w:cs="宋体"/>
                <w:b w:val="0"/>
                <w:i w:val="0"/>
                <w:caps w:val="0"/>
                <w:color w:val="auto"/>
                <w:spacing w:val="0"/>
                <w:w w:val="100"/>
                <w:sz w:val="24"/>
                <w:szCs w:val="24"/>
                <w:highlight w:val="none"/>
                <w:lang w:eastAsia="zh-CN"/>
              </w:rPr>
              <w:t>拟派项目经理须具备相关专业贰级及以上注册建造师资格，具备有效的安全生产考核合格证书，</w:t>
            </w:r>
            <w:r>
              <w:rPr>
                <w:rFonts w:hint="eastAsia" w:ascii="宋体" w:hAnsi="宋体" w:cs="宋体"/>
                <w:b w:val="0"/>
                <w:i w:val="0"/>
                <w:caps w:val="0"/>
                <w:color w:val="auto"/>
                <w:spacing w:val="0"/>
                <w:w w:val="100"/>
                <w:sz w:val="24"/>
                <w:szCs w:val="24"/>
                <w:highlight w:val="none"/>
                <w:lang w:val="en-US" w:eastAsia="zh-CN"/>
              </w:rPr>
              <w:t>提供</w:t>
            </w:r>
            <w:r>
              <w:rPr>
                <w:rFonts w:hint="eastAsia" w:ascii="宋体" w:hAnsi="宋体" w:cs="宋体"/>
                <w:b w:val="0"/>
                <w:i w:val="0"/>
                <w:caps w:val="0"/>
                <w:color w:val="auto"/>
                <w:spacing w:val="0"/>
                <w:w w:val="100"/>
                <w:sz w:val="24"/>
                <w:szCs w:val="24"/>
                <w:highlight w:val="none"/>
                <w:lang w:eastAsia="zh-CN"/>
              </w:rPr>
              <w:t>养老保险缴纳证明且未在其他在建工程项目中担任项目经理；</w:t>
            </w:r>
          </w:p>
          <w:p w14:paraId="00631C5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3.4供应商</w:t>
            </w:r>
            <w:r>
              <w:rPr>
                <w:rFonts w:hint="eastAsia" w:ascii="宋体" w:hAnsi="宋体" w:eastAsia="宋体" w:cs="宋体"/>
                <w:color w:val="auto"/>
                <w:kern w:val="0"/>
                <w:sz w:val="24"/>
                <w:szCs w:val="24"/>
                <w:highlight w:val="none"/>
                <w:lang w:eastAsia="zh-CN"/>
              </w:rPr>
              <w:t>自行出具本单位无商业贿赂及无不正当竞争行为的承诺书；</w:t>
            </w:r>
          </w:p>
          <w:p w14:paraId="60AC37A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3.5</w:t>
            </w:r>
            <w:r>
              <w:rPr>
                <w:rFonts w:hint="eastAsia" w:ascii="宋体" w:hAnsi="宋体" w:eastAsia="宋体" w:cs="宋体"/>
                <w:color w:val="auto"/>
                <w:kern w:val="0"/>
                <w:sz w:val="24"/>
                <w:szCs w:val="24"/>
                <w:highlight w:val="none"/>
                <w:lang w:val="en-US" w:eastAsia="zh-CN"/>
              </w:rPr>
              <w:t>未列入“中国执行信息公开网”http://zxgk.court.gov.cn/shixin网站的“失信被执行人”名单、“信用中国”www.creditchina.gov.cn网站的“重大税收违法失信主体”及“中国政府采购网”www.ccgp.gov.cn网站的“政府采购严重违法失信行为记录名单”；（提供“中国执行信息公开网”、“信用中国”和“中国政府采购网”网站的查询信息截图，加盖单位公章，截图需显示查询时间，查询时间：自公告发布之日起至投标截止时间前）；</w:t>
            </w:r>
          </w:p>
          <w:p w14:paraId="6CA5412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3.6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日期为本项目公告发布之后至开标截止时间止））；</w:t>
            </w:r>
          </w:p>
          <w:p w14:paraId="6B626DA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3.7本项目不接受联合体投标，提供非联合体投标承诺，格式自拟。</w:t>
            </w:r>
          </w:p>
          <w:p w14:paraId="62F674E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b/>
                <w:color w:val="auto"/>
                <w:kern w:val="1"/>
                <w:sz w:val="24"/>
                <w:szCs w:val="28"/>
                <w:highlight w:val="none"/>
                <w:lang w:eastAsia="zh-CN"/>
              </w:rPr>
            </w:pPr>
            <w:r>
              <w:rPr>
                <w:rFonts w:hint="eastAsia" w:ascii="宋体" w:hAnsi="宋体" w:cs="宋体"/>
                <w:color w:val="auto"/>
                <w:kern w:val="0"/>
                <w:sz w:val="24"/>
                <w:szCs w:val="24"/>
                <w:highlight w:val="none"/>
                <w:lang w:val="en-US" w:eastAsia="zh-CN"/>
              </w:rPr>
              <w:t>注：</w:t>
            </w:r>
            <w:r>
              <w:rPr>
                <w:rFonts w:hint="eastAsia" w:ascii="宋体" w:hAnsi="宋体" w:cs="宋体"/>
                <w:color w:val="auto"/>
                <w:kern w:val="0"/>
                <w:sz w:val="24"/>
                <w:szCs w:val="24"/>
                <w:highlight w:val="none"/>
              </w:rPr>
              <w:t>本项目实行资格后审，资格审查的具体要求见竞争性磋商文件。</w:t>
            </w:r>
          </w:p>
        </w:tc>
      </w:tr>
      <w:tr w14:paraId="29CABA1F">
        <w:tblPrEx>
          <w:tblCellMar>
            <w:top w:w="0" w:type="dxa"/>
            <w:left w:w="108" w:type="dxa"/>
            <w:bottom w:w="0" w:type="dxa"/>
            <w:right w:w="108" w:type="dxa"/>
          </w:tblCellMar>
        </w:tblPrEx>
        <w:trPr>
          <w:trHeight w:val="1121"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070B5408">
            <w:pPr>
              <w:spacing w:line="460" w:lineRule="exact"/>
              <w:jc w:val="center"/>
              <w:rPr>
                <w:rFonts w:hint="eastAsia" w:ascii="宋体" w:hAnsi="宋体" w:eastAsia="宋体" w:cs="Times New Roman"/>
                <w:color w:val="auto"/>
                <w:sz w:val="24"/>
                <w:szCs w:val="24"/>
                <w:highlight w:val="none"/>
                <w:lang w:eastAsia="zh-CN"/>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1</w:t>
            </w:r>
          </w:p>
        </w:tc>
        <w:tc>
          <w:tcPr>
            <w:tcW w:w="1838" w:type="dxa"/>
            <w:tcBorders>
              <w:top w:val="single" w:color="auto" w:sz="4" w:space="0"/>
              <w:left w:val="nil"/>
              <w:bottom w:val="single" w:color="auto" w:sz="4" w:space="0"/>
              <w:right w:val="single" w:color="auto" w:sz="4" w:space="0"/>
            </w:tcBorders>
            <w:noWrap w:val="0"/>
            <w:vAlign w:val="center"/>
          </w:tcPr>
          <w:p w14:paraId="69256D4D">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磋商响应供应商提出问题的截止时间</w:t>
            </w:r>
          </w:p>
        </w:tc>
        <w:tc>
          <w:tcPr>
            <w:tcW w:w="6645" w:type="dxa"/>
            <w:tcBorders>
              <w:top w:val="single" w:color="auto" w:sz="4" w:space="0"/>
              <w:left w:val="nil"/>
              <w:bottom w:val="single" w:color="auto" w:sz="4" w:space="0"/>
              <w:right w:val="single" w:color="auto" w:sz="4" w:space="0"/>
            </w:tcBorders>
            <w:noWrap w:val="0"/>
            <w:vAlign w:val="center"/>
          </w:tcPr>
          <w:p w14:paraId="1A4F5732">
            <w:pPr>
              <w:spacing w:line="46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递交磋商响应文件截止之日</w:t>
            </w:r>
            <w:r>
              <w:rPr>
                <w:rFonts w:ascii="宋体" w:hAnsi="宋体" w:eastAsia="宋体" w:cs="Times New Roman"/>
                <w:color w:val="auto"/>
                <w:sz w:val="24"/>
                <w:szCs w:val="24"/>
                <w:highlight w:val="none"/>
              </w:rPr>
              <w:t>5</w:t>
            </w:r>
            <w:r>
              <w:rPr>
                <w:rFonts w:hint="eastAsia" w:ascii="宋体" w:hAnsi="宋体" w:eastAsia="宋体" w:cs="Times New Roman"/>
                <w:color w:val="auto"/>
                <w:sz w:val="24"/>
                <w:szCs w:val="24"/>
                <w:highlight w:val="none"/>
              </w:rPr>
              <w:t>日前</w:t>
            </w:r>
          </w:p>
        </w:tc>
      </w:tr>
      <w:tr w14:paraId="20852F05">
        <w:tblPrEx>
          <w:tblCellMar>
            <w:top w:w="0" w:type="dxa"/>
            <w:left w:w="108" w:type="dxa"/>
            <w:bottom w:w="0" w:type="dxa"/>
            <w:right w:w="108" w:type="dxa"/>
          </w:tblCellMar>
        </w:tblPrEx>
        <w:trPr>
          <w:trHeight w:val="1081" w:hRule="atLeast"/>
          <w:jc w:val="center"/>
        </w:trPr>
        <w:tc>
          <w:tcPr>
            <w:tcW w:w="1101" w:type="dxa"/>
            <w:tcBorders>
              <w:top w:val="nil"/>
              <w:left w:val="single" w:color="auto" w:sz="4" w:space="0"/>
              <w:bottom w:val="single" w:color="auto" w:sz="4" w:space="0"/>
              <w:right w:val="single" w:color="auto" w:sz="4" w:space="0"/>
            </w:tcBorders>
            <w:noWrap w:val="0"/>
            <w:vAlign w:val="center"/>
          </w:tcPr>
          <w:p w14:paraId="4FEACE65">
            <w:pPr>
              <w:spacing w:line="460" w:lineRule="exact"/>
              <w:jc w:val="center"/>
              <w:rPr>
                <w:rFonts w:hint="eastAsia" w:ascii="宋体" w:hAnsi="宋体" w:eastAsia="宋体" w:cs="Times New Roman"/>
                <w:color w:val="auto"/>
                <w:sz w:val="24"/>
                <w:szCs w:val="24"/>
                <w:highlight w:val="none"/>
                <w:lang w:eastAsia="zh-CN"/>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.2</w:t>
            </w:r>
          </w:p>
        </w:tc>
        <w:tc>
          <w:tcPr>
            <w:tcW w:w="1838" w:type="dxa"/>
            <w:tcBorders>
              <w:top w:val="nil"/>
              <w:left w:val="nil"/>
              <w:bottom w:val="single" w:color="auto" w:sz="4" w:space="0"/>
              <w:right w:val="single" w:color="auto" w:sz="4" w:space="0"/>
            </w:tcBorders>
            <w:noWrap w:val="0"/>
            <w:vAlign w:val="center"/>
          </w:tcPr>
          <w:p w14:paraId="27ED20D8">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采购人书面</w:t>
            </w:r>
          </w:p>
          <w:p w14:paraId="06616C54">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澄清的时间</w:t>
            </w:r>
          </w:p>
        </w:tc>
        <w:tc>
          <w:tcPr>
            <w:tcW w:w="6645" w:type="dxa"/>
            <w:tcBorders>
              <w:top w:val="nil"/>
              <w:left w:val="nil"/>
              <w:bottom w:val="single" w:color="auto" w:sz="4" w:space="0"/>
              <w:right w:val="single" w:color="auto" w:sz="4" w:space="0"/>
            </w:tcBorders>
            <w:noWrap w:val="0"/>
            <w:vAlign w:val="center"/>
          </w:tcPr>
          <w:p w14:paraId="3E7EFB76">
            <w:pPr>
              <w:spacing w:line="46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递交磋商响应文件截止之日</w:t>
            </w:r>
            <w:r>
              <w:rPr>
                <w:rFonts w:ascii="宋体" w:hAnsi="宋体" w:eastAsia="宋体" w:cs="Times New Roman"/>
                <w:color w:val="auto"/>
                <w:sz w:val="24"/>
                <w:szCs w:val="24"/>
                <w:highlight w:val="none"/>
              </w:rPr>
              <w:t>5</w:t>
            </w:r>
            <w:r>
              <w:rPr>
                <w:rFonts w:hint="eastAsia" w:ascii="宋体" w:hAnsi="宋体" w:eastAsia="宋体" w:cs="Times New Roman"/>
                <w:color w:val="auto"/>
                <w:sz w:val="24"/>
                <w:szCs w:val="24"/>
                <w:highlight w:val="none"/>
              </w:rPr>
              <w:t>日前</w:t>
            </w:r>
          </w:p>
        </w:tc>
      </w:tr>
      <w:tr w14:paraId="54DA9112">
        <w:tblPrEx>
          <w:tblCellMar>
            <w:top w:w="0" w:type="dxa"/>
            <w:left w:w="108" w:type="dxa"/>
            <w:bottom w:w="0" w:type="dxa"/>
            <w:right w:w="108" w:type="dxa"/>
          </w:tblCellMar>
        </w:tblPrEx>
        <w:trPr>
          <w:trHeight w:val="47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1CB40CF5">
            <w:pPr>
              <w:spacing w:line="460" w:lineRule="exact"/>
              <w:jc w:val="center"/>
              <w:rPr>
                <w:rFonts w:hint="eastAsia" w:ascii="宋体" w:hAnsi="宋体" w:eastAsia="宋体" w:cs="Times New Roman"/>
                <w:color w:val="auto"/>
                <w:sz w:val="24"/>
                <w:szCs w:val="24"/>
                <w:highlight w:val="none"/>
                <w:lang w:eastAsia="zh-CN"/>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2</w:t>
            </w:r>
          </w:p>
        </w:tc>
        <w:tc>
          <w:tcPr>
            <w:tcW w:w="1838" w:type="dxa"/>
            <w:tcBorders>
              <w:top w:val="single" w:color="auto" w:sz="4" w:space="0"/>
              <w:left w:val="nil"/>
              <w:bottom w:val="single" w:color="auto" w:sz="4" w:space="0"/>
              <w:right w:val="single" w:color="auto" w:sz="4" w:space="0"/>
            </w:tcBorders>
            <w:noWrap w:val="0"/>
            <w:vAlign w:val="center"/>
          </w:tcPr>
          <w:p w14:paraId="1902D307">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磋商截止时间</w:t>
            </w:r>
          </w:p>
        </w:tc>
        <w:tc>
          <w:tcPr>
            <w:tcW w:w="6645" w:type="dxa"/>
            <w:tcBorders>
              <w:top w:val="single" w:color="auto" w:sz="4" w:space="0"/>
              <w:left w:val="nil"/>
              <w:bottom w:val="single" w:color="auto" w:sz="4" w:space="0"/>
              <w:right w:val="single" w:color="auto" w:sz="4" w:space="0"/>
            </w:tcBorders>
            <w:noWrap w:val="0"/>
            <w:vAlign w:val="center"/>
          </w:tcPr>
          <w:p w14:paraId="305315FE">
            <w:pPr>
              <w:spacing w:line="460" w:lineRule="exact"/>
              <w:rPr>
                <w:rFonts w:ascii="宋体" w:hAnsi="宋体" w:eastAsia="宋体" w:cs="Times New Roman"/>
                <w:color w:val="auto"/>
                <w:sz w:val="24"/>
                <w:szCs w:val="24"/>
                <w:highlight w:val="none"/>
              </w:rPr>
            </w:pPr>
            <w:r>
              <w:rPr>
                <w:rFonts w:hint="eastAsia" w:ascii="宋体" w:hAnsi="宋体" w:cs="Times New Roman"/>
                <w:color w:val="auto"/>
                <w:sz w:val="24"/>
                <w:szCs w:val="28"/>
                <w:highlight w:val="none"/>
                <w:lang w:eastAsia="zh-CN"/>
              </w:rPr>
              <w:t>2026年1月13日8时20分</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北京时间</w:t>
            </w:r>
            <w:r>
              <w:rPr>
                <w:rFonts w:hint="eastAsia" w:ascii="宋体" w:hAnsi="宋体" w:cs="宋体"/>
                <w:color w:val="auto"/>
                <w:kern w:val="0"/>
                <w:sz w:val="24"/>
                <w:szCs w:val="24"/>
                <w:highlight w:val="none"/>
                <w:lang w:eastAsia="zh-CN"/>
              </w:rPr>
              <w:t>）</w:t>
            </w:r>
          </w:p>
        </w:tc>
      </w:tr>
      <w:tr w14:paraId="4C427944">
        <w:tblPrEx>
          <w:tblCellMar>
            <w:top w:w="0" w:type="dxa"/>
            <w:left w:w="108" w:type="dxa"/>
            <w:bottom w:w="0" w:type="dxa"/>
            <w:right w:w="108" w:type="dxa"/>
          </w:tblCellMar>
        </w:tblPrEx>
        <w:trPr>
          <w:trHeight w:val="55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1133135D">
            <w:pPr>
              <w:spacing w:line="460" w:lineRule="exact"/>
              <w:jc w:val="center"/>
              <w:rPr>
                <w:rFonts w:hint="eastAsia" w:ascii="宋体" w:hAnsi="宋体" w:eastAsia="宋体" w:cs="Times New Roman"/>
                <w:color w:val="auto"/>
                <w:sz w:val="24"/>
                <w:szCs w:val="24"/>
                <w:highlight w:val="none"/>
                <w:lang w:eastAsia="zh-CN"/>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3</w:t>
            </w:r>
          </w:p>
        </w:tc>
        <w:tc>
          <w:tcPr>
            <w:tcW w:w="1838" w:type="dxa"/>
            <w:tcBorders>
              <w:top w:val="single" w:color="auto" w:sz="4" w:space="0"/>
              <w:left w:val="nil"/>
              <w:bottom w:val="single" w:color="auto" w:sz="4" w:space="0"/>
              <w:right w:val="single" w:color="auto" w:sz="4" w:space="0"/>
            </w:tcBorders>
            <w:noWrap w:val="0"/>
            <w:vAlign w:val="center"/>
          </w:tcPr>
          <w:p w14:paraId="4CEB64C6">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磋商有效期</w:t>
            </w:r>
          </w:p>
        </w:tc>
        <w:tc>
          <w:tcPr>
            <w:tcW w:w="6645" w:type="dxa"/>
            <w:tcBorders>
              <w:top w:val="single" w:color="auto" w:sz="4" w:space="0"/>
              <w:left w:val="nil"/>
              <w:bottom w:val="single" w:color="auto" w:sz="4" w:space="0"/>
              <w:right w:val="single" w:color="auto" w:sz="4" w:space="0"/>
            </w:tcBorders>
            <w:noWrap w:val="0"/>
            <w:vAlign w:val="center"/>
          </w:tcPr>
          <w:p w14:paraId="27F77203">
            <w:pPr>
              <w:spacing w:line="46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60日历天（从投标截止之日算起）</w:t>
            </w:r>
          </w:p>
        </w:tc>
      </w:tr>
      <w:tr w14:paraId="37A17B5E">
        <w:tblPrEx>
          <w:tblCellMar>
            <w:top w:w="0" w:type="dxa"/>
            <w:left w:w="108" w:type="dxa"/>
            <w:bottom w:w="0" w:type="dxa"/>
            <w:right w:w="108" w:type="dxa"/>
          </w:tblCellMar>
        </w:tblPrEx>
        <w:trPr>
          <w:trHeight w:val="55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25D9F75F">
            <w:pPr>
              <w:spacing w:line="460" w:lineRule="exact"/>
              <w:jc w:val="center"/>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4</w:t>
            </w:r>
          </w:p>
        </w:tc>
        <w:tc>
          <w:tcPr>
            <w:tcW w:w="1838" w:type="dxa"/>
            <w:tcBorders>
              <w:top w:val="single" w:color="auto" w:sz="4" w:space="0"/>
              <w:left w:val="nil"/>
              <w:bottom w:val="single" w:color="auto" w:sz="4" w:space="0"/>
              <w:right w:val="single" w:color="auto" w:sz="4" w:space="0"/>
            </w:tcBorders>
            <w:noWrap w:val="0"/>
            <w:vAlign w:val="center"/>
          </w:tcPr>
          <w:p w14:paraId="01850508">
            <w:pPr>
              <w:widowControl/>
              <w:spacing w:line="460" w:lineRule="exact"/>
              <w:jc w:val="center"/>
              <w:rPr>
                <w:rFonts w:ascii="宋体" w:hAnsi="宋体" w:eastAsia="宋体" w:cs="宋体"/>
                <w:color w:val="auto"/>
                <w:kern w:val="0"/>
                <w:sz w:val="24"/>
                <w:szCs w:val="24"/>
                <w:highlight w:val="none"/>
              </w:rPr>
            </w:pPr>
            <w:r>
              <w:rPr>
                <w:rFonts w:hint="eastAsia" w:ascii="宋体" w:hAnsi="宋体" w:eastAsia="宋体" w:cs="宋体"/>
                <w:color w:val="auto"/>
                <w:kern w:val="44"/>
                <w:sz w:val="24"/>
                <w:szCs w:val="24"/>
                <w:highlight w:val="none"/>
              </w:rPr>
              <w:t>磋商保证金</w:t>
            </w:r>
          </w:p>
        </w:tc>
        <w:tc>
          <w:tcPr>
            <w:tcW w:w="6645" w:type="dxa"/>
            <w:tcBorders>
              <w:top w:val="single" w:color="auto" w:sz="4" w:space="0"/>
              <w:left w:val="nil"/>
              <w:bottom w:val="single" w:color="auto" w:sz="4" w:space="0"/>
              <w:right w:val="single" w:color="auto" w:sz="4" w:space="0"/>
            </w:tcBorders>
            <w:noWrap w:val="0"/>
            <w:vAlign w:val="center"/>
          </w:tcPr>
          <w:p w14:paraId="237C831D">
            <w:pPr>
              <w:widowControl/>
              <w:spacing w:line="460" w:lineRule="exact"/>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不收取</w:t>
            </w:r>
          </w:p>
        </w:tc>
      </w:tr>
      <w:tr w14:paraId="428DFE7E">
        <w:tblPrEx>
          <w:tblCellMar>
            <w:top w:w="0" w:type="dxa"/>
            <w:left w:w="108" w:type="dxa"/>
            <w:bottom w:w="0" w:type="dxa"/>
            <w:right w:w="108" w:type="dxa"/>
          </w:tblCellMar>
        </w:tblPrEx>
        <w:trPr>
          <w:trHeight w:val="1434"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1D7C4E05">
            <w:pPr>
              <w:spacing w:line="460" w:lineRule="exact"/>
              <w:jc w:val="center"/>
              <w:rPr>
                <w:rFonts w:hint="eastAsia" w:ascii="宋体" w:hAnsi="宋体" w:eastAsia="宋体" w:cs="Times New Roman"/>
                <w:color w:val="auto"/>
                <w:sz w:val="24"/>
                <w:szCs w:val="24"/>
                <w:highlight w:val="none"/>
                <w:lang w:eastAsia="zh-CN"/>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5</w:t>
            </w:r>
          </w:p>
        </w:tc>
        <w:tc>
          <w:tcPr>
            <w:tcW w:w="1838" w:type="dxa"/>
            <w:tcBorders>
              <w:top w:val="single" w:color="auto" w:sz="4" w:space="0"/>
              <w:left w:val="nil"/>
              <w:bottom w:val="single" w:color="auto" w:sz="4" w:space="0"/>
              <w:right w:val="single" w:color="auto" w:sz="4" w:space="0"/>
            </w:tcBorders>
            <w:noWrap w:val="0"/>
            <w:vAlign w:val="center"/>
          </w:tcPr>
          <w:p w14:paraId="72D37638">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签字或盖章</w:t>
            </w:r>
          </w:p>
          <w:p w14:paraId="065954E2">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要求</w:t>
            </w:r>
          </w:p>
        </w:tc>
        <w:tc>
          <w:tcPr>
            <w:tcW w:w="6645" w:type="dxa"/>
            <w:tcBorders>
              <w:top w:val="single" w:color="auto" w:sz="4" w:space="0"/>
              <w:left w:val="nil"/>
              <w:bottom w:val="single" w:color="auto" w:sz="4" w:space="0"/>
              <w:right w:val="single" w:color="auto" w:sz="4" w:space="0"/>
            </w:tcBorders>
            <w:noWrap w:val="0"/>
            <w:vAlign w:val="center"/>
          </w:tcPr>
          <w:p w14:paraId="12BD1F8C">
            <w:pPr>
              <w:spacing w:line="46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磋商响应供应商在进行电子化磋商响应文件签章时，竞争性磋商文件中要求磋商响应供应商盖章的，以签盖单位章为准；要求法定代表人签章的，以签盖法定代表人签章为准。</w:t>
            </w:r>
          </w:p>
        </w:tc>
      </w:tr>
      <w:tr w14:paraId="028DFC6E">
        <w:tblPrEx>
          <w:tblCellMar>
            <w:top w:w="0" w:type="dxa"/>
            <w:left w:w="108" w:type="dxa"/>
            <w:bottom w:w="0" w:type="dxa"/>
            <w:right w:w="108" w:type="dxa"/>
          </w:tblCellMar>
        </w:tblPrEx>
        <w:trPr>
          <w:trHeight w:val="523"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6965AE2C">
            <w:pPr>
              <w:spacing w:line="460" w:lineRule="exact"/>
              <w:jc w:val="center"/>
              <w:rPr>
                <w:rFonts w:hint="eastAsia" w:ascii="宋体" w:hAnsi="宋体" w:eastAsia="宋体" w:cs="Times New Roman"/>
                <w:color w:val="auto"/>
                <w:sz w:val="24"/>
                <w:szCs w:val="24"/>
                <w:highlight w:val="none"/>
                <w:lang w:eastAsia="zh-CN"/>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6</w:t>
            </w:r>
          </w:p>
        </w:tc>
        <w:tc>
          <w:tcPr>
            <w:tcW w:w="1838" w:type="dxa"/>
            <w:tcBorders>
              <w:top w:val="single" w:color="auto" w:sz="4" w:space="0"/>
              <w:left w:val="nil"/>
              <w:bottom w:val="single" w:color="auto" w:sz="4" w:space="0"/>
              <w:right w:val="single" w:color="auto" w:sz="4" w:space="0"/>
            </w:tcBorders>
            <w:noWrap w:val="0"/>
            <w:vAlign w:val="center"/>
          </w:tcPr>
          <w:p w14:paraId="2BFF11D5">
            <w:pPr>
              <w:widowControl/>
              <w:spacing w:line="460" w:lineRule="exact"/>
              <w:jc w:val="cente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电子化</w:t>
            </w:r>
            <w:r>
              <w:rPr>
                <w:rFonts w:hint="eastAsia" w:ascii="宋体" w:hAnsi="宋体" w:eastAsia="宋体" w:cs="Times New Roman"/>
                <w:color w:val="auto"/>
                <w:sz w:val="24"/>
                <w:szCs w:val="24"/>
                <w:highlight w:val="none"/>
              </w:rPr>
              <w:t>磋商</w:t>
            </w:r>
            <w:r>
              <w:rPr>
                <w:rFonts w:hint="eastAsia" w:ascii="宋体" w:hAnsi="宋体" w:eastAsia="宋体" w:cs="Times New Roman"/>
                <w:color w:val="auto"/>
                <w:kern w:val="0"/>
                <w:sz w:val="24"/>
                <w:szCs w:val="24"/>
                <w:highlight w:val="none"/>
              </w:rPr>
              <w:t>响应文件的格式及上传</w:t>
            </w:r>
          </w:p>
        </w:tc>
        <w:tc>
          <w:tcPr>
            <w:tcW w:w="6645" w:type="dxa"/>
            <w:tcBorders>
              <w:top w:val="single" w:color="auto" w:sz="4" w:space="0"/>
              <w:left w:val="nil"/>
              <w:bottom w:val="single" w:color="auto" w:sz="4" w:space="0"/>
              <w:right w:val="single" w:color="auto" w:sz="4" w:space="0"/>
            </w:tcBorders>
            <w:noWrap w:val="0"/>
            <w:vAlign w:val="center"/>
          </w:tcPr>
          <w:p w14:paraId="1A7BD5E2">
            <w:pPr>
              <w:widowControl/>
              <w:spacing w:line="460" w:lineRule="exact"/>
              <w:jc w:val="lef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1、供应商所上传的电子化磋商响应文件，应是通过中心磋商响应文件制作系统制作的（磋商响应文件制作工具下载地址：</w:t>
            </w:r>
            <w:r>
              <w:rPr>
                <w:rFonts w:hint="eastAsia" w:ascii="Times New Roman" w:hAnsi="Times New Roman" w:eastAsia="宋体" w:cs="Times New Roman"/>
                <w:color w:val="auto"/>
                <w:szCs w:val="21"/>
                <w:highlight w:val="none"/>
              </w:rPr>
              <w:t>http://gzjy.smx.gov.cn/fwzn/004003/20200330/0de4b849-7eb7-4f4e-9a30-ae8b6a961d7f.html</w:t>
            </w:r>
            <w:r>
              <w:rPr>
                <w:rFonts w:hint="eastAsia" w:ascii="宋体" w:hAnsi="宋体" w:eastAsia="宋体" w:cs="Times New Roman"/>
                <w:color w:val="auto"/>
                <w:kern w:val="0"/>
                <w:sz w:val="24"/>
                <w:szCs w:val="24"/>
                <w:highlight w:val="none"/>
              </w:rPr>
              <w:t>），经过签章和加密后生成的电子版磋商响应文件。其中包含用于磋商响应文件上传的主文件（后缀为.smxtf）和用于应急补救的磋商响应文件备份文件（后缀为.nsmxtf）。</w:t>
            </w:r>
          </w:p>
          <w:p w14:paraId="62E09A2B">
            <w:pPr>
              <w:widowControl/>
              <w:spacing w:line="460" w:lineRule="exact"/>
              <w:jc w:val="lef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2、电子化磋商响应文件应在投标截止时间前成功上传至三门峡市公共资源电子化交易系统。至投标截止时间止，仍未上传成功的电子化磋商响应文件将不予接收。</w:t>
            </w:r>
          </w:p>
          <w:p w14:paraId="21580943">
            <w:pPr>
              <w:spacing w:line="460" w:lineRule="exac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注：如按照电子化投标操作教材制作完成的电子化磋商响应文件无法上传的，供应商应在投标截止时间前尽早的联系中心技术人员，以便有充分的时间进行处理。供应商应充分考虑到处理技术问题和上传数据等工作所需的时间问题，磋商响应文件未在投标截止时间前成功上传的，其磋商响应文件不予接收。技术联系电话：0398-3117871 。</w:t>
            </w:r>
          </w:p>
        </w:tc>
      </w:tr>
      <w:tr w14:paraId="19F30011">
        <w:tblPrEx>
          <w:tblCellMar>
            <w:top w:w="0" w:type="dxa"/>
            <w:left w:w="108" w:type="dxa"/>
            <w:bottom w:w="0" w:type="dxa"/>
            <w:right w:w="108" w:type="dxa"/>
          </w:tblCellMar>
        </w:tblPrEx>
        <w:trPr>
          <w:trHeight w:val="41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783A29A7">
            <w:pPr>
              <w:spacing w:line="460" w:lineRule="exact"/>
              <w:ind w:firstLine="240" w:firstLineChars="100"/>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7</w:t>
            </w:r>
          </w:p>
        </w:tc>
        <w:tc>
          <w:tcPr>
            <w:tcW w:w="1838" w:type="dxa"/>
            <w:tcBorders>
              <w:top w:val="single" w:color="auto" w:sz="4" w:space="0"/>
              <w:left w:val="nil"/>
              <w:bottom w:val="single" w:color="auto" w:sz="4" w:space="0"/>
              <w:right w:val="single" w:color="auto" w:sz="4" w:space="0"/>
            </w:tcBorders>
            <w:noWrap w:val="0"/>
            <w:vAlign w:val="center"/>
          </w:tcPr>
          <w:p w14:paraId="20962CFB">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磋商时间</w:t>
            </w:r>
          </w:p>
          <w:p w14:paraId="137DE3EA">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和地点</w:t>
            </w:r>
          </w:p>
        </w:tc>
        <w:tc>
          <w:tcPr>
            <w:tcW w:w="6645" w:type="dxa"/>
            <w:tcBorders>
              <w:top w:val="single" w:color="auto" w:sz="4" w:space="0"/>
              <w:left w:val="nil"/>
              <w:bottom w:val="single" w:color="auto" w:sz="4" w:space="0"/>
              <w:right w:val="single" w:color="auto" w:sz="4" w:space="0"/>
            </w:tcBorders>
            <w:noWrap w:val="0"/>
            <w:vAlign w:val="center"/>
          </w:tcPr>
          <w:p w14:paraId="177BA103">
            <w:pPr>
              <w:spacing w:line="46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时间：</w:t>
            </w:r>
            <w:r>
              <w:rPr>
                <w:rFonts w:hint="eastAsia" w:ascii="宋体" w:hAnsi="宋体" w:cs="Times New Roman"/>
                <w:color w:val="auto"/>
                <w:sz w:val="24"/>
                <w:szCs w:val="28"/>
                <w:highlight w:val="none"/>
                <w:lang w:eastAsia="zh-CN"/>
              </w:rPr>
              <w:t>2026年1月13日8时20分</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北京时间</w:t>
            </w:r>
            <w:r>
              <w:rPr>
                <w:rFonts w:hint="eastAsia" w:ascii="宋体" w:hAnsi="宋体" w:cs="宋体"/>
                <w:color w:val="auto"/>
                <w:kern w:val="0"/>
                <w:sz w:val="24"/>
                <w:szCs w:val="24"/>
                <w:highlight w:val="none"/>
                <w:lang w:eastAsia="zh-CN"/>
              </w:rPr>
              <w:t>）</w:t>
            </w:r>
            <w:r>
              <w:rPr>
                <w:rFonts w:hint="eastAsia" w:ascii="宋体" w:hAnsi="宋体" w:eastAsia="宋体" w:cs="Times New Roman"/>
                <w:color w:val="auto"/>
                <w:sz w:val="24"/>
                <w:szCs w:val="24"/>
                <w:highlight w:val="none"/>
              </w:rPr>
              <w:t>。</w:t>
            </w:r>
          </w:p>
          <w:p w14:paraId="5C8DF312">
            <w:pPr>
              <w:spacing w:line="46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地点：</w:t>
            </w:r>
            <w:r>
              <w:rPr>
                <w:rFonts w:hint="eastAsia" w:ascii="宋体" w:hAnsi="宋体" w:cs="宋体"/>
                <w:color w:val="auto"/>
                <w:kern w:val="0"/>
                <w:sz w:val="24"/>
                <w:szCs w:val="24"/>
                <w:highlight w:val="none"/>
                <w:lang w:eastAsia="zh-CN"/>
              </w:rPr>
              <w:t>渑池县</w:t>
            </w:r>
            <w:r>
              <w:rPr>
                <w:rFonts w:hint="eastAsia" w:ascii="宋体" w:hAnsi="宋体" w:cs="宋体"/>
                <w:color w:val="auto"/>
                <w:kern w:val="0"/>
                <w:sz w:val="24"/>
                <w:szCs w:val="24"/>
                <w:highlight w:val="none"/>
              </w:rPr>
              <w:t>公共资源交易中心</w:t>
            </w:r>
            <w:r>
              <w:rPr>
                <w:rFonts w:hint="eastAsia" w:ascii="宋体" w:hAnsi="宋体" w:cs="宋体"/>
                <w:color w:val="auto"/>
                <w:kern w:val="0"/>
                <w:sz w:val="24"/>
                <w:szCs w:val="24"/>
                <w:highlight w:val="none"/>
                <w:lang w:val="en-US" w:eastAsia="zh-CN"/>
              </w:rPr>
              <w:t>开标二室</w:t>
            </w:r>
            <w:r>
              <w:rPr>
                <w:rFonts w:hint="eastAsia" w:ascii="宋体" w:hAnsi="宋体" w:eastAsia="宋体" w:cs="Times New Roman"/>
                <w:color w:val="auto"/>
                <w:sz w:val="24"/>
                <w:szCs w:val="24"/>
                <w:highlight w:val="none"/>
              </w:rPr>
              <w:t>。</w:t>
            </w:r>
          </w:p>
        </w:tc>
      </w:tr>
      <w:tr w14:paraId="0E25C039">
        <w:tblPrEx>
          <w:tblCellMar>
            <w:top w:w="0" w:type="dxa"/>
            <w:left w:w="108" w:type="dxa"/>
            <w:bottom w:w="0" w:type="dxa"/>
            <w:right w:w="108" w:type="dxa"/>
          </w:tblCellMar>
        </w:tblPrEx>
        <w:trPr>
          <w:trHeight w:val="41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2926A947">
            <w:pPr>
              <w:spacing w:line="460" w:lineRule="exact"/>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 xml:space="preserve">  3.</w:t>
            </w:r>
            <w:r>
              <w:rPr>
                <w:rFonts w:hint="eastAsia" w:ascii="宋体" w:hAnsi="宋体" w:eastAsia="宋体" w:cs="Times New Roman"/>
                <w:color w:val="auto"/>
                <w:sz w:val="24"/>
                <w:szCs w:val="24"/>
                <w:highlight w:val="none"/>
              </w:rPr>
              <w:t>0</w:t>
            </w:r>
          </w:p>
        </w:tc>
        <w:tc>
          <w:tcPr>
            <w:tcW w:w="1838" w:type="dxa"/>
            <w:tcBorders>
              <w:top w:val="single" w:color="auto" w:sz="4" w:space="0"/>
              <w:left w:val="nil"/>
              <w:bottom w:val="single" w:color="auto" w:sz="4" w:space="0"/>
              <w:right w:val="single" w:color="auto" w:sz="4" w:space="0"/>
            </w:tcBorders>
            <w:noWrap w:val="0"/>
            <w:vAlign w:val="center"/>
          </w:tcPr>
          <w:p w14:paraId="4A962A22">
            <w:pPr>
              <w:widowControl/>
              <w:spacing w:line="460" w:lineRule="exact"/>
              <w:jc w:val="cente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磋商顺序</w:t>
            </w:r>
          </w:p>
        </w:tc>
        <w:tc>
          <w:tcPr>
            <w:tcW w:w="6645" w:type="dxa"/>
            <w:tcBorders>
              <w:top w:val="single" w:color="auto" w:sz="4" w:space="0"/>
              <w:left w:val="nil"/>
              <w:bottom w:val="single" w:color="auto" w:sz="4" w:space="0"/>
              <w:right w:val="single" w:color="auto" w:sz="4" w:space="0"/>
            </w:tcBorders>
            <w:noWrap w:val="0"/>
            <w:vAlign w:val="center"/>
          </w:tcPr>
          <w:p w14:paraId="14FB408B">
            <w:pPr>
              <w:widowControl/>
              <w:spacing w:line="460" w:lineRule="exact"/>
              <w:jc w:val="lef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按</w:t>
            </w:r>
            <w:r>
              <w:rPr>
                <w:rFonts w:hint="eastAsia" w:ascii="宋体" w:hAnsi="宋体" w:eastAsia="宋体" w:cs="Times New Roman"/>
                <w:color w:val="auto"/>
                <w:sz w:val="24"/>
                <w:szCs w:val="24"/>
                <w:highlight w:val="none"/>
              </w:rPr>
              <w:t>电子化磋商</w:t>
            </w:r>
            <w:r>
              <w:rPr>
                <w:rFonts w:hint="eastAsia" w:ascii="宋体" w:hAnsi="宋体" w:eastAsia="宋体" w:cs="Times New Roman"/>
                <w:color w:val="auto"/>
                <w:kern w:val="0"/>
                <w:sz w:val="24"/>
                <w:szCs w:val="24"/>
                <w:highlight w:val="none"/>
              </w:rPr>
              <w:t>响应文件上传的时间顺序磋商。</w:t>
            </w:r>
          </w:p>
        </w:tc>
      </w:tr>
      <w:tr w14:paraId="1151520E">
        <w:tblPrEx>
          <w:tblCellMar>
            <w:top w:w="0" w:type="dxa"/>
            <w:left w:w="108" w:type="dxa"/>
            <w:bottom w:w="0" w:type="dxa"/>
            <w:right w:w="108" w:type="dxa"/>
          </w:tblCellMar>
        </w:tblPrEx>
        <w:trPr>
          <w:trHeight w:val="995"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1BFE5942">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1</w:t>
            </w:r>
          </w:p>
        </w:tc>
        <w:tc>
          <w:tcPr>
            <w:tcW w:w="1838" w:type="dxa"/>
            <w:tcBorders>
              <w:top w:val="single" w:color="auto" w:sz="4" w:space="0"/>
              <w:left w:val="nil"/>
              <w:bottom w:val="single" w:color="auto" w:sz="4" w:space="0"/>
              <w:right w:val="single" w:color="auto" w:sz="4" w:space="0"/>
            </w:tcBorders>
            <w:noWrap w:val="0"/>
            <w:vAlign w:val="center"/>
          </w:tcPr>
          <w:p w14:paraId="64FB9C99">
            <w:pPr>
              <w:spacing w:line="460" w:lineRule="exact"/>
              <w:jc w:val="center"/>
              <w:rPr>
                <w:rFonts w:hint="eastAsia" w:ascii="宋体" w:hAnsi="宋体" w:eastAsia="宋体" w:cs="Times New Roman"/>
                <w:color w:val="auto"/>
                <w:sz w:val="24"/>
                <w:szCs w:val="24"/>
                <w:highlight w:val="none"/>
                <w:lang w:eastAsia="zh-CN"/>
              </w:rPr>
            </w:pPr>
            <w:r>
              <w:rPr>
                <w:rFonts w:hint="eastAsia" w:ascii="宋体" w:hAnsi="宋体" w:cs="Times New Roman"/>
                <w:color w:val="auto"/>
                <w:sz w:val="24"/>
                <w:szCs w:val="24"/>
                <w:highlight w:val="none"/>
                <w:lang w:eastAsia="zh-CN"/>
              </w:rPr>
              <w:t>磋商小组</w:t>
            </w:r>
          </w:p>
          <w:p w14:paraId="3156F8A9">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的组建</w:t>
            </w:r>
          </w:p>
        </w:tc>
        <w:tc>
          <w:tcPr>
            <w:tcW w:w="6645" w:type="dxa"/>
            <w:tcBorders>
              <w:top w:val="single" w:color="auto" w:sz="4" w:space="0"/>
              <w:left w:val="nil"/>
              <w:bottom w:val="single" w:color="auto" w:sz="4" w:space="0"/>
              <w:right w:val="single" w:color="auto" w:sz="4" w:space="0"/>
            </w:tcBorders>
            <w:noWrap w:val="0"/>
            <w:vAlign w:val="center"/>
          </w:tcPr>
          <w:p w14:paraId="504E9E49">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评标活动依法成立</w:t>
            </w:r>
            <w:r>
              <w:rPr>
                <w:rFonts w:hint="eastAsia" w:ascii="宋体" w:hAnsi="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在开标前组建，</w:t>
            </w:r>
            <w:r>
              <w:rPr>
                <w:rFonts w:hint="eastAsia" w:ascii="宋体" w:hAnsi="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由3人组成，其中</w:t>
            </w:r>
            <w:r>
              <w:rPr>
                <w:rFonts w:hint="eastAsia" w:ascii="宋体" w:hAnsi="宋体" w:eastAsia="宋体" w:cs="宋体"/>
                <w:color w:val="auto"/>
                <w:kern w:val="0"/>
                <w:sz w:val="24"/>
                <w:szCs w:val="24"/>
                <w:highlight w:val="none"/>
                <w:lang w:val="en-US" w:eastAsia="zh-CN"/>
              </w:rPr>
              <w:t>采购人</w:t>
            </w:r>
            <w:r>
              <w:rPr>
                <w:rFonts w:hint="eastAsia" w:ascii="宋体" w:hAnsi="宋体" w:eastAsia="宋体" w:cs="宋体"/>
                <w:color w:val="auto"/>
                <w:kern w:val="0"/>
                <w:sz w:val="24"/>
                <w:szCs w:val="24"/>
                <w:highlight w:val="none"/>
              </w:rPr>
              <w:t>代表1人，</w:t>
            </w:r>
            <w:r>
              <w:rPr>
                <w:rFonts w:hint="eastAsia" w:ascii="宋体" w:hAnsi="宋体" w:eastAsia="宋体" w:cs="宋体"/>
                <w:color w:val="auto"/>
                <w:kern w:val="0"/>
                <w:sz w:val="24"/>
                <w:szCs w:val="24"/>
                <w:highlight w:val="none"/>
                <w:lang w:val="en-US" w:eastAsia="zh-CN"/>
              </w:rPr>
              <w:t>其它</w:t>
            </w:r>
            <w:r>
              <w:rPr>
                <w:rFonts w:hint="eastAsia" w:ascii="宋体" w:hAnsi="宋体" w:eastAsia="宋体" w:cs="宋体"/>
                <w:color w:val="auto"/>
                <w:kern w:val="0"/>
                <w:sz w:val="24"/>
                <w:szCs w:val="24"/>
                <w:highlight w:val="none"/>
              </w:rPr>
              <w:t>专家2人；</w:t>
            </w:r>
          </w:p>
          <w:p w14:paraId="5A4D5944">
            <w:pPr>
              <w:spacing w:line="460" w:lineRule="exact"/>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rPr>
              <w:t>确定方式：开标当天从河南省政府采购网专家库</w:t>
            </w:r>
            <w:r>
              <w:rPr>
                <w:rFonts w:hint="eastAsia" w:ascii="宋体" w:hAnsi="宋体" w:eastAsia="宋体" w:cs="宋体"/>
                <w:color w:val="auto"/>
                <w:kern w:val="0"/>
                <w:sz w:val="24"/>
                <w:szCs w:val="24"/>
                <w:highlight w:val="none"/>
                <w:lang w:val="en-US" w:eastAsia="zh-CN"/>
              </w:rPr>
              <w:t>随机</w:t>
            </w:r>
            <w:r>
              <w:rPr>
                <w:rFonts w:hint="eastAsia" w:ascii="宋体" w:hAnsi="宋体" w:eastAsia="宋体" w:cs="宋体"/>
                <w:color w:val="auto"/>
                <w:kern w:val="0"/>
                <w:sz w:val="24"/>
                <w:szCs w:val="24"/>
                <w:highlight w:val="none"/>
              </w:rPr>
              <w:t>抽取。</w:t>
            </w:r>
          </w:p>
        </w:tc>
      </w:tr>
      <w:tr w14:paraId="51D3C0F6">
        <w:tblPrEx>
          <w:tblCellMar>
            <w:top w:w="0" w:type="dxa"/>
            <w:left w:w="108" w:type="dxa"/>
            <w:bottom w:w="0" w:type="dxa"/>
            <w:right w:w="108" w:type="dxa"/>
          </w:tblCellMar>
        </w:tblPrEx>
        <w:trPr>
          <w:trHeight w:val="717"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0BA5E81C">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2</w:t>
            </w:r>
          </w:p>
        </w:tc>
        <w:tc>
          <w:tcPr>
            <w:tcW w:w="1838" w:type="dxa"/>
            <w:tcBorders>
              <w:top w:val="single" w:color="auto" w:sz="4" w:space="0"/>
              <w:left w:val="nil"/>
              <w:bottom w:val="single" w:color="auto" w:sz="4" w:space="0"/>
              <w:right w:val="single" w:color="auto" w:sz="4" w:space="0"/>
            </w:tcBorders>
            <w:noWrap w:val="0"/>
            <w:vAlign w:val="center"/>
          </w:tcPr>
          <w:p w14:paraId="794A3AC0">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是否授权磋商专家确定成交供应商</w:t>
            </w:r>
          </w:p>
        </w:tc>
        <w:tc>
          <w:tcPr>
            <w:tcW w:w="6645" w:type="dxa"/>
            <w:tcBorders>
              <w:top w:val="single" w:color="auto" w:sz="4" w:space="0"/>
              <w:left w:val="nil"/>
              <w:bottom w:val="single" w:color="auto" w:sz="4" w:space="0"/>
              <w:right w:val="single" w:color="auto" w:sz="4" w:space="0"/>
            </w:tcBorders>
            <w:noWrap w:val="0"/>
            <w:vAlign w:val="center"/>
          </w:tcPr>
          <w:p w14:paraId="0EC9B19D">
            <w:pPr>
              <w:spacing w:line="460" w:lineRule="exact"/>
              <w:rPr>
                <w:rFonts w:hint="eastAsia" w:ascii="宋体" w:hAnsi="宋体" w:eastAsia="宋体" w:cs="Times New Roman"/>
                <w:color w:val="auto"/>
                <w:sz w:val="24"/>
                <w:szCs w:val="24"/>
                <w:highlight w:val="none"/>
                <w:lang w:eastAsia="zh-CN"/>
              </w:rPr>
            </w:pPr>
            <w:r>
              <w:rPr>
                <w:rFonts w:hint="eastAsia" w:ascii="宋体" w:hAnsi="宋体" w:cs="Times New Roman"/>
                <w:color w:val="auto"/>
                <w:sz w:val="24"/>
                <w:szCs w:val="24"/>
                <w:highlight w:val="none"/>
                <w:lang w:eastAsia="zh-CN"/>
              </w:rPr>
              <w:t>否；推荐三名成交候选人</w:t>
            </w:r>
          </w:p>
        </w:tc>
      </w:tr>
      <w:tr w14:paraId="664EFD15">
        <w:tblPrEx>
          <w:tblCellMar>
            <w:top w:w="0" w:type="dxa"/>
            <w:left w:w="108" w:type="dxa"/>
            <w:bottom w:w="0" w:type="dxa"/>
            <w:right w:w="108" w:type="dxa"/>
          </w:tblCellMar>
        </w:tblPrEx>
        <w:trPr>
          <w:trHeight w:val="717"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3F412EB7">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3</w:t>
            </w:r>
          </w:p>
        </w:tc>
        <w:tc>
          <w:tcPr>
            <w:tcW w:w="1838" w:type="dxa"/>
            <w:tcBorders>
              <w:top w:val="single" w:color="auto" w:sz="4" w:space="0"/>
              <w:left w:val="nil"/>
              <w:bottom w:val="single" w:color="auto" w:sz="4" w:space="0"/>
              <w:right w:val="single" w:color="auto" w:sz="4" w:space="0"/>
            </w:tcBorders>
            <w:noWrap w:val="0"/>
            <w:vAlign w:val="center"/>
          </w:tcPr>
          <w:p w14:paraId="258B8ACF">
            <w:pPr>
              <w:keepLines/>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代理服务费</w:t>
            </w:r>
          </w:p>
        </w:tc>
        <w:tc>
          <w:tcPr>
            <w:tcW w:w="6645" w:type="dxa"/>
            <w:tcBorders>
              <w:top w:val="single" w:color="auto" w:sz="4" w:space="0"/>
              <w:left w:val="nil"/>
              <w:bottom w:val="single" w:color="auto" w:sz="4" w:space="0"/>
              <w:right w:val="single" w:color="auto" w:sz="4" w:space="0"/>
            </w:tcBorders>
            <w:noWrap w:val="0"/>
            <w:vAlign w:val="center"/>
          </w:tcPr>
          <w:p w14:paraId="45A24D6B">
            <w:pPr>
              <w:keepLines/>
              <w:spacing w:line="460" w:lineRule="exact"/>
              <w:jc w:val="left"/>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rPr>
              <w:t>招标代理服务收费参照豫招协[2023]002号河南省招标投标协会关于印发《河南省招标代理服务收费指导意见》规定的收费标准收取中标服务费。招标代理服务收费按差额定率累进法计算</w:t>
            </w:r>
            <w:r>
              <w:rPr>
                <w:rFonts w:hint="eastAsia" w:ascii="宋体" w:hAnsi="宋体" w:cs="Times New Roman"/>
                <w:color w:val="auto"/>
                <w:sz w:val="24"/>
                <w:szCs w:val="24"/>
                <w:highlight w:val="none"/>
                <w:lang w:val="en-US" w:eastAsia="zh-CN"/>
              </w:rPr>
              <w:t>由成交人支付。</w:t>
            </w:r>
          </w:p>
        </w:tc>
      </w:tr>
      <w:tr w14:paraId="7CD0F511">
        <w:tblPrEx>
          <w:tblCellMar>
            <w:top w:w="0" w:type="dxa"/>
            <w:left w:w="108" w:type="dxa"/>
            <w:bottom w:w="0" w:type="dxa"/>
            <w:right w:w="108" w:type="dxa"/>
          </w:tblCellMar>
        </w:tblPrEx>
        <w:trPr>
          <w:trHeight w:val="46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0591CF64">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3.4</w:t>
            </w:r>
          </w:p>
        </w:tc>
        <w:tc>
          <w:tcPr>
            <w:tcW w:w="1838" w:type="dxa"/>
            <w:tcBorders>
              <w:top w:val="single" w:color="auto" w:sz="4" w:space="0"/>
              <w:left w:val="nil"/>
              <w:bottom w:val="single" w:color="auto" w:sz="4" w:space="0"/>
              <w:right w:val="single" w:color="auto" w:sz="4" w:space="0"/>
            </w:tcBorders>
            <w:noWrap w:val="0"/>
            <w:vAlign w:val="center"/>
          </w:tcPr>
          <w:p w14:paraId="20AB8B1B">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招标控制价</w:t>
            </w:r>
          </w:p>
        </w:tc>
        <w:tc>
          <w:tcPr>
            <w:tcW w:w="6645" w:type="dxa"/>
            <w:tcBorders>
              <w:top w:val="single" w:color="auto" w:sz="4" w:space="0"/>
              <w:left w:val="nil"/>
              <w:bottom w:val="single" w:color="auto" w:sz="4" w:space="0"/>
              <w:right w:val="single" w:color="auto" w:sz="4" w:space="0"/>
            </w:tcBorders>
            <w:noWrap w:val="0"/>
            <w:vAlign w:val="center"/>
          </w:tcPr>
          <w:p w14:paraId="06C4A3D1">
            <w:pPr>
              <w:widowControl/>
              <w:spacing w:line="460" w:lineRule="exact"/>
              <w:jc w:val="left"/>
              <w:rPr>
                <w:rFonts w:hint="default" w:ascii="宋体" w:hAnsi="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大写：</w:t>
            </w:r>
            <w:r>
              <w:rPr>
                <w:rFonts w:hint="eastAsia" w:ascii="宋体" w:hAnsi="宋体" w:cs="Times New Roman"/>
                <w:color w:val="auto"/>
                <w:sz w:val="24"/>
                <w:szCs w:val="24"/>
                <w:highlight w:val="none"/>
                <w:lang w:val="en-US" w:eastAsia="zh-CN"/>
              </w:rPr>
              <w:t>壹佰贰拾玖万伍仟柒佰贰拾捌元柒角叁分</w:t>
            </w:r>
          </w:p>
          <w:p w14:paraId="1C5ADF70">
            <w:pPr>
              <w:widowControl/>
              <w:spacing w:line="460" w:lineRule="exact"/>
              <w:jc w:val="left"/>
              <w:rPr>
                <w:rFonts w:hint="default" w:ascii="宋体" w:hAnsi="宋体" w:eastAsia="宋体" w:cs="Times New Roman"/>
                <w:color w:val="auto"/>
                <w:sz w:val="24"/>
                <w:szCs w:val="24"/>
                <w:highlight w:val="none"/>
                <w:lang w:val="en-US"/>
              </w:rPr>
            </w:pPr>
            <w:r>
              <w:rPr>
                <w:rFonts w:hint="eastAsia" w:ascii="宋体" w:hAnsi="宋体" w:eastAsia="宋体" w:cs="Times New Roman"/>
                <w:color w:val="auto"/>
                <w:sz w:val="24"/>
                <w:szCs w:val="24"/>
                <w:highlight w:val="none"/>
                <w:lang w:val="en-US" w:eastAsia="zh-CN"/>
              </w:rPr>
              <w:t>小写：</w:t>
            </w:r>
            <w:r>
              <w:rPr>
                <w:rFonts w:hint="eastAsia" w:ascii="宋体" w:hAnsi="宋体" w:cs="Times New Roman"/>
                <w:color w:val="auto"/>
                <w:sz w:val="24"/>
                <w:szCs w:val="24"/>
                <w:highlight w:val="none"/>
                <w:lang w:val="en-US" w:eastAsia="zh-CN"/>
              </w:rPr>
              <w:t>1295728.73元</w:t>
            </w:r>
          </w:p>
          <w:p w14:paraId="04A31CDF">
            <w:pPr>
              <w:widowControl/>
              <w:spacing w:line="460" w:lineRule="exact"/>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凡磋商响应供应商的磋商报价超出“招标控制价”的，该磋商响应供应商的磋商响应文件应作无效标处理。</w:t>
            </w:r>
          </w:p>
        </w:tc>
      </w:tr>
      <w:tr w14:paraId="5DE0186B">
        <w:tblPrEx>
          <w:tblCellMar>
            <w:top w:w="0" w:type="dxa"/>
            <w:left w:w="108" w:type="dxa"/>
            <w:bottom w:w="0" w:type="dxa"/>
            <w:right w:w="108" w:type="dxa"/>
          </w:tblCellMar>
        </w:tblPrEx>
        <w:trPr>
          <w:trHeight w:val="46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699AB643">
            <w:pPr>
              <w:spacing w:line="460" w:lineRule="exact"/>
              <w:jc w:val="center"/>
              <w:rPr>
                <w:rFonts w:hint="default"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3.5</w:t>
            </w:r>
          </w:p>
        </w:tc>
        <w:tc>
          <w:tcPr>
            <w:tcW w:w="1838" w:type="dxa"/>
            <w:tcBorders>
              <w:top w:val="single" w:color="auto" w:sz="4" w:space="0"/>
              <w:left w:val="nil"/>
              <w:bottom w:val="single" w:color="auto" w:sz="4" w:space="0"/>
              <w:right w:val="single" w:color="auto" w:sz="4" w:space="0"/>
            </w:tcBorders>
            <w:noWrap w:val="0"/>
            <w:vAlign w:val="center"/>
          </w:tcPr>
          <w:p w14:paraId="2094D186">
            <w:pPr>
              <w:spacing w:line="460" w:lineRule="exact"/>
              <w:jc w:val="center"/>
              <w:rPr>
                <w:rFonts w:hint="default"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所属行业</w:t>
            </w:r>
          </w:p>
        </w:tc>
        <w:tc>
          <w:tcPr>
            <w:tcW w:w="6645" w:type="dxa"/>
            <w:tcBorders>
              <w:top w:val="single" w:color="auto" w:sz="4" w:space="0"/>
              <w:left w:val="nil"/>
              <w:bottom w:val="single" w:color="auto" w:sz="4" w:space="0"/>
              <w:right w:val="single" w:color="auto" w:sz="4" w:space="0"/>
            </w:tcBorders>
            <w:noWrap w:val="0"/>
            <w:vAlign w:val="center"/>
          </w:tcPr>
          <w:p w14:paraId="390AFA92">
            <w:pPr>
              <w:widowControl/>
              <w:spacing w:line="460" w:lineRule="exact"/>
              <w:jc w:val="left"/>
              <w:rPr>
                <w:rFonts w:hint="eastAsia"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建筑业</w:t>
            </w:r>
          </w:p>
        </w:tc>
      </w:tr>
      <w:tr w14:paraId="7D03F99C">
        <w:tblPrEx>
          <w:tblCellMar>
            <w:top w:w="0" w:type="dxa"/>
            <w:left w:w="108" w:type="dxa"/>
            <w:bottom w:w="0" w:type="dxa"/>
            <w:right w:w="108" w:type="dxa"/>
          </w:tblCellMar>
        </w:tblPrEx>
        <w:trPr>
          <w:trHeight w:val="46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648A09CC">
            <w:pPr>
              <w:spacing w:line="460" w:lineRule="exact"/>
              <w:jc w:val="center"/>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3.</w:t>
            </w:r>
            <w:r>
              <w:rPr>
                <w:rFonts w:hint="eastAsia" w:ascii="宋体" w:hAnsi="宋体" w:cs="Times New Roman"/>
                <w:color w:val="auto"/>
                <w:sz w:val="24"/>
                <w:szCs w:val="24"/>
                <w:highlight w:val="none"/>
                <w:lang w:val="en-US" w:eastAsia="zh-CN"/>
              </w:rPr>
              <w:t>6</w:t>
            </w:r>
          </w:p>
        </w:tc>
        <w:tc>
          <w:tcPr>
            <w:tcW w:w="1838" w:type="dxa"/>
            <w:tcBorders>
              <w:top w:val="single" w:color="auto" w:sz="4" w:space="0"/>
              <w:left w:val="nil"/>
              <w:bottom w:val="single" w:color="auto" w:sz="4" w:space="0"/>
              <w:right w:val="single" w:color="auto" w:sz="4" w:space="0"/>
            </w:tcBorders>
            <w:noWrap w:val="0"/>
            <w:vAlign w:val="center"/>
          </w:tcPr>
          <w:p w14:paraId="2FCA14B9">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其他</w:t>
            </w:r>
          </w:p>
        </w:tc>
        <w:tc>
          <w:tcPr>
            <w:tcW w:w="6645" w:type="dxa"/>
            <w:tcBorders>
              <w:top w:val="single" w:color="auto" w:sz="4" w:space="0"/>
              <w:left w:val="nil"/>
              <w:bottom w:val="single" w:color="auto" w:sz="4" w:space="0"/>
              <w:right w:val="single" w:color="auto" w:sz="4" w:space="0"/>
            </w:tcBorders>
            <w:noWrap w:val="0"/>
            <w:vAlign w:val="center"/>
          </w:tcPr>
          <w:p w14:paraId="277012CE">
            <w:pPr>
              <w:widowControl/>
              <w:spacing w:line="460" w:lineRule="exact"/>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1.我单位（采购人）严格按三财购【2021】9号文要求的时限发布</w:t>
            </w:r>
            <w:r>
              <w:rPr>
                <w:rFonts w:hint="eastAsia" w:ascii="宋体" w:hAnsi="宋体" w:cs="Times New Roman"/>
                <w:color w:val="auto"/>
                <w:sz w:val="24"/>
                <w:szCs w:val="24"/>
                <w:highlight w:val="none"/>
                <w:lang w:val="en-US" w:eastAsia="zh-CN"/>
              </w:rPr>
              <w:t>成交公告</w:t>
            </w:r>
            <w:r>
              <w:rPr>
                <w:rFonts w:hint="eastAsia" w:ascii="宋体" w:hAnsi="宋体" w:eastAsia="宋体" w:cs="Times New Roman"/>
                <w:color w:val="auto"/>
                <w:sz w:val="24"/>
                <w:szCs w:val="24"/>
                <w:highlight w:val="none"/>
              </w:rPr>
              <w:t>，发出中标（成交）通知书，签订采购合同，上传采购合同。</w:t>
            </w:r>
          </w:p>
          <w:p w14:paraId="22769CDD">
            <w:pPr>
              <w:spacing w:line="360" w:lineRule="auto"/>
              <w:rPr>
                <w:rFonts w:ascii="宋体" w:hAnsi="宋体" w:eastAsia="宋体" w:cs="宋体"/>
                <w:color w:val="auto"/>
                <w:kern w:val="1"/>
                <w:sz w:val="24"/>
                <w:szCs w:val="21"/>
                <w:highlight w:val="none"/>
              </w:rPr>
            </w:pPr>
            <w:r>
              <w:rPr>
                <w:rFonts w:hint="eastAsia" w:ascii="宋体" w:hAnsi="宋体" w:eastAsia="宋体" w:cs="宋体"/>
                <w:color w:val="auto"/>
                <w:kern w:val="1"/>
                <w:sz w:val="24"/>
                <w:szCs w:val="21"/>
                <w:highlight w:val="none"/>
              </w:rPr>
              <w:t>2.以</w:t>
            </w:r>
            <w:r>
              <w:rPr>
                <w:rFonts w:hint="eastAsia" w:ascii="宋体" w:hAnsi="宋体" w:cs="宋体"/>
                <w:color w:val="auto"/>
                <w:kern w:val="1"/>
                <w:sz w:val="24"/>
                <w:szCs w:val="21"/>
                <w:highlight w:val="none"/>
                <w:lang w:eastAsia="zh-CN"/>
              </w:rPr>
              <w:t>响应文件</w:t>
            </w:r>
            <w:r>
              <w:rPr>
                <w:rFonts w:hint="eastAsia" w:ascii="宋体" w:hAnsi="宋体" w:eastAsia="宋体" w:cs="宋体"/>
                <w:color w:val="auto"/>
                <w:kern w:val="1"/>
                <w:sz w:val="24"/>
                <w:szCs w:val="21"/>
                <w:highlight w:val="none"/>
              </w:rPr>
              <w:t>业绩信息为准，可使用电子营业执照。</w:t>
            </w:r>
          </w:p>
          <w:p w14:paraId="2B8A0C94">
            <w:pPr>
              <w:spacing w:line="360" w:lineRule="auto"/>
              <w:rPr>
                <w:rFonts w:ascii="宋体" w:hAnsi="宋体" w:eastAsia="宋体" w:cs="Times New Roman"/>
                <w:color w:val="auto"/>
                <w:sz w:val="24"/>
                <w:szCs w:val="24"/>
                <w:highlight w:val="none"/>
              </w:rPr>
            </w:pPr>
            <w:r>
              <w:rPr>
                <w:rFonts w:hint="eastAsia" w:ascii="宋体" w:hAnsi="宋体" w:eastAsia="宋体" w:cs="宋体"/>
                <w:b w:val="0"/>
                <w:bCs/>
                <w:color w:val="auto"/>
                <w:sz w:val="24"/>
                <w:szCs w:val="24"/>
                <w:highlight w:val="none"/>
              </w:rPr>
              <w:t>3.本项</w:t>
            </w:r>
            <w:r>
              <w:rPr>
                <w:rFonts w:hint="eastAsia" w:ascii="宋体" w:hAnsi="宋体" w:eastAsia="宋体" w:cs="Times New Roman"/>
                <w:color w:val="auto"/>
                <w:sz w:val="24"/>
                <w:szCs w:val="24"/>
                <w:highlight w:val="none"/>
              </w:rPr>
              <w:t>目实行资格后审，根据优化营商环境的要求，评标时审查内容以投标（响应）文件为准：</w:t>
            </w:r>
          </w:p>
          <w:p w14:paraId="7D8574F6">
            <w:pPr>
              <w:spacing w:line="360" w:lineRule="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（1）资格评（预）审部分：资格评（预）以投标（响应）文件为准，其上传资料真实性由供应商自行承担，同时，供应商要完善主体库。</w:t>
            </w:r>
          </w:p>
          <w:p w14:paraId="0E534FCB">
            <w:pPr>
              <w:spacing w:line="360" w:lineRule="auto"/>
              <w:rPr>
                <w:rFonts w:ascii="宋体" w:hAnsi="宋体" w:eastAsia="宋体" w:cs="Times New Roman"/>
                <w:b w:val="0"/>
                <w:bCs w:val="0"/>
                <w:color w:val="auto"/>
                <w:sz w:val="24"/>
                <w:szCs w:val="24"/>
                <w:highlight w:val="none"/>
              </w:rPr>
            </w:pPr>
            <w:r>
              <w:rPr>
                <w:rFonts w:hint="eastAsia" w:ascii="宋体" w:hAnsi="宋体" w:eastAsia="宋体" w:cs="Times New Roman"/>
                <w:color w:val="auto"/>
                <w:sz w:val="24"/>
                <w:szCs w:val="24"/>
                <w:highlight w:val="none"/>
              </w:rPr>
              <w:t>（2）评标打分部分：评标打分部分仍按照100分制原则进行，涉及到资格审查、企业荣誉、人员业绩、企业业绩等计分部分</w:t>
            </w:r>
            <w:r>
              <w:rPr>
                <w:rFonts w:hint="eastAsia" w:ascii="宋体" w:hAnsi="宋体" w:eastAsia="宋体" w:cs="Times New Roman"/>
                <w:b w:val="0"/>
                <w:bCs w:val="0"/>
                <w:color w:val="auto"/>
                <w:sz w:val="24"/>
                <w:szCs w:val="24"/>
                <w:highlight w:val="none"/>
              </w:rPr>
              <w:t>时，以供应商自行上传到投标（响应）文件中的相应内容为准。</w:t>
            </w:r>
          </w:p>
          <w:p w14:paraId="2CA1BC28">
            <w:pPr>
              <w:spacing w:line="360" w:lineRule="auto"/>
              <w:rPr>
                <w:rFonts w:ascii="宋体" w:hAnsi="宋体" w:eastAsia="宋体" w:cs="Times New Roman"/>
                <w:b w:val="0"/>
                <w:bCs w:val="0"/>
                <w:color w:val="auto"/>
                <w:kern w:val="1"/>
                <w:sz w:val="24"/>
                <w:szCs w:val="24"/>
                <w:highlight w:val="none"/>
              </w:rPr>
            </w:pPr>
            <w:r>
              <w:rPr>
                <w:rFonts w:hint="eastAsia" w:ascii="宋体" w:hAnsi="宋体" w:eastAsia="宋体" w:cs="Times New Roman"/>
                <w:b w:val="0"/>
                <w:bCs w:val="0"/>
                <w:color w:val="auto"/>
                <w:kern w:val="1"/>
                <w:sz w:val="24"/>
                <w:szCs w:val="24"/>
                <w:highlight w:val="none"/>
              </w:rPr>
              <w:t>（3）响应文件编制部分：在</w:t>
            </w:r>
            <w:r>
              <w:rPr>
                <w:rFonts w:hint="eastAsia" w:ascii="宋体" w:hAnsi="宋体" w:cs="Times New Roman"/>
                <w:b w:val="0"/>
                <w:bCs w:val="0"/>
                <w:color w:val="auto"/>
                <w:kern w:val="1"/>
                <w:sz w:val="24"/>
                <w:szCs w:val="24"/>
                <w:highlight w:val="none"/>
                <w:lang w:eastAsia="zh-CN"/>
              </w:rPr>
              <w:t>磋商文件</w:t>
            </w:r>
            <w:r>
              <w:rPr>
                <w:rFonts w:hint="eastAsia" w:ascii="宋体" w:hAnsi="宋体" w:eastAsia="宋体" w:cs="Times New Roman"/>
                <w:b w:val="0"/>
                <w:bCs w:val="0"/>
                <w:color w:val="auto"/>
                <w:kern w:val="1"/>
                <w:sz w:val="24"/>
                <w:szCs w:val="24"/>
                <w:highlight w:val="none"/>
              </w:rPr>
              <w:t>中要求供应商按照投标（响应）文件格式进行</w:t>
            </w:r>
            <w:r>
              <w:rPr>
                <w:rFonts w:hint="eastAsia" w:ascii="宋体" w:hAnsi="宋体" w:cs="Times New Roman"/>
                <w:b w:val="0"/>
                <w:bCs w:val="0"/>
                <w:color w:val="auto"/>
                <w:kern w:val="1"/>
                <w:sz w:val="24"/>
                <w:szCs w:val="24"/>
                <w:highlight w:val="none"/>
                <w:lang w:eastAsia="zh-CN"/>
              </w:rPr>
              <w:t>响应文件</w:t>
            </w:r>
            <w:r>
              <w:rPr>
                <w:rFonts w:hint="eastAsia" w:ascii="宋体" w:hAnsi="宋体" w:eastAsia="宋体" w:cs="Times New Roman"/>
                <w:b w:val="0"/>
                <w:bCs w:val="0"/>
                <w:color w:val="auto"/>
                <w:kern w:val="1"/>
                <w:sz w:val="24"/>
                <w:szCs w:val="24"/>
                <w:highlight w:val="none"/>
              </w:rPr>
              <w:t>编制，在</w:t>
            </w:r>
            <w:r>
              <w:rPr>
                <w:rFonts w:hint="eastAsia" w:ascii="宋体" w:hAnsi="宋体" w:cs="Times New Roman"/>
                <w:b w:val="0"/>
                <w:bCs w:val="0"/>
                <w:color w:val="auto"/>
                <w:kern w:val="1"/>
                <w:sz w:val="24"/>
                <w:szCs w:val="24"/>
                <w:highlight w:val="none"/>
                <w:lang w:eastAsia="zh-CN"/>
              </w:rPr>
              <w:t>响应文件</w:t>
            </w:r>
            <w:r>
              <w:rPr>
                <w:rFonts w:hint="eastAsia" w:ascii="宋体" w:hAnsi="宋体" w:eastAsia="宋体" w:cs="Times New Roman"/>
                <w:b w:val="0"/>
                <w:bCs w:val="0"/>
                <w:color w:val="auto"/>
                <w:kern w:val="1"/>
                <w:sz w:val="24"/>
                <w:szCs w:val="24"/>
                <w:highlight w:val="none"/>
              </w:rPr>
              <w:t>编制时，应明确将投标单位企业基本情况、资质情况、人员情况、财务情况、业绩情况编入</w:t>
            </w:r>
            <w:r>
              <w:rPr>
                <w:rFonts w:hint="eastAsia" w:ascii="宋体" w:hAnsi="宋体" w:cs="Times New Roman"/>
                <w:b w:val="0"/>
                <w:bCs w:val="0"/>
                <w:color w:val="auto"/>
                <w:kern w:val="1"/>
                <w:sz w:val="24"/>
                <w:szCs w:val="24"/>
                <w:highlight w:val="none"/>
                <w:lang w:eastAsia="zh-CN"/>
              </w:rPr>
              <w:t>响应文件</w:t>
            </w:r>
            <w:r>
              <w:rPr>
                <w:rFonts w:hint="eastAsia" w:ascii="宋体" w:hAnsi="宋体" w:eastAsia="宋体" w:cs="Times New Roman"/>
                <w:b w:val="0"/>
                <w:bCs w:val="0"/>
                <w:color w:val="auto"/>
                <w:kern w:val="1"/>
                <w:sz w:val="24"/>
                <w:szCs w:val="24"/>
                <w:highlight w:val="none"/>
              </w:rPr>
              <w:t>，便于进行资格审查及评标打分以</w:t>
            </w:r>
            <w:r>
              <w:rPr>
                <w:rFonts w:hint="eastAsia" w:ascii="宋体" w:hAnsi="宋体" w:cs="Times New Roman"/>
                <w:b w:val="0"/>
                <w:bCs w:val="0"/>
                <w:color w:val="auto"/>
                <w:kern w:val="1"/>
                <w:sz w:val="24"/>
                <w:szCs w:val="24"/>
                <w:highlight w:val="none"/>
                <w:lang w:eastAsia="zh-CN"/>
              </w:rPr>
              <w:t>响应文件</w:t>
            </w:r>
            <w:r>
              <w:rPr>
                <w:rFonts w:hint="eastAsia" w:ascii="宋体" w:hAnsi="宋体" w:eastAsia="宋体" w:cs="Times New Roman"/>
                <w:b w:val="0"/>
                <w:bCs w:val="0"/>
                <w:color w:val="auto"/>
                <w:kern w:val="1"/>
                <w:sz w:val="24"/>
                <w:szCs w:val="24"/>
                <w:highlight w:val="none"/>
              </w:rPr>
              <w:t>业绩信息为准，可使用电子营业执照。</w:t>
            </w:r>
          </w:p>
          <w:p w14:paraId="1B82D887">
            <w:pPr>
              <w:spacing w:line="360" w:lineRule="auto"/>
              <w:rPr>
                <w:rFonts w:ascii="宋体" w:hAnsi="宋体" w:eastAsia="宋体" w:cs="Times New Roman"/>
                <w:b/>
                <w:color w:val="auto"/>
                <w:kern w:val="1"/>
                <w:sz w:val="24"/>
                <w:szCs w:val="24"/>
                <w:highlight w:val="none"/>
              </w:rPr>
            </w:pPr>
            <w:r>
              <w:rPr>
                <w:rFonts w:hint="eastAsia" w:ascii="宋体" w:hAnsi="宋体" w:eastAsia="宋体" w:cs="Times New Roman"/>
                <w:b w:val="0"/>
                <w:bCs w:val="0"/>
                <w:color w:val="auto"/>
                <w:kern w:val="1"/>
                <w:sz w:val="24"/>
                <w:szCs w:val="24"/>
                <w:highlight w:val="none"/>
              </w:rPr>
              <w:t>4.</w:t>
            </w:r>
            <w:r>
              <w:rPr>
                <w:rFonts w:hint="eastAsia" w:ascii="宋体" w:hAnsi="宋体" w:eastAsia="宋体" w:cs="Times New Roman"/>
                <w:b w:val="0"/>
                <w:bCs w:val="0"/>
                <w:color w:val="auto"/>
                <w:kern w:val="1"/>
                <w:sz w:val="24"/>
                <w:szCs w:val="24"/>
                <w:highlight w:val="none"/>
                <w:lang w:eastAsia="zh-CN"/>
              </w:rPr>
              <w:t>采购人</w:t>
            </w:r>
            <w:r>
              <w:rPr>
                <w:rFonts w:hint="eastAsia" w:ascii="宋体" w:hAnsi="宋体" w:eastAsia="宋体" w:cs="Times New Roman"/>
                <w:b w:val="0"/>
                <w:bCs w:val="0"/>
                <w:color w:val="auto"/>
                <w:kern w:val="1"/>
                <w:sz w:val="24"/>
                <w:szCs w:val="24"/>
                <w:highlight w:val="none"/>
              </w:rPr>
              <w:t>以书面形式向中标人发出中标通知书，同时向未中标企业以书面或电子形式告知未中标原因。</w:t>
            </w:r>
          </w:p>
        </w:tc>
      </w:tr>
      <w:tr w14:paraId="079BD051">
        <w:tblPrEx>
          <w:tblCellMar>
            <w:top w:w="0" w:type="dxa"/>
            <w:left w:w="108" w:type="dxa"/>
            <w:bottom w:w="0" w:type="dxa"/>
            <w:right w:w="108" w:type="dxa"/>
          </w:tblCellMar>
        </w:tblPrEx>
        <w:trPr>
          <w:trHeight w:val="46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55A13B32">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w:t>
            </w:r>
            <w:r>
              <w:rPr>
                <w:rFonts w:ascii="宋体" w:hAnsi="宋体" w:eastAsia="宋体" w:cs="Times New Roman"/>
                <w:color w:val="auto"/>
                <w:sz w:val="24"/>
                <w:szCs w:val="24"/>
                <w:highlight w:val="none"/>
              </w:rPr>
              <w:t>7</w:t>
            </w:r>
          </w:p>
        </w:tc>
        <w:tc>
          <w:tcPr>
            <w:tcW w:w="1838" w:type="dxa"/>
            <w:tcBorders>
              <w:top w:val="single" w:color="auto" w:sz="4" w:space="0"/>
              <w:left w:val="nil"/>
              <w:bottom w:val="single" w:color="auto" w:sz="4" w:space="0"/>
              <w:right w:val="single" w:color="auto" w:sz="4" w:space="0"/>
            </w:tcBorders>
            <w:noWrap w:val="0"/>
            <w:vAlign w:val="center"/>
          </w:tcPr>
          <w:p w14:paraId="333A51B0">
            <w:pPr>
              <w:widowControl/>
              <w:spacing w:line="460" w:lineRule="exact"/>
              <w:jc w:val="cente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电子化交易</w:t>
            </w:r>
          </w:p>
          <w:p w14:paraId="2A168207">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kern w:val="0"/>
                <w:sz w:val="24"/>
                <w:szCs w:val="24"/>
                <w:highlight w:val="none"/>
              </w:rPr>
              <w:t>注意事项</w:t>
            </w:r>
          </w:p>
        </w:tc>
        <w:tc>
          <w:tcPr>
            <w:tcW w:w="6645" w:type="dxa"/>
            <w:tcBorders>
              <w:top w:val="single" w:color="auto" w:sz="4" w:space="0"/>
              <w:left w:val="nil"/>
              <w:bottom w:val="single" w:color="auto" w:sz="4" w:space="0"/>
              <w:right w:val="single" w:color="auto" w:sz="4" w:space="0"/>
            </w:tcBorders>
            <w:noWrap w:val="0"/>
            <w:vAlign w:val="center"/>
          </w:tcPr>
          <w:p w14:paraId="20C01C57">
            <w:pPr>
              <w:spacing w:line="360" w:lineRule="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具体要求：本项目为电子化、无纸化交易项目，磋商响应文件是供应商通过中心磋商响应文件制作系统制作，并经过签章和加密后生成的电子版磋商响应文件。</w:t>
            </w:r>
          </w:p>
          <w:p w14:paraId="3ED91079">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电子化磋商响应文件具体制作文件请点击http://gzjy.smx.gov.cn/fwzn/004003/20200330/0de4b849-7eb7-4f4e-9a30-ae8b6a961d7f.html进行下载。</w:t>
            </w:r>
          </w:p>
          <w:p w14:paraId="075C8509">
            <w:pPr>
              <w:spacing w:line="360" w:lineRule="auto"/>
              <w:rPr>
                <w:rFonts w:ascii="宋体" w:hAnsi="宋体" w:eastAsia="宋体" w:cs="宋体"/>
                <w:color w:val="auto"/>
                <w:sz w:val="24"/>
                <w:szCs w:val="21"/>
                <w:highlight w:val="none"/>
              </w:rPr>
            </w:pPr>
            <w:r>
              <w:rPr>
                <w:rFonts w:hint="eastAsia" w:ascii="宋体" w:hAnsi="宋体" w:eastAsia="宋体" w:cs="宋体"/>
                <w:b/>
                <w:color w:val="auto"/>
                <w:sz w:val="24"/>
                <w:szCs w:val="21"/>
                <w:highlight w:val="none"/>
              </w:rPr>
              <w:t>温馨提示：本项目为电子化、无纸化交易项目，为保证您能投标成功，请需仔细阅读以下条款。</w:t>
            </w:r>
          </w:p>
          <w:p w14:paraId="55D4BF35">
            <w:pPr>
              <w:spacing w:line="360" w:lineRule="auto"/>
              <w:rPr>
                <w:rFonts w:ascii="宋体" w:hAnsi="宋体" w:eastAsia="宋体" w:cs="宋体"/>
                <w:b/>
                <w:color w:val="auto"/>
                <w:sz w:val="24"/>
                <w:szCs w:val="21"/>
                <w:highlight w:val="none"/>
              </w:rPr>
            </w:pPr>
            <w:r>
              <w:rPr>
                <w:rFonts w:hint="eastAsia" w:ascii="宋体" w:hAnsi="宋体" w:eastAsia="宋体" w:cs="宋体"/>
                <w:b/>
                <w:color w:val="auto"/>
                <w:sz w:val="24"/>
                <w:szCs w:val="21"/>
                <w:highlight w:val="none"/>
              </w:rPr>
              <w:t>一、电子化投标</w:t>
            </w:r>
          </w:p>
          <w:p w14:paraId="3ADB9752">
            <w:pPr>
              <w:spacing w:line="360" w:lineRule="auto"/>
              <w:rPr>
                <w:rFonts w:ascii="宋体" w:hAnsi="宋体" w:eastAsia="宋体" w:cs="宋体"/>
                <w:b/>
                <w:color w:val="auto"/>
                <w:sz w:val="24"/>
                <w:szCs w:val="21"/>
                <w:highlight w:val="none"/>
              </w:rPr>
            </w:pPr>
            <w:r>
              <w:rPr>
                <w:rFonts w:hint="eastAsia" w:ascii="宋体" w:hAnsi="宋体" w:eastAsia="宋体" w:cs="宋体"/>
                <w:color w:val="auto"/>
                <w:sz w:val="24"/>
                <w:szCs w:val="21"/>
                <w:highlight w:val="none"/>
              </w:rPr>
              <w:t>（一）网上磋商保证金的缴纳</w:t>
            </w:r>
          </w:p>
          <w:p w14:paraId="2420F6BA">
            <w:pPr>
              <w:spacing w:line="360" w:lineRule="auto"/>
              <w:ind w:firstLine="120" w:firstLineChars="50"/>
              <w:rPr>
                <w:rFonts w:ascii="宋体" w:hAnsi="宋体" w:eastAsia="宋体" w:cs="宋体"/>
                <w:color w:val="auto"/>
                <w:sz w:val="24"/>
                <w:szCs w:val="21"/>
                <w:highlight w:val="none"/>
              </w:rPr>
            </w:pPr>
            <w:r>
              <w:rPr>
                <w:rFonts w:hint="eastAsia" w:ascii="宋体" w:hAnsi="宋体" w:eastAsia="宋体" w:cs="Times New Roman"/>
                <w:color w:val="auto"/>
                <w:sz w:val="24"/>
                <w:szCs w:val="24"/>
                <w:highlight w:val="none"/>
              </w:rPr>
              <w:t>根据《河南省财政厅关于优化政府采购营商环境有关问题的通知》（豫财购【2019】4号）第6条的规定，磋商保证金不再收取</w:t>
            </w:r>
            <w:r>
              <w:rPr>
                <w:rFonts w:hint="eastAsia" w:ascii="宋体" w:hAnsi="宋体" w:eastAsia="宋体" w:cs="宋体"/>
                <w:color w:val="auto"/>
                <w:sz w:val="24"/>
                <w:szCs w:val="21"/>
                <w:highlight w:val="none"/>
              </w:rPr>
              <w:t>。</w:t>
            </w:r>
          </w:p>
          <w:p w14:paraId="6EF4647D">
            <w:pPr>
              <w:spacing w:line="360" w:lineRule="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（二）电子化磋商响应文件的签章</w:t>
            </w:r>
          </w:p>
          <w:p w14:paraId="55AFE6CB">
            <w:pPr>
              <w:spacing w:line="360" w:lineRule="auto"/>
              <w:ind w:firstLine="120" w:firstLineChars="50"/>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1、供应商在生成电子化磋商响应文件后，应对电子化磋商响应文件进行签章，未进行签章的视为无效投标。</w:t>
            </w:r>
          </w:p>
          <w:p w14:paraId="6275BC53">
            <w:pPr>
              <w:spacing w:line="360" w:lineRule="auto"/>
              <w:ind w:firstLine="120" w:firstLineChars="50"/>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2、</w:t>
            </w:r>
            <w:r>
              <w:rPr>
                <w:rFonts w:hint="eastAsia" w:ascii="宋体" w:hAnsi="宋体" w:eastAsia="宋体" w:cs="宋体"/>
                <w:b/>
                <w:color w:val="auto"/>
                <w:sz w:val="24"/>
                <w:szCs w:val="21"/>
                <w:highlight w:val="none"/>
              </w:rPr>
              <w:t>竞争性磋商文件中要求磋商响应供应商盖章的，以签盖单位章为准；要求法定代表人或授权代理人签章的，以签盖法定代表人签章为准</w:t>
            </w:r>
            <w:r>
              <w:rPr>
                <w:rFonts w:hint="eastAsia" w:ascii="宋体" w:hAnsi="宋体" w:eastAsia="宋体" w:cs="宋体"/>
                <w:color w:val="auto"/>
                <w:sz w:val="24"/>
                <w:szCs w:val="21"/>
                <w:highlight w:val="none"/>
              </w:rPr>
              <w:t>。</w:t>
            </w:r>
          </w:p>
          <w:p w14:paraId="01C772AC">
            <w:pPr>
              <w:spacing w:line="360" w:lineRule="auto"/>
              <w:rPr>
                <w:rFonts w:ascii="宋体" w:hAnsi="宋体" w:eastAsia="宋体" w:cs="宋体"/>
                <w:b/>
                <w:color w:val="auto"/>
                <w:sz w:val="24"/>
                <w:szCs w:val="21"/>
                <w:highlight w:val="none"/>
              </w:rPr>
            </w:pPr>
            <w:r>
              <w:rPr>
                <w:rFonts w:hint="eastAsia" w:ascii="宋体" w:hAnsi="宋体" w:eastAsia="宋体" w:cs="宋体"/>
                <w:color w:val="auto"/>
                <w:sz w:val="24"/>
                <w:szCs w:val="21"/>
                <w:highlight w:val="none"/>
              </w:rPr>
              <w:t>（三）电子化磋商响应文件的格式及上传投标</w:t>
            </w:r>
          </w:p>
          <w:p w14:paraId="26796374">
            <w:pPr>
              <w:spacing w:line="360" w:lineRule="auto"/>
              <w:ind w:firstLine="120" w:firstLineChars="50"/>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1、供应商所上传的电子化磋商响应文件，应是通过中心磋商响应文件制作系统制作的，经过签章和加密后生成的电子版磋商响应文件。其中包含用于磋商响应文件上传的主文件（后缀为.smxtf）和用于应急补救的磋商响应文件备份文件（后缀为.nsmxtf）。</w:t>
            </w:r>
          </w:p>
          <w:p w14:paraId="04F476F9">
            <w:pPr>
              <w:spacing w:line="360" w:lineRule="auto"/>
              <w:ind w:firstLine="240" w:firstLineChars="100"/>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2、电子化磋商响应文件应在投标截止时间前成功上传至三门峡市公共资源电子化交易系统。至投标截止时间止，仍未上传成功的电子化磋商响应文件将不予接收。</w:t>
            </w:r>
          </w:p>
          <w:p w14:paraId="51EE09BD">
            <w:pPr>
              <w:spacing w:line="360" w:lineRule="auto"/>
              <w:ind w:firstLine="241" w:firstLineChars="100"/>
              <w:rPr>
                <w:rFonts w:ascii="宋体" w:hAnsi="宋体" w:eastAsia="宋体" w:cs="宋体"/>
                <w:color w:val="auto"/>
                <w:sz w:val="24"/>
                <w:szCs w:val="21"/>
                <w:highlight w:val="none"/>
              </w:rPr>
            </w:pPr>
            <w:r>
              <w:rPr>
                <w:rFonts w:hint="eastAsia" w:ascii="宋体" w:hAnsi="宋体" w:eastAsia="宋体" w:cs="宋体"/>
                <w:b/>
                <w:color w:val="auto"/>
                <w:sz w:val="24"/>
                <w:szCs w:val="21"/>
                <w:highlight w:val="none"/>
              </w:rPr>
              <w:t>注：</w:t>
            </w:r>
            <w:r>
              <w:rPr>
                <w:rFonts w:hint="eastAsia" w:ascii="宋体" w:hAnsi="宋体" w:eastAsia="宋体" w:cs="宋体"/>
                <w:color w:val="auto"/>
                <w:sz w:val="24"/>
                <w:szCs w:val="21"/>
                <w:highlight w:val="none"/>
              </w:rPr>
              <w:t>如按照电子化投标操作教材制作完成的电子化磋商响应文件无法上传的，供应商应在</w:t>
            </w:r>
            <w:r>
              <w:rPr>
                <w:rFonts w:hint="eastAsia" w:ascii="宋体" w:hAnsi="宋体" w:eastAsia="宋体" w:cs="宋体"/>
                <w:b/>
                <w:color w:val="auto"/>
                <w:sz w:val="24"/>
                <w:szCs w:val="21"/>
                <w:highlight w:val="none"/>
              </w:rPr>
              <w:t>投标截止时间前尽早的</w:t>
            </w:r>
            <w:r>
              <w:rPr>
                <w:rFonts w:hint="eastAsia" w:ascii="宋体" w:hAnsi="宋体" w:eastAsia="宋体" w:cs="宋体"/>
                <w:color w:val="auto"/>
                <w:sz w:val="24"/>
                <w:szCs w:val="21"/>
                <w:highlight w:val="none"/>
              </w:rPr>
              <w:t>联系中心技术人员，以便有充分的时间进行处理。</w:t>
            </w:r>
            <w:r>
              <w:rPr>
                <w:rFonts w:hint="eastAsia" w:ascii="宋体" w:hAnsi="宋体" w:eastAsia="宋体" w:cs="宋体"/>
                <w:b/>
                <w:color w:val="auto"/>
                <w:sz w:val="24"/>
                <w:szCs w:val="21"/>
                <w:highlight w:val="none"/>
              </w:rPr>
              <w:t>供应商应充分考虑到处理技术问题和上传数据等工作所需的时间问题，磋商响应文件未在投标截止时间前成功上传的，其磋商响应文件不予接收。</w:t>
            </w:r>
          </w:p>
          <w:p w14:paraId="550C3E14">
            <w:pPr>
              <w:spacing w:line="360" w:lineRule="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（四）电子化项目开标、解密、唱标、评标</w:t>
            </w:r>
          </w:p>
          <w:p w14:paraId="0C9DE31F">
            <w:pPr>
              <w:spacing w:line="360" w:lineRule="auto"/>
              <w:ind w:firstLine="120" w:firstLineChars="50"/>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1、本项目采用</w:t>
            </w:r>
            <w:r>
              <w:rPr>
                <w:rFonts w:hint="eastAsia" w:ascii="宋体" w:hAnsi="宋体" w:eastAsia="宋体" w:cs="宋体"/>
                <w:b/>
                <w:color w:val="auto"/>
                <w:sz w:val="24"/>
                <w:szCs w:val="21"/>
                <w:highlight w:val="none"/>
              </w:rPr>
              <w:t>电子化、无纸化</w:t>
            </w:r>
            <w:r>
              <w:rPr>
                <w:rFonts w:hint="eastAsia" w:ascii="宋体" w:hAnsi="宋体" w:eastAsia="宋体" w:cs="宋体"/>
                <w:color w:val="auto"/>
                <w:sz w:val="24"/>
                <w:szCs w:val="21"/>
                <w:highlight w:val="none"/>
              </w:rPr>
              <w:t>进行招标，开标当日，供应商无需到开标现场参加开标会议，供应商应当在投标截止时间前，登陆不见面开标大厅选择登陆三门峡市公共资源电子招投标系统进行登陆,在线准时参加开标活动并进行磋商响应文件解密等</w:t>
            </w:r>
          </w:p>
          <w:p w14:paraId="74CEB326">
            <w:pPr>
              <w:spacing w:line="360" w:lineRule="auto"/>
              <w:ind w:firstLine="120" w:firstLineChars="50"/>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2、电子化磋商响应文件采用一次加密方式。开标时，由供应商使用CA 证书，在规定时间内对其电子化磋商响应文件进行解密。每位供应商的解密时间为开标时间起30 分钟内，如在规定时间内未完成解密的，其磋商响应文件不予开标、唱标。</w:t>
            </w:r>
          </w:p>
          <w:p w14:paraId="23935E6C">
            <w:pPr>
              <w:spacing w:line="360" w:lineRule="auto"/>
              <w:ind w:firstLine="120" w:firstLineChars="50"/>
              <w:rPr>
                <w:rFonts w:ascii="宋体" w:hAnsi="宋体" w:eastAsia="宋体" w:cs="宋体"/>
                <w:b/>
                <w:color w:val="auto"/>
                <w:sz w:val="24"/>
                <w:szCs w:val="21"/>
                <w:highlight w:val="none"/>
              </w:rPr>
            </w:pPr>
            <w:r>
              <w:rPr>
                <w:rFonts w:hint="eastAsia" w:ascii="宋体" w:hAnsi="宋体" w:eastAsia="宋体" w:cs="宋体"/>
                <w:color w:val="auto"/>
                <w:sz w:val="24"/>
                <w:szCs w:val="21"/>
                <w:highlight w:val="none"/>
              </w:rPr>
              <w:t>3、电子化磋商响应文件解密异常的处理</w:t>
            </w:r>
          </w:p>
          <w:p w14:paraId="75C126C2">
            <w:pPr>
              <w:spacing w:line="360" w:lineRule="auto"/>
              <w:ind w:firstLine="120" w:firstLineChars="50"/>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如出现供应商的电子磋商响应文件无法解密等异常情况，供应商应及时致电中介服务机构说明。磋商响应文件异常，按以下步骤进行处理：</w:t>
            </w:r>
          </w:p>
          <w:p w14:paraId="1ED6A12D">
            <w:pPr>
              <w:spacing w:line="360" w:lineRule="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（1）首先由技术人员进行问题排查。</w:t>
            </w:r>
          </w:p>
          <w:p w14:paraId="10F02542">
            <w:pPr>
              <w:spacing w:line="360" w:lineRule="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（2）经技术人员排查后，是供应商文件自身问题导致磋商响应文件无法解密的，该磋商响应文件将不予接收、解密和唱标。开标会议继续进行。</w:t>
            </w:r>
          </w:p>
          <w:p w14:paraId="301AC07A">
            <w:pPr>
              <w:spacing w:line="360" w:lineRule="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3）经技术人员排查后，如果是电子化交易系统问题造成磋商响应文件无法解密的，将由技术人员对问题进行处理。如短时间内问题无法解决的，将由中介服务机构向监督部门申请，经监督部门同意后，暂停开标会议，待问题解决后继续开标。</w:t>
            </w:r>
          </w:p>
          <w:p w14:paraId="0FFA3CD1">
            <w:pPr>
              <w:spacing w:line="360" w:lineRule="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4、待所有供应商磋商响应文件解密完成后，由中介服务机构操作，对所有已解密磋商响应文件进行唱标。</w:t>
            </w:r>
          </w:p>
          <w:p w14:paraId="4EA177BC">
            <w:pPr>
              <w:spacing w:line="360" w:lineRule="auto"/>
              <w:rPr>
                <w:rFonts w:ascii="宋体" w:hAnsi="宋体" w:eastAsia="宋体" w:cs="宋体"/>
                <w:color w:val="auto"/>
                <w:sz w:val="24"/>
                <w:szCs w:val="21"/>
                <w:highlight w:val="none"/>
              </w:rPr>
            </w:pPr>
            <w:r>
              <w:rPr>
                <w:rFonts w:hint="eastAsia" w:ascii="宋体" w:hAnsi="宋体" w:eastAsia="宋体" w:cs="宋体"/>
                <w:b/>
                <w:color w:val="auto"/>
                <w:sz w:val="24"/>
                <w:szCs w:val="21"/>
                <w:highlight w:val="none"/>
              </w:rPr>
              <w:t>供应商应保证在开标期间电话、电脑、网络能够正常工作，供应商因停电、电脑病毒、网络堵塞等原因，未在规定的解密时间内对磋商响应文件进行解密的，其磋商响应文件不予接收、唱标。</w:t>
            </w:r>
          </w:p>
          <w:p w14:paraId="49230B8D">
            <w:pPr>
              <w:spacing w:line="360" w:lineRule="auto"/>
              <w:rPr>
                <w:rFonts w:ascii="宋体" w:hAnsi="宋体" w:eastAsia="宋体" w:cs="宋体"/>
                <w:color w:val="auto"/>
                <w:sz w:val="24"/>
                <w:szCs w:val="21"/>
                <w:highlight w:val="none"/>
              </w:rPr>
            </w:pPr>
            <w:r>
              <w:rPr>
                <w:rFonts w:ascii="宋体" w:hAnsi="宋体" w:eastAsia="宋体" w:cs="宋体"/>
                <w:color w:val="auto"/>
                <w:sz w:val="24"/>
                <w:szCs w:val="21"/>
                <w:highlight w:val="none"/>
              </w:rPr>
              <w:t>5</w:t>
            </w:r>
            <w:r>
              <w:rPr>
                <w:rFonts w:hint="eastAsia" w:ascii="宋体" w:hAnsi="宋体" w:eastAsia="宋体" w:cs="宋体"/>
                <w:color w:val="auto"/>
                <w:sz w:val="24"/>
                <w:szCs w:val="21"/>
                <w:highlight w:val="none"/>
              </w:rPr>
              <w:t>、评标时，</w:t>
            </w:r>
            <w:r>
              <w:rPr>
                <w:rFonts w:hint="eastAsia" w:ascii="宋体" w:hAnsi="宋体" w:cs="宋体"/>
                <w:color w:val="auto"/>
                <w:sz w:val="24"/>
                <w:szCs w:val="21"/>
                <w:highlight w:val="none"/>
                <w:lang w:eastAsia="zh-CN"/>
              </w:rPr>
              <w:t>磋商小组</w:t>
            </w:r>
            <w:r>
              <w:rPr>
                <w:rFonts w:hint="eastAsia" w:ascii="宋体" w:hAnsi="宋体" w:eastAsia="宋体" w:cs="宋体"/>
                <w:color w:val="auto"/>
                <w:sz w:val="24"/>
                <w:szCs w:val="21"/>
                <w:highlight w:val="none"/>
              </w:rPr>
              <w:t>对电子化磋商响应文件有质疑的，将通过电子化交易系统对供应商发起质疑，并在监督人员的监督下，用免提模式致电需要答复的供应商对质疑进行回复。供应商的回复文件必须以经过供应商和其法定代表人签章的PDF格式文件为准，并通过电子化交易系统提交至</w:t>
            </w:r>
            <w:r>
              <w:rPr>
                <w:rFonts w:hint="eastAsia" w:ascii="宋体" w:hAnsi="宋体" w:cs="宋体"/>
                <w:color w:val="auto"/>
                <w:sz w:val="24"/>
                <w:szCs w:val="21"/>
                <w:highlight w:val="none"/>
                <w:lang w:eastAsia="zh-CN"/>
              </w:rPr>
              <w:t>磋商小组</w:t>
            </w:r>
            <w:r>
              <w:rPr>
                <w:rFonts w:hint="eastAsia" w:ascii="宋体" w:hAnsi="宋体" w:eastAsia="宋体" w:cs="宋体"/>
                <w:color w:val="auto"/>
                <w:sz w:val="24"/>
                <w:szCs w:val="21"/>
                <w:highlight w:val="none"/>
              </w:rPr>
              <w:t>。</w:t>
            </w:r>
          </w:p>
          <w:p w14:paraId="410ED189">
            <w:pPr>
              <w:spacing w:line="360" w:lineRule="auto"/>
              <w:rPr>
                <w:rFonts w:ascii="宋体" w:hAnsi="宋体" w:eastAsia="宋体" w:cs="宋体"/>
                <w:color w:val="auto"/>
                <w:sz w:val="24"/>
                <w:szCs w:val="21"/>
                <w:highlight w:val="none"/>
              </w:rPr>
            </w:pPr>
            <w:r>
              <w:rPr>
                <w:rFonts w:ascii="宋体" w:hAnsi="宋体" w:eastAsia="宋体" w:cs="宋体"/>
                <w:color w:val="auto"/>
                <w:sz w:val="24"/>
                <w:szCs w:val="21"/>
                <w:highlight w:val="none"/>
              </w:rPr>
              <w:t>6</w:t>
            </w:r>
            <w:r>
              <w:rPr>
                <w:rFonts w:hint="eastAsia" w:ascii="宋体" w:hAnsi="宋体" w:eastAsia="宋体" w:cs="宋体"/>
                <w:color w:val="auto"/>
                <w:sz w:val="24"/>
                <w:szCs w:val="21"/>
                <w:highlight w:val="none"/>
              </w:rPr>
              <w:t>、如</w:t>
            </w:r>
            <w:r>
              <w:rPr>
                <w:rFonts w:hint="eastAsia" w:ascii="宋体" w:hAnsi="宋体" w:cs="宋体"/>
                <w:color w:val="auto"/>
                <w:sz w:val="24"/>
                <w:szCs w:val="21"/>
                <w:highlight w:val="none"/>
                <w:lang w:eastAsia="zh-CN"/>
              </w:rPr>
              <w:t>磋商小组</w:t>
            </w:r>
            <w:r>
              <w:rPr>
                <w:rFonts w:hint="eastAsia" w:ascii="宋体" w:hAnsi="宋体" w:eastAsia="宋体" w:cs="宋体"/>
                <w:color w:val="auto"/>
                <w:sz w:val="24"/>
                <w:szCs w:val="21"/>
                <w:highlight w:val="none"/>
              </w:rPr>
              <w:t>对需要回复的供应商连续三次致电未接通的，视为供应商放弃回复，</w:t>
            </w:r>
            <w:r>
              <w:rPr>
                <w:rFonts w:hint="eastAsia" w:ascii="宋体" w:hAnsi="宋体" w:cs="宋体"/>
                <w:color w:val="auto"/>
                <w:sz w:val="24"/>
                <w:szCs w:val="21"/>
                <w:highlight w:val="none"/>
                <w:lang w:eastAsia="zh-CN"/>
              </w:rPr>
              <w:t>磋商小组</w:t>
            </w:r>
            <w:r>
              <w:rPr>
                <w:rFonts w:hint="eastAsia" w:ascii="宋体" w:hAnsi="宋体" w:eastAsia="宋体" w:cs="宋体"/>
                <w:color w:val="auto"/>
                <w:sz w:val="24"/>
                <w:szCs w:val="21"/>
                <w:highlight w:val="none"/>
              </w:rPr>
              <w:t>将自行对需要回复的内容进行认定。</w:t>
            </w:r>
          </w:p>
          <w:p w14:paraId="540A2205">
            <w:pPr>
              <w:spacing w:line="360" w:lineRule="auto"/>
              <w:rPr>
                <w:rFonts w:ascii="宋体" w:hAnsi="宋体" w:eastAsia="宋体" w:cs="宋体"/>
                <w:b/>
                <w:bCs/>
                <w:color w:val="auto"/>
                <w:sz w:val="24"/>
                <w:szCs w:val="21"/>
                <w:highlight w:val="none"/>
              </w:rPr>
            </w:pPr>
            <w:r>
              <w:rPr>
                <w:rFonts w:hint="eastAsia" w:ascii="宋体" w:hAnsi="宋体" w:eastAsia="宋体" w:cs="宋体"/>
                <w:b/>
                <w:bCs/>
                <w:color w:val="auto"/>
                <w:sz w:val="24"/>
                <w:szCs w:val="21"/>
                <w:highlight w:val="none"/>
              </w:rPr>
              <w:t>二、相关证书原件的提交</w:t>
            </w:r>
          </w:p>
          <w:p w14:paraId="5B77A38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本项目实行资格后审，以</w:t>
            </w:r>
            <w:r>
              <w:rPr>
                <w:rFonts w:hint="eastAsia" w:ascii="宋体" w:hAnsi="宋体" w:eastAsia="宋体" w:cs="宋体"/>
                <w:color w:val="auto"/>
                <w:sz w:val="24"/>
                <w:szCs w:val="21"/>
                <w:highlight w:val="none"/>
                <w:lang w:eastAsia="zh-CN"/>
              </w:rPr>
              <w:t>响应文件</w:t>
            </w:r>
            <w:r>
              <w:rPr>
                <w:rFonts w:hint="eastAsia" w:ascii="宋体" w:hAnsi="宋体" w:eastAsia="宋体" w:cs="宋体"/>
                <w:color w:val="auto"/>
                <w:sz w:val="24"/>
                <w:szCs w:val="21"/>
                <w:highlight w:val="none"/>
              </w:rPr>
              <w:t>为准，其上传资料真实性由</w:t>
            </w:r>
            <w:r>
              <w:rPr>
                <w:rFonts w:hint="eastAsia" w:ascii="宋体" w:hAnsi="宋体" w:eastAsia="宋体" w:cs="宋体"/>
                <w:color w:val="auto"/>
                <w:sz w:val="24"/>
                <w:szCs w:val="21"/>
                <w:highlight w:val="none"/>
                <w:lang w:eastAsia="zh-CN"/>
              </w:rPr>
              <w:t>供应商</w:t>
            </w:r>
            <w:r>
              <w:rPr>
                <w:rFonts w:hint="eastAsia" w:ascii="宋体" w:hAnsi="宋体" w:eastAsia="宋体" w:cs="宋体"/>
                <w:color w:val="auto"/>
                <w:sz w:val="24"/>
                <w:szCs w:val="21"/>
                <w:highlight w:val="none"/>
              </w:rPr>
              <w:t>自行承担，同时，</w:t>
            </w:r>
            <w:r>
              <w:rPr>
                <w:rFonts w:hint="eastAsia" w:ascii="宋体" w:hAnsi="宋体" w:eastAsia="宋体" w:cs="宋体"/>
                <w:color w:val="auto"/>
                <w:sz w:val="24"/>
                <w:szCs w:val="21"/>
                <w:highlight w:val="none"/>
                <w:lang w:eastAsia="zh-CN"/>
              </w:rPr>
              <w:t>供应商</w:t>
            </w:r>
            <w:r>
              <w:rPr>
                <w:rFonts w:hint="eastAsia" w:ascii="宋体" w:hAnsi="宋体" w:eastAsia="宋体" w:cs="宋体"/>
                <w:color w:val="auto"/>
                <w:sz w:val="24"/>
                <w:szCs w:val="21"/>
                <w:highlight w:val="none"/>
              </w:rPr>
              <w:t>要完善主体库。</w:t>
            </w:r>
          </w:p>
          <w:p w14:paraId="39A10BA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lang w:eastAsia="zh-CN"/>
              </w:rPr>
              <w:t>磋商小组</w:t>
            </w:r>
            <w:r>
              <w:rPr>
                <w:rFonts w:hint="eastAsia" w:ascii="宋体" w:hAnsi="宋体" w:eastAsia="宋体" w:cs="宋体"/>
                <w:color w:val="auto"/>
                <w:sz w:val="24"/>
                <w:szCs w:val="21"/>
                <w:highlight w:val="none"/>
              </w:rPr>
              <w:t>对原件的核验工作按以下条款进行：</w:t>
            </w:r>
          </w:p>
          <w:p w14:paraId="372A944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供应商需应仔细阅读操作手册，保证上传内容齐全，真实有效，原件扫描件清晰可辨。因供应商上传原因导致应得分项而未得分或资格审查不合格等情况的，由供应商自行承担责任。</w:t>
            </w:r>
          </w:p>
          <w:p w14:paraId="0F0B7681">
            <w:pPr>
              <w:widowControl/>
              <w:spacing w:line="460" w:lineRule="exact"/>
              <w:ind w:firstLine="241" w:firstLineChars="100"/>
              <w:rPr>
                <w:rFonts w:ascii="宋体" w:hAnsi="宋体" w:eastAsia="宋体" w:cs="Times New Roman"/>
                <w:color w:val="auto"/>
                <w:kern w:val="0"/>
                <w:sz w:val="24"/>
                <w:szCs w:val="24"/>
                <w:highlight w:val="none"/>
                <w:shd w:val="clear" w:color="auto" w:fill="FFFFFF"/>
              </w:rPr>
            </w:pPr>
            <w:r>
              <w:rPr>
                <w:rFonts w:hint="eastAsia" w:ascii="宋体" w:hAnsi="宋体" w:eastAsia="宋体" w:cs="宋体"/>
                <w:b/>
                <w:color w:val="auto"/>
                <w:sz w:val="24"/>
                <w:szCs w:val="21"/>
                <w:highlight w:val="none"/>
              </w:rPr>
              <w:t>提示：本项目为电子化、无纸化交易项目，为保证您能投标成功，请需仔细阅读以上条款。</w:t>
            </w:r>
          </w:p>
        </w:tc>
      </w:tr>
    </w:tbl>
    <w:p w14:paraId="26E709E1">
      <w:pPr>
        <w:rPr>
          <w:rFonts w:hint="eastAsia"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br w:type="page"/>
      </w:r>
    </w:p>
    <w:p w14:paraId="7B6CBBF0">
      <w:pPr>
        <w:spacing w:line="360" w:lineRule="auto"/>
        <w:ind w:firstLine="318" w:firstLineChars="132"/>
        <w:outlineLvl w:val="1"/>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总则</w:t>
      </w:r>
    </w:p>
    <w:p w14:paraId="6C1B93E5">
      <w:pPr>
        <w:spacing w:line="360" w:lineRule="auto"/>
        <w:ind w:firstLine="318" w:firstLineChars="132"/>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1</w:t>
      </w:r>
      <w:r>
        <w:rPr>
          <w:rFonts w:hint="eastAsia" w:ascii="宋体" w:hAnsi="宋体" w:eastAsia="宋体" w:cs="Times New Roman"/>
          <w:b/>
          <w:bCs/>
          <w:color w:val="auto"/>
          <w:sz w:val="24"/>
          <w:szCs w:val="24"/>
          <w:highlight w:val="none"/>
        </w:rPr>
        <w:t>、项目概况</w:t>
      </w:r>
    </w:p>
    <w:p w14:paraId="674C56DD">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r>
        <w:rPr>
          <w:rFonts w:hint="eastAsia" w:ascii="宋体" w:hAnsi="宋体" w:cs="宋体"/>
          <w:color w:val="auto"/>
          <w:sz w:val="24"/>
          <w:szCs w:val="24"/>
          <w:highlight w:val="none"/>
          <w:lang w:val="en-US" w:eastAsia="zh-CN"/>
        </w:rPr>
        <w:t>工程概况</w:t>
      </w:r>
      <w:r>
        <w:rPr>
          <w:rFonts w:hint="eastAsia" w:ascii="宋体" w:hAnsi="宋体" w:eastAsia="宋体" w:cs="宋体"/>
          <w:color w:val="auto"/>
          <w:sz w:val="24"/>
          <w:szCs w:val="24"/>
          <w:highlight w:val="none"/>
        </w:rPr>
        <w:t>：详见供应商须知前附表。</w:t>
      </w:r>
    </w:p>
    <w:p w14:paraId="47B88BF0">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1.2资金来源：详见供应商须知前附表。</w:t>
      </w:r>
    </w:p>
    <w:p w14:paraId="125C472C">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质量要求：详见供应商须知前附表。</w:t>
      </w:r>
    </w:p>
    <w:p w14:paraId="37727EA1">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cs="宋体"/>
          <w:color w:val="auto"/>
          <w:sz w:val="24"/>
          <w:szCs w:val="24"/>
          <w:highlight w:val="none"/>
          <w:lang w:val="en-US" w:eastAsia="zh-CN"/>
        </w:rPr>
        <w:t>计划工期</w:t>
      </w:r>
      <w:r>
        <w:rPr>
          <w:rFonts w:hint="eastAsia" w:ascii="宋体" w:hAnsi="宋体" w:eastAsia="宋体" w:cs="宋体"/>
          <w:color w:val="auto"/>
          <w:sz w:val="24"/>
          <w:szCs w:val="24"/>
          <w:highlight w:val="none"/>
        </w:rPr>
        <w:t>：详见供应商须知前附表。</w:t>
      </w:r>
    </w:p>
    <w:p w14:paraId="274A3DED">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cs="宋体"/>
          <w:color w:val="auto"/>
          <w:sz w:val="24"/>
          <w:szCs w:val="24"/>
          <w:highlight w:val="none"/>
          <w:lang w:val="en-US" w:eastAsia="zh-CN"/>
        </w:rPr>
        <w:t>质量要求</w:t>
      </w:r>
      <w:r>
        <w:rPr>
          <w:rFonts w:hint="eastAsia" w:ascii="宋体" w:hAnsi="宋体" w:eastAsia="宋体" w:cs="宋体"/>
          <w:color w:val="auto"/>
          <w:sz w:val="24"/>
          <w:szCs w:val="24"/>
          <w:highlight w:val="none"/>
        </w:rPr>
        <w:t>：详见供应商须知前附表。</w:t>
      </w:r>
    </w:p>
    <w:p w14:paraId="42C3BE7F">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、合格的磋商响应供应商</w:t>
      </w:r>
    </w:p>
    <w:p w14:paraId="71200AD5">
      <w:pPr>
        <w:spacing w:line="360" w:lineRule="auto"/>
        <w:ind w:firstLine="422" w:firstLineChars="176"/>
        <w:rPr>
          <w:rFonts w:ascii="宋体" w:hAnsi="宋体" w:eastAsia="宋体" w:cs="Times New Roman"/>
          <w:color w:val="auto"/>
          <w:kern w:val="0"/>
          <w:sz w:val="24"/>
          <w:szCs w:val="24"/>
          <w:highlight w:val="none"/>
        </w:rPr>
      </w:pPr>
      <w:r>
        <w:rPr>
          <w:rFonts w:hint="eastAsia" w:ascii="宋体" w:hAnsi="宋体" w:eastAsia="宋体" w:cs="Times New Roman"/>
          <w:color w:val="auto"/>
          <w:sz w:val="24"/>
          <w:szCs w:val="24"/>
          <w:highlight w:val="none"/>
        </w:rPr>
        <w:t>详见</w:t>
      </w:r>
      <w:r>
        <w:rPr>
          <w:rFonts w:hint="eastAsia" w:ascii="宋体" w:hAnsi="宋体" w:eastAsia="宋体" w:cs="Times New Roman"/>
          <w:color w:val="auto"/>
          <w:kern w:val="0"/>
          <w:sz w:val="24"/>
          <w:szCs w:val="24"/>
          <w:highlight w:val="none"/>
        </w:rPr>
        <w:t>供应商须知前附表</w:t>
      </w:r>
    </w:p>
    <w:p w14:paraId="6615D0A9">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3</w:t>
      </w:r>
      <w:r>
        <w:rPr>
          <w:rFonts w:hint="eastAsia" w:ascii="宋体" w:hAnsi="宋体" w:eastAsia="宋体" w:cs="Times New Roman"/>
          <w:b/>
          <w:bCs/>
          <w:color w:val="auto"/>
          <w:sz w:val="24"/>
          <w:szCs w:val="24"/>
          <w:highlight w:val="none"/>
        </w:rPr>
        <w:t>、费用</w:t>
      </w:r>
    </w:p>
    <w:p w14:paraId="3C17BF02">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3.1</w:t>
      </w:r>
      <w:r>
        <w:rPr>
          <w:rFonts w:hint="eastAsia" w:ascii="宋体" w:hAnsi="宋体" w:eastAsia="宋体" w:cs="Times New Roman"/>
          <w:color w:val="auto"/>
          <w:sz w:val="24"/>
          <w:szCs w:val="24"/>
          <w:highlight w:val="none"/>
        </w:rPr>
        <w:t>磋商响应供应商应自行承担参加磋商活动有关的全部费用，采购人在任何情况下均无义务和责任承担上述费用。</w:t>
      </w:r>
    </w:p>
    <w:p w14:paraId="02004BCC">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4</w:t>
      </w:r>
      <w:r>
        <w:rPr>
          <w:rFonts w:hint="eastAsia" w:ascii="宋体" w:hAnsi="宋体" w:eastAsia="宋体" w:cs="Times New Roman"/>
          <w:b/>
          <w:bCs/>
          <w:color w:val="auto"/>
          <w:sz w:val="24"/>
          <w:szCs w:val="24"/>
          <w:highlight w:val="none"/>
        </w:rPr>
        <w:t>、竞争性磋商文件的构成</w:t>
      </w:r>
    </w:p>
    <w:p w14:paraId="4CDC9527">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第一章  竞争性磋商公告</w:t>
      </w:r>
    </w:p>
    <w:p w14:paraId="05964BBF">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第二章  供应商须知</w:t>
      </w:r>
    </w:p>
    <w:p w14:paraId="1F291B1D">
      <w:pPr>
        <w:spacing w:line="360" w:lineRule="auto"/>
        <w:ind w:firstLine="422" w:firstLineChars="176"/>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第三章  评</w:t>
      </w:r>
      <w:r>
        <w:rPr>
          <w:rFonts w:hint="eastAsia" w:ascii="宋体" w:hAnsi="宋体" w:cs="Times New Roman"/>
          <w:color w:val="auto"/>
          <w:sz w:val="24"/>
          <w:szCs w:val="24"/>
          <w:highlight w:val="none"/>
          <w:lang w:val="en-US" w:eastAsia="zh-CN"/>
        </w:rPr>
        <w:t>标</w:t>
      </w:r>
      <w:r>
        <w:rPr>
          <w:rFonts w:hint="eastAsia" w:ascii="宋体" w:hAnsi="宋体" w:eastAsia="宋体" w:cs="Times New Roman"/>
          <w:color w:val="auto"/>
          <w:sz w:val="24"/>
          <w:szCs w:val="24"/>
          <w:highlight w:val="none"/>
        </w:rPr>
        <w:t>办法</w:t>
      </w:r>
    </w:p>
    <w:p w14:paraId="6D57F021">
      <w:pPr>
        <w:spacing w:line="360" w:lineRule="auto"/>
        <w:ind w:firstLine="422" w:firstLineChars="176"/>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rPr>
        <w:t xml:space="preserve">第四章  </w:t>
      </w:r>
      <w:r>
        <w:rPr>
          <w:rFonts w:hint="eastAsia" w:ascii="宋体" w:hAnsi="宋体" w:eastAsia="宋体" w:cs="Times New Roman"/>
          <w:color w:val="auto"/>
          <w:sz w:val="24"/>
          <w:szCs w:val="24"/>
          <w:highlight w:val="none"/>
          <w:lang w:val="en-US" w:eastAsia="zh-CN"/>
        </w:rPr>
        <w:t>合同</w:t>
      </w:r>
      <w:r>
        <w:rPr>
          <w:rFonts w:hint="eastAsia" w:ascii="宋体" w:hAnsi="宋体" w:cs="Times New Roman"/>
          <w:color w:val="auto"/>
          <w:sz w:val="24"/>
          <w:szCs w:val="24"/>
          <w:highlight w:val="none"/>
          <w:lang w:val="en-US" w:eastAsia="zh-CN"/>
        </w:rPr>
        <w:t>主要条款及格式</w:t>
      </w:r>
    </w:p>
    <w:p w14:paraId="78CF9DBC">
      <w:pPr>
        <w:spacing w:line="360" w:lineRule="auto"/>
        <w:ind w:firstLine="422" w:firstLineChars="176"/>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rPr>
        <w:t xml:space="preserve">第五章  </w:t>
      </w:r>
      <w:r>
        <w:rPr>
          <w:rFonts w:hint="eastAsia" w:ascii="宋体" w:hAnsi="宋体" w:cs="Times New Roman"/>
          <w:color w:val="auto"/>
          <w:sz w:val="24"/>
          <w:szCs w:val="24"/>
          <w:highlight w:val="none"/>
          <w:lang w:val="en-US" w:eastAsia="zh-CN"/>
        </w:rPr>
        <w:t>工程量清单</w:t>
      </w:r>
    </w:p>
    <w:p w14:paraId="5BF05207">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 xml:space="preserve">第六章  </w:t>
      </w:r>
      <w:r>
        <w:rPr>
          <w:rFonts w:hint="eastAsia" w:ascii="宋体" w:hAnsi="宋体" w:eastAsia="宋体" w:cs="Times New Roman"/>
          <w:color w:val="auto"/>
          <w:sz w:val="24"/>
          <w:szCs w:val="24"/>
          <w:highlight w:val="none"/>
          <w:lang w:val="en-US" w:eastAsia="zh-CN"/>
        </w:rPr>
        <w:t>电子化响应文件内容及格</w:t>
      </w:r>
      <w:r>
        <w:rPr>
          <w:rFonts w:hint="eastAsia" w:ascii="宋体" w:hAnsi="宋体" w:eastAsia="宋体" w:cs="Times New Roman"/>
          <w:color w:val="auto"/>
          <w:sz w:val="24"/>
          <w:szCs w:val="24"/>
          <w:highlight w:val="none"/>
        </w:rPr>
        <w:t>式</w:t>
      </w:r>
    </w:p>
    <w:p w14:paraId="4FA04E30">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5</w:t>
      </w:r>
      <w:r>
        <w:rPr>
          <w:rFonts w:hint="eastAsia" w:ascii="宋体" w:hAnsi="宋体" w:eastAsia="宋体" w:cs="Times New Roman"/>
          <w:b/>
          <w:bCs/>
          <w:color w:val="auto"/>
          <w:sz w:val="24"/>
          <w:szCs w:val="24"/>
          <w:highlight w:val="none"/>
        </w:rPr>
        <w:t>、竞争性磋商文件的澄清</w:t>
      </w:r>
    </w:p>
    <w:p w14:paraId="11B83982">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5.1</w:t>
      </w:r>
      <w:r>
        <w:rPr>
          <w:rFonts w:hint="eastAsia" w:ascii="宋体" w:hAnsi="宋体" w:eastAsia="宋体" w:cs="Times New Roman"/>
          <w:color w:val="auto"/>
          <w:sz w:val="24"/>
          <w:szCs w:val="24"/>
          <w:highlight w:val="none"/>
        </w:rPr>
        <w:t>磋商响应供应商对磋商文件需有澄清或疑问，应在购买竞争性磋商文件后</w:t>
      </w:r>
      <w:r>
        <w:rPr>
          <w:rFonts w:ascii="宋体" w:hAnsi="宋体" w:eastAsia="宋体" w:cs="Times New Roman"/>
          <w:color w:val="auto"/>
          <w:sz w:val="24"/>
          <w:szCs w:val="24"/>
          <w:highlight w:val="none"/>
        </w:rPr>
        <w:t>5</w:t>
      </w:r>
      <w:r>
        <w:rPr>
          <w:rFonts w:hint="eastAsia" w:ascii="宋体" w:hAnsi="宋体" w:eastAsia="宋体" w:cs="Times New Roman"/>
          <w:color w:val="auto"/>
          <w:sz w:val="24"/>
          <w:szCs w:val="24"/>
          <w:highlight w:val="none"/>
        </w:rPr>
        <w:t>日内向采购人进行询问，采购人在收到磋商响应供应商的疑问后于</w:t>
      </w:r>
      <w:r>
        <w:rPr>
          <w:rFonts w:ascii="宋体" w:hAnsi="宋体" w:eastAsia="宋体" w:cs="Times New Roman"/>
          <w:color w:val="auto"/>
          <w:sz w:val="24"/>
          <w:szCs w:val="24"/>
          <w:highlight w:val="none"/>
        </w:rPr>
        <w:t>5</w:t>
      </w:r>
      <w:r>
        <w:rPr>
          <w:rFonts w:hint="eastAsia" w:ascii="宋体" w:hAnsi="宋体" w:eastAsia="宋体" w:cs="Times New Roman"/>
          <w:color w:val="auto"/>
          <w:sz w:val="24"/>
          <w:szCs w:val="24"/>
          <w:highlight w:val="none"/>
        </w:rPr>
        <w:t>日内将视情况确定采用适当方式予以澄清或以书面形式予以答复，并在其认为必要时，将书面答复发送已购买竞争性磋商文件的所有潜在磋商响应供应商。</w:t>
      </w:r>
    </w:p>
    <w:p w14:paraId="1532C308">
      <w:pPr>
        <w:spacing w:line="360" w:lineRule="auto"/>
        <w:ind w:firstLine="422" w:firstLineChars="176"/>
        <w:outlineLvl w:val="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5.2</w:t>
      </w:r>
      <w:r>
        <w:rPr>
          <w:rFonts w:hint="eastAsia" w:ascii="宋体" w:hAnsi="宋体" w:eastAsia="宋体" w:cs="Times New Roman"/>
          <w:color w:val="auto"/>
          <w:sz w:val="24"/>
          <w:szCs w:val="24"/>
          <w:highlight w:val="none"/>
        </w:rPr>
        <w:t>采购人将视情况在认为必要时于采购截止时间前答疑。</w:t>
      </w:r>
    </w:p>
    <w:p w14:paraId="063718CE">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6</w:t>
      </w:r>
      <w:r>
        <w:rPr>
          <w:rFonts w:hint="eastAsia" w:ascii="宋体" w:hAnsi="宋体" w:eastAsia="宋体" w:cs="Times New Roman"/>
          <w:b/>
          <w:bCs/>
          <w:color w:val="auto"/>
          <w:sz w:val="24"/>
          <w:szCs w:val="24"/>
          <w:highlight w:val="none"/>
        </w:rPr>
        <w:t>、竞争性磋商文件的修改</w:t>
      </w:r>
    </w:p>
    <w:p w14:paraId="06D39A49">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6.1</w:t>
      </w:r>
      <w:r>
        <w:rPr>
          <w:rFonts w:hint="eastAsia" w:ascii="宋体" w:hAnsi="宋体" w:eastAsia="宋体" w:cs="Times New Roman"/>
          <w:color w:val="auto"/>
          <w:sz w:val="24"/>
          <w:szCs w:val="24"/>
          <w:highlight w:val="none"/>
        </w:rPr>
        <w:t>竞争性磋商文件的修改书将构成磋商响应文件的一部分，对所有磋商响应供应商均有约束力。</w:t>
      </w:r>
    </w:p>
    <w:p w14:paraId="079390D4">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7</w:t>
      </w:r>
      <w:r>
        <w:rPr>
          <w:rFonts w:hint="eastAsia" w:ascii="宋体" w:hAnsi="宋体" w:eastAsia="宋体" w:cs="Times New Roman"/>
          <w:b/>
          <w:bCs/>
          <w:color w:val="auto"/>
          <w:sz w:val="24"/>
          <w:szCs w:val="24"/>
          <w:highlight w:val="none"/>
        </w:rPr>
        <w:t>、要求</w:t>
      </w:r>
    </w:p>
    <w:p w14:paraId="102811AE">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7.1</w:t>
      </w:r>
      <w:r>
        <w:rPr>
          <w:rFonts w:hint="eastAsia" w:ascii="宋体" w:hAnsi="宋体" w:eastAsia="宋体" w:cs="Times New Roman"/>
          <w:color w:val="auto"/>
          <w:sz w:val="24"/>
          <w:szCs w:val="24"/>
          <w:highlight w:val="none"/>
        </w:rPr>
        <w:t>磋商响应供应商应仔细阅读竞争性磋商文件的所有内容，按竞争性磋商文件的要求提供磋商响应文件，并保证所提供资料的真实性，以使其磋商响应文件对竞争性磋商文件作出实质性响应，否则，其磋商响应文件不予接受。</w:t>
      </w:r>
    </w:p>
    <w:p w14:paraId="62CB85D4">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8</w:t>
      </w:r>
      <w:r>
        <w:rPr>
          <w:rFonts w:hint="eastAsia" w:ascii="宋体" w:hAnsi="宋体" w:eastAsia="宋体" w:cs="Times New Roman"/>
          <w:b/>
          <w:bCs/>
          <w:color w:val="auto"/>
          <w:sz w:val="24"/>
          <w:szCs w:val="24"/>
          <w:highlight w:val="none"/>
        </w:rPr>
        <w:t>、电子化磋商响应文件的组成</w:t>
      </w:r>
    </w:p>
    <w:p w14:paraId="5B5488C1">
      <w:pPr>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Times New Roman"/>
          <w:color w:val="auto"/>
          <w:sz w:val="24"/>
          <w:szCs w:val="24"/>
          <w:highlight w:val="none"/>
        </w:rPr>
        <w:t>（1）</w:t>
      </w:r>
      <w:r>
        <w:rPr>
          <w:rFonts w:hint="eastAsia" w:ascii="宋体" w:hAnsi="宋体" w:cs="Times New Roman"/>
          <w:color w:val="auto"/>
          <w:sz w:val="24"/>
          <w:szCs w:val="24"/>
          <w:highlight w:val="none"/>
          <w:lang w:eastAsia="zh-CN"/>
        </w:rPr>
        <w:t>投标函及投标函附录</w:t>
      </w:r>
      <w:r>
        <w:rPr>
          <w:rFonts w:hint="eastAsia" w:ascii="宋体" w:hAnsi="宋体" w:eastAsia="宋体" w:cs="宋体"/>
          <w:color w:val="auto"/>
          <w:sz w:val="24"/>
          <w:szCs w:val="24"/>
          <w:highlight w:val="none"/>
        </w:rPr>
        <w:t>；</w:t>
      </w:r>
    </w:p>
    <w:p w14:paraId="02A1A0C9">
      <w:pPr>
        <w:spacing w:line="360" w:lineRule="auto"/>
        <w:ind w:firstLine="480" w:firstLineChars="200"/>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hint="eastAsia" w:ascii="宋体" w:hAnsi="宋体" w:cs="Times New Roman"/>
          <w:color w:val="auto"/>
          <w:sz w:val="24"/>
          <w:szCs w:val="24"/>
          <w:highlight w:val="none"/>
          <w:lang w:eastAsia="zh-CN"/>
        </w:rPr>
        <w:t>法定代表人身份证明</w:t>
      </w:r>
      <w:r>
        <w:rPr>
          <w:rFonts w:hint="eastAsia" w:ascii="宋体" w:hAnsi="宋体" w:eastAsia="宋体" w:cs="Times New Roman"/>
          <w:color w:val="auto"/>
          <w:sz w:val="24"/>
          <w:szCs w:val="24"/>
          <w:highlight w:val="none"/>
        </w:rPr>
        <w:t>；</w:t>
      </w:r>
    </w:p>
    <w:p w14:paraId="582366EF">
      <w:pPr>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（3）授权委托书；</w:t>
      </w:r>
    </w:p>
    <w:p w14:paraId="2DE175BF">
      <w:pPr>
        <w:keepNext/>
        <w:spacing w:line="360" w:lineRule="auto"/>
        <w:ind w:firstLine="480" w:firstLineChars="200"/>
        <w:jc w:val="left"/>
        <w:textAlignment w:val="baseline"/>
        <w:outlineLvl w:val="2"/>
        <w:rPr>
          <w:rFonts w:hint="default" w:ascii="宋体" w:hAnsi="宋体"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rPr>
        <w:t>（4）</w:t>
      </w:r>
      <w:r>
        <w:rPr>
          <w:rFonts w:hint="eastAsia" w:ascii="宋体" w:hAnsi="宋体" w:cs="Times New Roman"/>
          <w:color w:val="auto"/>
          <w:kern w:val="0"/>
          <w:sz w:val="24"/>
          <w:szCs w:val="24"/>
          <w:highlight w:val="none"/>
          <w:lang w:val="en-US" w:eastAsia="zh-CN"/>
        </w:rPr>
        <w:t>响应承诺函</w:t>
      </w:r>
    </w:p>
    <w:p w14:paraId="6C204FB5">
      <w:pPr>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Times New Roman"/>
          <w:color w:val="auto"/>
          <w:sz w:val="24"/>
          <w:szCs w:val="24"/>
          <w:highlight w:val="none"/>
        </w:rPr>
        <w:t>（5）</w:t>
      </w:r>
      <w:r>
        <w:rPr>
          <w:rFonts w:hint="eastAsia" w:ascii="宋体" w:hAnsi="宋体" w:eastAsia="宋体" w:cs="宋体"/>
          <w:color w:val="auto"/>
          <w:sz w:val="24"/>
          <w:szCs w:val="24"/>
          <w:highlight w:val="none"/>
          <w:lang w:val="en-US" w:eastAsia="zh-CN"/>
        </w:rPr>
        <w:t>资格证明文件</w:t>
      </w:r>
      <w:r>
        <w:rPr>
          <w:rFonts w:hint="eastAsia" w:ascii="宋体" w:hAnsi="宋体" w:eastAsia="宋体" w:cs="宋体"/>
          <w:color w:val="auto"/>
          <w:sz w:val="24"/>
          <w:szCs w:val="24"/>
          <w:highlight w:val="none"/>
        </w:rPr>
        <w:t>；</w:t>
      </w:r>
    </w:p>
    <w:p w14:paraId="55130505">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技术标</w:t>
      </w:r>
      <w:r>
        <w:rPr>
          <w:rFonts w:hint="eastAsia" w:ascii="宋体" w:hAnsi="宋体" w:eastAsia="宋体" w:cs="宋体"/>
          <w:color w:val="auto"/>
          <w:sz w:val="24"/>
          <w:szCs w:val="24"/>
          <w:highlight w:val="none"/>
        </w:rPr>
        <w:t>；</w:t>
      </w:r>
    </w:p>
    <w:p w14:paraId="3CA3B58B">
      <w:pPr>
        <w:autoSpaceDE w:val="0"/>
        <w:autoSpaceDN w:val="0"/>
        <w:adjustRightIn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综合标</w:t>
      </w:r>
      <w:r>
        <w:rPr>
          <w:rFonts w:hint="eastAsia" w:ascii="宋体" w:hAnsi="宋体" w:eastAsia="宋体" w:cs="宋体"/>
          <w:color w:val="auto"/>
          <w:sz w:val="24"/>
          <w:szCs w:val="24"/>
          <w:highlight w:val="none"/>
        </w:rPr>
        <w:t>；</w:t>
      </w:r>
    </w:p>
    <w:p w14:paraId="234D4D59">
      <w:pPr>
        <w:autoSpaceDE w:val="0"/>
        <w:autoSpaceDN w:val="0"/>
        <w:adjustRightInd w:val="0"/>
        <w:spacing w:line="360" w:lineRule="auto"/>
        <w:ind w:firstLine="480" w:firstLineChars="200"/>
        <w:jc w:val="left"/>
        <w:rPr>
          <w:rFonts w:hint="eastAsia" w:ascii="宋体" w:hAnsi="Times New Roman" w:cs="Times New Roman"/>
          <w:color w:val="auto"/>
          <w:kern w:val="0"/>
          <w:sz w:val="24"/>
          <w:szCs w:val="24"/>
          <w:highlight w:val="none"/>
          <w:lang w:eastAsia="zh-CN"/>
        </w:rPr>
      </w:pPr>
      <w:r>
        <w:rPr>
          <w:rFonts w:hint="eastAsia" w:ascii="宋体" w:hAnsi="Times New Roman" w:eastAsia="宋体" w:cs="Times New Roman"/>
          <w:color w:val="auto"/>
          <w:kern w:val="0"/>
          <w:sz w:val="24"/>
          <w:szCs w:val="24"/>
          <w:highlight w:val="none"/>
        </w:rPr>
        <w:t>（</w:t>
      </w:r>
      <w:r>
        <w:rPr>
          <w:rFonts w:hint="eastAsia" w:ascii="宋体" w:hAnsi="Times New Roman" w:cs="Times New Roman"/>
          <w:color w:val="auto"/>
          <w:kern w:val="0"/>
          <w:sz w:val="24"/>
          <w:szCs w:val="24"/>
          <w:highlight w:val="none"/>
          <w:lang w:val="en-US" w:eastAsia="zh-CN"/>
        </w:rPr>
        <w:t>8</w:t>
      </w:r>
      <w:r>
        <w:rPr>
          <w:rFonts w:hint="eastAsia" w:ascii="宋体" w:hAnsi="Times New Roman" w:eastAsia="宋体" w:cs="Times New Roman"/>
          <w:color w:val="auto"/>
          <w:kern w:val="0"/>
          <w:sz w:val="24"/>
          <w:szCs w:val="24"/>
          <w:highlight w:val="none"/>
        </w:rPr>
        <w:t>）</w:t>
      </w:r>
      <w:r>
        <w:rPr>
          <w:rFonts w:hint="eastAsia" w:ascii="宋体" w:hAnsi="Times New Roman" w:cs="Times New Roman"/>
          <w:color w:val="auto"/>
          <w:kern w:val="0"/>
          <w:sz w:val="24"/>
          <w:szCs w:val="24"/>
          <w:highlight w:val="none"/>
          <w:lang w:val="en-US" w:eastAsia="zh-CN"/>
        </w:rPr>
        <w:t>项目管理机构</w:t>
      </w:r>
      <w:r>
        <w:rPr>
          <w:rFonts w:hint="eastAsia" w:ascii="宋体" w:hAnsi="Times New Roman" w:cs="Times New Roman"/>
          <w:color w:val="auto"/>
          <w:kern w:val="0"/>
          <w:sz w:val="24"/>
          <w:szCs w:val="24"/>
          <w:highlight w:val="none"/>
          <w:lang w:eastAsia="zh-CN"/>
        </w:rPr>
        <w:t>；</w:t>
      </w:r>
    </w:p>
    <w:p w14:paraId="34302124">
      <w:pPr>
        <w:autoSpaceDE w:val="0"/>
        <w:autoSpaceDN w:val="0"/>
        <w:adjustRightInd w:val="0"/>
        <w:spacing w:line="360" w:lineRule="auto"/>
        <w:ind w:firstLine="480" w:firstLineChars="200"/>
        <w:jc w:val="left"/>
        <w:rPr>
          <w:rFonts w:hint="default" w:ascii="宋体" w:hAnsi="Times New Roman" w:eastAsia="宋体" w:cs="Times New Roman"/>
          <w:color w:val="auto"/>
          <w:kern w:val="0"/>
          <w:sz w:val="24"/>
          <w:szCs w:val="24"/>
          <w:highlight w:val="none"/>
          <w:lang w:val="en-US" w:eastAsia="zh-CN"/>
        </w:rPr>
      </w:pPr>
      <w:r>
        <w:rPr>
          <w:rFonts w:hint="eastAsia" w:ascii="宋体" w:hAnsi="Times New Roman" w:eastAsia="宋体" w:cs="Times New Roman"/>
          <w:color w:val="auto"/>
          <w:kern w:val="0"/>
          <w:sz w:val="24"/>
          <w:szCs w:val="24"/>
          <w:highlight w:val="none"/>
        </w:rPr>
        <w:t>（</w:t>
      </w:r>
      <w:r>
        <w:rPr>
          <w:rFonts w:hint="eastAsia" w:ascii="宋体" w:hAnsi="Times New Roman" w:cs="Times New Roman"/>
          <w:color w:val="auto"/>
          <w:kern w:val="0"/>
          <w:sz w:val="24"/>
          <w:szCs w:val="24"/>
          <w:highlight w:val="none"/>
          <w:lang w:val="en-US" w:eastAsia="zh-CN"/>
        </w:rPr>
        <w:t>9</w:t>
      </w:r>
      <w:r>
        <w:rPr>
          <w:rFonts w:hint="eastAsia" w:ascii="宋体" w:hAnsi="Times New Roman" w:eastAsia="宋体" w:cs="Times New Roman"/>
          <w:color w:val="auto"/>
          <w:kern w:val="0"/>
          <w:sz w:val="24"/>
          <w:szCs w:val="24"/>
          <w:highlight w:val="none"/>
        </w:rPr>
        <w:t>）</w:t>
      </w:r>
      <w:r>
        <w:rPr>
          <w:rFonts w:hint="eastAsia" w:ascii="宋体" w:hAnsi="Times New Roman" w:cs="Times New Roman"/>
          <w:color w:val="auto"/>
          <w:kern w:val="0"/>
          <w:sz w:val="24"/>
          <w:szCs w:val="24"/>
          <w:highlight w:val="none"/>
          <w:lang w:val="en-US" w:eastAsia="zh-CN"/>
        </w:rPr>
        <w:t>已标价工程量清单；</w:t>
      </w:r>
    </w:p>
    <w:p w14:paraId="4672F394">
      <w:pPr>
        <w:autoSpaceDE w:val="0"/>
        <w:autoSpaceDN w:val="0"/>
        <w:adjustRightInd w:val="0"/>
        <w:spacing w:line="360" w:lineRule="auto"/>
        <w:ind w:firstLine="480" w:firstLineChars="200"/>
        <w:jc w:val="left"/>
        <w:rPr>
          <w:rFonts w:ascii="宋体" w:hAnsi="Times New Roman" w:eastAsia="宋体" w:cs="Times New Roman"/>
          <w:color w:val="auto"/>
          <w:kern w:val="0"/>
          <w:sz w:val="24"/>
          <w:szCs w:val="24"/>
          <w:highlight w:val="none"/>
        </w:rPr>
      </w:pPr>
      <w:r>
        <w:rPr>
          <w:rFonts w:hint="eastAsia" w:ascii="宋体" w:hAnsi="Times New Roman" w:eastAsia="宋体" w:cs="Times New Roman"/>
          <w:color w:val="auto"/>
          <w:kern w:val="0"/>
          <w:sz w:val="24"/>
          <w:szCs w:val="24"/>
          <w:highlight w:val="none"/>
        </w:rPr>
        <w:t>（</w:t>
      </w:r>
      <w:r>
        <w:rPr>
          <w:rFonts w:hint="eastAsia" w:ascii="宋体" w:hAnsi="Times New Roman" w:cs="Times New Roman"/>
          <w:color w:val="auto"/>
          <w:kern w:val="0"/>
          <w:sz w:val="24"/>
          <w:szCs w:val="24"/>
          <w:highlight w:val="none"/>
          <w:lang w:val="en-US" w:eastAsia="zh-CN"/>
        </w:rPr>
        <w:t>10</w:t>
      </w:r>
      <w:r>
        <w:rPr>
          <w:rFonts w:hint="eastAsia" w:ascii="宋体" w:hAnsi="Times New Roman" w:eastAsia="宋体" w:cs="Times New Roman"/>
          <w:color w:val="auto"/>
          <w:kern w:val="0"/>
          <w:sz w:val="24"/>
          <w:szCs w:val="24"/>
          <w:highlight w:val="none"/>
        </w:rPr>
        <w:t>）响应供应商可提交的其他资料。</w:t>
      </w:r>
    </w:p>
    <w:p w14:paraId="3B368624">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9</w:t>
      </w:r>
      <w:r>
        <w:rPr>
          <w:rFonts w:hint="eastAsia" w:ascii="宋体" w:hAnsi="宋体" w:eastAsia="宋体" w:cs="Times New Roman"/>
          <w:b/>
          <w:bCs/>
          <w:color w:val="auto"/>
          <w:sz w:val="24"/>
          <w:szCs w:val="24"/>
          <w:highlight w:val="none"/>
        </w:rPr>
        <w:t>、电子化磋商响应文件的格式</w:t>
      </w:r>
    </w:p>
    <w:p w14:paraId="6B5C6660">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9.1</w:t>
      </w:r>
      <w:r>
        <w:rPr>
          <w:rFonts w:hint="eastAsia" w:ascii="宋体" w:hAnsi="宋体" w:eastAsia="宋体" w:cs="Times New Roman"/>
          <w:color w:val="auto"/>
          <w:sz w:val="24"/>
          <w:szCs w:val="24"/>
          <w:highlight w:val="none"/>
        </w:rPr>
        <w:t>供应商所上传的电子化磋商响应文件，应是通过中心磋商响应文件制作系统制作的，经过签章和加密后生成的电子版磋商响应文件。其中包含用于磋商响应文件上传的主文件（后缀为.smxtf）和用于应急补救的磋商响应文件备份文件（后缀为.nsmxtf）。</w:t>
      </w:r>
    </w:p>
    <w:p w14:paraId="73021264">
      <w:pPr>
        <w:spacing w:line="360" w:lineRule="auto"/>
        <w:ind w:firstLine="424" w:firstLineChars="176"/>
        <w:outlineLvl w:val="1"/>
        <w:rPr>
          <w:rFonts w:ascii="宋体" w:hAnsi="宋体" w:eastAsia="宋体" w:cs="Times New Roman"/>
          <w:color w:val="auto"/>
          <w:sz w:val="24"/>
          <w:szCs w:val="24"/>
          <w:highlight w:val="none"/>
        </w:rPr>
      </w:pPr>
      <w:r>
        <w:rPr>
          <w:rFonts w:ascii="宋体" w:hAnsi="宋体" w:eastAsia="宋体" w:cs="Times New Roman"/>
          <w:b/>
          <w:bCs/>
          <w:color w:val="auto"/>
          <w:sz w:val="24"/>
          <w:szCs w:val="24"/>
          <w:highlight w:val="none"/>
        </w:rPr>
        <w:t>10</w:t>
      </w:r>
      <w:r>
        <w:rPr>
          <w:rFonts w:hint="eastAsia" w:ascii="宋体" w:hAnsi="宋体" w:eastAsia="宋体" w:cs="Times New Roman"/>
          <w:b/>
          <w:bCs/>
          <w:color w:val="auto"/>
          <w:sz w:val="24"/>
          <w:szCs w:val="24"/>
          <w:highlight w:val="none"/>
        </w:rPr>
        <w:t>、电子化磋商响应文件的签署</w:t>
      </w:r>
    </w:p>
    <w:p w14:paraId="0C8EE33C">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10.1</w:t>
      </w:r>
      <w:r>
        <w:rPr>
          <w:rFonts w:hint="eastAsia" w:ascii="宋体" w:hAnsi="宋体" w:eastAsia="宋体" w:cs="Times New Roman"/>
          <w:color w:val="auto"/>
          <w:sz w:val="24"/>
          <w:szCs w:val="24"/>
          <w:highlight w:val="none"/>
        </w:rPr>
        <w:t>磋商响应供应商在进行电子化磋商响应文件签章时，竞争性磋商文件中要求磋商响应供应商盖章的，以签盖单位章为准；要求法定代表人或授权代理人签章的，以签盖法定代表人签章为准。</w:t>
      </w:r>
    </w:p>
    <w:p w14:paraId="18DF2204">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11</w:t>
      </w:r>
      <w:r>
        <w:rPr>
          <w:rFonts w:hint="eastAsia" w:ascii="宋体" w:hAnsi="宋体" w:eastAsia="宋体" w:cs="Times New Roman"/>
          <w:b/>
          <w:bCs/>
          <w:color w:val="auto"/>
          <w:sz w:val="24"/>
          <w:szCs w:val="24"/>
          <w:highlight w:val="none"/>
        </w:rPr>
        <w:t>、电子化磋商响应文件的上传</w:t>
      </w:r>
    </w:p>
    <w:p w14:paraId="6D20BF80">
      <w:pPr>
        <w:spacing w:line="360" w:lineRule="auto"/>
        <w:ind w:firstLine="422" w:firstLineChars="176"/>
        <w:jc w:val="left"/>
        <w:rPr>
          <w:rFonts w:ascii="宋体" w:hAnsi="宋体" w:eastAsia="宋体" w:cs="Times New Roman"/>
          <w:color w:val="auto"/>
          <w:kern w:val="0"/>
          <w:sz w:val="24"/>
          <w:szCs w:val="24"/>
          <w:highlight w:val="none"/>
        </w:rPr>
      </w:pPr>
      <w:r>
        <w:rPr>
          <w:rFonts w:ascii="宋体" w:hAnsi="宋体" w:eastAsia="宋体" w:cs="Times New Roman"/>
          <w:color w:val="auto"/>
          <w:sz w:val="24"/>
          <w:szCs w:val="24"/>
          <w:highlight w:val="none"/>
        </w:rPr>
        <w:t>11.1</w:t>
      </w:r>
      <w:r>
        <w:rPr>
          <w:rFonts w:hint="eastAsia" w:ascii="宋体" w:hAnsi="宋体" w:eastAsia="宋体" w:cs="Times New Roman"/>
          <w:color w:val="auto"/>
          <w:kern w:val="0"/>
          <w:sz w:val="24"/>
          <w:szCs w:val="24"/>
          <w:highlight w:val="none"/>
        </w:rPr>
        <w:t>电子化磋商响应文件应在投标截止时间前成功上传至三门峡市公共资源电子化交易系统。至投标截止时间止，仍未上传成功的电子化磋商响应文件将不予接收。</w:t>
      </w:r>
    </w:p>
    <w:p w14:paraId="64B43FA4">
      <w:pPr>
        <w:spacing w:line="360" w:lineRule="auto"/>
        <w:ind w:firstLine="422" w:firstLineChars="176"/>
        <w:jc w:val="lef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注：如按照电子化投标操作教材制作完成的电子化磋商响应文件无法上传的，供应商应在投标截止时间前尽早的联系中心技术人员，以便有充分的时间进行处理。供应商应充分考虑到处理技术问题和上传数据等工作所需的时间问题，磋商响应文件未在投标截止时间前成功上传的，其磋商响应文件不予接收。</w:t>
      </w:r>
    </w:p>
    <w:p w14:paraId="7E53A92C">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12</w:t>
      </w:r>
      <w:r>
        <w:rPr>
          <w:rFonts w:hint="eastAsia" w:ascii="宋体" w:hAnsi="宋体" w:eastAsia="宋体" w:cs="Times New Roman"/>
          <w:b/>
          <w:bCs/>
          <w:color w:val="auto"/>
          <w:sz w:val="24"/>
          <w:szCs w:val="24"/>
          <w:highlight w:val="none"/>
        </w:rPr>
        <w:t>、磋商截止时间</w:t>
      </w:r>
    </w:p>
    <w:p w14:paraId="184DAB34">
      <w:pPr>
        <w:spacing w:line="360" w:lineRule="auto"/>
        <w:ind w:firstLine="422" w:firstLineChars="176"/>
        <w:outlineLvl w:val="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12.1</w:t>
      </w:r>
      <w:r>
        <w:rPr>
          <w:rFonts w:hint="eastAsia" w:ascii="宋体" w:hAnsi="宋体" w:eastAsia="宋体" w:cs="Times New Roman"/>
          <w:color w:val="auto"/>
          <w:sz w:val="24"/>
          <w:szCs w:val="24"/>
          <w:highlight w:val="none"/>
        </w:rPr>
        <w:t>电子化磋商响应文件的截止时间见本须知前附表规定。</w:t>
      </w:r>
    </w:p>
    <w:p w14:paraId="55435BC2">
      <w:pPr>
        <w:spacing w:line="360" w:lineRule="auto"/>
        <w:ind w:firstLine="424" w:firstLineChars="176"/>
        <w:outlineLvl w:val="1"/>
        <w:rPr>
          <w:rFonts w:ascii="宋体" w:hAnsi="宋体" w:eastAsia="宋体" w:cs="Times New Roman"/>
          <w:color w:val="auto"/>
          <w:sz w:val="24"/>
          <w:szCs w:val="24"/>
          <w:highlight w:val="none"/>
        </w:rPr>
      </w:pPr>
      <w:r>
        <w:rPr>
          <w:rFonts w:ascii="宋体" w:hAnsi="宋体" w:eastAsia="宋体" w:cs="Times New Roman"/>
          <w:b/>
          <w:bCs/>
          <w:color w:val="auto"/>
          <w:sz w:val="24"/>
          <w:szCs w:val="24"/>
          <w:highlight w:val="none"/>
        </w:rPr>
        <w:t>13</w:t>
      </w:r>
      <w:r>
        <w:rPr>
          <w:rFonts w:hint="eastAsia" w:ascii="宋体" w:hAnsi="宋体" w:eastAsia="宋体" w:cs="Times New Roman"/>
          <w:b/>
          <w:bCs/>
          <w:color w:val="auto"/>
          <w:sz w:val="24"/>
          <w:szCs w:val="24"/>
          <w:highlight w:val="none"/>
        </w:rPr>
        <w:t>、电子化磋商响应文件的补充、修改与撤回</w:t>
      </w:r>
    </w:p>
    <w:p w14:paraId="759CDE49">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13.1</w:t>
      </w:r>
      <w:r>
        <w:rPr>
          <w:rFonts w:hint="eastAsia" w:ascii="宋体" w:hAnsi="宋体" w:eastAsia="宋体" w:cs="Times New Roman"/>
          <w:color w:val="auto"/>
          <w:sz w:val="24"/>
          <w:szCs w:val="24"/>
          <w:highlight w:val="none"/>
        </w:rPr>
        <w:t>在磋商截止时间之后，磋商响应供应商不得补充、修改电子化磋商响应文件。</w:t>
      </w:r>
    </w:p>
    <w:p w14:paraId="0E360B3F">
      <w:pPr>
        <w:spacing w:line="360" w:lineRule="auto"/>
        <w:ind w:firstLine="424" w:firstLineChars="176"/>
        <w:outlineLvl w:val="1"/>
        <w:rPr>
          <w:rFonts w:ascii="宋体" w:hAnsi="宋体" w:eastAsia="宋体" w:cs="Times New Roman"/>
          <w:color w:val="auto"/>
          <w:szCs w:val="21"/>
          <w:highlight w:val="none"/>
        </w:rPr>
      </w:pPr>
      <w:r>
        <w:rPr>
          <w:rFonts w:hint="eastAsia" w:ascii="宋体" w:hAnsi="宋体" w:eastAsia="宋体" w:cs="Times New Roman"/>
          <w:b/>
          <w:bCs/>
          <w:color w:val="auto"/>
          <w:sz w:val="24"/>
          <w:szCs w:val="24"/>
          <w:highlight w:val="none"/>
        </w:rPr>
        <w:t>14、磋商报价</w:t>
      </w:r>
      <w:r>
        <w:rPr>
          <w:rFonts w:ascii="宋体" w:hAnsi="宋体" w:eastAsia="宋体" w:cs="Times New Roman"/>
          <w:b/>
          <w:bCs/>
          <w:color w:val="auto"/>
          <w:sz w:val="24"/>
          <w:szCs w:val="24"/>
          <w:highlight w:val="none"/>
        </w:rPr>
        <w:tab/>
      </w:r>
    </w:p>
    <w:p w14:paraId="20C16102">
      <w:pPr>
        <w:spacing w:line="360" w:lineRule="auto"/>
        <w:ind w:firstLine="422" w:firstLineChars="176"/>
        <w:outlineLvl w:val="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14.1</w:t>
      </w:r>
      <w:r>
        <w:rPr>
          <w:rFonts w:hint="eastAsia" w:ascii="宋体" w:hAnsi="宋体" w:eastAsia="宋体" w:cs="Times New Roman"/>
          <w:color w:val="auto"/>
          <w:sz w:val="24"/>
          <w:szCs w:val="24"/>
          <w:highlight w:val="none"/>
        </w:rPr>
        <w:t>本次磋商采购的均须以人民币为计算单位。</w:t>
      </w:r>
    </w:p>
    <w:p w14:paraId="149F2BB6">
      <w:pPr>
        <w:spacing w:line="46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14.2本项目应以人民币报价，供应商应就该项目完整投标（报价、服务、税费、售后服务等综合费用），采购人不另外支付其他任何费用；</w:t>
      </w:r>
    </w:p>
    <w:p w14:paraId="26A44011">
      <w:pPr>
        <w:spacing w:line="46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 xml:space="preserve">14.3 </w:t>
      </w:r>
      <w:r>
        <w:rPr>
          <w:rFonts w:hint="eastAsia" w:ascii="宋体" w:hAnsi="宋体" w:eastAsia="宋体" w:cs="Times New Roman"/>
          <w:color w:val="auto"/>
          <w:sz w:val="24"/>
          <w:szCs w:val="24"/>
          <w:highlight w:val="none"/>
        </w:rPr>
        <w:t>磋商响应供应商应充分考虑市场风险和国家政策性风险系数，根据企业具体情况在合理的范围内自主报价，但不得低于企业实际成本。</w:t>
      </w:r>
    </w:p>
    <w:p w14:paraId="1AEC6289">
      <w:pPr>
        <w:spacing w:line="360" w:lineRule="auto"/>
        <w:ind w:firstLine="422" w:firstLineChars="176"/>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14.4</w:t>
      </w:r>
      <w:r>
        <w:rPr>
          <w:rFonts w:hint="eastAsia" w:ascii="宋体" w:hAnsi="宋体" w:eastAsia="宋体" w:cs="Times New Roman"/>
          <w:color w:val="auto"/>
          <w:kern w:val="0"/>
          <w:sz w:val="24"/>
          <w:szCs w:val="24"/>
          <w:highlight w:val="none"/>
        </w:rPr>
        <w:t>磋商响应供应商只能提出一个报价，采购人不接受任何有选择的报价，最后报价不得超过项目招标控制价。</w:t>
      </w:r>
    </w:p>
    <w:p w14:paraId="6006C457">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14.5</w:t>
      </w:r>
      <w:r>
        <w:rPr>
          <w:rFonts w:hint="eastAsia" w:ascii="宋体" w:hAnsi="宋体" w:eastAsia="宋体" w:cs="Times New Roman"/>
          <w:color w:val="auto"/>
          <w:sz w:val="24"/>
          <w:szCs w:val="24"/>
          <w:highlight w:val="none"/>
        </w:rPr>
        <w:t>磋商响应供应商的报价明显低于其他报价，使得其报价可能低于其个别成本的，有可能影响商品质量和不能诚信履约的，应当要求该报价人作出书面说明并提供相关证明材料。报价人不能合理说明或者不能提供相关证明材料的，由</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认定该报价人以低于成本报价，其报价应作无效报价处理。</w:t>
      </w:r>
    </w:p>
    <w:p w14:paraId="68200F78">
      <w:pPr>
        <w:spacing w:line="360" w:lineRule="auto"/>
        <w:ind w:firstLine="422" w:firstLineChars="176"/>
        <w:outlineLvl w:val="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14.6</w:t>
      </w:r>
      <w:r>
        <w:rPr>
          <w:rFonts w:hint="eastAsia" w:ascii="宋体" w:hAnsi="宋体" w:eastAsia="宋体" w:cs="Times New Roman"/>
          <w:color w:val="auto"/>
          <w:sz w:val="24"/>
          <w:szCs w:val="24"/>
          <w:highlight w:val="none"/>
        </w:rPr>
        <w:t>本次采购为竞争性磋商采购，允许二次报价。</w:t>
      </w:r>
    </w:p>
    <w:p w14:paraId="79F016A2">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15</w:t>
      </w:r>
      <w:r>
        <w:rPr>
          <w:rFonts w:hint="eastAsia" w:ascii="宋体" w:hAnsi="宋体" w:eastAsia="宋体" w:cs="Times New Roman"/>
          <w:b/>
          <w:bCs/>
          <w:color w:val="auto"/>
          <w:sz w:val="24"/>
          <w:szCs w:val="24"/>
          <w:highlight w:val="none"/>
        </w:rPr>
        <w:t>、磋商响应供应商资格的证明文件</w:t>
      </w:r>
      <w:r>
        <w:rPr>
          <w:rFonts w:ascii="宋体" w:hAnsi="宋体" w:eastAsia="宋体" w:cs="Times New Roman"/>
          <w:b/>
          <w:bCs/>
          <w:color w:val="auto"/>
          <w:sz w:val="24"/>
          <w:szCs w:val="24"/>
          <w:highlight w:val="none"/>
        </w:rPr>
        <w:tab/>
      </w:r>
    </w:p>
    <w:p w14:paraId="75530800">
      <w:pPr>
        <w:spacing w:line="360" w:lineRule="auto"/>
        <w:ind w:firstLine="422" w:firstLineChars="176"/>
        <w:outlineLvl w:val="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15.1</w:t>
      </w:r>
      <w:r>
        <w:rPr>
          <w:rFonts w:hint="eastAsia" w:ascii="宋体" w:hAnsi="宋体" w:eastAsia="宋体" w:cs="Times New Roman"/>
          <w:color w:val="auto"/>
          <w:sz w:val="24"/>
          <w:szCs w:val="24"/>
          <w:highlight w:val="none"/>
        </w:rPr>
        <w:t>证明磋商响应供应商是有资格参加</w:t>
      </w:r>
      <w:r>
        <w:rPr>
          <w:rFonts w:hint="eastAsia" w:ascii="宋体" w:hAnsi="宋体" w:eastAsia="宋体" w:cs="Times New Roman"/>
          <w:color w:val="auto"/>
          <w:kern w:val="0"/>
          <w:sz w:val="24"/>
          <w:szCs w:val="24"/>
          <w:highlight w:val="none"/>
        </w:rPr>
        <w:t>磋商</w:t>
      </w:r>
      <w:r>
        <w:rPr>
          <w:rFonts w:hint="eastAsia" w:ascii="宋体" w:hAnsi="宋体" w:eastAsia="宋体" w:cs="Times New Roman"/>
          <w:color w:val="auto"/>
          <w:sz w:val="24"/>
          <w:szCs w:val="24"/>
          <w:highlight w:val="none"/>
        </w:rPr>
        <w:t>的。</w:t>
      </w:r>
    </w:p>
    <w:p w14:paraId="4D37CCE2">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15.2</w:t>
      </w:r>
      <w:r>
        <w:rPr>
          <w:rFonts w:hint="eastAsia" w:ascii="宋体" w:hAnsi="宋体" w:eastAsia="宋体" w:cs="Times New Roman"/>
          <w:color w:val="auto"/>
          <w:sz w:val="24"/>
          <w:szCs w:val="24"/>
          <w:highlight w:val="none"/>
        </w:rPr>
        <w:t>证明磋商响应供应商有能力履行竞争性磋商文件中合同条款和技术要求规定的由磋商响应供应商提供的服务等义务。</w:t>
      </w:r>
    </w:p>
    <w:p w14:paraId="5C22B36D">
      <w:pPr>
        <w:spacing w:line="360" w:lineRule="auto"/>
        <w:ind w:firstLine="424" w:firstLineChars="176"/>
        <w:outlineLvl w:val="1"/>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16、磋商响应文件有效期</w:t>
      </w:r>
    </w:p>
    <w:p w14:paraId="188C74AE">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6</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响应性文件从首次递交竞争性磋商响应文件截止时间之日起开始生效，磋商有效期为</w:t>
      </w:r>
      <w:r>
        <w:rPr>
          <w:rFonts w:ascii="宋体" w:hAnsi="宋体" w:eastAsia="宋体" w:cs="Times New Roman"/>
          <w:color w:val="auto"/>
          <w:sz w:val="24"/>
          <w:szCs w:val="24"/>
          <w:highlight w:val="none"/>
        </w:rPr>
        <w:t>60</w:t>
      </w:r>
      <w:r>
        <w:rPr>
          <w:rFonts w:hint="eastAsia" w:ascii="宋体" w:hAnsi="宋体" w:eastAsia="宋体" w:cs="Times New Roman"/>
          <w:color w:val="auto"/>
          <w:sz w:val="24"/>
          <w:szCs w:val="24"/>
          <w:highlight w:val="none"/>
        </w:rPr>
        <w:t>日历天（从投标截止之日算起），有效期短于此规定的响应文件将被视为无效文件。</w:t>
      </w:r>
    </w:p>
    <w:p w14:paraId="344D1607">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6</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特殊情况下，采购人可于磋商响应文件有效期满之前要求磋商响应供应商同意延长有效期，要求与答复均为书面形式。磋商响应供应商可以拒绝上述要求，对于同意该要求的磋商响应供应商，不允许其修改磋商响应文件。</w:t>
      </w:r>
    </w:p>
    <w:p w14:paraId="12BA1C75">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1</w:t>
      </w:r>
      <w:r>
        <w:rPr>
          <w:rFonts w:hint="eastAsia" w:ascii="宋体" w:hAnsi="宋体" w:eastAsia="宋体" w:cs="Times New Roman"/>
          <w:b/>
          <w:bCs/>
          <w:color w:val="auto"/>
          <w:sz w:val="24"/>
          <w:szCs w:val="24"/>
          <w:highlight w:val="none"/>
        </w:rPr>
        <w:t>7、磋商</w:t>
      </w:r>
    </w:p>
    <w:p w14:paraId="253C22A6">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17.1 本项目采用电子化、无纸化进行招标，开标当日，供应商无需到开标现场参加开标会议，供应商应当在投标截止时间前，登陆不见面开标大厅选择登陆三门峡市公共资源电子招投标系统进行登陆,在线准时参加开标活动并进行磋商响应文件解密等。</w:t>
      </w:r>
    </w:p>
    <w:p w14:paraId="482A4799">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17.2 电子化磋商响应文件采用一次加密方式。开标时，由供应商使用CA证书，在规定时间内对其电子化磋商响应文件进行解密。每位供应商的解密时间为开标时间起30分钟内，如在规定时间内未完成解密的，其磋商响应文件不予开标、唱标。每位供应商的解密时间为开标时间起30分钟内完成。</w:t>
      </w:r>
    </w:p>
    <w:p w14:paraId="4793C4C1">
      <w:pPr>
        <w:spacing w:line="360" w:lineRule="auto"/>
        <w:ind w:firstLine="422" w:firstLineChars="176"/>
        <w:outlineLvl w:val="2"/>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17.3 电子化磋商响应文件解密异常的处理</w:t>
      </w:r>
    </w:p>
    <w:p w14:paraId="03389A8B">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如出现供应商的电子磋商响应文件无法解密等异常情况，供应商应及时致电中介服务机构说明。磋商响应文件异常，按以下步骤进行处理：</w:t>
      </w:r>
    </w:p>
    <w:p w14:paraId="611E7A45">
      <w:pPr>
        <w:spacing w:line="360" w:lineRule="auto"/>
        <w:ind w:firstLine="422" w:firstLineChars="176"/>
        <w:outlineLvl w:val="3"/>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（1）首先由技术人员进行问题排查。</w:t>
      </w:r>
    </w:p>
    <w:p w14:paraId="4F78B5D5">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（2）经技术人员排查后，是供应商文件自身问题导致磋商响应文件无法解密的，该磋商响应文件将不予接收、解密和唱标。开标会议继续进行。</w:t>
      </w:r>
    </w:p>
    <w:p w14:paraId="4EEAD4CF">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经技术人员排查后，如果是电子化交易系统问题造成磋商响应文件无法解密的，将由技术人员对问题进行处理。如短时间内问题无法解决的，将由中介服务机构向监督部门申请，经监督部门同意后，暂停开标会议，待问题解决后继续开标。</w:t>
      </w:r>
    </w:p>
    <w:p w14:paraId="1E6705EE">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17.4 待所有供应商磋商响应文件解密完成后，由中介服务机构操作，对所有已解密磋商响应文件进行唱标。</w:t>
      </w:r>
    </w:p>
    <w:p w14:paraId="60312398">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供应商应保证在开标期间电话、电脑、网络能够正常工作，供应商因停电、电脑病毒、网络堵塞等原因，未在规定的解密时间内对磋商响应文件进行解密的，其磋商响应文件不予接收、唱标。</w:t>
      </w:r>
    </w:p>
    <w:p w14:paraId="55E84267">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17.5 开标时供应商可登录到交易系统中在开标大厅中点击开标一览表查看自己的投标报价。如对自己的唱标内容有异议的，应在唱标内容显示后10分钟内向中介服务机构电话质疑。中介服务机构应在监督人员的监督下进行免提通话接受供应商的质疑并做好书面记录。供应商未在规定时间内提出质疑的，视为认可唱标内容。</w:t>
      </w:r>
    </w:p>
    <w:p w14:paraId="45AEC830">
      <w:pPr>
        <w:spacing w:line="360" w:lineRule="auto"/>
        <w:ind w:firstLine="424" w:firstLineChars="176"/>
        <w:outlineLvl w:val="1"/>
        <w:rPr>
          <w:rFonts w:hint="eastAsia" w:ascii="宋体" w:hAnsi="宋体" w:eastAsia="宋体" w:cs="Times New Roman"/>
          <w:b/>
          <w:bCs/>
          <w:color w:val="auto"/>
          <w:sz w:val="24"/>
          <w:szCs w:val="24"/>
          <w:highlight w:val="none"/>
          <w:lang w:eastAsia="zh-CN"/>
        </w:rPr>
      </w:pPr>
      <w:r>
        <w:rPr>
          <w:rFonts w:ascii="宋体" w:hAnsi="宋体" w:eastAsia="宋体" w:cs="Times New Roman"/>
          <w:b/>
          <w:bCs/>
          <w:color w:val="auto"/>
          <w:sz w:val="24"/>
          <w:szCs w:val="24"/>
          <w:highlight w:val="none"/>
        </w:rPr>
        <w:t>1</w:t>
      </w:r>
      <w:r>
        <w:rPr>
          <w:rFonts w:hint="eastAsia" w:ascii="宋体" w:hAnsi="宋体" w:eastAsia="宋体" w:cs="Times New Roman"/>
          <w:b/>
          <w:bCs/>
          <w:color w:val="auto"/>
          <w:sz w:val="24"/>
          <w:szCs w:val="24"/>
          <w:highlight w:val="none"/>
        </w:rPr>
        <w:t>8、</w:t>
      </w:r>
      <w:r>
        <w:rPr>
          <w:rFonts w:hint="eastAsia" w:ascii="宋体" w:hAnsi="宋体" w:cs="Times New Roman"/>
          <w:b/>
          <w:bCs/>
          <w:color w:val="auto"/>
          <w:sz w:val="24"/>
          <w:szCs w:val="24"/>
          <w:highlight w:val="none"/>
          <w:lang w:eastAsia="zh-CN"/>
        </w:rPr>
        <w:t>磋商小组</w:t>
      </w:r>
    </w:p>
    <w:p w14:paraId="58858C6A">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8</w:t>
      </w:r>
      <w:r>
        <w:rPr>
          <w:rFonts w:ascii="宋体" w:hAnsi="宋体" w:eastAsia="宋体" w:cs="Times New Roman"/>
          <w:color w:val="auto"/>
          <w:sz w:val="24"/>
          <w:szCs w:val="24"/>
          <w:highlight w:val="none"/>
        </w:rPr>
        <w:t>.1</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由</w:t>
      </w: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人构成：采购人代表</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人，其他专家</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人</w:t>
      </w:r>
      <w:r>
        <w:rPr>
          <w:rFonts w:hint="eastAsia" w:ascii="宋体" w:hAnsi="宋体" w:eastAsia="宋体" w:cs="宋体"/>
          <w:color w:val="auto"/>
          <w:kern w:val="44"/>
          <w:sz w:val="24"/>
          <w:szCs w:val="24"/>
          <w:highlight w:val="none"/>
        </w:rPr>
        <w:t>开标当天从</w:t>
      </w:r>
      <w:r>
        <w:rPr>
          <w:rFonts w:hint="eastAsia" w:ascii="宋体" w:hAnsi="宋体" w:eastAsia="宋体" w:cs="Times New Roman"/>
          <w:color w:val="auto"/>
          <w:sz w:val="24"/>
          <w:szCs w:val="24"/>
          <w:highlight w:val="none"/>
          <w:lang w:val="en-US" w:eastAsia="zh-CN"/>
        </w:rPr>
        <w:t>河南省政府采购</w:t>
      </w:r>
      <w:r>
        <w:rPr>
          <w:rFonts w:hint="eastAsia" w:ascii="宋体" w:hAnsi="宋体" w:cs="Times New Roman"/>
          <w:color w:val="auto"/>
          <w:sz w:val="24"/>
          <w:szCs w:val="24"/>
          <w:highlight w:val="none"/>
          <w:lang w:val="en-US" w:eastAsia="zh-CN"/>
        </w:rPr>
        <w:t>网</w:t>
      </w:r>
      <w:r>
        <w:rPr>
          <w:rFonts w:hint="eastAsia" w:ascii="宋体" w:hAnsi="宋体" w:eastAsia="宋体" w:cs="Times New Roman"/>
          <w:color w:val="auto"/>
          <w:sz w:val="24"/>
          <w:szCs w:val="24"/>
          <w:highlight w:val="none"/>
        </w:rPr>
        <w:t>评标专家库中随机抽取</w:t>
      </w:r>
      <w:r>
        <w:rPr>
          <w:rFonts w:hint="eastAsia" w:ascii="宋体" w:hAnsi="宋体" w:eastAsia="宋体" w:cs="宋体"/>
          <w:color w:val="auto"/>
          <w:kern w:val="44"/>
          <w:sz w:val="24"/>
          <w:szCs w:val="24"/>
          <w:highlight w:val="none"/>
        </w:rPr>
        <w:t>。</w:t>
      </w:r>
    </w:p>
    <w:p w14:paraId="59CB3AAE">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8</w:t>
      </w:r>
      <w:r>
        <w:rPr>
          <w:rFonts w:ascii="宋体" w:hAnsi="宋体" w:eastAsia="宋体" w:cs="Times New Roman"/>
          <w:color w:val="auto"/>
          <w:sz w:val="24"/>
          <w:szCs w:val="24"/>
          <w:highlight w:val="none"/>
        </w:rPr>
        <w:t>.2</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对所有磋商响应供应商的磋商响应文件进行评审，按评审后得分由高到低顺序排列，递交给采购人。</w:t>
      </w:r>
    </w:p>
    <w:p w14:paraId="57A94C97">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8</w:t>
      </w:r>
      <w:r>
        <w:rPr>
          <w:rFonts w:ascii="宋体" w:hAnsi="宋体" w:eastAsia="宋体" w:cs="Times New Roman"/>
          <w:color w:val="auto"/>
          <w:sz w:val="24"/>
          <w:szCs w:val="24"/>
          <w:highlight w:val="none"/>
        </w:rPr>
        <w:t>.3</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成员要依法独立评审，并对评审意见承担个人责任。</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成员对需要共同认定的事项存在争议的，按照少数服从多数的原则做出结论。持不同意见的</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成员应当在评审报告上签署不同意见并说明理由，否则视为同意。</w:t>
      </w:r>
    </w:p>
    <w:p w14:paraId="5A80AF5A">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8</w:t>
      </w:r>
      <w:r>
        <w:rPr>
          <w:rFonts w:ascii="宋体" w:hAnsi="宋体" w:eastAsia="宋体" w:cs="Times New Roman"/>
          <w:color w:val="auto"/>
          <w:sz w:val="24"/>
          <w:szCs w:val="24"/>
          <w:highlight w:val="none"/>
        </w:rPr>
        <w:t>.4</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和评审工作有关人员不得干预或者影响正常评审工作，不得明示或者暗示其倾向性、引导性意见，不得修改磋商文件确定的评审程序、评审方法，不得征询采购人代表的倾向性意见，不得记录、复制或带走任何评审资料。成交候选供应商确定后，</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不得修改评审结果或者要求重新评审，但因资格性审查认定错误或价格计算错误需依法重新评审的除外。应在评审报告中明确记载。</w:t>
      </w:r>
    </w:p>
    <w:p w14:paraId="1208D25A">
      <w:pPr>
        <w:spacing w:line="360" w:lineRule="auto"/>
        <w:ind w:firstLine="424" w:firstLineChars="176"/>
        <w:outlineLvl w:val="1"/>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19、磋商程序</w:t>
      </w:r>
    </w:p>
    <w:p w14:paraId="400C17B8">
      <w:pPr>
        <w:spacing w:line="360" w:lineRule="auto"/>
        <w:ind w:firstLine="422" w:firstLineChars="176"/>
        <w:rPr>
          <w:rFonts w:ascii="宋体" w:hAnsi="宋体" w:eastAsia="宋体" w:cs="Times New Roman"/>
          <w:b/>
          <w:bCs/>
          <w:color w:val="auto"/>
          <w:sz w:val="24"/>
          <w:szCs w:val="24"/>
          <w:highlight w:val="none"/>
        </w:rPr>
      </w:pPr>
      <w:r>
        <w:rPr>
          <w:rFonts w:hint="eastAsia" w:ascii="宋体" w:hAnsi="宋体" w:eastAsia="宋体" w:cs="Times New Roman"/>
          <w:color w:val="auto"/>
          <w:sz w:val="24"/>
          <w:szCs w:val="24"/>
          <w:highlight w:val="none"/>
        </w:rPr>
        <w:t>19</w:t>
      </w:r>
      <w:r>
        <w:rPr>
          <w:rFonts w:ascii="宋体" w:hAnsi="宋体" w:eastAsia="宋体" w:cs="Times New Roman"/>
          <w:color w:val="auto"/>
          <w:sz w:val="24"/>
          <w:szCs w:val="24"/>
          <w:highlight w:val="none"/>
        </w:rPr>
        <w:t>.1</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所有成员集中评审磋商响应文件及集中与磋商响应供应商分别进行磋商。</w:t>
      </w:r>
    </w:p>
    <w:p w14:paraId="1807FF0B">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19</w:t>
      </w:r>
      <w:r>
        <w:rPr>
          <w:rFonts w:ascii="宋体" w:hAnsi="宋体" w:eastAsia="宋体" w:cs="Times New Roman"/>
          <w:color w:val="auto"/>
          <w:sz w:val="24"/>
          <w:szCs w:val="24"/>
          <w:highlight w:val="none"/>
        </w:rPr>
        <w:t>.2</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首先对所有磋商响应文件进行符合性审查</w:t>
      </w:r>
      <w:r>
        <w:rPr>
          <w:rFonts w:hint="eastAsia" w:ascii="宋体" w:hAnsi="宋体" w:cs="Times New Roman"/>
          <w:color w:val="auto"/>
          <w:sz w:val="24"/>
          <w:szCs w:val="24"/>
          <w:highlight w:val="none"/>
          <w:lang w:eastAsia="zh-CN"/>
        </w:rPr>
        <w:t>、资格审查和响应性审查</w:t>
      </w:r>
      <w:r>
        <w:rPr>
          <w:rFonts w:hint="eastAsia" w:ascii="宋体" w:hAnsi="宋体" w:eastAsia="宋体" w:cs="Times New Roman"/>
          <w:color w:val="auto"/>
          <w:sz w:val="24"/>
          <w:szCs w:val="24"/>
          <w:highlight w:val="none"/>
        </w:rPr>
        <w:t>。</w:t>
      </w:r>
    </w:p>
    <w:p w14:paraId="5F591746">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资格性审查是指：</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按照竞争性磋商文件第二章供应商须知前附表第</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1项</w:t>
      </w:r>
      <w:r>
        <w:rPr>
          <w:rFonts w:hint="eastAsia" w:ascii="宋体" w:hAnsi="宋体" w:cs="Times New Roman"/>
          <w:color w:val="auto"/>
          <w:sz w:val="24"/>
          <w:szCs w:val="24"/>
          <w:highlight w:val="none"/>
          <w:lang w:eastAsia="zh-CN"/>
        </w:rPr>
        <w:t>及第三章评标办法初步审查表中</w:t>
      </w:r>
      <w:r>
        <w:rPr>
          <w:rFonts w:hint="eastAsia" w:ascii="宋体" w:hAnsi="宋体" w:cs="Times New Roman"/>
          <w:color w:val="auto"/>
          <w:sz w:val="24"/>
          <w:szCs w:val="24"/>
          <w:highlight w:val="none"/>
          <w:lang w:val="en-US" w:eastAsia="zh-CN"/>
        </w:rPr>
        <w:t>3.1.2</w:t>
      </w:r>
      <w:r>
        <w:rPr>
          <w:rFonts w:hint="eastAsia" w:ascii="宋体" w:hAnsi="宋体" w:eastAsia="宋体" w:cs="Times New Roman"/>
          <w:color w:val="auto"/>
          <w:sz w:val="24"/>
          <w:szCs w:val="24"/>
          <w:highlight w:val="none"/>
        </w:rPr>
        <w:t>的要求，对磋商响应供应商进行审查，有一项不符合的，视为未通过资格审查，不得进入下一评审过程。符合性审查是指：</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按照</w:t>
      </w:r>
      <w:r>
        <w:rPr>
          <w:rFonts w:hint="eastAsia" w:ascii="宋体" w:hAnsi="宋体" w:cs="Times New Roman"/>
          <w:color w:val="auto"/>
          <w:sz w:val="24"/>
          <w:szCs w:val="24"/>
          <w:highlight w:val="none"/>
          <w:lang w:eastAsia="zh-CN"/>
        </w:rPr>
        <w:t>评标办法初步审查表中</w:t>
      </w:r>
      <w:r>
        <w:rPr>
          <w:rFonts w:hint="eastAsia" w:ascii="宋体" w:hAnsi="宋体" w:cs="Times New Roman"/>
          <w:color w:val="auto"/>
          <w:sz w:val="24"/>
          <w:szCs w:val="24"/>
          <w:highlight w:val="none"/>
          <w:lang w:val="en-US" w:eastAsia="zh-CN"/>
        </w:rPr>
        <w:t>3.1.1</w:t>
      </w:r>
      <w:r>
        <w:rPr>
          <w:rFonts w:hint="eastAsia" w:ascii="宋体" w:hAnsi="宋体" w:eastAsia="宋体" w:cs="Times New Roman"/>
          <w:color w:val="auto"/>
          <w:sz w:val="24"/>
          <w:szCs w:val="24"/>
          <w:highlight w:val="none"/>
        </w:rPr>
        <w:t>的要求，对磋商响应供应商进行审查，有一项不符合的，视为未通过符合性审查。</w:t>
      </w:r>
      <w:r>
        <w:rPr>
          <w:rFonts w:hint="eastAsia" w:ascii="宋体" w:hAnsi="宋体" w:cs="Times New Roman"/>
          <w:color w:val="auto"/>
          <w:sz w:val="24"/>
          <w:szCs w:val="24"/>
          <w:highlight w:val="none"/>
          <w:lang w:eastAsia="zh-CN"/>
        </w:rPr>
        <w:t>响应</w:t>
      </w:r>
      <w:r>
        <w:rPr>
          <w:rFonts w:hint="eastAsia" w:ascii="宋体" w:hAnsi="宋体" w:eastAsia="宋体" w:cs="Times New Roman"/>
          <w:color w:val="auto"/>
          <w:sz w:val="24"/>
          <w:szCs w:val="24"/>
          <w:highlight w:val="none"/>
        </w:rPr>
        <w:t>性审查是指：</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按照</w:t>
      </w:r>
      <w:r>
        <w:rPr>
          <w:rFonts w:hint="eastAsia" w:ascii="宋体" w:hAnsi="宋体" w:cs="Times New Roman"/>
          <w:color w:val="auto"/>
          <w:sz w:val="24"/>
          <w:szCs w:val="24"/>
          <w:highlight w:val="none"/>
          <w:lang w:eastAsia="zh-CN"/>
        </w:rPr>
        <w:t>评标办法初步审查表中</w:t>
      </w:r>
      <w:r>
        <w:rPr>
          <w:rFonts w:hint="eastAsia" w:ascii="宋体" w:hAnsi="宋体" w:cs="Times New Roman"/>
          <w:color w:val="auto"/>
          <w:sz w:val="24"/>
          <w:szCs w:val="24"/>
          <w:highlight w:val="none"/>
          <w:lang w:val="en-US" w:eastAsia="zh-CN"/>
        </w:rPr>
        <w:t>3.1.3</w:t>
      </w:r>
      <w:r>
        <w:rPr>
          <w:rFonts w:hint="eastAsia" w:ascii="宋体" w:hAnsi="宋体" w:eastAsia="宋体" w:cs="Times New Roman"/>
          <w:color w:val="auto"/>
          <w:sz w:val="24"/>
          <w:szCs w:val="24"/>
          <w:highlight w:val="none"/>
        </w:rPr>
        <w:t>的要求，对磋商响应供应商进行审查，有一项不符合的，视为未通过</w:t>
      </w:r>
      <w:r>
        <w:rPr>
          <w:rFonts w:hint="eastAsia" w:ascii="宋体" w:hAnsi="宋体" w:cs="Times New Roman"/>
          <w:color w:val="auto"/>
          <w:sz w:val="24"/>
          <w:szCs w:val="24"/>
          <w:highlight w:val="none"/>
          <w:lang w:eastAsia="zh-CN"/>
        </w:rPr>
        <w:t>响应</w:t>
      </w:r>
      <w:r>
        <w:rPr>
          <w:rFonts w:hint="eastAsia" w:ascii="宋体" w:hAnsi="宋体" w:eastAsia="宋体" w:cs="Times New Roman"/>
          <w:color w:val="auto"/>
          <w:sz w:val="24"/>
          <w:szCs w:val="24"/>
          <w:highlight w:val="none"/>
        </w:rPr>
        <w:t>性审查。未通过</w:t>
      </w:r>
      <w:r>
        <w:rPr>
          <w:rFonts w:hint="eastAsia" w:ascii="宋体" w:hAnsi="宋体" w:cs="Times New Roman"/>
          <w:color w:val="auto"/>
          <w:sz w:val="24"/>
          <w:szCs w:val="24"/>
          <w:highlight w:val="none"/>
          <w:lang w:eastAsia="zh-CN"/>
        </w:rPr>
        <w:t>以上</w:t>
      </w:r>
      <w:r>
        <w:rPr>
          <w:rFonts w:hint="eastAsia" w:ascii="宋体" w:hAnsi="宋体" w:eastAsia="宋体" w:cs="Times New Roman"/>
          <w:color w:val="auto"/>
          <w:sz w:val="24"/>
          <w:szCs w:val="24"/>
          <w:highlight w:val="none"/>
        </w:rPr>
        <w:t>审查的磋商响应文件按无效响应处理。</w:t>
      </w:r>
    </w:p>
    <w:p w14:paraId="72F72777">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19</w:t>
      </w:r>
      <w:r>
        <w:rPr>
          <w:rFonts w:ascii="宋体" w:hAnsi="宋体" w:eastAsia="宋体" w:cs="Times New Roman"/>
          <w:color w:val="auto"/>
          <w:sz w:val="24"/>
          <w:szCs w:val="24"/>
          <w:highlight w:val="none"/>
        </w:rPr>
        <w:t>.2.1</w:t>
      </w:r>
      <w:r>
        <w:rPr>
          <w:rFonts w:hint="eastAsia" w:ascii="宋体" w:hAnsi="宋体" w:eastAsia="宋体" w:cs="Times New Roman"/>
          <w:color w:val="auto"/>
          <w:sz w:val="24"/>
          <w:szCs w:val="24"/>
          <w:highlight w:val="none"/>
        </w:rPr>
        <w:t>允许修正磋商响应文件中不构成重大偏离的、微小的、非正规的、不一致或不规则的地方。</w:t>
      </w:r>
    </w:p>
    <w:p w14:paraId="27F02C44">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19</w:t>
      </w:r>
      <w:r>
        <w:rPr>
          <w:rFonts w:ascii="宋体" w:hAnsi="宋体" w:eastAsia="宋体" w:cs="Times New Roman"/>
          <w:color w:val="auto"/>
          <w:sz w:val="24"/>
          <w:szCs w:val="24"/>
          <w:highlight w:val="none"/>
        </w:rPr>
        <w:t xml:space="preserve">.2.2 </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判断磋商响应文件的响应性仅基于磋商响应文件本身内容而不靠外部证据。</w:t>
      </w:r>
    </w:p>
    <w:p w14:paraId="4042CC9B">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19</w:t>
      </w:r>
      <w:r>
        <w:rPr>
          <w:rFonts w:ascii="宋体" w:hAnsi="宋体" w:eastAsia="宋体" w:cs="Times New Roman"/>
          <w:color w:val="auto"/>
          <w:sz w:val="24"/>
          <w:szCs w:val="24"/>
          <w:highlight w:val="none"/>
        </w:rPr>
        <w:t>.2.3</w:t>
      </w:r>
      <w:r>
        <w:rPr>
          <w:rFonts w:hint="eastAsia" w:ascii="宋体" w:hAnsi="宋体" w:eastAsia="宋体" w:cs="Times New Roman"/>
          <w:color w:val="auto"/>
          <w:sz w:val="24"/>
          <w:szCs w:val="24"/>
          <w:highlight w:val="none"/>
        </w:rPr>
        <w:t>实质性未响应磋商文件要求的响应将被拒绝，磋商响应供应商不得通过修正或撤消不符之处而使其响应成为实质性响应。</w:t>
      </w:r>
    </w:p>
    <w:p w14:paraId="6C6C8001">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19</w:t>
      </w:r>
      <w:r>
        <w:rPr>
          <w:rFonts w:ascii="宋体" w:hAnsi="宋体" w:eastAsia="宋体" w:cs="Times New Roman"/>
          <w:color w:val="auto"/>
          <w:sz w:val="24"/>
          <w:szCs w:val="24"/>
          <w:highlight w:val="none"/>
        </w:rPr>
        <w:t>.2.4</w:t>
      </w:r>
      <w:r>
        <w:rPr>
          <w:rFonts w:hint="eastAsia" w:ascii="宋体" w:hAnsi="宋体" w:eastAsia="宋体" w:cs="Times New Roman"/>
          <w:color w:val="auto"/>
          <w:sz w:val="24"/>
          <w:szCs w:val="24"/>
          <w:highlight w:val="none"/>
        </w:rPr>
        <w:t>实质性未响应是指磋商响应文件中提出了超出磋商文件中招标控制价、采购数量、</w:t>
      </w:r>
      <w:r>
        <w:rPr>
          <w:rFonts w:hint="eastAsia" w:ascii="宋体" w:hAnsi="宋体" w:cs="Times New Roman"/>
          <w:color w:val="auto"/>
          <w:sz w:val="24"/>
          <w:szCs w:val="24"/>
          <w:highlight w:val="none"/>
          <w:lang w:val="en-US" w:eastAsia="zh-CN"/>
        </w:rPr>
        <w:t>服务期限</w:t>
      </w:r>
      <w:r>
        <w:rPr>
          <w:rFonts w:hint="eastAsia" w:ascii="宋体" w:hAnsi="宋体" w:eastAsia="宋体" w:cs="Times New Roman"/>
          <w:color w:val="auto"/>
          <w:sz w:val="24"/>
          <w:szCs w:val="24"/>
          <w:highlight w:val="none"/>
        </w:rPr>
        <w:t>和服务要求等内容。</w:t>
      </w:r>
    </w:p>
    <w:p w14:paraId="3B66D9B4">
      <w:pPr>
        <w:spacing w:line="360" w:lineRule="auto"/>
        <w:ind w:firstLine="422" w:firstLineChars="176"/>
        <w:outlineLvl w:val="2"/>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19</w:t>
      </w: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有下列情形之一的，其磋商响应文件将会被拒绝：</w:t>
      </w:r>
    </w:p>
    <w:p w14:paraId="2D7088D3">
      <w:pPr>
        <w:numPr>
          <w:ilvl w:val="0"/>
          <w:numId w:val="1"/>
        </w:num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磋商响应供应商资格不符合竞争性磋商文件要求的；</w:t>
      </w:r>
    </w:p>
    <w:p w14:paraId="38659959">
      <w:pPr>
        <w:numPr>
          <w:ilvl w:val="0"/>
          <w:numId w:val="1"/>
        </w:num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磋商报价超过竞争性磋商文件规定的招标控制价的；</w:t>
      </w:r>
    </w:p>
    <w:p w14:paraId="6A678998">
      <w:pPr>
        <w:numPr>
          <w:ilvl w:val="0"/>
          <w:numId w:val="1"/>
        </w:num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以他人的名义磋商、串通磋商、以行贿手段谋取成交或者以其他弄虚作假方式磋商的；</w:t>
      </w:r>
    </w:p>
    <w:p w14:paraId="57814FF9">
      <w:pPr>
        <w:spacing w:line="360" w:lineRule="auto"/>
        <w:ind w:firstLine="480" w:firstLineChars="200"/>
        <w:outlineLvl w:val="3"/>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（4）采取不正当手段谋取成交的。</w:t>
      </w:r>
    </w:p>
    <w:p w14:paraId="66355319">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0、对磋商响应供应商的评价</w:t>
      </w:r>
    </w:p>
    <w:p w14:paraId="22265D27">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.1</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只对已判定为实质性响应且通过资格审查的磋商响应文件进行详细评价和比较。</w:t>
      </w:r>
    </w:p>
    <w:p w14:paraId="5BC4799C">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2</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所有成员应当集中与单一磋商响应供应商分别进行磋商，并给予所有参加磋商的磋商响应供应商平等的磋商机会。磋商完成后，要求其在规定时间内提交最后报价，提交最后报价的供应商可以为两家。</w:t>
      </w:r>
    </w:p>
    <w:p w14:paraId="32CBE2DF">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3经磋商确定最终采购需求和提交最后报价的磋商响应供应商后，</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采用综合评分法对提交最后报价的磋商响应供应商的磋商响应文件和最后报价进行综合评分。</w:t>
      </w:r>
    </w:p>
    <w:p w14:paraId="2780BF42">
      <w:pPr>
        <w:spacing w:line="44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4</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根据综合评分情况，按评审得分由高到低的顺序确定三名成交候选供应商（如提交最后报价的供应商为两家时，</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按评审得分由高到低的顺序确定两名成交候选供应商），并编写评审报告。评审得分相同的，按照最后报价由低到高的顺序确定，评审得分且最后报价相同的，按照技术指标优劣顺序确定成交候选供应商。评审报告由</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全体人员签字。</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成员对评审报告有异议的，</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按照少数服从多数的原则推荐成交候选供应商，采购程序继续进行。对评审报告有异议的</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成员，应当在报告上签署不同意见并说明理由，由</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书面记录相关情况。</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成员拒绝在报告上签字又不书面说明其不同意见和理由的，视为同意评审报告。</w:t>
      </w:r>
    </w:p>
    <w:p w14:paraId="214F6FC4">
      <w:pPr>
        <w:spacing w:line="44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5如果第一名供应商放弃成交资格或因不可抗力提出不能履行合同、竞争性磋商文件规定，采购人将依序确定排名第二名的成交候选供应商为成交供应商，也可以重新开展政府采购活动。</w:t>
      </w:r>
    </w:p>
    <w:p w14:paraId="3FA6317A">
      <w:pPr>
        <w:spacing w:line="440" w:lineRule="exact"/>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1、磋商响应文件的澄清</w:t>
      </w:r>
    </w:p>
    <w:p w14:paraId="4920D284">
      <w:pPr>
        <w:spacing w:line="44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1</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为了有助于对磋商响应文件进行审查、评估和比较，</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有权向磋商响应供应商质疑。请磋商响应供应商澄清其</w:t>
      </w:r>
      <w:r>
        <w:rPr>
          <w:rFonts w:hint="eastAsia" w:ascii="宋体" w:hAnsi="宋体" w:eastAsia="宋体" w:cs="Times New Roman"/>
          <w:color w:val="auto"/>
          <w:kern w:val="0"/>
          <w:sz w:val="24"/>
          <w:szCs w:val="24"/>
          <w:highlight w:val="none"/>
        </w:rPr>
        <w:t>磋商</w:t>
      </w:r>
      <w:r>
        <w:rPr>
          <w:rFonts w:hint="eastAsia" w:ascii="宋体" w:hAnsi="宋体" w:eastAsia="宋体" w:cs="Times New Roman"/>
          <w:color w:val="auto"/>
          <w:sz w:val="24"/>
          <w:szCs w:val="24"/>
          <w:highlight w:val="none"/>
        </w:rPr>
        <w:t>内容。磋商响应供应商有责任按照</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通知的时间、地点、方式指派委托代理人进行答疑和澄清。</w:t>
      </w:r>
    </w:p>
    <w:p w14:paraId="71B1EBF6">
      <w:pPr>
        <w:spacing w:line="44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1</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重要澄清的答复应是书面的，并由法定代表人或其委托代理人签字。</w:t>
      </w:r>
    </w:p>
    <w:p w14:paraId="3B4B6F91">
      <w:pPr>
        <w:spacing w:line="44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1</w:t>
      </w: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磋商响应供应商的澄清文件是磋商响应文件的组成部分，并取代磋商响应文件中被澄清的部分。</w:t>
      </w:r>
    </w:p>
    <w:p w14:paraId="19003148">
      <w:pPr>
        <w:spacing w:line="440" w:lineRule="exact"/>
        <w:ind w:firstLine="422" w:firstLineChars="176"/>
        <w:outlineLvl w:val="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1</w:t>
      </w:r>
      <w:r>
        <w:rPr>
          <w:rFonts w:ascii="宋体" w:hAnsi="宋体" w:eastAsia="宋体" w:cs="Times New Roman"/>
          <w:color w:val="auto"/>
          <w:sz w:val="24"/>
          <w:szCs w:val="24"/>
          <w:highlight w:val="none"/>
        </w:rPr>
        <w:t>.4</w:t>
      </w:r>
      <w:r>
        <w:rPr>
          <w:rFonts w:hint="eastAsia" w:ascii="宋体" w:hAnsi="宋体" w:eastAsia="宋体" w:cs="Times New Roman"/>
          <w:color w:val="auto"/>
          <w:sz w:val="24"/>
          <w:szCs w:val="24"/>
          <w:highlight w:val="none"/>
        </w:rPr>
        <w:t>磋商响应文件澄清部分不得对磋商内容进行实质性修改。</w:t>
      </w:r>
    </w:p>
    <w:p w14:paraId="0D2EE22A">
      <w:pPr>
        <w:spacing w:line="440" w:lineRule="exact"/>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2、磋商原则和方法</w:t>
      </w:r>
    </w:p>
    <w:p w14:paraId="42888679">
      <w:pPr>
        <w:spacing w:line="440" w:lineRule="exact"/>
        <w:ind w:firstLine="422" w:firstLineChars="176"/>
        <w:outlineLvl w:val="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坚持公开、公平、公正的原则。</w:t>
      </w:r>
    </w:p>
    <w:p w14:paraId="3077DC1A">
      <w:pPr>
        <w:spacing w:line="44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磋商在</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应当集中与单一磋商响应供应商分别进行磋商，</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将遵照磋商原则，公正、平等地对待所有磋商响应供应商。</w:t>
      </w:r>
    </w:p>
    <w:p w14:paraId="4FD4F059">
      <w:pPr>
        <w:spacing w:line="440" w:lineRule="exact"/>
        <w:ind w:firstLine="422" w:firstLineChars="176"/>
        <w:outlineLvl w:val="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评审方法</w:t>
      </w:r>
    </w:p>
    <w:p w14:paraId="36FFC23D">
      <w:pPr>
        <w:spacing w:line="44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.3.1</w:t>
      </w:r>
      <w:r>
        <w:rPr>
          <w:rFonts w:hint="eastAsia" w:ascii="宋体" w:hAnsi="宋体" w:eastAsia="宋体" w:cs="Times New Roman"/>
          <w:color w:val="auto"/>
          <w:sz w:val="24"/>
          <w:szCs w:val="24"/>
          <w:highlight w:val="none"/>
        </w:rPr>
        <w:t>初步评审（是否响应竞争性磋商文件的要求），确定合格的磋商响应供应商。</w:t>
      </w:r>
    </w:p>
    <w:p w14:paraId="3C46AD9A">
      <w:pPr>
        <w:spacing w:line="440" w:lineRule="exact"/>
        <w:ind w:firstLine="422" w:firstLineChars="176"/>
        <w:outlineLvl w:val="3"/>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.3.2</w:t>
      </w:r>
      <w:r>
        <w:rPr>
          <w:rFonts w:hint="eastAsia" w:ascii="宋体" w:hAnsi="宋体" w:eastAsia="宋体" w:cs="Times New Roman"/>
          <w:color w:val="auto"/>
          <w:sz w:val="24"/>
          <w:szCs w:val="24"/>
          <w:highlight w:val="none"/>
        </w:rPr>
        <w:t>各磋商响应供应商依据各自情况进行最后报价。</w:t>
      </w:r>
    </w:p>
    <w:p w14:paraId="27AFE0C2">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.3.3</w:t>
      </w:r>
      <w:r>
        <w:rPr>
          <w:rFonts w:hint="eastAsia" w:ascii="宋体" w:hAnsi="宋体" w:eastAsia="宋体" w:cs="Times New Roman"/>
          <w:color w:val="auto"/>
          <w:sz w:val="24"/>
          <w:szCs w:val="24"/>
          <w:highlight w:val="none"/>
        </w:rPr>
        <w:t>经磋商确定最终采购需求和提交最后报价的磋商响应供应商，由</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采用综合评分法对提交最后报价的磋商响应供应商的响应文件和最后报价进行综合评分。</w:t>
      </w:r>
    </w:p>
    <w:p w14:paraId="1FB728D1">
      <w:pPr>
        <w:spacing w:line="420" w:lineRule="exact"/>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3、确定成交供应商</w:t>
      </w:r>
    </w:p>
    <w:p w14:paraId="67D316C0">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3</w:t>
      </w:r>
      <w:r>
        <w:rPr>
          <w:rFonts w:ascii="宋体" w:hAnsi="宋体" w:eastAsia="宋体" w:cs="Times New Roman"/>
          <w:color w:val="auto"/>
          <w:sz w:val="24"/>
          <w:szCs w:val="24"/>
          <w:highlight w:val="none"/>
        </w:rPr>
        <w:t>.1</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应当根据综合评分情况，按照评审有高到低的顺序推荐成交候选供应商，并向采购人提供书面评审报告，并经采购人授权，直接确定排名第一的成交候选供应商为成交供应商。</w:t>
      </w:r>
    </w:p>
    <w:p w14:paraId="5B5A5110">
      <w:pPr>
        <w:spacing w:line="420" w:lineRule="exact"/>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4、保密及其它注意事项</w:t>
      </w:r>
    </w:p>
    <w:p w14:paraId="4C57BEBD">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4</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评审工作是磋商工作的重要环节，评审工作在</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内独立进行。</w:t>
      </w:r>
    </w:p>
    <w:p w14:paraId="0C291A99">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4</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在评审期间，磋商响应供应商不得向</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成员询问评审情况，不得进行影响评审结果的活动。否则其响应将会被拒绝。</w:t>
      </w:r>
    </w:p>
    <w:p w14:paraId="7419B9CF">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4</w:t>
      </w: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为保证评审的公正性，磋商开始后直至授予成交供应商合同，</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成员不得与供应商私下交换意见。</w:t>
      </w:r>
    </w:p>
    <w:p w14:paraId="3B2AB824">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4</w:t>
      </w:r>
      <w:r>
        <w:rPr>
          <w:rFonts w:ascii="宋体" w:hAnsi="宋体" w:eastAsia="宋体" w:cs="Times New Roman"/>
          <w:color w:val="auto"/>
          <w:sz w:val="24"/>
          <w:szCs w:val="24"/>
          <w:highlight w:val="none"/>
        </w:rPr>
        <w:t>.4</w:t>
      </w:r>
      <w:r>
        <w:rPr>
          <w:rFonts w:hint="eastAsia" w:ascii="宋体" w:hAnsi="宋体" w:eastAsia="宋体" w:cs="Times New Roman"/>
          <w:color w:val="auto"/>
          <w:sz w:val="24"/>
          <w:szCs w:val="24"/>
          <w:highlight w:val="none"/>
        </w:rPr>
        <w:t>在评审工作结束后，凡与评审情况有接触的任何人不得擅自将评审情况扩散出评审人员之外。</w:t>
      </w:r>
    </w:p>
    <w:p w14:paraId="53C3E2CE">
      <w:pPr>
        <w:spacing w:line="420" w:lineRule="exact"/>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5、成交通知</w:t>
      </w:r>
      <w:r>
        <w:rPr>
          <w:rFonts w:ascii="宋体" w:hAnsi="宋体" w:eastAsia="宋体" w:cs="Times New Roman"/>
          <w:b/>
          <w:bCs/>
          <w:color w:val="auto"/>
          <w:sz w:val="24"/>
          <w:szCs w:val="24"/>
          <w:highlight w:val="none"/>
        </w:rPr>
        <w:tab/>
      </w:r>
    </w:p>
    <w:p w14:paraId="16DFD09C">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5</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成交供应商确定后，采购人向成交供应商签发《成交通知书》，并将成交结果通知所有未成交的磋商响应供应商。</w:t>
      </w:r>
    </w:p>
    <w:p w14:paraId="470DE5B5">
      <w:pPr>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25</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《成交通知书》作为签订合同的依据，对采购人和成交供应商均具有法律效力，成交通知书发出后，采购人改变成交结果或者成交供应商放弃项目，应依法承担法律责任。</w:t>
      </w:r>
    </w:p>
    <w:p w14:paraId="4755AB09">
      <w:pPr>
        <w:spacing w:line="420" w:lineRule="exact"/>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6、授予合同时变更数量的权力</w:t>
      </w:r>
    </w:p>
    <w:p w14:paraId="2A5E2DA0">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6.</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采购人在授予合同时，保留对货物数量予以适当增减的权利。成交供应商不得在此情况下对磋商响应文件做出修改，如价格、技术参数、服务承诺等。</w:t>
      </w:r>
    </w:p>
    <w:p w14:paraId="4A249D27">
      <w:pPr>
        <w:spacing w:line="420" w:lineRule="exact"/>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7、签订合同</w:t>
      </w:r>
    </w:p>
    <w:p w14:paraId="64F1AF47">
      <w:pPr>
        <w:adjustRightInd w:val="0"/>
        <w:spacing w:line="420" w:lineRule="exact"/>
        <w:ind w:firstLine="422" w:firstLineChars="176"/>
        <w:jc w:val="left"/>
        <w:rPr>
          <w:rFonts w:hint="eastAsia"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7</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采购人与成交供应商应当在成交通知书发出之日起30 日内，按照</w:t>
      </w:r>
      <w:r>
        <w:rPr>
          <w:rFonts w:hint="eastAsia" w:ascii="宋体" w:hAnsi="宋体" w:eastAsia="宋体" w:cs="Times New Roman"/>
          <w:color w:val="auto"/>
          <w:sz w:val="24"/>
          <w:szCs w:val="24"/>
          <w:highlight w:val="none"/>
          <w:lang w:val="en-US" w:eastAsia="zh-CN"/>
        </w:rPr>
        <w:t>竞争性磋商</w:t>
      </w:r>
      <w:r>
        <w:rPr>
          <w:rFonts w:hint="eastAsia" w:ascii="宋体" w:hAnsi="宋体" w:eastAsia="宋体" w:cs="Times New Roman"/>
          <w:color w:val="auto"/>
          <w:sz w:val="24"/>
          <w:szCs w:val="24"/>
          <w:highlight w:val="none"/>
        </w:rPr>
        <w:t>文件确定的合同文本以及采购金额</w:t>
      </w:r>
      <w:r>
        <w:rPr>
          <w:rFonts w:hint="eastAsia" w:ascii="宋体" w:hAnsi="宋体" w:cs="Times New Roman"/>
          <w:color w:val="auto"/>
          <w:sz w:val="24"/>
          <w:szCs w:val="24"/>
          <w:highlight w:val="none"/>
          <w:lang w:val="en-US" w:eastAsia="zh-CN"/>
        </w:rPr>
        <w:t>和</w:t>
      </w:r>
      <w:r>
        <w:rPr>
          <w:rFonts w:hint="eastAsia" w:ascii="宋体" w:hAnsi="宋体" w:eastAsia="宋体" w:cs="Times New Roman"/>
          <w:color w:val="auto"/>
          <w:sz w:val="24"/>
          <w:szCs w:val="24"/>
          <w:highlight w:val="none"/>
        </w:rPr>
        <w:t>服务要求等事项签订合同。采购人不得向成交供应商提出超出</w:t>
      </w:r>
      <w:r>
        <w:rPr>
          <w:rFonts w:hint="eastAsia" w:ascii="宋体" w:hAnsi="宋体" w:eastAsia="宋体" w:cs="Times New Roman"/>
          <w:color w:val="auto"/>
          <w:sz w:val="24"/>
          <w:szCs w:val="24"/>
          <w:highlight w:val="none"/>
          <w:lang w:val="en-US" w:eastAsia="zh-CN"/>
        </w:rPr>
        <w:t>以竞争性磋商</w:t>
      </w:r>
      <w:r>
        <w:rPr>
          <w:rFonts w:hint="eastAsia" w:ascii="宋体" w:hAnsi="宋体" w:eastAsia="宋体" w:cs="Times New Roman"/>
          <w:color w:val="auto"/>
          <w:sz w:val="24"/>
          <w:szCs w:val="24"/>
          <w:highlight w:val="none"/>
        </w:rPr>
        <w:t>文件以外的任何要求作为签订合同的条件，不得与成交供应商订立背离谈</w:t>
      </w:r>
      <w:r>
        <w:rPr>
          <w:rFonts w:hint="eastAsia" w:ascii="宋体" w:hAnsi="宋体" w:eastAsia="宋体" w:cs="Times New Roman"/>
          <w:color w:val="auto"/>
          <w:sz w:val="24"/>
          <w:szCs w:val="24"/>
          <w:highlight w:val="none"/>
          <w:lang w:val="en-US" w:eastAsia="zh-CN"/>
        </w:rPr>
        <w:t>竞争性磋商</w:t>
      </w:r>
      <w:r>
        <w:rPr>
          <w:rFonts w:hint="eastAsia" w:ascii="宋体" w:hAnsi="宋体" w:eastAsia="宋体" w:cs="Times New Roman"/>
          <w:color w:val="auto"/>
          <w:sz w:val="24"/>
          <w:szCs w:val="24"/>
          <w:highlight w:val="none"/>
        </w:rPr>
        <w:t>文件确定的合同文本以及采购金额和服务要求等实质性内容的协议。</w:t>
      </w:r>
    </w:p>
    <w:p w14:paraId="38284F3A">
      <w:pPr>
        <w:adjustRightInd w:val="0"/>
        <w:spacing w:line="420" w:lineRule="exact"/>
        <w:ind w:firstLine="422" w:firstLineChars="176"/>
        <w:jc w:val="left"/>
        <w:rPr>
          <w:rFonts w:ascii="宋体" w:hAnsi="宋体" w:eastAsia="宋体" w:cs="Times New Roman"/>
          <w:color w:val="auto"/>
          <w:spacing w:val="-5"/>
          <w:sz w:val="24"/>
          <w:szCs w:val="24"/>
          <w:highlight w:val="none"/>
        </w:rPr>
      </w:pPr>
      <w:r>
        <w:rPr>
          <w:rFonts w:hint="eastAsia" w:ascii="宋体" w:hAnsi="宋体" w:eastAsia="宋体" w:cs="Times New Roman"/>
          <w:color w:val="auto"/>
          <w:sz w:val="24"/>
          <w:szCs w:val="24"/>
          <w:highlight w:val="none"/>
          <w:lang w:val="en-US" w:eastAsia="zh-CN"/>
        </w:rPr>
        <w:t>27</w:t>
      </w:r>
      <w:r>
        <w:rPr>
          <w:rFonts w:hint="eastAsia" w:ascii="宋体" w:hAnsi="宋体" w:eastAsia="宋体" w:cs="Times New Roman"/>
          <w:color w:val="auto"/>
          <w:sz w:val="24"/>
          <w:szCs w:val="24"/>
          <w:highlight w:val="none"/>
        </w:rPr>
        <w:t>.2 除不可抗力因素外，成交通知书发出后，采购人改变成交结果，或者成交供应商拒绝签订政府采购合同的，应当承担相应的法律责任。成交供应商拒绝签订政府采购合同的，采购人可以确定其他供应商作为成交供应商并签订政府采购合同，也可以重新开展采购活动。拒绝签订政府采购合同的成交供应商不得参加对该项目重新开展的采购活动。</w:t>
      </w:r>
    </w:p>
    <w:p w14:paraId="15399F3E">
      <w:pPr>
        <w:adjustRightInd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7</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lang w:val="en-US" w:eastAsia="zh-CN"/>
        </w:rPr>
        <w:t>3</w:t>
      </w:r>
      <w:r>
        <w:rPr>
          <w:rFonts w:hint="eastAsia" w:ascii="宋体" w:hAnsi="宋体" w:eastAsia="宋体" w:cs="Times New Roman"/>
          <w:color w:val="auto"/>
          <w:sz w:val="24"/>
          <w:szCs w:val="24"/>
          <w:highlight w:val="none"/>
        </w:rPr>
        <w:t>采购人签发的成交通知书、竞争性磋商文件、成交供应商的磋商响应文件及其澄清文件等，均为签订合同的依据。</w:t>
      </w:r>
    </w:p>
    <w:p w14:paraId="7DDF7630">
      <w:pPr>
        <w:spacing w:line="420" w:lineRule="exact"/>
        <w:ind w:firstLine="424" w:firstLineChars="176"/>
        <w:outlineLvl w:val="1"/>
        <w:rPr>
          <w:rFonts w:ascii="宋体" w:hAnsi="宋体" w:eastAsia="宋体" w:cs="Times New Roman"/>
          <w:b/>
          <w:color w:val="auto"/>
          <w:sz w:val="24"/>
          <w:szCs w:val="24"/>
          <w:highlight w:val="none"/>
        </w:rPr>
      </w:pPr>
      <w:r>
        <w:rPr>
          <w:rFonts w:ascii="宋体" w:hAnsi="宋体" w:eastAsia="宋体" w:cs="Times New Roman"/>
          <w:b/>
          <w:color w:val="auto"/>
          <w:sz w:val="24"/>
          <w:szCs w:val="24"/>
          <w:highlight w:val="none"/>
        </w:rPr>
        <w:t>2</w:t>
      </w:r>
      <w:r>
        <w:rPr>
          <w:rFonts w:hint="eastAsia" w:ascii="宋体" w:hAnsi="宋体" w:eastAsia="宋体" w:cs="Times New Roman"/>
          <w:b/>
          <w:color w:val="auto"/>
          <w:sz w:val="24"/>
          <w:szCs w:val="24"/>
          <w:highlight w:val="none"/>
        </w:rPr>
        <w:t>8．特别注意事项：</w:t>
      </w:r>
    </w:p>
    <w:p w14:paraId="05657B77">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8</w:t>
      </w:r>
      <w:r>
        <w:rPr>
          <w:rFonts w:ascii="宋体" w:hAnsi="宋体" w:eastAsia="宋体" w:cs="Times New Roman"/>
          <w:color w:val="auto"/>
          <w:sz w:val="24"/>
          <w:szCs w:val="24"/>
          <w:highlight w:val="none"/>
        </w:rPr>
        <w:t xml:space="preserve">.1 </w:t>
      </w:r>
      <w:r>
        <w:rPr>
          <w:rFonts w:hint="eastAsia" w:ascii="宋体" w:hAnsi="宋体" w:eastAsia="宋体" w:cs="Times New Roman"/>
          <w:color w:val="auto"/>
          <w:sz w:val="24"/>
          <w:szCs w:val="24"/>
          <w:highlight w:val="none"/>
        </w:rPr>
        <w:t>磋商响应供应商出现下列情形之一的，</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可取消其磋商资格：</w:t>
      </w:r>
    </w:p>
    <w:p w14:paraId="07D0B9BA">
      <w:pPr>
        <w:spacing w:line="420" w:lineRule="exact"/>
        <w:ind w:firstLine="422" w:firstLineChars="176"/>
        <w:outlineLvl w:val="2"/>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）未按磋商文件要求和规定提交实质性响应材料的；</w:t>
      </w:r>
    </w:p>
    <w:p w14:paraId="6C554D3E">
      <w:pPr>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）相互串通磋商的（有下列情形之一的，视为磋商响应供应商相互串通磋商）；</w:t>
      </w:r>
    </w:p>
    <w:p w14:paraId="6EB26000">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A</w:t>
      </w:r>
      <w:r>
        <w:rPr>
          <w:rFonts w:hint="eastAsia" w:ascii="宋体" w:hAnsi="宋体" w:eastAsia="宋体" w:cs="Times New Roman"/>
          <w:color w:val="auto"/>
          <w:sz w:val="24"/>
          <w:szCs w:val="24"/>
          <w:highlight w:val="none"/>
        </w:rPr>
        <w:t>、不同磋商响应供应商的响应文件由同一单位或者个人编制</w:t>
      </w:r>
    </w:p>
    <w:p w14:paraId="35A760AE">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B</w:t>
      </w:r>
      <w:r>
        <w:rPr>
          <w:rFonts w:hint="eastAsia" w:ascii="宋体" w:hAnsi="宋体" w:eastAsia="宋体" w:cs="Times New Roman"/>
          <w:color w:val="auto"/>
          <w:sz w:val="24"/>
          <w:szCs w:val="24"/>
          <w:highlight w:val="none"/>
        </w:rPr>
        <w:t>、不同磋商响应供应商的响应文件载明的项目管理成员为同一人</w:t>
      </w:r>
    </w:p>
    <w:p w14:paraId="3B0B7219">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C</w:t>
      </w:r>
      <w:r>
        <w:rPr>
          <w:rFonts w:hint="eastAsia" w:ascii="宋体" w:hAnsi="宋体" w:eastAsia="宋体" w:cs="Times New Roman"/>
          <w:color w:val="auto"/>
          <w:sz w:val="24"/>
          <w:szCs w:val="24"/>
          <w:highlight w:val="none"/>
        </w:rPr>
        <w:t>、不同磋商响应供应商的响应文件异常一致或者磋商报价呈规律性差异</w:t>
      </w:r>
    </w:p>
    <w:p w14:paraId="3BB7B141">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D</w:t>
      </w:r>
      <w:r>
        <w:rPr>
          <w:rFonts w:hint="eastAsia" w:ascii="宋体" w:hAnsi="宋体" w:eastAsia="宋体" w:cs="Times New Roman"/>
          <w:color w:val="auto"/>
          <w:sz w:val="24"/>
          <w:szCs w:val="24"/>
          <w:highlight w:val="none"/>
        </w:rPr>
        <w:t>、不同磋商响应供应商的响应文件相互混放</w:t>
      </w:r>
    </w:p>
    <w:p w14:paraId="73B1AC5B">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8</w:t>
      </w:r>
      <w:r>
        <w:rPr>
          <w:rFonts w:ascii="宋体" w:hAnsi="宋体" w:eastAsia="宋体" w:cs="Times New Roman"/>
          <w:color w:val="auto"/>
          <w:sz w:val="24"/>
          <w:szCs w:val="24"/>
          <w:highlight w:val="none"/>
        </w:rPr>
        <w:t xml:space="preserve">.2 </w:t>
      </w:r>
      <w:r>
        <w:rPr>
          <w:rFonts w:hint="eastAsia" w:ascii="宋体" w:hAnsi="宋体" w:eastAsia="宋体" w:cs="Times New Roman"/>
          <w:color w:val="auto"/>
          <w:sz w:val="24"/>
          <w:szCs w:val="24"/>
          <w:highlight w:val="none"/>
        </w:rPr>
        <w:t>磋商响应供应商出现下列情形之一的，将被视为非实质性响应磋商文件要求：</w:t>
      </w:r>
    </w:p>
    <w:p w14:paraId="2698588F">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 xml:space="preserve">(1) </w:t>
      </w:r>
      <w:r>
        <w:rPr>
          <w:rFonts w:hint="eastAsia" w:ascii="宋体" w:hAnsi="宋体" w:cs="Times New Roman"/>
          <w:color w:val="auto"/>
          <w:sz w:val="24"/>
          <w:szCs w:val="24"/>
          <w:highlight w:val="none"/>
          <w:lang w:val="en-US" w:eastAsia="zh-CN"/>
        </w:rPr>
        <w:t>服务</w:t>
      </w:r>
      <w:r>
        <w:rPr>
          <w:rFonts w:hint="eastAsia" w:ascii="宋体" w:hAnsi="宋体" w:eastAsia="宋体" w:cs="Times New Roman"/>
          <w:color w:val="auto"/>
          <w:sz w:val="24"/>
          <w:szCs w:val="24"/>
          <w:highlight w:val="none"/>
        </w:rPr>
        <w:t>（完成）期限不确切或不符合磋商文件要求的；</w:t>
      </w:r>
    </w:p>
    <w:p w14:paraId="7A85BEC0">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 xml:space="preserve">(2) </w:t>
      </w:r>
      <w:r>
        <w:rPr>
          <w:rFonts w:hint="eastAsia" w:ascii="宋体" w:hAnsi="宋体" w:eastAsia="宋体" w:cs="Times New Roman"/>
          <w:color w:val="auto"/>
          <w:sz w:val="24"/>
          <w:szCs w:val="24"/>
          <w:highlight w:val="none"/>
        </w:rPr>
        <w:t>最后报价有选择性的；</w:t>
      </w:r>
    </w:p>
    <w:p w14:paraId="694C8E35">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 xml:space="preserve">(3) </w:t>
      </w:r>
      <w:r>
        <w:rPr>
          <w:rFonts w:hint="eastAsia" w:ascii="宋体" w:hAnsi="宋体" w:eastAsia="宋体" w:cs="Times New Roman"/>
          <w:color w:val="auto"/>
          <w:sz w:val="24"/>
          <w:szCs w:val="24"/>
          <w:highlight w:val="none"/>
        </w:rPr>
        <w:t>最后报价超过招标控制价的；</w:t>
      </w:r>
    </w:p>
    <w:p w14:paraId="7AC4E579">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 xml:space="preserve">(4) </w:t>
      </w:r>
      <w:r>
        <w:rPr>
          <w:rFonts w:hint="eastAsia" w:ascii="宋体" w:hAnsi="宋体" w:eastAsia="宋体" w:cs="Times New Roman"/>
          <w:color w:val="auto"/>
          <w:sz w:val="24"/>
          <w:szCs w:val="24"/>
          <w:highlight w:val="none"/>
        </w:rPr>
        <w:t>被</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认定存在重大负偏离的；</w:t>
      </w:r>
    </w:p>
    <w:p w14:paraId="0732EFC9">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注：所谓重大负偏离是指磋商响应供应商对磋商文件的响应在范围、质量、数量和</w:t>
      </w:r>
      <w:r>
        <w:rPr>
          <w:rFonts w:hint="eastAsia" w:ascii="宋体" w:hAnsi="宋体" w:eastAsia="宋体" w:cs="Times New Roman"/>
          <w:color w:val="auto"/>
          <w:sz w:val="24"/>
          <w:szCs w:val="24"/>
          <w:highlight w:val="none"/>
          <w:lang w:val="en-US" w:eastAsia="zh-CN"/>
        </w:rPr>
        <w:t>服务</w:t>
      </w:r>
      <w:r>
        <w:rPr>
          <w:rFonts w:hint="eastAsia" w:ascii="宋体" w:hAnsi="宋体" w:eastAsia="宋体" w:cs="Times New Roman"/>
          <w:color w:val="auto"/>
          <w:sz w:val="24"/>
          <w:szCs w:val="24"/>
          <w:highlight w:val="none"/>
        </w:rPr>
        <w:t>期限、技术规格要求等方面明显不能满足采购需求的。重大负偏离的认定须经</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三分之二以上同意。</w:t>
      </w:r>
    </w:p>
    <w:p w14:paraId="380355C5">
      <w:pPr>
        <w:autoSpaceDE w:val="0"/>
        <w:spacing w:line="420" w:lineRule="exact"/>
        <w:ind w:firstLine="424" w:firstLineChars="176"/>
        <w:outlineLvl w:val="1"/>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29．询问</w:t>
      </w:r>
    </w:p>
    <w:p w14:paraId="0CAB6DC9">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29</w:t>
      </w:r>
      <w:r>
        <w:rPr>
          <w:rFonts w:ascii="宋体" w:hAnsi="宋体" w:eastAsia="宋体" w:cs="Times New Roman"/>
          <w:color w:val="auto"/>
          <w:sz w:val="24"/>
          <w:szCs w:val="24"/>
          <w:highlight w:val="none"/>
        </w:rPr>
        <w:t xml:space="preserve">.1 </w:t>
      </w:r>
      <w:r>
        <w:rPr>
          <w:rFonts w:hint="eastAsia" w:ascii="宋体" w:hAnsi="宋体" w:eastAsia="宋体" w:cs="Times New Roman"/>
          <w:color w:val="auto"/>
          <w:sz w:val="24"/>
          <w:szCs w:val="24"/>
          <w:highlight w:val="none"/>
        </w:rPr>
        <w:t>磋商响应供应商对采购事项有疑问，可以按照《政府采购法》的相关规定向采购人或采购代理机构提出询问。</w:t>
      </w:r>
    </w:p>
    <w:p w14:paraId="0CD793F9">
      <w:pPr>
        <w:autoSpaceDE w:val="0"/>
        <w:spacing w:line="420" w:lineRule="exact"/>
        <w:ind w:firstLine="424" w:firstLineChars="176"/>
        <w:outlineLvl w:val="1"/>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30</w:t>
      </w:r>
      <w:r>
        <w:rPr>
          <w:rFonts w:ascii="宋体" w:hAnsi="宋体" w:eastAsia="宋体" w:cs="Times New Roman"/>
          <w:b/>
          <w:bCs/>
          <w:color w:val="auto"/>
          <w:sz w:val="24"/>
          <w:szCs w:val="24"/>
          <w:highlight w:val="none"/>
        </w:rPr>
        <w:t>.</w:t>
      </w:r>
      <w:r>
        <w:rPr>
          <w:rFonts w:hint="eastAsia" w:ascii="宋体" w:hAnsi="宋体" w:eastAsia="宋体" w:cs="Times New Roman"/>
          <w:b/>
          <w:bCs/>
          <w:color w:val="auto"/>
          <w:sz w:val="24"/>
          <w:szCs w:val="24"/>
          <w:highlight w:val="none"/>
        </w:rPr>
        <w:t>质疑程序及处理</w:t>
      </w:r>
    </w:p>
    <w:p w14:paraId="7625B1C0">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30</w:t>
      </w:r>
      <w:r>
        <w:rPr>
          <w:rFonts w:ascii="宋体" w:hAnsi="宋体" w:eastAsia="宋体" w:cs="Times New Roman"/>
          <w:color w:val="auto"/>
          <w:sz w:val="24"/>
          <w:szCs w:val="24"/>
          <w:highlight w:val="none"/>
        </w:rPr>
        <w:t xml:space="preserve">.1 </w:t>
      </w:r>
      <w:r>
        <w:rPr>
          <w:rFonts w:hint="eastAsia" w:ascii="宋体" w:hAnsi="宋体" w:eastAsia="宋体" w:cs="Times New Roman"/>
          <w:color w:val="auto"/>
          <w:sz w:val="24"/>
          <w:szCs w:val="24"/>
          <w:highlight w:val="none"/>
        </w:rPr>
        <w:t>若竞争性磋商</w:t>
      </w:r>
      <w:r>
        <w:rPr>
          <w:rFonts w:hint="eastAsia" w:ascii="宋体" w:hAnsi="宋体" w:eastAsia="宋体" w:cs="Times New Roman"/>
          <w:color w:val="auto"/>
          <w:sz w:val="24"/>
          <w:szCs w:val="24"/>
          <w:highlight w:val="none"/>
          <w:lang w:eastAsia="zh-CN"/>
        </w:rPr>
        <w:t>供应商</w:t>
      </w:r>
      <w:r>
        <w:rPr>
          <w:rFonts w:hint="eastAsia" w:ascii="宋体" w:hAnsi="宋体" w:eastAsia="宋体" w:cs="Times New Roman"/>
          <w:color w:val="auto"/>
          <w:sz w:val="24"/>
          <w:szCs w:val="24"/>
          <w:highlight w:val="none"/>
        </w:rPr>
        <w:t>认为其磋商未获公平评审或磋商文件、采购过程和成交结果使自己的合法权益受到损害，可以在知道或者应知其权益受到损害之日起</w:t>
      </w:r>
      <w:r>
        <w:rPr>
          <w:rFonts w:ascii="宋体" w:hAnsi="宋体" w:eastAsia="宋体" w:cs="Times New Roman"/>
          <w:color w:val="auto"/>
          <w:sz w:val="24"/>
          <w:szCs w:val="24"/>
          <w:highlight w:val="none"/>
        </w:rPr>
        <w:t xml:space="preserve"> 7 </w:t>
      </w:r>
      <w:r>
        <w:rPr>
          <w:rFonts w:hint="eastAsia" w:ascii="宋体" w:hAnsi="宋体" w:eastAsia="宋体" w:cs="Times New Roman"/>
          <w:color w:val="auto"/>
          <w:sz w:val="24"/>
          <w:szCs w:val="24"/>
          <w:highlight w:val="none"/>
        </w:rPr>
        <w:t>个工作日内，将质疑书原件送达采购人或采购代理机构。提出质疑期限的计算，依照下列规定办理：</w:t>
      </w:r>
    </w:p>
    <w:p w14:paraId="188A736C">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（一）对可以质疑的磋商文件提出质疑的，为收到磋商文件之日或者磋商文件公告期限届满之日；</w:t>
      </w:r>
    </w:p>
    <w:p w14:paraId="506C84F6">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（二）对采购过程提出质疑的，为各采购程序环节结束之日；</w:t>
      </w:r>
    </w:p>
    <w:p w14:paraId="743A5FDD">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（三）对成交结果提出质疑的，为成交结果公告期限届满之日。</w:t>
      </w:r>
    </w:p>
    <w:p w14:paraId="5AE697A5">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.2 </w:t>
      </w:r>
      <w:r>
        <w:rPr>
          <w:rFonts w:hint="eastAsia" w:ascii="宋体" w:hAnsi="宋体" w:eastAsia="宋体" w:cs="Times New Roman"/>
          <w:color w:val="auto"/>
          <w:sz w:val="24"/>
          <w:szCs w:val="24"/>
          <w:highlight w:val="none"/>
        </w:rPr>
        <w:t>质疑书应当包括下列主要内容，并按照“谁主张、谁举证”的原则，附上相关证明材料。否则，采购人不予受理：</w:t>
      </w:r>
    </w:p>
    <w:p w14:paraId="65F0396C">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（一）质疑磋商响应供应商全称、地址、法定代表人、联系人及联系电话、邮政编码等；</w:t>
      </w:r>
    </w:p>
    <w:p w14:paraId="6A601BD6">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（二）被质疑采购项目的名称、编号；</w:t>
      </w:r>
    </w:p>
    <w:p w14:paraId="5A10CE3A">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（三）质疑的具体事项、明确的请求和主张；</w:t>
      </w:r>
    </w:p>
    <w:p w14:paraId="3D97B9BD">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（四）质疑所依据的法律依据（具体条款）、具体事实和具体理由。质疑书依据理由部分只有主观陈述、推理、猜测等，而没有提供客观事实依据、法律依据的；</w:t>
      </w:r>
    </w:p>
    <w:p w14:paraId="15DFDBC3">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五）质疑事项按照有关法律、法规和规章规定及竞争性磋商文件要求属于保密或者处于保密阶段的事项，磋商响应供应商必须提供正常的信息来源或有效证据，磋商响应供应商不能提供或者拒绝提供合法的信息来源或有效证据的；</w:t>
      </w:r>
    </w:p>
    <w:p w14:paraId="00020162">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（六）充足有效的相关证明材料；如果涉及到产品功能或技术指标的，应出具相关制造商的证明文件；</w:t>
      </w:r>
    </w:p>
    <w:p w14:paraId="38AD7BDB">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（七）质疑材料中有外文资料的，应一并附上中文译本，并以中文译本为准。</w:t>
      </w:r>
    </w:p>
    <w:p w14:paraId="70461B01">
      <w:pPr>
        <w:autoSpaceDE w:val="0"/>
        <w:spacing w:line="420" w:lineRule="exact"/>
        <w:ind w:firstLine="422" w:firstLineChars="176"/>
        <w:outlineLvl w:val="2"/>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（八）提起质疑的日期</w:t>
      </w:r>
    </w:p>
    <w:p w14:paraId="3E936575">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.3 </w:t>
      </w:r>
      <w:r>
        <w:rPr>
          <w:rFonts w:hint="eastAsia" w:ascii="宋体" w:hAnsi="宋体" w:eastAsia="宋体" w:cs="Times New Roman"/>
          <w:color w:val="auto"/>
          <w:sz w:val="24"/>
          <w:szCs w:val="24"/>
          <w:highlight w:val="none"/>
        </w:rPr>
        <w:t>磋商响应供应商质疑实行实名制并须在质疑书上署名。磋商响应供应商不得进行虚假、恶意质疑，不得以质疑为手段获取不当得利、实现非法目的。磋商响应供应商为自然人的，应当由本人签字；磋商响应供应商为法人的，应当由法定代表人签字或盖章并加盖公章；磋商响应供应商为其他组织的，应当由主要负责人签字或盖章并加盖公章。磋商响应供应商其他工作人员或代理人员在质疑书上的署名不具有法律效力。</w:t>
      </w:r>
    </w:p>
    <w:p w14:paraId="2D89E939">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.4 </w:t>
      </w:r>
      <w:r>
        <w:rPr>
          <w:rFonts w:hint="eastAsia" w:ascii="宋体" w:hAnsi="宋体" w:eastAsia="宋体" w:cs="Times New Roman"/>
          <w:color w:val="auto"/>
          <w:sz w:val="24"/>
          <w:szCs w:val="24"/>
          <w:highlight w:val="none"/>
        </w:rPr>
        <w:t>磋商响应供应商委托代理人办理质疑事宜，应当提交授权委托书，并载明委托代理的具体权限和事项。授权委托书应当由委托人签字并加盖单位公章。</w:t>
      </w:r>
    </w:p>
    <w:p w14:paraId="50DC3D05">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.5 </w:t>
      </w:r>
      <w:r>
        <w:rPr>
          <w:rFonts w:hint="eastAsia" w:ascii="宋体" w:hAnsi="宋体" w:eastAsia="宋体" w:cs="Times New Roman"/>
          <w:color w:val="auto"/>
          <w:sz w:val="24"/>
          <w:szCs w:val="24"/>
          <w:highlight w:val="none"/>
        </w:rPr>
        <w:t>提交质疑书时，磋商响应供应商应同时提交本人身份证，委托他人代理质疑事宜的，还应提交被委托人的身份证。磋商响应供应商是法人的，应一并提交法人营业执照和法定代表人身份证；磋商响应供应商是其他组织的，应一并提交其他组织经营许可证和主要负责人身份证。磋商响应供应商应当提供上述证明材料的原件及复印件，原件经采购人核对无误后返还。</w:t>
      </w:r>
    </w:p>
    <w:p w14:paraId="553EDC8D">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.6 </w:t>
      </w:r>
      <w:r>
        <w:rPr>
          <w:rFonts w:hint="eastAsia" w:ascii="宋体" w:hAnsi="宋体" w:eastAsia="宋体" w:cs="Times New Roman"/>
          <w:color w:val="auto"/>
          <w:sz w:val="24"/>
          <w:szCs w:val="24"/>
          <w:highlight w:val="none"/>
        </w:rPr>
        <w:t>质疑书提交方式。磋商响应供应商或者其委托代理人应当当面提交质疑书及相关证明材料。磋商响应供应商以电子邮件、传真等其他方式提交质疑书及相关证明材料的，或者不是磋商响应供应商或者其委托代理人提交质疑书及相关证明材料的，采购人或采购机构可以拒收。</w:t>
      </w:r>
    </w:p>
    <w:p w14:paraId="3301268E">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.7 </w:t>
      </w:r>
      <w:r>
        <w:rPr>
          <w:rFonts w:hint="eastAsia" w:ascii="宋体" w:hAnsi="宋体" w:eastAsia="宋体" w:cs="Times New Roman"/>
          <w:color w:val="auto"/>
          <w:sz w:val="24"/>
          <w:szCs w:val="24"/>
          <w:highlight w:val="none"/>
        </w:rPr>
        <w:t>磋商响应供应商不得虚假质疑和恶意质疑，并对质疑内容的真实性承担责任。磋商响应供应商或者其他利害关系人通过捏造事实、伪造证明材料等方式提出异议或投诉，阻碍招磋商活动正常进行的，属于严重不良行为，采购人将提请财政部门将其列入不良行为记录名单，并依法予以处罚。</w:t>
      </w:r>
    </w:p>
    <w:p w14:paraId="75C63886">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.8 </w:t>
      </w:r>
      <w:r>
        <w:rPr>
          <w:rFonts w:hint="eastAsia" w:ascii="宋体" w:hAnsi="宋体" w:eastAsia="宋体" w:cs="Times New Roman"/>
          <w:color w:val="auto"/>
          <w:sz w:val="24"/>
          <w:szCs w:val="24"/>
          <w:highlight w:val="none"/>
        </w:rPr>
        <w:t>采购人将在收到符合上述条件的书面质疑后</w:t>
      </w:r>
      <w:r>
        <w:rPr>
          <w:rFonts w:ascii="宋体" w:hAnsi="宋体" w:eastAsia="宋体" w:cs="Times New Roman"/>
          <w:color w:val="auto"/>
          <w:sz w:val="24"/>
          <w:szCs w:val="24"/>
          <w:highlight w:val="none"/>
        </w:rPr>
        <w:t xml:space="preserve"> 7 </w:t>
      </w:r>
      <w:r>
        <w:rPr>
          <w:rFonts w:hint="eastAsia" w:ascii="宋体" w:hAnsi="宋体" w:eastAsia="宋体" w:cs="Times New Roman"/>
          <w:color w:val="auto"/>
          <w:sz w:val="24"/>
          <w:szCs w:val="24"/>
          <w:highlight w:val="none"/>
        </w:rPr>
        <w:t>个工作日内审查质疑事项，作出答复或相关处理决定，并以书面形式通知质疑磋商响应供应商和其他有关磋商响应供应商，但答复的内容不涉及商业秘密。若质疑涉及磋商制度或程序，将被转交政府采购的管理部门审查。采购人遵循“谁过错谁负担”的原则，有过错的一方承担调查论证费用。</w:t>
      </w:r>
    </w:p>
    <w:p w14:paraId="543DB77F">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.9 </w:t>
      </w:r>
      <w:r>
        <w:rPr>
          <w:rFonts w:hint="eastAsia" w:ascii="宋体" w:hAnsi="宋体" w:eastAsia="宋体" w:cs="Times New Roman"/>
          <w:color w:val="auto"/>
          <w:sz w:val="24"/>
          <w:szCs w:val="24"/>
          <w:highlight w:val="none"/>
        </w:rPr>
        <w:t>质疑供应商对采购人的答复不满意以及采购人未在规定的时间内做出答复的，可以在答复期满后</w:t>
      </w:r>
      <w:r>
        <w:rPr>
          <w:rFonts w:ascii="宋体" w:hAnsi="宋体" w:eastAsia="宋体" w:cs="Times New Roman"/>
          <w:color w:val="auto"/>
          <w:sz w:val="24"/>
          <w:szCs w:val="24"/>
          <w:highlight w:val="none"/>
        </w:rPr>
        <w:t>15</w:t>
      </w:r>
      <w:r>
        <w:rPr>
          <w:rFonts w:hint="eastAsia" w:ascii="宋体" w:hAnsi="宋体" w:eastAsia="宋体" w:cs="Times New Roman"/>
          <w:color w:val="auto"/>
          <w:sz w:val="24"/>
          <w:szCs w:val="24"/>
          <w:highlight w:val="none"/>
        </w:rPr>
        <w:t>个工作日内向财政部门投诉。</w:t>
      </w:r>
    </w:p>
    <w:p w14:paraId="38B0A982">
      <w:pPr>
        <w:widowControl/>
        <w:jc w:val="left"/>
        <w:rPr>
          <w:rFonts w:ascii="宋体" w:hAnsi="宋体" w:eastAsia="宋体" w:cs="宋体"/>
          <w:b/>
          <w:bCs/>
          <w:color w:val="auto"/>
          <w:kern w:val="0"/>
          <w:sz w:val="32"/>
          <w:szCs w:val="32"/>
          <w:highlight w:val="none"/>
          <w:shd w:val="clear" w:color="auto" w:fill="FFFFFF"/>
        </w:rPr>
        <w:sectPr>
          <w:footerReference r:id="rId4" w:type="default"/>
          <w:pgSz w:w="11906" w:h="16838"/>
          <w:pgMar w:top="1803" w:right="1440" w:bottom="1803" w:left="1440" w:header="720" w:footer="720" w:gutter="0"/>
          <w:pgNumType w:fmt="decimal" w:start="1"/>
          <w:cols w:space="720" w:num="1"/>
          <w:docGrid w:type="lines" w:linePitch="312" w:charSpace="0"/>
        </w:sectPr>
      </w:pPr>
    </w:p>
    <w:p w14:paraId="6022DA5E">
      <w:pPr>
        <w:pStyle w:val="9"/>
        <w:tabs>
          <w:tab w:val="left" w:pos="1123"/>
        </w:tabs>
        <w:spacing w:before="62"/>
        <w:rPr>
          <w:b/>
          <w:bCs/>
          <w:color w:val="auto"/>
          <w:sz w:val="32"/>
          <w:szCs w:val="36"/>
          <w:highlight w:val="none"/>
        </w:rPr>
      </w:pPr>
      <w:bookmarkStart w:id="10" w:name="_Toc329"/>
      <w:r>
        <w:rPr>
          <w:color w:val="auto"/>
          <w:sz w:val="32"/>
          <w:szCs w:val="32"/>
          <w:highlight w:val="none"/>
        </w:rPr>
        <w:t>第三章</w:t>
      </w:r>
      <w:r>
        <w:rPr>
          <w:color w:val="auto"/>
          <w:sz w:val="32"/>
          <w:szCs w:val="32"/>
          <w:highlight w:val="none"/>
        </w:rPr>
        <w:tab/>
      </w:r>
      <w:r>
        <w:rPr>
          <w:color w:val="auto"/>
          <w:sz w:val="32"/>
          <w:szCs w:val="32"/>
          <w:highlight w:val="none"/>
        </w:rPr>
        <w:t>评标办法</w:t>
      </w:r>
      <w:bookmarkEnd w:id="10"/>
    </w:p>
    <w:p w14:paraId="4A633411">
      <w:pPr>
        <w:pStyle w:val="3"/>
        <w:keepNext w:val="0"/>
        <w:keepLines w:val="0"/>
        <w:pageBreakBefore w:val="0"/>
        <w:widowControl w:val="0"/>
        <w:kinsoku/>
        <w:wordWrap/>
        <w:overflowPunct/>
        <w:topLinePunct w:val="0"/>
        <w:autoSpaceDE/>
        <w:autoSpaceDN/>
        <w:bidi w:val="0"/>
        <w:adjustRightInd/>
        <w:snapToGrid/>
        <w:spacing w:line="360" w:lineRule="auto"/>
        <w:ind w:right="0" w:firstLine="480" w:firstLineChars="200"/>
        <w:jc w:val="left"/>
        <w:textAlignment w:val="auto"/>
        <w:rPr>
          <w:b w:val="0"/>
          <w:bCs w:val="0"/>
          <w:color w:val="auto"/>
          <w:sz w:val="24"/>
          <w:szCs w:val="28"/>
          <w:highlight w:val="none"/>
        </w:rPr>
      </w:pPr>
      <w:r>
        <w:rPr>
          <w:b w:val="0"/>
          <w:bCs w:val="0"/>
          <w:color w:val="auto"/>
          <w:sz w:val="24"/>
          <w:szCs w:val="28"/>
          <w:highlight w:val="none"/>
        </w:rPr>
        <w:t>本次项目的评审分为初步审查和详细审查。详细审查采用综合评分法，总分为100分。评审因素如下：</w:t>
      </w:r>
    </w:p>
    <w:p w14:paraId="68389AA6">
      <w:pPr>
        <w:pStyle w:val="3"/>
        <w:spacing w:before="210" w:after="3"/>
        <w:ind w:left="755" w:right="776"/>
        <w:jc w:val="both"/>
        <w:rPr>
          <w:b/>
          <w:bCs/>
          <w:color w:val="auto"/>
          <w:sz w:val="24"/>
          <w:szCs w:val="28"/>
          <w:highlight w:val="none"/>
        </w:rPr>
      </w:pPr>
      <w:r>
        <w:rPr>
          <w:b/>
          <w:bCs/>
          <w:color w:val="auto"/>
          <w:sz w:val="24"/>
          <w:szCs w:val="28"/>
          <w:highlight w:val="none"/>
        </w:rPr>
        <w:t>一、初步审查</w:t>
      </w:r>
    </w:p>
    <w:tbl>
      <w:tblPr>
        <w:tblStyle w:val="21"/>
        <w:tblW w:w="9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1020"/>
        <w:gridCol w:w="2535"/>
        <w:gridCol w:w="5575"/>
      </w:tblGrid>
      <w:tr w14:paraId="2164E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838" w:type="dxa"/>
            <w:gridSpan w:val="2"/>
            <w:noWrap w:val="0"/>
            <w:vAlign w:val="center"/>
          </w:tcPr>
          <w:p w14:paraId="1EF18639">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bookmarkStart w:id="11" w:name="_Toc9836"/>
            <w:r>
              <w:rPr>
                <w:rFonts w:hint="eastAsia" w:ascii="宋体" w:hAnsi="宋体" w:eastAsia="宋体" w:cs="宋体"/>
                <w:color w:val="auto"/>
                <w:kern w:val="0"/>
                <w:sz w:val="24"/>
                <w:szCs w:val="24"/>
                <w:highlight w:val="none"/>
              </w:rPr>
              <w:t>条款</w:t>
            </w:r>
          </w:p>
        </w:tc>
        <w:tc>
          <w:tcPr>
            <w:tcW w:w="2535" w:type="dxa"/>
            <w:noWrap w:val="0"/>
            <w:vAlign w:val="center"/>
          </w:tcPr>
          <w:p w14:paraId="7D0F8C74">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评审因素</w:t>
            </w:r>
          </w:p>
        </w:tc>
        <w:tc>
          <w:tcPr>
            <w:tcW w:w="5575" w:type="dxa"/>
            <w:noWrap w:val="0"/>
            <w:vAlign w:val="center"/>
          </w:tcPr>
          <w:p w14:paraId="66923EBE">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评审标准</w:t>
            </w:r>
          </w:p>
        </w:tc>
      </w:tr>
      <w:tr w14:paraId="546F0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18" w:type="dxa"/>
            <w:vMerge w:val="restart"/>
            <w:noWrap w:val="0"/>
            <w:vAlign w:val="center"/>
          </w:tcPr>
          <w:p w14:paraId="7CF7FD0F">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.1.1</w:t>
            </w:r>
          </w:p>
        </w:tc>
        <w:tc>
          <w:tcPr>
            <w:tcW w:w="1020" w:type="dxa"/>
            <w:vMerge w:val="restart"/>
            <w:noWrap w:val="0"/>
            <w:vAlign w:val="center"/>
          </w:tcPr>
          <w:p w14:paraId="6DA87C4B">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符合性评审</w:t>
            </w:r>
          </w:p>
        </w:tc>
        <w:tc>
          <w:tcPr>
            <w:tcW w:w="2535" w:type="dxa"/>
            <w:noWrap w:val="0"/>
            <w:vAlign w:val="center"/>
          </w:tcPr>
          <w:p w14:paraId="72AE0183">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供应商名称</w:t>
            </w:r>
          </w:p>
        </w:tc>
        <w:tc>
          <w:tcPr>
            <w:tcW w:w="5575" w:type="dxa"/>
            <w:noWrap w:val="0"/>
            <w:vAlign w:val="center"/>
          </w:tcPr>
          <w:p w14:paraId="63762991">
            <w:pPr>
              <w:keepNext w:val="0"/>
              <w:keepLines w:val="0"/>
              <w:pageBreakBefore w:val="0"/>
              <w:widowControl/>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与营业执照一致</w:t>
            </w:r>
          </w:p>
        </w:tc>
      </w:tr>
      <w:tr w14:paraId="05766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818" w:type="dxa"/>
            <w:vMerge w:val="continue"/>
            <w:noWrap w:val="0"/>
            <w:vAlign w:val="center"/>
          </w:tcPr>
          <w:p w14:paraId="0A700BCC">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0CBE04B6">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7A10E20F">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响应文件签署、盖章</w:t>
            </w:r>
          </w:p>
        </w:tc>
        <w:tc>
          <w:tcPr>
            <w:tcW w:w="5575" w:type="dxa"/>
            <w:noWrap w:val="0"/>
            <w:vAlign w:val="center"/>
          </w:tcPr>
          <w:p w14:paraId="77A12D47">
            <w:pPr>
              <w:keepNext w:val="0"/>
              <w:keepLines w:val="0"/>
              <w:pageBreakBefore w:val="0"/>
              <w:widowControl/>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响应文件按竞争性磋商文件要求签署、盖章</w:t>
            </w:r>
          </w:p>
        </w:tc>
      </w:tr>
      <w:tr w14:paraId="26D03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18" w:type="dxa"/>
            <w:vMerge w:val="continue"/>
            <w:noWrap w:val="0"/>
            <w:vAlign w:val="center"/>
          </w:tcPr>
          <w:p w14:paraId="58DA6141">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292E076C">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1D05A570">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报价唯一</w:t>
            </w:r>
          </w:p>
        </w:tc>
        <w:tc>
          <w:tcPr>
            <w:tcW w:w="5575" w:type="dxa"/>
            <w:noWrap w:val="0"/>
            <w:vAlign w:val="center"/>
          </w:tcPr>
          <w:p w14:paraId="08C8A11F">
            <w:pPr>
              <w:keepNext w:val="0"/>
              <w:keepLines w:val="0"/>
              <w:pageBreakBefore w:val="0"/>
              <w:widowControl/>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只能有一个有效报价</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且不超过最高限价</w:t>
            </w:r>
          </w:p>
        </w:tc>
      </w:tr>
      <w:tr w14:paraId="7DE33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exact"/>
          <w:jc w:val="center"/>
        </w:trPr>
        <w:tc>
          <w:tcPr>
            <w:tcW w:w="818" w:type="dxa"/>
            <w:vMerge w:val="restart"/>
            <w:noWrap w:val="0"/>
            <w:vAlign w:val="center"/>
          </w:tcPr>
          <w:p w14:paraId="4B1E723B">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.1.2</w:t>
            </w:r>
          </w:p>
        </w:tc>
        <w:tc>
          <w:tcPr>
            <w:tcW w:w="1020" w:type="dxa"/>
            <w:vMerge w:val="restart"/>
            <w:noWrap w:val="0"/>
            <w:vAlign w:val="center"/>
          </w:tcPr>
          <w:p w14:paraId="71C10A27">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资格审查</w:t>
            </w:r>
            <w:r>
              <w:rPr>
                <w:rFonts w:hint="eastAsia" w:ascii="宋体" w:hAnsi="宋体" w:eastAsia="宋体" w:cs="宋体"/>
                <w:color w:val="auto"/>
                <w:kern w:val="0"/>
                <w:sz w:val="24"/>
                <w:szCs w:val="24"/>
                <w:highlight w:val="none"/>
              </w:rPr>
              <w:t>标准</w:t>
            </w:r>
          </w:p>
        </w:tc>
        <w:tc>
          <w:tcPr>
            <w:tcW w:w="2535" w:type="dxa"/>
            <w:noWrap w:val="0"/>
            <w:vAlign w:val="center"/>
          </w:tcPr>
          <w:p w14:paraId="05CF1681">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政府采购法二十二条</w:t>
            </w:r>
          </w:p>
        </w:tc>
        <w:tc>
          <w:tcPr>
            <w:tcW w:w="5575" w:type="dxa"/>
            <w:noWrap w:val="0"/>
            <w:vAlign w:val="center"/>
          </w:tcPr>
          <w:p w14:paraId="29E0A95A">
            <w:pPr>
              <w:keepNext w:val="0"/>
              <w:keepLines w:val="0"/>
              <w:pageBreakBefore w:val="0"/>
              <w:widowControl/>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供应商符合政府采购法二十二条声明函</w:t>
            </w:r>
          </w:p>
        </w:tc>
      </w:tr>
      <w:tr w14:paraId="0D0F9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818" w:type="dxa"/>
            <w:vMerge w:val="continue"/>
            <w:noWrap w:val="0"/>
            <w:vAlign w:val="center"/>
          </w:tcPr>
          <w:p w14:paraId="4A0AB687">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3EFFD629">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5B77FF22">
            <w:pPr>
              <w:keepNext w:val="0"/>
              <w:keepLines w:val="0"/>
              <w:pageBreakBefore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营业执照</w:t>
            </w:r>
          </w:p>
        </w:tc>
        <w:tc>
          <w:tcPr>
            <w:tcW w:w="5575" w:type="dxa"/>
            <w:noWrap w:val="0"/>
            <w:vAlign w:val="center"/>
          </w:tcPr>
          <w:p w14:paraId="181CA85C">
            <w:pPr>
              <w:pStyle w:val="10"/>
              <w:keepNext w:val="0"/>
              <w:keepLines w:val="0"/>
              <w:pageBreakBefore w:val="0"/>
              <w:kinsoku/>
              <w:wordWrap w:val="0"/>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供应商具有有效的营业执照</w:t>
            </w:r>
          </w:p>
        </w:tc>
      </w:tr>
      <w:tr w14:paraId="71D3A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818" w:type="dxa"/>
            <w:vMerge w:val="continue"/>
            <w:noWrap w:val="0"/>
            <w:vAlign w:val="center"/>
          </w:tcPr>
          <w:p w14:paraId="25168DE0">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1416E9E6">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7DC597AF">
            <w:pPr>
              <w:keepNext w:val="0"/>
              <w:keepLines w:val="0"/>
              <w:pageBreakBefore w:val="0"/>
              <w:kinsoku/>
              <w:wordWrap w:val="0"/>
              <w:overflowPunct/>
              <w:topLinePunct w:val="0"/>
              <w:autoSpaceDE/>
              <w:autoSpaceDN/>
              <w:bidi w:val="0"/>
              <w:adjustRightInd/>
              <w:snapToGrid/>
              <w:spacing w:line="360" w:lineRule="auto"/>
              <w:jc w:val="both"/>
              <w:textAlignment w:val="auto"/>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资质证书及项目经理</w:t>
            </w:r>
          </w:p>
        </w:tc>
        <w:tc>
          <w:tcPr>
            <w:tcW w:w="5575" w:type="dxa"/>
            <w:noWrap w:val="0"/>
            <w:vAlign w:val="center"/>
          </w:tcPr>
          <w:p w14:paraId="4E950839">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cs="宋体"/>
                <w:b w:val="0"/>
                <w:i w:val="0"/>
                <w:caps w:val="0"/>
                <w:color w:val="auto"/>
                <w:spacing w:val="0"/>
                <w:w w:val="100"/>
                <w:sz w:val="24"/>
                <w:szCs w:val="24"/>
                <w:highlight w:val="none"/>
                <w:lang w:eastAsia="zh-CN"/>
              </w:rPr>
            </w:pPr>
            <w:r>
              <w:rPr>
                <w:rFonts w:hint="eastAsia" w:ascii="宋体" w:hAnsi="宋体" w:cs="宋体"/>
                <w:b w:val="0"/>
                <w:i w:val="0"/>
                <w:caps w:val="0"/>
                <w:color w:val="auto"/>
                <w:spacing w:val="0"/>
                <w:w w:val="100"/>
                <w:sz w:val="24"/>
                <w:szCs w:val="24"/>
                <w:highlight w:val="none"/>
                <w:lang w:val="en-US" w:eastAsia="zh-CN"/>
              </w:rPr>
              <w:t>1.</w:t>
            </w:r>
            <w:r>
              <w:rPr>
                <w:rFonts w:hint="eastAsia" w:ascii="宋体" w:hAnsi="宋体" w:cs="宋体"/>
                <w:b w:val="0"/>
                <w:i w:val="0"/>
                <w:caps w:val="0"/>
                <w:color w:val="auto"/>
                <w:spacing w:val="0"/>
                <w:w w:val="100"/>
                <w:sz w:val="24"/>
                <w:szCs w:val="24"/>
                <w:highlight w:val="none"/>
                <w:lang w:eastAsia="zh-CN"/>
              </w:rPr>
              <w:t>供应商具有建筑工程施工总承包叁级及以上资质</w:t>
            </w:r>
            <w:r>
              <w:rPr>
                <w:rFonts w:hint="eastAsia" w:ascii="宋体" w:hAnsi="宋体" w:cs="宋体"/>
                <w:b w:val="0"/>
                <w:i w:val="0"/>
                <w:caps w:val="0"/>
                <w:color w:val="auto"/>
                <w:spacing w:val="0"/>
                <w:w w:val="100"/>
                <w:sz w:val="24"/>
                <w:szCs w:val="24"/>
                <w:highlight w:val="none"/>
                <w:lang w:val="en-US" w:eastAsia="zh-CN"/>
              </w:rPr>
              <w:t>或钢结构工程专业承包贰级</w:t>
            </w:r>
            <w:r>
              <w:rPr>
                <w:rFonts w:hint="eastAsia" w:ascii="宋体" w:hAnsi="宋体" w:eastAsia="宋体" w:cs="宋体"/>
                <w:b w:val="0"/>
                <w:i w:val="0"/>
                <w:caps w:val="0"/>
                <w:color w:val="auto"/>
                <w:spacing w:val="0"/>
                <w:w w:val="100"/>
                <w:sz w:val="24"/>
                <w:szCs w:val="24"/>
                <w:highlight w:val="none"/>
                <w:lang w:eastAsia="zh-CN"/>
              </w:rPr>
              <w:t>及以上资质</w:t>
            </w:r>
            <w:r>
              <w:rPr>
                <w:rFonts w:hint="eastAsia" w:ascii="宋体" w:hAnsi="宋体" w:cs="宋体"/>
                <w:b w:val="0"/>
                <w:i w:val="0"/>
                <w:caps w:val="0"/>
                <w:color w:val="auto"/>
                <w:spacing w:val="0"/>
                <w:w w:val="100"/>
                <w:sz w:val="24"/>
                <w:szCs w:val="24"/>
                <w:highlight w:val="none"/>
                <w:lang w:eastAsia="zh-CN"/>
              </w:rPr>
              <w:t>，具有有效的安全生产许可证；并在人员、设备、资金等方面具有相应的施工能力。</w:t>
            </w:r>
          </w:p>
          <w:p w14:paraId="3B1D7291">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b w:val="0"/>
                <w:i w:val="0"/>
                <w:caps w:val="0"/>
                <w:color w:val="auto"/>
                <w:spacing w:val="0"/>
                <w:w w:val="100"/>
                <w:sz w:val="24"/>
                <w:szCs w:val="24"/>
                <w:highlight w:val="none"/>
                <w:lang w:val="en-US" w:eastAsia="zh-CN"/>
              </w:rPr>
              <w:t>2.</w:t>
            </w:r>
            <w:r>
              <w:rPr>
                <w:rFonts w:hint="eastAsia" w:ascii="宋体" w:hAnsi="宋体" w:cs="宋体"/>
                <w:b w:val="0"/>
                <w:i w:val="0"/>
                <w:caps w:val="0"/>
                <w:color w:val="auto"/>
                <w:spacing w:val="0"/>
                <w:w w:val="100"/>
                <w:sz w:val="24"/>
                <w:szCs w:val="24"/>
                <w:highlight w:val="none"/>
                <w:lang w:eastAsia="zh-CN"/>
              </w:rPr>
              <w:t>拟派项目经理须具备相关专业贰级及以上注册建造师资格，具备有效的安全生产考核合格证书，</w:t>
            </w:r>
            <w:r>
              <w:rPr>
                <w:rFonts w:hint="eastAsia" w:ascii="宋体" w:hAnsi="宋体" w:cs="宋体"/>
                <w:b w:val="0"/>
                <w:i w:val="0"/>
                <w:caps w:val="0"/>
                <w:color w:val="auto"/>
                <w:spacing w:val="0"/>
                <w:w w:val="100"/>
                <w:sz w:val="24"/>
                <w:szCs w:val="24"/>
                <w:highlight w:val="none"/>
                <w:lang w:val="en-US" w:eastAsia="zh-CN"/>
              </w:rPr>
              <w:t>提供</w:t>
            </w:r>
            <w:r>
              <w:rPr>
                <w:rFonts w:hint="eastAsia" w:ascii="宋体" w:hAnsi="宋体" w:cs="宋体"/>
                <w:b w:val="0"/>
                <w:i w:val="0"/>
                <w:caps w:val="0"/>
                <w:color w:val="auto"/>
                <w:spacing w:val="0"/>
                <w:w w:val="100"/>
                <w:sz w:val="24"/>
                <w:szCs w:val="24"/>
                <w:highlight w:val="none"/>
                <w:lang w:eastAsia="zh-CN"/>
              </w:rPr>
              <w:t>养老保险缴纳证明且未在其他在建工程项目中担任项目经理；</w:t>
            </w:r>
          </w:p>
        </w:tc>
      </w:tr>
      <w:tr w14:paraId="0DA9B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18" w:type="dxa"/>
            <w:vMerge w:val="continue"/>
            <w:noWrap w:val="0"/>
            <w:vAlign w:val="center"/>
          </w:tcPr>
          <w:p w14:paraId="33510179">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6EEEA62C">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1A5047E1">
            <w:pPr>
              <w:keepNext w:val="0"/>
              <w:keepLines w:val="0"/>
              <w:pageBreakBefore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shd w:val="clear" w:color="auto" w:fill="FFFFFF"/>
                <w:lang w:val="en-US" w:eastAsia="zh-CN"/>
              </w:rPr>
            </w:pPr>
            <w:r>
              <w:rPr>
                <w:rFonts w:hint="eastAsia" w:ascii="宋体" w:hAnsi="宋体" w:eastAsia="宋体" w:cs="宋体"/>
                <w:color w:val="auto"/>
                <w:kern w:val="2"/>
                <w:sz w:val="24"/>
                <w:szCs w:val="24"/>
                <w:highlight w:val="none"/>
                <w:lang w:val="en-US" w:eastAsia="zh-CN" w:bidi="ar-SA"/>
              </w:rPr>
              <w:t>无商业贿赂及无不正当竞争行为承诺书</w:t>
            </w:r>
          </w:p>
        </w:tc>
        <w:tc>
          <w:tcPr>
            <w:tcW w:w="5575" w:type="dxa"/>
            <w:noWrap w:val="0"/>
            <w:vAlign w:val="center"/>
          </w:tcPr>
          <w:p w14:paraId="4BF30EB2">
            <w:pPr>
              <w:pStyle w:val="10"/>
              <w:keepNext w:val="0"/>
              <w:keepLines w:val="0"/>
              <w:pageBreakBefore w:val="0"/>
              <w:kinsoku/>
              <w:wordWrap w:val="0"/>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供应商自行出</w:t>
            </w:r>
            <w:r>
              <w:rPr>
                <w:rFonts w:hint="eastAsia" w:ascii="宋体" w:hAnsi="宋体" w:eastAsia="宋体" w:cs="宋体"/>
                <w:color w:val="auto"/>
                <w:kern w:val="0"/>
                <w:sz w:val="24"/>
                <w:szCs w:val="24"/>
                <w:highlight w:val="none"/>
                <w:lang w:eastAsia="zh-CN"/>
              </w:rPr>
              <w:t>具本单位无商业贿赂及无不正当竞争行为的承诺书</w:t>
            </w:r>
          </w:p>
        </w:tc>
      </w:tr>
      <w:tr w14:paraId="14319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818" w:type="dxa"/>
            <w:vMerge w:val="continue"/>
            <w:noWrap w:val="0"/>
            <w:vAlign w:val="center"/>
          </w:tcPr>
          <w:p w14:paraId="5EEE0784">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1C6DDDB8">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3D68087F">
            <w:pPr>
              <w:keepNext w:val="0"/>
              <w:keepLines w:val="0"/>
              <w:pageBreakBefore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shd w:val="clear" w:color="auto" w:fill="FFFFFF"/>
              </w:rPr>
              <w:t>信用中国、中国执行信息公开网、中国政府采购网查询截图</w:t>
            </w:r>
          </w:p>
        </w:tc>
        <w:tc>
          <w:tcPr>
            <w:tcW w:w="5575" w:type="dxa"/>
            <w:noWrap w:val="0"/>
            <w:vAlign w:val="center"/>
          </w:tcPr>
          <w:p w14:paraId="627FD651">
            <w:pPr>
              <w:pStyle w:val="10"/>
              <w:keepNext w:val="0"/>
              <w:keepLines w:val="0"/>
              <w:pageBreakBefore w:val="0"/>
              <w:kinsoku/>
              <w:wordWrap w:val="0"/>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未列入“中国执行信息公开网”http://zxgk.court.gov.cn/shixin网站的“失信被执行人”名单、“信用中国”www.creditchina.gov.cn网站的“重大税收违法失信主体”及“中国政府采购网”www.ccgp.gov.cn网站的“政府采购严重违法失信行为记录名单”；（提供“中国执行信息公开网”、“信用中国”和“中国政府采购网”网站的查询信息截图，加盖单位公章，截图需显示查询时间，查询时间：自公告发布之日起至投标截止时间前）</w:t>
            </w:r>
          </w:p>
        </w:tc>
      </w:tr>
      <w:tr w14:paraId="51E44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818" w:type="dxa"/>
            <w:vMerge w:val="continue"/>
            <w:noWrap w:val="0"/>
            <w:vAlign w:val="center"/>
          </w:tcPr>
          <w:p w14:paraId="4B0D9D59">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2AA950E6">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7CE75934">
            <w:pPr>
              <w:keepNext w:val="0"/>
              <w:keepLines w:val="0"/>
              <w:pageBreakBefore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lang w:val="en-US" w:eastAsia="zh-CN"/>
              </w:rPr>
              <w:t>“国家企业信用信息公示系统</w:t>
            </w:r>
          </w:p>
        </w:tc>
        <w:tc>
          <w:tcPr>
            <w:tcW w:w="5575" w:type="dxa"/>
            <w:noWrap w:val="0"/>
            <w:vAlign w:val="center"/>
          </w:tcPr>
          <w:p w14:paraId="68CB2263">
            <w:pPr>
              <w:keepNext w:val="0"/>
              <w:keepLines w:val="0"/>
              <w:pageBreakBefore w:val="0"/>
              <w:kinsoku/>
              <w:wordWrap w:val="0"/>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日期为本项目公告发布之后至开标截止时间止））</w:t>
            </w:r>
          </w:p>
        </w:tc>
      </w:tr>
      <w:tr w14:paraId="5375B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818" w:type="dxa"/>
            <w:vMerge w:val="continue"/>
            <w:noWrap w:val="0"/>
            <w:vAlign w:val="center"/>
          </w:tcPr>
          <w:p w14:paraId="20C52D30">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46CB22D8">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6CE27C84">
            <w:pPr>
              <w:keepNext w:val="0"/>
              <w:keepLines w:val="0"/>
              <w:pageBreakBefore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联合体供应商</w:t>
            </w:r>
          </w:p>
        </w:tc>
        <w:tc>
          <w:tcPr>
            <w:tcW w:w="5575" w:type="dxa"/>
            <w:noWrap w:val="0"/>
            <w:vAlign w:val="center"/>
          </w:tcPr>
          <w:p w14:paraId="635D606A">
            <w:pPr>
              <w:pStyle w:val="10"/>
              <w:keepNext w:val="0"/>
              <w:keepLines w:val="0"/>
              <w:pageBreakBefore w:val="0"/>
              <w:kinsoku/>
              <w:wordWrap w:val="0"/>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本项目不接受联合体投标</w:t>
            </w:r>
          </w:p>
        </w:tc>
      </w:tr>
      <w:tr w14:paraId="416BD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818" w:type="dxa"/>
            <w:vMerge w:val="continue"/>
            <w:noWrap w:val="0"/>
            <w:vAlign w:val="center"/>
          </w:tcPr>
          <w:p w14:paraId="04AA8A03">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455B3AD0">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01352F05">
            <w:pPr>
              <w:keepNext w:val="0"/>
              <w:keepLines w:val="0"/>
              <w:pageBreakBefore w:val="0"/>
              <w:kinsoku/>
              <w:wordWrap w:val="0"/>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其他资料</w:t>
            </w:r>
          </w:p>
        </w:tc>
        <w:tc>
          <w:tcPr>
            <w:tcW w:w="5575" w:type="dxa"/>
            <w:noWrap w:val="0"/>
            <w:vAlign w:val="center"/>
          </w:tcPr>
          <w:p w14:paraId="645C6972">
            <w:pPr>
              <w:keepNext w:val="0"/>
              <w:keepLines w:val="0"/>
              <w:pageBreakBefore w:val="0"/>
              <w:kinsoku/>
              <w:wordWrap w:val="0"/>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竞争性磋商文件规定的其他资格审查资料</w:t>
            </w:r>
          </w:p>
        </w:tc>
      </w:tr>
      <w:tr w14:paraId="6FC3E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818" w:type="dxa"/>
            <w:vMerge w:val="restart"/>
            <w:noWrap w:val="0"/>
            <w:vAlign w:val="center"/>
          </w:tcPr>
          <w:p w14:paraId="3CB0F39D">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.1.3</w:t>
            </w:r>
          </w:p>
        </w:tc>
        <w:tc>
          <w:tcPr>
            <w:tcW w:w="1020" w:type="dxa"/>
            <w:vMerge w:val="restart"/>
            <w:noWrap w:val="0"/>
            <w:vAlign w:val="center"/>
          </w:tcPr>
          <w:p w14:paraId="07E8DEE0">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响应性审查</w:t>
            </w:r>
            <w:r>
              <w:rPr>
                <w:rFonts w:hint="eastAsia" w:ascii="宋体" w:hAnsi="宋体" w:eastAsia="宋体" w:cs="宋体"/>
                <w:color w:val="auto"/>
                <w:kern w:val="0"/>
                <w:sz w:val="24"/>
                <w:szCs w:val="24"/>
                <w:highlight w:val="none"/>
              </w:rPr>
              <w:t>标准</w:t>
            </w:r>
          </w:p>
        </w:tc>
        <w:tc>
          <w:tcPr>
            <w:tcW w:w="2535" w:type="dxa"/>
            <w:noWrap w:val="0"/>
            <w:vAlign w:val="center"/>
          </w:tcPr>
          <w:p w14:paraId="4D854CF7">
            <w:pPr>
              <w:keepNext w:val="0"/>
              <w:keepLines w:val="0"/>
              <w:pageBreakBefore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shd w:val="clear" w:color="auto" w:fill="FFFFFF"/>
                <w:lang w:eastAsia="zh-CN"/>
              </w:rPr>
            </w:pPr>
            <w:r>
              <w:rPr>
                <w:rFonts w:hint="eastAsia" w:ascii="宋体" w:hAnsi="宋体" w:cs="宋体"/>
                <w:color w:val="auto"/>
                <w:kern w:val="0"/>
                <w:sz w:val="24"/>
                <w:szCs w:val="24"/>
                <w:highlight w:val="none"/>
                <w:shd w:val="clear" w:color="auto" w:fill="FFFFFF"/>
                <w:lang w:val="en-US" w:eastAsia="zh-CN"/>
              </w:rPr>
              <w:t>计划工期</w:t>
            </w:r>
          </w:p>
        </w:tc>
        <w:tc>
          <w:tcPr>
            <w:tcW w:w="5575" w:type="dxa"/>
            <w:noWrap w:val="0"/>
            <w:vAlign w:val="center"/>
          </w:tcPr>
          <w:p w14:paraId="496FC46C">
            <w:pPr>
              <w:keepNext w:val="0"/>
              <w:keepLines w:val="0"/>
              <w:pageBreakBefore w:val="0"/>
              <w:kinsoku/>
              <w:wordWrap w:val="0"/>
              <w:overflowPunct/>
              <w:topLinePunct w:val="0"/>
              <w:autoSpaceDE/>
              <w:autoSpaceDN/>
              <w:bidi w:val="0"/>
              <w:adjustRightInd/>
              <w:snapToGrid/>
              <w:spacing w:line="360" w:lineRule="auto"/>
              <w:jc w:val="both"/>
              <w:textAlignment w:val="auto"/>
              <w:rPr>
                <w:rFonts w:hint="default" w:ascii="宋体" w:hAnsi="宋体" w:eastAsia="宋体" w:cs="宋体"/>
                <w:color w:val="auto"/>
                <w:kern w:val="0"/>
                <w:sz w:val="24"/>
                <w:szCs w:val="24"/>
                <w:highlight w:val="none"/>
                <w:shd w:val="clear" w:color="auto" w:fill="FFFFFF"/>
                <w:lang w:val="en-US"/>
              </w:rPr>
            </w:pPr>
            <w:r>
              <w:rPr>
                <w:rFonts w:hint="eastAsia" w:ascii="宋体" w:hAnsi="宋体" w:cs="宋体"/>
                <w:color w:val="auto"/>
                <w:kern w:val="0"/>
                <w:sz w:val="24"/>
                <w:szCs w:val="24"/>
                <w:highlight w:val="none"/>
                <w:shd w:val="clear" w:color="auto" w:fill="FFFFFF"/>
                <w:lang w:val="en-US" w:eastAsia="zh-CN"/>
              </w:rPr>
              <w:t>60日历天</w:t>
            </w:r>
          </w:p>
        </w:tc>
      </w:tr>
      <w:tr w14:paraId="18DAC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818" w:type="dxa"/>
            <w:vMerge w:val="continue"/>
            <w:noWrap w:val="0"/>
            <w:vAlign w:val="center"/>
          </w:tcPr>
          <w:p w14:paraId="1BC1C4C6">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3D5469F5">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27BC6BAA">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质量要求</w:t>
            </w:r>
          </w:p>
        </w:tc>
        <w:tc>
          <w:tcPr>
            <w:tcW w:w="5575" w:type="dxa"/>
            <w:noWrap w:val="0"/>
            <w:vAlign w:val="center"/>
          </w:tcPr>
          <w:p w14:paraId="7755BBC3">
            <w:pPr>
              <w:keepNext w:val="0"/>
              <w:keepLines w:val="0"/>
              <w:pageBreakBefore w:val="0"/>
              <w:widowControl/>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highlight w:val="none"/>
              </w:rPr>
            </w:pPr>
            <w:r>
              <w:rPr>
                <w:rFonts w:hint="eastAsia" w:ascii="宋体" w:hAnsi="宋体" w:cs="宋体"/>
                <w:color w:val="auto"/>
                <w:sz w:val="24"/>
                <w:szCs w:val="24"/>
                <w:highlight w:val="none"/>
                <w:lang w:eastAsia="zh-CN"/>
              </w:rPr>
              <w:t>合格</w:t>
            </w:r>
          </w:p>
        </w:tc>
      </w:tr>
      <w:tr w14:paraId="36EDD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818" w:type="dxa"/>
            <w:vMerge w:val="continue"/>
            <w:noWrap w:val="0"/>
            <w:vAlign w:val="center"/>
          </w:tcPr>
          <w:p w14:paraId="1A6FA12F">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1ABDBBC5">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0CD89C15">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磋商有效期</w:t>
            </w:r>
          </w:p>
        </w:tc>
        <w:tc>
          <w:tcPr>
            <w:tcW w:w="5575" w:type="dxa"/>
            <w:noWrap w:val="0"/>
            <w:vAlign w:val="center"/>
          </w:tcPr>
          <w:p w14:paraId="35718953">
            <w:pPr>
              <w:keepNext w:val="0"/>
              <w:keepLines w:val="0"/>
              <w:pageBreakBefore w:val="0"/>
              <w:widowControl/>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60日历天（从投标截止之日算起）</w:t>
            </w:r>
          </w:p>
        </w:tc>
      </w:tr>
      <w:tr w14:paraId="4E718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18" w:type="dxa"/>
            <w:vMerge w:val="continue"/>
            <w:noWrap w:val="0"/>
            <w:vAlign w:val="center"/>
          </w:tcPr>
          <w:p w14:paraId="26C8F787">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63E2DAF1">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4C5BF220">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其他响应性</w:t>
            </w:r>
          </w:p>
        </w:tc>
        <w:tc>
          <w:tcPr>
            <w:tcW w:w="5575" w:type="dxa"/>
            <w:noWrap w:val="0"/>
            <w:vAlign w:val="center"/>
          </w:tcPr>
          <w:p w14:paraId="3BCE8661">
            <w:pPr>
              <w:keepNext w:val="0"/>
              <w:keepLines w:val="0"/>
              <w:pageBreakBefore w:val="0"/>
              <w:widowControl/>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满足磋商文件的其他实质性要求</w:t>
            </w:r>
          </w:p>
        </w:tc>
      </w:tr>
      <w:bookmarkEnd w:id="11"/>
    </w:tbl>
    <w:p w14:paraId="55F69FFF">
      <w:pPr>
        <w:pStyle w:val="3"/>
        <w:numPr>
          <w:ilvl w:val="0"/>
          <w:numId w:val="2"/>
        </w:numPr>
        <w:spacing w:before="210" w:after="3"/>
        <w:ind w:left="755" w:right="776"/>
        <w:jc w:val="both"/>
        <w:rPr>
          <w:rFonts w:hint="eastAsia"/>
          <w:b/>
          <w:bCs/>
          <w:color w:val="auto"/>
          <w:sz w:val="24"/>
          <w:szCs w:val="28"/>
          <w:highlight w:val="none"/>
          <w:lang w:val="en-US" w:eastAsia="zh-CN"/>
        </w:rPr>
      </w:pPr>
      <w:r>
        <w:rPr>
          <w:rFonts w:hint="eastAsia"/>
          <w:b/>
          <w:bCs/>
          <w:color w:val="auto"/>
          <w:sz w:val="24"/>
          <w:szCs w:val="28"/>
          <w:highlight w:val="none"/>
          <w:lang w:val="en-US" w:eastAsia="zh-CN"/>
        </w:rPr>
        <w:t>详细审查： 评分标准</w:t>
      </w:r>
    </w:p>
    <w:tbl>
      <w:tblPr>
        <w:tblStyle w:val="21"/>
        <w:tblW w:w="996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1122"/>
        <w:gridCol w:w="1225"/>
        <w:gridCol w:w="6741"/>
        <w:gridCol w:w="875"/>
      </w:tblGrid>
      <w:tr w14:paraId="2430F0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77" w:hRule="atLeast"/>
          <w:jc w:val="center"/>
        </w:trPr>
        <w:tc>
          <w:tcPr>
            <w:tcW w:w="1122" w:type="dxa"/>
            <w:vAlign w:val="center"/>
          </w:tcPr>
          <w:p w14:paraId="359708E0">
            <w:pPr>
              <w:widowControl/>
              <w:spacing w:line="360" w:lineRule="auto"/>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kern w:val="0"/>
                <w:sz w:val="24"/>
                <w:szCs w:val="22"/>
                <w:highlight w:val="none"/>
              </w:rPr>
              <w:t>评分因素</w:t>
            </w:r>
          </w:p>
        </w:tc>
        <w:tc>
          <w:tcPr>
            <w:tcW w:w="1225" w:type="dxa"/>
            <w:vAlign w:val="center"/>
          </w:tcPr>
          <w:p w14:paraId="4807C5D8">
            <w:pPr>
              <w:widowControl/>
              <w:spacing w:line="360" w:lineRule="auto"/>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kern w:val="0"/>
                <w:sz w:val="24"/>
                <w:szCs w:val="22"/>
                <w:highlight w:val="none"/>
              </w:rPr>
              <w:t>评分内容</w:t>
            </w:r>
          </w:p>
        </w:tc>
        <w:tc>
          <w:tcPr>
            <w:tcW w:w="6741" w:type="dxa"/>
            <w:vAlign w:val="center"/>
          </w:tcPr>
          <w:p w14:paraId="3DDBA9C9">
            <w:pPr>
              <w:widowControl/>
              <w:spacing w:line="360" w:lineRule="auto"/>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kern w:val="0"/>
                <w:sz w:val="24"/>
                <w:szCs w:val="22"/>
                <w:highlight w:val="none"/>
              </w:rPr>
              <w:t>评分标准</w:t>
            </w:r>
          </w:p>
        </w:tc>
        <w:tc>
          <w:tcPr>
            <w:tcW w:w="875" w:type="dxa"/>
            <w:vAlign w:val="center"/>
          </w:tcPr>
          <w:p w14:paraId="4A839C80">
            <w:pPr>
              <w:widowControl/>
              <w:spacing w:line="360" w:lineRule="auto"/>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kern w:val="0"/>
                <w:sz w:val="24"/>
                <w:szCs w:val="22"/>
                <w:highlight w:val="none"/>
              </w:rPr>
              <w:t>分值</w:t>
            </w:r>
          </w:p>
        </w:tc>
      </w:tr>
      <w:tr w14:paraId="67A0FB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97" w:hRule="atLeast"/>
          <w:jc w:val="center"/>
        </w:trPr>
        <w:tc>
          <w:tcPr>
            <w:tcW w:w="1122" w:type="dxa"/>
            <w:vAlign w:val="center"/>
          </w:tcPr>
          <w:p w14:paraId="2A85BB1F">
            <w:pPr>
              <w:widowControl/>
              <w:spacing w:line="360" w:lineRule="auto"/>
              <w:jc w:val="center"/>
              <w:textAlignment w:val="center"/>
              <w:rPr>
                <w:rFonts w:hint="eastAsia" w:ascii="宋体" w:hAnsi="宋体" w:eastAsia="宋体" w:cs="宋体"/>
                <w:b/>
                <w:color w:val="auto"/>
                <w:sz w:val="24"/>
                <w:szCs w:val="22"/>
                <w:highlight w:val="none"/>
              </w:rPr>
            </w:pPr>
            <w:r>
              <w:rPr>
                <w:rFonts w:hint="eastAsia" w:ascii="宋体" w:hAnsi="宋体" w:eastAsia="宋体" w:cs="宋体"/>
                <w:b/>
                <w:color w:val="auto"/>
                <w:kern w:val="0"/>
                <w:sz w:val="24"/>
                <w:szCs w:val="22"/>
                <w:highlight w:val="none"/>
              </w:rPr>
              <w:t>报价部分</w:t>
            </w:r>
            <w:r>
              <w:rPr>
                <w:rFonts w:hint="eastAsia" w:ascii="宋体" w:hAnsi="宋体" w:eastAsia="宋体" w:cs="宋体"/>
                <w:b/>
                <w:color w:val="auto"/>
                <w:kern w:val="0"/>
                <w:sz w:val="24"/>
                <w:szCs w:val="22"/>
                <w:highlight w:val="none"/>
              </w:rPr>
              <w:br w:type="textWrapping"/>
            </w:r>
            <w:r>
              <w:rPr>
                <w:rFonts w:hint="eastAsia" w:ascii="宋体" w:hAnsi="宋体" w:eastAsia="宋体" w:cs="宋体"/>
                <w:b/>
                <w:color w:val="auto"/>
                <w:kern w:val="0"/>
                <w:sz w:val="24"/>
                <w:szCs w:val="22"/>
                <w:highlight w:val="none"/>
              </w:rPr>
              <w:t>（30分）</w:t>
            </w:r>
          </w:p>
        </w:tc>
        <w:tc>
          <w:tcPr>
            <w:tcW w:w="1225" w:type="dxa"/>
            <w:vAlign w:val="center"/>
          </w:tcPr>
          <w:p w14:paraId="46A55791">
            <w:pPr>
              <w:widowControl/>
              <w:spacing w:line="360" w:lineRule="auto"/>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投标报价</w:t>
            </w:r>
          </w:p>
          <w:p w14:paraId="55780F96">
            <w:pPr>
              <w:widowControl/>
              <w:spacing w:line="360" w:lineRule="auto"/>
              <w:jc w:val="center"/>
              <w:textAlignment w:val="center"/>
              <w:rPr>
                <w:rFonts w:hint="eastAsia" w:ascii="宋体" w:hAnsi="宋体" w:eastAsia="宋体" w:cs="宋体"/>
                <w:color w:val="auto"/>
                <w:sz w:val="24"/>
                <w:szCs w:val="22"/>
                <w:highlight w:val="none"/>
              </w:rPr>
            </w:pPr>
          </w:p>
        </w:tc>
        <w:tc>
          <w:tcPr>
            <w:tcW w:w="6741" w:type="dxa"/>
          </w:tcPr>
          <w:p w14:paraId="23B41B55">
            <w:pPr>
              <w:spacing w:line="440" w:lineRule="exact"/>
              <w:jc w:val="left"/>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按照《财政部关于加强政府采购货物和服务项目价格评审管理的通知》（财库【2007】2 号）规定，综合评分法中的价格分用低价优先法计算，即满足招标文件要求且投标价格最低的投标报价为评标基准价，其价格分为满分30分。</w:t>
            </w:r>
          </w:p>
          <w:p w14:paraId="47BA5201">
            <w:pPr>
              <w:spacing w:line="440" w:lineRule="exact"/>
              <w:jc w:val="left"/>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投标报价得分=(评标基准价/投标报价)×30</w:t>
            </w:r>
          </w:p>
          <w:p w14:paraId="60D42FAC">
            <w:pPr>
              <w:spacing w:line="440" w:lineRule="exact"/>
              <w:jc w:val="left"/>
              <w:rPr>
                <w:rFonts w:hint="eastAsia" w:ascii="宋体" w:hAnsi="宋体" w:eastAsia="宋体" w:cs="宋体"/>
                <w:color w:val="auto"/>
                <w:sz w:val="24"/>
                <w:szCs w:val="22"/>
                <w:highlight w:val="none"/>
              </w:rPr>
            </w:pP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评</w:t>
            </w:r>
            <w:r>
              <w:rPr>
                <w:rFonts w:hint="eastAsia" w:ascii="宋体" w:hAnsi="宋体" w:eastAsia="宋体" w:cs="宋体"/>
                <w:color w:val="auto"/>
                <w:sz w:val="24"/>
                <w:szCs w:val="22"/>
                <w:highlight w:val="none"/>
              </w:rPr>
              <w:t>标委员会认为投标人的报价明显低于其他通过符合性审查投标人的报价，有可能影响工程质量或者不能诚信履约的，应当要求其在合理的时间内提供说明，必要时提交相关证明材料；投标人不能证明其报价合理性的，评标委员会应当将其作为无效标处理。</w:t>
            </w:r>
          </w:p>
          <w:p w14:paraId="52F9CC60">
            <w:pPr>
              <w:spacing w:line="440" w:lineRule="exact"/>
              <w:jc w:val="left"/>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2、落实政府采购政策满足的要求：对于非专门面向中小企业的项目，本项目对小微企业生产的产品的价格给予20%的扣除，用扣除后的价格参与报价计算。参加投标的中小微企业，应当按照《政府采购促进中小企业发展管理办法》（财库﹝2020﹞46号）的规定提供《中小企业声明函》，（中小企业划型标准详见《关于印发中小企业划型标准规定的通知》工信部联企业〔2011〕300号）。</w:t>
            </w:r>
          </w:p>
        </w:tc>
        <w:tc>
          <w:tcPr>
            <w:tcW w:w="875" w:type="dxa"/>
            <w:vAlign w:val="center"/>
          </w:tcPr>
          <w:p w14:paraId="3C023967">
            <w:pPr>
              <w:widowControl/>
              <w:spacing w:line="360" w:lineRule="auto"/>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kern w:val="0"/>
                <w:sz w:val="24"/>
                <w:szCs w:val="22"/>
                <w:highlight w:val="none"/>
              </w:rPr>
              <w:t>30分</w:t>
            </w:r>
          </w:p>
        </w:tc>
      </w:tr>
      <w:tr w14:paraId="6DFA82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114" w:hRule="atLeast"/>
          <w:jc w:val="center"/>
        </w:trPr>
        <w:tc>
          <w:tcPr>
            <w:tcW w:w="1122" w:type="dxa"/>
            <w:vMerge w:val="restart"/>
            <w:vAlign w:val="center"/>
          </w:tcPr>
          <w:p w14:paraId="06053942">
            <w:pPr>
              <w:rPr>
                <w:rFonts w:hint="eastAsia" w:ascii="宋体" w:hAnsi="宋体" w:eastAsia="宋体" w:cs="宋体"/>
                <w:b/>
                <w:color w:val="auto"/>
                <w:sz w:val="24"/>
                <w:szCs w:val="22"/>
                <w:highlight w:val="none"/>
              </w:rPr>
            </w:pPr>
            <w:r>
              <w:rPr>
                <w:rFonts w:hint="eastAsia" w:ascii="宋体" w:hAnsi="宋体" w:eastAsia="宋体" w:cs="宋体"/>
                <w:color w:val="auto"/>
                <w:sz w:val="24"/>
                <w:szCs w:val="24"/>
                <w:highlight w:val="none"/>
              </w:rPr>
              <w:br w:type="page"/>
            </w:r>
            <w:r>
              <w:rPr>
                <w:rFonts w:hint="eastAsia" w:ascii="宋体" w:hAnsi="宋体" w:eastAsia="宋体" w:cs="宋体"/>
                <w:b/>
                <w:color w:val="auto"/>
                <w:kern w:val="0"/>
                <w:sz w:val="24"/>
                <w:szCs w:val="22"/>
                <w:highlight w:val="none"/>
              </w:rPr>
              <w:t>技术部分</w:t>
            </w:r>
            <w:r>
              <w:rPr>
                <w:rFonts w:hint="eastAsia" w:ascii="宋体" w:hAnsi="宋体" w:eastAsia="宋体" w:cs="宋体"/>
                <w:b/>
                <w:color w:val="auto"/>
                <w:kern w:val="0"/>
                <w:sz w:val="24"/>
                <w:szCs w:val="22"/>
                <w:highlight w:val="none"/>
              </w:rPr>
              <w:br w:type="textWrapping"/>
            </w:r>
            <w:r>
              <w:rPr>
                <w:rFonts w:hint="eastAsia" w:ascii="宋体" w:hAnsi="宋体" w:eastAsia="宋体" w:cs="宋体"/>
                <w:b/>
                <w:color w:val="auto"/>
                <w:kern w:val="0"/>
                <w:sz w:val="24"/>
                <w:szCs w:val="22"/>
                <w:highlight w:val="none"/>
              </w:rPr>
              <w:t>（5</w:t>
            </w:r>
            <w:r>
              <w:rPr>
                <w:rFonts w:hint="eastAsia" w:ascii="宋体" w:hAnsi="宋体" w:cs="宋体"/>
                <w:b/>
                <w:color w:val="auto"/>
                <w:kern w:val="0"/>
                <w:sz w:val="24"/>
                <w:szCs w:val="22"/>
                <w:highlight w:val="none"/>
                <w:lang w:val="en-US" w:eastAsia="zh-CN"/>
              </w:rPr>
              <w:t>2</w:t>
            </w:r>
            <w:r>
              <w:rPr>
                <w:rFonts w:hint="eastAsia" w:ascii="宋体" w:hAnsi="宋体" w:eastAsia="宋体" w:cs="宋体"/>
                <w:b/>
                <w:color w:val="auto"/>
                <w:kern w:val="0"/>
                <w:sz w:val="24"/>
                <w:szCs w:val="22"/>
                <w:highlight w:val="none"/>
              </w:rPr>
              <w:t>分）</w:t>
            </w:r>
          </w:p>
        </w:tc>
        <w:tc>
          <w:tcPr>
            <w:tcW w:w="1225" w:type="dxa"/>
            <w:shd w:val="clear" w:color="auto" w:fill="auto"/>
            <w:vAlign w:val="center"/>
          </w:tcPr>
          <w:p w14:paraId="725AB443">
            <w:pPr>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1主要施工方法</w:t>
            </w:r>
          </w:p>
        </w:tc>
        <w:tc>
          <w:tcPr>
            <w:tcW w:w="6741" w:type="dxa"/>
            <w:shd w:val="clear" w:color="auto" w:fill="auto"/>
            <w:vAlign w:val="center"/>
          </w:tcPr>
          <w:p w14:paraId="546F6440">
            <w:pPr>
              <w:spacing w:line="360" w:lineRule="auto"/>
              <w:ind w:right="-36" w:rightChars="-17"/>
              <w:jc w:val="lef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主要施工方法先进可行，技术措施合理科学，施工方法规范可靠的得7分；</w:t>
            </w:r>
          </w:p>
          <w:p w14:paraId="176F4C2B">
            <w:pPr>
              <w:spacing w:line="360" w:lineRule="auto"/>
              <w:ind w:right="-36" w:rightChars="-17"/>
              <w:jc w:val="lef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主要施工方法可行，技术措施合理，施工方法基本规范的得5 分；</w:t>
            </w:r>
          </w:p>
          <w:p w14:paraId="650B9227">
            <w:pPr>
              <w:spacing w:line="360" w:lineRule="auto"/>
              <w:ind w:right="-36" w:rightChars="-17"/>
              <w:jc w:val="left"/>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highlight w:val="none"/>
              </w:rPr>
              <w:t>主要施工方法、技术措施部分合理的得3分；没有描述的不得分。</w:t>
            </w:r>
          </w:p>
        </w:tc>
        <w:tc>
          <w:tcPr>
            <w:tcW w:w="875" w:type="dxa"/>
            <w:vAlign w:val="center"/>
          </w:tcPr>
          <w:p w14:paraId="51AC0B32">
            <w:pPr>
              <w:widowControl/>
              <w:spacing w:line="360" w:lineRule="auto"/>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sz w:val="24"/>
                <w:highlight w:val="none"/>
              </w:rPr>
              <w:t>(7分)</w:t>
            </w:r>
          </w:p>
        </w:tc>
      </w:tr>
      <w:tr w14:paraId="36ED0B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22" w:hRule="atLeast"/>
          <w:jc w:val="center"/>
        </w:trPr>
        <w:tc>
          <w:tcPr>
            <w:tcW w:w="1122" w:type="dxa"/>
            <w:vMerge w:val="continue"/>
            <w:vAlign w:val="center"/>
          </w:tcPr>
          <w:p w14:paraId="19D45721">
            <w:pPr>
              <w:widowControl/>
              <w:spacing w:line="360" w:lineRule="auto"/>
              <w:jc w:val="center"/>
              <w:textAlignment w:val="center"/>
              <w:rPr>
                <w:rFonts w:hint="eastAsia" w:ascii="宋体" w:hAnsi="宋体" w:eastAsia="宋体" w:cs="宋体"/>
                <w:b/>
                <w:color w:val="auto"/>
                <w:kern w:val="0"/>
                <w:sz w:val="24"/>
                <w:szCs w:val="22"/>
                <w:highlight w:val="none"/>
              </w:rPr>
            </w:pPr>
          </w:p>
        </w:tc>
        <w:tc>
          <w:tcPr>
            <w:tcW w:w="1225" w:type="dxa"/>
            <w:shd w:val="clear" w:color="auto" w:fill="auto"/>
            <w:vAlign w:val="center"/>
          </w:tcPr>
          <w:p w14:paraId="5553A40B">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2主要物资计划</w:t>
            </w:r>
          </w:p>
          <w:p w14:paraId="7DC46314">
            <w:pPr>
              <w:spacing w:line="360" w:lineRule="auto"/>
              <w:jc w:val="left"/>
              <w:rPr>
                <w:rFonts w:hint="eastAsia" w:ascii="宋体" w:hAnsi="宋体" w:eastAsia="宋体" w:cs="宋体"/>
                <w:color w:val="auto"/>
                <w:kern w:val="2"/>
                <w:sz w:val="24"/>
                <w:szCs w:val="24"/>
                <w:highlight w:val="none"/>
                <w:lang w:val="en-US" w:eastAsia="zh-CN" w:bidi="ar-SA"/>
              </w:rPr>
            </w:pPr>
          </w:p>
        </w:tc>
        <w:tc>
          <w:tcPr>
            <w:tcW w:w="6741" w:type="dxa"/>
            <w:shd w:val="clear" w:color="auto" w:fill="auto"/>
            <w:vAlign w:val="center"/>
          </w:tcPr>
          <w:p w14:paraId="73BC23D3">
            <w:pPr>
              <w:spacing w:line="360" w:lineRule="auto"/>
              <w:jc w:val="left"/>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highlight w:val="none"/>
              </w:rPr>
              <w:t>拟投入的主要物资计划合理有效的得7分；基本合理有效的得5分；部分合理的得3 分；没有描述的不得分。</w:t>
            </w:r>
          </w:p>
        </w:tc>
        <w:tc>
          <w:tcPr>
            <w:tcW w:w="875" w:type="dxa"/>
            <w:vAlign w:val="center"/>
          </w:tcPr>
          <w:p w14:paraId="52C87EDA">
            <w:pPr>
              <w:widowControl/>
              <w:jc w:val="both"/>
              <w:textAlignment w:val="center"/>
              <w:rPr>
                <w:rFonts w:hint="eastAsia" w:ascii="宋体" w:hAnsi="宋体" w:eastAsia="宋体" w:cs="宋体"/>
                <w:color w:val="auto"/>
                <w:sz w:val="24"/>
                <w:szCs w:val="22"/>
                <w:highlight w:val="none"/>
              </w:rPr>
            </w:pPr>
            <w:r>
              <w:rPr>
                <w:rFonts w:hint="eastAsia" w:ascii="宋体" w:hAnsi="宋体" w:eastAsia="宋体" w:cs="宋体"/>
                <w:color w:val="auto"/>
                <w:sz w:val="24"/>
                <w:highlight w:val="none"/>
              </w:rPr>
              <w:t>(7分)</w:t>
            </w:r>
          </w:p>
        </w:tc>
      </w:tr>
      <w:tr w14:paraId="4A638E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22" w:hRule="atLeast"/>
          <w:jc w:val="center"/>
        </w:trPr>
        <w:tc>
          <w:tcPr>
            <w:tcW w:w="1122" w:type="dxa"/>
            <w:vMerge w:val="continue"/>
            <w:vAlign w:val="center"/>
          </w:tcPr>
          <w:p w14:paraId="4CA34500">
            <w:pPr>
              <w:widowControl/>
              <w:spacing w:line="360" w:lineRule="auto"/>
              <w:jc w:val="center"/>
              <w:textAlignment w:val="center"/>
              <w:rPr>
                <w:rFonts w:hint="eastAsia" w:ascii="宋体" w:hAnsi="宋体" w:eastAsia="宋体" w:cs="宋体"/>
                <w:b/>
                <w:color w:val="auto"/>
                <w:kern w:val="0"/>
                <w:sz w:val="24"/>
                <w:szCs w:val="22"/>
                <w:highlight w:val="none"/>
              </w:rPr>
            </w:pPr>
          </w:p>
        </w:tc>
        <w:tc>
          <w:tcPr>
            <w:tcW w:w="1225" w:type="dxa"/>
            <w:shd w:val="clear" w:color="auto" w:fill="auto"/>
            <w:vAlign w:val="center"/>
          </w:tcPr>
          <w:p w14:paraId="3C88B6BE">
            <w:pPr>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3劳动力安排计划</w:t>
            </w:r>
          </w:p>
        </w:tc>
        <w:tc>
          <w:tcPr>
            <w:tcW w:w="6741" w:type="dxa"/>
            <w:shd w:val="clear" w:color="auto" w:fill="auto"/>
            <w:vAlign w:val="center"/>
          </w:tcPr>
          <w:p w14:paraId="482C12C2">
            <w:pPr>
              <w:spacing w:line="360" w:lineRule="auto"/>
              <w:jc w:val="left"/>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highlight w:val="none"/>
              </w:rPr>
              <w:t>劳动力安排计划可行，合理有效的得6分；基本合理有效的得4分；部分合理的得2分；没有描述的不得分。</w:t>
            </w:r>
          </w:p>
        </w:tc>
        <w:tc>
          <w:tcPr>
            <w:tcW w:w="875" w:type="dxa"/>
            <w:vAlign w:val="center"/>
          </w:tcPr>
          <w:p w14:paraId="76DD35DE">
            <w:pPr>
              <w:widowControl/>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sz w:val="24"/>
                <w:highlight w:val="none"/>
              </w:rPr>
              <w:t>(6分)</w:t>
            </w:r>
          </w:p>
        </w:tc>
      </w:tr>
      <w:tr w14:paraId="4D5BE0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22" w:hRule="atLeast"/>
          <w:jc w:val="center"/>
        </w:trPr>
        <w:tc>
          <w:tcPr>
            <w:tcW w:w="1122" w:type="dxa"/>
            <w:vMerge w:val="continue"/>
            <w:vAlign w:val="center"/>
          </w:tcPr>
          <w:p w14:paraId="5A4A749D">
            <w:pPr>
              <w:widowControl/>
              <w:spacing w:line="360" w:lineRule="auto"/>
              <w:jc w:val="center"/>
              <w:textAlignment w:val="center"/>
              <w:rPr>
                <w:rFonts w:hint="eastAsia" w:ascii="宋体" w:hAnsi="宋体" w:eastAsia="宋体" w:cs="宋体"/>
                <w:b/>
                <w:color w:val="auto"/>
                <w:kern w:val="0"/>
                <w:sz w:val="24"/>
                <w:szCs w:val="22"/>
                <w:highlight w:val="none"/>
              </w:rPr>
            </w:pPr>
          </w:p>
        </w:tc>
        <w:tc>
          <w:tcPr>
            <w:tcW w:w="1225" w:type="dxa"/>
            <w:shd w:val="clear" w:color="auto" w:fill="auto"/>
            <w:vAlign w:val="center"/>
          </w:tcPr>
          <w:p w14:paraId="3E0DAF40">
            <w:pPr>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4确保工程质量的技术组织措施</w:t>
            </w:r>
          </w:p>
        </w:tc>
        <w:tc>
          <w:tcPr>
            <w:tcW w:w="6741" w:type="dxa"/>
            <w:shd w:val="clear" w:color="auto" w:fill="auto"/>
            <w:vAlign w:val="center"/>
          </w:tcPr>
          <w:p w14:paraId="641DB196">
            <w:pPr>
              <w:spacing w:line="360" w:lineRule="auto"/>
              <w:jc w:val="left"/>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highlight w:val="none"/>
              </w:rPr>
              <w:t>确保工程质量的技术组织措施科学可行合理有效的得6分；基本合理有效的得4分；部分合理的得 2 分；没有描述的不得分。</w:t>
            </w:r>
          </w:p>
        </w:tc>
        <w:tc>
          <w:tcPr>
            <w:tcW w:w="875" w:type="dxa"/>
            <w:vAlign w:val="center"/>
          </w:tcPr>
          <w:p w14:paraId="2ED953E8">
            <w:pPr>
              <w:widowControl/>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sz w:val="24"/>
                <w:highlight w:val="none"/>
              </w:rPr>
              <w:t>(6分)</w:t>
            </w:r>
          </w:p>
        </w:tc>
      </w:tr>
      <w:tr w14:paraId="564A18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22" w:hRule="atLeast"/>
          <w:jc w:val="center"/>
        </w:trPr>
        <w:tc>
          <w:tcPr>
            <w:tcW w:w="1122" w:type="dxa"/>
            <w:vMerge w:val="continue"/>
            <w:vAlign w:val="center"/>
          </w:tcPr>
          <w:p w14:paraId="0C2BA79D">
            <w:pPr>
              <w:widowControl/>
              <w:spacing w:line="360" w:lineRule="auto"/>
              <w:jc w:val="center"/>
              <w:textAlignment w:val="center"/>
              <w:rPr>
                <w:rFonts w:hint="eastAsia" w:ascii="宋体" w:hAnsi="宋体" w:eastAsia="宋体" w:cs="宋体"/>
                <w:b/>
                <w:color w:val="auto"/>
                <w:kern w:val="0"/>
                <w:sz w:val="24"/>
                <w:szCs w:val="22"/>
                <w:highlight w:val="none"/>
              </w:rPr>
            </w:pPr>
          </w:p>
        </w:tc>
        <w:tc>
          <w:tcPr>
            <w:tcW w:w="1225" w:type="dxa"/>
            <w:shd w:val="clear" w:color="auto" w:fill="auto"/>
            <w:vAlign w:val="center"/>
          </w:tcPr>
          <w:p w14:paraId="2A5E9751">
            <w:pPr>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5确保安全生产的技术组织措施</w:t>
            </w:r>
          </w:p>
        </w:tc>
        <w:tc>
          <w:tcPr>
            <w:tcW w:w="6741" w:type="dxa"/>
            <w:shd w:val="clear" w:color="auto" w:fill="auto"/>
            <w:vAlign w:val="center"/>
          </w:tcPr>
          <w:p w14:paraId="0BEAA393">
            <w:pPr>
              <w:spacing w:line="360" w:lineRule="auto"/>
              <w:jc w:val="left"/>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highlight w:val="none"/>
              </w:rPr>
              <w:t>确保安全生产的技术组织措施科学可行合理有效的得 5 分；基本合理有效的得 3.5 分；部分合理的得 2分；没有描述的不得分。</w:t>
            </w:r>
          </w:p>
        </w:tc>
        <w:tc>
          <w:tcPr>
            <w:tcW w:w="875" w:type="dxa"/>
            <w:vAlign w:val="center"/>
          </w:tcPr>
          <w:p w14:paraId="5D9790DF">
            <w:pPr>
              <w:widowControl/>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sz w:val="24"/>
                <w:highlight w:val="none"/>
              </w:rPr>
              <w:t>(5分)</w:t>
            </w:r>
          </w:p>
        </w:tc>
      </w:tr>
      <w:tr w14:paraId="5EB488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22" w:hRule="atLeast"/>
          <w:jc w:val="center"/>
        </w:trPr>
        <w:tc>
          <w:tcPr>
            <w:tcW w:w="1122" w:type="dxa"/>
            <w:vMerge w:val="continue"/>
            <w:vAlign w:val="center"/>
          </w:tcPr>
          <w:p w14:paraId="2941DB07">
            <w:pPr>
              <w:widowControl/>
              <w:spacing w:line="360" w:lineRule="auto"/>
              <w:jc w:val="center"/>
              <w:textAlignment w:val="center"/>
              <w:rPr>
                <w:rFonts w:hint="eastAsia" w:ascii="宋体" w:hAnsi="宋体" w:eastAsia="宋体" w:cs="宋体"/>
                <w:b/>
                <w:color w:val="auto"/>
                <w:kern w:val="0"/>
                <w:sz w:val="24"/>
                <w:szCs w:val="22"/>
                <w:highlight w:val="none"/>
              </w:rPr>
            </w:pPr>
          </w:p>
        </w:tc>
        <w:tc>
          <w:tcPr>
            <w:tcW w:w="1225" w:type="dxa"/>
            <w:shd w:val="clear" w:color="auto" w:fill="auto"/>
            <w:vAlign w:val="center"/>
          </w:tcPr>
          <w:p w14:paraId="209DF1AB">
            <w:pPr>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6确保工期的技术组织措施</w:t>
            </w:r>
          </w:p>
        </w:tc>
        <w:tc>
          <w:tcPr>
            <w:tcW w:w="6741" w:type="dxa"/>
            <w:shd w:val="clear" w:color="auto" w:fill="auto"/>
            <w:vAlign w:val="center"/>
          </w:tcPr>
          <w:p w14:paraId="1D66DB85">
            <w:pPr>
              <w:spacing w:line="360" w:lineRule="auto"/>
              <w:jc w:val="left"/>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sz w:val="24"/>
                <w:highlight w:val="none"/>
              </w:rPr>
              <w:t>确保工期的技术组织措施科学可行，合理有效的得 6分；基本合理有效的得 4 分；部分合理的得 2 分；没有描述的不得分。</w:t>
            </w:r>
          </w:p>
        </w:tc>
        <w:tc>
          <w:tcPr>
            <w:tcW w:w="875" w:type="dxa"/>
            <w:vAlign w:val="center"/>
          </w:tcPr>
          <w:p w14:paraId="5DF3DE6C">
            <w:pPr>
              <w:widowControl/>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sz w:val="24"/>
                <w:highlight w:val="none"/>
              </w:rPr>
              <w:t>(6分)</w:t>
            </w:r>
          </w:p>
        </w:tc>
      </w:tr>
      <w:tr w14:paraId="5AFD6C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22" w:hRule="atLeast"/>
          <w:jc w:val="center"/>
        </w:trPr>
        <w:tc>
          <w:tcPr>
            <w:tcW w:w="1122" w:type="dxa"/>
            <w:vMerge w:val="continue"/>
            <w:vAlign w:val="center"/>
          </w:tcPr>
          <w:p w14:paraId="420169EB">
            <w:pPr>
              <w:widowControl/>
              <w:spacing w:line="360" w:lineRule="auto"/>
              <w:jc w:val="center"/>
              <w:textAlignment w:val="center"/>
              <w:rPr>
                <w:rFonts w:hint="eastAsia" w:ascii="宋体" w:hAnsi="宋体" w:eastAsia="宋体" w:cs="宋体"/>
                <w:b/>
                <w:color w:val="auto"/>
                <w:kern w:val="0"/>
                <w:sz w:val="24"/>
                <w:szCs w:val="22"/>
                <w:highlight w:val="none"/>
              </w:rPr>
            </w:pPr>
          </w:p>
        </w:tc>
        <w:tc>
          <w:tcPr>
            <w:tcW w:w="1225" w:type="dxa"/>
            <w:shd w:val="clear" w:color="auto" w:fill="auto"/>
            <w:vAlign w:val="center"/>
          </w:tcPr>
          <w:p w14:paraId="663DA6A6">
            <w:pPr>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7确保文明施工技术组织措施</w:t>
            </w:r>
          </w:p>
        </w:tc>
        <w:tc>
          <w:tcPr>
            <w:tcW w:w="6741" w:type="dxa"/>
            <w:shd w:val="clear" w:color="auto" w:fill="auto"/>
            <w:vAlign w:val="center"/>
          </w:tcPr>
          <w:p w14:paraId="7716AC23">
            <w:pPr>
              <w:spacing w:line="360" w:lineRule="auto"/>
              <w:jc w:val="left"/>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sz w:val="24"/>
                <w:highlight w:val="none"/>
              </w:rPr>
              <w:t>确保文明施工的技术组织措施科学可行合理有效的得 5 分；基本合理有效的得 3 分；部分合理的得 1分；没有描述的不得分。</w:t>
            </w:r>
          </w:p>
        </w:tc>
        <w:tc>
          <w:tcPr>
            <w:tcW w:w="875" w:type="dxa"/>
            <w:vAlign w:val="center"/>
          </w:tcPr>
          <w:p w14:paraId="3272849F">
            <w:pPr>
              <w:widowControl/>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sz w:val="24"/>
                <w:highlight w:val="none"/>
              </w:rPr>
              <w:t>(5分)</w:t>
            </w:r>
          </w:p>
        </w:tc>
      </w:tr>
      <w:tr w14:paraId="40E41A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22" w:hRule="atLeast"/>
          <w:jc w:val="center"/>
        </w:trPr>
        <w:tc>
          <w:tcPr>
            <w:tcW w:w="1122" w:type="dxa"/>
            <w:vMerge w:val="continue"/>
            <w:vAlign w:val="center"/>
          </w:tcPr>
          <w:p w14:paraId="68E0CCCE">
            <w:pPr>
              <w:widowControl/>
              <w:spacing w:line="360" w:lineRule="auto"/>
              <w:jc w:val="center"/>
              <w:textAlignment w:val="center"/>
              <w:rPr>
                <w:rFonts w:hint="eastAsia" w:ascii="宋体" w:hAnsi="宋体" w:eastAsia="宋体" w:cs="宋体"/>
                <w:b/>
                <w:color w:val="auto"/>
                <w:kern w:val="0"/>
                <w:sz w:val="24"/>
                <w:szCs w:val="22"/>
                <w:highlight w:val="none"/>
              </w:rPr>
            </w:pPr>
          </w:p>
        </w:tc>
        <w:tc>
          <w:tcPr>
            <w:tcW w:w="1225" w:type="dxa"/>
            <w:shd w:val="clear" w:color="auto" w:fill="auto"/>
            <w:vAlign w:val="center"/>
          </w:tcPr>
          <w:p w14:paraId="505B67A3">
            <w:pPr>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 xml:space="preserve">8施工总进度表或施工网络图 </w:t>
            </w:r>
          </w:p>
        </w:tc>
        <w:tc>
          <w:tcPr>
            <w:tcW w:w="6741" w:type="dxa"/>
            <w:shd w:val="clear" w:color="auto" w:fill="auto"/>
            <w:vAlign w:val="center"/>
          </w:tcPr>
          <w:p w14:paraId="5AF3869D">
            <w:pPr>
              <w:spacing w:line="360" w:lineRule="auto"/>
              <w:jc w:val="left"/>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sz w:val="24"/>
                <w:highlight w:val="none"/>
              </w:rPr>
              <w:t>施工总进度表或施工网络图科学可行,合理有效的得4分；基本合理有效的得 2分；部分合理的得 1分；没有描述的不得分。</w:t>
            </w:r>
          </w:p>
        </w:tc>
        <w:tc>
          <w:tcPr>
            <w:tcW w:w="875" w:type="dxa"/>
            <w:vAlign w:val="center"/>
          </w:tcPr>
          <w:p w14:paraId="1B640E49">
            <w:pPr>
              <w:widowControl/>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sz w:val="24"/>
                <w:highlight w:val="none"/>
              </w:rPr>
              <w:t>(4分)</w:t>
            </w:r>
          </w:p>
        </w:tc>
      </w:tr>
      <w:tr w14:paraId="5CC4D6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22" w:hRule="atLeast"/>
          <w:jc w:val="center"/>
        </w:trPr>
        <w:tc>
          <w:tcPr>
            <w:tcW w:w="1122" w:type="dxa"/>
            <w:vMerge w:val="continue"/>
            <w:vAlign w:val="center"/>
          </w:tcPr>
          <w:p w14:paraId="162DDD39">
            <w:pPr>
              <w:widowControl/>
              <w:spacing w:line="360" w:lineRule="auto"/>
              <w:jc w:val="center"/>
              <w:textAlignment w:val="center"/>
              <w:rPr>
                <w:rFonts w:hint="eastAsia" w:ascii="宋体" w:hAnsi="宋体" w:eastAsia="宋体" w:cs="宋体"/>
                <w:b/>
                <w:color w:val="auto"/>
                <w:kern w:val="0"/>
                <w:sz w:val="24"/>
                <w:szCs w:val="22"/>
                <w:highlight w:val="none"/>
              </w:rPr>
            </w:pPr>
          </w:p>
        </w:tc>
        <w:tc>
          <w:tcPr>
            <w:tcW w:w="1225" w:type="dxa"/>
            <w:shd w:val="clear" w:color="auto" w:fill="auto"/>
            <w:vAlign w:val="center"/>
          </w:tcPr>
          <w:p w14:paraId="700B6D7D">
            <w:pPr>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9</w:t>
            </w:r>
            <w:r>
              <w:rPr>
                <w:rFonts w:hint="eastAsia" w:ascii="宋体" w:hAnsi="宋体" w:eastAsia="宋体" w:cs="宋体"/>
                <w:color w:val="auto"/>
                <w:sz w:val="24"/>
                <w:szCs w:val="24"/>
                <w:highlight w:val="none"/>
              </w:rPr>
              <w:t>风险管理措施</w:t>
            </w:r>
          </w:p>
        </w:tc>
        <w:tc>
          <w:tcPr>
            <w:tcW w:w="6741" w:type="dxa"/>
            <w:shd w:val="clear" w:color="auto" w:fill="auto"/>
            <w:vAlign w:val="center"/>
          </w:tcPr>
          <w:p w14:paraId="693FA4A9">
            <w:pPr>
              <w:spacing w:line="360" w:lineRule="auto"/>
              <w:jc w:val="left"/>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sz w:val="24"/>
                <w:szCs w:val="24"/>
                <w:highlight w:val="none"/>
              </w:rPr>
              <w:t>风险防控管理措施齐全，风险预控符合规范要求，风险控制要点定位准确，各阶段风险控制及应急措施得力</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highlight w:val="none"/>
              </w:rPr>
              <w:t>合理有效的得</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rPr>
              <w:t>分；基本合理有效的得</w:t>
            </w: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rPr>
              <w:t>分；部分合理的得</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rPr>
              <w:t>分；没有描述的不得分。</w:t>
            </w:r>
          </w:p>
        </w:tc>
        <w:tc>
          <w:tcPr>
            <w:tcW w:w="875" w:type="dxa"/>
            <w:vAlign w:val="center"/>
          </w:tcPr>
          <w:p w14:paraId="49931F29">
            <w:pPr>
              <w:widowControl/>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rPr>
              <w:t>分)</w:t>
            </w:r>
          </w:p>
        </w:tc>
      </w:tr>
      <w:tr w14:paraId="73DAAA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22" w:hRule="atLeast"/>
          <w:jc w:val="center"/>
        </w:trPr>
        <w:tc>
          <w:tcPr>
            <w:tcW w:w="1122" w:type="dxa"/>
            <w:vMerge w:val="continue"/>
            <w:vAlign w:val="center"/>
          </w:tcPr>
          <w:p w14:paraId="4A9A2B43">
            <w:pPr>
              <w:widowControl/>
              <w:spacing w:line="360" w:lineRule="auto"/>
              <w:jc w:val="center"/>
              <w:textAlignment w:val="center"/>
              <w:rPr>
                <w:rFonts w:hint="eastAsia" w:ascii="宋体" w:hAnsi="宋体" w:eastAsia="宋体" w:cs="宋体"/>
                <w:b/>
                <w:color w:val="auto"/>
                <w:kern w:val="0"/>
                <w:sz w:val="24"/>
                <w:szCs w:val="22"/>
                <w:highlight w:val="none"/>
              </w:rPr>
            </w:pPr>
          </w:p>
        </w:tc>
        <w:tc>
          <w:tcPr>
            <w:tcW w:w="8841" w:type="dxa"/>
            <w:gridSpan w:val="3"/>
            <w:shd w:val="clear" w:color="auto" w:fill="auto"/>
            <w:vAlign w:val="center"/>
          </w:tcPr>
          <w:p w14:paraId="3CCB4E89">
            <w:pPr>
              <w:widowControl/>
              <w:tabs>
                <w:tab w:val="left" w:pos="3851"/>
              </w:tabs>
              <w:jc w:val="left"/>
              <w:textAlignment w:val="center"/>
              <w:rPr>
                <w:rFonts w:hint="eastAsia" w:ascii="宋体" w:hAnsi="宋体" w:eastAsia="宋体" w:cs="宋体"/>
                <w:color w:val="auto"/>
                <w:sz w:val="24"/>
                <w:szCs w:val="22"/>
                <w:highlight w:val="none"/>
                <w:lang w:eastAsia="zh-CN"/>
              </w:rPr>
            </w:pPr>
            <w:r>
              <w:rPr>
                <w:rFonts w:hint="eastAsia" w:ascii="宋体" w:hAnsi="宋体" w:eastAsia="宋体" w:cs="宋体"/>
                <w:snapToGrid w:val="0"/>
                <w:color w:val="auto"/>
                <w:kern w:val="0"/>
                <w:sz w:val="24"/>
                <w:highlight w:val="none"/>
              </w:rPr>
              <w:t>以上项目若有缺项的，该项为0分；不缺项的，不低于最低分</w:t>
            </w:r>
          </w:p>
        </w:tc>
      </w:tr>
      <w:tr w14:paraId="681903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393" w:hRule="atLeast"/>
          <w:jc w:val="center"/>
        </w:trPr>
        <w:tc>
          <w:tcPr>
            <w:tcW w:w="1122" w:type="dxa"/>
            <w:vMerge w:val="restart"/>
            <w:vAlign w:val="center"/>
          </w:tcPr>
          <w:p w14:paraId="107B90F5">
            <w:pPr>
              <w:widowControl/>
              <w:spacing w:line="360" w:lineRule="auto"/>
              <w:jc w:val="center"/>
              <w:textAlignment w:val="center"/>
              <w:rPr>
                <w:rFonts w:hint="eastAsia" w:ascii="宋体" w:hAnsi="宋体" w:eastAsia="宋体" w:cs="宋体"/>
                <w:b/>
                <w:color w:val="auto"/>
                <w:sz w:val="24"/>
                <w:szCs w:val="22"/>
                <w:highlight w:val="none"/>
              </w:rPr>
            </w:pPr>
            <w:r>
              <w:rPr>
                <w:rFonts w:hint="eastAsia" w:ascii="宋体" w:hAnsi="宋体" w:eastAsia="宋体" w:cs="宋体"/>
                <w:b/>
                <w:color w:val="auto"/>
                <w:sz w:val="24"/>
                <w:szCs w:val="22"/>
                <w:highlight w:val="none"/>
              </w:rPr>
              <w:t>综合部分</w:t>
            </w:r>
          </w:p>
          <w:p w14:paraId="5840EF17">
            <w:pPr>
              <w:widowControl/>
              <w:spacing w:line="360" w:lineRule="auto"/>
              <w:jc w:val="center"/>
              <w:textAlignment w:val="center"/>
              <w:rPr>
                <w:rFonts w:hint="eastAsia" w:ascii="宋体" w:hAnsi="宋体" w:eastAsia="宋体" w:cs="宋体"/>
                <w:b/>
                <w:color w:val="auto"/>
                <w:sz w:val="24"/>
                <w:szCs w:val="22"/>
                <w:highlight w:val="none"/>
              </w:rPr>
            </w:pPr>
            <w:r>
              <w:rPr>
                <w:rFonts w:hint="eastAsia" w:ascii="宋体" w:hAnsi="宋体" w:eastAsia="宋体" w:cs="宋体"/>
                <w:b/>
                <w:color w:val="auto"/>
                <w:sz w:val="24"/>
                <w:szCs w:val="22"/>
                <w:highlight w:val="none"/>
              </w:rPr>
              <w:t>（</w:t>
            </w:r>
            <w:r>
              <w:rPr>
                <w:rFonts w:hint="eastAsia" w:ascii="宋体" w:hAnsi="宋体" w:cs="宋体"/>
                <w:b/>
                <w:color w:val="auto"/>
                <w:sz w:val="24"/>
                <w:szCs w:val="22"/>
                <w:highlight w:val="none"/>
                <w:lang w:val="en-US" w:eastAsia="zh-CN"/>
              </w:rPr>
              <w:t>18</w:t>
            </w:r>
            <w:r>
              <w:rPr>
                <w:rFonts w:hint="eastAsia" w:ascii="宋体" w:hAnsi="宋体" w:eastAsia="宋体" w:cs="宋体"/>
                <w:b/>
                <w:color w:val="auto"/>
                <w:sz w:val="24"/>
                <w:szCs w:val="22"/>
                <w:highlight w:val="none"/>
              </w:rPr>
              <w:t>分）</w:t>
            </w:r>
          </w:p>
        </w:tc>
        <w:tc>
          <w:tcPr>
            <w:tcW w:w="1225" w:type="dxa"/>
            <w:tcBorders>
              <w:top w:val="single" w:color="auto" w:sz="4" w:space="0"/>
            </w:tcBorders>
            <w:vAlign w:val="center"/>
          </w:tcPr>
          <w:p w14:paraId="68D40B73">
            <w:pPr>
              <w:spacing w:line="360" w:lineRule="auto"/>
              <w:ind w:right="-97" w:rightChars="-46"/>
              <w:jc w:val="lef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企业业绩</w:t>
            </w:r>
          </w:p>
          <w:p w14:paraId="411A4D08">
            <w:pPr>
              <w:spacing w:line="360" w:lineRule="auto"/>
              <w:ind w:right="-97" w:rightChars="-46"/>
              <w:jc w:val="left"/>
              <w:rPr>
                <w:rFonts w:hint="eastAsia" w:ascii="宋体" w:hAnsi="宋体" w:eastAsia="宋体" w:cs="宋体"/>
                <w:color w:val="auto"/>
                <w:sz w:val="24"/>
                <w:szCs w:val="22"/>
                <w:highlight w:val="none"/>
              </w:rPr>
            </w:pPr>
          </w:p>
        </w:tc>
        <w:tc>
          <w:tcPr>
            <w:tcW w:w="6741" w:type="dxa"/>
            <w:vAlign w:val="center"/>
          </w:tcPr>
          <w:p w14:paraId="5F54A376">
            <w:pPr>
              <w:pStyle w:val="4"/>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供应商202</w:t>
            </w:r>
            <w:r>
              <w:rPr>
                <w:rFonts w:hint="eastAsia" w:ascii="宋体" w:hAnsi="宋体" w:cs="宋体"/>
                <w:bCs/>
                <w:color w:val="auto"/>
                <w:szCs w:val="21"/>
                <w:highlight w:val="none"/>
                <w:lang w:val="en-US" w:eastAsia="zh-CN"/>
              </w:rPr>
              <w:t>2</w:t>
            </w:r>
            <w:r>
              <w:rPr>
                <w:rFonts w:hint="eastAsia" w:ascii="宋体" w:hAnsi="宋体" w:eastAsia="宋体" w:cs="宋体"/>
                <w:bCs/>
                <w:color w:val="auto"/>
                <w:szCs w:val="21"/>
                <w:highlight w:val="none"/>
              </w:rPr>
              <w:t>年</w:t>
            </w:r>
            <w:r>
              <w:rPr>
                <w:rFonts w:hint="eastAsia" w:ascii="宋体" w:hAnsi="宋体" w:eastAsia="宋体" w:cs="宋体"/>
                <w:bCs/>
                <w:color w:val="auto"/>
                <w:szCs w:val="21"/>
                <w:highlight w:val="none"/>
                <w:lang w:val="en-US" w:eastAsia="zh-CN"/>
              </w:rPr>
              <w:t>1</w:t>
            </w:r>
            <w:r>
              <w:rPr>
                <w:rFonts w:hint="eastAsia" w:ascii="宋体" w:hAnsi="宋体" w:eastAsia="宋体" w:cs="宋体"/>
                <w:bCs/>
                <w:color w:val="auto"/>
                <w:szCs w:val="21"/>
                <w:highlight w:val="none"/>
              </w:rPr>
              <w:t>月以来，企业有类似业绩的每个得</w:t>
            </w:r>
            <w:r>
              <w:rPr>
                <w:rFonts w:hint="eastAsia" w:ascii="宋体" w:hAnsi="宋体" w:cs="宋体"/>
                <w:bCs/>
                <w:color w:val="auto"/>
                <w:szCs w:val="21"/>
                <w:highlight w:val="none"/>
                <w:lang w:val="en-US" w:eastAsia="zh-CN"/>
              </w:rPr>
              <w:t>2</w:t>
            </w:r>
            <w:r>
              <w:rPr>
                <w:rFonts w:hint="eastAsia" w:ascii="宋体" w:hAnsi="宋体" w:eastAsia="宋体" w:cs="宋体"/>
                <w:bCs/>
                <w:color w:val="auto"/>
                <w:szCs w:val="21"/>
                <w:highlight w:val="none"/>
              </w:rPr>
              <w:t>分，最多得</w:t>
            </w:r>
            <w:r>
              <w:rPr>
                <w:rFonts w:hint="eastAsia" w:ascii="宋体" w:hAnsi="宋体" w:cs="宋体"/>
                <w:bCs/>
                <w:color w:val="auto"/>
                <w:szCs w:val="21"/>
                <w:highlight w:val="none"/>
                <w:lang w:val="en-US" w:eastAsia="zh-CN"/>
              </w:rPr>
              <w:t>4</w:t>
            </w:r>
            <w:r>
              <w:rPr>
                <w:rFonts w:hint="eastAsia" w:ascii="宋体" w:hAnsi="宋体" w:eastAsia="宋体" w:cs="宋体"/>
                <w:bCs/>
                <w:color w:val="auto"/>
                <w:szCs w:val="21"/>
                <w:highlight w:val="none"/>
              </w:rPr>
              <w:t>分。</w:t>
            </w:r>
          </w:p>
          <w:p w14:paraId="0379BE01">
            <w:pPr>
              <w:pStyle w:val="4"/>
              <w:spacing w:line="360" w:lineRule="auto"/>
              <w:jc w:val="left"/>
              <w:rPr>
                <w:rFonts w:hint="eastAsia" w:ascii="宋体" w:hAnsi="宋体" w:eastAsia="宋体" w:cs="宋体"/>
                <w:color w:val="auto"/>
                <w:sz w:val="24"/>
                <w:szCs w:val="22"/>
                <w:highlight w:val="none"/>
              </w:rPr>
            </w:pP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val="en-US" w:eastAsia="zh-CN"/>
              </w:rPr>
              <w:t>以</w:t>
            </w:r>
            <w:r>
              <w:rPr>
                <w:rFonts w:hint="eastAsia" w:ascii="宋体" w:hAnsi="宋体" w:eastAsia="宋体" w:cs="宋体"/>
                <w:bCs/>
                <w:color w:val="auto"/>
                <w:szCs w:val="21"/>
                <w:highlight w:val="none"/>
              </w:rPr>
              <w:t>供应商提供</w:t>
            </w:r>
            <w:r>
              <w:rPr>
                <w:rFonts w:hint="eastAsia" w:ascii="宋体" w:hAnsi="宋体" w:eastAsia="宋体" w:cs="宋体"/>
                <w:bCs/>
                <w:color w:val="auto"/>
                <w:szCs w:val="21"/>
                <w:highlight w:val="none"/>
                <w:lang w:val="en-US" w:eastAsia="zh-CN"/>
              </w:rPr>
              <w:t>中标通知书和</w:t>
            </w:r>
            <w:r>
              <w:rPr>
                <w:rFonts w:hint="eastAsia" w:ascii="宋体" w:hAnsi="宋体" w:eastAsia="宋体" w:cs="宋体"/>
                <w:bCs/>
                <w:color w:val="auto"/>
                <w:szCs w:val="21"/>
                <w:highlight w:val="none"/>
              </w:rPr>
              <w:t>合同协议书为准,内容不完整则不得分）</w:t>
            </w:r>
          </w:p>
        </w:tc>
        <w:tc>
          <w:tcPr>
            <w:tcW w:w="875" w:type="dxa"/>
            <w:vAlign w:val="center"/>
          </w:tcPr>
          <w:p w14:paraId="3790F3CA">
            <w:pPr>
              <w:widowControl/>
              <w:tabs>
                <w:tab w:val="left" w:pos="523"/>
              </w:tabs>
              <w:jc w:val="center"/>
              <w:textAlignment w:val="center"/>
              <w:rPr>
                <w:rFonts w:hint="eastAsia" w:ascii="宋体" w:hAnsi="宋体" w:eastAsia="宋体" w:cs="宋体"/>
                <w:color w:val="auto"/>
                <w:kern w:val="0"/>
                <w:szCs w:val="22"/>
                <w:highlight w:val="none"/>
                <w:lang w:eastAsia="zh-CN"/>
              </w:rPr>
            </w:pPr>
            <w:r>
              <w:rPr>
                <w:rFonts w:hint="eastAsia" w:ascii="宋体" w:hAnsi="宋体" w:cs="宋体"/>
                <w:color w:val="auto"/>
                <w:kern w:val="0"/>
                <w:sz w:val="24"/>
                <w:szCs w:val="28"/>
                <w:highlight w:val="none"/>
                <w:lang w:val="en-US" w:eastAsia="zh-CN"/>
              </w:rPr>
              <w:t>4</w:t>
            </w:r>
            <w:r>
              <w:rPr>
                <w:rFonts w:hint="eastAsia" w:ascii="宋体" w:hAnsi="宋体" w:eastAsia="宋体" w:cs="宋体"/>
                <w:color w:val="auto"/>
                <w:kern w:val="0"/>
                <w:sz w:val="24"/>
                <w:szCs w:val="28"/>
                <w:highlight w:val="none"/>
                <w:lang w:val="en-US" w:eastAsia="zh-CN"/>
              </w:rPr>
              <w:t>分</w:t>
            </w:r>
          </w:p>
        </w:tc>
      </w:tr>
      <w:tr w14:paraId="588AE1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70" w:hRule="atLeast"/>
          <w:jc w:val="center"/>
        </w:trPr>
        <w:tc>
          <w:tcPr>
            <w:tcW w:w="1122" w:type="dxa"/>
            <w:vMerge w:val="continue"/>
            <w:vAlign w:val="center"/>
          </w:tcPr>
          <w:p w14:paraId="132A02AA">
            <w:pPr>
              <w:widowControl/>
              <w:spacing w:line="360" w:lineRule="auto"/>
              <w:jc w:val="center"/>
              <w:textAlignment w:val="center"/>
              <w:rPr>
                <w:rFonts w:hint="eastAsia" w:ascii="宋体" w:hAnsi="宋体" w:eastAsia="宋体" w:cs="宋体"/>
                <w:b/>
                <w:color w:val="auto"/>
                <w:kern w:val="0"/>
                <w:sz w:val="24"/>
                <w:szCs w:val="22"/>
                <w:highlight w:val="none"/>
              </w:rPr>
            </w:pPr>
          </w:p>
        </w:tc>
        <w:tc>
          <w:tcPr>
            <w:tcW w:w="1225" w:type="dxa"/>
            <w:vAlign w:val="center"/>
          </w:tcPr>
          <w:p w14:paraId="763663EA">
            <w:pPr>
              <w:spacing w:line="360" w:lineRule="auto"/>
              <w:ind w:right="-97" w:rightChars="-46"/>
              <w:jc w:val="left"/>
              <w:rPr>
                <w:rFonts w:hint="eastAsia" w:ascii="宋体" w:hAnsi="宋体" w:eastAsia="宋体" w:cs="宋体"/>
                <w:color w:val="auto"/>
                <w:sz w:val="24"/>
                <w:szCs w:val="22"/>
                <w:highlight w:val="none"/>
              </w:rPr>
            </w:pPr>
            <w:r>
              <w:rPr>
                <w:rFonts w:hint="eastAsia" w:ascii="宋体" w:hAnsi="宋体" w:eastAsia="宋体" w:cs="宋体"/>
                <w:color w:val="auto"/>
                <w:kern w:val="0"/>
                <w:sz w:val="24"/>
                <w:highlight w:val="none"/>
              </w:rPr>
              <w:t>履职尽责承诺</w:t>
            </w:r>
          </w:p>
        </w:tc>
        <w:tc>
          <w:tcPr>
            <w:tcW w:w="6741" w:type="dxa"/>
            <w:vAlign w:val="center"/>
          </w:tcPr>
          <w:p w14:paraId="4FC1F45C">
            <w:pPr>
              <w:spacing w:line="360" w:lineRule="auto"/>
              <w:ind w:right="-92" w:rightChars="-44"/>
              <w:jc w:val="both"/>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具有全面、详实、可行、合法有效的保证技术措施落实到位的承</w:t>
            </w:r>
          </w:p>
          <w:p w14:paraId="2F71D396">
            <w:pPr>
              <w:spacing w:line="360" w:lineRule="auto"/>
              <w:ind w:right="-92" w:rightChars="-44"/>
              <w:jc w:val="both"/>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诺和落实不到位的处理承诺，其中包括各关键岗位人员（项目经</w:t>
            </w:r>
          </w:p>
          <w:p w14:paraId="0A5F02BE">
            <w:pPr>
              <w:spacing w:line="360" w:lineRule="auto"/>
              <w:ind w:right="-92" w:rightChars="-44"/>
              <w:jc w:val="both"/>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理/技术负责人及相关岗位人员等）的在岗、更换等履职尽责承</w:t>
            </w:r>
          </w:p>
          <w:p w14:paraId="6B216014">
            <w:pPr>
              <w:spacing w:line="360" w:lineRule="auto"/>
              <w:ind w:right="-92" w:rightChars="-44"/>
              <w:jc w:val="both"/>
              <w:rPr>
                <w:rFonts w:hint="default" w:ascii="宋体" w:hAnsi="宋体" w:eastAsia="宋体" w:cs="宋体"/>
                <w:color w:val="auto"/>
                <w:kern w:val="0"/>
                <w:sz w:val="24"/>
                <w:szCs w:val="24"/>
                <w:highlight w:val="none"/>
                <w:lang w:val="en-US"/>
              </w:rPr>
            </w:pPr>
            <w:r>
              <w:rPr>
                <w:rFonts w:hint="eastAsia" w:ascii="宋体" w:hAnsi="宋体" w:eastAsia="宋体" w:cs="宋体"/>
                <w:color w:val="auto"/>
                <w:kern w:val="0"/>
                <w:sz w:val="24"/>
                <w:highlight w:val="none"/>
              </w:rPr>
              <w:t>诺，提供承包商履约保证：合理详细的得6分，较为合理的得4分，差的得2分，没有不得分。</w:t>
            </w:r>
          </w:p>
        </w:tc>
        <w:tc>
          <w:tcPr>
            <w:tcW w:w="875" w:type="dxa"/>
            <w:vAlign w:val="center"/>
          </w:tcPr>
          <w:p w14:paraId="272262C0">
            <w:pPr>
              <w:spacing w:line="480" w:lineRule="exact"/>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6分</w:t>
            </w:r>
          </w:p>
        </w:tc>
      </w:tr>
      <w:tr w14:paraId="4FFFFA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70" w:hRule="atLeast"/>
          <w:jc w:val="center"/>
        </w:trPr>
        <w:tc>
          <w:tcPr>
            <w:tcW w:w="1122" w:type="dxa"/>
            <w:vMerge w:val="continue"/>
            <w:vAlign w:val="center"/>
          </w:tcPr>
          <w:p w14:paraId="7B1FDE28">
            <w:pPr>
              <w:widowControl/>
              <w:spacing w:line="360" w:lineRule="auto"/>
              <w:jc w:val="center"/>
              <w:textAlignment w:val="center"/>
              <w:rPr>
                <w:rFonts w:hint="eastAsia" w:ascii="宋体" w:hAnsi="宋体" w:eastAsia="宋体" w:cs="宋体"/>
                <w:b/>
                <w:color w:val="auto"/>
                <w:sz w:val="24"/>
                <w:szCs w:val="22"/>
                <w:highlight w:val="none"/>
              </w:rPr>
            </w:pPr>
          </w:p>
        </w:tc>
        <w:tc>
          <w:tcPr>
            <w:tcW w:w="1225" w:type="dxa"/>
            <w:vAlign w:val="center"/>
          </w:tcPr>
          <w:p w14:paraId="1E337148">
            <w:pPr>
              <w:spacing w:line="360" w:lineRule="auto"/>
              <w:ind w:right="-97" w:rightChars="-46"/>
              <w:jc w:val="lef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服务承诺</w:t>
            </w:r>
          </w:p>
          <w:p w14:paraId="7ECE04B4">
            <w:pPr>
              <w:spacing w:line="360" w:lineRule="auto"/>
              <w:ind w:right="-97" w:rightChars="-46"/>
              <w:jc w:val="left"/>
              <w:rPr>
                <w:rFonts w:hint="eastAsia" w:ascii="宋体" w:hAnsi="宋体" w:eastAsia="宋体" w:cs="宋体"/>
                <w:color w:val="auto"/>
                <w:sz w:val="24"/>
                <w:szCs w:val="24"/>
                <w:highlight w:val="none"/>
              </w:rPr>
            </w:pPr>
          </w:p>
        </w:tc>
        <w:tc>
          <w:tcPr>
            <w:tcW w:w="6741" w:type="dxa"/>
            <w:vAlign w:val="center"/>
          </w:tcPr>
          <w:p w14:paraId="6F7A0F64">
            <w:pPr>
              <w:numPr>
                <w:ilvl w:val="0"/>
                <w:numId w:val="3"/>
              </w:numPr>
              <w:spacing w:line="360" w:lineRule="auto"/>
              <w:ind w:right="-92" w:rightChars="-44"/>
              <w:jc w:val="lef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对工程质量和工期做出完整承诺且具有具体措施的，根据措施的完整性、合理性等方面打分：</w:t>
            </w:r>
            <w:r>
              <w:rPr>
                <w:rFonts w:hint="eastAsia" w:ascii="宋体" w:hAnsi="宋体" w:eastAsia="宋体" w:cs="宋体"/>
                <w:color w:val="auto"/>
                <w:sz w:val="24"/>
                <w:highlight w:val="none"/>
              </w:rPr>
              <w:t>合理有效的得2分；基本合理有效的得1分；其他不得分；</w:t>
            </w:r>
          </w:p>
          <w:p w14:paraId="00BDD864">
            <w:pPr>
              <w:spacing w:line="360" w:lineRule="auto"/>
              <w:ind w:right="-92" w:rightChars="-44"/>
              <w:jc w:val="lef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2、施工期间，加强安全防护措施，保证安全文明施工，保护环境，不发生各种安全事故，且保证措施合理可行：</w:t>
            </w:r>
            <w:r>
              <w:rPr>
                <w:rFonts w:hint="eastAsia" w:ascii="宋体" w:hAnsi="宋体" w:eastAsia="宋体" w:cs="宋体"/>
                <w:color w:val="auto"/>
                <w:sz w:val="24"/>
                <w:highlight w:val="none"/>
              </w:rPr>
              <w:t>合理有效的得2分；基本合理有效的得1分；其他不得分；</w:t>
            </w:r>
            <w:r>
              <w:rPr>
                <w:rFonts w:hint="eastAsia" w:ascii="宋体" w:hAnsi="宋体" w:eastAsia="宋体" w:cs="宋体"/>
                <w:snapToGrid w:val="0"/>
                <w:color w:val="auto"/>
                <w:kern w:val="0"/>
                <w:sz w:val="24"/>
                <w:highlight w:val="none"/>
              </w:rPr>
              <w:t>；</w:t>
            </w:r>
          </w:p>
          <w:p w14:paraId="7E9F6038">
            <w:pPr>
              <w:spacing w:line="360" w:lineRule="auto"/>
              <w:ind w:right="-92" w:rightChars="-44"/>
              <w:jc w:val="lef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3、保证不拖欠农民工工资的承诺：承诺</w:t>
            </w:r>
            <w:r>
              <w:rPr>
                <w:rFonts w:hint="eastAsia" w:ascii="宋体" w:hAnsi="宋体" w:eastAsia="宋体" w:cs="宋体"/>
                <w:color w:val="auto"/>
                <w:sz w:val="24"/>
                <w:highlight w:val="none"/>
              </w:rPr>
              <w:t>合理有效的得2分；基本合理有效的得1分；其他不得分</w:t>
            </w:r>
            <w:r>
              <w:rPr>
                <w:rFonts w:hint="eastAsia" w:ascii="宋体" w:hAnsi="宋体" w:eastAsia="宋体" w:cs="宋体"/>
                <w:snapToGrid w:val="0"/>
                <w:color w:val="auto"/>
                <w:kern w:val="0"/>
                <w:sz w:val="24"/>
                <w:highlight w:val="none"/>
              </w:rPr>
              <w:t>；</w:t>
            </w:r>
          </w:p>
          <w:p w14:paraId="4FF57E1C">
            <w:pPr>
              <w:numPr>
                <w:ilvl w:val="0"/>
                <w:numId w:val="0"/>
              </w:numPr>
              <w:spacing w:line="360" w:lineRule="auto"/>
              <w:ind w:right="-92" w:rightChars="-44"/>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2"/>
                <w:sz w:val="24"/>
                <w:szCs w:val="24"/>
                <w:highlight w:val="none"/>
                <w:lang w:val="en-US" w:eastAsia="zh-CN" w:bidi="ar-SA"/>
              </w:rPr>
              <w:t>4、</w:t>
            </w:r>
            <w:r>
              <w:rPr>
                <w:rFonts w:hint="eastAsia" w:ascii="宋体" w:hAnsi="宋体" w:eastAsia="宋体" w:cs="宋体"/>
                <w:snapToGrid w:val="0"/>
                <w:color w:val="auto"/>
                <w:kern w:val="0"/>
                <w:sz w:val="24"/>
                <w:highlight w:val="none"/>
              </w:rPr>
              <w:t>响应人的其他实质性的服务承诺：</w:t>
            </w:r>
            <w:r>
              <w:rPr>
                <w:rFonts w:hint="eastAsia" w:ascii="宋体" w:hAnsi="宋体" w:eastAsia="宋体" w:cs="宋体"/>
                <w:color w:val="auto"/>
                <w:sz w:val="24"/>
                <w:highlight w:val="none"/>
              </w:rPr>
              <w:t>合理有效的得2分；基本合理有效的得1分；其他不得分</w:t>
            </w:r>
            <w:r>
              <w:rPr>
                <w:rFonts w:hint="eastAsia" w:ascii="宋体" w:hAnsi="宋体" w:eastAsia="宋体" w:cs="宋体"/>
                <w:snapToGrid w:val="0"/>
                <w:color w:val="auto"/>
                <w:kern w:val="0"/>
                <w:sz w:val="24"/>
                <w:highlight w:val="none"/>
              </w:rPr>
              <w:t>。</w:t>
            </w:r>
          </w:p>
        </w:tc>
        <w:tc>
          <w:tcPr>
            <w:tcW w:w="875" w:type="dxa"/>
            <w:vAlign w:val="center"/>
          </w:tcPr>
          <w:p w14:paraId="765736D4">
            <w:pPr>
              <w:jc w:val="center"/>
              <w:rPr>
                <w:rFonts w:hint="eastAsia" w:ascii="宋体" w:hAnsi="宋体" w:eastAsia="宋体" w:cs="宋体"/>
                <w:color w:val="auto"/>
                <w:kern w:val="0"/>
                <w:sz w:val="24"/>
                <w:highlight w:val="none"/>
              </w:rPr>
            </w:pPr>
            <w:r>
              <w:rPr>
                <w:rFonts w:hint="eastAsia" w:ascii="宋体" w:hAnsi="宋体" w:eastAsia="宋体" w:cs="宋体"/>
                <w:snapToGrid w:val="0"/>
                <w:color w:val="auto"/>
                <w:kern w:val="0"/>
                <w:sz w:val="24"/>
                <w:highlight w:val="none"/>
              </w:rPr>
              <w:t>8分</w:t>
            </w:r>
          </w:p>
        </w:tc>
      </w:tr>
      <w:tr w14:paraId="6E5885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77" w:hRule="atLeast"/>
          <w:jc w:val="center"/>
        </w:trPr>
        <w:tc>
          <w:tcPr>
            <w:tcW w:w="9963" w:type="dxa"/>
            <w:gridSpan w:val="4"/>
            <w:vAlign w:val="center"/>
          </w:tcPr>
          <w:p w14:paraId="75ECA2FA">
            <w:pPr>
              <w:ind w:right="-92" w:rightChars="-44" w:firstLine="240" w:firstLineChars="100"/>
              <w:jc w:val="lef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供应商综合得分按下列公式计算（计算分值均保留两位小数）；</w:t>
            </w:r>
          </w:p>
          <w:p w14:paraId="4C9242F5">
            <w:pPr>
              <w:ind w:firstLine="240" w:firstLineChars="100"/>
              <w:rPr>
                <w:rFonts w:hint="eastAsia" w:ascii="宋体" w:hAnsi="宋体" w:eastAsia="宋体" w:cs="宋体"/>
                <w:color w:val="auto"/>
                <w:kern w:val="0"/>
                <w:sz w:val="24"/>
                <w:highlight w:val="none"/>
              </w:rPr>
            </w:pPr>
            <w:r>
              <w:rPr>
                <w:rFonts w:hint="eastAsia" w:ascii="宋体" w:hAnsi="宋体" w:eastAsia="宋体" w:cs="宋体"/>
                <w:snapToGrid w:val="0"/>
                <w:color w:val="auto"/>
                <w:kern w:val="0"/>
                <w:sz w:val="24"/>
                <w:highlight w:val="none"/>
              </w:rPr>
              <w:t>供应商最终得分=报价得分+商务部分得分+技术部分得分；</w:t>
            </w:r>
          </w:p>
        </w:tc>
      </w:tr>
    </w:tbl>
    <w:p w14:paraId="082FDE6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注：评分办法中要求材料均以原件扫描件为准，保证清晰可见。</w:t>
      </w:r>
    </w:p>
    <w:p w14:paraId="2015FF8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（1）本次评标采用综合评分法。</w:t>
      </w:r>
    </w:p>
    <w:p w14:paraId="6060349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对满足竞争性磋商文件实质性要求的响应文件，按照本章规定的评分标准进行打分并按得分由高到低顺序推荐中标候选人，但投标报价低于其成本的除外。评标结果按评审后得分由高到低顺序排列。得分相同的，按投标报价由低到高顺序排列；得分且响应报价相同的，按技术指标优劣顺序排列。</w:t>
      </w:r>
    </w:p>
    <w:p w14:paraId="45BDA03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响应文件满足竞争性磋商文件全部实质性要求，且按照评审因素的量化指标评审得分最高的供应商为排名第一的成交候选人。</w:t>
      </w:r>
    </w:p>
    <w:p w14:paraId="532858C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评标程序</w:t>
      </w:r>
    </w:p>
    <w:p w14:paraId="0D85E57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 初步评审</w:t>
      </w:r>
    </w:p>
    <w:p w14:paraId="22673D3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2.1.1采购人根据本章规定得资格评审办法对供应商进行资格审查，通过资格审查得供应商由</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依据本章规定的评审标准对响应文件进行符合性评审、响应性评审。有一项不符合评审标准的，将被否决投标。</w:t>
      </w:r>
    </w:p>
    <w:p w14:paraId="67E2074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2.1.2 </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有以下情形之一的，其投标将予以否决投标：</w:t>
      </w:r>
    </w:p>
    <w:p w14:paraId="49C9590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（1）串通投标或弄虚作假或有其他违法行为的；</w:t>
      </w:r>
    </w:p>
    <w:p w14:paraId="23088FC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（2）不按</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要求澄清、说明或补正的。</w:t>
      </w:r>
    </w:p>
    <w:p w14:paraId="62444DF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2.1.3投标报价有算术错误的，</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按以下原则对投标报价进行修正，修正的价格经</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书面确认后具有约束力。</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不接受修正价格的，其投标不予评审。</w:t>
      </w:r>
    </w:p>
    <w:p w14:paraId="0B2B4D3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响应文件中的大写金额与小写金额不一致的，以大写金额为准；</w:t>
      </w:r>
    </w:p>
    <w:p w14:paraId="2CC9720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总价金额与依据单价计算出的结果不一致的，以单价金额为准修正总价，但单价金额小数点有明显错误的除外。</w:t>
      </w:r>
    </w:p>
    <w:p w14:paraId="1B3D6D0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 详细评审</w:t>
      </w:r>
    </w:p>
    <w:p w14:paraId="1CAA408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2.2.1 </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按本章第2.2款规定的量化因素和分值进行打分，并计算出综合评分。</w:t>
      </w:r>
    </w:p>
    <w:p w14:paraId="495D198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 评分分值计算保留小数点后两位，小数点后第三位“四舍五入”。</w:t>
      </w:r>
    </w:p>
    <w:p w14:paraId="45A176B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2.2.3</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的报价明显低于其他投标报价，或者在设有最高限价时明显低于最高限价，使得其投标报价可能低于其个别成本的，应当要求该</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作出书面说明并提供相应的证明材料。</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不能合理说明或者不能提供相应证明材料的，由</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认定该</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以低于成本报价竞标，其投标将予以否决处理。</w:t>
      </w:r>
    </w:p>
    <w:p w14:paraId="2714272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 响应文件的澄清和补正</w:t>
      </w:r>
    </w:p>
    <w:p w14:paraId="7069294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2.3.1在评标过程中，</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可以书面形式要求</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对所提交响应文件中不明确的内容进行书面澄清或说明，或者对细微偏差进行补正。</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不接受</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主动提出的澄清、说明或补正。</w:t>
      </w:r>
    </w:p>
    <w:p w14:paraId="17ED47C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2.3.2 澄清、说明和补正不得改变响应文件的实质性内容（算术性错误修正的除外）。</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的书面澄清、说明和补正属于响应文件的组成部分。</w:t>
      </w:r>
    </w:p>
    <w:p w14:paraId="6772AB0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2.3.3 </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对</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提交的澄清、说明或补正有疑问的，可以要求</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进一步澄清、说明或补正，直至满足</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的要求。</w:t>
      </w:r>
    </w:p>
    <w:p w14:paraId="7EDE65C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2.4评标结果</w:t>
      </w:r>
    </w:p>
    <w:p w14:paraId="474A9A8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2.4.1 除第二章“供应商须知”前附表授权直接确定</w:t>
      </w:r>
      <w:r>
        <w:rPr>
          <w:rFonts w:hint="eastAsia" w:ascii="宋体" w:hAnsi="宋体" w:cs="宋体"/>
          <w:color w:val="auto"/>
          <w:sz w:val="24"/>
          <w:szCs w:val="24"/>
          <w:highlight w:val="none"/>
          <w:lang w:eastAsia="zh-CN"/>
        </w:rPr>
        <w:t>成交人</w:t>
      </w:r>
      <w:r>
        <w:rPr>
          <w:rFonts w:hint="eastAsia" w:ascii="宋体" w:hAnsi="宋体" w:eastAsia="宋体" w:cs="宋体"/>
          <w:color w:val="auto"/>
          <w:sz w:val="24"/>
          <w:szCs w:val="24"/>
          <w:highlight w:val="none"/>
        </w:rPr>
        <w:t>外，</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按照得分由高到低的顺序推荐中标候选人。</w:t>
      </w:r>
    </w:p>
    <w:p w14:paraId="18889A1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3.4.2 采购代理机构应当在评标结束后2个工作日内将评标报告送采购人；</w:t>
      </w:r>
    </w:p>
    <w:p w14:paraId="41C08D4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3.4.3 采购人应当自收到评标报告之日起5个工作日内，在评标报告确定的中标候选人名单中按顺序确定</w:t>
      </w:r>
      <w:r>
        <w:rPr>
          <w:rFonts w:hint="eastAsia" w:ascii="宋体" w:hAnsi="宋体" w:cs="宋体"/>
          <w:color w:val="auto"/>
          <w:sz w:val="24"/>
          <w:szCs w:val="24"/>
          <w:highlight w:val="none"/>
          <w:lang w:eastAsia="zh-CN"/>
        </w:rPr>
        <w:t>成交人</w:t>
      </w:r>
      <w:r>
        <w:rPr>
          <w:rFonts w:hint="eastAsia" w:ascii="宋体" w:hAnsi="宋体" w:eastAsia="宋体" w:cs="宋体"/>
          <w:color w:val="auto"/>
          <w:sz w:val="24"/>
          <w:szCs w:val="24"/>
          <w:highlight w:val="none"/>
        </w:rPr>
        <w:t>。中标候选人并列的，由采购人或者采购人委托</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按照竞争性磋商文件规定的方式确定</w:t>
      </w:r>
      <w:r>
        <w:rPr>
          <w:rFonts w:hint="eastAsia" w:ascii="宋体" w:hAnsi="宋体" w:cs="宋体"/>
          <w:color w:val="auto"/>
          <w:sz w:val="24"/>
          <w:szCs w:val="24"/>
          <w:highlight w:val="none"/>
          <w:lang w:eastAsia="zh-CN"/>
        </w:rPr>
        <w:t>成交人</w:t>
      </w:r>
      <w:r>
        <w:rPr>
          <w:rFonts w:hint="eastAsia" w:ascii="宋体" w:hAnsi="宋体" w:eastAsia="宋体" w:cs="宋体"/>
          <w:color w:val="auto"/>
          <w:sz w:val="24"/>
          <w:szCs w:val="24"/>
          <w:highlight w:val="none"/>
        </w:rPr>
        <w:t>；竞争性磋商文件未规定的，采取随机抽取的方式确定。</w:t>
      </w:r>
    </w:p>
    <w:p w14:paraId="2A3CEE7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2.4.4 采购人在收到评标报告5个工作日内未按评标报告推荐的中标候选人顺序确定</w:t>
      </w:r>
      <w:r>
        <w:rPr>
          <w:rFonts w:hint="eastAsia" w:ascii="宋体" w:hAnsi="宋体" w:cs="宋体"/>
          <w:color w:val="auto"/>
          <w:sz w:val="24"/>
          <w:szCs w:val="24"/>
          <w:highlight w:val="none"/>
          <w:lang w:eastAsia="zh-CN"/>
        </w:rPr>
        <w:t>成交人</w:t>
      </w:r>
      <w:r>
        <w:rPr>
          <w:rFonts w:hint="eastAsia" w:ascii="宋体" w:hAnsi="宋体" w:eastAsia="宋体" w:cs="宋体"/>
          <w:color w:val="auto"/>
          <w:sz w:val="24"/>
          <w:szCs w:val="24"/>
          <w:highlight w:val="none"/>
        </w:rPr>
        <w:t>，又不能说明合法理由的，视同按评标报告推荐的顺序确定排名第一的中标候选人为</w:t>
      </w:r>
      <w:r>
        <w:rPr>
          <w:rFonts w:hint="eastAsia" w:ascii="宋体" w:hAnsi="宋体" w:cs="宋体"/>
          <w:color w:val="auto"/>
          <w:sz w:val="24"/>
          <w:szCs w:val="24"/>
          <w:highlight w:val="none"/>
          <w:lang w:eastAsia="zh-CN"/>
        </w:rPr>
        <w:t>成交人</w:t>
      </w:r>
      <w:r>
        <w:rPr>
          <w:rFonts w:hint="eastAsia" w:ascii="宋体" w:hAnsi="宋体" w:eastAsia="宋体" w:cs="宋体"/>
          <w:color w:val="auto"/>
          <w:sz w:val="24"/>
          <w:szCs w:val="24"/>
          <w:highlight w:val="none"/>
        </w:rPr>
        <w:t>。</w:t>
      </w:r>
    </w:p>
    <w:p w14:paraId="5AA53765">
      <w:pPr>
        <w:numPr>
          <w:ilvl w:val="0"/>
          <w:numId w:val="4"/>
        </w:numPr>
        <w:tabs>
          <w:tab w:val="left" w:pos="1283"/>
        </w:tabs>
        <w:spacing w:before="55"/>
        <w:ind w:left="0" w:right="22" w:firstLine="0"/>
        <w:jc w:val="center"/>
        <w:outlineLvl w:val="0"/>
        <w:rPr>
          <w:rFonts w:hint="eastAsia"/>
          <w:b/>
          <w:color w:val="auto"/>
          <w:sz w:val="32"/>
          <w:highlight w:val="none"/>
        </w:rPr>
      </w:pPr>
      <w:r>
        <w:rPr>
          <w:rFonts w:hint="eastAsia"/>
          <w:b/>
          <w:color w:val="auto"/>
          <w:sz w:val="32"/>
          <w:highlight w:val="none"/>
        </w:rPr>
        <w:br w:type="page"/>
      </w:r>
      <w:bookmarkStart w:id="12" w:name="_Toc14709"/>
      <w:r>
        <w:rPr>
          <w:rFonts w:hint="eastAsia"/>
          <w:b/>
          <w:color w:val="auto"/>
          <w:sz w:val="32"/>
          <w:highlight w:val="none"/>
        </w:rPr>
        <w:t>合同主要条款及格式</w:t>
      </w:r>
      <w:bookmarkEnd w:id="12"/>
    </w:p>
    <w:p w14:paraId="6CBA79CD">
      <w:pPr>
        <w:rPr>
          <w:rFonts w:hint="eastAsia" w:ascii="宋体" w:hAnsi="宋体" w:eastAsia="宋体" w:cs="宋体"/>
          <w:b/>
          <w:color w:val="auto"/>
          <w:sz w:val="32"/>
          <w:szCs w:val="32"/>
          <w:highlight w:val="none"/>
        </w:rPr>
      </w:pPr>
    </w:p>
    <w:p w14:paraId="202A6038">
      <w:pPr>
        <w:jc w:val="center"/>
        <w:rPr>
          <w:rFonts w:hint="eastAsia" w:ascii="Calibri" w:hAnsi="Calibri" w:eastAsia="宋体" w:cs="Times New Roman"/>
          <w:b/>
          <w:color w:val="auto"/>
          <w:kern w:val="2"/>
          <w:sz w:val="32"/>
          <w:szCs w:val="24"/>
          <w:highlight w:val="none"/>
          <w:lang w:val="en-US" w:eastAsia="zh-CN" w:bidi="ar-SA"/>
        </w:rPr>
      </w:pPr>
      <w:r>
        <w:rPr>
          <w:rFonts w:hint="eastAsia" w:ascii="宋体" w:hAnsi="宋体" w:cs="宋体"/>
          <w:b/>
          <w:color w:val="auto"/>
          <w:sz w:val="32"/>
          <w:szCs w:val="32"/>
          <w:highlight w:val="none"/>
          <w:lang w:eastAsia="zh-CN"/>
        </w:rPr>
        <w:t>格式自拟</w:t>
      </w:r>
    </w:p>
    <w:p w14:paraId="7311A2DF">
      <w:pPr>
        <w:rPr>
          <w:rFonts w:hint="eastAsia" w:ascii="宋体" w:hAnsi="宋体" w:cs="宋体"/>
          <w:color w:val="auto"/>
          <w:kern w:val="0"/>
          <w:sz w:val="24"/>
          <w:szCs w:val="24"/>
          <w:highlight w:val="none"/>
          <w:lang w:eastAsia="zh-CN"/>
        </w:rPr>
      </w:pPr>
      <w:r>
        <w:rPr>
          <w:rFonts w:hint="eastAsia" w:ascii="宋体" w:hAnsi="宋体" w:cs="宋体"/>
          <w:color w:val="auto"/>
          <w:kern w:val="0"/>
          <w:sz w:val="24"/>
          <w:szCs w:val="24"/>
          <w:highlight w:val="none"/>
          <w:lang w:eastAsia="zh-CN"/>
        </w:rPr>
        <w:br w:type="page"/>
      </w:r>
    </w:p>
    <w:p w14:paraId="0D2329E7">
      <w:pPr>
        <w:numPr>
          <w:ilvl w:val="0"/>
          <w:numId w:val="4"/>
        </w:numPr>
        <w:tabs>
          <w:tab w:val="left" w:pos="1283"/>
        </w:tabs>
        <w:spacing w:before="55"/>
        <w:ind w:left="0" w:leftChars="0" w:right="22" w:rightChars="0" w:firstLine="0" w:firstLineChars="0"/>
        <w:jc w:val="center"/>
        <w:outlineLvl w:val="0"/>
        <w:rPr>
          <w:rFonts w:hint="eastAsia" w:cs="Times New Roman"/>
          <w:b/>
          <w:color w:val="auto"/>
          <w:sz w:val="32"/>
          <w:highlight w:val="none"/>
          <w:lang w:val="en-US" w:eastAsia="zh-CN"/>
        </w:rPr>
      </w:pPr>
      <w:r>
        <w:rPr>
          <w:rFonts w:hint="eastAsia" w:cs="Times New Roman"/>
          <w:b/>
          <w:color w:val="auto"/>
          <w:sz w:val="32"/>
          <w:highlight w:val="none"/>
          <w:lang w:val="en-US" w:eastAsia="zh-CN"/>
        </w:rPr>
        <w:t xml:space="preserve"> </w:t>
      </w:r>
      <w:bookmarkStart w:id="13" w:name="_Toc23302"/>
      <w:r>
        <w:rPr>
          <w:rFonts w:hint="eastAsia" w:cs="Times New Roman"/>
          <w:b/>
          <w:color w:val="auto"/>
          <w:sz w:val="32"/>
          <w:highlight w:val="none"/>
          <w:lang w:val="en-US" w:eastAsia="zh-CN"/>
        </w:rPr>
        <w:t>工程量清单（另附）</w:t>
      </w:r>
      <w:bookmarkEnd w:id="13"/>
    </w:p>
    <w:p w14:paraId="74598C7D">
      <w:pPr>
        <w:pStyle w:val="6"/>
        <w:numPr>
          <w:ilvl w:val="0"/>
          <w:numId w:val="0"/>
        </w:numPr>
        <w:ind w:leftChars="0"/>
        <w:rPr>
          <w:rFonts w:hint="default"/>
          <w:color w:val="auto"/>
          <w:highlight w:val="none"/>
          <w:lang w:val="en-US" w:eastAsia="zh-CN"/>
        </w:rPr>
      </w:pPr>
    </w:p>
    <w:p w14:paraId="6F83ABEB">
      <w:pPr>
        <w:rPr>
          <w:rFonts w:hint="eastAsia"/>
          <w:color w:val="auto"/>
          <w:highlight w:val="none"/>
          <w:lang w:val="en-US" w:eastAsia="zh-CN"/>
        </w:rPr>
      </w:pPr>
      <w:r>
        <w:rPr>
          <w:rFonts w:hint="eastAsia"/>
          <w:color w:val="auto"/>
          <w:highlight w:val="none"/>
          <w:lang w:val="en-US" w:eastAsia="zh-CN"/>
        </w:rPr>
        <w:t>、</w:t>
      </w:r>
    </w:p>
    <w:p w14:paraId="6A6D9107">
      <w:pPr>
        <w:rPr>
          <w:rFonts w:hint="eastAsia" w:cs="Times New Roman"/>
          <w:b/>
          <w:color w:val="auto"/>
          <w:sz w:val="32"/>
          <w:highlight w:val="none"/>
          <w:lang w:val="en-US" w:eastAsia="zh-CN"/>
        </w:rPr>
      </w:pPr>
    </w:p>
    <w:p w14:paraId="599562F9">
      <w:pPr>
        <w:rPr>
          <w:rFonts w:hint="eastAsia" w:cs="Times New Roman"/>
          <w:b/>
          <w:color w:val="auto"/>
          <w:sz w:val="32"/>
          <w:highlight w:val="none"/>
          <w:lang w:val="en-US" w:eastAsia="zh-CN"/>
        </w:rPr>
      </w:pPr>
      <w:r>
        <w:rPr>
          <w:rFonts w:hint="eastAsia" w:cs="Times New Roman"/>
          <w:b/>
          <w:color w:val="auto"/>
          <w:sz w:val="32"/>
          <w:highlight w:val="none"/>
          <w:lang w:val="en-US" w:eastAsia="zh-CN"/>
        </w:rPr>
        <w:br w:type="page"/>
      </w:r>
    </w:p>
    <w:p w14:paraId="1E094711">
      <w:pPr>
        <w:numPr>
          <w:ilvl w:val="0"/>
          <w:numId w:val="0"/>
        </w:numPr>
        <w:tabs>
          <w:tab w:val="left" w:pos="1283"/>
        </w:tabs>
        <w:spacing w:before="55"/>
        <w:ind w:leftChars="0" w:right="22" w:rightChars="0"/>
        <w:jc w:val="center"/>
        <w:outlineLvl w:val="0"/>
        <w:rPr>
          <w:rFonts w:hint="default" w:cs="Times New Roman"/>
          <w:b/>
          <w:color w:val="auto"/>
          <w:sz w:val="32"/>
          <w:highlight w:val="none"/>
          <w:lang w:val="en-US" w:eastAsia="zh-CN"/>
        </w:rPr>
      </w:pPr>
      <w:bookmarkStart w:id="14" w:name="_Toc16643"/>
      <w:r>
        <w:rPr>
          <w:rFonts w:hint="eastAsia" w:cs="Times New Roman"/>
          <w:b/>
          <w:color w:val="auto"/>
          <w:sz w:val="32"/>
          <w:highlight w:val="none"/>
          <w:lang w:val="en-US" w:eastAsia="zh-CN"/>
        </w:rPr>
        <w:t>第六章  电子化响应文件内容及格式</w:t>
      </w:r>
      <w:bookmarkEnd w:id="14"/>
    </w:p>
    <w:p w14:paraId="21F6475E">
      <w:pPr>
        <w:widowControl w:val="0"/>
        <w:numPr>
          <w:ilvl w:val="0"/>
          <w:numId w:val="0"/>
        </w:numPr>
        <w:spacing w:line="480" w:lineRule="atLeast"/>
        <w:jc w:val="center"/>
        <w:textAlignment w:val="baseline"/>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 xml:space="preserve"> </w:t>
      </w:r>
    </w:p>
    <w:p w14:paraId="579764AE">
      <w:pPr>
        <w:tabs>
          <w:tab w:val="left" w:pos="4337"/>
        </w:tabs>
        <w:spacing w:before="61"/>
        <w:ind w:left="0" w:right="168" w:firstLine="0"/>
        <w:jc w:val="center"/>
        <w:outlineLvl w:val="1"/>
        <w:rPr>
          <w:b/>
          <w:color w:val="auto"/>
          <w:sz w:val="36"/>
          <w:highlight w:val="none"/>
        </w:rPr>
      </w:pPr>
      <w:r>
        <w:rPr>
          <w:rFonts w:ascii="Times New Roman" w:eastAsia="Times New Roman"/>
          <w:b/>
          <w:color w:val="auto"/>
          <w:sz w:val="36"/>
          <w:highlight w:val="none"/>
          <w:u w:val="single"/>
        </w:rPr>
        <w:t xml:space="preserve"> </w:t>
      </w:r>
      <w:r>
        <w:rPr>
          <w:rFonts w:ascii="Times New Roman" w:eastAsia="Times New Roman"/>
          <w:b/>
          <w:color w:val="auto"/>
          <w:sz w:val="36"/>
          <w:highlight w:val="none"/>
          <w:u w:val="single"/>
        </w:rPr>
        <w:tab/>
      </w:r>
      <w:r>
        <w:rPr>
          <w:b/>
          <w:color w:val="auto"/>
          <w:sz w:val="36"/>
          <w:highlight w:val="none"/>
        </w:rPr>
        <w:t>项目</w:t>
      </w:r>
    </w:p>
    <w:p w14:paraId="050DCD1B">
      <w:pPr>
        <w:pStyle w:val="3"/>
        <w:rPr>
          <w:b/>
          <w:color w:val="auto"/>
          <w:sz w:val="40"/>
          <w:highlight w:val="none"/>
        </w:rPr>
      </w:pPr>
    </w:p>
    <w:p w14:paraId="76C10FF7">
      <w:pPr>
        <w:pStyle w:val="3"/>
        <w:rPr>
          <w:b/>
          <w:color w:val="auto"/>
          <w:sz w:val="40"/>
          <w:highlight w:val="none"/>
        </w:rPr>
      </w:pPr>
    </w:p>
    <w:p w14:paraId="69524A78">
      <w:pPr>
        <w:pStyle w:val="3"/>
        <w:rPr>
          <w:b/>
          <w:color w:val="auto"/>
          <w:sz w:val="40"/>
          <w:highlight w:val="none"/>
        </w:rPr>
      </w:pPr>
    </w:p>
    <w:p w14:paraId="5F833E5D">
      <w:pPr>
        <w:pStyle w:val="3"/>
        <w:rPr>
          <w:b/>
          <w:color w:val="auto"/>
          <w:sz w:val="40"/>
          <w:highlight w:val="none"/>
        </w:rPr>
      </w:pPr>
    </w:p>
    <w:p w14:paraId="0DFB8ABB">
      <w:pPr>
        <w:pStyle w:val="3"/>
        <w:spacing w:before="7"/>
        <w:rPr>
          <w:b/>
          <w:color w:val="auto"/>
          <w:sz w:val="29"/>
          <w:highlight w:val="none"/>
        </w:rPr>
      </w:pPr>
    </w:p>
    <w:p w14:paraId="117EF335">
      <w:pPr>
        <w:spacing w:before="0"/>
        <w:ind w:left="0" w:right="869" w:firstLine="0"/>
        <w:jc w:val="center"/>
        <w:rPr>
          <w:color w:val="auto"/>
          <w:sz w:val="72"/>
          <w:highlight w:val="none"/>
        </w:rPr>
      </w:pPr>
      <w:r>
        <w:rPr>
          <w:color w:val="auto"/>
          <w:sz w:val="72"/>
          <w:highlight w:val="none"/>
        </w:rPr>
        <w:t>响应文件</w:t>
      </w:r>
    </w:p>
    <w:p w14:paraId="7C0DF5F4">
      <w:pPr>
        <w:pStyle w:val="3"/>
        <w:rPr>
          <w:color w:val="auto"/>
          <w:sz w:val="72"/>
          <w:highlight w:val="none"/>
        </w:rPr>
      </w:pPr>
    </w:p>
    <w:p w14:paraId="00FC772A">
      <w:pPr>
        <w:pStyle w:val="3"/>
        <w:rPr>
          <w:color w:val="auto"/>
          <w:sz w:val="72"/>
          <w:highlight w:val="none"/>
        </w:rPr>
      </w:pPr>
    </w:p>
    <w:p w14:paraId="1A244C2A">
      <w:pPr>
        <w:pStyle w:val="3"/>
        <w:rPr>
          <w:color w:val="auto"/>
          <w:sz w:val="72"/>
          <w:highlight w:val="none"/>
        </w:rPr>
      </w:pPr>
    </w:p>
    <w:p w14:paraId="41209D7A">
      <w:pPr>
        <w:tabs>
          <w:tab w:val="left" w:pos="1827"/>
          <w:tab w:val="left" w:pos="2427"/>
          <w:tab w:val="left" w:pos="6207"/>
        </w:tabs>
        <w:spacing w:before="635"/>
        <w:ind w:left="1228" w:right="0" w:firstLine="0"/>
        <w:jc w:val="left"/>
        <w:rPr>
          <w:rFonts w:hint="eastAsia"/>
          <w:color w:val="auto"/>
          <w:sz w:val="24"/>
          <w:szCs w:val="24"/>
          <w:highlight w:val="none"/>
          <w:lang w:eastAsia="zh-CN"/>
        </w:rPr>
      </w:pPr>
    </w:p>
    <w:p w14:paraId="4C45FE75">
      <w:pPr>
        <w:tabs>
          <w:tab w:val="left" w:pos="1827"/>
          <w:tab w:val="left" w:pos="2427"/>
          <w:tab w:val="left" w:pos="6207"/>
        </w:tabs>
        <w:spacing w:before="635" w:line="480" w:lineRule="auto"/>
        <w:ind w:left="1228" w:right="0" w:firstLine="0"/>
        <w:jc w:val="left"/>
        <w:rPr>
          <w:color w:val="auto"/>
          <w:sz w:val="24"/>
          <w:szCs w:val="24"/>
          <w:highlight w:val="none"/>
        </w:rPr>
      </w:pPr>
      <w:r>
        <w:rPr>
          <w:rFonts w:hint="eastAsia"/>
          <w:color w:val="auto"/>
          <w:sz w:val="24"/>
          <w:szCs w:val="24"/>
          <w:highlight w:val="none"/>
          <w:lang w:eastAsia="zh-CN"/>
        </w:rPr>
        <w:t>供应商</w:t>
      </w:r>
      <w:r>
        <w:rPr>
          <w:color w:val="auto"/>
          <w:sz w:val="24"/>
          <w:szCs w:val="24"/>
          <w:highlight w:val="none"/>
        </w:rPr>
        <w:t>：</w:t>
      </w:r>
      <w:r>
        <w:rPr>
          <w:color w:val="auto"/>
          <w:sz w:val="24"/>
          <w:szCs w:val="24"/>
          <w:highlight w:val="none"/>
          <w:u w:val="single"/>
        </w:rPr>
        <w:t xml:space="preserve"> </w:t>
      </w:r>
      <w:r>
        <w:rPr>
          <w:color w:val="auto"/>
          <w:sz w:val="24"/>
          <w:szCs w:val="24"/>
          <w:highlight w:val="none"/>
          <w:u w:val="single"/>
        </w:rPr>
        <w:tab/>
      </w:r>
      <w:r>
        <w:rPr>
          <w:rFonts w:hint="eastAsia"/>
          <w:color w:val="auto"/>
          <w:sz w:val="24"/>
          <w:szCs w:val="24"/>
          <w:highlight w:val="none"/>
          <w:u w:val="single"/>
          <w:lang w:val="en-US" w:eastAsia="zh-CN"/>
        </w:rPr>
        <w:t xml:space="preserve">                                 </w:t>
      </w:r>
      <w:r>
        <w:rPr>
          <w:color w:val="auto"/>
          <w:sz w:val="24"/>
          <w:szCs w:val="24"/>
          <w:highlight w:val="none"/>
        </w:rPr>
        <w:t>（盖章）</w:t>
      </w:r>
    </w:p>
    <w:p w14:paraId="01AC09A6">
      <w:pPr>
        <w:tabs>
          <w:tab w:val="left" w:pos="6627"/>
        </w:tabs>
        <w:spacing w:before="0" w:line="480" w:lineRule="auto"/>
        <w:ind w:left="1228" w:right="0" w:firstLine="0"/>
        <w:jc w:val="left"/>
        <w:rPr>
          <w:color w:val="auto"/>
          <w:sz w:val="24"/>
          <w:szCs w:val="24"/>
          <w:highlight w:val="none"/>
        </w:rPr>
      </w:pPr>
      <w:r>
        <w:rPr>
          <w:color w:val="auto"/>
          <w:sz w:val="24"/>
          <w:szCs w:val="24"/>
          <w:highlight w:val="none"/>
        </w:rPr>
        <w:t>法定代表人：</w:t>
      </w:r>
      <w:r>
        <w:rPr>
          <w:color w:val="auto"/>
          <w:sz w:val="24"/>
          <w:szCs w:val="24"/>
          <w:highlight w:val="none"/>
          <w:u w:val="single"/>
        </w:rPr>
        <w:t xml:space="preserve"> </w:t>
      </w:r>
      <w:r>
        <w:rPr>
          <w:color w:val="auto"/>
          <w:sz w:val="24"/>
          <w:szCs w:val="24"/>
          <w:highlight w:val="none"/>
          <w:u w:val="single"/>
        </w:rPr>
        <w:tab/>
      </w:r>
      <w:r>
        <w:rPr>
          <w:color w:val="auto"/>
          <w:sz w:val="24"/>
          <w:szCs w:val="24"/>
          <w:highlight w:val="none"/>
        </w:rPr>
        <w:t>（签字或盖章）</w:t>
      </w:r>
    </w:p>
    <w:p w14:paraId="2C9AA93E">
      <w:pPr>
        <w:tabs>
          <w:tab w:val="left" w:pos="3567"/>
          <w:tab w:val="left" w:pos="4527"/>
          <w:tab w:val="left" w:pos="5247"/>
        </w:tabs>
        <w:spacing w:before="0" w:line="480" w:lineRule="auto"/>
        <w:ind w:left="2728" w:right="0" w:firstLine="0"/>
        <w:jc w:val="left"/>
        <w:rPr>
          <w:rFonts w:hint="default" w:eastAsia="宋体"/>
          <w:color w:val="auto"/>
          <w:sz w:val="24"/>
          <w:szCs w:val="24"/>
          <w:highlight w:val="none"/>
          <w:lang w:val="en-US" w:eastAsia="zh-CN"/>
        </w:rPr>
      </w:pPr>
      <w:r>
        <w:rPr>
          <w:color w:val="auto"/>
          <w:sz w:val="24"/>
          <w:szCs w:val="24"/>
          <w:highlight w:val="none"/>
        </w:rPr>
        <w:t>日</w:t>
      </w:r>
      <w:r>
        <w:rPr>
          <w:color w:val="auto"/>
          <w:sz w:val="24"/>
          <w:szCs w:val="24"/>
          <w:highlight w:val="none"/>
        </w:rPr>
        <w:tab/>
      </w:r>
      <w:r>
        <w:rPr>
          <w:color w:val="auto"/>
          <w:sz w:val="24"/>
          <w:szCs w:val="24"/>
          <w:highlight w:val="none"/>
        </w:rPr>
        <w:t>期：</w:t>
      </w:r>
      <w:r>
        <w:rPr>
          <w:color w:val="auto"/>
          <w:sz w:val="24"/>
          <w:szCs w:val="24"/>
          <w:highlight w:val="none"/>
        </w:rPr>
        <w:tab/>
      </w:r>
      <w:r>
        <w:rPr>
          <w:color w:val="auto"/>
          <w:sz w:val="24"/>
          <w:szCs w:val="24"/>
          <w:highlight w:val="none"/>
        </w:rPr>
        <w:t>年</w:t>
      </w:r>
      <w:r>
        <w:rPr>
          <w:color w:val="auto"/>
          <w:sz w:val="24"/>
          <w:szCs w:val="24"/>
          <w:highlight w:val="none"/>
        </w:rPr>
        <w:tab/>
      </w:r>
      <w:r>
        <w:rPr>
          <w:color w:val="auto"/>
          <w:sz w:val="24"/>
          <w:szCs w:val="24"/>
          <w:highlight w:val="none"/>
        </w:rPr>
        <w:t>月</w:t>
      </w:r>
      <w:r>
        <w:rPr>
          <w:rFonts w:hint="eastAsia"/>
          <w:color w:val="auto"/>
          <w:sz w:val="24"/>
          <w:szCs w:val="24"/>
          <w:highlight w:val="none"/>
          <w:lang w:val="en-US" w:eastAsia="zh-CN"/>
        </w:rPr>
        <w:t xml:space="preserve">   日</w:t>
      </w:r>
    </w:p>
    <w:p w14:paraId="438AEE3A">
      <w:pPr>
        <w:spacing w:after="0"/>
        <w:jc w:val="left"/>
        <w:rPr>
          <w:rFonts w:hint="eastAsia" w:eastAsia="宋体"/>
          <w:color w:val="auto"/>
          <w:sz w:val="24"/>
          <w:szCs w:val="24"/>
          <w:highlight w:val="none"/>
          <w:lang w:val="en-US" w:eastAsia="zh-CN"/>
        </w:rPr>
        <w:sectPr>
          <w:pgSz w:w="11910" w:h="16840"/>
          <w:pgMar w:top="1803" w:right="1440" w:bottom="1803" w:left="1440" w:header="882" w:footer="1012" w:gutter="0"/>
          <w:pgNumType w:fmt="decimal"/>
          <w:cols w:space="720" w:num="1"/>
        </w:sectPr>
      </w:pPr>
    </w:p>
    <w:p w14:paraId="0CE29077">
      <w:pPr>
        <w:widowControl w:val="0"/>
        <w:numPr>
          <w:ilvl w:val="0"/>
          <w:numId w:val="0"/>
        </w:numPr>
        <w:spacing w:line="480" w:lineRule="atLeast"/>
        <w:jc w:val="center"/>
        <w:textAlignment w:val="baseline"/>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目</w:t>
      </w:r>
      <w:r>
        <w:rPr>
          <w:rFonts w:hint="eastAsia" w:ascii="宋体" w:hAnsi="宋体" w:eastAsia="宋体" w:cs="宋体"/>
          <w:b/>
          <w:bCs/>
          <w:color w:val="auto"/>
          <w:sz w:val="32"/>
          <w:szCs w:val="32"/>
          <w:highlight w:val="none"/>
          <w:lang w:val="en-US" w:eastAsia="zh-CN"/>
        </w:rPr>
        <w:tab/>
      </w:r>
      <w:r>
        <w:rPr>
          <w:rFonts w:hint="eastAsia" w:ascii="宋体" w:hAnsi="宋体" w:eastAsia="宋体" w:cs="宋体"/>
          <w:b/>
          <w:bCs/>
          <w:color w:val="auto"/>
          <w:sz w:val="32"/>
          <w:szCs w:val="32"/>
          <w:highlight w:val="none"/>
          <w:lang w:val="en-US" w:eastAsia="zh-CN"/>
        </w:rPr>
        <w:t>录</w:t>
      </w:r>
    </w:p>
    <w:p w14:paraId="1129253F">
      <w:pPr>
        <w:widowControl w:val="0"/>
        <w:numPr>
          <w:ilvl w:val="0"/>
          <w:numId w:val="0"/>
        </w:numPr>
        <w:spacing w:line="480" w:lineRule="atLeast"/>
        <w:jc w:val="center"/>
        <w:textAlignment w:val="baseline"/>
        <w:rPr>
          <w:rFonts w:hint="eastAsia" w:ascii="宋体" w:hAnsi="宋体" w:eastAsia="宋体" w:cs="宋体"/>
          <w:b/>
          <w:bCs/>
          <w:color w:val="auto"/>
          <w:sz w:val="32"/>
          <w:szCs w:val="32"/>
          <w:highlight w:val="none"/>
          <w:lang w:val="en-US" w:eastAsia="zh-CN"/>
        </w:rPr>
        <w:sectPr>
          <w:pgSz w:w="11910" w:h="16840"/>
          <w:pgMar w:top="1440" w:right="1080" w:bottom="1440" w:left="1080" w:header="873" w:footer="955" w:gutter="0"/>
          <w:pgNumType w:fmt="decimal"/>
          <w:cols w:space="720" w:num="1"/>
        </w:sectPr>
      </w:pPr>
      <w:r>
        <w:rPr>
          <w:rFonts w:hint="eastAsia" w:ascii="宋体" w:hAnsi="宋体" w:eastAsia="宋体" w:cs="宋体"/>
          <w:b/>
          <w:bCs/>
          <w:color w:val="auto"/>
          <w:sz w:val="32"/>
          <w:szCs w:val="32"/>
          <w:highlight w:val="none"/>
          <w:lang w:val="en-US" w:eastAsia="zh-CN"/>
        </w:rPr>
        <w:t>（自拟）</w:t>
      </w:r>
    </w:p>
    <w:p w14:paraId="5D6EEC50">
      <w:pPr>
        <w:pStyle w:val="11"/>
        <w:ind w:left="0" w:leftChars="0" w:firstLine="0" w:firstLineChars="0"/>
        <w:jc w:val="center"/>
        <w:outlineLvl w:val="1"/>
        <w:rPr>
          <w:b/>
          <w:bCs/>
          <w:color w:val="auto"/>
          <w:sz w:val="32"/>
          <w:szCs w:val="32"/>
          <w:highlight w:val="none"/>
        </w:rPr>
      </w:pPr>
      <w:bookmarkStart w:id="15" w:name="一、投标函及投标函附录"/>
      <w:bookmarkEnd w:id="15"/>
      <w:bookmarkStart w:id="16" w:name="_bookmark5"/>
      <w:bookmarkEnd w:id="16"/>
      <w:r>
        <w:rPr>
          <w:b/>
          <w:bCs/>
          <w:color w:val="auto"/>
          <w:sz w:val="32"/>
          <w:szCs w:val="32"/>
          <w:highlight w:val="none"/>
        </w:rPr>
        <w:t>一、投标函及投标函附录</w:t>
      </w:r>
    </w:p>
    <w:p w14:paraId="7617EB2F">
      <w:pPr>
        <w:pStyle w:val="3"/>
        <w:spacing w:before="2"/>
        <w:rPr>
          <w:b/>
          <w:color w:val="auto"/>
          <w:sz w:val="30"/>
          <w:highlight w:val="none"/>
        </w:rPr>
      </w:pPr>
    </w:p>
    <w:p w14:paraId="4884574A">
      <w:pPr>
        <w:pStyle w:val="13"/>
        <w:ind w:left="0" w:right="1019" w:firstLine="0"/>
        <w:jc w:val="center"/>
        <w:outlineLvl w:val="2"/>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(一) 投标函</w:t>
      </w:r>
    </w:p>
    <w:p w14:paraId="7DD3B10F">
      <w:pPr>
        <w:pStyle w:val="3"/>
        <w:spacing w:before="166"/>
        <w:ind w:left="21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（采购人名称）</w:t>
      </w:r>
      <w:r>
        <w:rPr>
          <w:rFonts w:hint="eastAsia" w:ascii="宋体" w:hAnsi="宋体" w:eastAsia="宋体" w:cs="宋体"/>
          <w:color w:val="auto"/>
          <w:sz w:val="24"/>
          <w:szCs w:val="24"/>
          <w:highlight w:val="none"/>
        </w:rPr>
        <w:t>：</w:t>
      </w:r>
    </w:p>
    <w:p w14:paraId="1E09C048">
      <w:pPr>
        <w:pStyle w:val="41"/>
        <w:numPr>
          <w:ilvl w:val="0"/>
          <w:numId w:val="0"/>
        </w:numPr>
        <w:tabs>
          <w:tab w:val="left" w:pos="844"/>
          <w:tab w:val="left" w:pos="2101"/>
          <w:tab w:val="left" w:pos="2439"/>
          <w:tab w:val="left" w:pos="3503"/>
          <w:tab w:val="left" w:pos="3729"/>
          <w:tab w:val="left" w:pos="5451"/>
          <w:tab w:val="left" w:pos="7527"/>
        </w:tabs>
        <w:spacing w:before="170" w:after="0" w:line="393" w:lineRule="auto"/>
        <w:ind w:left="212" w:leftChars="0" w:right="312" w:rightChars="0" w:firstLine="420" w:firstLineChars="0"/>
        <w:jc w:val="both"/>
        <w:rPr>
          <w:rFonts w:hint="eastAsia" w:ascii="宋体" w:hAnsi="宋体" w:eastAsia="宋体" w:cs="宋体"/>
          <w:color w:val="auto"/>
          <w:sz w:val="24"/>
          <w:szCs w:val="24"/>
          <w:highlight w:val="none"/>
        </w:rPr>
      </w:pPr>
      <w:r>
        <w:rPr>
          <w:rFonts w:hint="default" w:ascii="宋体" w:hAnsi="宋体" w:eastAsia="宋体" w:cs="宋体"/>
          <w:color w:val="auto"/>
          <w:spacing w:val="1"/>
          <w:w w:val="99"/>
          <w:kern w:val="2"/>
          <w:sz w:val="24"/>
          <w:szCs w:val="24"/>
          <w:highlight w:val="none"/>
          <w:lang w:val="en-US" w:eastAsia="zh-CN" w:bidi="ar-SA"/>
        </w:rPr>
        <w:t>1.</w:t>
      </w:r>
      <w:r>
        <w:rPr>
          <w:rFonts w:hint="eastAsia" w:ascii="宋体" w:hAnsi="宋体" w:eastAsia="宋体" w:cs="宋体"/>
          <w:color w:val="auto"/>
          <w:sz w:val="24"/>
          <w:szCs w:val="24"/>
          <w:highlight w:val="none"/>
        </w:rPr>
        <w:t>我方</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（响应人名称</w:t>
      </w:r>
      <w:r>
        <w:rPr>
          <w:rFonts w:hint="eastAsia" w:ascii="宋体" w:hAnsi="宋体" w:eastAsia="宋体" w:cs="宋体"/>
          <w:color w:val="auto"/>
          <w:spacing w:val="-3"/>
          <w:sz w:val="24"/>
          <w:szCs w:val="24"/>
          <w:highlight w:val="none"/>
          <w:u w:val="single"/>
        </w:rPr>
        <w:t>）</w:t>
      </w:r>
      <w:r>
        <w:rPr>
          <w:rFonts w:hint="eastAsia" w:ascii="宋体" w:hAnsi="宋体" w:eastAsia="宋体" w:cs="宋体"/>
          <w:color w:val="auto"/>
          <w:sz w:val="24"/>
          <w:szCs w:val="24"/>
          <w:highlight w:val="none"/>
        </w:rPr>
        <w:t>已仔细研究了</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（项目名称</w:t>
      </w:r>
      <w:r>
        <w:rPr>
          <w:rFonts w:hint="eastAsia" w:ascii="宋体" w:hAnsi="宋体" w:eastAsia="宋体" w:cs="宋体"/>
          <w:color w:val="auto"/>
          <w:spacing w:val="-3"/>
          <w:sz w:val="24"/>
          <w:szCs w:val="24"/>
          <w:highlight w:val="none"/>
        </w:rPr>
        <w:t>）</w:t>
      </w:r>
      <w:r>
        <w:rPr>
          <w:rFonts w:hint="eastAsia" w:cs="宋体"/>
          <w:color w:val="auto"/>
          <w:sz w:val="24"/>
          <w:szCs w:val="24"/>
          <w:highlight w:val="none"/>
          <w:lang w:val="en-US" w:eastAsia="zh-CN"/>
        </w:rPr>
        <w:t>磋商</w:t>
      </w:r>
      <w:r>
        <w:rPr>
          <w:rFonts w:hint="eastAsia" w:ascii="宋体" w:hAnsi="宋体" w:eastAsia="宋体" w:cs="宋体"/>
          <w:color w:val="auto"/>
          <w:sz w:val="24"/>
          <w:szCs w:val="24"/>
          <w:highlight w:val="none"/>
        </w:rPr>
        <w:t>文件的全部内容</w:t>
      </w:r>
      <w:r>
        <w:rPr>
          <w:rFonts w:hint="eastAsia" w:ascii="宋体" w:hAnsi="宋体" w:eastAsia="宋体" w:cs="宋体"/>
          <w:color w:val="auto"/>
          <w:spacing w:val="-3"/>
          <w:sz w:val="24"/>
          <w:szCs w:val="24"/>
          <w:highlight w:val="none"/>
        </w:rPr>
        <w:t>，</w:t>
      </w:r>
      <w:r>
        <w:rPr>
          <w:rFonts w:hint="eastAsia" w:ascii="宋体" w:hAnsi="宋体" w:eastAsia="宋体" w:cs="宋体"/>
          <w:color w:val="auto"/>
          <w:sz w:val="24"/>
          <w:szCs w:val="24"/>
          <w:highlight w:val="none"/>
        </w:rPr>
        <w:t>愿意以</w:t>
      </w:r>
      <w:r>
        <w:rPr>
          <w:rFonts w:hint="eastAsia" w:cs="宋体"/>
          <w:color w:val="auto"/>
          <w:sz w:val="24"/>
          <w:szCs w:val="24"/>
          <w:highlight w:val="none"/>
          <w:lang w:val="en-US" w:eastAsia="zh-CN"/>
        </w:rPr>
        <w:t>人民币：</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为投标报价</w:t>
      </w:r>
      <w:r>
        <w:rPr>
          <w:rFonts w:hint="eastAsia" w:cs="宋体"/>
          <w:color w:val="auto"/>
          <w:sz w:val="24"/>
          <w:szCs w:val="24"/>
          <w:highlight w:val="none"/>
          <w:lang w:eastAsia="zh-CN"/>
        </w:rPr>
        <w:t>，</w:t>
      </w:r>
      <w:r>
        <w:rPr>
          <w:rFonts w:hint="eastAsia" w:cs="宋体"/>
          <w:color w:val="auto"/>
          <w:sz w:val="24"/>
          <w:szCs w:val="24"/>
          <w:highlight w:val="none"/>
          <w:lang w:val="en-US" w:eastAsia="zh-CN"/>
        </w:rPr>
        <w:t>计划工期</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，按合同</w:t>
      </w:r>
      <w:r>
        <w:rPr>
          <w:rFonts w:hint="eastAsia" w:ascii="宋体" w:hAnsi="宋体" w:eastAsia="宋体" w:cs="宋体"/>
          <w:color w:val="auto"/>
          <w:spacing w:val="4"/>
          <w:sz w:val="24"/>
          <w:szCs w:val="24"/>
          <w:highlight w:val="none"/>
        </w:rPr>
        <w:t>约</w:t>
      </w:r>
      <w:r>
        <w:rPr>
          <w:rFonts w:hint="eastAsia" w:ascii="宋体" w:hAnsi="宋体" w:eastAsia="宋体" w:cs="宋体"/>
          <w:color w:val="auto"/>
          <w:sz w:val="24"/>
          <w:szCs w:val="24"/>
          <w:highlight w:val="none"/>
        </w:rPr>
        <w:t>定完成该项</w:t>
      </w:r>
      <w:r>
        <w:rPr>
          <w:rFonts w:hint="eastAsia" w:ascii="宋体" w:hAnsi="宋体" w:eastAsia="宋体" w:cs="宋体"/>
          <w:color w:val="auto"/>
          <w:spacing w:val="-14"/>
          <w:sz w:val="24"/>
          <w:szCs w:val="24"/>
          <w:highlight w:val="none"/>
        </w:rPr>
        <w:t>目</w:t>
      </w:r>
      <w:r>
        <w:rPr>
          <w:rFonts w:hint="eastAsia" w:ascii="宋体" w:hAnsi="宋体" w:eastAsia="宋体" w:cs="宋体"/>
          <w:color w:val="auto"/>
          <w:sz w:val="24"/>
          <w:szCs w:val="24"/>
          <w:highlight w:val="none"/>
        </w:rPr>
        <w:t>服务工作，质量</w:t>
      </w:r>
      <w:r>
        <w:rPr>
          <w:rFonts w:hint="eastAsia" w:cs="宋体"/>
          <w:color w:val="auto"/>
          <w:sz w:val="24"/>
          <w:szCs w:val="24"/>
          <w:highlight w:val="none"/>
          <w:lang w:val="en-US" w:eastAsia="zh-CN"/>
        </w:rPr>
        <w:t>要求</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14:paraId="549D7CEC">
      <w:pPr>
        <w:pStyle w:val="41"/>
        <w:numPr>
          <w:ilvl w:val="0"/>
          <w:numId w:val="0"/>
        </w:numPr>
        <w:tabs>
          <w:tab w:val="left" w:pos="844"/>
        </w:tabs>
        <w:spacing w:before="0" w:after="0" w:line="265" w:lineRule="exact"/>
        <w:ind w:left="844" w:leftChars="0" w:right="0" w:rightChars="0" w:hanging="212" w:firstLineChars="0"/>
        <w:jc w:val="left"/>
        <w:rPr>
          <w:rFonts w:hint="eastAsia" w:ascii="宋体" w:hAnsi="宋体" w:eastAsia="宋体" w:cs="宋体"/>
          <w:color w:val="auto"/>
          <w:sz w:val="24"/>
          <w:szCs w:val="24"/>
          <w:highlight w:val="none"/>
        </w:rPr>
      </w:pPr>
      <w:r>
        <w:rPr>
          <w:rFonts w:hint="default" w:ascii="宋体" w:hAnsi="宋体" w:eastAsia="宋体" w:cs="宋体"/>
          <w:color w:val="auto"/>
          <w:spacing w:val="1"/>
          <w:w w:val="99"/>
          <w:kern w:val="2"/>
          <w:sz w:val="24"/>
          <w:szCs w:val="24"/>
          <w:highlight w:val="none"/>
          <w:lang w:val="en-US" w:eastAsia="zh-CN" w:bidi="ar-SA"/>
        </w:rPr>
        <w:t>2.</w:t>
      </w:r>
      <w:r>
        <w:rPr>
          <w:rFonts w:hint="eastAsia" w:ascii="宋体" w:hAnsi="宋体" w:eastAsia="宋体" w:cs="宋体"/>
          <w:color w:val="auto"/>
          <w:sz w:val="24"/>
          <w:szCs w:val="24"/>
          <w:highlight w:val="none"/>
        </w:rPr>
        <w:t>我方承诺在投标有效期内不修改、撤销</w:t>
      </w:r>
      <w:r>
        <w:rPr>
          <w:rFonts w:hint="eastAsia" w:cs="宋体"/>
          <w:color w:val="auto"/>
          <w:sz w:val="24"/>
          <w:szCs w:val="24"/>
          <w:highlight w:val="none"/>
          <w:lang w:eastAsia="zh-CN"/>
        </w:rPr>
        <w:t>响应文件</w:t>
      </w:r>
      <w:r>
        <w:rPr>
          <w:rFonts w:hint="eastAsia" w:ascii="宋体" w:hAnsi="宋体" w:eastAsia="宋体" w:cs="宋体"/>
          <w:color w:val="auto"/>
          <w:sz w:val="24"/>
          <w:szCs w:val="24"/>
          <w:highlight w:val="none"/>
        </w:rPr>
        <w:t>。</w:t>
      </w:r>
    </w:p>
    <w:p w14:paraId="30579A10">
      <w:pPr>
        <w:pStyle w:val="41"/>
        <w:numPr>
          <w:ilvl w:val="0"/>
          <w:numId w:val="0"/>
        </w:numPr>
        <w:tabs>
          <w:tab w:val="left" w:pos="844"/>
        </w:tabs>
        <w:spacing w:before="172" w:after="0" w:line="240" w:lineRule="auto"/>
        <w:ind w:left="844" w:leftChars="0" w:right="0" w:rightChars="0" w:hanging="212" w:firstLineChars="0"/>
        <w:jc w:val="left"/>
        <w:rPr>
          <w:rFonts w:hint="eastAsia" w:ascii="宋体" w:hAnsi="宋体" w:eastAsia="宋体" w:cs="宋体"/>
          <w:color w:val="auto"/>
          <w:sz w:val="24"/>
          <w:szCs w:val="24"/>
          <w:highlight w:val="none"/>
        </w:rPr>
      </w:pPr>
      <w:r>
        <w:rPr>
          <w:rFonts w:hint="default" w:ascii="宋体" w:hAnsi="宋体" w:eastAsia="宋体" w:cs="宋体"/>
          <w:color w:val="auto"/>
          <w:spacing w:val="1"/>
          <w:w w:val="99"/>
          <w:kern w:val="2"/>
          <w:sz w:val="24"/>
          <w:szCs w:val="24"/>
          <w:highlight w:val="none"/>
          <w:lang w:val="en-US" w:eastAsia="zh-CN" w:bidi="ar-SA"/>
        </w:rPr>
        <w:t>3.</w:t>
      </w:r>
      <w:r>
        <w:rPr>
          <w:rFonts w:hint="eastAsia" w:ascii="宋体" w:hAnsi="宋体" w:eastAsia="宋体" w:cs="宋体"/>
          <w:color w:val="auto"/>
          <w:sz w:val="24"/>
          <w:szCs w:val="24"/>
          <w:highlight w:val="none"/>
        </w:rPr>
        <w:t>如我方中标：</w:t>
      </w:r>
    </w:p>
    <w:p w14:paraId="6B312774">
      <w:pPr>
        <w:pStyle w:val="41"/>
        <w:numPr>
          <w:ilvl w:val="0"/>
          <w:numId w:val="0"/>
        </w:numPr>
        <w:tabs>
          <w:tab w:val="left" w:pos="1458"/>
        </w:tabs>
        <w:spacing w:before="170" w:after="0" w:line="240" w:lineRule="auto"/>
        <w:ind w:right="0" w:rightChars="0" w:firstLine="480" w:firstLineChars="200"/>
        <w:jc w:val="left"/>
        <w:rPr>
          <w:rFonts w:hint="eastAsia" w:ascii="宋体" w:hAnsi="宋体" w:eastAsia="宋体" w:cs="宋体"/>
          <w:color w:val="auto"/>
          <w:sz w:val="24"/>
          <w:szCs w:val="24"/>
          <w:highlight w:val="none"/>
        </w:rPr>
      </w:pPr>
      <w:r>
        <w:rPr>
          <w:rFonts w:hint="eastAsia" w:cs="宋体"/>
          <w:color w:val="auto"/>
          <w:sz w:val="24"/>
          <w:szCs w:val="24"/>
          <w:highlight w:val="none"/>
          <w:lang w:eastAsia="zh-CN"/>
        </w:rPr>
        <w:t>（</w:t>
      </w:r>
      <w:r>
        <w:rPr>
          <w:rFonts w:hint="eastAsia" w:cs="宋体"/>
          <w:color w:val="auto"/>
          <w:sz w:val="24"/>
          <w:szCs w:val="24"/>
          <w:highlight w:val="none"/>
          <w:lang w:val="en-US" w:eastAsia="zh-CN"/>
        </w:rPr>
        <w:t>1</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我方承诺在收到</w:t>
      </w:r>
      <w:r>
        <w:rPr>
          <w:rFonts w:hint="eastAsia" w:cs="宋体"/>
          <w:color w:val="auto"/>
          <w:sz w:val="24"/>
          <w:szCs w:val="24"/>
          <w:highlight w:val="none"/>
          <w:lang w:val="en-US" w:eastAsia="zh-CN"/>
        </w:rPr>
        <w:t>成交</w:t>
      </w:r>
      <w:r>
        <w:rPr>
          <w:rFonts w:hint="eastAsia" w:ascii="宋体" w:hAnsi="宋体" w:eastAsia="宋体" w:cs="宋体"/>
          <w:color w:val="auto"/>
          <w:sz w:val="24"/>
          <w:szCs w:val="24"/>
          <w:highlight w:val="none"/>
        </w:rPr>
        <w:t>通知书后，在中标通知书规定的期限内与你方签订合同。</w:t>
      </w:r>
    </w:p>
    <w:p w14:paraId="06C52BD2">
      <w:pPr>
        <w:pStyle w:val="41"/>
        <w:numPr>
          <w:ilvl w:val="0"/>
          <w:numId w:val="0"/>
        </w:numPr>
        <w:tabs>
          <w:tab w:val="left" w:pos="1464"/>
        </w:tabs>
        <w:spacing w:before="170" w:after="0" w:line="393" w:lineRule="auto"/>
        <w:ind w:right="312" w:rightChars="0" w:firstLine="480" w:firstLineChars="200"/>
        <w:jc w:val="left"/>
        <w:rPr>
          <w:rFonts w:hint="eastAsia" w:ascii="宋体" w:hAnsi="宋体" w:eastAsia="宋体" w:cs="宋体"/>
          <w:color w:val="auto"/>
          <w:sz w:val="24"/>
          <w:szCs w:val="24"/>
          <w:highlight w:val="none"/>
        </w:rPr>
      </w:pPr>
      <w:r>
        <w:rPr>
          <w:rFonts w:hint="eastAsia" w:cs="宋体"/>
          <w:color w:val="auto"/>
          <w:sz w:val="24"/>
          <w:szCs w:val="24"/>
          <w:highlight w:val="none"/>
          <w:lang w:eastAsia="zh-CN"/>
        </w:rPr>
        <w:t>（</w:t>
      </w:r>
      <w:r>
        <w:rPr>
          <w:rFonts w:hint="eastAsia" w:cs="宋体"/>
          <w:color w:val="auto"/>
          <w:sz w:val="24"/>
          <w:szCs w:val="24"/>
          <w:highlight w:val="none"/>
          <w:lang w:val="en-US" w:eastAsia="zh-CN"/>
        </w:rPr>
        <w:t>2</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我单位愿意履行</w:t>
      </w:r>
      <w:r>
        <w:rPr>
          <w:rFonts w:hint="eastAsia" w:cs="宋体"/>
          <w:color w:val="auto"/>
          <w:sz w:val="24"/>
          <w:szCs w:val="24"/>
          <w:highlight w:val="none"/>
          <w:lang w:eastAsia="zh-CN"/>
        </w:rPr>
        <w:t>响应文件</w:t>
      </w:r>
      <w:r>
        <w:rPr>
          <w:rFonts w:hint="eastAsia" w:ascii="宋体" w:hAnsi="宋体" w:eastAsia="宋体" w:cs="宋体"/>
          <w:color w:val="auto"/>
          <w:sz w:val="24"/>
          <w:szCs w:val="24"/>
          <w:highlight w:val="none"/>
        </w:rPr>
        <w:t>中的一切优惠条件和承诺措施,提供优质高效的服务，并承诺在合同约定的期限内完成并移交全部工作内容。</w:t>
      </w:r>
    </w:p>
    <w:p w14:paraId="017952BA">
      <w:pPr>
        <w:pStyle w:val="41"/>
        <w:numPr>
          <w:ilvl w:val="0"/>
          <w:numId w:val="0"/>
        </w:numPr>
        <w:tabs>
          <w:tab w:val="left" w:pos="1458"/>
        </w:tabs>
        <w:spacing w:before="0" w:after="0" w:line="267" w:lineRule="exact"/>
        <w:ind w:right="0" w:rightChars="0" w:firstLine="464" w:firstLineChars="200"/>
        <w:jc w:val="left"/>
        <w:rPr>
          <w:rFonts w:hint="eastAsia" w:ascii="宋体" w:hAnsi="宋体" w:eastAsia="宋体" w:cs="宋体"/>
          <w:color w:val="auto"/>
          <w:sz w:val="24"/>
          <w:szCs w:val="24"/>
          <w:highlight w:val="none"/>
        </w:rPr>
      </w:pPr>
      <w:r>
        <w:rPr>
          <w:rFonts w:hint="eastAsia" w:cs="宋体"/>
          <w:color w:val="auto"/>
          <w:spacing w:val="-4"/>
          <w:sz w:val="24"/>
          <w:szCs w:val="24"/>
          <w:highlight w:val="none"/>
          <w:lang w:eastAsia="zh-CN"/>
        </w:rPr>
        <w:t>（</w:t>
      </w:r>
      <w:r>
        <w:rPr>
          <w:rFonts w:hint="eastAsia" w:cs="宋体"/>
          <w:color w:val="auto"/>
          <w:spacing w:val="-4"/>
          <w:sz w:val="24"/>
          <w:szCs w:val="24"/>
          <w:highlight w:val="none"/>
          <w:lang w:val="en-US" w:eastAsia="zh-CN"/>
        </w:rPr>
        <w:t>3</w:t>
      </w:r>
      <w:r>
        <w:rPr>
          <w:rFonts w:hint="eastAsia" w:cs="宋体"/>
          <w:color w:val="auto"/>
          <w:spacing w:val="-4"/>
          <w:sz w:val="24"/>
          <w:szCs w:val="24"/>
          <w:highlight w:val="none"/>
          <w:lang w:eastAsia="zh-CN"/>
        </w:rPr>
        <w:t>）</w:t>
      </w:r>
      <w:r>
        <w:rPr>
          <w:rFonts w:hint="eastAsia" w:ascii="宋体" w:hAnsi="宋体" w:eastAsia="宋体" w:cs="宋体"/>
          <w:color w:val="auto"/>
          <w:spacing w:val="-4"/>
          <w:sz w:val="24"/>
          <w:szCs w:val="24"/>
          <w:highlight w:val="none"/>
        </w:rPr>
        <w:t xml:space="preserve">我方承诺在从规定的自开标之日起 </w:t>
      </w:r>
      <w:r>
        <w:rPr>
          <w:rFonts w:hint="eastAsia" w:ascii="宋体" w:hAnsi="宋体" w:eastAsia="宋体" w:cs="宋体"/>
          <w:color w:val="auto"/>
          <w:sz w:val="24"/>
          <w:szCs w:val="24"/>
          <w:highlight w:val="none"/>
        </w:rPr>
        <w:t>60</w:t>
      </w:r>
      <w:r>
        <w:rPr>
          <w:rFonts w:hint="eastAsia" w:ascii="宋体" w:hAnsi="宋体" w:eastAsia="宋体" w:cs="宋体"/>
          <w:color w:val="auto"/>
          <w:spacing w:val="-9"/>
          <w:sz w:val="24"/>
          <w:szCs w:val="24"/>
          <w:highlight w:val="none"/>
        </w:rPr>
        <w:t xml:space="preserve"> 日历天的投标有效期内不修改、撤销</w:t>
      </w:r>
      <w:r>
        <w:rPr>
          <w:rFonts w:hint="eastAsia" w:cs="宋体"/>
          <w:color w:val="auto"/>
          <w:spacing w:val="-9"/>
          <w:sz w:val="24"/>
          <w:szCs w:val="24"/>
          <w:highlight w:val="none"/>
          <w:lang w:eastAsia="zh-CN"/>
        </w:rPr>
        <w:t>响应文件</w:t>
      </w:r>
      <w:r>
        <w:rPr>
          <w:rFonts w:hint="eastAsia" w:ascii="宋体" w:hAnsi="宋体" w:eastAsia="宋体" w:cs="宋体"/>
          <w:color w:val="auto"/>
          <w:spacing w:val="-9"/>
          <w:sz w:val="24"/>
          <w:szCs w:val="24"/>
          <w:highlight w:val="none"/>
        </w:rPr>
        <w:t>。</w:t>
      </w:r>
    </w:p>
    <w:p w14:paraId="4FF5825D">
      <w:pPr>
        <w:pStyle w:val="41"/>
        <w:numPr>
          <w:ilvl w:val="0"/>
          <w:numId w:val="0"/>
        </w:numPr>
        <w:tabs>
          <w:tab w:val="left" w:pos="844"/>
          <w:tab w:val="left" w:pos="2101"/>
          <w:tab w:val="left" w:pos="2439"/>
          <w:tab w:val="left" w:pos="3503"/>
          <w:tab w:val="left" w:pos="3729"/>
          <w:tab w:val="left" w:pos="5451"/>
          <w:tab w:val="left" w:pos="7527"/>
        </w:tabs>
        <w:spacing w:before="170" w:after="0" w:line="393" w:lineRule="auto"/>
        <w:ind w:right="312" w:righ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我单位同意提供与招标有关的一切数据和资料,完全理解最低报价不是中标唯一条件。</w:t>
      </w:r>
    </w:p>
    <w:p w14:paraId="7C277026">
      <w:pPr>
        <w:pStyle w:val="41"/>
        <w:numPr>
          <w:ilvl w:val="0"/>
          <w:numId w:val="0"/>
        </w:numPr>
        <w:tabs>
          <w:tab w:val="left" w:pos="844"/>
          <w:tab w:val="left" w:pos="2101"/>
          <w:tab w:val="left" w:pos="2439"/>
          <w:tab w:val="left" w:pos="3503"/>
          <w:tab w:val="left" w:pos="3729"/>
          <w:tab w:val="left" w:pos="5451"/>
          <w:tab w:val="left" w:pos="7527"/>
        </w:tabs>
        <w:spacing w:before="170" w:after="0" w:line="393" w:lineRule="auto"/>
        <w:ind w:right="312" w:righ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我方承诺若我方有幸中标，在领取中标通知书前向代理机构支付代理服务费及相关费用。</w:t>
      </w:r>
    </w:p>
    <w:p w14:paraId="129C57BA">
      <w:pPr>
        <w:pStyle w:val="41"/>
        <w:numPr>
          <w:ilvl w:val="0"/>
          <w:numId w:val="0"/>
        </w:numPr>
        <w:tabs>
          <w:tab w:val="left" w:pos="844"/>
          <w:tab w:val="left" w:pos="2101"/>
          <w:tab w:val="left" w:pos="2439"/>
          <w:tab w:val="left" w:pos="3503"/>
          <w:tab w:val="left" w:pos="3729"/>
          <w:tab w:val="left" w:pos="5451"/>
          <w:tab w:val="left" w:pos="7527"/>
        </w:tabs>
        <w:spacing w:before="170" w:after="0" w:line="393" w:lineRule="auto"/>
        <w:ind w:left="632" w:leftChars="0" w:right="312" w:right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4.我方在此声明，所递交的</w:t>
      </w:r>
      <w:r>
        <w:rPr>
          <w:rFonts w:hint="eastAsia" w:cs="宋体"/>
          <w:color w:val="auto"/>
          <w:sz w:val="24"/>
          <w:szCs w:val="24"/>
          <w:highlight w:val="none"/>
          <w:lang w:eastAsia="zh-CN"/>
        </w:rPr>
        <w:t>响应文件</w:t>
      </w:r>
      <w:r>
        <w:rPr>
          <w:rFonts w:hint="eastAsia" w:ascii="宋体" w:hAnsi="宋体" w:eastAsia="宋体" w:cs="宋体"/>
          <w:color w:val="auto"/>
          <w:sz w:val="24"/>
          <w:szCs w:val="24"/>
          <w:highlight w:val="none"/>
        </w:rPr>
        <w:t>及有关资料内容完整、真实和准确。</w:t>
      </w:r>
    </w:p>
    <w:p w14:paraId="7E17F5E5">
      <w:pPr>
        <w:pStyle w:val="3"/>
        <w:rPr>
          <w:rFonts w:hint="eastAsia" w:ascii="宋体" w:hAnsi="宋体" w:eastAsia="宋体" w:cs="宋体"/>
          <w:color w:val="auto"/>
          <w:sz w:val="24"/>
          <w:szCs w:val="24"/>
          <w:highlight w:val="none"/>
        </w:rPr>
      </w:pPr>
    </w:p>
    <w:p w14:paraId="0AE8FAD2">
      <w:pPr>
        <w:pStyle w:val="3"/>
        <w:spacing w:before="7"/>
        <w:rPr>
          <w:rFonts w:hint="eastAsia" w:ascii="宋体" w:hAnsi="宋体" w:eastAsia="宋体" w:cs="宋体"/>
          <w:color w:val="auto"/>
          <w:sz w:val="24"/>
          <w:szCs w:val="24"/>
          <w:highlight w:val="none"/>
        </w:rPr>
      </w:pPr>
    </w:p>
    <w:p w14:paraId="539B874C">
      <w:pPr>
        <w:pStyle w:val="3"/>
        <w:spacing w:line="240" w:lineRule="auto"/>
        <w:ind w:firstLine="3120" w:firstLineChars="1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（盖章）</w:t>
      </w:r>
    </w:p>
    <w:p w14:paraId="699B427B">
      <w:pPr>
        <w:pStyle w:val="41"/>
        <w:numPr>
          <w:ilvl w:val="0"/>
          <w:numId w:val="0"/>
        </w:numPr>
        <w:tabs>
          <w:tab w:val="left" w:pos="1464"/>
        </w:tabs>
        <w:spacing w:before="170" w:after="0" w:line="240" w:lineRule="auto"/>
        <w:ind w:right="312" w:rightChars="0" w:firstLine="3120" w:firstLineChars="13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法定代表人：（签字或盖章）</w:t>
      </w:r>
    </w:p>
    <w:p w14:paraId="4D488B13">
      <w:pPr>
        <w:pStyle w:val="41"/>
        <w:numPr>
          <w:ilvl w:val="0"/>
          <w:numId w:val="0"/>
        </w:numPr>
        <w:tabs>
          <w:tab w:val="left" w:pos="1464"/>
        </w:tabs>
        <w:spacing w:before="170" w:after="0" w:line="240" w:lineRule="auto"/>
        <w:ind w:right="312" w:rightChars="0" w:firstLine="3120" w:firstLineChars="13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地址：</w:t>
      </w:r>
      <w:r>
        <w:rPr>
          <w:rFonts w:hint="eastAsia" w:cs="宋体"/>
          <w:color w:val="auto"/>
          <w:sz w:val="24"/>
          <w:szCs w:val="24"/>
          <w:highlight w:val="none"/>
          <w:lang w:val="en-US" w:eastAsia="zh-CN"/>
        </w:rPr>
        <w:t xml:space="preserve"> </w:t>
      </w:r>
    </w:p>
    <w:p w14:paraId="0FB23D6E">
      <w:pPr>
        <w:pStyle w:val="41"/>
        <w:numPr>
          <w:ilvl w:val="0"/>
          <w:numId w:val="0"/>
        </w:numPr>
        <w:tabs>
          <w:tab w:val="left" w:pos="1464"/>
        </w:tabs>
        <w:spacing w:before="170" w:after="0" w:line="240" w:lineRule="auto"/>
        <w:ind w:right="312" w:rightChars="0" w:firstLine="3120" w:firstLineChars="1300"/>
        <w:jc w:val="left"/>
        <w:rPr>
          <w:rFonts w:hint="eastAsia" w:cs="宋体"/>
          <w:color w:val="auto"/>
          <w:sz w:val="24"/>
          <w:szCs w:val="24"/>
          <w:highlight w:val="none"/>
          <w:lang w:val="en-US" w:eastAsia="zh-CN"/>
        </w:rPr>
      </w:pPr>
      <w:r>
        <w:rPr>
          <w:rFonts w:hint="eastAsia" w:ascii="宋体" w:hAnsi="宋体" w:eastAsia="宋体" w:cs="宋体"/>
          <w:color w:val="auto"/>
          <w:sz w:val="24"/>
          <w:szCs w:val="24"/>
          <w:highlight w:val="none"/>
        </w:rPr>
        <w:t>电话：</w:t>
      </w:r>
      <w:r>
        <w:rPr>
          <w:rFonts w:hint="eastAsia" w:cs="宋体"/>
          <w:color w:val="auto"/>
          <w:sz w:val="24"/>
          <w:szCs w:val="24"/>
          <w:highlight w:val="none"/>
          <w:lang w:val="en-US" w:eastAsia="zh-CN"/>
        </w:rPr>
        <w:t xml:space="preserve"> </w:t>
      </w:r>
    </w:p>
    <w:p w14:paraId="177D925E">
      <w:pPr>
        <w:pStyle w:val="41"/>
        <w:numPr>
          <w:ilvl w:val="0"/>
          <w:numId w:val="0"/>
        </w:numPr>
        <w:tabs>
          <w:tab w:val="left" w:pos="1464"/>
        </w:tabs>
        <w:spacing w:before="170" w:after="0" w:line="240" w:lineRule="auto"/>
        <w:ind w:right="312" w:rightChars="0" w:firstLine="3120" w:firstLineChars="13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邮政编码：</w:t>
      </w:r>
      <w:r>
        <w:rPr>
          <w:rFonts w:hint="eastAsia" w:cs="宋体"/>
          <w:color w:val="auto"/>
          <w:sz w:val="24"/>
          <w:szCs w:val="24"/>
          <w:highlight w:val="none"/>
          <w:lang w:val="en-US" w:eastAsia="zh-CN"/>
        </w:rPr>
        <w:t xml:space="preserve"> </w:t>
      </w:r>
    </w:p>
    <w:p w14:paraId="1CC5C624">
      <w:pPr>
        <w:pStyle w:val="41"/>
        <w:numPr>
          <w:ilvl w:val="0"/>
          <w:numId w:val="0"/>
        </w:numPr>
        <w:tabs>
          <w:tab w:val="left" w:pos="1464"/>
        </w:tabs>
        <w:spacing w:before="170" w:after="0" w:line="393" w:lineRule="auto"/>
        <w:ind w:right="312" w:rightChars="0" w:firstLine="480" w:firstLineChars="200"/>
        <w:jc w:val="left"/>
        <w:rPr>
          <w:rFonts w:hint="eastAsia" w:ascii="宋体" w:hAnsi="宋体" w:eastAsia="宋体" w:cs="宋体"/>
          <w:color w:val="auto"/>
          <w:sz w:val="24"/>
          <w:szCs w:val="24"/>
          <w:highlight w:val="none"/>
        </w:rPr>
      </w:pPr>
    </w:p>
    <w:p w14:paraId="6C896A3C">
      <w:pPr>
        <w:pStyle w:val="3"/>
        <w:tabs>
          <w:tab w:val="left" w:pos="420"/>
          <w:tab w:val="left" w:pos="945"/>
          <w:tab w:val="left" w:pos="1574"/>
        </w:tabs>
        <w:spacing w:before="70"/>
        <w:ind w:right="184"/>
        <w:jc w:val="center"/>
        <w:rPr>
          <w:rFonts w:hint="eastAsia" w:ascii="宋体" w:hAnsi="宋体" w:eastAsia="宋体" w:cs="宋体"/>
          <w:color w:val="auto"/>
          <w:sz w:val="24"/>
          <w:szCs w:val="24"/>
          <w:highlight w:val="none"/>
        </w:rPr>
      </w:pPr>
      <w:r>
        <w:rPr>
          <w:rFonts w:hint="eastAsia" w:ascii="宋体" w:hAnsi="宋体" w:eastAsia="宋体" w:cs="宋体"/>
          <w:color w:val="auto"/>
          <w:w w:val="99"/>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日</w:t>
      </w:r>
    </w:p>
    <w:p w14:paraId="5D817742">
      <w:pPr>
        <w:spacing w:after="0"/>
        <w:jc w:val="center"/>
        <w:rPr>
          <w:rFonts w:hint="eastAsia" w:ascii="宋体" w:hAnsi="宋体" w:eastAsia="宋体" w:cs="宋体"/>
          <w:color w:val="auto"/>
          <w:sz w:val="24"/>
          <w:szCs w:val="24"/>
          <w:highlight w:val="none"/>
        </w:rPr>
        <w:sectPr>
          <w:headerReference r:id="rId5" w:type="default"/>
          <w:footerReference r:id="rId6" w:type="default"/>
          <w:pgSz w:w="11910" w:h="16840"/>
          <w:pgMar w:top="1440" w:right="1080" w:bottom="1440" w:left="1080" w:header="882" w:footer="1140" w:gutter="0"/>
          <w:pgNumType w:fmt="decimal"/>
          <w:cols w:space="720" w:num="1"/>
        </w:sectPr>
      </w:pPr>
    </w:p>
    <w:p w14:paraId="23BEBD59">
      <w:pPr>
        <w:widowControl w:val="0"/>
        <w:numPr>
          <w:ilvl w:val="0"/>
          <w:numId w:val="0"/>
        </w:numPr>
        <w:spacing w:line="480" w:lineRule="atLeast"/>
        <w:jc w:val="center"/>
        <w:textAlignment w:val="baseline"/>
        <w:outlineLvl w:val="2"/>
        <w:rPr>
          <w:rFonts w:hint="eastAsia" w:ascii="宋体" w:hAnsi="宋体" w:eastAsia="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（二）</w:t>
      </w:r>
      <w:r>
        <w:rPr>
          <w:rFonts w:hint="eastAsia" w:ascii="宋体" w:hAnsi="宋体" w:eastAsia="宋体" w:cs="宋体"/>
          <w:b/>
          <w:bCs/>
          <w:color w:val="auto"/>
          <w:sz w:val="32"/>
          <w:szCs w:val="32"/>
          <w:highlight w:val="none"/>
          <w:lang w:val="en-US" w:eastAsia="zh-CN"/>
        </w:rPr>
        <w:t>投标函附录</w:t>
      </w:r>
    </w:p>
    <w:tbl>
      <w:tblPr>
        <w:tblStyle w:val="21"/>
        <w:tblW w:w="961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71"/>
        <w:gridCol w:w="6648"/>
      </w:tblGrid>
      <w:tr w14:paraId="4C1E3E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trPr>
        <w:tc>
          <w:tcPr>
            <w:tcW w:w="2971" w:type="dxa"/>
            <w:noWrap w:val="0"/>
            <w:vAlign w:val="center"/>
          </w:tcPr>
          <w:p w14:paraId="7CE465CD">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项目名称</w:t>
            </w:r>
          </w:p>
        </w:tc>
        <w:tc>
          <w:tcPr>
            <w:tcW w:w="6648" w:type="dxa"/>
            <w:noWrap w:val="0"/>
            <w:vAlign w:val="center"/>
          </w:tcPr>
          <w:p w14:paraId="212A8DA6">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p>
        </w:tc>
      </w:tr>
      <w:tr w14:paraId="5C8060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4" w:hRule="atLeast"/>
        </w:trPr>
        <w:tc>
          <w:tcPr>
            <w:tcW w:w="2971" w:type="dxa"/>
            <w:noWrap w:val="0"/>
            <w:vAlign w:val="center"/>
          </w:tcPr>
          <w:p w14:paraId="4732DDF2">
            <w:pPr>
              <w:widowControl w:val="0"/>
              <w:numPr>
                <w:ilvl w:val="0"/>
                <w:numId w:val="0"/>
              </w:numPr>
              <w:spacing w:line="480" w:lineRule="atLeast"/>
              <w:jc w:val="center"/>
              <w:textAlignment w:val="baseline"/>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供应商名称</w:t>
            </w:r>
          </w:p>
        </w:tc>
        <w:tc>
          <w:tcPr>
            <w:tcW w:w="6648" w:type="dxa"/>
            <w:noWrap w:val="0"/>
            <w:vAlign w:val="center"/>
          </w:tcPr>
          <w:p w14:paraId="114315C0">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p>
        </w:tc>
      </w:tr>
      <w:tr w14:paraId="2D8A2E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7" w:hRule="atLeast"/>
        </w:trPr>
        <w:tc>
          <w:tcPr>
            <w:tcW w:w="2971" w:type="dxa"/>
            <w:noWrap w:val="0"/>
            <w:vAlign w:val="center"/>
          </w:tcPr>
          <w:p w14:paraId="74B5F2BD">
            <w:pPr>
              <w:widowControl w:val="0"/>
              <w:numPr>
                <w:ilvl w:val="0"/>
                <w:numId w:val="0"/>
              </w:numPr>
              <w:spacing w:line="480" w:lineRule="atLeast"/>
              <w:jc w:val="center"/>
              <w:textAlignment w:val="baseline"/>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供应商地址</w:t>
            </w:r>
          </w:p>
        </w:tc>
        <w:tc>
          <w:tcPr>
            <w:tcW w:w="6648" w:type="dxa"/>
            <w:noWrap w:val="0"/>
            <w:vAlign w:val="center"/>
          </w:tcPr>
          <w:p w14:paraId="0BA12E46">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p>
        </w:tc>
      </w:tr>
      <w:tr w14:paraId="6CE4C4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2" w:hRule="atLeast"/>
        </w:trPr>
        <w:tc>
          <w:tcPr>
            <w:tcW w:w="2971" w:type="dxa"/>
            <w:noWrap w:val="0"/>
            <w:vAlign w:val="center"/>
          </w:tcPr>
          <w:p w14:paraId="4CAFCF45">
            <w:pPr>
              <w:widowControl w:val="0"/>
              <w:numPr>
                <w:ilvl w:val="0"/>
                <w:numId w:val="0"/>
              </w:numPr>
              <w:spacing w:line="480" w:lineRule="atLeast"/>
              <w:jc w:val="center"/>
              <w:textAlignment w:val="baseline"/>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供应商统一社会信用代码</w:t>
            </w:r>
          </w:p>
        </w:tc>
        <w:tc>
          <w:tcPr>
            <w:tcW w:w="6648" w:type="dxa"/>
            <w:noWrap w:val="0"/>
            <w:vAlign w:val="center"/>
          </w:tcPr>
          <w:p w14:paraId="0E3C80D5">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p>
        </w:tc>
      </w:tr>
      <w:tr w14:paraId="0E4DD4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2" w:hRule="atLeast"/>
        </w:trPr>
        <w:tc>
          <w:tcPr>
            <w:tcW w:w="2971" w:type="dxa"/>
            <w:noWrap w:val="0"/>
            <w:vAlign w:val="center"/>
          </w:tcPr>
          <w:p w14:paraId="0215FDBD">
            <w:pPr>
              <w:widowControl w:val="0"/>
              <w:numPr>
                <w:ilvl w:val="0"/>
                <w:numId w:val="0"/>
              </w:numPr>
              <w:spacing w:line="480" w:lineRule="atLeast"/>
              <w:jc w:val="center"/>
              <w:textAlignment w:val="baseline"/>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项目经理及证书编号</w:t>
            </w:r>
          </w:p>
        </w:tc>
        <w:tc>
          <w:tcPr>
            <w:tcW w:w="6648" w:type="dxa"/>
            <w:noWrap w:val="0"/>
            <w:vAlign w:val="center"/>
          </w:tcPr>
          <w:p w14:paraId="102598E5">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p>
        </w:tc>
      </w:tr>
      <w:tr w14:paraId="14EE63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88" w:hRule="atLeast"/>
        </w:trPr>
        <w:tc>
          <w:tcPr>
            <w:tcW w:w="2971" w:type="dxa"/>
            <w:noWrap w:val="0"/>
            <w:vAlign w:val="center"/>
          </w:tcPr>
          <w:p w14:paraId="2A99CD00">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cs="宋体"/>
                <w:color w:val="auto"/>
                <w:sz w:val="24"/>
                <w:szCs w:val="24"/>
                <w:highlight w:val="none"/>
                <w:lang w:val="en-US" w:eastAsia="zh-CN"/>
              </w:rPr>
              <w:t>投标</w:t>
            </w:r>
            <w:r>
              <w:rPr>
                <w:rFonts w:hint="eastAsia" w:ascii="宋体" w:hAnsi="宋体" w:eastAsia="宋体" w:cs="宋体"/>
                <w:color w:val="auto"/>
                <w:sz w:val="24"/>
                <w:szCs w:val="24"/>
                <w:highlight w:val="none"/>
                <w:lang w:val="en-US" w:eastAsia="zh-CN"/>
              </w:rPr>
              <w:t>报价</w:t>
            </w:r>
          </w:p>
        </w:tc>
        <w:tc>
          <w:tcPr>
            <w:tcW w:w="6648" w:type="dxa"/>
            <w:noWrap w:val="0"/>
            <w:vAlign w:val="center"/>
          </w:tcPr>
          <w:p w14:paraId="29A8BF07">
            <w:pPr>
              <w:widowControl w:val="0"/>
              <w:numPr>
                <w:ilvl w:val="0"/>
                <w:numId w:val="0"/>
              </w:numPr>
              <w:spacing w:line="480" w:lineRule="atLeast"/>
              <w:jc w:val="both"/>
              <w:textAlignment w:val="baseline"/>
              <w:rPr>
                <w:rFonts w:hint="eastAsia" w:ascii="宋体" w:hAnsi="宋体" w:eastAsia="宋体" w:cs="宋体"/>
                <w:b w:val="0"/>
                <w:bCs w:val="0"/>
                <w:color w:val="auto"/>
                <w:sz w:val="24"/>
                <w:szCs w:val="24"/>
                <w:highlight w:val="none"/>
                <w:lang w:val="en-US" w:eastAsia="zh-CN"/>
              </w:rPr>
            </w:pPr>
          </w:p>
        </w:tc>
      </w:tr>
      <w:tr w14:paraId="778708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2" w:hRule="atLeast"/>
        </w:trPr>
        <w:tc>
          <w:tcPr>
            <w:tcW w:w="2971" w:type="dxa"/>
            <w:noWrap w:val="0"/>
            <w:vAlign w:val="center"/>
          </w:tcPr>
          <w:p w14:paraId="4272190D">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计划工期</w:t>
            </w:r>
          </w:p>
        </w:tc>
        <w:tc>
          <w:tcPr>
            <w:tcW w:w="6648" w:type="dxa"/>
            <w:noWrap w:val="0"/>
            <w:vAlign w:val="center"/>
          </w:tcPr>
          <w:p w14:paraId="397194BE">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p>
        </w:tc>
      </w:tr>
      <w:tr w14:paraId="33E023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0" w:hRule="atLeast"/>
        </w:trPr>
        <w:tc>
          <w:tcPr>
            <w:tcW w:w="2971" w:type="dxa"/>
            <w:noWrap w:val="0"/>
            <w:vAlign w:val="center"/>
          </w:tcPr>
          <w:p w14:paraId="1ADB1D74">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质量要求</w:t>
            </w:r>
          </w:p>
        </w:tc>
        <w:tc>
          <w:tcPr>
            <w:tcW w:w="6648" w:type="dxa"/>
            <w:noWrap w:val="0"/>
            <w:vAlign w:val="center"/>
          </w:tcPr>
          <w:p w14:paraId="1A3A446F">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p>
        </w:tc>
      </w:tr>
      <w:tr w14:paraId="173781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0" w:hRule="atLeast"/>
        </w:trPr>
        <w:tc>
          <w:tcPr>
            <w:tcW w:w="2971" w:type="dxa"/>
            <w:noWrap w:val="0"/>
            <w:vAlign w:val="center"/>
          </w:tcPr>
          <w:p w14:paraId="15E6B408">
            <w:pPr>
              <w:spacing w:line="460" w:lineRule="exact"/>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Times New Roman"/>
                <w:color w:val="auto"/>
                <w:sz w:val="24"/>
                <w:szCs w:val="24"/>
                <w:highlight w:val="none"/>
              </w:rPr>
              <w:t>磋商有效期</w:t>
            </w:r>
          </w:p>
        </w:tc>
        <w:tc>
          <w:tcPr>
            <w:tcW w:w="6648" w:type="dxa"/>
            <w:noWrap w:val="0"/>
            <w:vAlign w:val="center"/>
          </w:tcPr>
          <w:p w14:paraId="465C6CBB">
            <w:pPr>
              <w:spacing w:line="460" w:lineRule="exact"/>
              <w:rPr>
                <w:rFonts w:hint="eastAsia" w:ascii="宋体" w:hAnsi="宋体" w:eastAsia="宋体" w:cs="宋体"/>
                <w:b w:val="0"/>
                <w:bCs w:val="0"/>
                <w:color w:val="auto"/>
                <w:sz w:val="24"/>
                <w:szCs w:val="24"/>
                <w:highlight w:val="none"/>
                <w:lang w:val="en-US" w:eastAsia="zh-CN"/>
              </w:rPr>
            </w:pPr>
          </w:p>
        </w:tc>
      </w:tr>
      <w:tr w14:paraId="77489C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0" w:hRule="atLeast"/>
        </w:trPr>
        <w:tc>
          <w:tcPr>
            <w:tcW w:w="2971" w:type="dxa"/>
            <w:noWrap w:val="0"/>
            <w:vAlign w:val="center"/>
          </w:tcPr>
          <w:p w14:paraId="3A5637F4">
            <w:pPr>
              <w:spacing w:line="460" w:lineRule="exact"/>
              <w:jc w:val="center"/>
              <w:rPr>
                <w:rFonts w:hint="default"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项目联系人及联系方式</w:t>
            </w:r>
          </w:p>
        </w:tc>
        <w:tc>
          <w:tcPr>
            <w:tcW w:w="6648" w:type="dxa"/>
            <w:noWrap w:val="0"/>
            <w:vAlign w:val="center"/>
          </w:tcPr>
          <w:p w14:paraId="344F5DCF">
            <w:pPr>
              <w:spacing w:line="460" w:lineRule="exact"/>
              <w:rPr>
                <w:rFonts w:hint="eastAsia" w:ascii="宋体" w:hAnsi="宋体" w:eastAsia="宋体" w:cs="宋体"/>
                <w:b w:val="0"/>
                <w:bCs w:val="0"/>
                <w:color w:val="auto"/>
                <w:sz w:val="24"/>
                <w:szCs w:val="24"/>
                <w:highlight w:val="none"/>
                <w:lang w:val="en-US" w:eastAsia="zh-CN"/>
              </w:rPr>
            </w:pPr>
          </w:p>
        </w:tc>
      </w:tr>
      <w:tr w14:paraId="2CEFE2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7" w:hRule="atLeast"/>
        </w:trPr>
        <w:tc>
          <w:tcPr>
            <w:tcW w:w="2971" w:type="dxa"/>
            <w:noWrap w:val="0"/>
            <w:vAlign w:val="center"/>
          </w:tcPr>
          <w:p w14:paraId="7457EAF0">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备注</w:t>
            </w:r>
          </w:p>
        </w:tc>
        <w:tc>
          <w:tcPr>
            <w:tcW w:w="6648" w:type="dxa"/>
            <w:noWrap w:val="0"/>
            <w:vAlign w:val="center"/>
          </w:tcPr>
          <w:p w14:paraId="7F96F508">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p>
        </w:tc>
      </w:tr>
    </w:tbl>
    <w:p w14:paraId="400998A4">
      <w:pPr>
        <w:widowControl w:val="0"/>
        <w:numPr>
          <w:ilvl w:val="0"/>
          <w:numId w:val="0"/>
        </w:numPr>
        <w:spacing w:line="480" w:lineRule="atLeast"/>
        <w:jc w:val="center"/>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z w:val="32"/>
          <w:szCs w:val="32"/>
          <w:highlight w:val="none"/>
          <w:lang w:val="en-US" w:eastAsia="zh-CN"/>
        </w:rPr>
        <w:t xml:space="preserve"> </w:t>
      </w:r>
    </w:p>
    <w:p w14:paraId="25DD6501">
      <w:pPr>
        <w:pStyle w:val="3"/>
        <w:spacing w:before="168" w:line="360" w:lineRule="auto"/>
        <w:ind w:left="47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供应商：（盖章）</w:t>
      </w:r>
    </w:p>
    <w:p w14:paraId="7BEED225">
      <w:pPr>
        <w:pStyle w:val="3"/>
        <w:spacing w:line="360" w:lineRule="auto"/>
        <w:ind w:left="472"/>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法</w:t>
      </w:r>
      <w:r>
        <w:rPr>
          <w:rFonts w:hint="eastAsia" w:ascii="宋体" w:hAnsi="宋体" w:eastAsia="宋体" w:cs="宋体"/>
          <w:color w:val="auto"/>
          <w:sz w:val="24"/>
          <w:szCs w:val="24"/>
          <w:highlight w:val="none"/>
        </w:rPr>
        <w:t>定代表人：（签字或盖章）</w:t>
      </w:r>
    </w:p>
    <w:p w14:paraId="0C746A4F">
      <w:pPr>
        <w:pStyle w:val="3"/>
        <w:tabs>
          <w:tab w:val="left" w:pos="1944"/>
          <w:tab w:val="left" w:pos="3146"/>
          <w:tab w:val="left" w:pos="4407"/>
        </w:tabs>
        <w:spacing w:line="360" w:lineRule="auto"/>
        <w:ind w:left="47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3"/>
          <w:sz w:val="24"/>
          <w:szCs w:val="24"/>
          <w:highlight w:val="none"/>
        </w:rPr>
        <w:t>期</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日</w:t>
      </w:r>
    </w:p>
    <w:p w14:paraId="3821A910">
      <w:pPr>
        <w:bidi w:val="0"/>
        <w:jc w:val="center"/>
        <w:rPr>
          <w:rFonts w:hint="default" w:ascii="Calibri" w:hAnsi="Calibri" w:eastAsia="宋体" w:cs="Times New Roman"/>
          <w:color w:val="auto"/>
          <w:kern w:val="2"/>
          <w:sz w:val="21"/>
          <w:szCs w:val="24"/>
          <w:highlight w:val="none"/>
          <w:lang w:val="en-US" w:eastAsia="zh-CN" w:bidi="ar-SA"/>
        </w:rPr>
      </w:pPr>
    </w:p>
    <w:p w14:paraId="151CD9E9">
      <w:pPr>
        <w:rPr>
          <w:rFonts w:hint="eastAsia"/>
          <w:b/>
          <w:color w:val="auto"/>
          <w:sz w:val="30"/>
          <w:highlight w:val="none"/>
          <w:lang w:val="en-US" w:eastAsia="zh-CN"/>
        </w:rPr>
      </w:pPr>
      <w:r>
        <w:rPr>
          <w:rFonts w:hint="eastAsia"/>
          <w:b/>
          <w:color w:val="auto"/>
          <w:sz w:val="30"/>
          <w:highlight w:val="none"/>
          <w:lang w:val="en-US" w:eastAsia="zh-CN"/>
        </w:rPr>
        <w:br w:type="page"/>
      </w:r>
    </w:p>
    <w:p w14:paraId="16181C79">
      <w:pPr>
        <w:spacing w:before="58" w:line="360" w:lineRule="auto"/>
        <w:ind w:left="321" w:right="17" w:firstLine="0"/>
        <w:jc w:val="center"/>
        <w:outlineLvl w:val="1"/>
        <w:rPr>
          <w:b/>
          <w:color w:val="auto"/>
          <w:highlight w:val="none"/>
        </w:rPr>
      </w:pPr>
      <w:r>
        <w:rPr>
          <w:rFonts w:hint="eastAsia"/>
          <w:b/>
          <w:color w:val="auto"/>
          <w:sz w:val="30"/>
          <w:highlight w:val="none"/>
          <w:lang w:val="en-US" w:eastAsia="zh-CN"/>
        </w:rPr>
        <w:t>二</w:t>
      </w:r>
      <w:r>
        <w:rPr>
          <w:b/>
          <w:color w:val="auto"/>
          <w:sz w:val="30"/>
          <w:highlight w:val="none"/>
        </w:rPr>
        <w:t>、法定代表人身份证明</w:t>
      </w:r>
    </w:p>
    <w:p w14:paraId="4ED593B9">
      <w:pPr>
        <w:pStyle w:val="3"/>
        <w:tabs>
          <w:tab w:val="left" w:pos="2789"/>
          <w:tab w:val="left" w:pos="3838"/>
          <w:tab w:val="left" w:pos="4887"/>
        </w:tabs>
        <w:spacing w:before="2" w:line="360" w:lineRule="auto"/>
        <w:ind w:left="686"/>
        <w:rPr>
          <w:color w:val="auto"/>
          <w:sz w:val="24"/>
          <w:szCs w:val="24"/>
          <w:highlight w:val="none"/>
        </w:rPr>
      </w:pPr>
      <w:r>
        <w:rPr>
          <w:color w:val="auto"/>
          <w:sz w:val="24"/>
          <w:szCs w:val="24"/>
          <w:highlight w:val="none"/>
        </w:rPr>
        <w:t>供应商名称：</w:t>
      </w:r>
    </w:p>
    <w:p w14:paraId="5BCE4301">
      <w:pPr>
        <w:pStyle w:val="3"/>
        <w:tabs>
          <w:tab w:val="left" w:pos="2789"/>
          <w:tab w:val="left" w:pos="3838"/>
          <w:tab w:val="left" w:pos="4887"/>
        </w:tabs>
        <w:spacing w:before="2" w:line="360" w:lineRule="auto"/>
        <w:ind w:left="686"/>
        <w:rPr>
          <w:color w:val="auto"/>
          <w:sz w:val="24"/>
          <w:szCs w:val="24"/>
          <w:highlight w:val="none"/>
        </w:rPr>
      </w:pPr>
      <w:r>
        <w:rPr>
          <w:color w:val="auto"/>
          <w:sz w:val="24"/>
          <w:szCs w:val="24"/>
          <w:highlight w:val="none"/>
        </w:rPr>
        <w:t>单位性质：</w:t>
      </w:r>
    </w:p>
    <w:p w14:paraId="54247856">
      <w:pPr>
        <w:pStyle w:val="3"/>
        <w:tabs>
          <w:tab w:val="left" w:pos="2789"/>
          <w:tab w:val="left" w:pos="3838"/>
          <w:tab w:val="left" w:pos="4887"/>
        </w:tabs>
        <w:spacing w:before="2" w:line="360" w:lineRule="auto"/>
        <w:ind w:left="686"/>
        <w:rPr>
          <w:color w:val="auto"/>
          <w:sz w:val="24"/>
          <w:szCs w:val="24"/>
          <w:highlight w:val="none"/>
        </w:rPr>
      </w:pPr>
      <w:r>
        <w:rPr>
          <w:color w:val="auto"/>
          <w:sz w:val="24"/>
          <w:szCs w:val="24"/>
          <w:highlight w:val="none"/>
        </w:rPr>
        <w:t xml:space="preserve">地址：  </w:t>
      </w:r>
    </w:p>
    <w:p w14:paraId="5B19A9CE">
      <w:pPr>
        <w:pStyle w:val="3"/>
        <w:tabs>
          <w:tab w:val="left" w:pos="2789"/>
          <w:tab w:val="left" w:pos="3838"/>
          <w:tab w:val="left" w:pos="4887"/>
        </w:tabs>
        <w:spacing w:before="2" w:line="360" w:lineRule="auto"/>
        <w:ind w:left="686"/>
        <w:rPr>
          <w:color w:val="auto"/>
          <w:sz w:val="24"/>
          <w:szCs w:val="24"/>
          <w:highlight w:val="none"/>
        </w:rPr>
      </w:pPr>
      <w:r>
        <w:rPr>
          <w:color w:val="auto"/>
          <w:sz w:val="24"/>
          <w:szCs w:val="24"/>
          <w:highlight w:val="none"/>
        </w:rPr>
        <w:t>成立</w:t>
      </w:r>
      <w:r>
        <w:rPr>
          <w:color w:val="auto"/>
          <w:spacing w:val="-3"/>
          <w:sz w:val="24"/>
          <w:szCs w:val="24"/>
          <w:highlight w:val="none"/>
        </w:rPr>
        <w:t>时</w:t>
      </w:r>
      <w:r>
        <w:rPr>
          <w:color w:val="auto"/>
          <w:sz w:val="24"/>
          <w:szCs w:val="24"/>
          <w:highlight w:val="none"/>
        </w:rPr>
        <w:t>间</w:t>
      </w:r>
      <w:r>
        <w:rPr>
          <w:color w:val="auto"/>
          <w:spacing w:val="-3"/>
          <w:sz w:val="24"/>
          <w:szCs w:val="24"/>
          <w:highlight w:val="none"/>
        </w:rPr>
        <w:t>：</w:t>
      </w:r>
      <w:r>
        <w:rPr>
          <w:color w:val="auto"/>
          <w:spacing w:val="-3"/>
          <w:sz w:val="24"/>
          <w:szCs w:val="24"/>
          <w:highlight w:val="none"/>
          <w:u w:val="single"/>
        </w:rPr>
        <w:t xml:space="preserve"> </w:t>
      </w:r>
      <w:r>
        <w:rPr>
          <w:rFonts w:hint="eastAsia"/>
          <w:color w:val="auto"/>
          <w:spacing w:val="-3"/>
          <w:sz w:val="24"/>
          <w:szCs w:val="24"/>
          <w:highlight w:val="none"/>
          <w:u w:val="single"/>
          <w:lang w:val="en-US" w:eastAsia="zh-CN"/>
        </w:rPr>
        <w:t xml:space="preserve">     </w:t>
      </w:r>
      <w:r>
        <w:rPr>
          <w:color w:val="auto"/>
          <w:spacing w:val="-3"/>
          <w:sz w:val="24"/>
          <w:szCs w:val="24"/>
          <w:highlight w:val="none"/>
        </w:rPr>
        <w:t>年</w:t>
      </w:r>
      <w:r>
        <w:rPr>
          <w:color w:val="auto"/>
          <w:spacing w:val="-3"/>
          <w:sz w:val="24"/>
          <w:szCs w:val="24"/>
          <w:highlight w:val="none"/>
          <w:u w:val="single"/>
        </w:rPr>
        <w:t xml:space="preserve"> </w:t>
      </w:r>
      <w:r>
        <w:rPr>
          <w:color w:val="auto"/>
          <w:spacing w:val="-3"/>
          <w:sz w:val="24"/>
          <w:szCs w:val="24"/>
          <w:highlight w:val="none"/>
          <w:u w:val="single"/>
        </w:rPr>
        <w:tab/>
      </w:r>
      <w:r>
        <w:rPr>
          <w:color w:val="auto"/>
          <w:sz w:val="24"/>
          <w:szCs w:val="24"/>
          <w:highlight w:val="none"/>
        </w:rPr>
        <w:t>月</w:t>
      </w:r>
      <w:r>
        <w:rPr>
          <w:color w:val="auto"/>
          <w:sz w:val="24"/>
          <w:szCs w:val="24"/>
          <w:highlight w:val="none"/>
          <w:u w:val="single"/>
        </w:rPr>
        <w:t xml:space="preserve"> </w:t>
      </w:r>
      <w:r>
        <w:rPr>
          <w:color w:val="auto"/>
          <w:sz w:val="24"/>
          <w:szCs w:val="24"/>
          <w:highlight w:val="none"/>
          <w:u w:val="single"/>
        </w:rPr>
        <w:tab/>
      </w:r>
      <w:r>
        <w:rPr>
          <w:color w:val="auto"/>
          <w:sz w:val="24"/>
          <w:szCs w:val="24"/>
          <w:highlight w:val="none"/>
        </w:rPr>
        <w:t>日</w:t>
      </w:r>
    </w:p>
    <w:p w14:paraId="1DCAC664">
      <w:pPr>
        <w:pStyle w:val="3"/>
        <w:spacing w:before="72" w:line="360" w:lineRule="auto"/>
        <w:ind w:left="686"/>
        <w:rPr>
          <w:color w:val="auto"/>
          <w:sz w:val="24"/>
          <w:szCs w:val="24"/>
          <w:highlight w:val="none"/>
        </w:rPr>
      </w:pPr>
      <w:r>
        <w:rPr>
          <w:color w:val="auto"/>
          <w:sz w:val="24"/>
          <w:szCs w:val="24"/>
          <w:highlight w:val="none"/>
        </w:rPr>
        <w:t>经营期限：</w:t>
      </w:r>
    </w:p>
    <w:p w14:paraId="4C0D0874">
      <w:pPr>
        <w:pStyle w:val="3"/>
        <w:tabs>
          <w:tab w:val="left" w:pos="2311"/>
          <w:tab w:val="left" w:pos="3944"/>
          <w:tab w:val="left" w:pos="5412"/>
        </w:tabs>
        <w:spacing w:line="360" w:lineRule="auto"/>
        <w:ind w:left="686"/>
        <w:rPr>
          <w:color w:val="auto"/>
          <w:sz w:val="24"/>
          <w:szCs w:val="24"/>
          <w:highlight w:val="none"/>
        </w:rPr>
      </w:pPr>
      <w:r>
        <w:rPr>
          <w:color w:val="auto"/>
          <w:sz w:val="24"/>
          <w:szCs w:val="24"/>
          <w:highlight w:val="none"/>
        </w:rPr>
        <w:t>姓名</w:t>
      </w:r>
      <w:r>
        <w:rPr>
          <w:color w:val="auto"/>
          <w:spacing w:val="-3"/>
          <w:sz w:val="24"/>
          <w:szCs w:val="24"/>
          <w:highlight w:val="none"/>
        </w:rPr>
        <w:t>：</w:t>
      </w:r>
      <w:r>
        <w:rPr>
          <w:color w:val="auto"/>
          <w:spacing w:val="-3"/>
          <w:sz w:val="24"/>
          <w:szCs w:val="24"/>
          <w:highlight w:val="none"/>
          <w:u w:val="single"/>
        </w:rPr>
        <w:t xml:space="preserve"> </w:t>
      </w:r>
      <w:r>
        <w:rPr>
          <w:color w:val="auto"/>
          <w:spacing w:val="-3"/>
          <w:sz w:val="24"/>
          <w:szCs w:val="24"/>
          <w:highlight w:val="none"/>
          <w:u w:val="single"/>
        </w:rPr>
        <w:tab/>
      </w:r>
      <w:r>
        <w:rPr>
          <w:color w:val="auto"/>
          <w:spacing w:val="-3"/>
          <w:sz w:val="24"/>
          <w:szCs w:val="24"/>
          <w:highlight w:val="none"/>
        </w:rPr>
        <w:t>性</w:t>
      </w:r>
      <w:r>
        <w:rPr>
          <w:color w:val="auto"/>
          <w:sz w:val="24"/>
          <w:szCs w:val="24"/>
          <w:highlight w:val="none"/>
        </w:rPr>
        <w:t>别</w:t>
      </w:r>
      <w:r>
        <w:rPr>
          <w:color w:val="auto"/>
          <w:spacing w:val="-3"/>
          <w:sz w:val="24"/>
          <w:szCs w:val="24"/>
          <w:highlight w:val="none"/>
        </w:rPr>
        <w:t>：</w:t>
      </w:r>
      <w:r>
        <w:rPr>
          <w:color w:val="auto"/>
          <w:spacing w:val="-3"/>
          <w:sz w:val="24"/>
          <w:szCs w:val="24"/>
          <w:highlight w:val="none"/>
          <w:u w:val="single"/>
        </w:rPr>
        <w:t xml:space="preserve"> </w:t>
      </w:r>
      <w:r>
        <w:rPr>
          <w:color w:val="auto"/>
          <w:spacing w:val="-3"/>
          <w:sz w:val="24"/>
          <w:szCs w:val="24"/>
          <w:highlight w:val="none"/>
          <w:u w:val="single"/>
        </w:rPr>
        <w:tab/>
      </w:r>
      <w:r>
        <w:rPr>
          <w:color w:val="auto"/>
          <w:spacing w:val="-3"/>
          <w:sz w:val="24"/>
          <w:szCs w:val="24"/>
          <w:highlight w:val="none"/>
        </w:rPr>
        <w:t>年</w:t>
      </w:r>
      <w:r>
        <w:rPr>
          <w:color w:val="auto"/>
          <w:sz w:val="24"/>
          <w:szCs w:val="24"/>
          <w:highlight w:val="none"/>
        </w:rPr>
        <w:t>龄</w:t>
      </w:r>
      <w:r>
        <w:rPr>
          <w:color w:val="auto"/>
          <w:spacing w:val="-3"/>
          <w:sz w:val="24"/>
          <w:szCs w:val="24"/>
          <w:highlight w:val="none"/>
        </w:rPr>
        <w:t>：</w:t>
      </w:r>
      <w:r>
        <w:rPr>
          <w:color w:val="auto"/>
          <w:spacing w:val="-3"/>
          <w:sz w:val="24"/>
          <w:szCs w:val="24"/>
          <w:highlight w:val="none"/>
          <w:u w:val="single"/>
        </w:rPr>
        <w:t xml:space="preserve"> </w:t>
      </w:r>
      <w:r>
        <w:rPr>
          <w:color w:val="auto"/>
          <w:spacing w:val="-3"/>
          <w:sz w:val="24"/>
          <w:szCs w:val="24"/>
          <w:highlight w:val="none"/>
          <w:u w:val="single"/>
        </w:rPr>
        <w:tab/>
      </w:r>
      <w:r>
        <w:rPr>
          <w:color w:val="auto"/>
          <w:sz w:val="24"/>
          <w:szCs w:val="24"/>
          <w:highlight w:val="none"/>
        </w:rPr>
        <w:t>职务：</w:t>
      </w:r>
    </w:p>
    <w:p w14:paraId="013D91BB">
      <w:pPr>
        <w:pStyle w:val="3"/>
        <w:tabs>
          <w:tab w:val="left" w:pos="3991"/>
        </w:tabs>
        <w:spacing w:before="79" w:line="360" w:lineRule="auto"/>
        <w:ind w:left="686"/>
        <w:rPr>
          <w:color w:val="auto"/>
          <w:sz w:val="24"/>
          <w:szCs w:val="24"/>
          <w:highlight w:val="none"/>
        </w:rPr>
      </w:pPr>
      <w:r>
        <w:rPr>
          <w:color w:val="auto"/>
          <w:sz w:val="24"/>
          <w:szCs w:val="24"/>
          <w:highlight w:val="none"/>
        </w:rPr>
        <w:t>系</w:t>
      </w:r>
      <w:r>
        <w:rPr>
          <w:color w:val="auto"/>
          <w:sz w:val="24"/>
          <w:szCs w:val="24"/>
          <w:highlight w:val="none"/>
          <w:u w:val="single"/>
        </w:rPr>
        <w:t xml:space="preserve"> </w:t>
      </w:r>
      <w:r>
        <w:rPr>
          <w:color w:val="auto"/>
          <w:sz w:val="24"/>
          <w:szCs w:val="24"/>
          <w:highlight w:val="none"/>
          <w:u w:val="single"/>
        </w:rPr>
        <w:tab/>
      </w:r>
      <w:r>
        <w:rPr>
          <w:color w:val="auto"/>
          <w:sz w:val="24"/>
          <w:szCs w:val="24"/>
          <w:highlight w:val="none"/>
        </w:rPr>
        <w:t>（</w:t>
      </w:r>
      <w:r>
        <w:rPr>
          <w:color w:val="auto"/>
          <w:spacing w:val="-3"/>
          <w:sz w:val="24"/>
          <w:szCs w:val="24"/>
          <w:highlight w:val="none"/>
        </w:rPr>
        <w:t>供</w:t>
      </w:r>
      <w:r>
        <w:rPr>
          <w:color w:val="auto"/>
          <w:sz w:val="24"/>
          <w:szCs w:val="24"/>
          <w:highlight w:val="none"/>
        </w:rPr>
        <w:t>应</w:t>
      </w:r>
      <w:r>
        <w:rPr>
          <w:color w:val="auto"/>
          <w:spacing w:val="-3"/>
          <w:sz w:val="24"/>
          <w:szCs w:val="24"/>
          <w:highlight w:val="none"/>
        </w:rPr>
        <w:t>商</w:t>
      </w:r>
      <w:r>
        <w:rPr>
          <w:color w:val="auto"/>
          <w:sz w:val="24"/>
          <w:szCs w:val="24"/>
          <w:highlight w:val="none"/>
        </w:rPr>
        <w:t>名</w:t>
      </w:r>
      <w:r>
        <w:rPr>
          <w:color w:val="auto"/>
          <w:spacing w:val="-3"/>
          <w:sz w:val="24"/>
          <w:szCs w:val="24"/>
          <w:highlight w:val="none"/>
        </w:rPr>
        <w:t>称）</w:t>
      </w:r>
      <w:r>
        <w:rPr>
          <w:color w:val="auto"/>
          <w:sz w:val="24"/>
          <w:szCs w:val="24"/>
          <w:highlight w:val="none"/>
        </w:rPr>
        <w:t>的法</w:t>
      </w:r>
      <w:r>
        <w:rPr>
          <w:color w:val="auto"/>
          <w:spacing w:val="-3"/>
          <w:sz w:val="24"/>
          <w:szCs w:val="24"/>
          <w:highlight w:val="none"/>
        </w:rPr>
        <w:t>定</w:t>
      </w:r>
      <w:r>
        <w:rPr>
          <w:color w:val="auto"/>
          <w:sz w:val="24"/>
          <w:szCs w:val="24"/>
          <w:highlight w:val="none"/>
        </w:rPr>
        <w:t>代</w:t>
      </w:r>
      <w:r>
        <w:rPr>
          <w:color w:val="auto"/>
          <w:spacing w:val="-3"/>
          <w:sz w:val="24"/>
          <w:szCs w:val="24"/>
          <w:highlight w:val="none"/>
        </w:rPr>
        <w:t>表</w:t>
      </w:r>
      <w:r>
        <w:rPr>
          <w:color w:val="auto"/>
          <w:sz w:val="24"/>
          <w:szCs w:val="24"/>
          <w:highlight w:val="none"/>
        </w:rPr>
        <w:t>人。</w:t>
      </w:r>
    </w:p>
    <w:p w14:paraId="2B9E6ED8">
      <w:pPr>
        <w:pStyle w:val="3"/>
        <w:spacing w:before="11" w:line="360" w:lineRule="auto"/>
        <w:rPr>
          <w:color w:val="auto"/>
          <w:sz w:val="24"/>
          <w:szCs w:val="24"/>
          <w:highlight w:val="none"/>
        </w:rPr>
      </w:pPr>
    </w:p>
    <w:p w14:paraId="29123D32">
      <w:pPr>
        <w:pStyle w:val="3"/>
        <w:spacing w:before="71" w:line="360" w:lineRule="auto"/>
        <w:ind w:left="1102"/>
        <w:rPr>
          <w:color w:val="auto"/>
          <w:sz w:val="24"/>
          <w:szCs w:val="24"/>
          <w:highlight w:val="none"/>
        </w:rPr>
      </w:pPr>
      <w:r>
        <w:rPr>
          <w:color w:val="auto"/>
          <w:sz w:val="24"/>
          <w:szCs w:val="24"/>
          <w:highlight w:val="none"/>
        </w:rPr>
        <w:t>特此证明。</w:t>
      </w:r>
    </w:p>
    <w:p w14:paraId="42271D06">
      <w:pPr>
        <w:pStyle w:val="3"/>
        <w:spacing w:line="360" w:lineRule="auto"/>
        <w:ind w:left="682"/>
        <w:rPr>
          <w:color w:val="auto"/>
          <w:sz w:val="24"/>
          <w:szCs w:val="24"/>
          <w:highlight w:val="none"/>
        </w:rPr>
      </w:pPr>
      <w:r>
        <w:rPr>
          <w:color w:val="auto"/>
          <w:sz w:val="24"/>
          <w:szCs w:val="24"/>
          <w:highlight w:val="none"/>
        </w:rPr>
        <w:t>附：法定代表人身份证复印件</w:t>
      </w:r>
    </w:p>
    <w:p w14:paraId="6E8D6FB1">
      <w:pPr>
        <w:pStyle w:val="3"/>
        <w:rPr>
          <w:color w:val="auto"/>
          <w:sz w:val="24"/>
          <w:szCs w:val="24"/>
          <w:highlight w:val="none"/>
        </w:rPr>
      </w:pPr>
    </w:p>
    <w:p w14:paraId="5EAA220C">
      <w:pPr>
        <w:pStyle w:val="3"/>
        <w:rPr>
          <w:color w:val="auto"/>
          <w:sz w:val="24"/>
          <w:szCs w:val="24"/>
          <w:highlight w:val="none"/>
        </w:rPr>
      </w:pPr>
    </w:p>
    <w:p w14:paraId="05904208">
      <w:pPr>
        <w:pStyle w:val="3"/>
        <w:rPr>
          <w:color w:val="auto"/>
          <w:sz w:val="24"/>
          <w:szCs w:val="24"/>
          <w:highlight w:val="none"/>
        </w:rPr>
      </w:pPr>
    </w:p>
    <w:p w14:paraId="324AA852">
      <w:pPr>
        <w:pStyle w:val="3"/>
        <w:rPr>
          <w:color w:val="auto"/>
          <w:sz w:val="24"/>
          <w:szCs w:val="24"/>
          <w:highlight w:val="none"/>
        </w:rPr>
      </w:pPr>
    </w:p>
    <w:p w14:paraId="7BCD5A21">
      <w:pPr>
        <w:pStyle w:val="3"/>
        <w:rPr>
          <w:color w:val="auto"/>
          <w:sz w:val="24"/>
          <w:szCs w:val="24"/>
          <w:highlight w:val="none"/>
        </w:rPr>
      </w:pPr>
    </w:p>
    <w:p w14:paraId="31C1859D">
      <w:pPr>
        <w:pStyle w:val="3"/>
        <w:spacing w:before="5"/>
        <w:rPr>
          <w:color w:val="auto"/>
          <w:sz w:val="24"/>
          <w:szCs w:val="24"/>
          <w:highlight w:val="none"/>
        </w:rPr>
      </w:pPr>
    </w:p>
    <w:p w14:paraId="536F5D43">
      <w:pPr>
        <w:pStyle w:val="3"/>
        <w:tabs>
          <w:tab w:val="left" w:pos="5616"/>
        </w:tabs>
        <w:ind w:left="2993"/>
        <w:rPr>
          <w:color w:val="auto"/>
          <w:sz w:val="24"/>
          <w:szCs w:val="24"/>
          <w:highlight w:val="none"/>
        </w:rPr>
      </w:pPr>
      <w:r>
        <w:rPr>
          <w:color w:val="auto"/>
          <w:spacing w:val="-3"/>
          <w:sz w:val="24"/>
          <w:szCs w:val="24"/>
          <w:highlight w:val="none"/>
        </w:rPr>
        <w:t>供</w:t>
      </w:r>
      <w:r>
        <w:rPr>
          <w:color w:val="auto"/>
          <w:sz w:val="24"/>
          <w:szCs w:val="24"/>
          <w:highlight w:val="none"/>
        </w:rPr>
        <w:t>应</w:t>
      </w:r>
      <w:r>
        <w:rPr>
          <w:color w:val="auto"/>
          <w:spacing w:val="-3"/>
          <w:sz w:val="24"/>
          <w:szCs w:val="24"/>
          <w:highlight w:val="none"/>
        </w:rPr>
        <w:t>商</w:t>
      </w:r>
      <w:r>
        <w:rPr>
          <w:color w:val="auto"/>
          <w:sz w:val="24"/>
          <w:szCs w:val="24"/>
          <w:highlight w:val="none"/>
        </w:rPr>
        <w:t>：</w:t>
      </w:r>
      <w:r>
        <w:rPr>
          <w:color w:val="auto"/>
          <w:sz w:val="24"/>
          <w:szCs w:val="24"/>
          <w:highlight w:val="none"/>
          <w:u w:val="single"/>
        </w:rPr>
        <w:t xml:space="preserve"> </w:t>
      </w:r>
      <w:r>
        <w:rPr>
          <w:color w:val="auto"/>
          <w:sz w:val="24"/>
          <w:szCs w:val="24"/>
          <w:highlight w:val="none"/>
          <w:u w:val="single"/>
        </w:rPr>
        <w:tab/>
      </w:r>
      <w:r>
        <w:rPr>
          <w:color w:val="auto"/>
          <w:sz w:val="24"/>
          <w:szCs w:val="24"/>
          <w:highlight w:val="none"/>
        </w:rPr>
        <w:t>（</w:t>
      </w:r>
      <w:r>
        <w:rPr>
          <w:color w:val="auto"/>
          <w:spacing w:val="-3"/>
          <w:sz w:val="24"/>
          <w:szCs w:val="24"/>
          <w:highlight w:val="none"/>
        </w:rPr>
        <w:t>盖</w:t>
      </w:r>
      <w:r>
        <w:rPr>
          <w:color w:val="auto"/>
          <w:sz w:val="24"/>
          <w:szCs w:val="24"/>
          <w:highlight w:val="none"/>
        </w:rPr>
        <w:t>章）</w:t>
      </w:r>
    </w:p>
    <w:p w14:paraId="14A3E5ED">
      <w:pPr>
        <w:pStyle w:val="3"/>
        <w:spacing w:before="11"/>
        <w:rPr>
          <w:color w:val="auto"/>
          <w:sz w:val="24"/>
          <w:szCs w:val="24"/>
          <w:highlight w:val="none"/>
        </w:rPr>
      </w:pPr>
    </w:p>
    <w:p w14:paraId="7BAAD774">
      <w:pPr>
        <w:pStyle w:val="3"/>
        <w:tabs>
          <w:tab w:val="left" w:pos="734"/>
          <w:tab w:val="left" w:pos="1677"/>
          <w:tab w:val="left" w:pos="2623"/>
        </w:tabs>
        <w:spacing w:before="72"/>
        <w:ind w:right="10"/>
        <w:jc w:val="center"/>
        <w:rPr>
          <w:color w:val="auto"/>
          <w:sz w:val="24"/>
          <w:szCs w:val="24"/>
          <w:highlight w:val="none"/>
        </w:rPr>
      </w:pPr>
      <w:r>
        <w:rPr>
          <w:rFonts w:ascii="Times New Roman" w:eastAsia="Times New Roman"/>
          <w:color w:val="auto"/>
          <w:w w:val="100"/>
          <w:sz w:val="24"/>
          <w:szCs w:val="24"/>
          <w:highlight w:val="none"/>
          <w:u w:val="single"/>
        </w:rPr>
        <w:t xml:space="preserve"> </w:t>
      </w:r>
      <w:r>
        <w:rPr>
          <w:rFonts w:ascii="Times New Roman" w:eastAsia="Times New Roman"/>
          <w:color w:val="auto"/>
          <w:sz w:val="24"/>
          <w:szCs w:val="24"/>
          <w:highlight w:val="none"/>
          <w:u w:val="single"/>
        </w:rPr>
        <w:tab/>
      </w:r>
      <w:r>
        <w:rPr>
          <w:color w:val="auto"/>
          <w:sz w:val="24"/>
          <w:szCs w:val="24"/>
          <w:highlight w:val="none"/>
        </w:rPr>
        <w:t>年</w:t>
      </w:r>
      <w:r>
        <w:rPr>
          <w:color w:val="auto"/>
          <w:sz w:val="24"/>
          <w:szCs w:val="24"/>
          <w:highlight w:val="none"/>
          <w:u w:val="single"/>
        </w:rPr>
        <w:t xml:space="preserve"> </w:t>
      </w:r>
      <w:r>
        <w:rPr>
          <w:color w:val="auto"/>
          <w:sz w:val="24"/>
          <w:szCs w:val="24"/>
          <w:highlight w:val="none"/>
          <w:u w:val="single"/>
        </w:rPr>
        <w:tab/>
      </w:r>
      <w:r>
        <w:rPr>
          <w:color w:val="auto"/>
          <w:sz w:val="24"/>
          <w:szCs w:val="24"/>
          <w:highlight w:val="none"/>
        </w:rPr>
        <w:t>月</w:t>
      </w:r>
      <w:r>
        <w:rPr>
          <w:color w:val="auto"/>
          <w:sz w:val="24"/>
          <w:szCs w:val="24"/>
          <w:highlight w:val="none"/>
          <w:u w:val="single"/>
        </w:rPr>
        <w:t xml:space="preserve"> </w:t>
      </w:r>
      <w:r>
        <w:rPr>
          <w:color w:val="auto"/>
          <w:sz w:val="24"/>
          <w:szCs w:val="24"/>
          <w:highlight w:val="none"/>
          <w:u w:val="single"/>
        </w:rPr>
        <w:tab/>
      </w:r>
      <w:r>
        <w:rPr>
          <w:color w:val="auto"/>
          <w:sz w:val="24"/>
          <w:szCs w:val="24"/>
          <w:highlight w:val="none"/>
        </w:rPr>
        <w:t>日</w:t>
      </w:r>
    </w:p>
    <w:p w14:paraId="3FCFF37D">
      <w:pPr>
        <w:spacing w:after="0"/>
        <w:jc w:val="center"/>
        <w:rPr>
          <w:color w:val="auto"/>
          <w:sz w:val="24"/>
          <w:szCs w:val="24"/>
          <w:highlight w:val="none"/>
        </w:rPr>
        <w:sectPr>
          <w:pgSz w:w="11910" w:h="16840"/>
          <w:pgMar w:top="1440" w:right="1080" w:bottom="1440" w:left="1080" w:header="762" w:footer="738" w:gutter="0"/>
          <w:pgNumType w:fmt="decimal"/>
          <w:cols w:space="720" w:num="1"/>
        </w:sectPr>
      </w:pPr>
    </w:p>
    <w:p w14:paraId="60E492B7">
      <w:pPr>
        <w:spacing w:line="480" w:lineRule="atLeast"/>
        <w:ind w:firstLine="567"/>
        <w:jc w:val="center"/>
        <w:textAlignment w:val="baseline"/>
        <w:outlineLvl w:val="1"/>
        <w:rPr>
          <w:rFonts w:hint="eastAsia" w:ascii="宋体" w:hAnsi="宋体" w:eastAsia="宋体" w:cs="宋体"/>
          <w:color w:val="auto"/>
          <w:sz w:val="24"/>
          <w:szCs w:val="24"/>
          <w:highlight w:val="none"/>
        </w:rPr>
      </w:pPr>
      <w:r>
        <w:rPr>
          <w:rFonts w:hint="eastAsia" w:ascii="宋体" w:hAnsi="宋体" w:cs="宋体"/>
          <w:b/>
          <w:bCs/>
          <w:color w:val="auto"/>
          <w:sz w:val="32"/>
          <w:szCs w:val="32"/>
          <w:highlight w:val="none"/>
          <w:lang w:val="en-US" w:eastAsia="zh-CN"/>
        </w:rPr>
        <w:t>三</w:t>
      </w:r>
      <w:r>
        <w:rPr>
          <w:rFonts w:hint="eastAsia" w:ascii="宋体" w:hAnsi="宋体" w:eastAsia="宋体" w:cs="宋体"/>
          <w:b/>
          <w:bCs/>
          <w:color w:val="auto"/>
          <w:sz w:val="32"/>
          <w:szCs w:val="32"/>
          <w:highlight w:val="none"/>
        </w:rPr>
        <w:t>、授权委托书</w:t>
      </w:r>
    </w:p>
    <w:p w14:paraId="5E21C625">
      <w:pPr>
        <w:widowControl/>
        <w:spacing w:line="40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致：</w:t>
      </w:r>
      <w:r>
        <w:rPr>
          <w:rFonts w:hint="eastAsia" w:ascii="宋体" w:hAnsi="宋体" w:eastAsia="宋体" w:cs="宋体"/>
          <w:b/>
          <w:bCs/>
          <w:color w:val="auto"/>
          <w:sz w:val="24"/>
          <w:szCs w:val="24"/>
          <w:highlight w:val="none"/>
          <w:u w:val="single"/>
        </w:rPr>
        <w:t xml:space="preserve">      （</w:t>
      </w:r>
      <w:r>
        <w:rPr>
          <w:rFonts w:hint="eastAsia" w:ascii="宋体" w:hAnsi="宋体" w:cs="宋体"/>
          <w:b/>
          <w:bCs/>
          <w:color w:val="auto"/>
          <w:sz w:val="24"/>
          <w:szCs w:val="24"/>
          <w:highlight w:val="none"/>
          <w:u w:val="single"/>
          <w:lang w:eastAsia="zh-CN"/>
        </w:rPr>
        <w:t>采购人</w:t>
      </w:r>
      <w:r>
        <w:rPr>
          <w:rFonts w:hint="eastAsia" w:ascii="宋体" w:hAnsi="宋体" w:eastAsia="宋体" w:cs="宋体"/>
          <w:b/>
          <w:bCs/>
          <w:color w:val="auto"/>
          <w:sz w:val="24"/>
          <w:szCs w:val="24"/>
          <w:highlight w:val="none"/>
          <w:u w:val="single"/>
        </w:rPr>
        <w:t>）</w:t>
      </w:r>
    </w:p>
    <w:p w14:paraId="7902F843">
      <w:pPr>
        <w:spacing w:line="380" w:lineRule="exact"/>
        <w:rPr>
          <w:rFonts w:hint="eastAsia" w:ascii="宋体" w:hAnsi="宋体" w:eastAsia="宋体" w:cs="宋体"/>
          <w:b/>
          <w:bCs/>
          <w:color w:val="auto"/>
          <w:sz w:val="24"/>
          <w:szCs w:val="24"/>
          <w:highlight w:val="none"/>
          <w:u w:val="single"/>
        </w:rPr>
      </w:pPr>
    </w:p>
    <w:p w14:paraId="35F7F861">
      <w:pPr>
        <w:spacing w:line="380" w:lineRule="exact"/>
        <w:rPr>
          <w:rFonts w:hint="eastAsia" w:ascii="宋体" w:hAnsi="宋体" w:eastAsia="宋体" w:cs="宋体"/>
          <w:b/>
          <w:bCs/>
          <w:color w:val="auto"/>
          <w:sz w:val="24"/>
          <w:szCs w:val="24"/>
          <w:highlight w:val="none"/>
          <w:u w:val="single"/>
        </w:rPr>
      </w:pPr>
    </w:p>
    <w:p w14:paraId="0360F4B4">
      <w:pPr>
        <w:snapToGrid w:val="0"/>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兹委托</w:t>
      </w:r>
      <w:r>
        <w:rPr>
          <w:rFonts w:hint="eastAsia" w:ascii="宋体" w:hAnsi="宋体" w:cs="宋体"/>
          <w:color w:val="auto"/>
          <w:sz w:val="24"/>
          <w:szCs w:val="24"/>
          <w:highlight w:val="none"/>
          <w:u w:val="single"/>
          <w:lang w:eastAsia="zh-CN"/>
        </w:rPr>
        <w:t>（姓名：</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eastAsia="zh-CN"/>
        </w:rPr>
        <w:t>身份证号：</w:t>
      </w:r>
      <w:r>
        <w:rPr>
          <w:rFonts w:hint="eastAsia" w:ascii="宋体" w:hAnsi="宋体" w:cs="宋体"/>
          <w:color w:val="auto"/>
          <w:sz w:val="24"/>
          <w:szCs w:val="24"/>
          <w:highlight w:val="none"/>
          <w:u w:val="single"/>
          <w:lang w:val="en-US" w:eastAsia="zh-CN"/>
        </w:rPr>
        <w:t xml:space="preserve">          职务：         </w:t>
      </w:r>
      <w:r>
        <w:rPr>
          <w:rFonts w:hint="eastAsia" w:ascii="宋体" w:hAnsi="宋体" w:cs="宋体"/>
          <w:color w:val="auto"/>
          <w:sz w:val="24"/>
          <w:szCs w:val="24"/>
          <w:highlight w:val="none"/>
          <w:u w:val="single"/>
          <w:lang w:eastAsia="zh-CN"/>
        </w:rPr>
        <w:t>）</w:t>
      </w:r>
      <w:r>
        <w:rPr>
          <w:rFonts w:hint="eastAsia" w:ascii="宋体" w:hAnsi="宋体" w:eastAsia="宋体" w:cs="宋体"/>
          <w:color w:val="auto"/>
          <w:sz w:val="24"/>
          <w:szCs w:val="24"/>
          <w:highlight w:val="none"/>
        </w:rPr>
        <w:t>代表我单位参加贵公司组织的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项目（项目编号为：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w:t>
      </w:r>
      <w:r>
        <w:rPr>
          <w:rFonts w:hint="eastAsia" w:ascii="宋体" w:hAnsi="宋体" w:cs="宋体"/>
          <w:color w:val="auto"/>
          <w:sz w:val="24"/>
          <w:szCs w:val="24"/>
          <w:highlight w:val="none"/>
          <w:lang w:eastAsia="zh-CN"/>
        </w:rPr>
        <w:t>竞争性磋商</w:t>
      </w:r>
      <w:r>
        <w:rPr>
          <w:rFonts w:hint="eastAsia" w:ascii="宋体" w:hAnsi="宋体" w:eastAsia="宋体" w:cs="宋体"/>
          <w:color w:val="auto"/>
          <w:sz w:val="24"/>
          <w:szCs w:val="24"/>
          <w:highlight w:val="none"/>
        </w:rPr>
        <w:t>活动，授权委托人有权在该</w:t>
      </w:r>
      <w:r>
        <w:rPr>
          <w:rFonts w:hint="eastAsia" w:ascii="宋体" w:hAnsi="宋体" w:cs="宋体"/>
          <w:color w:val="auto"/>
          <w:sz w:val="24"/>
          <w:szCs w:val="24"/>
          <w:highlight w:val="none"/>
          <w:lang w:eastAsia="zh-CN"/>
        </w:rPr>
        <w:t>磋商</w:t>
      </w:r>
      <w:r>
        <w:rPr>
          <w:rFonts w:hint="eastAsia" w:ascii="宋体" w:hAnsi="宋体" w:eastAsia="宋体" w:cs="宋体"/>
          <w:color w:val="auto"/>
          <w:sz w:val="24"/>
          <w:szCs w:val="24"/>
          <w:highlight w:val="none"/>
        </w:rPr>
        <w:t>活动中，以我单位名义签署</w:t>
      </w:r>
      <w:r>
        <w:rPr>
          <w:rFonts w:hint="eastAsia" w:ascii="宋体" w:hAnsi="宋体" w:cs="宋体"/>
          <w:color w:val="auto"/>
          <w:sz w:val="24"/>
          <w:szCs w:val="24"/>
          <w:highlight w:val="none"/>
          <w:lang w:eastAsia="zh-CN"/>
        </w:rPr>
        <w:t>磋商</w:t>
      </w:r>
      <w:r>
        <w:rPr>
          <w:rFonts w:hint="eastAsia" w:ascii="宋体" w:hAnsi="宋体" w:eastAsia="宋体" w:cs="宋体"/>
          <w:color w:val="auto"/>
          <w:sz w:val="24"/>
          <w:szCs w:val="24"/>
          <w:highlight w:val="none"/>
        </w:rPr>
        <w:t>函和响应文件、递交响应文件，与代理机构、</w:t>
      </w:r>
      <w:r>
        <w:rPr>
          <w:rFonts w:hint="eastAsia" w:ascii="宋体" w:hAnsi="宋体" w:cs="宋体"/>
          <w:color w:val="auto"/>
          <w:sz w:val="24"/>
          <w:szCs w:val="24"/>
          <w:highlight w:val="none"/>
          <w:lang w:eastAsia="zh-CN"/>
        </w:rPr>
        <w:t>磋商</w:t>
      </w:r>
      <w:r>
        <w:rPr>
          <w:rFonts w:hint="eastAsia" w:ascii="宋体" w:hAnsi="宋体" w:eastAsia="宋体" w:cs="宋体"/>
          <w:color w:val="auto"/>
          <w:sz w:val="24"/>
          <w:szCs w:val="24"/>
          <w:highlight w:val="none"/>
        </w:rPr>
        <w:t>小组进行澄清、解释，签订合同书并执行一切与此有关的事项。</w:t>
      </w:r>
    </w:p>
    <w:p w14:paraId="35057A3C">
      <w:pPr>
        <w:snapToGrid w:val="0"/>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授权委托人在办理上述事宜过程中以其自己的名义所签署的所有文件我均予以承认。授权委托人无转委托权。</w:t>
      </w:r>
    </w:p>
    <w:p w14:paraId="11C68DEF">
      <w:pPr>
        <w:snapToGrid w:val="0"/>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委托期限：至上述事宜处理完毕止。</w:t>
      </w:r>
    </w:p>
    <w:p w14:paraId="75DE2AB5">
      <w:pPr>
        <w:snapToGrid w:val="0"/>
        <w:spacing w:line="360" w:lineRule="auto"/>
        <w:ind w:firstLine="960" w:firstLineChars="400"/>
        <w:rPr>
          <w:rFonts w:hint="eastAsia" w:ascii="宋体" w:hAnsi="宋体" w:eastAsia="宋体" w:cs="宋体"/>
          <w:color w:val="auto"/>
          <w:sz w:val="24"/>
          <w:szCs w:val="24"/>
          <w:highlight w:val="none"/>
        </w:rPr>
      </w:pPr>
    </w:p>
    <w:p w14:paraId="2002DB8D">
      <w:pPr>
        <w:snapToGrid w:val="0"/>
        <w:spacing w:line="480" w:lineRule="auto"/>
        <w:ind w:firstLine="964" w:firstLineChars="400"/>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eastAsia="zh-CN"/>
        </w:rPr>
        <w:t>后</w:t>
      </w:r>
      <w:r>
        <w:rPr>
          <w:rFonts w:hint="eastAsia" w:ascii="宋体" w:hAnsi="宋体" w:eastAsia="宋体" w:cs="宋体"/>
          <w:b/>
          <w:bCs/>
          <w:color w:val="auto"/>
          <w:sz w:val="24"/>
          <w:szCs w:val="24"/>
          <w:highlight w:val="none"/>
        </w:rPr>
        <w:t>附：1、委托单位法定代表人身份证复印件（复印正、反两面）</w:t>
      </w:r>
    </w:p>
    <w:p w14:paraId="2A16CC54">
      <w:pPr>
        <w:snapToGrid w:val="0"/>
        <w:spacing w:line="480" w:lineRule="auto"/>
        <w:ind w:firstLine="1436" w:firstLineChars="596"/>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2、授权委托人身份证复印件（复印正、反两面）</w:t>
      </w:r>
    </w:p>
    <w:p w14:paraId="447121F3">
      <w:pPr>
        <w:snapToGrid w:val="0"/>
        <w:spacing w:line="380" w:lineRule="exact"/>
        <w:ind w:firstLine="2280" w:firstLineChars="950"/>
        <w:rPr>
          <w:rFonts w:hint="eastAsia" w:ascii="宋体" w:hAnsi="宋体" w:eastAsia="宋体" w:cs="宋体"/>
          <w:color w:val="auto"/>
          <w:sz w:val="24"/>
          <w:szCs w:val="24"/>
          <w:highlight w:val="none"/>
        </w:rPr>
      </w:pPr>
    </w:p>
    <w:p w14:paraId="08B03418">
      <w:pPr>
        <w:snapToGrid w:val="0"/>
        <w:spacing w:line="480" w:lineRule="auto"/>
        <w:ind w:firstLine="3352" w:firstLineChars="1397"/>
        <w:rPr>
          <w:rFonts w:hint="eastAsia" w:ascii="宋体" w:hAnsi="宋体" w:cs="宋体"/>
          <w:color w:val="auto"/>
          <w:sz w:val="24"/>
          <w:szCs w:val="24"/>
          <w:highlight w:val="none"/>
          <w:u w:val="single"/>
          <w:lang w:val="en-US" w:eastAsia="zh-CN"/>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 xml:space="preserve">（盖章）： </w:t>
      </w:r>
      <w:r>
        <w:rPr>
          <w:rFonts w:hint="eastAsia" w:ascii="宋体" w:hAnsi="宋体" w:cs="宋体"/>
          <w:color w:val="auto"/>
          <w:sz w:val="24"/>
          <w:szCs w:val="24"/>
          <w:highlight w:val="none"/>
          <w:u w:val="single"/>
          <w:lang w:val="en-US" w:eastAsia="zh-CN"/>
        </w:rPr>
        <w:t xml:space="preserve">                   </w:t>
      </w:r>
    </w:p>
    <w:p w14:paraId="7E189A7F">
      <w:pPr>
        <w:snapToGrid w:val="0"/>
        <w:spacing w:line="480" w:lineRule="auto"/>
        <w:ind w:firstLine="3352" w:firstLineChars="1397"/>
        <w:rPr>
          <w:rFonts w:hint="eastAsia" w:ascii="宋体" w:hAnsi="宋体" w:cs="宋体"/>
          <w:color w:val="auto"/>
          <w:sz w:val="24"/>
          <w:szCs w:val="24"/>
          <w:highlight w:val="none"/>
          <w:u w:val="none"/>
          <w:lang w:val="en-US" w:eastAsia="zh-CN"/>
        </w:rPr>
      </w:pPr>
      <w:r>
        <w:rPr>
          <w:rFonts w:hint="eastAsia" w:ascii="宋体" w:hAnsi="宋体" w:eastAsia="宋体" w:cs="宋体"/>
          <w:color w:val="auto"/>
          <w:sz w:val="24"/>
          <w:szCs w:val="24"/>
          <w:highlight w:val="none"/>
        </w:rPr>
        <w:t>法定代表人（签字或盖章）：</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 xml:space="preserve">       </w:t>
      </w:r>
    </w:p>
    <w:p w14:paraId="3F8AAECF">
      <w:pPr>
        <w:snapToGrid w:val="0"/>
        <w:spacing w:line="480" w:lineRule="auto"/>
        <w:ind w:firstLine="3360" w:firstLineChars="14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u w:val="none"/>
          <w:lang w:val="en-US" w:eastAsia="zh-CN"/>
        </w:rPr>
        <w:t>联系电话：</w:t>
      </w:r>
      <w:r>
        <w:rPr>
          <w:rFonts w:hint="eastAsia" w:ascii="宋体" w:hAnsi="宋体" w:cs="宋体"/>
          <w:color w:val="auto"/>
          <w:sz w:val="24"/>
          <w:szCs w:val="24"/>
          <w:highlight w:val="none"/>
          <w:u w:val="single"/>
          <w:lang w:val="en-US" w:eastAsia="zh-CN"/>
        </w:rPr>
        <w:t xml:space="preserve">                              </w:t>
      </w:r>
    </w:p>
    <w:p w14:paraId="54E7EDF8">
      <w:pPr>
        <w:snapToGrid w:val="0"/>
        <w:spacing w:line="480" w:lineRule="auto"/>
        <w:ind w:firstLine="3352" w:firstLineChars="1397"/>
        <w:rPr>
          <w:rFonts w:hint="eastAsia" w:ascii="宋体" w:hAnsi="宋体" w:cs="宋体"/>
          <w:color w:val="auto"/>
          <w:sz w:val="24"/>
          <w:szCs w:val="24"/>
          <w:highlight w:val="none"/>
          <w:u w:val="none"/>
          <w:lang w:val="en-US" w:eastAsia="zh-CN"/>
        </w:rPr>
      </w:pPr>
      <w:r>
        <w:rPr>
          <w:rFonts w:hint="eastAsia" w:ascii="宋体" w:hAnsi="宋体" w:eastAsia="宋体" w:cs="宋体"/>
          <w:color w:val="auto"/>
          <w:sz w:val="24"/>
          <w:szCs w:val="24"/>
          <w:highlight w:val="none"/>
        </w:rPr>
        <w:t>授权委托人（签字或盖章）：</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 xml:space="preserve">       </w:t>
      </w:r>
    </w:p>
    <w:p w14:paraId="3284581C">
      <w:pPr>
        <w:snapToGrid w:val="0"/>
        <w:spacing w:line="480" w:lineRule="auto"/>
        <w:ind w:firstLine="3352" w:firstLineChars="1397"/>
        <w:rPr>
          <w:rFonts w:hint="eastAsia" w:ascii="宋体" w:hAnsi="宋体" w:eastAsia="宋体" w:cs="宋体"/>
          <w:color w:val="auto"/>
          <w:sz w:val="24"/>
          <w:szCs w:val="24"/>
          <w:highlight w:val="none"/>
          <w:u w:val="single"/>
        </w:rPr>
      </w:pPr>
      <w:r>
        <w:rPr>
          <w:rFonts w:hint="eastAsia" w:ascii="宋体" w:hAnsi="宋体" w:cs="宋体"/>
          <w:color w:val="auto"/>
          <w:sz w:val="24"/>
          <w:szCs w:val="24"/>
          <w:highlight w:val="none"/>
          <w:u w:val="none"/>
          <w:lang w:val="en-US" w:eastAsia="zh-CN"/>
        </w:rPr>
        <w:t>联系电话：</w:t>
      </w:r>
      <w:r>
        <w:rPr>
          <w:rFonts w:hint="eastAsia" w:ascii="宋体" w:hAnsi="宋体" w:cs="宋体"/>
          <w:color w:val="auto"/>
          <w:sz w:val="24"/>
          <w:szCs w:val="24"/>
          <w:highlight w:val="none"/>
          <w:u w:val="single"/>
          <w:lang w:val="en-US" w:eastAsia="zh-CN"/>
        </w:rPr>
        <w:t xml:space="preserve">                             </w:t>
      </w:r>
    </w:p>
    <w:p w14:paraId="76187B8B">
      <w:pPr>
        <w:spacing w:line="380" w:lineRule="exact"/>
        <w:ind w:firstLine="3352" w:firstLineChars="1397"/>
        <w:rPr>
          <w:rFonts w:hint="eastAsia" w:ascii="宋体" w:hAnsi="宋体" w:eastAsia="宋体" w:cs="宋体"/>
          <w:color w:val="auto"/>
          <w:spacing w:val="20"/>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pacing w:val="20"/>
          <w:sz w:val="24"/>
          <w:szCs w:val="24"/>
          <w:highlight w:val="none"/>
          <w:u w:val="single"/>
        </w:rPr>
        <w:t xml:space="preserve">   </w:t>
      </w:r>
      <w:r>
        <w:rPr>
          <w:rFonts w:hint="eastAsia" w:ascii="宋体" w:hAnsi="宋体" w:cs="宋体"/>
          <w:color w:val="auto"/>
          <w:spacing w:val="20"/>
          <w:sz w:val="24"/>
          <w:szCs w:val="24"/>
          <w:highlight w:val="none"/>
          <w:u w:val="single"/>
          <w:lang w:val="en-US" w:eastAsia="zh-CN"/>
        </w:rPr>
        <w:t xml:space="preserve"> </w:t>
      </w:r>
      <w:r>
        <w:rPr>
          <w:rFonts w:hint="eastAsia" w:ascii="宋体" w:hAnsi="宋体" w:eastAsia="宋体" w:cs="宋体"/>
          <w:color w:val="auto"/>
          <w:spacing w:val="20"/>
          <w:sz w:val="24"/>
          <w:szCs w:val="24"/>
          <w:highlight w:val="none"/>
          <w:u w:val="single"/>
        </w:rPr>
        <w:t xml:space="preserve">   </w:t>
      </w:r>
      <w:r>
        <w:rPr>
          <w:rFonts w:hint="eastAsia" w:ascii="宋体" w:hAnsi="宋体" w:eastAsia="宋体" w:cs="宋体"/>
          <w:color w:val="auto"/>
          <w:spacing w:val="20"/>
          <w:sz w:val="24"/>
          <w:szCs w:val="24"/>
          <w:highlight w:val="none"/>
        </w:rPr>
        <w:t>年</w:t>
      </w:r>
      <w:r>
        <w:rPr>
          <w:rFonts w:hint="eastAsia" w:ascii="宋体" w:hAnsi="宋体" w:eastAsia="宋体" w:cs="宋体"/>
          <w:color w:val="auto"/>
          <w:spacing w:val="20"/>
          <w:sz w:val="24"/>
          <w:szCs w:val="24"/>
          <w:highlight w:val="none"/>
          <w:u w:val="single"/>
        </w:rPr>
        <w:t xml:space="preserve">   </w:t>
      </w:r>
      <w:r>
        <w:rPr>
          <w:rFonts w:hint="eastAsia" w:ascii="宋体" w:hAnsi="宋体" w:cs="宋体"/>
          <w:color w:val="auto"/>
          <w:spacing w:val="20"/>
          <w:sz w:val="24"/>
          <w:szCs w:val="24"/>
          <w:highlight w:val="none"/>
          <w:u w:val="single"/>
          <w:lang w:val="en-US" w:eastAsia="zh-CN"/>
        </w:rPr>
        <w:t xml:space="preserve"> </w:t>
      </w:r>
      <w:r>
        <w:rPr>
          <w:rFonts w:hint="eastAsia" w:ascii="宋体" w:hAnsi="宋体" w:eastAsia="宋体" w:cs="宋体"/>
          <w:color w:val="auto"/>
          <w:spacing w:val="20"/>
          <w:sz w:val="24"/>
          <w:szCs w:val="24"/>
          <w:highlight w:val="none"/>
          <w:u w:val="single"/>
        </w:rPr>
        <w:t xml:space="preserve"> </w:t>
      </w:r>
      <w:r>
        <w:rPr>
          <w:rFonts w:hint="eastAsia" w:ascii="宋体" w:hAnsi="宋体" w:eastAsia="宋体" w:cs="宋体"/>
          <w:color w:val="auto"/>
          <w:spacing w:val="20"/>
          <w:sz w:val="24"/>
          <w:szCs w:val="24"/>
          <w:highlight w:val="none"/>
        </w:rPr>
        <w:t>月</w:t>
      </w:r>
      <w:r>
        <w:rPr>
          <w:rFonts w:hint="eastAsia" w:ascii="宋体" w:hAnsi="宋体" w:eastAsia="宋体" w:cs="宋体"/>
          <w:color w:val="auto"/>
          <w:spacing w:val="20"/>
          <w:sz w:val="24"/>
          <w:szCs w:val="24"/>
          <w:highlight w:val="none"/>
          <w:u w:val="single"/>
        </w:rPr>
        <w:t xml:space="preserve">  </w:t>
      </w:r>
      <w:r>
        <w:rPr>
          <w:rFonts w:hint="eastAsia" w:ascii="宋体" w:hAnsi="宋体" w:cs="宋体"/>
          <w:color w:val="auto"/>
          <w:spacing w:val="20"/>
          <w:sz w:val="24"/>
          <w:szCs w:val="24"/>
          <w:highlight w:val="none"/>
          <w:u w:val="single"/>
          <w:lang w:val="en-US" w:eastAsia="zh-CN"/>
        </w:rPr>
        <w:t xml:space="preserve">  </w:t>
      </w:r>
      <w:r>
        <w:rPr>
          <w:rFonts w:hint="eastAsia" w:ascii="宋体" w:hAnsi="宋体" w:eastAsia="宋体" w:cs="宋体"/>
          <w:color w:val="auto"/>
          <w:spacing w:val="20"/>
          <w:sz w:val="24"/>
          <w:szCs w:val="24"/>
          <w:highlight w:val="none"/>
          <w:u w:val="single"/>
        </w:rPr>
        <w:t xml:space="preserve">  </w:t>
      </w:r>
      <w:r>
        <w:rPr>
          <w:rFonts w:hint="eastAsia" w:ascii="宋体" w:hAnsi="宋体" w:eastAsia="宋体" w:cs="宋体"/>
          <w:color w:val="auto"/>
          <w:spacing w:val="20"/>
          <w:sz w:val="24"/>
          <w:szCs w:val="24"/>
          <w:highlight w:val="none"/>
        </w:rPr>
        <w:t>日</w:t>
      </w:r>
    </w:p>
    <w:p w14:paraId="7E8672F8">
      <w:pPr>
        <w:spacing w:line="380" w:lineRule="exact"/>
        <w:ind w:firstLine="3911" w:firstLineChars="1397"/>
        <w:rPr>
          <w:rFonts w:hint="eastAsia" w:ascii="宋体" w:hAnsi="宋体" w:eastAsia="宋体" w:cs="宋体"/>
          <w:color w:val="auto"/>
          <w:spacing w:val="20"/>
          <w:sz w:val="24"/>
          <w:szCs w:val="24"/>
          <w:highlight w:val="none"/>
        </w:rPr>
      </w:pPr>
    </w:p>
    <w:p w14:paraId="57B2F263">
      <w:pPr>
        <w:pStyle w:val="11"/>
        <w:spacing w:before="66" w:line="360" w:lineRule="auto"/>
        <w:ind w:left="220" w:firstLine="0"/>
        <w:jc w:val="left"/>
        <w:outlineLvl w:val="1"/>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注：因响应文件中授权委托书授权代理人无法手写签字，可以以印刷体代替（印刷体为电脑打出的字体）。</w:t>
      </w:r>
      <w:bookmarkStart w:id="17" w:name="_Toc466566810"/>
      <w:bookmarkEnd w:id="17"/>
    </w:p>
    <w:p w14:paraId="7672B78D">
      <w:pPr>
        <w:pStyle w:val="11"/>
        <w:spacing w:before="66" w:line="360" w:lineRule="auto"/>
        <w:ind w:left="220" w:firstLine="0"/>
        <w:jc w:val="center"/>
        <w:outlineLvl w:val="1"/>
        <w:rPr>
          <w:rFonts w:hint="eastAsia" w:ascii="宋体" w:hAnsi="宋体" w:eastAsia="宋体" w:cs="宋体"/>
          <w:b/>
          <w:bCs w:val="0"/>
          <w:color w:val="auto"/>
          <w:sz w:val="24"/>
          <w:szCs w:val="24"/>
          <w:highlight w:val="none"/>
          <w:lang w:eastAsia="zh-CN"/>
        </w:rPr>
      </w:pPr>
      <w:r>
        <w:rPr>
          <w:rFonts w:hint="eastAsia" w:ascii="宋体" w:hAnsi="宋体" w:eastAsia="宋体" w:cs="宋体"/>
          <w:b/>
          <w:bCs w:val="0"/>
          <w:color w:val="auto"/>
          <w:sz w:val="32"/>
          <w:szCs w:val="32"/>
          <w:highlight w:val="none"/>
          <w:lang w:val="en-US" w:eastAsia="zh-CN"/>
        </w:rPr>
        <w:t>四</w:t>
      </w:r>
      <w:r>
        <w:rPr>
          <w:rFonts w:hint="eastAsia" w:ascii="宋体" w:hAnsi="宋体" w:eastAsia="宋体" w:cs="宋体"/>
          <w:b/>
          <w:bCs w:val="0"/>
          <w:color w:val="auto"/>
          <w:sz w:val="32"/>
          <w:szCs w:val="32"/>
          <w:highlight w:val="none"/>
        </w:rPr>
        <w:t>、</w:t>
      </w:r>
      <w:r>
        <w:rPr>
          <w:rFonts w:hint="eastAsia" w:ascii="宋体" w:hAnsi="宋体" w:eastAsia="宋体" w:cs="宋体"/>
          <w:b/>
          <w:bCs w:val="0"/>
          <w:color w:val="auto"/>
          <w:sz w:val="32"/>
          <w:szCs w:val="32"/>
          <w:highlight w:val="none"/>
          <w:lang w:eastAsia="zh-CN"/>
        </w:rPr>
        <w:t>响应承诺函</w:t>
      </w:r>
    </w:p>
    <w:p w14:paraId="4037AC58">
      <w:pPr>
        <w:pStyle w:val="3"/>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 （采购人）：</w:t>
      </w:r>
    </w:p>
    <w:p w14:paraId="164C627C">
      <w:pPr>
        <w:pStyle w:val="3"/>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我公司作为本次采购项目的供应商，根据竞争性磋商文件要求，现郑重承诺如下： 一、具备《中华人民共和国政府采购法》第二十二条第一款和本项目规定的条件：</w:t>
      </w:r>
    </w:p>
    <w:p w14:paraId="218C88EC">
      <w:pPr>
        <w:pStyle w:val="3"/>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（一）具有独立承担民事责任的能力；</w:t>
      </w:r>
    </w:p>
    <w:p w14:paraId="10FA0B60">
      <w:pPr>
        <w:pStyle w:val="3"/>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（二）具有良好的商业信誉和健全的财务会计制度；</w:t>
      </w:r>
    </w:p>
    <w:p w14:paraId="13B87CAC">
      <w:pPr>
        <w:pStyle w:val="3"/>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（三）具有履行合同所必需的设备和专业技术能力；</w:t>
      </w:r>
    </w:p>
    <w:p w14:paraId="5D933584">
      <w:pPr>
        <w:pStyle w:val="3"/>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（四）有依法缴纳税收和社会保障资金的良好记录；</w:t>
      </w:r>
    </w:p>
    <w:p w14:paraId="2B694239">
      <w:pPr>
        <w:pStyle w:val="3"/>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（五）参加政府采购活动前三年内，在经营活动中没有重大违法记录；</w:t>
      </w:r>
    </w:p>
    <w:p w14:paraId="485C1919">
      <w:pPr>
        <w:pStyle w:val="3"/>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（六）法律、行政法规规定的其他条件；</w:t>
      </w:r>
    </w:p>
    <w:p w14:paraId="44054B08">
      <w:pPr>
        <w:pStyle w:val="3"/>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（七）根据采购项目提出的特殊条件。</w:t>
      </w:r>
    </w:p>
    <w:p w14:paraId="06E088B6">
      <w:pPr>
        <w:pStyle w:val="3"/>
        <w:keepNext w:val="0"/>
        <w:keepLines w:val="0"/>
        <w:pageBreakBefore w:val="0"/>
        <w:widowControl w:val="0"/>
        <w:kinsoku/>
        <w:wordWrap/>
        <w:overflowPunct/>
        <w:topLinePunct w:val="0"/>
        <w:autoSpaceDE/>
        <w:autoSpaceDN/>
        <w:bidi w:val="0"/>
        <w:adjustRightInd/>
        <w:snapToGrid/>
        <w:spacing w:line="360" w:lineRule="auto"/>
        <w:ind w:left="0" w:right="0" w:firstLine="44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二、完全接受和满足本项目竞争性磋商文件中规定的实质性要求，如对竞争性磋商文件有异议，已经在投标截止时间届满前依法进行维权救济，不存在对竞争性磋商文件有异议的同时</w:t>
      </w:r>
      <w:r>
        <w:rPr>
          <w:rFonts w:hint="eastAsia" w:ascii="宋体" w:hAnsi="宋体" w:eastAsia="宋体" w:cs="宋体"/>
          <w:color w:val="auto"/>
          <w:sz w:val="24"/>
          <w:szCs w:val="24"/>
          <w:highlight w:val="none"/>
        </w:rPr>
        <w:t>又参加投标以求侥幸中标或者为实现其他非法目的的行为。</w:t>
      </w:r>
    </w:p>
    <w:p w14:paraId="1B441A4D">
      <w:pPr>
        <w:pStyle w:val="3"/>
        <w:keepNext w:val="0"/>
        <w:keepLines w:val="0"/>
        <w:pageBreakBefore w:val="0"/>
        <w:widowControl w:val="0"/>
        <w:kinsoku/>
        <w:wordWrap/>
        <w:overflowPunct/>
        <w:topLinePunct w:val="0"/>
        <w:autoSpaceDE/>
        <w:autoSpaceDN/>
        <w:bidi w:val="0"/>
        <w:adjustRightInd/>
        <w:snapToGrid/>
        <w:spacing w:line="360" w:lineRule="auto"/>
        <w:ind w:left="0" w:right="0" w:firstLine="44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三、参加本次招标采购活动，不存在与单位负责人为同一人或者存在直接控股、管理关系</w:t>
      </w:r>
      <w:r>
        <w:rPr>
          <w:rFonts w:hint="eastAsia" w:ascii="宋体" w:hAnsi="宋体" w:eastAsia="宋体" w:cs="宋体"/>
          <w:color w:val="auto"/>
          <w:sz w:val="24"/>
          <w:szCs w:val="24"/>
          <w:highlight w:val="none"/>
        </w:rPr>
        <w:t>的其他供应商参与同一合同项下的政府采购活动的行为。</w:t>
      </w:r>
    </w:p>
    <w:p w14:paraId="5AAAB361">
      <w:pPr>
        <w:pStyle w:val="3"/>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四、参加本次招标采购活动，不存在为采购项目提供整体设计、规范编制或者项目管理、监理、检测等服务的行为。</w:t>
      </w:r>
    </w:p>
    <w:p w14:paraId="79D86A3D">
      <w:pPr>
        <w:pStyle w:val="3"/>
        <w:keepNext w:val="0"/>
        <w:keepLines w:val="0"/>
        <w:pageBreakBefore w:val="0"/>
        <w:widowControl w:val="0"/>
        <w:kinsoku/>
        <w:wordWrap/>
        <w:overflowPunct/>
        <w:topLinePunct w:val="0"/>
        <w:autoSpaceDE/>
        <w:autoSpaceDN/>
        <w:bidi w:val="0"/>
        <w:adjustRightInd/>
        <w:snapToGrid/>
        <w:spacing w:line="360" w:lineRule="auto"/>
        <w:ind w:left="0" w:right="0" w:firstLine="44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五、参加本次招标采购活动，不存在和其他供应商在同一合同项下的采购项目中，同时委</w:t>
      </w:r>
      <w:r>
        <w:rPr>
          <w:rFonts w:hint="eastAsia" w:ascii="宋体" w:hAnsi="宋体" w:eastAsia="宋体" w:cs="宋体"/>
          <w:color w:val="auto"/>
          <w:sz w:val="24"/>
          <w:szCs w:val="24"/>
          <w:highlight w:val="none"/>
        </w:rPr>
        <w:t>托同一个自然人、同一家庭的人员、同一单位的人员作为代理人的行为。</w:t>
      </w:r>
    </w:p>
    <w:p w14:paraId="4448FECB">
      <w:pPr>
        <w:pStyle w:val="3"/>
        <w:keepNext w:val="0"/>
        <w:keepLines w:val="0"/>
        <w:pageBreakBefore w:val="0"/>
        <w:widowControl w:val="0"/>
        <w:kinsoku/>
        <w:wordWrap/>
        <w:overflowPunct/>
        <w:topLinePunct w:val="0"/>
        <w:autoSpaceDE/>
        <w:autoSpaceDN/>
        <w:bidi w:val="0"/>
        <w:adjustRightInd/>
        <w:snapToGrid/>
        <w:spacing w:line="360" w:lineRule="auto"/>
        <w:ind w:left="0" w:right="0" w:firstLine="43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六、供应商参加本次政府采购活动要求在近三年内供应商和其法定代表人没有行贿犯罪行</w:t>
      </w:r>
      <w:r>
        <w:rPr>
          <w:rFonts w:hint="eastAsia" w:ascii="宋体" w:hAnsi="宋体" w:eastAsia="宋体" w:cs="宋体"/>
          <w:color w:val="auto"/>
          <w:sz w:val="24"/>
          <w:szCs w:val="24"/>
          <w:highlight w:val="none"/>
        </w:rPr>
        <w:t>为。</w:t>
      </w:r>
    </w:p>
    <w:p w14:paraId="7C82E1C4">
      <w:pPr>
        <w:pStyle w:val="3"/>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七、参加本次招标采购活动，不存在联合体投标。</w:t>
      </w:r>
    </w:p>
    <w:p w14:paraId="0B52D21C">
      <w:pPr>
        <w:pStyle w:val="3"/>
        <w:keepNext w:val="0"/>
        <w:keepLines w:val="0"/>
        <w:pageBreakBefore w:val="0"/>
        <w:widowControl w:val="0"/>
        <w:kinsoku/>
        <w:wordWrap/>
        <w:overflowPunct/>
        <w:topLinePunct w:val="0"/>
        <w:autoSpaceDE/>
        <w:autoSpaceDN/>
        <w:bidi w:val="0"/>
        <w:adjustRightInd/>
        <w:snapToGrid/>
        <w:spacing w:line="360" w:lineRule="auto"/>
        <w:ind w:left="0" w:right="0" w:firstLine="444"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八、响应文件中提供的能够给予我公司带来优惠、好处的任何材料资料和技术、服务、商</w:t>
      </w:r>
      <w:r>
        <w:rPr>
          <w:rFonts w:hint="eastAsia" w:ascii="宋体" w:hAnsi="宋体" w:eastAsia="宋体" w:cs="宋体"/>
          <w:color w:val="auto"/>
          <w:sz w:val="24"/>
          <w:szCs w:val="24"/>
          <w:highlight w:val="none"/>
        </w:rPr>
        <w:t>务等响应承诺情况都是真实的、有效的、合法的。</w:t>
      </w:r>
    </w:p>
    <w:p w14:paraId="0BA18980">
      <w:pPr>
        <w:pStyle w:val="3"/>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九、存在以下行为之一的愿意接受相关部门的处理：</w:t>
      </w:r>
    </w:p>
    <w:p w14:paraId="52A02042">
      <w:pPr>
        <w:pStyle w:val="3"/>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（一）投标有效期内撤销响应文件的；</w:t>
      </w:r>
    </w:p>
    <w:p w14:paraId="01BA7DFA">
      <w:pPr>
        <w:pStyle w:val="3"/>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（二）在采购人确定中标人以前放弃中标候选资格的；</w:t>
      </w:r>
    </w:p>
    <w:p w14:paraId="2A085927">
      <w:pPr>
        <w:pStyle w:val="3"/>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（三）由于</w:t>
      </w:r>
      <w:r>
        <w:rPr>
          <w:rFonts w:hint="eastAsia" w:ascii="宋体" w:hAnsi="宋体" w:eastAsia="宋体" w:cs="宋体"/>
          <w:color w:val="auto"/>
          <w:sz w:val="24"/>
          <w:szCs w:val="24"/>
          <w:highlight w:val="none"/>
          <w:lang w:val="en-US" w:eastAsia="zh-CN"/>
        </w:rPr>
        <w:t>成交人</w:t>
      </w:r>
      <w:r>
        <w:rPr>
          <w:rFonts w:hint="eastAsia" w:ascii="宋体" w:hAnsi="宋体" w:eastAsia="宋体" w:cs="宋体"/>
          <w:color w:val="auto"/>
          <w:sz w:val="24"/>
          <w:szCs w:val="24"/>
          <w:highlight w:val="none"/>
        </w:rPr>
        <w:t>的原因未能按照竞争性磋商文件的规定与采购人签订合同；</w:t>
      </w:r>
    </w:p>
    <w:p w14:paraId="15CB22BD">
      <w:pPr>
        <w:pStyle w:val="3"/>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（四）由于</w:t>
      </w:r>
      <w:r>
        <w:rPr>
          <w:rFonts w:hint="eastAsia" w:ascii="宋体" w:hAnsi="宋体" w:eastAsia="宋体" w:cs="宋体"/>
          <w:color w:val="auto"/>
          <w:sz w:val="24"/>
          <w:szCs w:val="24"/>
          <w:highlight w:val="none"/>
          <w:lang w:val="en-US" w:eastAsia="zh-CN"/>
        </w:rPr>
        <w:t>成交人</w:t>
      </w:r>
      <w:r>
        <w:rPr>
          <w:rFonts w:hint="eastAsia" w:ascii="宋体" w:hAnsi="宋体" w:eastAsia="宋体" w:cs="宋体"/>
          <w:color w:val="auto"/>
          <w:sz w:val="24"/>
          <w:szCs w:val="24"/>
          <w:highlight w:val="none"/>
        </w:rPr>
        <w:t>的原因未能按照竞争性磋商文件的规定交纳履约保证金；</w:t>
      </w:r>
    </w:p>
    <w:p w14:paraId="784A3239">
      <w:pPr>
        <w:pStyle w:val="3"/>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（五）在响应文件中提供虚假材料谋取中标；</w:t>
      </w:r>
    </w:p>
    <w:p w14:paraId="2190696F">
      <w:pPr>
        <w:pStyle w:val="3"/>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（六）与采购人、其他供应商或者采购代理机构恶意串通的；</w:t>
      </w:r>
    </w:p>
    <w:p w14:paraId="52BA6A42">
      <w:pPr>
        <w:pStyle w:val="3"/>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（七）投标有效期内，供应商在政府采购活动中有违法、违规、违纪行为。</w:t>
      </w:r>
    </w:p>
    <w:p w14:paraId="62033B7B">
      <w:pPr>
        <w:pStyle w:val="3"/>
        <w:keepNext w:val="0"/>
        <w:keepLines w:val="0"/>
        <w:pageBreakBefore w:val="0"/>
        <w:widowControl w:val="0"/>
        <w:kinsoku/>
        <w:wordWrap/>
        <w:overflowPunct/>
        <w:topLinePunct w:val="0"/>
        <w:autoSpaceDE/>
        <w:autoSpaceDN/>
        <w:bidi w:val="0"/>
        <w:adjustRightInd/>
        <w:snapToGrid/>
        <w:spacing w:line="360" w:lineRule="auto"/>
        <w:ind w:left="0" w:right="0" w:firstLine="456"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由此产生的一切法律后果和责任由我公司承担。我公司声明放弃对此提出任何异议和追索</w:t>
      </w:r>
      <w:r>
        <w:rPr>
          <w:rFonts w:hint="eastAsia" w:ascii="宋体" w:hAnsi="宋体" w:eastAsia="宋体" w:cs="宋体"/>
          <w:color w:val="auto"/>
          <w:sz w:val="24"/>
          <w:szCs w:val="24"/>
          <w:highlight w:val="none"/>
        </w:rPr>
        <w:t>的权利。</w:t>
      </w:r>
    </w:p>
    <w:p w14:paraId="1A15D71F">
      <w:pPr>
        <w:pStyle w:val="3"/>
        <w:keepNext w:val="0"/>
        <w:keepLines w:val="0"/>
        <w:pageBreakBefore w:val="0"/>
        <w:widowControl w:val="0"/>
        <w:kinsoku/>
        <w:wordWrap/>
        <w:overflowPunct/>
        <w:topLinePunct w:val="0"/>
        <w:autoSpaceDE/>
        <w:autoSpaceDN/>
        <w:bidi w:val="0"/>
        <w:adjustRightInd/>
        <w:snapToGrid/>
        <w:spacing w:line="360" w:lineRule="auto"/>
        <w:ind w:left="0" w:right="0" w:firstLine="456"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本公司对上述承诺的内容事项真实性负责。如经查实上述承诺的内容事项存在虚假，我公</w:t>
      </w:r>
      <w:r>
        <w:rPr>
          <w:rFonts w:hint="eastAsia" w:ascii="宋体" w:hAnsi="宋体" w:eastAsia="宋体" w:cs="宋体"/>
          <w:color w:val="auto"/>
          <w:sz w:val="24"/>
          <w:szCs w:val="24"/>
          <w:highlight w:val="none"/>
        </w:rPr>
        <w:t>司愿意接受以提供虚假材料谋取中标追究法律责任。</w:t>
      </w:r>
    </w:p>
    <w:p w14:paraId="1EB6800C">
      <w:pPr>
        <w:pStyle w:val="3"/>
        <w:spacing w:before="4" w:line="360" w:lineRule="auto"/>
        <w:rPr>
          <w:rFonts w:hint="eastAsia" w:ascii="宋体" w:hAnsi="宋体" w:eastAsia="宋体" w:cs="宋体"/>
          <w:color w:val="auto"/>
          <w:sz w:val="24"/>
          <w:szCs w:val="24"/>
          <w:highlight w:val="none"/>
        </w:rPr>
      </w:pPr>
    </w:p>
    <w:p w14:paraId="32829D14">
      <w:pPr>
        <w:pStyle w:val="3"/>
        <w:tabs>
          <w:tab w:val="left" w:pos="3459"/>
        </w:tabs>
        <w:spacing w:before="1"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供应商名称（盖章）：</w:t>
      </w:r>
      <w:r>
        <w:rPr>
          <w:rFonts w:hint="eastAsia" w:cs="宋体"/>
          <w:color w:val="auto"/>
          <w:sz w:val="24"/>
          <w:szCs w:val="24"/>
          <w:highlight w:val="none"/>
          <w:lang w:val="en-US" w:eastAsia="zh-CN"/>
        </w:rPr>
        <w:t xml:space="preserve"> </w:t>
      </w:r>
    </w:p>
    <w:p w14:paraId="17C04768">
      <w:pPr>
        <w:pStyle w:val="3"/>
        <w:spacing w:before="1" w:line="360" w:lineRule="auto"/>
        <w:ind w:left="220" w:right="237" w:firstLine="480"/>
        <w:rPr>
          <w:rFonts w:hint="eastAsia" w:ascii="宋体" w:hAnsi="宋体" w:eastAsia="宋体" w:cs="宋体"/>
          <w:color w:val="auto"/>
          <w:spacing w:val="-6"/>
          <w:sz w:val="24"/>
          <w:szCs w:val="24"/>
          <w:highlight w:val="none"/>
        </w:rPr>
      </w:pPr>
    </w:p>
    <w:p w14:paraId="53DB2F2F">
      <w:pPr>
        <w:pStyle w:val="3"/>
        <w:spacing w:before="1" w:line="360" w:lineRule="auto"/>
        <w:ind w:right="237"/>
        <w:rPr>
          <w:rFonts w:hint="eastAsia" w:ascii="宋体" w:hAnsi="宋体" w:eastAsia="宋体" w:cs="宋体"/>
          <w:color w:val="auto"/>
          <w:spacing w:val="-6"/>
          <w:sz w:val="24"/>
          <w:szCs w:val="24"/>
          <w:highlight w:val="none"/>
          <w:lang w:eastAsia="zh-CN"/>
        </w:rPr>
      </w:pPr>
      <w:r>
        <w:rPr>
          <w:rFonts w:hint="eastAsia" w:ascii="宋体" w:hAnsi="宋体" w:eastAsia="宋体" w:cs="宋体"/>
          <w:color w:val="auto"/>
          <w:spacing w:val="-6"/>
          <w:sz w:val="24"/>
          <w:szCs w:val="24"/>
          <w:highlight w:val="none"/>
        </w:rPr>
        <w:t>法定代表人（盖章）</w:t>
      </w:r>
      <w:r>
        <w:rPr>
          <w:rFonts w:hint="eastAsia" w:cs="宋体"/>
          <w:color w:val="auto"/>
          <w:spacing w:val="-6"/>
          <w:sz w:val="24"/>
          <w:szCs w:val="24"/>
          <w:highlight w:val="none"/>
          <w:lang w:eastAsia="zh-CN"/>
        </w:rPr>
        <w:t>：</w:t>
      </w:r>
    </w:p>
    <w:p w14:paraId="31F25FA8">
      <w:pPr>
        <w:pStyle w:val="3"/>
        <w:spacing w:before="1" w:line="360" w:lineRule="auto"/>
        <w:ind w:right="237"/>
        <w:rPr>
          <w:rFonts w:hint="eastAsia" w:ascii="宋体" w:hAnsi="宋体" w:eastAsia="宋体" w:cs="宋体"/>
          <w:color w:val="auto"/>
          <w:spacing w:val="-6"/>
          <w:sz w:val="24"/>
          <w:szCs w:val="24"/>
          <w:highlight w:val="none"/>
        </w:rPr>
      </w:pPr>
    </w:p>
    <w:p w14:paraId="47F9D6E7">
      <w:pPr>
        <w:pStyle w:val="3"/>
        <w:spacing w:before="1" w:line="360" w:lineRule="auto"/>
        <w:ind w:right="237"/>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 xml:space="preserve"> 日期：</w:t>
      </w:r>
    </w:p>
    <w:p w14:paraId="75C0D97E">
      <w:pPr>
        <w:spacing w:after="0" w:line="360" w:lineRule="auto"/>
        <w:rPr>
          <w:rFonts w:hint="eastAsia" w:ascii="宋体" w:hAnsi="宋体" w:eastAsia="宋体" w:cs="宋体"/>
          <w:color w:val="auto"/>
          <w:sz w:val="24"/>
          <w:szCs w:val="24"/>
          <w:highlight w:val="none"/>
        </w:rPr>
        <w:sectPr>
          <w:pgSz w:w="11910" w:h="16840"/>
          <w:pgMar w:top="1440" w:right="1800" w:bottom="1440" w:left="1800" w:header="873" w:footer="955" w:gutter="0"/>
          <w:pgNumType w:fmt="decimal"/>
          <w:cols w:space="720" w:num="1"/>
        </w:sectPr>
      </w:pPr>
    </w:p>
    <w:p w14:paraId="38FCB42D">
      <w:pPr>
        <w:spacing w:line="480" w:lineRule="atLeast"/>
        <w:ind w:firstLine="567"/>
        <w:jc w:val="center"/>
        <w:textAlignment w:val="baseline"/>
        <w:rPr>
          <w:rFonts w:hint="eastAsia" w:ascii="宋体" w:hAnsi="宋体" w:eastAsia="宋体" w:cs="宋体"/>
          <w:b/>
          <w:bCs/>
          <w:color w:val="auto"/>
          <w:sz w:val="32"/>
          <w:szCs w:val="32"/>
          <w:highlight w:val="none"/>
        </w:rPr>
      </w:pPr>
      <w:r>
        <w:rPr>
          <w:rFonts w:hint="eastAsia" w:ascii="宋体" w:hAnsi="宋体" w:cs="宋体"/>
          <w:b/>
          <w:bCs/>
          <w:color w:val="auto"/>
          <w:sz w:val="32"/>
          <w:szCs w:val="32"/>
          <w:highlight w:val="none"/>
          <w:lang w:val="en-US" w:eastAsia="zh-CN"/>
        </w:rPr>
        <w:t>五</w:t>
      </w:r>
      <w:r>
        <w:rPr>
          <w:rFonts w:hint="eastAsia" w:ascii="宋体" w:hAnsi="宋体" w:eastAsia="宋体" w:cs="宋体"/>
          <w:b/>
          <w:bCs/>
          <w:color w:val="auto"/>
          <w:sz w:val="32"/>
          <w:szCs w:val="32"/>
          <w:highlight w:val="none"/>
        </w:rPr>
        <w:t>、资格证明文件</w:t>
      </w:r>
    </w:p>
    <w:p w14:paraId="77D040D4">
      <w:pPr>
        <w:spacing w:before="50"/>
        <w:ind w:right="0"/>
        <w:jc w:val="left"/>
        <w:rPr>
          <w:rFonts w:hint="eastAsia" w:ascii="宋体" w:hAnsi="宋体" w:eastAsia="宋体" w:cs="宋体"/>
          <w:b/>
          <w:color w:val="auto"/>
          <w:sz w:val="32"/>
          <w:szCs w:val="32"/>
          <w:highlight w:val="none"/>
        </w:rPr>
      </w:pPr>
    </w:p>
    <w:p w14:paraId="7C39CF09">
      <w:pPr>
        <w:spacing w:before="50"/>
        <w:ind w:right="0"/>
        <w:jc w:val="left"/>
        <w:rPr>
          <w:rFonts w:hint="eastAsia" w:ascii="宋体" w:hAnsi="宋体" w:eastAsia="宋体" w:cs="宋体"/>
          <w:b/>
          <w:color w:val="auto"/>
          <w:sz w:val="32"/>
          <w:szCs w:val="32"/>
          <w:highlight w:val="none"/>
        </w:rPr>
      </w:pPr>
    </w:p>
    <w:p w14:paraId="34F4D854">
      <w:pPr>
        <w:spacing w:before="50"/>
        <w:ind w:right="0"/>
        <w:jc w:val="left"/>
        <w:rPr>
          <w:rFonts w:hint="eastAsia" w:ascii="宋体" w:hAnsi="宋体" w:eastAsia="宋体" w:cs="宋体"/>
          <w:b/>
          <w:color w:val="auto"/>
          <w:sz w:val="32"/>
          <w:szCs w:val="32"/>
          <w:highlight w:val="none"/>
        </w:rPr>
      </w:pPr>
    </w:p>
    <w:p w14:paraId="7DE87FC3">
      <w:pPr>
        <w:spacing w:before="50"/>
        <w:ind w:right="0"/>
        <w:jc w:val="left"/>
        <w:rPr>
          <w:rFonts w:hint="eastAsia" w:ascii="宋体" w:hAnsi="宋体" w:eastAsia="宋体" w:cs="宋体"/>
          <w:b/>
          <w:color w:val="auto"/>
          <w:sz w:val="32"/>
          <w:szCs w:val="32"/>
          <w:highlight w:val="none"/>
        </w:rPr>
      </w:pPr>
    </w:p>
    <w:p w14:paraId="6FA45148">
      <w:pPr>
        <w:spacing w:before="50"/>
        <w:ind w:right="0"/>
        <w:jc w:val="left"/>
        <w:rPr>
          <w:rFonts w:hint="eastAsia" w:ascii="宋体" w:hAnsi="宋体" w:eastAsia="宋体" w:cs="宋体"/>
          <w:b/>
          <w:color w:val="auto"/>
          <w:sz w:val="32"/>
          <w:szCs w:val="32"/>
          <w:highlight w:val="none"/>
        </w:rPr>
      </w:pPr>
    </w:p>
    <w:p w14:paraId="2264D6CC">
      <w:pPr>
        <w:spacing w:before="50"/>
        <w:ind w:right="0"/>
        <w:jc w:val="left"/>
        <w:rPr>
          <w:rFonts w:hint="eastAsia" w:ascii="宋体" w:hAnsi="宋体" w:eastAsia="宋体" w:cs="宋体"/>
          <w:b/>
          <w:color w:val="auto"/>
          <w:sz w:val="32"/>
          <w:szCs w:val="32"/>
          <w:highlight w:val="none"/>
        </w:rPr>
      </w:pPr>
    </w:p>
    <w:p w14:paraId="1A2A5345">
      <w:pPr>
        <w:spacing w:before="50"/>
        <w:ind w:right="0"/>
        <w:jc w:val="left"/>
        <w:rPr>
          <w:rFonts w:hint="eastAsia" w:ascii="宋体" w:hAnsi="宋体" w:eastAsia="宋体" w:cs="宋体"/>
          <w:b/>
          <w:color w:val="auto"/>
          <w:sz w:val="32"/>
          <w:szCs w:val="32"/>
          <w:highlight w:val="none"/>
        </w:rPr>
      </w:pPr>
    </w:p>
    <w:p w14:paraId="376FF494">
      <w:pPr>
        <w:spacing w:before="50"/>
        <w:ind w:right="0"/>
        <w:jc w:val="left"/>
        <w:rPr>
          <w:rFonts w:hint="eastAsia" w:ascii="宋体" w:hAnsi="宋体" w:eastAsia="宋体" w:cs="宋体"/>
          <w:b/>
          <w:color w:val="auto"/>
          <w:sz w:val="32"/>
          <w:szCs w:val="32"/>
          <w:highlight w:val="none"/>
        </w:rPr>
      </w:pPr>
    </w:p>
    <w:p w14:paraId="29FAF560">
      <w:pPr>
        <w:spacing w:before="50"/>
        <w:ind w:right="0"/>
        <w:jc w:val="left"/>
        <w:rPr>
          <w:rFonts w:hint="eastAsia" w:ascii="宋体" w:hAnsi="宋体" w:eastAsia="宋体" w:cs="宋体"/>
          <w:b/>
          <w:color w:val="auto"/>
          <w:sz w:val="32"/>
          <w:szCs w:val="32"/>
          <w:highlight w:val="none"/>
        </w:rPr>
      </w:pPr>
    </w:p>
    <w:p w14:paraId="45E382AF">
      <w:pPr>
        <w:spacing w:before="50"/>
        <w:ind w:right="0"/>
        <w:jc w:val="left"/>
        <w:rPr>
          <w:rFonts w:hint="eastAsia" w:ascii="宋体" w:hAnsi="宋体" w:eastAsia="宋体" w:cs="宋体"/>
          <w:b/>
          <w:color w:val="auto"/>
          <w:sz w:val="32"/>
          <w:szCs w:val="32"/>
          <w:highlight w:val="none"/>
        </w:rPr>
      </w:pPr>
    </w:p>
    <w:p w14:paraId="26E03BC1">
      <w:pPr>
        <w:spacing w:before="50"/>
        <w:ind w:right="0"/>
        <w:jc w:val="left"/>
        <w:rPr>
          <w:rFonts w:hint="eastAsia" w:ascii="宋体" w:hAnsi="宋体" w:eastAsia="宋体" w:cs="宋体"/>
          <w:b/>
          <w:color w:val="auto"/>
          <w:sz w:val="32"/>
          <w:szCs w:val="32"/>
          <w:highlight w:val="none"/>
        </w:rPr>
      </w:pPr>
    </w:p>
    <w:p w14:paraId="0B31D848">
      <w:pPr>
        <w:spacing w:before="50"/>
        <w:ind w:right="0"/>
        <w:jc w:val="left"/>
        <w:rPr>
          <w:rFonts w:hint="eastAsia" w:ascii="宋体" w:hAnsi="宋体" w:eastAsia="宋体" w:cs="宋体"/>
          <w:b/>
          <w:color w:val="auto"/>
          <w:sz w:val="32"/>
          <w:szCs w:val="32"/>
          <w:highlight w:val="none"/>
        </w:rPr>
      </w:pPr>
    </w:p>
    <w:p w14:paraId="1AF388D7">
      <w:pPr>
        <w:spacing w:before="50"/>
        <w:ind w:right="0"/>
        <w:jc w:val="left"/>
        <w:rPr>
          <w:rFonts w:hint="eastAsia" w:ascii="宋体" w:hAnsi="宋体" w:eastAsia="宋体" w:cs="宋体"/>
          <w:b/>
          <w:color w:val="auto"/>
          <w:sz w:val="32"/>
          <w:szCs w:val="32"/>
          <w:highlight w:val="none"/>
        </w:rPr>
      </w:pPr>
    </w:p>
    <w:p w14:paraId="0A153556">
      <w:pPr>
        <w:spacing w:before="50"/>
        <w:ind w:right="0"/>
        <w:jc w:val="left"/>
        <w:rPr>
          <w:rFonts w:hint="eastAsia" w:ascii="宋体" w:hAnsi="宋体" w:eastAsia="宋体" w:cs="宋体"/>
          <w:b/>
          <w:color w:val="auto"/>
          <w:sz w:val="32"/>
          <w:szCs w:val="32"/>
          <w:highlight w:val="none"/>
        </w:rPr>
      </w:pPr>
    </w:p>
    <w:p w14:paraId="1B5304C5">
      <w:pPr>
        <w:spacing w:before="50"/>
        <w:ind w:right="0"/>
        <w:jc w:val="left"/>
        <w:rPr>
          <w:rFonts w:hint="eastAsia" w:ascii="宋体" w:hAnsi="宋体" w:eastAsia="宋体" w:cs="宋体"/>
          <w:b/>
          <w:color w:val="auto"/>
          <w:sz w:val="32"/>
          <w:szCs w:val="32"/>
          <w:highlight w:val="none"/>
        </w:rPr>
      </w:pPr>
    </w:p>
    <w:p w14:paraId="2F8C3AC3">
      <w:pPr>
        <w:spacing w:before="50"/>
        <w:ind w:right="0"/>
        <w:jc w:val="left"/>
        <w:rPr>
          <w:rFonts w:hint="eastAsia" w:ascii="宋体" w:hAnsi="宋体" w:eastAsia="宋体" w:cs="宋体"/>
          <w:b/>
          <w:color w:val="auto"/>
          <w:sz w:val="32"/>
          <w:szCs w:val="32"/>
          <w:highlight w:val="none"/>
        </w:rPr>
      </w:pPr>
    </w:p>
    <w:p w14:paraId="4B656765">
      <w:pPr>
        <w:spacing w:before="50"/>
        <w:ind w:right="0"/>
        <w:jc w:val="left"/>
        <w:rPr>
          <w:rFonts w:hint="eastAsia" w:ascii="宋体" w:hAnsi="宋体" w:eastAsia="宋体" w:cs="宋体"/>
          <w:b/>
          <w:color w:val="auto"/>
          <w:sz w:val="32"/>
          <w:szCs w:val="32"/>
          <w:highlight w:val="none"/>
        </w:rPr>
      </w:pPr>
    </w:p>
    <w:p w14:paraId="28FCAEA3">
      <w:pPr>
        <w:spacing w:before="50"/>
        <w:ind w:right="0"/>
        <w:jc w:val="left"/>
        <w:rPr>
          <w:rFonts w:hint="eastAsia" w:ascii="宋体" w:hAnsi="宋体" w:eastAsia="宋体" w:cs="宋体"/>
          <w:b/>
          <w:color w:val="auto"/>
          <w:sz w:val="32"/>
          <w:szCs w:val="32"/>
          <w:highlight w:val="none"/>
        </w:rPr>
      </w:pPr>
    </w:p>
    <w:p w14:paraId="4F89C30C">
      <w:pPr>
        <w:spacing w:before="50"/>
        <w:ind w:right="0"/>
        <w:jc w:val="left"/>
        <w:rPr>
          <w:rFonts w:hint="eastAsia" w:ascii="宋体" w:hAnsi="宋体" w:eastAsia="宋体" w:cs="宋体"/>
          <w:b/>
          <w:color w:val="auto"/>
          <w:sz w:val="32"/>
          <w:szCs w:val="32"/>
          <w:highlight w:val="none"/>
        </w:rPr>
      </w:pPr>
    </w:p>
    <w:p w14:paraId="1D5B27FE">
      <w:pPr>
        <w:spacing w:before="50"/>
        <w:ind w:right="0"/>
        <w:jc w:val="left"/>
        <w:rPr>
          <w:rFonts w:hint="eastAsia" w:ascii="宋体" w:hAnsi="宋体" w:eastAsia="宋体" w:cs="宋体"/>
          <w:b/>
          <w:color w:val="auto"/>
          <w:sz w:val="32"/>
          <w:szCs w:val="32"/>
          <w:highlight w:val="none"/>
        </w:rPr>
      </w:pPr>
    </w:p>
    <w:p w14:paraId="4B7285A0">
      <w:pPr>
        <w:spacing w:before="50"/>
        <w:ind w:right="0"/>
        <w:jc w:val="left"/>
        <w:rPr>
          <w:rFonts w:hint="eastAsia" w:ascii="宋体" w:hAnsi="宋体" w:eastAsia="宋体" w:cs="宋体"/>
          <w:b/>
          <w:color w:val="auto"/>
          <w:sz w:val="32"/>
          <w:szCs w:val="32"/>
          <w:highlight w:val="none"/>
        </w:rPr>
      </w:pPr>
    </w:p>
    <w:p w14:paraId="20B97E86">
      <w:pPr>
        <w:spacing w:before="50"/>
        <w:ind w:right="0"/>
        <w:jc w:val="left"/>
        <w:rPr>
          <w:rFonts w:hint="eastAsia" w:ascii="宋体" w:hAnsi="宋体" w:eastAsia="宋体" w:cs="宋体"/>
          <w:b/>
          <w:color w:val="auto"/>
          <w:sz w:val="32"/>
          <w:szCs w:val="32"/>
          <w:highlight w:val="none"/>
        </w:rPr>
      </w:pPr>
    </w:p>
    <w:p w14:paraId="1D4005EC">
      <w:pPr>
        <w:spacing w:before="50"/>
        <w:ind w:right="0"/>
        <w:jc w:val="left"/>
        <w:rPr>
          <w:rFonts w:hint="eastAsia" w:ascii="宋体" w:hAnsi="宋体" w:eastAsia="宋体" w:cs="宋体"/>
          <w:b/>
          <w:color w:val="auto"/>
          <w:sz w:val="32"/>
          <w:szCs w:val="32"/>
          <w:highlight w:val="none"/>
        </w:rPr>
      </w:pPr>
    </w:p>
    <w:p w14:paraId="6A577E4C">
      <w:pPr>
        <w:spacing w:before="50"/>
        <w:ind w:right="0"/>
        <w:jc w:val="left"/>
        <w:rPr>
          <w:rFonts w:hint="eastAsia" w:ascii="宋体" w:hAnsi="宋体" w:eastAsia="宋体" w:cs="宋体"/>
          <w:b/>
          <w:color w:val="auto"/>
          <w:sz w:val="32"/>
          <w:szCs w:val="32"/>
          <w:highlight w:val="none"/>
        </w:rPr>
      </w:pPr>
    </w:p>
    <w:p w14:paraId="4D385E00">
      <w:pPr>
        <w:spacing w:before="50"/>
        <w:ind w:right="0"/>
        <w:jc w:val="left"/>
        <w:rPr>
          <w:rFonts w:hint="eastAsia" w:ascii="宋体" w:hAnsi="宋体" w:eastAsia="宋体" w:cs="宋体"/>
          <w:b/>
          <w:color w:val="auto"/>
          <w:sz w:val="32"/>
          <w:szCs w:val="32"/>
          <w:highlight w:val="none"/>
        </w:rPr>
      </w:pPr>
    </w:p>
    <w:p w14:paraId="4CB39CE0">
      <w:pPr>
        <w:spacing w:before="50"/>
        <w:ind w:right="0"/>
        <w:jc w:val="left"/>
        <w:rPr>
          <w:rFonts w:hint="eastAsia" w:ascii="宋体" w:hAnsi="宋体" w:eastAsia="宋体" w:cs="宋体"/>
          <w:b/>
          <w:color w:val="auto"/>
          <w:sz w:val="32"/>
          <w:szCs w:val="32"/>
          <w:highlight w:val="none"/>
        </w:rPr>
      </w:pPr>
    </w:p>
    <w:p w14:paraId="4E7FC4D6">
      <w:pPr>
        <w:spacing w:before="50"/>
        <w:ind w:right="0"/>
        <w:jc w:val="left"/>
        <w:rPr>
          <w:rFonts w:hint="eastAsia" w:ascii="宋体" w:hAnsi="宋体" w:eastAsia="宋体" w:cs="宋体"/>
          <w:b/>
          <w:color w:val="auto"/>
          <w:sz w:val="32"/>
          <w:szCs w:val="32"/>
          <w:highlight w:val="none"/>
        </w:rPr>
      </w:pPr>
    </w:p>
    <w:p w14:paraId="7E7196BD">
      <w:pPr>
        <w:spacing w:before="50"/>
        <w:ind w:right="0"/>
        <w:jc w:val="left"/>
        <w:rPr>
          <w:rFonts w:hint="eastAsia" w:ascii="宋体" w:hAnsi="宋体" w:eastAsia="宋体" w:cs="宋体"/>
          <w:b/>
          <w:color w:val="auto"/>
          <w:sz w:val="32"/>
          <w:szCs w:val="32"/>
          <w:highlight w:val="none"/>
        </w:rPr>
      </w:pPr>
    </w:p>
    <w:p w14:paraId="75785771">
      <w:pPr>
        <w:spacing w:before="50"/>
        <w:ind w:right="0"/>
        <w:jc w:val="center"/>
        <w:rPr>
          <w:rFonts w:hint="default" w:ascii="宋体" w:hAnsi="宋体" w:eastAsia="宋体" w:cs="宋体"/>
          <w:b/>
          <w:color w:val="auto"/>
          <w:sz w:val="32"/>
          <w:szCs w:val="32"/>
          <w:highlight w:val="none"/>
          <w:lang w:val="en-US" w:eastAsia="zh-CN"/>
        </w:rPr>
      </w:pPr>
      <w:r>
        <w:rPr>
          <w:rFonts w:hint="eastAsia" w:ascii="宋体" w:hAnsi="宋体" w:cs="宋体"/>
          <w:b/>
          <w:color w:val="auto"/>
          <w:sz w:val="32"/>
          <w:szCs w:val="32"/>
          <w:highlight w:val="none"/>
          <w:lang w:val="en-US" w:eastAsia="zh-CN"/>
        </w:rPr>
        <w:t>六</w:t>
      </w:r>
      <w:r>
        <w:rPr>
          <w:rFonts w:hint="eastAsia" w:ascii="宋体" w:hAnsi="宋体" w:eastAsia="宋体" w:cs="宋体"/>
          <w:b/>
          <w:color w:val="auto"/>
          <w:sz w:val="32"/>
          <w:szCs w:val="32"/>
          <w:highlight w:val="none"/>
        </w:rPr>
        <w:t>、</w:t>
      </w:r>
      <w:r>
        <w:rPr>
          <w:rFonts w:hint="eastAsia" w:ascii="宋体" w:hAnsi="宋体" w:cs="宋体"/>
          <w:b/>
          <w:color w:val="auto"/>
          <w:sz w:val="32"/>
          <w:szCs w:val="32"/>
          <w:highlight w:val="none"/>
          <w:lang w:val="en-US" w:eastAsia="zh-CN"/>
        </w:rPr>
        <w:t>技术标</w:t>
      </w:r>
    </w:p>
    <w:p w14:paraId="2D19CFB0">
      <w:pPr>
        <w:spacing w:before="50"/>
        <w:ind w:right="0"/>
        <w:jc w:val="center"/>
        <w:rPr>
          <w:rFonts w:hint="eastAsia" w:ascii="宋体" w:hAnsi="宋体" w:eastAsia="宋体" w:cs="宋体"/>
          <w:b/>
          <w:color w:val="auto"/>
          <w:sz w:val="32"/>
          <w:szCs w:val="32"/>
          <w:highlight w:val="none"/>
        </w:rPr>
      </w:pPr>
    </w:p>
    <w:p w14:paraId="26DC2A18">
      <w:pPr>
        <w:spacing w:before="50"/>
        <w:ind w:right="0"/>
        <w:jc w:val="center"/>
        <w:rPr>
          <w:rFonts w:hint="eastAsia" w:ascii="宋体" w:hAnsi="宋体" w:eastAsia="宋体" w:cs="宋体"/>
          <w:b/>
          <w:color w:val="auto"/>
          <w:sz w:val="32"/>
          <w:szCs w:val="32"/>
          <w:highlight w:val="none"/>
        </w:rPr>
      </w:pPr>
    </w:p>
    <w:p w14:paraId="7FDCE9EE">
      <w:pPr>
        <w:spacing w:before="50"/>
        <w:ind w:right="0"/>
        <w:jc w:val="center"/>
        <w:outlineLvl w:val="2"/>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（格式自拟）</w:t>
      </w:r>
    </w:p>
    <w:p w14:paraId="194C3BEA">
      <w:pPr>
        <w:spacing w:before="50"/>
        <w:ind w:right="0"/>
        <w:jc w:val="left"/>
        <w:rPr>
          <w:rFonts w:hint="eastAsia" w:ascii="仿宋" w:eastAsia="仿宋"/>
          <w:b/>
          <w:color w:val="auto"/>
          <w:sz w:val="36"/>
          <w:highlight w:val="none"/>
        </w:rPr>
        <w:sectPr>
          <w:pgSz w:w="11910" w:h="16840"/>
          <w:pgMar w:top="1440" w:right="1800" w:bottom="1440" w:left="1800" w:header="873" w:footer="955" w:gutter="0"/>
          <w:pgNumType w:fmt="decimal"/>
          <w:cols w:space="720" w:num="1"/>
        </w:sectPr>
      </w:pPr>
    </w:p>
    <w:p w14:paraId="16BDC637">
      <w:pPr>
        <w:jc w:val="center"/>
        <w:rPr>
          <w:rFonts w:hint="eastAsia" w:ascii="宋体" w:hAnsi="宋体" w:eastAsia="宋体" w:cs="Times New Roman"/>
          <w:b/>
          <w:bCs/>
          <w:color w:val="auto"/>
          <w:sz w:val="32"/>
          <w:szCs w:val="32"/>
          <w:highlight w:val="none"/>
          <w:lang w:val="en-US" w:eastAsia="zh-CN"/>
        </w:rPr>
      </w:pPr>
      <w:bookmarkStart w:id="18" w:name="_Toc27309"/>
      <w:bookmarkStart w:id="19" w:name="_Toc17170"/>
      <w:bookmarkStart w:id="20" w:name="_Toc30047"/>
      <w:r>
        <w:rPr>
          <w:rFonts w:hint="eastAsia" w:ascii="宋体" w:hAnsi="宋体" w:cs="Times New Roman"/>
          <w:b/>
          <w:bCs/>
          <w:color w:val="auto"/>
          <w:sz w:val="32"/>
          <w:szCs w:val="32"/>
          <w:highlight w:val="none"/>
          <w:lang w:val="en-US" w:eastAsia="zh-CN"/>
        </w:rPr>
        <w:t>七</w:t>
      </w:r>
      <w:r>
        <w:rPr>
          <w:rFonts w:hint="eastAsia" w:ascii="宋体" w:hAnsi="宋体" w:eastAsia="宋体" w:cs="Times New Roman"/>
          <w:b/>
          <w:bCs/>
          <w:color w:val="auto"/>
          <w:sz w:val="32"/>
          <w:szCs w:val="32"/>
          <w:highlight w:val="none"/>
        </w:rPr>
        <w:t>、</w:t>
      </w:r>
      <w:r>
        <w:rPr>
          <w:rFonts w:hint="eastAsia" w:ascii="宋体" w:hAnsi="宋体" w:cs="Times New Roman"/>
          <w:b/>
          <w:bCs/>
          <w:color w:val="auto"/>
          <w:sz w:val="32"/>
          <w:szCs w:val="32"/>
          <w:highlight w:val="none"/>
          <w:lang w:val="en-US" w:eastAsia="zh-CN"/>
        </w:rPr>
        <w:t>综合标</w:t>
      </w:r>
    </w:p>
    <w:p w14:paraId="4D67A0D2">
      <w:pPr>
        <w:jc w:val="center"/>
        <w:rPr>
          <w:rFonts w:hint="eastAsia" w:ascii="宋体" w:hAnsi="宋体" w:cs="Times New Roman"/>
          <w:b/>
          <w:bCs/>
          <w:color w:val="auto"/>
          <w:sz w:val="32"/>
          <w:szCs w:val="32"/>
          <w:highlight w:val="none"/>
          <w:lang w:val="en-US" w:eastAsia="zh-CN"/>
        </w:rPr>
      </w:pPr>
      <w:bookmarkStart w:id="21" w:name="_Toc1751"/>
      <w:r>
        <w:rPr>
          <w:rFonts w:hint="eastAsia" w:ascii="宋体" w:hAnsi="宋体" w:cs="Times New Roman"/>
          <w:b/>
          <w:bCs/>
          <w:color w:val="auto"/>
          <w:sz w:val="32"/>
          <w:szCs w:val="32"/>
          <w:highlight w:val="none"/>
          <w:lang w:val="en-US" w:eastAsia="zh-CN"/>
        </w:rPr>
        <w:br w:type="page"/>
      </w:r>
      <w:r>
        <w:rPr>
          <w:rFonts w:hint="eastAsia" w:ascii="宋体" w:hAnsi="宋体" w:cs="Times New Roman"/>
          <w:b/>
          <w:bCs/>
          <w:color w:val="auto"/>
          <w:sz w:val="32"/>
          <w:szCs w:val="32"/>
          <w:highlight w:val="none"/>
          <w:lang w:val="en-US" w:eastAsia="zh-CN"/>
        </w:rPr>
        <w:t>八、项目管理机构</w:t>
      </w:r>
    </w:p>
    <w:tbl>
      <w:tblPr>
        <w:tblStyle w:val="21"/>
        <w:tblW w:w="9639" w:type="dxa"/>
        <w:tblInd w:w="-6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09"/>
        <w:gridCol w:w="709"/>
        <w:gridCol w:w="1275"/>
        <w:gridCol w:w="993"/>
        <w:gridCol w:w="992"/>
        <w:gridCol w:w="1134"/>
        <w:gridCol w:w="1984"/>
        <w:gridCol w:w="1134"/>
      </w:tblGrid>
      <w:tr w14:paraId="179A4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Merge w:val="restart"/>
            <w:vAlign w:val="center"/>
          </w:tcPr>
          <w:p w14:paraId="7ED39A1C">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职务</w:t>
            </w:r>
          </w:p>
        </w:tc>
        <w:tc>
          <w:tcPr>
            <w:tcW w:w="709" w:type="dxa"/>
            <w:vMerge w:val="restart"/>
            <w:vAlign w:val="center"/>
          </w:tcPr>
          <w:p w14:paraId="2E5B6B36">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709" w:type="dxa"/>
            <w:vMerge w:val="restart"/>
            <w:vAlign w:val="center"/>
          </w:tcPr>
          <w:p w14:paraId="7E3367A0">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职称</w:t>
            </w:r>
          </w:p>
        </w:tc>
        <w:tc>
          <w:tcPr>
            <w:tcW w:w="6378" w:type="dxa"/>
            <w:gridSpan w:val="5"/>
            <w:vAlign w:val="center"/>
          </w:tcPr>
          <w:p w14:paraId="691CB424">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执业或职业资格证明</w:t>
            </w:r>
          </w:p>
        </w:tc>
        <w:tc>
          <w:tcPr>
            <w:tcW w:w="1134" w:type="dxa"/>
            <w:vMerge w:val="restart"/>
            <w:vAlign w:val="center"/>
          </w:tcPr>
          <w:p w14:paraId="608432A7">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4E8E5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Merge w:val="continue"/>
            <w:vAlign w:val="center"/>
          </w:tcPr>
          <w:p w14:paraId="76FB6204">
            <w:pPr>
              <w:jc w:val="center"/>
              <w:rPr>
                <w:rFonts w:ascii="宋体" w:hAnsi="宋体" w:eastAsia="宋体" w:cs="宋体"/>
                <w:color w:val="auto"/>
                <w:sz w:val="24"/>
                <w:szCs w:val="24"/>
                <w:highlight w:val="none"/>
              </w:rPr>
            </w:pPr>
          </w:p>
        </w:tc>
        <w:tc>
          <w:tcPr>
            <w:tcW w:w="709" w:type="dxa"/>
            <w:vMerge w:val="continue"/>
            <w:vAlign w:val="center"/>
          </w:tcPr>
          <w:p w14:paraId="4A859E30">
            <w:pPr>
              <w:jc w:val="center"/>
              <w:rPr>
                <w:rFonts w:ascii="宋体" w:hAnsi="宋体" w:eastAsia="宋体" w:cs="宋体"/>
                <w:color w:val="auto"/>
                <w:sz w:val="24"/>
                <w:szCs w:val="24"/>
                <w:highlight w:val="none"/>
              </w:rPr>
            </w:pPr>
          </w:p>
        </w:tc>
        <w:tc>
          <w:tcPr>
            <w:tcW w:w="709" w:type="dxa"/>
            <w:vMerge w:val="continue"/>
            <w:vAlign w:val="center"/>
          </w:tcPr>
          <w:p w14:paraId="59AD166E">
            <w:pPr>
              <w:jc w:val="center"/>
              <w:rPr>
                <w:rFonts w:ascii="宋体" w:hAnsi="宋体" w:eastAsia="宋体" w:cs="宋体"/>
                <w:color w:val="auto"/>
                <w:sz w:val="24"/>
                <w:szCs w:val="24"/>
                <w:highlight w:val="none"/>
              </w:rPr>
            </w:pPr>
          </w:p>
        </w:tc>
        <w:tc>
          <w:tcPr>
            <w:tcW w:w="1275" w:type="dxa"/>
            <w:vAlign w:val="center"/>
          </w:tcPr>
          <w:p w14:paraId="5BEA45AE">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证书名称</w:t>
            </w:r>
          </w:p>
        </w:tc>
        <w:tc>
          <w:tcPr>
            <w:tcW w:w="993" w:type="dxa"/>
            <w:vAlign w:val="center"/>
          </w:tcPr>
          <w:p w14:paraId="59F374DE">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级别</w:t>
            </w:r>
          </w:p>
        </w:tc>
        <w:tc>
          <w:tcPr>
            <w:tcW w:w="992" w:type="dxa"/>
            <w:vAlign w:val="center"/>
          </w:tcPr>
          <w:p w14:paraId="3116A878">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证号</w:t>
            </w:r>
          </w:p>
        </w:tc>
        <w:tc>
          <w:tcPr>
            <w:tcW w:w="1134" w:type="dxa"/>
            <w:vAlign w:val="center"/>
          </w:tcPr>
          <w:p w14:paraId="2FA6ED7D">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专业</w:t>
            </w:r>
          </w:p>
        </w:tc>
        <w:tc>
          <w:tcPr>
            <w:tcW w:w="1984" w:type="dxa"/>
            <w:vAlign w:val="center"/>
          </w:tcPr>
          <w:p w14:paraId="3BF55A95">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养老保险</w:t>
            </w:r>
          </w:p>
        </w:tc>
        <w:tc>
          <w:tcPr>
            <w:tcW w:w="1134" w:type="dxa"/>
            <w:vMerge w:val="continue"/>
            <w:vAlign w:val="center"/>
          </w:tcPr>
          <w:p w14:paraId="7A99BCA4">
            <w:pPr>
              <w:jc w:val="center"/>
              <w:rPr>
                <w:rFonts w:ascii="宋体" w:hAnsi="宋体" w:eastAsia="宋体" w:cs="宋体"/>
                <w:color w:val="auto"/>
                <w:sz w:val="24"/>
                <w:szCs w:val="24"/>
                <w:highlight w:val="none"/>
              </w:rPr>
            </w:pPr>
          </w:p>
        </w:tc>
      </w:tr>
      <w:tr w14:paraId="3952C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3A233089">
            <w:pPr>
              <w:jc w:val="center"/>
              <w:rPr>
                <w:rFonts w:ascii="宋体" w:hAnsi="宋体" w:eastAsia="宋体" w:cs="宋体"/>
                <w:color w:val="auto"/>
                <w:sz w:val="24"/>
                <w:szCs w:val="24"/>
                <w:highlight w:val="none"/>
              </w:rPr>
            </w:pPr>
          </w:p>
        </w:tc>
        <w:tc>
          <w:tcPr>
            <w:tcW w:w="709" w:type="dxa"/>
            <w:vAlign w:val="center"/>
          </w:tcPr>
          <w:p w14:paraId="3DD8F203">
            <w:pPr>
              <w:jc w:val="center"/>
              <w:rPr>
                <w:rFonts w:ascii="宋体" w:hAnsi="宋体" w:eastAsia="宋体" w:cs="宋体"/>
                <w:color w:val="auto"/>
                <w:sz w:val="24"/>
                <w:szCs w:val="24"/>
                <w:highlight w:val="none"/>
              </w:rPr>
            </w:pPr>
          </w:p>
        </w:tc>
        <w:tc>
          <w:tcPr>
            <w:tcW w:w="709" w:type="dxa"/>
            <w:vAlign w:val="center"/>
          </w:tcPr>
          <w:p w14:paraId="49279C28">
            <w:pPr>
              <w:jc w:val="center"/>
              <w:rPr>
                <w:rFonts w:ascii="宋体" w:hAnsi="宋体" w:eastAsia="宋体" w:cs="宋体"/>
                <w:color w:val="auto"/>
                <w:sz w:val="24"/>
                <w:szCs w:val="24"/>
                <w:highlight w:val="none"/>
              </w:rPr>
            </w:pPr>
          </w:p>
        </w:tc>
        <w:tc>
          <w:tcPr>
            <w:tcW w:w="1275" w:type="dxa"/>
            <w:vAlign w:val="center"/>
          </w:tcPr>
          <w:p w14:paraId="56445FB2">
            <w:pPr>
              <w:jc w:val="center"/>
              <w:rPr>
                <w:rFonts w:ascii="宋体" w:hAnsi="宋体" w:eastAsia="宋体" w:cs="宋体"/>
                <w:color w:val="auto"/>
                <w:sz w:val="24"/>
                <w:szCs w:val="24"/>
                <w:highlight w:val="none"/>
              </w:rPr>
            </w:pPr>
          </w:p>
        </w:tc>
        <w:tc>
          <w:tcPr>
            <w:tcW w:w="993" w:type="dxa"/>
            <w:vAlign w:val="center"/>
          </w:tcPr>
          <w:p w14:paraId="6D6A6F01">
            <w:pPr>
              <w:jc w:val="center"/>
              <w:rPr>
                <w:rFonts w:ascii="宋体" w:hAnsi="宋体" w:eastAsia="宋体" w:cs="宋体"/>
                <w:color w:val="auto"/>
                <w:sz w:val="24"/>
                <w:szCs w:val="24"/>
                <w:highlight w:val="none"/>
              </w:rPr>
            </w:pPr>
          </w:p>
        </w:tc>
        <w:tc>
          <w:tcPr>
            <w:tcW w:w="992" w:type="dxa"/>
            <w:vAlign w:val="center"/>
          </w:tcPr>
          <w:p w14:paraId="74421EFF">
            <w:pPr>
              <w:jc w:val="center"/>
              <w:rPr>
                <w:rFonts w:ascii="宋体" w:hAnsi="宋体" w:eastAsia="宋体" w:cs="宋体"/>
                <w:color w:val="auto"/>
                <w:sz w:val="24"/>
                <w:szCs w:val="24"/>
                <w:highlight w:val="none"/>
              </w:rPr>
            </w:pPr>
          </w:p>
        </w:tc>
        <w:tc>
          <w:tcPr>
            <w:tcW w:w="1134" w:type="dxa"/>
            <w:vAlign w:val="center"/>
          </w:tcPr>
          <w:p w14:paraId="490B2D34">
            <w:pPr>
              <w:jc w:val="center"/>
              <w:rPr>
                <w:rFonts w:ascii="宋体" w:hAnsi="宋体" w:eastAsia="宋体" w:cs="宋体"/>
                <w:color w:val="auto"/>
                <w:sz w:val="24"/>
                <w:szCs w:val="24"/>
                <w:highlight w:val="none"/>
              </w:rPr>
            </w:pPr>
          </w:p>
        </w:tc>
        <w:tc>
          <w:tcPr>
            <w:tcW w:w="1984" w:type="dxa"/>
            <w:vAlign w:val="center"/>
          </w:tcPr>
          <w:p w14:paraId="0A933B34">
            <w:pPr>
              <w:jc w:val="center"/>
              <w:rPr>
                <w:rFonts w:ascii="宋体" w:hAnsi="宋体" w:eastAsia="宋体" w:cs="宋体"/>
                <w:color w:val="auto"/>
                <w:sz w:val="24"/>
                <w:szCs w:val="24"/>
                <w:highlight w:val="none"/>
              </w:rPr>
            </w:pPr>
          </w:p>
        </w:tc>
        <w:tc>
          <w:tcPr>
            <w:tcW w:w="1134" w:type="dxa"/>
            <w:vAlign w:val="center"/>
          </w:tcPr>
          <w:p w14:paraId="3F30D4D5">
            <w:pPr>
              <w:jc w:val="center"/>
              <w:rPr>
                <w:rFonts w:ascii="宋体" w:hAnsi="宋体" w:eastAsia="宋体" w:cs="宋体"/>
                <w:color w:val="auto"/>
                <w:sz w:val="24"/>
                <w:szCs w:val="24"/>
                <w:highlight w:val="none"/>
              </w:rPr>
            </w:pPr>
          </w:p>
        </w:tc>
      </w:tr>
      <w:tr w14:paraId="58D33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3E514BF7">
            <w:pPr>
              <w:jc w:val="center"/>
              <w:rPr>
                <w:rFonts w:ascii="宋体" w:hAnsi="宋体" w:eastAsia="宋体" w:cs="宋体"/>
                <w:color w:val="auto"/>
                <w:sz w:val="24"/>
                <w:szCs w:val="24"/>
                <w:highlight w:val="none"/>
              </w:rPr>
            </w:pPr>
          </w:p>
        </w:tc>
        <w:tc>
          <w:tcPr>
            <w:tcW w:w="709" w:type="dxa"/>
            <w:vAlign w:val="center"/>
          </w:tcPr>
          <w:p w14:paraId="53EEF5AA">
            <w:pPr>
              <w:jc w:val="center"/>
              <w:rPr>
                <w:rFonts w:ascii="宋体" w:hAnsi="宋体" w:eastAsia="宋体" w:cs="宋体"/>
                <w:color w:val="auto"/>
                <w:sz w:val="24"/>
                <w:szCs w:val="24"/>
                <w:highlight w:val="none"/>
              </w:rPr>
            </w:pPr>
          </w:p>
        </w:tc>
        <w:tc>
          <w:tcPr>
            <w:tcW w:w="709" w:type="dxa"/>
            <w:vAlign w:val="center"/>
          </w:tcPr>
          <w:p w14:paraId="27E39C6E">
            <w:pPr>
              <w:jc w:val="center"/>
              <w:rPr>
                <w:rFonts w:ascii="宋体" w:hAnsi="宋体" w:eastAsia="宋体" w:cs="宋体"/>
                <w:color w:val="auto"/>
                <w:sz w:val="24"/>
                <w:szCs w:val="24"/>
                <w:highlight w:val="none"/>
              </w:rPr>
            </w:pPr>
          </w:p>
        </w:tc>
        <w:tc>
          <w:tcPr>
            <w:tcW w:w="1275" w:type="dxa"/>
            <w:vAlign w:val="center"/>
          </w:tcPr>
          <w:p w14:paraId="780DFE4A">
            <w:pPr>
              <w:jc w:val="center"/>
              <w:rPr>
                <w:rFonts w:ascii="宋体" w:hAnsi="宋体" w:eastAsia="宋体" w:cs="宋体"/>
                <w:color w:val="auto"/>
                <w:sz w:val="24"/>
                <w:szCs w:val="24"/>
                <w:highlight w:val="none"/>
              </w:rPr>
            </w:pPr>
          </w:p>
        </w:tc>
        <w:tc>
          <w:tcPr>
            <w:tcW w:w="993" w:type="dxa"/>
            <w:vAlign w:val="center"/>
          </w:tcPr>
          <w:p w14:paraId="0FF83C14">
            <w:pPr>
              <w:jc w:val="center"/>
              <w:rPr>
                <w:rFonts w:ascii="宋体" w:hAnsi="宋体" w:eastAsia="宋体" w:cs="宋体"/>
                <w:color w:val="auto"/>
                <w:sz w:val="24"/>
                <w:szCs w:val="24"/>
                <w:highlight w:val="none"/>
              </w:rPr>
            </w:pPr>
          </w:p>
        </w:tc>
        <w:tc>
          <w:tcPr>
            <w:tcW w:w="992" w:type="dxa"/>
            <w:vAlign w:val="center"/>
          </w:tcPr>
          <w:p w14:paraId="2DC82791">
            <w:pPr>
              <w:jc w:val="center"/>
              <w:rPr>
                <w:rFonts w:ascii="宋体" w:hAnsi="宋体" w:eastAsia="宋体" w:cs="宋体"/>
                <w:color w:val="auto"/>
                <w:sz w:val="24"/>
                <w:szCs w:val="24"/>
                <w:highlight w:val="none"/>
              </w:rPr>
            </w:pPr>
          </w:p>
        </w:tc>
        <w:tc>
          <w:tcPr>
            <w:tcW w:w="1134" w:type="dxa"/>
            <w:vAlign w:val="center"/>
          </w:tcPr>
          <w:p w14:paraId="336769B0">
            <w:pPr>
              <w:jc w:val="center"/>
              <w:rPr>
                <w:rFonts w:ascii="宋体" w:hAnsi="宋体" w:eastAsia="宋体" w:cs="宋体"/>
                <w:color w:val="auto"/>
                <w:sz w:val="24"/>
                <w:szCs w:val="24"/>
                <w:highlight w:val="none"/>
              </w:rPr>
            </w:pPr>
          </w:p>
        </w:tc>
        <w:tc>
          <w:tcPr>
            <w:tcW w:w="1984" w:type="dxa"/>
            <w:vAlign w:val="center"/>
          </w:tcPr>
          <w:p w14:paraId="3F1996AB">
            <w:pPr>
              <w:jc w:val="center"/>
              <w:rPr>
                <w:rFonts w:ascii="宋体" w:hAnsi="宋体" w:eastAsia="宋体" w:cs="宋体"/>
                <w:color w:val="auto"/>
                <w:sz w:val="24"/>
                <w:szCs w:val="24"/>
                <w:highlight w:val="none"/>
              </w:rPr>
            </w:pPr>
          </w:p>
        </w:tc>
        <w:tc>
          <w:tcPr>
            <w:tcW w:w="1134" w:type="dxa"/>
            <w:vAlign w:val="center"/>
          </w:tcPr>
          <w:p w14:paraId="29AD13C4">
            <w:pPr>
              <w:jc w:val="center"/>
              <w:rPr>
                <w:rFonts w:ascii="宋体" w:hAnsi="宋体" w:eastAsia="宋体" w:cs="宋体"/>
                <w:color w:val="auto"/>
                <w:sz w:val="24"/>
                <w:szCs w:val="24"/>
                <w:highlight w:val="none"/>
              </w:rPr>
            </w:pPr>
          </w:p>
        </w:tc>
      </w:tr>
      <w:tr w14:paraId="09FDE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29FC3A76">
            <w:pPr>
              <w:jc w:val="center"/>
              <w:rPr>
                <w:rFonts w:ascii="宋体" w:hAnsi="宋体" w:eastAsia="宋体" w:cs="宋体"/>
                <w:color w:val="auto"/>
                <w:sz w:val="24"/>
                <w:szCs w:val="24"/>
                <w:highlight w:val="none"/>
              </w:rPr>
            </w:pPr>
          </w:p>
        </w:tc>
        <w:tc>
          <w:tcPr>
            <w:tcW w:w="709" w:type="dxa"/>
            <w:vAlign w:val="center"/>
          </w:tcPr>
          <w:p w14:paraId="4547282C">
            <w:pPr>
              <w:jc w:val="center"/>
              <w:rPr>
                <w:rFonts w:ascii="宋体" w:hAnsi="宋体" w:eastAsia="宋体" w:cs="宋体"/>
                <w:color w:val="auto"/>
                <w:sz w:val="24"/>
                <w:szCs w:val="24"/>
                <w:highlight w:val="none"/>
              </w:rPr>
            </w:pPr>
          </w:p>
        </w:tc>
        <w:tc>
          <w:tcPr>
            <w:tcW w:w="709" w:type="dxa"/>
            <w:vAlign w:val="center"/>
          </w:tcPr>
          <w:p w14:paraId="79A93E6A">
            <w:pPr>
              <w:jc w:val="center"/>
              <w:rPr>
                <w:rFonts w:ascii="宋体" w:hAnsi="宋体" w:eastAsia="宋体" w:cs="宋体"/>
                <w:color w:val="auto"/>
                <w:sz w:val="24"/>
                <w:szCs w:val="24"/>
                <w:highlight w:val="none"/>
              </w:rPr>
            </w:pPr>
          </w:p>
        </w:tc>
        <w:tc>
          <w:tcPr>
            <w:tcW w:w="1275" w:type="dxa"/>
            <w:vAlign w:val="center"/>
          </w:tcPr>
          <w:p w14:paraId="4890B840">
            <w:pPr>
              <w:jc w:val="center"/>
              <w:rPr>
                <w:rFonts w:ascii="宋体" w:hAnsi="宋体" w:eastAsia="宋体" w:cs="宋体"/>
                <w:color w:val="auto"/>
                <w:sz w:val="24"/>
                <w:szCs w:val="24"/>
                <w:highlight w:val="none"/>
              </w:rPr>
            </w:pPr>
          </w:p>
        </w:tc>
        <w:tc>
          <w:tcPr>
            <w:tcW w:w="993" w:type="dxa"/>
            <w:vAlign w:val="center"/>
          </w:tcPr>
          <w:p w14:paraId="5486F10E">
            <w:pPr>
              <w:jc w:val="center"/>
              <w:rPr>
                <w:rFonts w:ascii="宋体" w:hAnsi="宋体" w:eastAsia="宋体" w:cs="宋体"/>
                <w:color w:val="auto"/>
                <w:sz w:val="24"/>
                <w:szCs w:val="24"/>
                <w:highlight w:val="none"/>
              </w:rPr>
            </w:pPr>
          </w:p>
        </w:tc>
        <w:tc>
          <w:tcPr>
            <w:tcW w:w="992" w:type="dxa"/>
            <w:vAlign w:val="center"/>
          </w:tcPr>
          <w:p w14:paraId="78F551F0">
            <w:pPr>
              <w:jc w:val="center"/>
              <w:rPr>
                <w:rFonts w:ascii="宋体" w:hAnsi="宋体" w:eastAsia="宋体" w:cs="宋体"/>
                <w:color w:val="auto"/>
                <w:sz w:val="24"/>
                <w:szCs w:val="24"/>
                <w:highlight w:val="none"/>
              </w:rPr>
            </w:pPr>
          </w:p>
        </w:tc>
        <w:tc>
          <w:tcPr>
            <w:tcW w:w="1134" w:type="dxa"/>
            <w:vAlign w:val="center"/>
          </w:tcPr>
          <w:p w14:paraId="741185E7">
            <w:pPr>
              <w:jc w:val="center"/>
              <w:rPr>
                <w:rFonts w:ascii="宋体" w:hAnsi="宋体" w:eastAsia="宋体" w:cs="宋体"/>
                <w:color w:val="auto"/>
                <w:sz w:val="24"/>
                <w:szCs w:val="24"/>
                <w:highlight w:val="none"/>
              </w:rPr>
            </w:pPr>
          </w:p>
        </w:tc>
        <w:tc>
          <w:tcPr>
            <w:tcW w:w="1984" w:type="dxa"/>
            <w:vAlign w:val="center"/>
          </w:tcPr>
          <w:p w14:paraId="59E0DB98">
            <w:pPr>
              <w:jc w:val="center"/>
              <w:rPr>
                <w:rFonts w:ascii="宋体" w:hAnsi="宋体" w:eastAsia="宋体" w:cs="宋体"/>
                <w:color w:val="auto"/>
                <w:sz w:val="24"/>
                <w:szCs w:val="24"/>
                <w:highlight w:val="none"/>
              </w:rPr>
            </w:pPr>
          </w:p>
        </w:tc>
        <w:tc>
          <w:tcPr>
            <w:tcW w:w="1134" w:type="dxa"/>
            <w:vAlign w:val="center"/>
          </w:tcPr>
          <w:p w14:paraId="42591D7D">
            <w:pPr>
              <w:jc w:val="center"/>
              <w:rPr>
                <w:rFonts w:ascii="宋体" w:hAnsi="宋体" w:eastAsia="宋体" w:cs="宋体"/>
                <w:color w:val="auto"/>
                <w:sz w:val="24"/>
                <w:szCs w:val="24"/>
                <w:highlight w:val="none"/>
              </w:rPr>
            </w:pPr>
          </w:p>
        </w:tc>
      </w:tr>
      <w:tr w14:paraId="59B92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6841C196">
            <w:pPr>
              <w:jc w:val="center"/>
              <w:rPr>
                <w:rFonts w:ascii="宋体" w:hAnsi="宋体" w:eastAsia="宋体" w:cs="宋体"/>
                <w:color w:val="auto"/>
                <w:sz w:val="24"/>
                <w:szCs w:val="24"/>
                <w:highlight w:val="none"/>
              </w:rPr>
            </w:pPr>
          </w:p>
        </w:tc>
        <w:tc>
          <w:tcPr>
            <w:tcW w:w="709" w:type="dxa"/>
            <w:vAlign w:val="center"/>
          </w:tcPr>
          <w:p w14:paraId="3E94B42B">
            <w:pPr>
              <w:jc w:val="center"/>
              <w:rPr>
                <w:rFonts w:ascii="宋体" w:hAnsi="宋体" w:eastAsia="宋体" w:cs="宋体"/>
                <w:color w:val="auto"/>
                <w:sz w:val="24"/>
                <w:szCs w:val="24"/>
                <w:highlight w:val="none"/>
              </w:rPr>
            </w:pPr>
          </w:p>
        </w:tc>
        <w:tc>
          <w:tcPr>
            <w:tcW w:w="709" w:type="dxa"/>
            <w:vAlign w:val="center"/>
          </w:tcPr>
          <w:p w14:paraId="1DAD4270">
            <w:pPr>
              <w:jc w:val="center"/>
              <w:rPr>
                <w:rFonts w:ascii="宋体" w:hAnsi="宋体" w:eastAsia="宋体" w:cs="宋体"/>
                <w:color w:val="auto"/>
                <w:sz w:val="24"/>
                <w:szCs w:val="24"/>
                <w:highlight w:val="none"/>
              </w:rPr>
            </w:pPr>
          </w:p>
        </w:tc>
        <w:tc>
          <w:tcPr>
            <w:tcW w:w="1275" w:type="dxa"/>
            <w:vAlign w:val="center"/>
          </w:tcPr>
          <w:p w14:paraId="277BE207">
            <w:pPr>
              <w:jc w:val="center"/>
              <w:rPr>
                <w:rFonts w:ascii="宋体" w:hAnsi="宋体" w:eastAsia="宋体" w:cs="宋体"/>
                <w:color w:val="auto"/>
                <w:sz w:val="24"/>
                <w:szCs w:val="24"/>
                <w:highlight w:val="none"/>
              </w:rPr>
            </w:pPr>
          </w:p>
        </w:tc>
        <w:tc>
          <w:tcPr>
            <w:tcW w:w="993" w:type="dxa"/>
            <w:vAlign w:val="center"/>
          </w:tcPr>
          <w:p w14:paraId="09F59058">
            <w:pPr>
              <w:jc w:val="center"/>
              <w:rPr>
                <w:rFonts w:ascii="宋体" w:hAnsi="宋体" w:eastAsia="宋体" w:cs="宋体"/>
                <w:color w:val="auto"/>
                <w:sz w:val="24"/>
                <w:szCs w:val="24"/>
                <w:highlight w:val="none"/>
              </w:rPr>
            </w:pPr>
          </w:p>
        </w:tc>
        <w:tc>
          <w:tcPr>
            <w:tcW w:w="992" w:type="dxa"/>
            <w:vAlign w:val="center"/>
          </w:tcPr>
          <w:p w14:paraId="3068F332">
            <w:pPr>
              <w:jc w:val="center"/>
              <w:rPr>
                <w:rFonts w:ascii="宋体" w:hAnsi="宋体" w:eastAsia="宋体" w:cs="宋体"/>
                <w:color w:val="auto"/>
                <w:sz w:val="24"/>
                <w:szCs w:val="24"/>
                <w:highlight w:val="none"/>
              </w:rPr>
            </w:pPr>
          </w:p>
        </w:tc>
        <w:tc>
          <w:tcPr>
            <w:tcW w:w="1134" w:type="dxa"/>
            <w:vAlign w:val="center"/>
          </w:tcPr>
          <w:p w14:paraId="288958A5">
            <w:pPr>
              <w:jc w:val="center"/>
              <w:rPr>
                <w:rFonts w:ascii="宋体" w:hAnsi="宋体" w:eastAsia="宋体" w:cs="宋体"/>
                <w:color w:val="auto"/>
                <w:sz w:val="24"/>
                <w:szCs w:val="24"/>
                <w:highlight w:val="none"/>
              </w:rPr>
            </w:pPr>
          </w:p>
        </w:tc>
        <w:tc>
          <w:tcPr>
            <w:tcW w:w="1984" w:type="dxa"/>
            <w:vAlign w:val="center"/>
          </w:tcPr>
          <w:p w14:paraId="6C0EFD87">
            <w:pPr>
              <w:jc w:val="center"/>
              <w:rPr>
                <w:rFonts w:ascii="宋体" w:hAnsi="宋体" w:eastAsia="宋体" w:cs="宋体"/>
                <w:color w:val="auto"/>
                <w:sz w:val="24"/>
                <w:szCs w:val="24"/>
                <w:highlight w:val="none"/>
              </w:rPr>
            </w:pPr>
          </w:p>
        </w:tc>
        <w:tc>
          <w:tcPr>
            <w:tcW w:w="1134" w:type="dxa"/>
            <w:vAlign w:val="center"/>
          </w:tcPr>
          <w:p w14:paraId="37B1FB84">
            <w:pPr>
              <w:jc w:val="center"/>
              <w:rPr>
                <w:rFonts w:ascii="宋体" w:hAnsi="宋体" w:eastAsia="宋体" w:cs="宋体"/>
                <w:color w:val="auto"/>
                <w:sz w:val="24"/>
                <w:szCs w:val="24"/>
                <w:highlight w:val="none"/>
              </w:rPr>
            </w:pPr>
          </w:p>
        </w:tc>
      </w:tr>
      <w:tr w14:paraId="1F90C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50F46C41">
            <w:pPr>
              <w:jc w:val="center"/>
              <w:rPr>
                <w:rFonts w:ascii="宋体" w:hAnsi="宋体" w:eastAsia="宋体" w:cs="宋体"/>
                <w:color w:val="auto"/>
                <w:sz w:val="24"/>
                <w:szCs w:val="24"/>
                <w:highlight w:val="none"/>
              </w:rPr>
            </w:pPr>
          </w:p>
        </w:tc>
        <w:tc>
          <w:tcPr>
            <w:tcW w:w="709" w:type="dxa"/>
            <w:vAlign w:val="center"/>
          </w:tcPr>
          <w:p w14:paraId="6C6718ED">
            <w:pPr>
              <w:jc w:val="center"/>
              <w:rPr>
                <w:rFonts w:ascii="宋体" w:hAnsi="宋体" w:eastAsia="宋体" w:cs="宋体"/>
                <w:color w:val="auto"/>
                <w:sz w:val="24"/>
                <w:szCs w:val="24"/>
                <w:highlight w:val="none"/>
              </w:rPr>
            </w:pPr>
          </w:p>
        </w:tc>
        <w:tc>
          <w:tcPr>
            <w:tcW w:w="709" w:type="dxa"/>
            <w:vAlign w:val="center"/>
          </w:tcPr>
          <w:p w14:paraId="0749EEED">
            <w:pPr>
              <w:jc w:val="center"/>
              <w:rPr>
                <w:rFonts w:ascii="宋体" w:hAnsi="宋体" w:eastAsia="宋体" w:cs="宋体"/>
                <w:color w:val="auto"/>
                <w:sz w:val="24"/>
                <w:szCs w:val="24"/>
                <w:highlight w:val="none"/>
              </w:rPr>
            </w:pPr>
          </w:p>
        </w:tc>
        <w:tc>
          <w:tcPr>
            <w:tcW w:w="1275" w:type="dxa"/>
            <w:vAlign w:val="center"/>
          </w:tcPr>
          <w:p w14:paraId="39594A36">
            <w:pPr>
              <w:jc w:val="center"/>
              <w:rPr>
                <w:rFonts w:ascii="宋体" w:hAnsi="宋体" w:eastAsia="宋体" w:cs="宋体"/>
                <w:color w:val="auto"/>
                <w:sz w:val="24"/>
                <w:szCs w:val="24"/>
                <w:highlight w:val="none"/>
              </w:rPr>
            </w:pPr>
          </w:p>
        </w:tc>
        <w:tc>
          <w:tcPr>
            <w:tcW w:w="993" w:type="dxa"/>
            <w:vAlign w:val="center"/>
          </w:tcPr>
          <w:p w14:paraId="0CDE0A7D">
            <w:pPr>
              <w:jc w:val="center"/>
              <w:rPr>
                <w:rFonts w:ascii="宋体" w:hAnsi="宋体" w:eastAsia="宋体" w:cs="宋体"/>
                <w:color w:val="auto"/>
                <w:sz w:val="24"/>
                <w:szCs w:val="24"/>
                <w:highlight w:val="none"/>
              </w:rPr>
            </w:pPr>
          </w:p>
        </w:tc>
        <w:tc>
          <w:tcPr>
            <w:tcW w:w="992" w:type="dxa"/>
            <w:vAlign w:val="center"/>
          </w:tcPr>
          <w:p w14:paraId="7317C380">
            <w:pPr>
              <w:jc w:val="center"/>
              <w:rPr>
                <w:rFonts w:ascii="宋体" w:hAnsi="宋体" w:eastAsia="宋体" w:cs="宋体"/>
                <w:color w:val="auto"/>
                <w:sz w:val="24"/>
                <w:szCs w:val="24"/>
                <w:highlight w:val="none"/>
              </w:rPr>
            </w:pPr>
          </w:p>
        </w:tc>
        <w:tc>
          <w:tcPr>
            <w:tcW w:w="1134" w:type="dxa"/>
            <w:vAlign w:val="center"/>
          </w:tcPr>
          <w:p w14:paraId="108C924B">
            <w:pPr>
              <w:jc w:val="center"/>
              <w:rPr>
                <w:rFonts w:ascii="宋体" w:hAnsi="宋体" w:eastAsia="宋体" w:cs="宋体"/>
                <w:color w:val="auto"/>
                <w:sz w:val="24"/>
                <w:szCs w:val="24"/>
                <w:highlight w:val="none"/>
              </w:rPr>
            </w:pPr>
          </w:p>
        </w:tc>
        <w:tc>
          <w:tcPr>
            <w:tcW w:w="1984" w:type="dxa"/>
            <w:vAlign w:val="center"/>
          </w:tcPr>
          <w:p w14:paraId="0BA3393F">
            <w:pPr>
              <w:jc w:val="center"/>
              <w:rPr>
                <w:rFonts w:ascii="宋体" w:hAnsi="宋体" w:eastAsia="宋体" w:cs="宋体"/>
                <w:color w:val="auto"/>
                <w:sz w:val="24"/>
                <w:szCs w:val="24"/>
                <w:highlight w:val="none"/>
              </w:rPr>
            </w:pPr>
          </w:p>
        </w:tc>
        <w:tc>
          <w:tcPr>
            <w:tcW w:w="1134" w:type="dxa"/>
            <w:vAlign w:val="center"/>
          </w:tcPr>
          <w:p w14:paraId="5DD6B507">
            <w:pPr>
              <w:jc w:val="center"/>
              <w:rPr>
                <w:rFonts w:ascii="宋体" w:hAnsi="宋体" w:eastAsia="宋体" w:cs="宋体"/>
                <w:color w:val="auto"/>
                <w:sz w:val="24"/>
                <w:szCs w:val="24"/>
                <w:highlight w:val="none"/>
              </w:rPr>
            </w:pPr>
          </w:p>
        </w:tc>
      </w:tr>
      <w:tr w14:paraId="713BB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08F68B19">
            <w:pPr>
              <w:jc w:val="center"/>
              <w:rPr>
                <w:rFonts w:ascii="宋体" w:hAnsi="宋体" w:eastAsia="宋体" w:cs="宋体"/>
                <w:color w:val="auto"/>
                <w:sz w:val="24"/>
                <w:szCs w:val="24"/>
                <w:highlight w:val="none"/>
              </w:rPr>
            </w:pPr>
          </w:p>
        </w:tc>
        <w:tc>
          <w:tcPr>
            <w:tcW w:w="709" w:type="dxa"/>
            <w:vAlign w:val="center"/>
          </w:tcPr>
          <w:p w14:paraId="4DC4F32E">
            <w:pPr>
              <w:jc w:val="center"/>
              <w:rPr>
                <w:rFonts w:ascii="宋体" w:hAnsi="宋体" w:eastAsia="宋体" w:cs="宋体"/>
                <w:color w:val="auto"/>
                <w:sz w:val="24"/>
                <w:szCs w:val="24"/>
                <w:highlight w:val="none"/>
              </w:rPr>
            </w:pPr>
          </w:p>
        </w:tc>
        <w:tc>
          <w:tcPr>
            <w:tcW w:w="709" w:type="dxa"/>
            <w:vAlign w:val="center"/>
          </w:tcPr>
          <w:p w14:paraId="4959D1C5">
            <w:pPr>
              <w:jc w:val="center"/>
              <w:rPr>
                <w:rFonts w:ascii="宋体" w:hAnsi="宋体" w:eastAsia="宋体" w:cs="宋体"/>
                <w:color w:val="auto"/>
                <w:sz w:val="24"/>
                <w:szCs w:val="24"/>
                <w:highlight w:val="none"/>
              </w:rPr>
            </w:pPr>
          </w:p>
        </w:tc>
        <w:tc>
          <w:tcPr>
            <w:tcW w:w="1275" w:type="dxa"/>
            <w:vAlign w:val="center"/>
          </w:tcPr>
          <w:p w14:paraId="25D64832">
            <w:pPr>
              <w:jc w:val="center"/>
              <w:rPr>
                <w:rFonts w:ascii="宋体" w:hAnsi="宋体" w:eastAsia="宋体" w:cs="宋体"/>
                <w:color w:val="auto"/>
                <w:sz w:val="24"/>
                <w:szCs w:val="24"/>
                <w:highlight w:val="none"/>
              </w:rPr>
            </w:pPr>
          </w:p>
        </w:tc>
        <w:tc>
          <w:tcPr>
            <w:tcW w:w="993" w:type="dxa"/>
            <w:vAlign w:val="center"/>
          </w:tcPr>
          <w:p w14:paraId="7E6EDD80">
            <w:pPr>
              <w:jc w:val="center"/>
              <w:rPr>
                <w:rFonts w:ascii="宋体" w:hAnsi="宋体" w:eastAsia="宋体" w:cs="宋体"/>
                <w:color w:val="auto"/>
                <w:sz w:val="24"/>
                <w:szCs w:val="24"/>
                <w:highlight w:val="none"/>
              </w:rPr>
            </w:pPr>
          </w:p>
        </w:tc>
        <w:tc>
          <w:tcPr>
            <w:tcW w:w="992" w:type="dxa"/>
            <w:vAlign w:val="center"/>
          </w:tcPr>
          <w:p w14:paraId="633F2538">
            <w:pPr>
              <w:jc w:val="center"/>
              <w:rPr>
                <w:rFonts w:ascii="宋体" w:hAnsi="宋体" w:eastAsia="宋体" w:cs="宋体"/>
                <w:color w:val="auto"/>
                <w:sz w:val="24"/>
                <w:szCs w:val="24"/>
                <w:highlight w:val="none"/>
              </w:rPr>
            </w:pPr>
          </w:p>
        </w:tc>
        <w:tc>
          <w:tcPr>
            <w:tcW w:w="1134" w:type="dxa"/>
            <w:vAlign w:val="center"/>
          </w:tcPr>
          <w:p w14:paraId="1571700C">
            <w:pPr>
              <w:jc w:val="center"/>
              <w:rPr>
                <w:rFonts w:ascii="宋体" w:hAnsi="宋体" w:eastAsia="宋体" w:cs="宋体"/>
                <w:color w:val="auto"/>
                <w:sz w:val="24"/>
                <w:szCs w:val="24"/>
                <w:highlight w:val="none"/>
              </w:rPr>
            </w:pPr>
          </w:p>
        </w:tc>
        <w:tc>
          <w:tcPr>
            <w:tcW w:w="1984" w:type="dxa"/>
            <w:vAlign w:val="center"/>
          </w:tcPr>
          <w:p w14:paraId="12759A91">
            <w:pPr>
              <w:jc w:val="center"/>
              <w:rPr>
                <w:rFonts w:ascii="宋体" w:hAnsi="宋体" w:eastAsia="宋体" w:cs="宋体"/>
                <w:color w:val="auto"/>
                <w:sz w:val="24"/>
                <w:szCs w:val="24"/>
                <w:highlight w:val="none"/>
              </w:rPr>
            </w:pPr>
          </w:p>
        </w:tc>
        <w:tc>
          <w:tcPr>
            <w:tcW w:w="1134" w:type="dxa"/>
            <w:vAlign w:val="center"/>
          </w:tcPr>
          <w:p w14:paraId="2AA419EA">
            <w:pPr>
              <w:jc w:val="center"/>
              <w:rPr>
                <w:rFonts w:ascii="宋体" w:hAnsi="宋体" w:eastAsia="宋体" w:cs="宋体"/>
                <w:color w:val="auto"/>
                <w:sz w:val="24"/>
                <w:szCs w:val="24"/>
                <w:highlight w:val="none"/>
              </w:rPr>
            </w:pPr>
          </w:p>
        </w:tc>
      </w:tr>
      <w:tr w14:paraId="2A1FF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0BC27B5A">
            <w:pPr>
              <w:jc w:val="center"/>
              <w:rPr>
                <w:rFonts w:ascii="宋体" w:hAnsi="宋体" w:eastAsia="宋体" w:cs="宋体"/>
                <w:color w:val="auto"/>
                <w:sz w:val="24"/>
                <w:szCs w:val="24"/>
                <w:highlight w:val="none"/>
              </w:rPr>
            </w:pPr>
          </w:p>
        </w:tc>
        <w:tc>
          <w:tcPr>
            <w:tcW w:w="709" w:type="dxa"/>
            <w:vAlign w:val="center"/>
          </w:tcPr>
          <w:p w14:paraId="643F5FD1">
            <w:pPr>
              <w:jc w:val="center"/>
              <w:rPr>
                <w:rFonts w:ascii="宋体" w:hAnsi="宋体" w:eastAsia="宋体" w:cs="宋体"/>
                <w:color w:val="auto"/>
                <w:sz w:val="24"/>
                <w:szCs w:val="24"/>
                <w:highlight w:val="none"/>
              </w:rPr>
            </w:pPr>
          </w:p>
        </w:tc>
        <w:tc>
          <w:tcPr>
            <w:tcW w:w="709" w:type="dxa"/>
            <w:vAlign w:val="center"/>
          </w:tcPr>
          <w:p w14:paraId="2D10E913">
            <w:pPr>
              <w:jc w:val="center"/>
              <w:rPr>
                <w:rFonts w:ascii="宋体" w:hAnsi="宋体" w:eastAsia="宋体" w:cs="宋体"/>
                <w:color w:val="auto"/>
                <w:sz w:val="24"/>
                <w:szCs w:val="24"/>
                <w:highlight w:val="none"/>
              </w:rPr>
            </w:pPr>
          </w:p>
        </w:tc>
        <w:tc>
          <w:tcPr>
            <w:tcW w:w="1275" w:type="dxa"/>
            <w:vAlign w:val="center"/>
          </w:tcPr>
          <w:p w14:paraId="19540AC3">
            <w:pPr>
              <w:jc w:val="center"/>
              <w:rPr>
                <w:rFonts w:ascii="宋体" w:hAnsi="宋体" w:eastAsia="宋体" w:cs="宋体"/>
                <w:color w:val="auto"/>
                <w:sz w:val="24"/>
                <w:szCs w:val="24"/>
                <w:highlight w:val="none"/>
              </w:rPr>
            </w:pPr>
          </w:p>
        </w:tc>
        <w:tc>
          <w:tcPr>
            <w:tcW w:w="993" w:type="dxa"/>
            <w:vAlign w:val="center"/>
          </w:tcPr>
          <w:p w14:paraId="4335AF60">
            <w:pPr>
              <w:jc w:val="center"/>
              <w:rPr>
                <w:rFonts w:ascii="宋体" w:hAnsi="宋体" w:eastAsia="宋体" w:cs="宋体"/>
                <w:color w:val="auto"/>
                <w:sz w:val="24"/>
                <w:szCs w:val="24"/>
                <w:highlight w:val="none"/>
              </w:rPr>
            </w:pPr>
          </w:p>
        </w:tc>
        <w:tc>
          <w:tcPr>
            <w:tcW w:w="992" w:type="dxa"/>
            <w:vAlign w:val="center"/>
          </w:tcPr>
          <w:p w14:paraId="4B6A7431">
            <w:pPr>
              <w:jc w:val="center"/>
              <w:rPr>
                <w:rFonts w:ascii="宋体" w:hAnsi="宋体" w:eastAsia="宋体" w:cs="宋体"/>
                <w:color w:val="auto"/>
                <w:sz w:val="24"/>
                <w:szCs w:val="24"/>
                <w:highlight w:val="none"/>
              </w:rPr>
            </w:pPr>
          </w:p>
        </w:tc>
        <w:tc>
          <w:tcPr>
            <w:tcW w:w="1134" w:type="dxa"/>
            <w:vAlign w:val="center"/>
          </w:tcPr>
          <w:p w14:paraId="4CA06EA0">
            <w:pPr>
              <w:jc w:val="center"/>
              <w:rPr>
                <w:rFonts w:ascii="宋体" w:hAnsi="宋体" w:eastAsia="宋体" w:cs="宋体"/>
                <w:color w:val="auto"/>
                <w:sz w:val="24"/>
                <w:szCs w:val="24"/>
                <w:highlight w:val="none"/>
              </w:rPr>
            </w:pPr>
          </w:p>
        </w:tc>
        <w:tc>
          <w:tcPr>
            <w:tcW w:w="1984" w:type="dxa"/>
            <w:vAlign w:val="center"/>
          </w:tcPr>
          <w:p w14:paraId="73A60590">
            <w:pPr>
              <w:jc w:val="center"/>
              <w:rPr>
                <w:rFonts w:ascii="宋体" w:hAnsi="宋体" w:eastAsia="宋体" w:cs="宋体"/>
                <w:color w:val="auto"/>
                <w:sz w:val="24"/>
                <w:szCs w:val="24"/>
                <w:highlight w:val="none"/>
              </w:rPr>
            </w:pPr>
          </w:p>
        </w:tc>
        <w:tc>
          <w:tcPr>
            <w:tcW w:w="1134" w:type="dxa"/>
            <w:vAlign w:val="center"/>
          </w:tcPr>
          <w:p w14:paraId="37CB6814">
            <w:pPr>
              <w:jc w:val="center"/>
              <w:rPr>
                <w:rFonts w:ascii="宋体" w:hAnsi="宋体" w:eastAsia="宋体" w:cs="宋体"/>
                <w:color w:val="auto"/>
                <w:sz w:val="24"/>
                <w:szCs w:val="24"/>
                <w:highlight w:val="none"/>
              </w:rPr>
            </w:pPr>
          </w:p>
        </w:tc>
      </w:tr>
      <w:tr w14:paraId="189B5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754CA831">
            <w:pPr>
              <w:jc w:val="center"/>
              <w:rPr>
                <w:rFonts w:ascii="宋体" w:hAnsi="宋体" w:eastAsia="宋体" w:cs="宋体"/>
                <w:color w:val="auto"/>
                <w:sz w:val="24"/>
                <w:szCs w:val="24"/>
                <w:highlight w:val="none"/>
              </w:rPr>
            </w:pPr>
          </w:p>
        </w:tc>
        <w:tc>
          <w:tcPr>
            <w:tcW w:w="709" w:type="dxa"/>
            <w:vAlign w:val="center"/>
          </w:tcPr>
          <w:p w14:paraId="62863A8F">
            <w:pPr>
              <w:jc w:val="center"/>
              <w:rPr>
                <w:rFonts w:ascii="宋体" w:hAnsi="宋体" w:eastAsia="宋体" w:cs="宋体"/>
                <w:color w:val="auto"/>
                <w:sz w:val="24"/>
                <w:szCs w:val="24"/>
                <w:highlight w:val="none"/>
              </w:rPr>
            </w:pPr>
          </w:p>
        </w:tc>
        <w:tc>
          <w:tcPr>
            <w:tcW w:w="709" w:type="dxa"/>
            <w:vAlign w:val="center"/>
          </w:tcPr>
          <w:p w14:paraId="4A58799B">
            <w:pPr>
              <w:jc w:val="center"/>
              <w:rPr>
                <w:rFonts w:ascii="宋体" w:hAnsi="宋体" w:eastAsia="宋体" w:cs="宋体"/>
                <w:color w:val="auto"/>
                <w:sz w:val="24"/>
                <w:szCs w:val="24"/>
                <w:highlight w:val="none"/>
              </w:rPr>
            </w:pPr>
          </w:p>
        </w:tc>
        <w:tc>
          <w:tcPr>
            <w:tcW w:w="1275" w:type="dxa"/>
            <w:vAlign w:val="center"/>
          </w:tcPr>
          <w:p w14:paraId="3DF8AE7A">
            <w:pPr>
              <w:jc w:val="center"/>
              <w:rPr>
                <w:rFonts w:ascii="宋体" w:hAnsi="宋体" w:eastAsia="宋体" w:cs="宋体"/>
                <w:color w:val="auto"/>
                <w:sz w:val="24"/>
                <w:szCs w:val="24"/>
                <w:highlight w:val="none"/>
              </w:rPr>
            </w:pPr>
          </w:p>
        </w:tc>
        <w:tc>
          <w:tcPr>
            <w:tcW w:w="993" w:type="dxa"/>
            <w:vAlign w:val="center"/>
          </w:tcPr>
          <w:p w14:paraId="6D40BFF3">
            <w:pPr>
              <w:jc w:val="center"/>
              <w:rPr>
                <w:rFonts w:ascii="宋体" w:hAnsi="宋体" w:eastAsia="宋体" w:cs="宋体"/>
                <w:color w:val="auto"/>
                <w:sz w:val="24"/>
                <w:szCs w:val="24"/>
                <w:highlight w:val="none"/>
              </w:rPr>
            </w:pPr>
          </w:p>
        </w:tc>
        <w:tc>
          <w:tcPr>
            <w:tcW w:w="992" w:type="dxa"/>
            <w:vAlign w:val="center"/>
          </w:tcPr>
          <w:p w14:paraId="7F1E0E55">
            <w:pPr>
              <w:jc w:val="center"/>
              <w:rPr>
                <w:rFonts w:ascii="宋体" w:hAnsi="宋体" w:eastAsia="宋体" w:cs="宋体"/>
                <w:color w:val="auto"/>
                <w:sz w:val="24"/>
                <w:szCs w:val="24"/>
                <w:highlight w:val="none"/>
              </w:rPr>
            </w:pPr>
          </w:p>
        </w:tc>
        <w:tc>
          <w:tcPr>
            <w:tcW w:w="1134" w:type="dxa"/>
            <w:vAlign w:val="center"/>
          </w:tcPr>
          <w:p w14:paraId="44E19AEC">
            <w:pPr>
              <w:jc w:val="center"/>
              <w:rPr>
                <w:rFonts w:ascii="宋体" w:hAnsi="宋体" w:eastAsia="宋体" w:cs="宋体"/>
                <w:color w:val="auto"/>
                <w:sz w:val="24"/>
                <w:szCs w:val="24"/>
                <w:highlight w:val="none"/>
              </w:rPr>
            </w:pPr>
          </w:p>
        </w:tc>
        <w:tc>
          <w:tcPr>
            <w:tcW w:w="1984" w:type="dxa"/>
            <w:vAlign w:val="center"/>
          </w:tcPr>
          <w:p w14:paraId="542B416A">
            <w:pPr>
              <w:jc w:val="center"/>
              <w:rPr>
                <w:rFonts w:ascii="宋体" w:hAnsi="宋体" w:eastAsia="宋体" w:cs="宋体"/>
                <w:color w:val="auto"/>
                <w:sz w:val="24"/>
                <w:szCs w:val="24"/>
                <w:highlight w:val="none"/>
              </w:rPr>
            </w:pPr>
          </w:p>
        </w:tc>
        <w:tc>
          <w:tcPr>
            <w:tcW w:w="1134" w:type="dxa"/>
            <w:vAlign w:val="center"/>
          </w:tcPr>
          <w:p w14:paraId="6E3C325E">
            <w:pPr>
              <w:jc w:val="center"/>
              <w:rPr>
                <w:rFonts w:ascii="宋体" w:hAnsi="宋体" w:eastAsia="宋体" w:cs="宋体"/>
                <w:color w:val="auto"/>
                <w:sz w:val="24"/>
                <w:szCs w:val="24"/>
                <w:highlight w:val="none"/>
              </w:rPr>
            </w:pPr>
          </w:p>
        </w:tc>
      </w:tr>
      <w:tr w14:paraId="7CA9B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50C8BFF5">
            <w:pPr>
              <w:jc w:val="center"/>
              <w:rPr>
                <w:rFonts w:ascii="宋体" w:hAnsi="宋体" w:eastAsia="宋体" w:cs="宋体"/>
                <w:color w:val="auto"/>
                <w:sz w:val="24"/>
                <w:szCs w:val="24"/>
                <w:highlight w:val="none"/>
              </w:rPr>
            </w:pPr>
          </w:p>
        </w:tc>
        <w:tc>
          <w:tcPr>
            <w:tcW w:w="709" w:type="dxa"/>
            <w:vAlign w:val="center"/>
          </w:tcPr>
          <w:p w14:paraId="709DB32C">
            <w:pPr>
              <w:jc w:val="center"/>
              <w:rPr>
                <w:rFonts w:ascii="宋体" w:hAnsi="宋体" w:eastAsia="宋体" w:cs="宋体"/>
                <w:color w:val="auto"/>
                <w:sz w:val="24"/>
                <w:szCs w:val="24"/>
                <w:highlight w:val="none"/>
              </w:rPr>
            </w:pPr>
          </w:p>
        </w:tc>
        <w:tc>
          <w:tcPr>
            <w:tcW w:w="709" w:type="dxa"/>
            <w:vAlign w:val="center"/>
          </w:tcPr>
          <w:p w14:paraId="53163717">
            <w:pPr>
              <w:jc w:val="center"/>
              <w:rPr>
                <w:rFonts w:ascii="宋体" w:hAnsi="宋体" w:eastAsia="宋体" w:cs="宋体"/>
                <w:color w:val="auto"/>
                <w:sz w:val="24"/>
                <w:szCs w:val="24"/>
                <w:highlight w:val="none"/>
              </w:rPr>
            </w:pPr>
          </w:p>
        </w:tc>
        <w:tc>
          <w:tcPr>
            <w:tcW w:w="1275" w:type="dxa"/>
            <w:vAlign w:val="center"/>
          </w:tcPr>
          <w:p w14:paraId="7A2ABF89">
            <w:pPr>
              <w:jc w:val="center"/>
              <w:rPr>
                <w:rFonts w:ascii="宋体" w:hAnsi="宋体" w:eastAsia="宋体" w:cs="宋体"/>
                <w:color w:val="auto"/>
                <w:sz w:val="24"/>
                <w:szCs w:val="24"/>
                <w:highlight w:val="none"/>
              </w:rPr>
            </w:pPr>
          </w:p>
        </w:tc>
        <w:tc>
          <w:tcPr>
            <w:tcW w:w="993" w:type="dxa"/>
            <w:vAlign w:val="center"/>
          </w:tcPr>
          <w:p w14:paraId="6EF3CA1D">
            <w:pPr>
              <w:jc w:val="center"/>
              <w:rPr>
                <w:rFonts w:ascii="宋体" w:hAnsi="宋体" w:eastAsia="宋体" w:cs="宋体"/>
                <w:color w:val="auto"/>
                <w:sz w:val="24"/>
                <w:szCs w:val="24"/>
                <w:highlight w:val="none"/>
              </w:rPr>
            </w:pPr>
          </w:p>
        </w:tc>
        <w:tc>
          <w:tcPr>
            <w:tcW w:w="992" w:type="dxa"/>
            <w:vAlign w:val="center"/>
          </w:tcPr>
          <w:p w14:paraId="60425B00">
            <w:pPr>
              <w:jc w:val="center"/>
              <w:rPr>
                <w:rFonts w:ascii="宋体" w:hAnsi="宋体" w:eastAsia="宋体" w:cs="宋体"/>
                <w:color w:val="auto"/>
                <w:sz w:val="24"/>
                <w:szCs w:val="24"/>
                <w:highlight w:val="none"/>
              </w:rPr>
            </w:pPr>
          </w:p>
        </w:tc>
        <w:tc>
          <w:tcPr>
            <w:tcW w:w="1134" w:type="dxa"/>
            <w:vAlign w:val="center"/>
          </w:tcPr>
          <w:p w14:paraId="5A843669">
            <w:pPr>
              <w:jc w:val="center"/>
              <w:rPr>
                <w:rFonts w:ascii="宋体" w:hAnsi="宋体" w:eastAsia="宋体" w:cs="宋体"/>
                <w:color w:val="auto"/>
                <w:sz w:val="24"/>
                <w:szCs w:val="24"/>
                <w:highlight w:val="none"/>
              </w:rPr>
            </w:pPr>
          </w:p>
        </w:tc>
        <w:tc>
          <w:tcPr>
            <w:tcW w:w="1984" w:type="dxa"/>
            <w:vAlign w:val="center"/>
          </w:tcPr>
          <w:p w14:paraId="3D6E2E21">
            <w:pPr>
              <w:jc w:val="center"/>
              <w:rPr>
                <w:rFonts w:ascii="宋体" w:hAnsi="宋体" w:eastAsia="宋体" w:cs="宋体"/>
                <w:color w:val="auto"/>
                <w:sz w:val="24"/>
                <w:szCs w:val="24"/>
                <w:highlight w:val="none"/>
              </w:rPr>
            </w:pPr>
          </w:p>
        </w:tc>
        <w:tc>
          <w:tcPr>
            <w:tcW w:w="1134" w:type="dxa"/>
            <w:vAlign w:val="center"/>
          </w:tcPr>
          <w:p w14:paraId="682D2CB5">
            <w:pPr>
              <w:jc w:val="center"/>
              <w:rPr>
                <w:rFonts w:ascii="宋体" w:hAnsi="宋体" w:eastAsia="宋体" w:cs="宋体"/>
                <w:color w:val="auto"/>
                <w:sz w:val="24"/>
                <w:szCs w:val="24"/>
                <w:highlight w:val="none"/>
              </w:rPr>
            </w:pPr>
          </w:p>
        </w:tc>
      </w:tr>
      <w:tr w14:paraId="162DA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75D39FA6">
            <w:pPr>
              <w:jc w:val="center"/>
              <w:rPr>
                <w:rFonts w:ascii="宋体" w:hAnsi="宋体" w:eastAsia="宋体" w:cs="宋体"/>
                <w:color w:val="auto"/>
                <w:sz w:val="24"/>
                <w:szCs w:val="24"/>
                <w:highlight w:val="none"/>
              </w:rPr>
            </w:pPr>
          </w:p>
        </w:tc>
        <w:tc>
          <w:tcPr>
            <w:tcW w:w="709" w:type="dxa"/>
            <w:vAlign w:val="center"/>
          </w:tcPr>
          <w:p w14:paraId="0F81BD02">
            <w:pPr>
              <w:jc w:val="center"/>
              <w:rPr>
                <w:rFonts w:ascii="宋体" w:hAnsi="宋体" w:eastAsia="宋体" w:cs="宋体"/>
                <w:color w:val="auto"/>
                <w:sz w:val="24"/>
                <w:szCs w:val="24"/>
                <w:highlight w:val="none"/>
              </w:rPr>
            </w:pPr>
          </w:p>
        </w:tc>
        <w:tc>
          <w:tcPr>
            <w:tcW w:w="709" w:type="dxa"/>
            <w:vAlign w:val="center"/>
          </w:tcPr>
          <w:p w14:paraId="7745D90C">
            <w:pPr>
              <w:jc w:val="center"/>
              <w:rPr>
                <w:rFonts w:ascii="宋体" w:hAnsi="宋体" w:eastAsia="宋体" w:cs="宋体"/>
                <w:color w:val="auto"/>
                <w:sz w:val="24"/>
                <w:szCs w:val="24"/>
                <w:highlight w:val="none"/>
              </w:rPr>
            </w:pPr>
          </w:p>
        </w:tc>
        <w:tc>
          <w:tcPr>
            <w:tcW w:w="1275" w:type="dxa"/>
            <w:vAlign w:val="center"/>
          </w:tcPr>
          <w:p w14:paraId="48507ED8">
            <w:pPr>
              <w:jc w:val="center"/>
              <w:rPr>
                <w:rFonts w:ascii="宋体" w:hAnsi="宋体" w:eastAsia="宋体" w:cs="宋体"/>
                <w:color w:val="auto"/>
                <w:sz w:val="24"/>
                <w:szCs w:val="24"/>
                <w:highlight w:val="none"/>
              </w:rPr>
            </w:pPr>
          </w:p>
        </w:tc>
        <w:tc>
          <w:tcPr>
            <w:tcW w:w="993" w:type="dxa"/>
            <w:vAlign w:val="center"/>
          </w:tcPr>
          <w:p w14:paraId="15ECF36B">
            <w:pPr>
              <w:jc w:val="center"/>
              <w:rPr>
                <w:rFonts w:ascii="宋体" w:hAnsi="宋体" w:eastAsia="宋体" w:cs="宋体"/>
                <w:color w:val="auto"/>
                <w:sz w:val="24"/>
                <w:szCs w:val="24"/>
                <w:highlight w:val="none"/>
              </w:rPr>
            </w:pPr>
          </w:p>
        </w:tc>
        <w:tc>
          <w:tcPr>
            <w:tcW w:w="992" w:type="dxa"/>
            <w:vAlign w:val="center"/>
          </w:tcPr>
          <w:p w14:paraId="076ECA10">
            <w:pPr>
              <w:jc w:val="center"/>
              <w:rPr>
                <w:rFonts w:ascii="宋体" w:hAnsi="宋体" w:eastAsia="宋体" w:cs="宋体"/>
                <w:color w:val="auto"/>
                <w:sz w:val="24"/>
                <w:szCs w:val="24"/>
                <w:highlight w:val="none"/>
              </w:rPr>
            </w:pPr>
          </w:p>
        </w:tc>
        <w:tc>
          <w:tcPr>
            <w:tcW w:w="1134" w:type="dxa"/>
            <w:vAlign w:val="center"/>
          </w:tcPr>
          <w:p w14:paraId="5654A0BF">
            <w:pPr>
              <w:jc w:val="center"/>
              <w:rPr>
                <w:rFonts w:ascii="宋体" w:hAnsi="宋体" w:eastAsia="宋体" w:cs="宋体"/>
                <w:color w:val="auto"/>
                <w:sz w:val="24"/>
                <w:szCs w:val="24"/>
                <w:highlight w:val="none"/>
              </w:rPr>
            </w:pPr>
          </w:p>
        </w:tc>
        <w:tc>
          <w:tcPr>
            <w:tcW w:w="1984" w:type="dxa"/>
            <w:vAlign w:val="center"/>
          </w:tcPr>
          <w:p w14:paraId="51DF461D">
            <w:pPr>
              <w:jc w:val="center"/>
              <w:rPr>
                <w:rFonts w:ascii="宋体" w:hAnsi="宋体" w:eastAsia="宋体" w:cs="宋体"/>
                <w:color w:val="auto"/>
                <w:sz w:val="24"/>
                <w:szCs w:val="24"/>
                <w:highlight w:val="none"/>
              </w:rPr>
            </w:pPr>
          </w:p>
        </w:tc>
        <w:tc>
          <w:tcPr>
            <w:tcW w:w="1134" w:type="dxa"/>
            <w:vAlign w:val="center"/>
          </w:tcPr>
          <w:p w14:paraId="2D1D8E39">
            <w:pPr>
              <w:jc w:val="center"/>
              <w:rPr>
                <w:rFonts w:ascii="宋体" w:hAnsi="宋体" w:eastAsia="宋体" w:cs="宋体"/>
                <w:color w:val="auto"/>
                <w:sz w:val="24"/>
                <w:szCs w:val="24"/>
                <w:highlight w:val="none"/>
              </w:rPr>
            </w:pPr>
          </w:p>
        </w:tc>
      </w:tr>
      <w:tr w14:paraId="0E745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7E9E7319">
            <w:pPr>
              <w:jc w:val="center"/>
              <w:rPr>
                <w:rFonts w:ascii="宋体" w:hAnsi="宋体" w:eastAsia="宋体" w:cs="宋体"/>
                <w:color w:val="auto"/>
                <w:sz w:val="24"/>
                <w:szCs w:val="24"/>
                <w:highlight w:val="none"/>
              </w:rPr>
            </w:pPr>
          </w:p>
        </w:tc>
        <w:tc>
          <w:tcPr>
            <w:tcW w:w="709" w:type="dxa"/>
            <w:vAlign w:val="center"/>
          </w:tcPr>
          <w:p w14:paraId="6672B491">
            <w:pPr>
              <w:jc w:val="center"/>
              <w:rPr>
                <w:rFonts w:ascii="宋体" w:hAnsi="宋体" w:eastAsia="宋体" w:cs="宋体"/>
                <w:color w:val="auto"/>
                <w:sz w:val="24"/>
                <w:szCs w:val="24"/>
                <w:highlight w:val="none"/>
              </w:rPr>
            </w:pPr>
          </w:p>
        </w:tc>
        <w:tc>
          <w:tcPr>
            <w:tcW w:w="709" w:type="dxa"/>
            <w:vAlign w:val="center"/>
          </w:tcPr>
          <w:p w14:paraId="520540C2">
            <w:pPr>
              <w:jc w:val="center"/>
              <w:rPr>
                <w:rFonts w:ascii="宋体" w:hAnsi="宋体" w:eastAsia="宋体" w:cs="宋体"/>
                <w:color w:val="auto"/>
                <w:sz w:val="24"/>
                <w:szCs w:val="24"/>
                <w:highlight w:val="none"/>
              </w:rPr>
            </w:pPr>
          </w:p>
        </w:tc>
        <w:tc>
          <w:tcPr>
            <w:tcW w:w="1275" w:type="dxa"/>
            <w:vAlign w:val="center"/>
          </w:tcPr>
          <w:p w14:paraId="0152281A">
            <w:pPr>
              <w:jc w:val="center"/>
              <w:rPr>
                <w:rFonts w:ascii="宋体" w:hAnsi="宋体" w:eastAsia="宋体" w:cs="宋体"/>
                <w:color w:val="auto"/>
                <w:sz w:val="24"/>
                <w:szCs w:val="24"/>
                <w:highlight w:val="none"/>
              </w:rPr>
            </w:pPr>
          </w:p>
        </w:tc>
        <w:tc>
          <w:tcPr>
            <w:tcW w:w="993" w:type="dxa"/>
            <w:vAlign w:val="center"/>
          </w:tcPr>
          <w:p w14:paraId="7C3B4FCB">
            <w:pPr>
              <w:jc w:val="center"/>
              <w:rPr>
                <w:rFonts w:ascii="宋体" w:hAnsi="宋体" w:eastAsia="宋体" w:cs="宋体"/>
                <w:color w:val="auto"/>
                <w:sz w:val="24"/>
                <w:szCs w:val="24"/>
                <w:highlight w:val="none"/>
              </w:rPr>
            </w:pPr>
          </w:p>
        </w:tc>
        <w:tc>
          <w:tcPr>
            <w:tcW w:w="992" w:type="dxa"/>
            <w:vAlign w:val="center"/>
          </w:tcPr>
          <w:p w14:paraId="748F212B">
            <w:pPr>
              <w:jc w:val="center"/>
              <w:rPr>
                <w:rFonts w:ascii="宋体" w:hAnsi="宋体" w:eastAsia="宋体" w:cs="宋体"/>
                <w:color w:val="auto"/>
                <w:sz w:val="24"/>
                <w:szCs w:val="24"/>
                <w:highlight w:val="none"/>
              </w:rPr>
            </w:pPr>
          </w:p>
        </w:tc>
        <w:tc>
          <w:tcPr>
            <w:tcW w:w="1134" w:type="dxa"/>
            <w:vAlign w:val="center"/>
          </w:tcPr>
          <w:p w14:paraId="3821C2BE">
            <w:pPr>
              <w:jc w:val="center"/>
              <w:rPr>
                <w:rFonts w:ascii="宋体" w:hAnsi="宋体" w:eastAsia="宋体" w:cs="宋体"/>
                <w:color w:val="auto"/>
                <w:sz w:val="24"/>
                <w:szCs w:val="24"/>
                <w:highlight w:val="none"/>
              </w:rPr>
            </w:pPr>
          </w:p>
        </w:tc>
        <w:tc>
          <w:tcPr>
            <w:tcW w:w="1984" w:type="dxa"/>
            <w:vAlign w:val="center"/>
          </w:tcPr>
          <w:p w14:paraId="3B554087">
            <w:pPr>
              <w:jc w:val="center"/>
              <w:rPr>
                <w:rFonts w:ascii="宋体" w:hAnsi="宋体" w:eastAsia="宋体" w:cs="宋体"/>
                <w:color w:val="auto"/>
                <w:sz w:val="24"/>
                <w:szCs w:val="24"/>
                <w:highlight w:val="none"/>
              </w:rPr>
            </w:pPr>
          </w:p>
        </w:tc>
        <w:tc>
          <w:tcPr>
            <w:tcW w:w="1134" w:type="dxa"/>
            <w:vAlign w:val="center"/>
          </w:tcPr>
          <w:p w14:paraId="20E6EF2A">
            <w:pPr>
              <w:jc w:val="center"/>
              <w:rPr>
                <w:rFonts w:ascii="宋体" w:hAnsi="宋体" w:eastAsia="宋体" w:cs="宋体"/>
                <w:color w:val="auto"/>
                <w:sz w:val="24"/>
                <w:szCs w:val="24"/>
                <w:highlight w:val="none"/>
              </w:rPr>
            </w:pPr>
          </w:p>
        </w:tc>
      </w:tr>
      <w:tr w14:paraId="723B6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467C1653">
            <w:pPr>
              <w:jc w:val="center"/>
              <w:rPr>
                <w:rFonts w:ascii="宋体" w:hAnsi="宋体" w:eastAsia="宋体" w:cs="宋体"/>
                <w:color w:val="auto"/>
                <w:sz w:val="24"/>
                <w:szCs w:val="24"/>
                <w:highlight w:val="none"/>
              </w:rPr>
            </w:pPr>
          </w:p>
        </w:tc>
        <w:tc>
          <w:tcPr>
            <w:tcW w:w="709" w:type="dxa"/>
            <w:vAlign w:val="center"/>
          </w:tcPr>
          <w:p w14:paraId="060E5F6E">
            <w:pPr>
              <w:jc w:val="center"/>
              <w:rPr>
                <w:rFonts w:ascii="宋体" w:hAnsi="宋体" w:eastAsia="宋体" w:cs="宋体"/>
                <w:color w:val="auto"/>
                <w:sz w:val="24"/>
                <w:szCs w:val="24"/>
                <w:highlight w:val="none"/>
              </w:rPr>
            </w:pPr>
          </w:p>
        </w:tc>
        <w:tc>
          <w:tcPr>
            <w:tcW w:w="709" w:type="dxa"/>
            <w:vAlign w:val="center"/>
          </w:tcPr>
          <w:p w14:paraId="708BD57B">
            <w:pPr>
              <w:jc w:val="center"/>
              <w:rPr>
                <w:rFonts w:ascii="宋体" w:hAnsi="宋体" w:eastAsia="宋体" w:cs="宋体"/>
                <w:color w:val="auto"/>
                <w:sz w:val="24"/>
                <w:szCs w:val="24"/>
                <w:highlight w:val="none"/>
              </w:rPr>
            </w:pPr>
          </w:p>
        </w:tc>
        <w:tc>
          <w:tcPr>
            <w:tcW w:w="1275" w:type="dxa"/>
            <w:vAlign w:val="center"/>
          </w:tcPr>
          <w:p w14:paraId="7D1A9886">
            <w:pPr>
              <w:jc w:val="center"/>
              <w:rPr>
                <w:rFonts w:ascii="宋体" w:hAnsi="宋体" w:eastAsia="宋体" w:cs="宋体"/>
                <w:color w:val="auto"/>
                <w:sz w:val="24"/>
                <w:szCs w:val="24"/>
                <w:highlight w:val="none"/>
              </w:rPr>
            </w:pPr>
          </w:p>
        </w:tc>
        <w:tc>
          <w:tcPr>
            <w:tcW w:w="993" w:type="dxa"/>
            <w:vAlign w:val="center"/>
          </w:tcPr>
          <w:p w14:paraId="0837F649">
            <w:pPr>
              <w:jc w:val="center"/>
              <w:rPr>
                <w:rFonts w:ascii="宋体" w:hAnsi="宋体" w:eastAsia="宋体" w:cs="宋体"/>
                <w:color w:val="auto"/>
                <w:sz w:val="24"/>
                <w:szCs w:val="24"/>
                <w:highlight w:val="none"/>
              </w:rPr>
            </w:pPr>
          </w:p>
        </w:tc>
        <w:tc>
          <w:tcPr>
            <w:tcW w:w="992" w:type="dxa"/>
            <w:vAlign w:val="center"/>
          </w:tcPr>
          <w:p w14:paraId="2CB0BA1D">
            <w:pPr>
              <w:jc w:val="center"/>
              <w:rPr>
                <w:rFonts w:ascii="宋体" w:hAnsi="宋体" w:eastAsia="宋体" w:cs="宋体"/>
                <w:color w:val="auto"/>
                <w:sz w:val="24"/>
                <w:szCs w:val="24"/>
                <w:highlight w:val="none"/>
              </w:rPr>
            </w:pPr>
          </w:p>
        </w:tc>
        <w:tc>
          <w:tcPr>
            <w:tcW w:w="1134" w:type="dxa"/>
            <w:vAlign w:val="center"/>
          </w:tcPr>
          <w:p w14:paraId="5DA9A7D1">
            <w:pPr>
              <w:jc w:val="center"/>
              <w:rPr>
                <w:rFonts w:ascii="宋体" w:hAnsi="宋体" w:eastAsia="宋体" w:cs="宋体"/>
                <w:color w:val="auto"/>
                <w:sz w:val="24"/>
                <w:szCs w:val="24"/>
                <w:highlight w:val="none"/>
              </w:rPr>
            </w:pPr>
          </w:p>
        </w:tc>
        <w:tc>
          <w:tcPr>
            <w:tcW w:w="1984" w:type="dxa"/>
            <w:vAlign w:val="center"/>
          </w:tcPr>
          <w:p w14:paraId="2BEC7FAE">
            <w:pPr>
              <w:jc w:val="center"/>
              <w:rPr>
                <w:rFonts w:ascii="宋体" w:hAnsi="宋体" w:eastAsia="宋体" w:cs="宋体"/>
                <w:color w:val="auto"/>
                <w:sz w:val="24"/>
                <w:szCs w:val="24"/>
                <w:highlight w:val="none"/>
              </w:rPr>
            </w:pPr>
          </w:p>
        </w:tc>
        <w:tc>
          <w:tcPr>
            <w:tcW w:w="1134" w:type="dxa"/>
            <w:vAlign w:val="center"/>
          </w:tcPr>
          <w:p w14:paraId="3413A8CC">
            <w:pPr>
              <w:jc w:val="center"/>
              <w:rPr>
                <w:rFonts w:ascii="宋体" w:hAnsi="宋体" w:eastAsia="宋体" w:cs="宋体"/>
                <w:color w:val="auto"/>
                <w:sz w:val="24"/>
                <w:szCs w:val="24"/>
                <w:highlight w:val="none"/>
              </w:rPr>
            </w:pPr>
          </w:p>
        </w:tc>
      </w:tr>
      <w:tr w14:paraId="65126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5E820DF9">
            <w:pPr>
              <w:jc w:val="center"/>
              <w:rPr>
                <w:rFonts w:ascii="宋体" w:hAnsi="宋体" w:eastAsia="宋体" w:cs="宋体"/>
                <w:color w:val="auto"/>
                <w:sz w:val="24"/>
                <w:szCs w:val="24"/>
                <w:highlight w:val="none"/>
              </w:rPr>
            </w:pPr>
          </w:p>
        </w:tc>
        <w:tc>
          <w:tcPr>
            <w:tcW w:w="709" w:type="dxa"/>
            <w:vAlign w:val="center"/>
          </w:tcPr>
          <w:p w14:paraId="688EB3A7">
            <w:pPr>
              <w:jc w:val="center"/>
              <w:rPr>
                <w:rFonts w:ascii="宋体" w:hAnsi="宋体" w:eastAsia="宋体" w:cs="宋体"/>
                <w:color w:val="auto"/>
                <w:sz w:val="24"/>
                <w:szCs w:val="24"/>
                <w:highlight w:val="none"/>
              </w:rPr>
            </w:pPr>
          </w:p>
        </w:tc>
        <w:tc>
          <w:tcPr>
            <w:tcW w:w="709" w:type="dxa"/>
            <w:vAlign w:val="center"/>
          </w:tcPr>
          <w:p w14:paraId="5A37865F">
            <w:pPr>
              <w:jc w:val="center"/>
              <w:rPr>
                <w:rFonts w:ascii="宋体" w:hAnsi="宋体" w:eastAsia="宋体" w:cs="宋体"/>
                <w:color w:val="auto"/>
                <w:sz w:val="24"/>
                <w:szCs w:val="24"/>
                <w:highlight w:val="none"/>
              </w:rPr>
            </w:pPr>
          </w:p>
        </w:tc>
        <w:tc>
          <w:tcPr>
            <w:tcW w:w="1275" w:type="dxa"/>
            <w:vAlign w:val="center"/>
          </w:tcPr>
          <w:p w14:paraId="103314F1">
            <w:pPr>
              <w:jc w:val="center"/>
              <w:rPr>
                <w:rFonts w:ascii="宋体" w:hAnsi="宋体" w:eastAsia="宋体" w:cs="宋体"/>
                <w:color w:val="auto"/>
                <w:sz w:val="24"/>
                <w:szCs w:val="24"/>
                <w:highlight w:val="none"/>
              </w:rPr>
            </w:pPr>
          </w:p>
        </w:tc>
        <w:tc>
          <w:tcPr>
            <w:tcW w:w="993" w:type="dxa"/>
            <w:vAlign w:val="center"/>
          </w:tcPr>
          <w:p w14:paraId="0B677585">
            <w:pPr>
              <w:jc w:val="center"/>
              <w:rPr>
                <w:rFonts w:ascii="宋体" w:hAnsi="宋体" w:eastAsia="宋体" w:cs="宋体"/>
                <w:color w:val="auto"/>
                <w:sz w:val="24"/>
                <w:szCs w:val="24"/>
                <w:highlight w:val="none"/>
              </w:rPr>
            </w:pPr>
          </w:p>
        </w:tc>
        <w:tc>
          <w:tcPr>
            <w:tcW w:w="992" w:type="dxa"/>
            <w:vAlign w:val="center"/>
          </w:tcPr>
          <w:p w14:paraId="08835FAE">
            <w:pPr>
              <w:jc w:val="center"/>
              <w:rPr>
                <w:rFonts w:ascii="宋体" w:hAnsi="宋体" w:eastAsia="宋体" w:cs="宋体"/>
                <w:color w:val="auto"/>
                <w:sz w:val="24"/>
                <w:szCs w:val="24"/>
                <w:highlight w:val="none"/>
              </w:rPr>
            </w:pPr>
          </w:p>
        </w:tc>
        <w:tc>
          <w:tcPr>
            <w:tcW w:w="1134" w:type="dxa"/>
            <w:vAlign w:val="center"/>
          </w:tcPr>
          <w:p w14:paraId="0A994AE2">
            <w:pPr>
              <w:jc w:val="center"/>
              <w:rPr>
                <w:rFonts w:ascii="宋体" w:hAnsi="宋体" w:eastAsia="宋体" w:cs="宋体"/>
                <w:color w:val="auto"/>
                <w:sz w:val="24"/>
                <w:szCs w:val="24"/>
                <w:highlight w:val="none"/>
              </w:rPr>
            </w:pPr>
          </w:p>
        </w:tc>
        <w:tc>
          <w:tcPr>
            <w:tcW w:w="1984" w:type="dxa"/>
            <w:vAlign w:val="center"/>
          </w:tcPr>
          <w:p w14:paraId="0C78D259">
            <w:pPr>
              <w:jc w:val="center"/>
              <w:rPr>
                <w:rFonts w:ascii="宋体" w:hAnsi="宋体" w:eastAsia="宋体" w:cs="宋体"/>
                <w:color w:val="auto"/>
                <w:sz w:val="24"/>
                <w:szCs w:val="24"/>
                <w:highlight w:val="none"/>
              </w:rPr>
            </w:pPr>
          </w:p>
        </w:tc>
        <w:tc>
          <w:tcPr>
            <w:tcW w:w="1134" w:type="dxa"/>
            <w:vAlign w:val="center"/>
          </w:tcPr>
          <w:p w14:paraId="3D16B0BC">
            <w:pPr>
              <w:jc w:val="center"/>
              <w:rPr>
                <w:rFonts w:ascii="宋体" w:hAnsi="宋体" w:eastAsia="宋体" w:cs="宋体"/>
                <w:color w:val="auto"/>
                <w:sz w:val="24"/>
                <w:szCs w:val="24"/>
                <w:highlight w:val="none"/>
              </w:rPr>
            </w:pPr>
          </w:p>
        </w:tc>
      </w:tr>
      <w:tr w14:paraId="0C40C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14DB3940">
            <w:pPr>
              <w:jc w:val="center"/>
              <w:rPr>
                <w:rFonts w:ascii="宋体" w:hAnsi="宋体" w:eastAsia="宋体" w:cs="宋体"/>
                <w:color w:val="auto"/>
                <w:sz w:val="24"/>
                <w:szCs w:val="24"/>
                <w:highlight w:val="none"/>
              </w:rPr>
            </w:pPr>
          </w:p>
        </w:tc>
        <w:tc>
          <w:tcPr>
            <w:tcW w:w="709" w:type="dxa"/>
            <w:vAlign w:val="center"/>
          </w:tcPr>
          <w:p w14:paraId="7E487521">
            <w:pPr>
              <w:jc w:val="center"/>
              <w:rPr>
                <w:rFonts w:ascii="宋体" w:hAnsi="宋体" w:eastAsia="宋体" w:cs="宋体"/>
                <w:color w:val="auto"/>
                <w:sz w:val="24"/>
                <w:szCs w:val="24"/>
                <w:highlight w:val="none"/>
              </w:rPr>
            </w:pPr>
          </w:p>
        </w:tc>
        <w:tc>
          <w:tcPr>
            <w:tcW w:w="709" w:type="dxa"/>
            <w:vAlign w:val="center"/>
          </w:tcPr>
          <w:p w14:paraId="404BAC77">
            <w:pPr>
              <w:jc w:val="center"/>
              <w:rPr>
                <w:rFonts w:ascii="宋体" w:hAnsi="宋体" w:eastAsia="宋体" w:cs="宋体"/>
                <w:color w:val="auto"/>
                <w:sz w:val="24"/>
                <w:szCs w:val="24"/>
                <w:highlight w:val="none"/>
              </w:rPr>
            </w:pPr>
          </w:p>
        </w:tc>
        <w:tc>
          <w:tcPr>
            <w:tcW w:w="1275" w:type="dxa"/>
            <w:vAlign w:val="center"/>
          </w:tcPr>
          <w:p w14:paraId="146DA608">
            <w:pPr>
              <w:jc w:val="center"/>
              <w:rPr>
                <w:rFonts w:ascii="宋体" w:hAnsi="宋体" w:eastAsia="宋体" w:cs="宋体"/>
                <w:color w:val="auto"/>
                <w:sz w:val="24"/>
                <w:szCs w:val="24"/>
                <w:highlight w:val="none"/>
              </w:rPr>
            </w:pPr>
          </w:p>
        </w:tc>
        <w:tc>
          <w:tcPr>
            <w:tcW w:w="993" w:type="dxa"/>
            <w:vAlign w:val="center"/>
          </w:tcPr>
          <w:p w14:paraId="353DC2B7">
            <w:pPr>
              <w:jc w:val="center"/>
              <w:rPr>
                <w:rFonts w:ascii="宋体" w:hAnsi="宋体" w:eastAsia="宋体" w:cs="宋体"/>
                <w:color w:val="auto"/>
                <w:sz w:val="24"/>
                <w:szCs w:val="24"/>
                <w:highlight w:val="none"/>
              </w:rPr>
            </w:pPr>
          </w:p>
        </w:tc>
        <w:tc>
          <w:tcPr>
            <w:tcW w:w="992" w:type="dxa"/>
            <w:vAlign w:val="center"/>
          </w:tcPr>
          <w:p w14:paraId="1BFC1B9F">
            <w:pPr>
              <w:jc w:val="center"/>
              <w:rPr>
                <w:rFonts w:ascii="宋体" w:hAnsi="宋体" w:eastAsia="宋体" w:cs="宋体"/>
                <w:color w:val="auto"/>
                <w:sz w:val="24"/>
                <w:szCs w:val="24"/>
                <w:highlight w:val="none"/>
              </w:rPr>
            </w:pPr>
          </w:p>
        </w:tc>
        <w:tc>
          <w:tcPr>
            <w:tcW w:w="1134" w:type="dxa"/>
            <w:vAlign w:val="center"/>
          </w:tcPr>
          <w:p w14:paraId="2F1BD441">
            <w:pPr>
              <w:jc w:val="center"/>
              <w:rPr>
                <w:rFonts w:ascii="宋体" w:hAnsi="宋体" w:eastAsia="宋体" w:cs="宋体"/>
                <w:color w:val="auto"/>
                <w:sz w:val="24"/>
                <w:szCs w:val="24"/>
                <w:highlight w:val="none"/>
              </w:rPr>
            </w:pPr>
          </w:p>
        </w:tc>
        <w:tc>
          <w:tcPr>
            <w:tcW w:w="1984" w:type="dxa"/>
            <w:vAlign w:val="center"/>
          </w:tcPr>
          <w:p w14:paraId="56A45DF2">
            <w:pPr>
              <w:jc w:val="center"/>
              <w:rPr>
                <w:rFonts w:ascii="宋体" w:hAnsi="宋体" w:eastAsia="宋体" w:cs="宋体"/>
                <w:color w:val="auto"/>
                <w:sz w:val="24"/>
                <w:szCs w:val="24"/>
                <w:highlight w:val="none"/>
              </w:rPr>
            </w:pPr>
          </w:p>
        </w:tc>
        <w:tc>
          <w:tcPr>
            <w:tcW w:w="1134" w:type="dxa"/>
            <w:vAlign w:val="center"/>
          </w:tcPr>
          <w:p w14:paraId="3E4DAF54">
            <w:pPr>
              <w:jc w:val="center"/>
              <w:rPr>
                <w:rFonts w:ascii="宋体" w:hAnsi="宋体" w:eastAsia="宋体" w:cs="宋体"/>
                <w:color w:val="auto"/>
                <w:sz w:val="24"/>
                <w:szCs w:val="24"/>
                <w:highlight w:val="none"/>
              </w:rPr>
            </w:pPr>
          </w:p>
        </w:tc>
      </w:tr>
      <w:tr w14:paraId="7B573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5DF66548">
            <w:pPr>
              <w:jc w:val="center"/>
              <w:rPr>
                <w:rFonts w:ascii="宋体" w:hAnsi="宋体" w:eastAsia="宋体" w:cs="宋体"/>
                <w:color w:val="auto"/>
                <w:sz w:val="24"/>
                <w:szCs w:val="24"/>
                <w:highlight w:val="none"/>
              </w:rPr>
            </w:pPr>
          </w:p>
        </w:tc>
        <w:tc>
          <w:tcPr>
            <w:tcW w:w="709" w:type="dxa"/>
            <w:vAlign w:val="center"/>
          </w:tcPr>
          <w:p w14:paraId="1B08FDFD">
            <w:pPr>
              <w:jc w:val="center"/>
              <w:rPr>
                <w:rFonts w:ascii="宋体" w:hAnsi="宋体" w:eastAsia="宋体" w:cs="宋体"/>
                <w:color w:val="auto"/>
                <w:sz w:val="24"/>
                <w:szCs w:val="24"/>
                <w:highlight w:val="none"/>
              </w:rPr>
            </w:pPr>
          </w:p>
        </w:tc>
        <w:tc>
          <w:tcPr>
            <w:tcW w:w="709" w:type="dxa"/>
            <w:vAlign w:val="center"/>
          </w:tcPr>
          <w:p w14:paraId="0FBA8CDC">
            <w:pPr>
              <w:jc w:val="center"/>
              <w:rPr>
                <w:rFonts w:ascii="宋体" w:hAnsi="宋体" w:eastAsia="宋体" w:cs="宋体"/>
                <w:color w:val="auto"/>
                <w:sz w:val="24"/>
                <w:szCs w:val="24"/>
                <w:highlight w:val="none"/>
              </w:rPr>
            </w:pPr>
          </w:p>
        </w:tc>
        <w:tc>
          <w:tcPr>
            <w:tcW w:w="1275" w:type="dxa"/>
            <w:vAlign w:val="center"/>
          </w:tcPr>
          <w:p w14:paraId="1A39B280">
            <w:pPr>
              <w:jc w:val="center"/>
              <w:rPr>
                <w:rFonts w:ascii="宋体" w:hAnsi="宋体" w:eastAsia="宋体" w:cs="宋体"/>
                <w:color w:val="auto"/>
                <w:sz w:val="24"/>
                <w:szCs w:val="24"/>
                <w:highlight w:val="none"/>
              </w:rPr>
            </w:pPr>
          </w:p>
        </w:tc>
        <w:tc>
          <w:tcPr>
            <w:tcW w:w="993" w:type="dxa"/>
            <w:vAlign w:val="center"/>
          </w:tcPr>
          <w:p w14:paraId="39ED19D5">
            <w:pPr>
              <w:jc w:val="center"/>
              <w:rPr>
                <w:rFonts w:ascii="宋体" w:hAnsi="宋体" w:eastAsia="宋体" w:cs="宋体"/>
                <w:color w:val="auto"/>
                <w:sz w:val="24"/>
                <w:szCs w:val="24"/>
                <w:highlight w:val="none"/>
              </w:rPr>
            </w:pPr>
          </w:p>
        </w:tc>
        <w:tc>
          <w:tcPr>
            <w:tcW w:w="992" w:type="dxa"/>
            <w:vAlign w:val="center"/>
          </w:tcPr>
          <w:p w14:paraId="73B00334">
            <w:pPr>
              <w:jc w:val="center"/>
              <w:rPr>
                <w:rFonts w:ascii="宋体" w:hAnsi="宋体" w:eastAsia="宋体" w:cs="宋体"/>
                <w:color w:val="auto"/>
                <w:sz w:val="24"/>
                <w:szCs w:val="24"/>
                <w:highlight w:val="none"/>
              </w:rPr>
            </w:pPr>
          </w:p>
        </w:tc>
        <w:tc>
          <w:tcPr>
            <w:tcW w:w="1134" w:type="dxa"/>
            <w:vAlign w:val="center"/>
          </w:tcPr>
          <w:p w14:paraId="37596475">
            <w:pPr>
              <w:jc w:val="center"/>
              <w:rPr>
                <w:rFonts w:ascii="宋体" w:hAnsi="宋体" w:eastAsia="宋体" w:cs="宋体"/>
                <w:color w:val="auto"/>
                <w:sz w:val="24"/>
                <w:szCs w:val="24"/>
                <w:highlight w:val="none"/>
              </w:rPr>
            </w:pPr>
          </w:p>
        </w:tc>
        <w:tc>
          <w:tcPr>
            <w:tcW w:w="1984" w:type="dxa"/>
            <w:vAlign w:val="center"/>
          </w:tcPr>
          <w:p w14:paraId="01CF494F">
            <w:pPr>
              <w:jc w:val="center"/>
              <w:rPr>
                <w:rFonts w:ascii="宋体" w:hAnsi="宋体" w:eastAsia="宋体" w:cs="宋体"/>
                <w:color w:val="auto"/>
                <w:sz w:val="24"/>
                <w:szCs w:val="24"/>
                <w:highlight w:val="none"/>
              </w:rPr>
            </w:pPr>
          </w:p>
        </w:tc>
        <w:tc>
          <w:tcPr>
            <w:tcW w:w="1134" w:type="dxa"/>
            <w:vAlign w:val="center"/>
          </w:tcPr>
          <w:p w14:paraId="108534F9">
            <w:pPr>
              <w:jc w:val="center"/>
              <w:rPr>
                <w:rFonts w:ascii="宋体" w:hAnsi="宋体" w:eastAsia="宋体" w:cs="宋体"/>
                <w:color w:val="auto"/>
                <w:sz w:val="24"/>
                <w:szCs w:val="24"/>
                <w:highlight w:val="none"/>
              </w:rPr>
            </w:pPr>
          </w:p>
        </w:tc>
      </w:tr>
      <w:tr w14:paraId="08811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733EFC3C">
            <w:pPr>
              <w:jc w:val="center"/>
              <w:rPr>
                <w:rFonts w:ascii="宋体" w:hAnsi="宋体" w:eastAsia="宋体" w:cs="宋体"/>
                <w:color w:val="auto"/>
                <w:sz w:val="24"/>
                <w:szCs w:val="24"/>
                <w:highlight w:val="none"/>
              </w:rPr>
            </w:pPr>
          </w:p>
        </w:tc>
        <w:tc>
          <w:tcPr>
            <w:tcW w:w="709" w:type="dxa"/>
            <w:vAlign w:val="center"/>
          </w:tcPr>
          <w:p w14:paraId="5E66714F">
            <w:pPr>
              <w:jc w:val="center"/>
              <w:rPr>
                <w:rFonts w:ascii="宋体" w:hAnsi="宋体" w:eastAsia="宋体" w:cs="宋体"/>
                <w:color w:val="auto"/>
                <w:sz w:val="24"/>
                <w:szCs w:val="24"/>
                <w:highlight w:val="none"/>
              </w:rPr>
            </w:pPr>
          </w:p>
        </w:tc>
        <w:tc>
          <w:tcPr>
            <w:tcW w:w="709" w:type="dxa"/>
            <w:vAlign w:val="center"/>
          </w:tcPr>
          <w:p w14:paraId="65D38B9B">
            <w:pPr>
              <w:jc w:val="center"/>
              <w:rPr>
                <w:rFonts w:ascii="宋体" w:hAnsi="宋体" w:eastAsia="宋体" w:cs="宋体"/>
                <w:color w:val="auto"/>
                <w:sz w:val="24"/>
                <w:szCs w:val="24"/>
                <w:highlight w:val="none"/>
              </w:rPr>
            </w:pPr>
          </w:p>
        </w:tc>
        <w:tc>
          <w:tcPr>
            <w:tcW w:w="1275" w:type="dxa"/>
            <w:vAlign w:val="center"/>
          </w:tcPr>
          <w:p w14:paraId="0EC2DA2A">
            <w:pPr>
              <w:jc w:val="center"/>
              <w:rPr>
                <w:rFonts w:ascii="宋体" w:hAnsi="宋体" w:eastAsia="宋体" w:cs="宋体"/>
                <w:color w:val="auto"/>
                <w:sz w:val="24"/>
                <w:szCs w:val="24"/>
                <w:highlight w:val="none"/>
              </w:rPr>
            </w:pPr>
          </w:p>
        </w:tc>
        <w:tc>
          <w:tcPr>
            <w:tcW w:w="993" w:type="dxa"/>
            <w:vAlign w:val="center"/>
          </w:tcPr>
          <w:p w14:paraId="36BD4C0F">
            <w:pPr>
              <w:jc w:val="center"/>
              <w:rPr>
                <w:rFonts w:ascii="宋体" w:hAnsi="宋体" w:eastAsia="宋体" w:cs="宋体"/>
                <w:color w:val="auto"/>
                <w:sz w:val="24"/>
                <w:szCs w:val="24"/>
                <w:highlight w:val="none"/>
              </w:rPr>
            </w:pPr>
          </w:p>
        </w:tc>
        <w:tc>
          <w:tcPr>
            <w:tcW w:w="992" w:type="dxa"/>
            <w:vAlign w:val="center"/>
          </w:tcPr>
          <w:p w14:paraId="5D05EA20">
            <w:pPr>
              <w:jc w:val="center"/>
              <w:rPr>
                <w:rFonts w:ascii="宋体" w:hAnsi="宋体" w:eastAsia="宋体" w:cs="宋体"/>
                <w:color w:val="auto"/>
                <w:sz w:val="24"/>
                <w:szCs w:val="24"/>
                <w:highlight w:val="none"/>
              </w:rPr>
            </w:pPr>
          </w:p>
        </w:tc>
        <w:tc>
          <w:tcPr>
            <w:tcW w:w="1134" w:type="dxa"/>
            <w:vAlign w:val="center"/>
          </w:tcPr>
          <w:p w14:paraId="36B7B89B">
            <w:pPr>
              <w:jc w:val="center"/>
              <w:rPr>
                <w:rFonts w:ascii="宋体" w:hAnsi="宋体" w:eastAsia="宋体" w:cs="宋体"/>
                <w:color w:val="auto"/>
                <w:sz w:val="24"/>
                <w:szCs w:val="24"/>
                <w:highlight w:val="none"/>
              </w:rPr>
            </w:pPr>
          </w:p>
        </w:tc>
        <w:tc>
          <w:tcPr>
            <w:tcW w:w="1984" w:type="dxa"/>
            <w:vAlign w:val="center"/>
          </w:tcPr>
          <w:p w14:paraId="60DD6D61">
            <w:pPr>
              <w:jc w:val="center"/>
              <w:rPr>
                <w:rFonts w:ascii="宋体" w:hAnsi="宋体" w:eastAsia="宋体" w:cs="宋体"/>
                <w:color w:val="auto"/>
                <w:sz w:val="24"/>
                <w:szCs w:val="24"/>
                <w:highlight w:val="none"/>
              </w:rPr>
            </w:pPr>
          </w:p>
        </w:tc>
        <w:tc>
          <w:tcPr>
            <w:tcW w:w="1134" w:type="dxa"/>
            <w:vAlign w:val="center"/>
          </w:tcPr>
          <w:p w14:paraId="04FEC37E">
            <w:pPr>
              <w:jc w:val="center"/>
              <w:rPr>
                <w:rFonts w:ascii="宋体" w:hAnsi="宋体" w:eastAsia="宋体" w:cs="宋体"/>
                <w:color w:val="auto"/>
                <w:sz w:val="24"/>
                <w:szCs w:val="24"/>
                <w:highlight w:val="none"/>
              </w:rPr>
            </w:pPr>
          </w:p>
        </w:tc>
      </w:tr>
      <w:tr w14:paraId="0EBFB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241FE829">
            <w:pPr>
              <w:jc w:val="center"/>
              <w:rPr>
                <w:rFonts w:ascii="宋体" w:hAnsi="宋体" w:eastAsia="宋体" w:cs="宋体"/>
                <w:color w:val="auto"/>
                <w:sz w:val="24"/>
                <w:szCs w:val="24"/>
                <w:highlight w:val="none"/>
              </w:rPr>
            </w:pPr>
          </w:p>
        </w:tc>
        <w:tc>
          <w:tcPr>
            <w:tcW w:w="709" w:type="dxa"/>
            <w:vAlign w:val="center"/>
          </w:tcPr>
          <w:p w14:paraId="16792BD9">
            <w:pPr>
              <w:jc w:val="center"/>
              <w:rPr>
                <w:rFonts w:ascii="宋体" w:hAnsi="宋体" w:eastAsia="宋体" w:cs="宋体"/>
                <w:color w:val="auto"/>
                <w:sz w:val="24"/>
                <w:szCs w:val="24"/>
                <w:highlight w:val="none"/>
              </w:rPr>
            </w:pPr>
          </w:p>
        </w:tc>
        <w:tc>
          <w:tcPr>
            <w:tcW w:w="709" w:type="dxa"/>
            <w:vAlign w:val="center"/>
          </w:tcPr>
          <w:p w14:paraId="5C6A4FEA">
            <w:pPr>
              <w:jc w:val="center"/>
              <w:rPr>
                <w:rFonts w:ascii="宋体" w:hAnsi="宋体" w:eastAsia="宋体" w:cs="宋体"/>
                <w:color w:val="auto"/>
                <w:sz w:val="24"/>
                <w:szCs w:val="24"/>
                <w:highlight w:val="none"/>
              </w:rPr>
            </w:pPr>
          </w:p>
        </w:tc>
        <w:tc>
          <w:tcPr>
            <w:tcW w:w="1275" w:type="dxa"/>
            <w:vAlign w:val="center"/>
          </w:tcPr>
          <w:p w14:paraId="378367DA">
            <w:pPr>
              <w:jc w:val="center"/>
              <w:rPr>
                <w:rFonts w:ascii="宋体" w:hAnsi="宋体" w:eastAsia="宋体" w:cs="宋体"/>
                <w:color w:val="auto"/>
                <w:sz w:val="24"/>
                <w:szCs w:val="24"/>
                <w:highlight w:val="none"/>
              </w:rPr>
            </w:pPr>
          </w:p>
        </w:tc>
        <w:tc>
          <w:tcPr>
            <w:tcW w:w="993" w:type="dxa"/>
            <w:vAlign w:val="center"/>
          </w:tcPr>
          <w:p w14:paraId="20B3DA66">
            <w:pPr>
              <w:jc w:val="center"/>
              <w:rPr>
                <w:rFonts w:ascii="宋体" w:hAnsi="宋体" w:eastAsia="宋体" w:cs="宋体"/>
                <w:color w:val="auto"/>
                <w:sz w:val="24"/>
                <w:szCs w:val="24"/>
                <w:highlight w:val="none"/>
              </w:rPr>
            </w:pPr>
          </w:p>
        </w:tc>
        <w:tc>
          <w:tcPr>
            <w:tcW w:w="992" w:type="dxa"/>
            <w:vAlign w:val="center"/>
          </w:tcPr>
          <w:p w14:paraId="38BBD001">
            <w:pPr>
              <w:jc w:val="center"/>
              <w:rPr>
                <w:rFonts w:ascii="宋体" w:hAnsi="宋体" w:eastAsia="宋体" w:cs="宋体"/>
                <w:color w:val="auto"/>
                <w:sz w:val="24"/>
                <w:szCs w:val="24"/>
                <w:highlight w:val="none"/>
              </w:rPr>
            </w:pPr>
          </w:p>
        </w:tc>
        <w:tc>
          <w:tcPr>
            <w:tcW w:w="1134" w:type="dxa"/>
            <w:vAlign w:val="center"/>
          </w:tcPr>
          <w:p w14:paraId="2139383A">
            <w:pPr>
              <w:jc w:val="center"/>
              <w:rPr>
                <w:rFonts w:ascii="宋体" w:hAnsi="宋体" w:eastAsia="宋体" w:cs="宋体"/>
                <w:color w:val="auto"/>
                <w:sz w:val="24"/>
                <w:szCs w:val="24"/>
                <w:highlight w:val="none"/>
              </w:rPr>
            </w:pPr>
          </w:p>
        </w:tc>
        <w:tc>
          <w:tcPr>
            <w:tcW w:w="1984" w:type="dxa"/>
            <w:vAlign w:val="center"/>
          </w:tcPr>
          <w:p w14:paraId="037AD2AC">
            <w:pPr>
              <w:jc w:val="center"/>
              <w:rPr>
                <w:rFonts w:ascii="宋体" w:hAnsi="宋体" w:eastAsia="宋体" w:cs="宋体"/>
                <w:color w:val="auto"/>
                <w:sz w:val="24"/>
                <w:szCs w:val="24"/>
                <w:highlight w:val="none"/>
              </w:rPr>
            </w:pPr>
          </w:p>
        </w:tc>
        <w:tc>
          <w:tcPr>
            <w:tcW w:w="1134" w:type="dxa"/>
            <w:vAlign w:val="center"/>
          </w:tcPr>
          <w:p w14:paraId="20FB7465">
            <w:pPr>
              <w:jc w:val="center"/>
              <w:rPr>
                <w:rFonts w:ascii="宋体" w:hAnsi="宋体" w:eastAsia="宋体" w:cs="宋体"/>
                <w:color w:val="auto"/>
                <w:sz w:val="24"/>
                <w:szCs w:val="24"/>
                <w:highlight w:val="none"/>
              </w:rPr>
            </w:pPr>
          </w:p>
        </w:tc>
      </w:tr>
      <w:tr w14:paraId="4A1DB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10777F4C">
            <w:pPr>
              <w:jc w:val="center"/>
              <w:rPr>
                <w:rFonts w:ascii="宋体" w:hAnsi="宋体" w:eastAsia="宋体" w:cs="宋体"/>
                <w:color w:val="auto"/>
                <w:sz w:val="24"/>
                <w:szCs w:val="24"/>
                <w:highlight w:val="none"/>
              </w:rPr>
            </w:pPr>
          </w:p>
        </w:tc>
        <w:tc>
          <w:tcPr>
            <w:tcW w:w="709" w:type="dxa"/>
            <w:vAlign w:val="center"/>
          </w:tcPr>
          <w:p w14:paraId="303A9540">
            <w:pPr>
              <w:jc w:val="center"/>
              <w:rPr>
                <w:rFonts w:ascii="宋体" w:hAnsi="宋体" w:eastAsia="宋体" w:cs="宋体"/>
                <w:color w:val="auto"/>
                <w:sz w:val="24"/>
                <w:szCs w:val="24"/>
                <w:highlight w:val="none"/>
              </w:rPr>
            </w:pPr>
          </w:p>
        </w:tc>
        <w:tc>
          <w:tcPr>
            <w:tcW w:w="709" w:type="dxa"/>
            <w:vAlign w:val="center"/>
          </w:tcPr>
          <w:p w14:paraId="584FEA58">
            <w:pPr>
              <w:jc w:val="center"/>
              <w:rPr>
                <w:rFonts w:ascii="宋体" w:hAnsi="宋体" w:eastAsia="宋体" w:cs="宋体"/>
                <w:color w:val="auto"/>
                <w:sz w:val="24"/>
                <w:szCs w:val="24"/>
                <w:highlight w:val="none"/>
              </w:rPr>
            </w:pPr>
          </w:p>
        </w:tc>
        <w:tc>
          <w:tcPr>
            <w:tcW w:w="1275" w:type="dxa"/>
            <w:vAlign w:val="center"/>
          </w:tcPr>
          <w:p w14:paraId="030E33E8">
            <w:pPr>
              <w:jc w:val="center"/>
              <w:rPr>
                <w:rFonts w:ascii="宋体" w:hAnsi="宋体" w:eastAsia="宋体" w:cs="宋体"/>
                <w:color w:val="auto"/>
                <w:sz w:val="24"/>
                <w:szCs w:val="24"/>
                <w:highlight w:val="none"/>
              </w:rPr>
            </w:pPr>
          </w:p>
        </w:tc>
        <w:tc>
          <w:tcPr>
            <w:tcW w:w="993" w:type="dxa"/>
            <w:vAlign w:val="center"/>
          </w:tcPr>
          <w:p w14:paraId="2DB79FCD">
            <w:pPr>
              <w:jc w:val="center"/>
              <w:rPr>
                <w:rFonts w:ascii="宋体" w:hAnsi="宋体" w:eastAsia="宋体" w:cs="宋体"/>
                <w:color w:val="auto"/>
                <w:sz w:val="24"/>
                <w:szCs w:val="24"/>
                <w:highlight w:val="none"/>
              </w:rPr>
            </w:pPr>
          </w:p>
        </w:tc>
        <w:tc>
          <w:tcPr>
            <w:tcW w:w="992" w:type="dxa"/>
            <w:vAlign w:val="center"/>
          </w:tcPr>
          <w:p w14:paraId="16D5E245">
            <w:pPr>
              <w:jc w:val="center"/>
              <w:rPr>
                <w:rFonts w:ascii="宋体" w:hAnsi="宋体" w:eastAsia="宋体" w:cs="宋体"/>
                <w:color w:val="auto"/>
                <w:sz w:val="24"/>
                <w:szCs w:val="24"/>
                <w:highlight w:val="none"/>
              </w:rPr>
            </w:pPr>
          </w:p>
        </w:tc>
        <w:tc>
          <w:tcPr>
            <w:tcW w:w="1134" w:type="dxa"/>
            <w:vAlign w:val="center"/>
          </w:tcPr>
          <w:p w14:paraId="6DAFDFAE">
            <w:pPr>
              <w:jc w:val="center"/>
              <w:rPr>
                <w:rFonts w:ascii="宋体" w:hAnsi="宋体" w:eastAsia="宋体" w:cs="宋体"/>
                <w:color w:val="auto"/>
                <w:sz w:val="24"/>
                <w:szCs w:val="24"/>
                <w:highlight w:val="none"/>
              </w:rPr>
            </w:pPr>
          </w:p>
        </w:tc>
        <w:tc>
          <w:tcPr>
            <w:tcW w:w="1984" w:type="dxa"/>
            <w:vAlign w:val="center"/>
          </w:tcPr>
          <w:p w14:paraId="35D28F58">
            <w:pPr>
              <w:jc w:val="center"/>
              <w:rPr>
                <w:rFonts w:ascii="宋体" w:hAnsi="宋体" w:eastAsia="宋体" w:cs="宋体"/>
                <w:color w:val="auto"/>
                <w:sz w:val="24"/>
                <w:szCs w:val="24"/>
                <w:highlight w:val="none"/>
              </w:rPr>
            </w:pPr>
          </w:p>
        </w:tc>
        <w:tc>
          <w:tcPr>
            <w:tcW w:w="1134" w:type="dxa"/>
            <w:vAlign w:val="center"/>
          </w:tcPr>
          <w:p w14:paraId="657897EA">
            <w:pPr>
              <w:jc w:val="center"/>
              <w:rPr>
                <w:rFonts w:ascii="宋体" w:hAnsi="宋体" w:eastAsia="宋体" w:cs="宋体"/>
                <w:color w:val="auto"/>
                <w:sz w:val="24"/>
                <w:szCs w:val="24"/>
                <w:highlight w:val="none"/>
              </w:rPr>
            </w:pPr>
          </w:p>
        </w:tc>
      </w:tr>
      <w:tr w14:paraId="34452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01957BBC">
            <w:pPr>
              <w:jc w:val="center"/>
              <w:rPr>
                <w:rFonts w:ascii="宋体" w:hAnsi="宋体" w:eastAsia="宋体" w:cs="宋体"/>
                <w:color w:val="auto"/>
                <w:sz w:val="24"/>
                <w:szCs w:val="24"/>
                <w:highlight w:val="none"/>
              </w:rPr>
            </w:pPr>
          </w:p>
        </w:tc>
        <w:tc>
          <w:tcPr>
            <w:tcW w:w="709" w:type="dxa"/>
            <w:vAlign w:val="center"/>
          </w:tcPr>
          <w:p w14:paraId="7C25B5A3">
            <w:pPr>
              <w:jc w:val="center"/>
              <w:rPr>
                <w:rFonts w:ascii="宋体" w:hAnsi="宋体" w:eastAsia="宋体" w:cs="宋体"/>
                <w:color w:val="auto"/>
                <w:sz w:val="24"/>
                <w:szCs w:val="24"/>
                <w:highlight w:val="none"/>
              </w:rPr>
            </w:pPr>
          </w:p>
        </w:tc>
        <w:tc>
          <w:tcPr>
            <w:tcW w:w="709" w:type="dxa"/>
            <w:vAlign w:val="center"/>
          </w:tcPr>
          <w:p w14:paraId="36305182">
            <w:pPr>
              <w:jc w:val="center"/>
              <w:rPr>
                <w:rFonts w:ascii="宋体" w:hAnsi="宋体" w:eastAsia="宋体" w:cs="宋体"/>
                <w:color w:val="auto"/>
                <w:sz w:val="24"/>
                <w:szCs w:val="24"/>
                <w:highlight w:val="none"/>
              </w:rPr>
            </w:pPr>
          </w:p>
        </w:tc>
        <w:tc>
          <w:tcPr>
            <w:tcW w:w="1275" w:type="dxa"/>
            <w:vAlign w:val="center"/>
          </w:tcPr>
          <w:p w14:paraId="65379269">
            <w:pPr>
              <w:jc w:val="center"/>
              <w:rPr>
                <w:rFonts w:ascii="宋体" w:hAnsi="宋体" w:eastAsia="宋体" w:cs="宋体"/>
                <w:color w:val="auto"/>
                <w:sz w:val="24"/>
                <w:szCs w:val="24"/>
                <w:highlight w:val="none"/>
              </w:rPr>
            </w:pPr>
          </w:p>
        </w:tc>
        <w:tc>
          <w:tcPr>
            <w:tcW w:w="993" w:type="dxa"/>
            <w:vAlign w:val="center"/>
          </w:tcPr>
          <w:p w14:paraId="371A1557">
            <w:pPr>
              <w:jc w:val="center"/>
              <w:rPr>
                <w:rFonts w:ascii="宋体" w:hAnsi="宋体" w:eastAsia="宋体" w:cs="宋体"/>
                <w:color w:val="auto"/>
                <w:sz w:val="24"/>
                <w:szCs w:val="24"/>
                <w:highlight w:val="none"/>
              </w:rPr>
            </w:pPr>
          </w:p>
        </w:tc>
        <w:tc>
          <w:tcPr>
            <w:tcW w:w="992" w:type="dxa"/>
            <w:vAlign w:val="center"/>
          </w:tcPr>
          <w:p w14:paraId="53F661CF">
            <w:pPr>
              <w:jc w:val="center"/>
              <w:rPr>
                <w:rFonts w:ascii="宋体" w:hAnsi="宋体" w:eastAsia="宋体" w:cs="宋体"/>
                <w:color w:val="auto"/>
                <w:sz w:val="24"/>
                <w:szCs w:val="24"/>
                <w:highlight w:val="none"/>
              </w:rPr>
            </w:pPr>
          </w:p>
        </w:tc>
        <w:tc>
          <w:tcPr>
            <w:tcW w:w="1134" w:type="dxa"/>
            <w:vAlign w:val="center"/>
          </w:tcPr>
          <w:p w14:paraId="469ED16D">
            <w:pPr>
              <w:jc w:val="center"/>
              <w:rPr>
                <w:rFonts w:ascii="宋体" w:hAnsi="宋体" w:eastAsia="宋体" w:cs="宋体"/>
                <w:color w:val="auto"/>
                <w:sz w:val="24"/>
                <w:szCs w:val="24"/>
                <w:highlight w:val="none"/>
              </w:rPr>
            </w:pPr>
          </w:p>
        </w:tc>
        <w:tc>
          <w:tcPr>
            <w:tcW w:w="1984" w:type="dxa"/>
            <w:vAlign w:val="center"/>
          </w:tcPr>
          <w:p w14:paraId="65CC8C29">
            <w:pPr>
              <w:jc w:val="center"/>
              <w:rPr>
                <w:rFonts w:ascii="宋体" w:hAnsi="宋体" w:eastAsia="宋体" w:cs="宋体"/>
                <w:color w:val="auto"/>
                <w:sz w:val="24"/>
                <w:szCs w:val="24"/>
                <w:highlight w:val="none"/>
              </w:rPr>
            </w:pPr>
          </w:p>
        </w:tc>
        <w:tc>
          <w:tcPr>
            <w:tcW w:w="1134" w:type="dxa"/>
            <w:vAlign w:val="center"/>
          </w:tcPr>
          <w:p w14:paraId="783592C1">
            <w:pPr>
              <w:jc w:val="center"/>
              <w:rPr>
                <w:rFonts w:ascii="宋体" w:hAnsi="宋体" w:eastAsia="宋体" w:cs="宋体"/>
                <w:color w:val="auto"/>
                <w:sz w:val="24"/>
                <w:szCs w:val="24"/>
                <w:highlight w:val="none"/>
              </w:rPr>
            </w:pPr>
          </w:p>
        </w:tc>
      </w:tr>
      <w:tr w14:paraId="70ADC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62B2EF40">
            <w:pPr>
              <w:jc w:val="center"/>
              <w:rPr>
                <w:rFonts w:ascii="宋体" w:hAnsi="宋体" w:eastAsia="宋体" w:cs="宋体"/>
                <w:color w:val="auto"/>
                <w:sz w:val="24"/>
                <w:szCs w:val="24"/>
                <w:highlight w:val="none"/>
              </w:rPr>
            </w:pPr>
          </w:p>
        </w:tc>
        <w:tc>
          <w:tcPr>
            <w:tcW w:w="709" w:type="dxa"/>
            <w:vAlign w:val="center"/>
          </w:tcPr>
          <w:p w14:paraId="7CE5F80C">
            <w:pPr>
              <w:jc w:val="center"/>
              <w:rPr>
                <w:rFonts w:ascii="宋体" w:hAnsi="宋体" w:eastAsia="宋体" w:cs="宋体"/>
                <w:color w:val="auto"/>
                <w:sz w:val="24"/>
                <w:szCs w:val="24"/>
                <w:highlight w:val="none"/>
              </w:rPr>
            </w:pPr>
          </w:p>
        </w:tc>
        <w:tc>
          <w:tcPr>
            <w:tcW w:w="709" w:type="dxa"/>
            <w:vAlign w:val="center"/>
          </w:tcPr>
          <w:p w14:paraId="3FC18413">
            <w:pPr>
              <w:jc w:val="center"/>
              <w:rPr>
                <w:rFonts w:ascii="宋体" w:hAnsi="宋体" w:eastAsia="宋体" w:cs="宋体"/>
                <w:color w:val="auto"/>
                <w:sz w:val="24"/>
                <w:szCs w:val="24"/>
                <w:highlight w:val="none"/>
              </w:rPr>
            </w:pPr>
          </w:p>
        </w:tc>
        <w:tc>
          <w:tcPr>
            <w:tcW w:w="1275" w:type="dxa"/>
            <w:vAlign w:val="center"/>
          </w:tcPr>
          <w:p w14:paraId="31790D56">
            <w:pPr>
              <w:jc w:val="center"/>
              <w:rPr>
                <w:rFonts w:ascii="宋体" w:hAnsi="宋体" w:eastAsia="宋体" w:cs="宋体"/>
                <w:color w:val="auto"/>
                <w:sz w:val="24"/>
                <w:szCs w:val="24"/>
                <w:highlight w:val="none"/>
              </w:rPr>
            </w:pPr>
          </w:p>
        </w:tc>
        <w:tc>
          <w:tcPr>
            <w:tcW w:w="993" w:type="dxa"/>
            <w:vAlign w:val="center"/>
          </w:tcPr>
          <w:p w14:paraId="1D3D0EED">
            <w:pPr>
              <w:jc w:val="center"/>
              <w:rPr>
                <w:rFonts w:ascii="宋体" w:hAnsi="宋体" w:eastAsia="宋体" w:cs="宋体"/>
                <w:color w:val="auto"/>
                <w:sz w:val="24"/>
                <w:szCs w:val="24"/>
                <w:highlight w:val="none"/>
              </w:rPr>
            </w:pPr>
          </w:p>
        </w:tc>
        <w:tc>
          <w:tcPr>
            <w:tcW w:w="992" w:type="dxa"/>
            <w:vAlign w:val="center"/>
          </w:tcPr>
          <w:p w14:paraId="0658E09E">
            <w:pPr>
              <w:jc w:val="center"/>
              <w:rPr>
                <w:rFonts w:ascii="宋体" w:hAnsi="宋体" w:eastAsia="宋体" w:cs="宋体"/>
                <w:color w:val="auto"/>
                <w:sz w:val="24"/>
                <w:szCs w:val="24"/>
                <w:highlight w:val="none"/>
              </w:rPr>
            </w:pPr>
          </w:p>
        </w:tc>
        <w:tc>
          <w:tcPr>
            <w:tcW w:w="1134" w:type="dxa"/>
            <w:vAlign w:val="center"/>
          </w:tcPr>
          <w:p w14:paraId="27CCFD95">
            <w:pPr>
              <w:jc w:val="center"/>
              <w:rPr>
                <w:rFonts w:ascii="宋体" w:hAnsi="宋体" w:eastAsia="宋体" w:cs="宋体"/>
                <w:color w:val="auto"/>
                <w:sz w:val="24"/>
                <w:szCs w:val="24"/>
                <w:highlight w:val="none"/>
              </w:rPr>
            </w:pPr>
          </w:p>
        </w:tc>
        <w:tc>
          <w:tcPr>
            <w:tcW w:w="1984" w:type="dxa"/>
            <w:vAlign w:val="center"/>
          </w:tcPr>
          <w:p w14:paraId="742A3633">
            <w:pPr>
              <w:jc w:val="center"/>
              <w:rPr>
                <w:rFonts w:ascii="宋体" w:hAnsi="宋体" w:eastAsia="宋体" w:cs="宋体"/>
                <w:color w:val="auto"/>
                <w:sz w:val="24"/>
                <w:szCs w:val="24"/>
                <w:highlight w:val="none"/>
              </w:rPr>
            </w:pPr>
          </w:p>
        </w:tc>
        <w:tc>
          <w:tcPr>
            <w:tcW w:w="1134" w:type="dxa"/>
            <w:vAlign w:val="center"/>
          </w:tcPr>
          <w:p w14:paraId="454096FC">
            <w:pPr>
              <w:jc w:val="center"/>
              <w:rPr>
                <w:rFonts w:ascii="宋体" w:hAnsi="宋体" w:eastAsia="宋体" w:cs="宋体"/>
                <w:color w:val="auto"/>
                <w:sz w:val="24"/>
                <w:szCs w:val="24"/>
                <w:highlight w:val="none"/>
              </w:rPr>
            </w:pPr>
          </w:p>
        </w:tc>
      </w:tr>
      <w:tr w14:paraId="6E1BC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1ABD9904">
            <w:pPr>
              <w:jc w:val="center"/>
              <w:rPr>
                <w:rFonts w:ascii="宋体" w:hAnsi="宋体" w:eastAsia="宋体" w:cs="宋体"/>
                <w:color w:val="auto"/>
                <w:sz w:val="24"/>
                <w:szCs w:val="24"/>
                <w:highlight w:val="none"/>
              </w:rPr>
            </w:pPr>
          </w:p>
        </w:tc>
        <w:tc>
          <w:tcPr>
            <w:tcW w:w="709" w:type="dxa"/>
            <w:vAlign w:val="center"/>
          </w:tcPr>
          <w:p w14:paraId="5A35462B">
            <w:pPr>
              <w:jc w:val="center"/>
              <w:rPr>
                <w:rFonts w:ascii="宋体" w:hAnsi="宋体" w:eastAsia="宋体" w:cs="宋体"/>
                <w:color w:val="auto"/>
                <w:sz w:val="24"/>
                <w:szCs w:val="24"/>
                <w:highlight w:val="none"/>
              </w:rPr>
            </w:pPr>
          </w:p>
        </w:tc>
        <w:tc>
          <w:tcPr>
            <w:tcW w:w="709" w:type="dxa"/>
            <w:vAlign w:val="center"/>
          </w:tcPr>
          <w:p w14:paraId="4205A09E">
            <w:pPr>
              <w:jc w:val="center"/>
              <w:rPr>
                <w:rFonts w:ascii="宋体" w:hAnsi="宋体" w:eastAsia="宋体" w:cs="宋体"/>
                <w:color w:val="auto"/>
                <w:sz w:val="24"/>
                <w:szCs w:val="24"/>
                <w:highlight w:val="none"/>
              </w:rPr>
            </w:pPr>
          </w:p>
        </w:tc>
        <w:tc>
          <w:tcPr>
            <w:tcW w:w="1275" w:type="dxa"/>
            <w:vAlign w:val="center"/>
          </w:tcPr>
          <w:p w14:paraId="142B8CAA">
            <w:pPr>
              <w:jc w:val="center"/>
              <w:rPr>
                <w:rFonts w:ascii="宋体" w:hAnsi="宋体" w:eastAsia="宋体" w:cs="宋体"/>
                <w:color w:val="auto"/>
                <w:sz w:val="24"/>
                <w:szCs w:val="24"/>
                <w:highlight w:val="none"/>
              </w:rPr>
            </w:pPr>
          </w:p>
        </w:tc>
        <w:tc>
          <w:tcPr>
            <w:tcW w:w="993" w:type="dxa"/>
            <w:vAlign w:val="center"/>
          </w:tcPr>
          <w:p w14:paraId="016DBFA2">
            <w:pPr>
              <w:jc w:val="center"/>
              <w:rPr>
                <w:rFonts w:ascii="宋体" w:hAnsi="宋体" w:eastAsia="宋体" w:cs="宋体"/>
                <w:color w:val="auto"/>
                <w:sz w:val="24"/>
                <w:szCs w:val="24"/>
                <w:highlight w:val="none"/>
              </w:rPr>
            </w:pPr>
          </w:p>
        </w:tc>
        <w:tc>
          <w:tcPr>
            <w:tcW w:w="992" w:type="dxa"/>
            <w:vAlign w:val="center"/>
          </w:tcPr>
          <w:p w14:paraId="31AFF0BC">
            <w:pPr>
              <w:jc w:val="center"/>
              <w:rPr>
                <w:rFonts w:ascii="宋体" w:hAnsi="宋体" w:eastAsia="宋体" w:cs="宋体"/>
                <w:color w:val="auto"/>
                <w:sz w:val="24"/>
                <w:szCs w:val="24"/>
                <w:highlight w:val="none"/>
              </w:rPr>
            </w:pPr>
          </w:p>
        </w:tc>
        <w:tc>
          <w:tcPr>
            <w:tcW w:w="1134" w:type="dxa"/>
            <w:vAlign w:val="center"/>
          </w:tcPr>
          <w:p w14:paraId="0C7FFD08">
            <w:pPr>
              <w:jc w:val="center"/>
              <w:rPr>
                <w:rFonts w:ascii="宋体" w:hAnsi="宋体" w:eastAsia="宋体" w:cs="宋体"/>
                <w:color w:val="auto"/>
                <w:sz w:val="24"/>
                <w:szCs w:val="24"/>
                <w:highlight w:val="none"/>
              </w:rPr>
            </w:pPr>
          </w:p>
        </w:tc>
        <w:tc>
          <w:tcPr>
            <w:tcW w:w="1984" w:type="dxa"/>
            <w:vAlign w:val="center"/>
          </w:tcPr>
          <w:p w14:paraId="6146490B">
            <w:pPr>
              <w:jc w:val="center"/>
              <w:rPr>
                <w:rFonts w:ascii="宋体" w:hAnsi="宋体" w:eastAsia="宋体" w:cs="宋体"/>
                <w:color w:val="auto"/>
                <w:sz w:val="24"/>
                <w:szCs w:val="24"/>
                <w:highlight w:val="none"/>
              </w:rPr>
            </w:pPr>
          </w:p>
        </w:tc>
        <w:tc>
          <w:tcPr>
            <w:tcW w:w="1134" w:type="dxa"/>
            <w:vAlign w:val="center"/>
          </w:tcPr>
          <w:p w14:paraId="69F9BE01">
            <w:pPr>
              <w:jc w:val="center"/>
              <w:rPr>
                <w:rFonts w:ascii="宋体" w:hAnsi="宋体" w:eastAsia="宋体" w:cs="宋体"/>
                <w:color w:val="auto"/>
                <w:sz w:val="24"/>
                <w:szCs w:val="24"/>
                <w:highlight w:val="none"/>
              </w:rPr>
            </w:pPr>
          </w:p>
        </w:tc>
      </w:tr>
      <w:tr w14:paraId="601B4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5EFF07F8">
            <w:pPr>
              <w:jc w:val="center"/>
              <w:rPr>
                <w:rFonts w:ascii="宋体" w:hAnsi="宋体" w:eastAsia="宋体" w:cs="宋体"/>
                <w:color w:val="auto"/>
                <w:sz w:val="24"/>
                <w:szCs w:val="24"/>
                <w:highlight w:val="none"/>
              </w:rPr>
            </w:pPr>
          </w:p>
        </w:tc>
        <w:tc>
          <w:tcPr>
            <w:tcW w:w="709" w:type="dxa"/>
            <w:vAlign w:val="center"/>
          </w:tcPr>
          <w:p w14:paraId="66325568">
            <w:pPr>
              <w:jc w:val="center"/>
              <w:rPr>
                <w:rFonts w:ascii="宋体" w:hAnsi="宋体" w:eastAsia="宋体" w:cs="宋体"/>
                <w:color w:val="auto"/>
                <w:sz w:val="24"/>
                <w:szCs w:val="24"/>
                <w:highlight w:val="none"/>
              </w:rPr>
            </w:pPr>
          </w:p>
        </w:tc>
        <w:tc>
          <w:tcPr>
            <w:tcW w:w="709" w:type="dxa"/>
            <w:vAlign w:val="center"/>
          </w:tcPr>
          <w:p w14:paraId="625BEECA">
            <w:pPr>
              <w:jc w:val="center"/>
              <w:rPr>
                <w:rFonts w:ascii="宋体" w:hAnsi="宋体" w:eastAsia="宋体" w:cs="宋体"/>
                <w:color w:val="auto"/>
                <w:sz w:val="24"/>
                <w:szCs w:val="24"/>
                <w:highlight w:val="none"/>
              </w:rPr>
            </w:pPr>
          </w:p>
        </w:tc>
        <w:tc>
          <w:tcPr>
            <w:tcW w:w="1275" w:type="dxa"/>
            <w:vAlign w:val="center"/>
          </w:tcPr>
          <w:p w14:paraId="35ED95FA">
            <w:pPr>
              <w:jc w:val="center"/>
              <w:rPr>
                <w:rFonts w:ascii="宋体" w:hAnsi="宋体" w:eastAsia="宋体" w:cs="宋体"/>
                <w:color w:val="auto"/>
                <w:sz w:val="24"/>
                <w:szCs w:val="24"/>
                <w:highlight w:val="none"/>
              </w:rPr>
            </w:pPr>
          </w:p>
        </w:tc>
        <w:tc>
          <w:tcPr>
            <w:tcW w:w="993" w:type="dxa"/>
            <w:vAlign w:val="center"/>
          </w:tcPr>
          <w:p w14:paraId="101DC276">
            <w:pPr>
              <w:jc w:val="center"/>
              <w:rPr>
                <w:rFonts w:ascii="宋体" w:hAnsi="宋体" w:eastAsia="宋体" w:cs="宋体"/>
                <w:color w:val="auto"/>
                <w:sz w:val="24"/>
                <w:szCs w:val="24"/>
                <w:highlight w:val="none"/>
              </w:rPr>
            </w:pPr>
          </w:p>
        </w:tc>
        <w:tc>
          <w:tcPr>
            <w:tcW w:w="992" w:type="dxa"/>
            <w:vAlign w:val="center"/>
          </w:tcPr>
          <w:p w14:paraId="74F233A2">
            <w:pPr>
              <w:jc w:val="center"/>
              <w:rPr>
                <w:rFonts w:ascii="宋体" w:hAnsi="宋体" w:eastAsia="宋体" w:cs="宋体"/>
                <w:color w:val="auto"/>
                <w:sz w:val="24"/>
                <w:szCs w:val="24"/>
                <w:highlight w:val="none"/>
              </w:rPr>
            </w:pPr>
          </w:p>
        </w:tc>
        <w:tc>
          <w:tcPr>
            <w:tcW w:w="1134" w:type="dxa"/>
            <w:vAlign w:val="center"/>
          </w:tcPr>
          <w:p w14:paraId="1FF0FE9B">
            <w:pPr>
              <w:jc w:val="center"/>
              <w:rPr>
                <w:rFonts w:ascii="宋体" w:hAnsi="宋体" w:eastAsia="宋体" w:cs="宋体"/>
                <w:color w:val="auto"/>
                <w:sz w:val="24"/>
                <w:szCs w:val="24"/>
                <w:highlight w:val="none"/>
              </w:rPr>
            </w:pPr>
          </w:p>
        </w:tc>
        <w:tc>
          <w:tcPr>
            <w:tcW w:w="1984" w:type="dxa"/>
            <w:vAlign w:val="center"/>
          </w:tcPr>
          <w:p w14:paraId="02C32F65">
            <w:pPr>
              <w:jc w:val="center"/>
              <w:rPr>
                <w:rFonts w:ascii="宋体" w:hAnsi="宋体" w:eastAsia="宋体" w:cs="宋体"/>
                <w:color w:val="auto"/>
                <w:sz w:val="24"/>
                <w:szCs w:val="24"/>
                <w:highlight w:val="none"/>
              </w:rPr>
            </w:pPr>
          </w:p>
        </w:tc>
        <w:tc>
          <w:tcPr>
            <w:tcW w:w="1134" w:type="dxa"/>
            <w:vAlign w:val="center"/>
          </w:tcPr>
          <w:p w14:paraId="64F3C521">
            <w:pPr>
              <w:jc w:val="center"/>
              <w:rPr>
                <w:rFonts w:ascii="宋体" w:hAnsi="宋体" w:eastAsia="宋体" w:cs="宋体"/>
                <w:color w:val="auto"/>
                <w:sz w:val="24"/>
                <w:szCs w:val="24"/>
                <w:highlight w:val="none"/>
              </w:rPr>
            </w:pPr>
          </w:p>
        </w:tc>
      </w:tr>
      <w:tr w14:paraId="42A8F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4504DD3B">
            <w:pPr>
              <w:jc w:val="center"/>
              <w:rPr>
                <w:rFonts w:ascii="宋体" w:hAnsi="宋体" w:eastAsia="宋体" w:cs="宋体"/>
                <w:color w:val="auto"/>
                <w:sz w:val="24"/>
                <w:szCs w:val="24"/>
                <w:highlight w:val="none"/>
              </w:rPr>
            </w:pPr>
          </w:p>
        </w:tc>
        <w:tc>
          <w:tcPr>
            <w:tcW w:w="709" w:type="dxa"/>
            <w:vAlign w:val="center"/>
          </w:tcPr>
          <w:p w14:paraId="7EC473D2">
            <w:pPr>
              <w:jc w:val="center"/>
              <w:rPr>
                <w:rFonts w:ascii="宋体" w:hAnsi="宋体" w:eastAsia="宋体" w:cs="宋体"/>
                <w:color w:val="auto"/>
                <w:sz w:val="24"/>
                <w:szCs w:val="24"/>
                <w:highlight w:val="none"/>
              </w:rPr>
            </w:pPr>
          </w:p>
        </w:tc>
        <w:tc>
          <w:tcPr>
            <w:tcW w:w="709" w:type="dxa"/>
            <w:vAlign w:val="center"/>
          </w:tcPr>
          <w:p w14:paraId="66AB5C72">
            <w:pPr>
              <w:jc w:val="center"/>
              <w:rPr>
                <w:rFonts w:ascii="宋体" w:hAnsi="宋体" w:eastAsia="宋体" w:cs="宋体"/>
                <w:color w:val="auto"/>
                <w:sz w:val="24"/>
                <w:szCs w:val="24"/>
                <w:highlight w:val="none"/>
              </w:rPr>
            </w:pPr>
          </w:p>
        </w:tc>
        <w:tc>
          <w:tcPr>
            <w:tcW w:w="1275" w:type="dxa"/>
            <w:vAlign w:val="center"/>
          </w:tcPr>
          <w:p w14:paraId="55305CE9">
            <w:pPr>
              <w:jc w:val="center"/>
              <w:rPr>
                <w:rFonts w:ascii="宋体" w:hAnsi="宋体" w:eastAsia="宋体" w:cs="宋体"/>
                <w:color w:val="auto"/>
                <w:sz w:val="24"/>
                <w:szCs w:val="24"/>
                <w:highlight w:val="none"/>
              </w:rPr>
            </w:pPr>
          </w:p>
        </w:tc>
        <w:tc>
          <w:tcPr>
            <w:tcW w:w="993" w:type="dxa"/>
            <w:vAlign w:val="center"/>
          </w:tcPr>
          <w:p w14:paraId="03C0BDCC">
            <w:pPr>
              <w:jc w:val="center"/>
              <w:rPr>
                <w:rFonts w:ascii="宋体" w:hAnsi="宋体" w:eastAsia="宋体" w:cs="宋体"/>
                <w:color w:val="auto"/>
                <w:sz w:val="24"/>
                <w:szCs w:val="24"/>
                <w:highlight w:val="none"/>
              </w:rPr>
            </w:pPr>
          </w:p>
        </w:tc>
        <w:tc>
          <w:tcPr>
            <w:tcW w:w="992" w:type="dxa"/>
            <w:vAlign w:val="center"/>
          </w:tcPr>
          <w:p w14:paraId="71580A03">
            <w:pPr>
              <w:jc w:val="center"/>
              <w:rPr>
                <w:rFonts w:ascii="宋体" w:hAnsi="宋体" w:eastAsia="宋体" w:cs="宋体"/>
                <w:color w:val="auto"/>
                <w:sz w:val="24"/>
                <w:szCs w:val="24"/>
                <w:highlight w:val="none"/>
              </w:rPr>
            </w:pPr>
          </w:p>
        </w:tc>
        <w:tc>
          <w:tcPr>
            <w:tcW w:w="1134" w:type="dxa"/>
            <w:vAlign w:val="center"/>
          </w:tcPr>
          <w:p w14:paraId="54830306">
            <w:pPr>
              <w:jc w:val="center"/>
              <w:rPr>
                <w:rFonts w:ascii="宋体" w:hAnsi="宋体" w:eastAsia="宋体" w:cs="宋体"/>
                <w:color w:val="auto"/>
                <w:sz w:val="24"/>
                <w:szCs w:val="24"/>
                <w:highlight w:val="none"/>
              </w:rPr>
            </w:pPr>
          </w:p>
        </w:tc>
        <w:tc>
          <w:tcPr>
            <w:tcW w:w="1984" w:type="dxa"/>
            <w:vAlign w:val="center"/>
          </w:tcPr>
          <w:p w14:paraId="58843362">
            <w:pPr>
              <w:jc w:val="center"/>
              <w:rPr>
                <w:rFonts w:ascii="宋体" w:hAnsi="宋体" w:eastAsia="宋体" w:cs="宋体"/>
                <w:color w:val="auto"/>
                <w:sz w:val="24"/>
                <w:szCs w:val="24"/>
                <w:highlight w:val="none"/>
              </w:rPr>
            </w:pPr>
          </w:p>
        </w:tc>
        <w:tc>
          <w:tcPr>
            <w:tcW w:w="1134" w:type="dxa"/>
            <w:vAlign w:val="center"/>
          </w:tcPr>
          <w:p w14:paraId="4EA84E7C">
            <w:pPr>
              <w:jc w:val="center"/>
              <w:rPr>
                <w:rFonts w:ascii="宋体" w:hAnsi="宋体" w:eastAsia="宋体" w:cs="宋体"/>
                <w:color w:val="auto"/>
                <w:sz w:val="24"/>
                <w:szCs w:val="24"/>
                <w:highlight w:val="none"/>
              </w:rPr>
            </w:pPr>
          </w:p>
        </w:tc>
      </w:tr>
    </w:tbl>
    <w:p w14:paraId="447C5553">
      <w:pPr>
        <w:pStyle w:val="37"/>
        <w:rPr>
          <w:rFonts w:hint="default"/>
          <w:color w:val="auto"/>
          <w:highlight w:val="none"/>
          <w:lang w:val="en-US" w:eastAsia="zh-CN"/>
        </w:rPr>
      </w:pPr>
    </w:p>
    <w:p w14:paraId="33EA4FF2">
      <w:pPr>
        <w:rPr>
          <w:rFonts w:hint="eastAsia" w:ascii="宋体" w:hAnsi="宋体" w:cs="Times New Roman"/>
          <w:b/>
          <w:bCs/>
          <w:color w:val="auto"/>
          <w:sz w:val="32"/>
          <w:szCs w:val="32"/>
          <w:highlight w:val="none"/>
          <w:lang w:val="en-US" w:eastAsia="zh-CN"/>
        </w:rPr>
      </w:pPr>
      <w:r>
        <w:rPr>
          <w:rFonts w:hint="eastAsia" w:ascii="宋体" w:hAnsi="宋体" w:cs="Times New Roman"/>
          <w:b/>
          <w:bCs/>
          <w:color w:val="auto"/>
          <w:sz w:val="32"/>
          <w:szCs w:val="32"/>
          <w:highlight w:val="none"/>
          <w:lang w:val="en-US" w:eastAsia="zh-CN"/>
        </w:rPr>
        <w:br w:type="page"/>
      </w:r>
    </w:p>
    <w:p w14:paraId="1FF262A9">
      <w:pPr>
        <w:jc w:val="center"/>
        <w:rPr>
          <w:rFonts w:hint="default" w:ascii="宋体" w:hAnsi="宋体" w:cs="Times New Roman"/>
          <w:b/>
          <w:bCs/>
          <w:color w:val="auto"/>
          <w:sz w:val="32"/>
          <w:szCs w:val="32"/>
          <w:highlight w:val="none"/>
          <w:lang w:val="en-US" w:eastAsia="zh-CN"/>
        </w:rPr>
      </w:pPr>
      <w:r>
        <w:rPr>
          <w:rFonts w:hint="eastAsia" w:ascii="宋体" w:hAnsi="宋体" w:cs="Times New Roman"/>
          <w:b/>
          <w:bCs/>
          <w:color w:val="auto"/>
          <w:sz w:val="32"/>
          <w:szCs w:val="32"/>
          <w:highlight w:val="none"/>
          <w:lang w:val="en-US" w:eastAsia="zh-CN"/>
        </w:rPr>
        <w:t>九、已标价工程量清单</w:t>
      </w:r>
    </w:p>
    <w:p w14:paraId="0472288B">
      <w:pPr>
        <w:rPr>
          <w:rFonts w:hint="eastAsia" w:ascii="宋体" w:hAnsi="宋体" w:cs="Times New Roman"/>
          <w:b/>
          <w:bCs/>
          <w:color w:val="auto"/>
          <w:sz w:val="32"/>
          <w:szCs w:val="32"/>
          <w:highlight w:val="none"/>
          <w:lang w:val="en-US" w:eastAsia="zh-CN"/>
        </w:rPr>
      </w:pPr>
      <w:r>
        <w:rPr>
          <w:rFonts w:hint="eastAsia" w:ascii="宋体" w:hAnsi="宋体" w:cs="Times New Roman"/>
          <w:b/>
          <w:bCs/>
          <w:color w:val="auto"/>
          <w:sz w:val="32"/>
          <w:szCs w:val="32"/>
          <w:highlight w:val="none"/>
          <w:lang w:val="en-US" w:eastAsia="zh-CN"/>
        </w:rPr>
        <w:br w:type="page"/>
      </w:r>
    </w:p>
    <w:p w14:paraId="1B454569">
      <w:pPr>
        <w:spacing w:line="500" w:lineRule="exact"/>
        <w:jc w:val="center"/>
        <w:textAlignment w:val="baseline"/>
        <w:outlineLvl w:val="1"/>
        <w:rPr>
          <w:rFonts w:ascii="宋体" w:hAnsi="宋体" w:eastAsia="宋体" w:cs="Times New Roman"/>
          <w:b/>
          <w:bCs/>
          <w:color w:val="auto"/>
          <w:sz w:val="32"/>
          <w:szCs w:val="32"/>
          <w:highlight w:val="none"/>
        </w:rPr>
      </w:pPr>
      <w:r>
        <w:rPr>
          <w:rFonts w:hint="eastAsia" w:ascii="宋体" w:hAnsi="宋体" w:cs="Times New Roman"/>
          <w:b/>
          <w:bCs/>
          <w:color w:val="auto"/>
          <w:sz w:val="32"/>
          <w:szCs w:val="32"/>
          <w:highlight w:val="none"/>
          <w:lang w:val="en-US" w:eastAsia="zh-CN"/>
        </w:rPr>
        <w:t>十</w:t>
      </w:r>
      <w:r>
        <w:rPr>
          <w:rFonts w:hint="eastAsia" w:ascii="宋体" w:hAnsi="宋体" w:eastAsia="宋体" w:cs="Times New Roman"/>
          <w:b/>
          <w:bCs/>
          <w:color w:val="auto"/>
          <w:sz w:val="32"/>
          <w:szCs w:val="32"/>
          <w:highlight w:val="none"/>
        </w:rPr>
        <w:t>、响应供应商可提交的其他资料</w:t>
      </w:r>
      <w:bookmarkEnd w:id="18"/>
      <w:bookmarkEnd w:id="19"/>
      <w:bookmarkEnd w:id="20"/>
      <w:bookmarkEnd w:id="21"/>
    </w:p>
    <w:p w14:paraId="08B9ED7A">
      <w:pPr>
        <w:spacing w:line="360" w:lineRule="auto"/>
        <w:jc w:val="center"/>
        <w:outlineLvl w:val="9"/>
        <w:rPr>
          <w:rFonts w:hint="eastAsia" w:ascii="宋体" w:hAnsi="宋体" w:eastAsia="宋体" w:cs="Times New Roman"/>
          <w:b/>
          <w:color w:val="auto"/>
          <w:sz w:val="32"/>
          <w:szCs w:val="32"/>
          <w:highlight w:val="none"/>
        </w:rPr>
      </w:pPr>
      <w:bookmarkStart w:id="22" w:name="_Toc2866"/>
    </w:p>
    <w:p w14:paraId="3E990EA1">
      <w:pPr>
        <w:spacing w:line="360" w:lineRule="auto"/>
        <w:jc w:val="center"/>
        <w:outlineLvl w:val="9"/>
        <w:rPr>
          <w:rFonts w:hint="eastAsia" w:ascii="宋体" w:hAnsi="宋体" w:eastAsia="宋体" w:cs="Times New Roman"/>
          <w:b/>
          <w:color w:val="auto"/>
          <w:sz w:val="32"/>
          <w:szCs w:val="32"/>
          <w:highlight w:val="none"/>
        </w:rPr>
      </w:pPr>
    </w:p>
    <w:p w14:paraId="11682169">
      <w:pPr>
        <w:spacing w:line="360" w:lineRule="auto"/>
        <w:jc w:val="center"/>
        <w:outlineLvl w:val="9"/>
        <w:rPr>
          <w:rFonts w:hint="eastAsia" w:ascii="宋体" w:hAnsi="宋体" w:eastAsia="宋体" w:cs="Times New Roman"/>
          <w:b/>
          <w:color w:val="auto"/>
          <w:sz w:val="32"/>
          <w:szCs w:val="32"/>
          <w:highlight w:val="none"/>
        </w:rPr>
      </w:pPr>
    </w:p>
    <w:p w14:paraId="769B3D87">
      <w:pPr>
        <w:spacing w:line="360" w:lineRule="auto"/>
        <w:jc w:val="center"/>
        <w:outlineLvl w:val="9"/>
        <w:rPr>
          <w:rFonts w:hint="eastAsia" w:ascii="宋体" w:hAnsi="宋体" w:eastAsia="宋体" w:cs="Times New Roman"/>
          <w:b/>
          <w:color w:val="auto"/>
          <w:sz w:val="32"/>
          <w:szCs w:val="32"/>
          <w:highlight w:val="none"/>
        </w:rPr>
      </w:pPr>
    </w:p>
    <w:p w14:paraId="62E77052">
      <w:pPr>
        <w:spacing w:line="360" w:lineRule="auto"/>
        <w:jc w:val="center"/>
        <w:outlineLvl w:val="9"/>
        <w:rPr>
          <w:rFonts w:hint="eastAsia" w:ascii="宋体" w:hAnsi="宋体" w:eastAsia="宋体" w:cs="Times New Roman"/>
          <w:b/>
          <w:color w:val="auto"/>
          <w:sz w:val="32"/>
          <w:szCs w:val="32"/>
          <w:highlight w:val="none"/>
        </w:rPr>
      </w:pPr>
    </w:p>
    <w:p w14:paraId="4B0C48D6">
      <w:pPr>
        <w:spacing w:line="360" w:lineRule="auto"/>
        <w:jc w:val="center"/>
        <w:outlineLvl w:val="9"/>
        <w:rPr>
          <w:rFonts w:hint="eastAsia" w:ascii="宋体" w:hAnsi="宋体" w:eastAsia="宋体" w:cs="Times New Roman"/>
          <w:b/>
          <w:color w:val="auto"/>
          <w:sz w:val="32"/>
          <w:szCs w:val="32"/>
          <w:highlight w:val="none"/>
        </w:rPr>
      </w:pPr>
    </w:p>
    <w:p w14:paraId="19304CEB">
      <w:pPr>
        <w:spacing w:line="360" w:lineRule="auto"/>
        <w:jc w:val="center"/>
        <w:outlineLvl w:val="9"/>
        <w:rPr>
          <w:rFonts w:hint="eastAsia" w:ascii="宋体" w:hAnsi="宋体" w:eastAsia="宋体" w:cs="Times New Roman"/>
          <w:b/>
          <w:color w:val="auto"/>
          <w:sz w:val="32"/>
          <w:szCs w:val="32"/>
          <w:highlight w:val="none"/>
        </w:rPr>
      </w:pPr>
    </w:p>
    <w:p w14:paraId="16F1CC61">
      <w:pPr>
        <w:spacing w:line="360" w:lineRule="auto"/>
        <w:jc w:val="center"/>
        <w:outlineLvl w:val="9"/>
        <w:rPr>
          <w:rFonts w:hint="eastAsia" w:ascii="宋体" w:hAnsi="宋体" w:eastAsia="宋体" w:cs="Times New Roman"/>
          <w:b/>
          <w:color w:val="auto"/>
          <w:sz w:val="32"/>
          <w:szCs w:val="32"/>
          <w:highlight w:val="none"/>
        </w:rPr>
      </w:pPr>
    </w:p>
    <w:p w14:paraId="79654553">
      <w:pPr>
        <w:spacing w:line="360" w:lineRule="auto"/>
        <w:jc w:val="center"/>
        <w:outlineLvl w:val="9"/>
        <w:rPr>
          <w:rFonts w:hint="eastAsia" w:ascii="宋体" w:hAnsi="宋体" w:eastAsia="宋体" w:cs="Times New Roman"/>
          <w:b/>
          <w:color w:val="auto"/>
          <w:sz w:val="32"/>
          <w:szCs w:val="32"/>
          <w:highlight w:val="none"/>
        </w:rPr>
      </w:pPr>
    </w:p>
    <w:p w14:paraId="3F043720">
      <w:pPr>
        <w:spacing w:line="360" w:lineRule="auto"/>
        <w:jc w:val="center"/>
        <w:outlineLvl w:val="9"/>
        <w:rPr>
          <w:rFonts w:hint="eastAsia" w:ascii="宋体" w:hAnsi="宋体" w:eastAsia="宋体" w:cs="Times New Roman"/>
          <w:b/>
          <w:color w:val="auto"/>
          <w:sz w:val="32"/>
          <w:szCs w:val="32"/>
          <w:highlight w:val="none"/>
        </w:rPr>
      </w:pPr>
    </w:p>
    <w:p w14:paraId="1FD556E3">
      <w:pPr>
        <w:spacing w:line="360" w:lineRule="auto"/>
        <w:jc w:val="center"/>
        <w:outlineLvl w:val="9"/>
        <w:rPr>
          <w:rFonts w:hint="eastAsia" w:ascii="宋体" w:hAnsi="宋体" w:eastAsia="宋体" w:cs="Times New Roman"/>
          <w:b/>
          <w:color w:val="auto"/>
          <w:sz w:val="32"/>
          <w:szCs w:val="32"/>
          <w:highlight w:val="none"/>
        </w:rPr>
      </w:pPr>
    </w:p>
    <w:p w14:paraId="10FBEDD6">
      <w:pPr>
        <w:spacing w:line="360" w:lineRule="auto"/>
        <w:jc w:val="center"/>
        <w:outlineLvl w:val="9"/>
        <w:rPr>
          <w:rFonts w:hint="eastAsia" w:ascii="宋体" w:hAnsi="宋体" w:eastAsia="宋体" w:cs="Times New Roman"/>
          <w:b/>
          <w:color w:val="auto"/>
          <w:sz w:val="32"/>
          <w:szCs w:val="32"/>
          <w:highlight w:val="none"/>
        </w:rPr>
      </w:pPr>
    </w:p>
    <w:p w14:paraId="2EDED0C4">
      <w:pPr>
        <w:spacing w:line="360" w:lineRule="auto"/>
        <w:jc w:val="center"/>
        <w:outlineLvl w:val="9"/>
        <w:rPr>
          <w:rFonts w:hint="eastAsia" w:ascii="宋体" w:hAnsi="宋体" w:eastAsia="宋体" w:cs="Times New Roman"/>
          <w:b/>
          <w:color w:val="auto"/>
          <w:sz w:val="32"/>
          <w:szCs w:val="32"/>
          <w:highlight w:val="none"/>
        </w:rPr>
      </w:pPr>
    </w:p>
    <w:p w14:paraId="731A5C41">
      <w:pPr>
        <w:spacing w:line="360" w:lineRule="auto"/>
        <w:jc w:val="center"/>
        <w:outlineLvl w:val="9"/>
        <w:rPr>
          <w:rFonts w:hint="eastAsia" w:ascii="宋体" w:hAnsi="宋体" w:eastAsia="宋体" w:cs="Times New Roman"/>
          <w:b/>
          <w:color w:val="auto"/>
          <w:sz w:val="32"/>
          <w:szCs w:val="32"/>
          <w:highlight w:val="none"/>
        </w:rPr>
      </w:pPr>
    </w:p>
    <w:p w14:paraId="5A2EE639">
      <w:pPr>
        <w:spacing w:line="360" w:lineRule="auto"/>
        <w:jc w:val="center"/>
        <w:outlineLvl w:val="9"/>
        <w:rPr>
          <w:rFonts w:hint="eastAsia" w:ascii="宋体" w:hAnsi="宋体" w:eastAsia="宋体" w:cs="Times New Roman"/>
          <w:b/>
          <w:color w:val="auto"/>
          <w:sz w:val="32"/>
          <w:szCs w:val="32"/>
          <w:highlight w:val="none"/>
        </w:rPr>
      </w:pPr>
    </w:p>
    <w:p w14:paraId="02830FB8">
      <w:pPr>
        <w:spacing w:line="360" w:lineRule="auto"/>
        <w:jc w:val="center"/>
        <w:outlineLvl w:val="9"/>
        <w:rPr>
          <w:rFonts w:hint="eastAsia" w:ascii="宋体" w:hAnsi="宋体" w:eastAsia="宋体" w:cs="Times New Roman"/>
          <w:b/>
          <w:color w:val="auto"/>
          <w:sz w:val="32"/>
          <w:szCs w:val="32"/>
          <w:highlight w:val="none"/>
        </w:rPr>
      </w:pPr>
    </w:p>
    <w:p w14:paraId="5A0CC9C0">
      <w:pPr>
        <w:spacing w:line="360" w:lineRule="auto"/>
        <w:jc w:val="center"/>
        <w:outlineLvl w:val="9"/>
        <w:rPr>
          <w:rFonts w:hint="eastAsia" w:ascii="宋体" w:hAnsi="宋体" w:eastAsia="宋体" w:cs="Times New Roman"/>
          <w:b/>
          <w:color w:val="auto"/>
          <w:sz w:val="32"/>
          <w:szCs w:val="32"/>
          <w:highlight w:val="none"/>
        </w:rPr>
      </w:pPr>
    </w:p>
    <w:p w14:paraId="14C29458">
      <w:pPr>
        <w:spacing w:line="360" w:lineRule="auto"/>
        <w:jc w:val="center"/>
        <w:outlineLvl w:val="9"/>
        <w:rPr>
          <w:rFonts w:hint="eastAsia" w:ascii="宋体" w:hAnsi="宋体" w:eastAsia="宋体" w:cs="Times New Roman"/>
          <w:b/>
          <w:color w:val="auto"/>
          <w:sz w:val="32"/>
          <w:szCs w:val="32"/>
          <w:highlight w:val="none"/>
        </w:rPr>
      </w:pPr>
    </w:p>
    <w:p w14:paraId="5385129C">
      <w:pPr>
        <w:spacing w:line="360" w:lineRule="auto"/>
        <w:jc w:val="center"/>
        <w:outlineLvl w:val="9"/>
        <w:rPr>
          <w:rFonts w:hint="eastAsia" w:ascii="宋体" w:hAnsi="宋体" w:eastAsia="宋体" w:cs="Times New Roman"/>
          <w:b/>
          <w:color w:val="auto"/>
          <w:sz w:val="32"/>
          <w:szCs w:val="32"/>
          <w:highlight w:val="none"/>
        </w:rPr>
      </w:pPr>
    </w:p>
    <w:p w14:paraId="29844FB3">
      <w:pPr>
        <w:spacing w:line="360" w:lineRule="auto"/>
        <w:jc w:val="center"/>
        <w:outlineLvl w:val="9"/>
        <w:rPr>
          <w:rFonts w:hint="eastAsia" w:ascii="宋体" w:hAnsi="宋体" w:eastAsia="宋体" w:cs="Times New Roman"/>
          <w:b/>
          <w:color w:val="auto"/>
          <w:sz w:val="32"/>
          <w:szCs w:val="32"/>
          <w:highlight w:val="none"/>
        </w:rPr>
      </w:pPr>
    </w:p>
    <w:p w14:paraId="47C0AD71">
      <w:pPr>
        <w:spacing w:line="360" w:lineRule="auto"/>
        <w:jc w:val="center"/>
        <w:outlineLvl w:val="9"/>
        <w:rPr>
          <w:rFonts w:hint="eastAsia" w:ascii="宋体" w:hAnsi="宋体" w:eastAsia="宋体" w:cs="Times New Roman"/>
          <w:b/>
          <w:color w:val="auto"/>
          <w:sz w:val="32"/>
          <w:szCs w:val="32"/>
          <w:highlight w:val="none"/>
        </w:rPr>
      </w:pPr>
    </w:p>
    <w:bookmarkEnd w:id="22"/>
    <w:p w14:paraId="4A55FCD8">
      <w:pPr>
        <w:widowControl/>
        <w:adjustRightInd w:val="0"/>
        <w:snapToGrid w:val="0"/>
        <w:spacing w:before="120" w:beforeLines="50" w:line="360" w:lineRule="auto"/>
        <w:jc w:val="both"/>
        <w:outlineLvl w:val="2"/>
        <w:rPr>
          <w:rFonts w:hint="eastAsia" w:ascii="宋体" w:hAnsi="宋体" w:eastAsia="宋体" w:cs="宋体"/>
          <w:b/>
          <w:bCs/>
          <w:color w:val="auto"/>
          <w:spacing w:val="6"/>
          <w:kern w:val="0"/>
          <w:sz w:val="24"/>
          <w:szCs w:val="24"/>
          <w:highlight w:val="none"/>
          <w:lang w:val="en-US" w:eastAsia="zh-CN"/>
        </w:rPr>
      </w:pPr>
      <w:r>
        <w:rPr>
          <w:rFonts w:hint="eastAsia" w:ascii="宋体" w:hAnsi="宋体" w:eastAsia="宋体" w:cs="宋体"/>
          <w:b/>
          <w:bCs/>
          <w:color w:val="auto"/>
          <w:spacing w:val="6"/>
          <w:kern w:val="0"/>
          <w:sz w:val="24"/>
          <w:szCs w:val="24"/>
          <w:highlight w:val="none"/>
          <w:lang w:val="en-US" w:eastAsia="zh-CN"/>
        </w:rPr>
        <w:t xml:space="preserve">附件1 </w:t>
      </w:r>
    </w:p>
    <w:p w14:paraId="5F3E543C">
      <w:pPr>
        <w:jc w:val="center"/>
        <w:rPr>
          <w:rFonts w:ascii="宋体" w:hAnsi="宋体" w:cs="宋体"/>
          <w:color w:val="auto"/>
          <w:spacing w:val="6"/>
          <w:sz w:val="28"/>
          <w:szCs w:val="28"/>
          <w:highlight w:val="none"/>
        </w:rPr>
      </w:pPr>
      <w:r>
        <w:rPr>
          <w:rFonts w:hint="eastAsia" w:ascii="宋体" w:hAnsi="宋体" w:cs="宋体"/>
          <w:color w:val="auto"/>
          <w:spacing w:val="6"/>
          <w:sz w:val="28"/>
          <w:szCs w:val="28"/>
          <w:highlight w:val="none"/>
        </w:rPr>
        <w:t>中小企业声明函（</w:t>
      </w:r>
      <w:r>
        <w:rPr>
          <w:rFonts w:hint="eastAsia" w:ascii="宋体" w:hAnsi="宋体" w:cs="宋体"/>
          <w:color w:val="auto"/>
          <w:spacing w:val="6"/>
          <w:sz w:val="28"/>
          <w:szCs w:val="28"/>
          <w:highlight w:val="none"/>
          <w:lang w:eastAsia="zh-CN"/>
        </w:rPr>
        <w:t>供应商</w:t>
      </w:r>
      <w:r>
        <w:rPr>
          <w:rFonts w:hint="eastAsia" w:ascii="宋体" w:hAnsi="宋体" w:cs="宋体"/>
          <w:color w:val="auto"/>
          <w:spacing w:val="6"/>
          <w:sz w:val="28"/>
          <w:szCs w:val="28"/>
          <w:highlight w:val="none"/>
        </w:rPr>
        <w:t>）</w:t>
      </w:r>
    </w:p>
    <w:p w14:paraId="6D503293">
      <w:pPr>
        <w:rPr>
          <w:rFonts w:ascii="宋体" w:hAnsi="宋体" w:cs="宋体"/>
          <w:color w:val="auto"/>
          <w:spacing w:val="6"/>
          <w:szCs w:val="21"/>
          <w:highlight w:val="none"/>
        </w:rPr>
      </w:pPr>
    </w:p>
    <w:p w14:paraId="7FD2A0C3">
      <w:pPr>
        <w:spacing w:line="500" w:lineRule="exact"/>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本公司（联合体）郑重声明，根据《政府采购促进中小企业发展管理办法》（财库﹝2020﹞46号）的规定，本公司（联合体）参加</w:t>
      </w:r>
      <w:r>
        <w:rPr>
          <w:rFonts w:hint="eastAsia" w:ascii="宋体" w:hAnsi="宋体" w:cs="宋体"/>
          <w:color w:val="auto"/>
          <w:spacing w:val="6"/>
          <w:sz w:val="24"/>
          <w:highlight w:val="none"/>
          <w:u w:val="single"/>
        </w:rPr>
        <w:t>（单位名称）</w:t>
      </w:r>
      <w:r>
        <w:rPr>
          <w:rFonts w:hint="eastAsia" w:ascii="宋体" w:hAnsi="宋体" w:cs="宋体"/>
          <w:color w:val="auto"/>
          <w:spacing w:val="6"/>
          <w:sz w:val="24"/>
          <w:highlight w:val="none"/>
        </w:rPr>
        <w:t>的</w:t>
      </w:r>
      <w:r>
        <w:rPr>
          <w:rFonts w:hint="eastAsia" w:ascii="宋体" w:hAnsi="宋体" w:cs="宋体"/>
          <w:color w:val="auto"/>
          <w:spacing w:val="6"/>
          <w:sz w:val="24"/>
          <w:highlight w:val="none"/>
          <w:u w:val="single"/>
        </w:rPr>
        <w:t>（项目名称）</w:t>
      </w:r>
      <w:r>
        <w:rPr>
          <w:rFonts w:hint="eastAsia" w:ascii="宋体" w:hAnsi="宋体" w:cs="宋体"/>
          <w:color w:val="auto"/>
          <w:spacing w:val="6"/>
          <w:sz w:val="24"/>
          <w:highlight w:val="none"/>
        </w:rPr>
        <w:t>采购活动，工程的施工单位全部为符合政策要求的中小企业。 相关企业（含联合体中的中小企业、签订分包意向协议的中小企业）的具体情况如下：</w:t>
      </w:r>
    </w:p>
    <w:p w14:paraId="53B6DC00">
      <w:pPr>
        <w:spacing w:line="500" w:lineRule="exact"/>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1、</w:t>
      </w:r>
      <w:r>
        <w:rPr>
          <w:rFonts w:hint="eastAsia" w:ascii="宋体" w:hAnsi="宋体" w:cs="宋体"/>
          <w:color w:val="auto"/>
          <w:spacing w:val="6"/>
          <w:sz w:val="24"/>
          <w:highlight w:val="none"/>
          <w:u w:val="single"/>
        </w:rPr>
        <w:t>（标的名称）</w:t>
      </w:r>
      <w:r>
        <w:rPr>
          <w:rFonts w:hint="eastAsia" w:ascii="宋体" w:hAnsi="宋体" w:cs="宋体"/>
          <w:color w:val="auto"/>
          <w:spacing w:val="6"/>
          <w:sz w:val="24"/>
          <w:highlight w:val="none"/>
        </w:rPr>
        <w:t>，属于</w:t>
      </w:r>
      <w:r>
        <w:rPr>
          <w:rFonts w:hint="eastAsia" w:ascii="宋体" w:hAnsi="宋体" w:cs="宋体"/>
          <w:color w:val="auto"/>
          <w:spacing w:val="6"/>
          <w:sz w:val="24"/>
          <w:highlight w:val="none"/>
          <w:u w:val="single"/>
          <w:lang w:val="en-US" w:eastAsia="zh-CN"/>
        </w:rPr>
        <w:t xml:space="preserve">  </w:t>
      </w:r>
      <w:r>
        <w:rPr>
          <w:rFonts w:hint="eastAsia" w:ascii="宋体" w:hAnsi="宋体" w:cs="宋体"/>
          <w:color w:val="auto"/>
          <w:spacing w:val="6"/>
          <w:sz w:val="24"/>
          <w:highlight w:val="none"/>
          <w:u w:val="single"/>
        </w:rPr>
        <w:t>（采购文件中明确的所属行业）</w:t>
      </w:r>
      <w:r>
        <w:rPr>
          <w:rFonts w:hint="eastAsia" w:ascii="宋体" w:hAnsi="宋体" w:cs="宋体"/>
          <w:color w:val="auto"/>
          <w:spacing w:val="6"/>
          <w:sz w:val="24"/>
          <w:highlight w:val="none"/>
        </w:rPr>
        <w:t>；承建（承接）企业为</w:t>
      </w:r>
      <w:r>
        <w:rPr>
          <w:rFonts w:hint="eastAsia" w:ascii="宋体" w:hAnsi="宋体" w:cs="宋体"/>
          <w:color w:val="auto"/>
          <w:spacing w:val="6"/>
          <w:sz w:val="24"/>
          <w:highlight w:val="none"/>
          <w:u w:val="single"/>
        </w:rPr>
        <w:t>（企业名称）</w:t>
      </w:r>
      <w:r>
        <w:rPr>
          <w:rFonts w:hint="eastAsia" w:ascii="宋体" w:hAnsi="宋体" w:cs="宋体"/>
          <w:color w:val="auto"/>
          <w:spacing w:val="6"/>
          <w:sz w:val="24"/>
          <w:highlight w:val="none"/>
        </w:rPr>
        <w:t>，从业人员</w:t>
      </w:r>
      <w:r>
        <w:rPr>
          <w:rFonts w:hint="eastAsia" w:ascii="宋体" w:hAnsi="宋体" w:cs="宋体"/>
          <w:color w:val="auto"/>
          <w:spacing w:val="6"/>
          <w:sz w:val="24"/>
          <w:highlight w:val="none"/>
          <w:u w:val="single"/>
          <w:lang w:val="en-US" w:eastAsia="zh-CN"/>
        </w:rPr>
        <w:t xml:space="preserve">   </w:t>
      </w:r>
      <w:r>
        <w:rPr>
          <w:rFonts w:hint="eastAsia" w:ascii="宋体" w:hAnsi="宋体" w:cs="宋体"/>
          <w:color w:val="auto"/>
          <w:spacing w:val="6"/>
          <w:sz w:val="24"/>
          <w:highlight w:val="none"/>
        </w:rPr>
        <w:t>人，营业收入为</w:t>
      </w:r>
      <w:r>
        <w:rPr>
          <w:rFonts w:hint="eastAsia" w:ascii="宋体" w:hAnsi="宋体" w:cs="宋体"/>
          <w:color w:val="auto"/>
          <w:spacing w:val="6"/>
          <w:sz w:val="24"/>
          <w:highlight w:val="none"/>
          <w:u w:val="single"/>
          <w:lang w:val="en-US" w:eastAsia="zh-CN"/>
        </w:rPr>
        <w:t xml:space="preserve">   </w:t>
      </w:r>
      <w:r>
        <w:rPr>
          <w:rFonts w:hint="eastAsia" w:ascii="宋体" w:hAnsi="宋体" w:cs="宋体"/>
          <w:color w:val="auto"/>
          <w:spacing w:val="6"/>
          <w:sz w:val="24"/>
          <w:highlight w:val="none"/>
        </w:rPr>
        <w:t>万元，资产总额为</w:t>
      </w:r>
      <w:r>
        <w:rPr>
          <w:rFonts w:hint="eastAsia" w:ascii="宋体" w:hAnsi="宋体" w:cs="宋体"/>
          <w:color w:val="auto"/>
          <w:spacing w:val="6"/>
          <w:sz w:val="24"/>
          <w:highlight w:val="none"/>
          <w:u w:val="single"/>
          <w:lang w:val="en-US" w:eastAsia="zh-CN"/>
        </w:rPr>
        <w:t xml:space="preserve">    </w:t>
      </w:r>
      <w:r>
        <w:rPr>
          <w:rFonts w:hint="eastAsia" w:ascii="宋体" w:hAnsi="宋体" w:cs="宋体"/>
          <w:color w:val="auto"/>
          <w:spacing w:val="6"/>
          <w:sz w:val="24"/>
          <w:highlight w:val="none"/>
          <w:u w:val="single"/>
        </w:rPr>
        <w:t>万</w:t>
      </w:r>
      <w:r>
        <w:rPr>
          <w:rFonts w:hint="eastAsia" w:ascii="宋体" w:hAnsi="宋体" w:cs="宋体"/>
          <w:color w:val="auto"/>
          <w:spacing w:val="6"/>
          <w:sz w:val="24"/>
          <w:highlight w:val="none"/>
        </w:rPr>
        <w:t>元，属于</w:t>
      </w:r>
      <w:r>
        <w:rPr>
          <w:rFonts w:hint="eastAsia" w:ascii="宋体" w:hAnsi="宋体" w:cs="宋体"/>
          <w:color w:val="auto"/>
          <w:spacing w:val="6"/>
          <w:sz w:val="24"/>
          <w:highlight w:val="none"/>
          <w:u w:val="single"/>
        </w:rPr>
        <w:t>（中型企业、小型企业、微型企业）</w:t>
      </w:r>
      <w:r>
        <w:rPr>
          <w:rFonts w:hint="eastAsia" w:ascii="宋体" w:hAnsi="宋体" w:cs="宋体"/>
          <w:color w:val="auto"/>
          <w:spacing w:val="6"/>
          <w:sz w:val="24"/>
          <w:highlight w:val="none"/>
        </w:rPr>
        <w:t>；</w:t>
      </w:r>
    </w:p>
    <w:p w14:paraId="15996A6D">
      <w:pPr>
        <w:spacing w:line="500" w:lineRule="exact"/>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2、</w:t>
      </w:r>
      <w:r>
        <w:rPr>
          <w:rFonts w:hint="eastAsia" w:ascii="宋体" w:hAnsi="宋体" w:cs="宋体"/>
          <w:color w:val="auto"/>
          <w:spacing w:val="6"/>
          <w:sz w:val="24"/>
          <w:highlight w:val="none"/>
          <w:u w:val="single"/>
        </w:rPr>
        <w:t>（标的名称）</w:t>
      </w:r>
      <w:r>
        <w:rPr>
          <w:rFonts w:hint="eastAsia" w:ascii="宋体" w:hAnsi="宋体" w:cs="宋体"/>
          <w:color w:val="auto"/>
          <w:spacing w:val="6"/>
          <w:sz w:val="24"/>
          <w:highlight w:val="none"/>
        </w:rPr>
        <w:t>，属于</w:t>
      </w:r>
      <w:r>
        <w:rPr>
          <w:rFonts w:hint="eastAsia" w:ascii="宋体" w:hAnsi="宋体" w:cs="宋体"/>
          <w:color w:val="auto"/>
          <w:spacing w:val="6"/>
          <w:sz w:val="24"/>
          <w:highlight w:val="none"/>
          <w:u w:val="single"/>
          <w:lang w:val="en-US" w:eastAsia="zh-CN"/>
        </w:rPr>
        <w:t xml:space="preserve">      </w:t>
      </w:r>
      <w:r>
        <w:rPr>
          <w:rFonts w:hint="eastAsia" w:ascii="宋体" w:hAnsi="宋体" w:cs="宋体"/>
          <w:color w:val="auto"/>
          <w:spacing w:val="6"/>
          <w:sz w:val="24"/>
          <w:highlight w:val="none"/>
          <w:u w:val="single"/>
        </w:rPr>
        <w:t>（采购文件中明确的所属行业）</w:t>
      </w:r>
      <w:r>
        <w:rPr>
          <w:rFonts w:hint="eastAsia" w:ascii="宋体" w:hAnsi="宋体" w:cs="宋体"/>
          <w:color w:val="auto"/>
          <w:spacing w:val="6"/>
          <w:sz w:val="24"/>
          <w:highlight w:val="none"/>
        </w:rPr>
        <w:t>；承建（承接）企业为</w:t>
      </w:r>
      <w:r>
        <w:rPr>
          <w:rFonts w:hint="eastAsia" w:ascii="宋体" w:hAnsi="宋体" w:cs="宋体"/>
          <w:color w:val="auto"/>
          <w:spacing w:val="6"/>
          <w:sz w:val="24"/>
          <w:highlight w:val="none"/>
          <w:u w:val="single"/>
        </w:rPr>
        <w:t>（企业名称）</w:t>
      </w:r>
      <w:r>
        <w:rPr>
          <w:rFonts w:hint="eastAsia" w:ascii="宋体" w:hAnsi="宋体" w:cs="宋体"/>
          <w:color w:val="auto"/>
          <w:spacing w:val="6"/>
          <w:sz w:val="24"/>
          <w:highlight w:val="none"/>
        </w:rPr>
        <w:t>，从业人员</w:t>
      </w:r>
      <w:r>
        <w:rPr>
          <w:rFonts w:hint="eastAsia" w:ascii="宋体" w:hAnsi="宋体" w:cs="宋体"/>
          <w:color w:val="auto"/>
          <w:spacing w:val="6"/>
          <w:sz w:val="24"/>
          <w:highlight w:val="none"/>
          <w:u w:val="single"/>
          <w:lang w:val="en-US" w:eastAsia="zh-CN"/>
        </w:rPr>
        <w:t xml:space="preserve">    </w:t>
      </w:r>
      <w:r>
        <w:rPr>
          <w:rFonts w:hint="eastAsia" w:ascii="宋体" w:hAnsi="宋体" w:cs="宋体"/>
          <w:color w:val="auto"/>
          <w:spacing w:val="6"/>
          <w:sz w:val="24"/>
          <w:highlight w:val="none"/>
        </w:rPr>
        <w:t>人，营业收入为</w:t>
      </w:r>
      <w:r>
        <w:rPr>
          <w:rFonts w:hint="eastAsia" w:ascii="宋体" w:hAnsi="宋体" w:cs="宋体"/>
          <w:color w:val="auto"/>
          <w:spacing w:val="6"/>
          <w:sz w:val="24"/>
          <w:highlight w:val="none"/>
          <w:u w:val="single"/>
          <w:lang w:val="en-US" w:eastAsia="zh-CN"/>
        </w:rPr>
        <w:t xml:space="preserve">   </w:t>
      </w:r>
      <w:r>
        <w:rPr>
          <w:rFonts w:hint="eastAsia" w:ascii="宋体" w:hAnsi="宋体" w:cs="宋体"/>
          <w:color w:val="auto"/>
          <w:spacing w:val="6"/>
          <w:sz w:val="24"/>
          <w:highlight w:val="none"/>
        </w:rPr>
        <w:t>万元，资产总额为</w:t>
      </w:r>
      <w:r>
        <w:rPr>
          <w:rFonts w:hint="eastAsia" w:ascii="宋体" w:hAnsi="宋体" w:cs="宋体"/>
          <w:color w:val="auto"/>
          <w:spacing w:val="6"/>
          <w:sz w:val="24"/>
          <w:highlight w:val="none"/>
          <w:u w:val="single"/>
          <w:lang w:val="en-US" w:eastAsia="zh-CN"/>
        </w:rPr>
        <w:t xml:space="preserve">     </w:t>
      </w:r>
      <w:r>
        <w:rPr>
          <w:rFonts w:hint="eastAsia" w:ascii="宋体" w:hAnsi="宋体" w:cs="宋体"/>
          <w:color w:val="auto"/>
          <w:spacing w:val="6"/>
          <w:sz w:val="24"/>
          <w:highlight w:val="none"/>
        </w:rPr>
        <w:t>万元，属于</w:t>
      </w:r>
      <w:r>
        <w:rPr>
          <w:rFonts w:hint="eastAsia" w:ascii="宋体" w:hAnsi="宋体" w:cs="宋体"/>
          <w:color w:val="auto"/>
          <w:spacing w:val="6"/>
          <w:sz w:val="24"/>
          <w:highlight w:val="none"/>
          <w:u w:val="single"/>
        </w:rPr>
        <w:t>（中型企业、小型企业、微型企业）</w:t>
      </w:r>
      <w:r>
        <w:rPr>
          <w:rFonts w:hint="eastAsia" w:ascii="宋体" w:hAnsi="宋体" w:cs="宋体"/>
          <w:color w:val="auto"/>
          <w:spacing w:val="6"/>
          <w:sz w:val="24"/>
          <w:highlight w:val="none"/>
        </w:rPr>
        <w:t>；</w:t>
      </w:r>
    </w:p>
    <w:p w14:paraId="51AA90B5">
      <w:pPr>
        <w:spacing w:line="500" w:lineRule="exact"/>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w:t>
      </w:r>
    </w:p>
    <w:p w14:paraId="45BB93F7">
      <w:pPr>
        <w:spacing w:line="500" w:lineRule="exact"/>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以上企业，不属于大企业的分支机构，不存在控股股东为大企业的情形，也不存在与大企业的负责人为同一人的情形。</w:t>
      </w:r>
    </w:p>
    <w:p w14:paraId="6B6D2073">
      <w:pPr>
        <w:spacing w:line="500" w:lineRule="exact"/>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本企业对上述声明内容的真实性负责。如有虚假，将依法承担相应责任。</w:t>
      </w:r>
    </w:p>
    <w:p w14:paraId="0583F0DE">
      <w:pPr>
        <w:spacing w:line="500" w:lineRule="exact"/>
        <w:ind w:firstLine="5040" w:firstLineChars="2000"/>
        <w:rPr>
          <w:rFonts w:ascii="宋体" w:hAnsi="宋体" w:cs="宋体"/>
          <w:color w:val="auto"/>
          <w:spacing w:val="6"/>
          <w:sz w:val="24"/>
          <w:highlight w:val="none"/>
        </w:rPr>
      </w:pPr>
    </w:p>
    <w:p w14:paraId="51EBBB9C">
      <w:pPr>
        <w:spacing w:line="500" w:lineRule="exact"/>
        <w:ind w:firstLine="5040" w:firstLineChars="2000"/>
        <w:rPr>
          <w:rFonts w:ascii="宋体" w:hAnsi="宋体" w:cs="宋体"/>
          <w:color w:val="auto"/>
          <w:spacing w:val="6"/>
          <w:sz w:val="24"/>
          <w:highlight w:val="none"/>
        </w:rPr>
      </w:pPr>
    </w:p>
    <w:p w14:paraId="53B846AB">
      <w:pPr>
        <w:spacing w:line="500" w:lineRule="exact"/>
        <w:ind w:firstLine="5040" w:firstLineChars="2000"/>
        <w:rPr>
          <w:rFonts w:ascii="宋体" w:hAnsi="宋体" w:cs="宋体"/>
          <w:color w:val="auto"/>
          <w:spacing w:val="6"/>
          <w:sz w:val="24"/>
          <w:highlight w:val="none"/>
        </w:rPr>
      </w:pPr>
    </w:p>
    <w:p w14:paraId="6C5B6E76">
      <w:pPr>
        <w:spacing w:line="500" w:lineRule="exact"/>
        <w:ind w:firstLine="5040" w:firstLineChars="2000"/>
        <w:rPr>
          <w:rFonts w:ascii="宋体" w:hAnsi="宋体" w:cs="宋体"/>
          <w:color w:val="auto"/>
          <w:spacing w:val="6"/>
          <w:sz w:val="24"/>
          <w:highlight w:val="none"/>
        </w:rPr>
      </w:pPr>
      <w:r>
        <w:rPr>
          <w:rFonts w:hint="eastAsia" w:ascii="宋体" w:hAnsi="宋体" w:cs="宋体"/>
          <w:color w:val="auto"/>
          <w:spacing w:val="6"/>
          <w:sz w:val="24"/>
          <w:highlight w:val="none"/>
        </w:rPr>
        <w:t>企业名称（盖章）：</w:t>
      </w:r>
    </w:p>
    <w:p w14:paraId="3E15959C">
      <w:pPr>
        <w:spacing w:line="500" w:lineRule="exact"/>
        <w:ind w:firstLine="5040" w:firstLineChars="2000"/>
        <w:rPr>
          <w:rFonts w:ascii="宋体" w:hAnsi="宋体" w:cs="宋体"/>
          <w:color w:val="auto"/>
          <w:spacing w:val="6"/>
          <w:sz w:val="24"/>
          <w:highlight w:val="none"/>
        </w:rPr>
      </w:pPr>
      <w:r>
        <w:rPr>
          <w:rFonts w:hint="eastAsia" w:ascii="宋体" w:hAnsi="宋体" w:cs="宋体"/>
          <w:color w:val="auto"/>
          <w:spacing w:val="6"/>
          <w:sz w:val="24"/>
          <w:highlight w:val="none"/>
        </w:rPr>
        <w:t>日 期：</w:t>
      </w:r>
    </w:p>
    <w:p w14:paraId="3A550AE5">
      <w:pPr>
        <w:spacing w:line="480" w:lineRule="exact"/>
        <w:rPr>
          <w:rFonts w:ascii="宋体" w:hAnsi="宋体" w:cs="宋体"/>
          <w:color w:val="auto"/>
          <w:sz w:val="24"/>
          <w:highlight w:val="none"/>
        </w:rPr>
      </w:pPr>
      <w:r>
        <w:rPr>
          <w:rFonts w:hint="eastAsia" w:ascii="宋体" w:hAnsi="宋体" w:cs="宋体"/>
          <w:color w:val="auto"/>
          <w:sz w:val="24"/>
          <w:highlight w:val="none"/>
        </w:rPr>
        <w:t>说明：</w:t>
      </w:r>
    </w:p>
    <w:p w14:paraId="3544420D">
      <w:pPr>
        <w:spacing w:line="480" w:lineRule="exact"/>
        <w:rPr>
          <w:rFonts w:ascii="宋体" w:hAnsi="宋体" w:cs="宋体"/>
          <w:color w:val="auto"/>
          <w:sz w:val="24"/>
          <w:highlight w:val="none"/>
        </w:rPr>
      </w:pPr>
      <w:r>
        <w:rPr>
          <w:rFonts w:hint="eastAsia" w:ascii="宋体" w:hAnsi="宋体" w:cs="宋体"/>
          <w:color w:val="auto"/>
          <w:sz w:val="24"/>
          <w:highlight w:val="none"/>
        </w:rPr>
        <w:t>1、该声明函是针对小微型企业的，非小型、微型企业投标时不用提供该声明。</w:t>
      </w:r>
    </w:p>
    <w:p w14:paraId="4827DF4E">
      <w:pPr>
        <w:spacing w:line="480" w:lineRule="exact"/>
        <w:outlineLvl w:val="2"/>
        <w:rPr>
          <w:rFonts w:ascii="宋体" w:hAnsi="宋体" w:cs="宋体"/>
          <w:color w:val="auto"/>
          <w:sz w:val="24"/>
          <w:highlight w:val="none"/>
        </w:rPr>
      </w:pPr>
      <w:r>
        <w:rPr>
          <w:rFonts w:hint="eastAsia" w:ascii="宋体" w:hAnsi="宋体" w:cs="宋体"/>
          <w:color w:val="auto"/>
          <w:sz w:val="24"/>
          <w:highlight w:val="none"/>
        </w:rPr>
        <w:t>2、供应商应提供相应证明材料。</w:t>
      </w:r>
    </w:p>
    <w:p w14:paraId="48686F9C">
      <w:pPr>
        <w:spacing w:line="480" w:lineRule="exact"/>
        <w:rPr>
          <w:rFonts w:ascii="宋体" w:hAnsi="宋体" w:cs="宋体"/>
          <w:color w:val="auto"/>
          <w:sz w:val="24"/>
          <w:highlight w:val="none"/>
        </w:rPr>
      </w:pPr>
      <w:r>
        <w:rPr>
          <w:rFonts w:hint="eastAsia" w:ascii="宋体" w:hAnsi="宋体" w:cs="宋体"/>
          <w:color w:val="auto"/>
          <w:sz w:val="24"/>
          <w:highlight w:val="none"/>
        </w:rPr>
        <w:t>3、供应商是小微企业的需按此格式提供相关资料，否则不需填写此表。</w:t>
      </w:r>
    </w:p>
    <w:p w14:paraId="4A104755">
      <w:pPr>
        <w:wordWrap w:val="0"/>
        <w:topLinePunct/>
        <w:adjustRightInd w:val="0"/>
        <w:snapToGrid w:val="0"/>
        <w:spacing w:line="360" w:lineRule="auto"/>
        <w:rPr>
          <w:rFonts w:ascii="宋体" w:hAnsi="宋体" w:eastAsia="宋体" w:cs="宋体"/>
          <w:color w:val="auto"/>
          <w:spacing w:val="6"/>
          <w:sz w:val="24"/>
          <w:szCs w:val="24"/>
          <w:highlight w:val="none"/>
        </w:rPr>
      </w:pPr>
    </w:p>
    <w:p w14:paraId="63CEAF8C">
      <w:pPr>
        <w:wordWrap w:val="0"/>
        <w:topLinePunct/>
        <w:spacing w:after="120" w:line="360" w:lineRule="auto"/>
        <w:outlineLvl w:val="0"/>
        <w:rPr>
          <w:rFonts w:ascii="宋体" w:hAnsi="宋体" w:eastAsia="宋体" w:cs="宋体"/>
          <w:color w:val="auto"/>
          <w:sz w:val="24"/>
          <w:szCs w:val="24"/>
          <w:highlight w:val="none"/>
        </w:rPr>
      </w:pPr>
      <w:bookmarkStart w:id="23" w:name="_Toc18593"/>
      <w:bookmarkStart w:id="24" w:name="_Toc25037"/>
      <w:bookmarkStart w:id="25" w:name="_Toc2102"/>
      <w:bookmarkStart w:id="26" w:name="_Toc27316"/>
      <w:bookmarkStart w:id="27" w:name="_Toc24807"/>
      <w:bookmarkStart w:id="28" w:name="_Toc29742"/>
      <w:bookmarkStart w:id="29" w:name="_Toc3901"/>
      <w:bookmarkStart w:id="30" w:name="_Toc28455"/>
      <w:r>
        <w:rPr>
          <w:rFonts w:hint="eastAsia" w:ascii="宋体" w:hAnsi="宋体" w:eastAsia="宋体" w:cs="宋体"/>
          <w:color w:val="auto"/>
          <w:sz w:val="24"/>
          <w:szCs w:val="24"/>
          <w:highlight w:val="none"/>
        </w:rPr>
        <w:t>附件2</w:t>
      </w:r>
      <w:bookmarkEnd w:id="23"/>
      <w:bookmarkEnd w:id="24"/>
      <w:bookmarkEnd w:id="25"/>
      <w:bookmarkEnd w:id="26"/>
      <w:bookmarkEnd w:id="27"/>
      <w:bookmarkEnd w:id="28"/>
      <w:bookmarkEnd w:id="29"/>
      <w:bookmarkEnd w:id="30"/>
    </w:p>
    <w:p w14:paraId="01CBF758">
      <w:pPr>
        <w:wordWrap w:val="0"/>
        <w:topLinePunct/>
        <w:adjustRightInd w:val="0"/>
        <w:snapToGrid w:val="0"/>
        <w:ind w:firstLine="480" w:firstLineChars="200"/>
        <w:rPr>
          <w:rFonts w:ascii="宋体" w:hAnsi="宋体" w:eastAsia="宋体" w:cs="宋体"/>
          <w:color w:val="auto"/>
          <w:sz w:val="24"/>
          <w:szCs w:val="24"/>
          <w:highlight w:val="none"/>
        </w:rPr>
      </w:pPr>
    </w:p>
    <w:p w14:paraId="4DB82240">
      <w:pPr>
        <w:wordWrap w:val="0"/>
        <w:topLinePunct/>
        <w:adjustRightInd w:val="0"/>
        <w:snapToGrid w:val="0"/>
        <w:ind w:firstLine="360" w:firstLineChars="150"/>
        <w:rPr>
          <w:rFonts w:ascii="宋体" w:hAnsi="宋体" w:eastAsia="宋体" w:cs="宋体"/>
          <w:color w:val="auto"/>
          <w:sz w:val="24"/>
          <w:szCs w:val="24"/>
          <w:highlight w:val="none"/>
        </w:rPr>
      </w:pPr>
    </w:p>
    <w:p w14:paraId="784F63F2">
      <w:pPr>
        <w:keepNext/>
        <w:keepLines/>
        <w:tabs>
          <w:tab w:val="left" w:pos="840"/>
        </w:tabs>
        <w:wordWrap w:val="0"/>
        <w:topLinePunct/>
        <w:spacing w:line="412" w:lineRule="auto"/>
        <w:jc w:val="center"/>
        <w:outlineLvl w:val="0"/>
        <w:rPr>
          <w:rFonts w:ascii="宋体" w:hAnsi="宋体" w:eastAsia="宋体" w:cs="宋体"/>
          <w:b/>
          <w:bCs/>
          <w:color w:val="auto"/>
          <w:sz w:val="24"/>
          <w:szCs w:val="24"/>
          <w:highlight w:val="none"/>
          <w:lang w:val="zh-CN"/>
        </w:rPr>
      </w:pPr>
      <w:bookmarkStart w:id="31" w:name="_Toc7097"/>
      <w:bookmarkStart w:id="32" w:name="_Toc20672"/>
      <w:bookmarkStart w:id="33" w:name="_Toc30785"/>
      <w:bookmarkStart w:id="34" w:name="_Toc12776"/>
      <w:bookmarkStart w:id="35" w:name="_Toc22690"/>
      <w:bookmarkStart w:id="36" w:name="_Toc25118"/>
      <w:bookmarkStart w:id="37" w:name="_Toc9287"/>
      <w:bookmarkStart w:id="38" w:name="_Toc20491"/>
      <w:r>
        <w:rPr>
          <w:rFonts w:hint="eastAsia" w:ascii="宋体" w:hAnsi="宋体" w:eastAsia="宋体" w:cs="宋体"/>
          <w:b/>
          <w:bCs/>
          <w:color w:val="auto"/>
          <w:sz w:val="24"/>
          <w:szCs w:val="24"/>
          <w:highlight w:val="none"/>
          <w:lang w:val="zh-CN"/>
        </w:rPr>
        <w:t>监狱企业证明文件</w:t>
      </w:r>
      <w:bookmarkEnd w:id="31"/>
      <w:bookmarkEnd w:id="32"/>
      <w:bookmarkEnd w:id="33"/>
      <w:bookmarkEnd w:id="34"/>
      <w:bookmarkEnd w:id="35"/>
      <w:bookmarkEnd w:id="36"/>
      <w:bookmarkEnd w:id="37"/>
      <w:bookmarkEnd w:id="38"/>
    </w:p>
    <w:p w14:paraId="311D6441">
      <w:pPr>
        <w:wordWrap w:val="0"/>
        <w:topLinePunct/>
        <w:jc w:val="center"/>
        <w:rPr>
          <w:rFonts w:ascii="宋体" w:hAnsi="宋体" w:eastAsia="宋体" w:cs="宋体"/>
          <w:b/>
          <w:bCs/>
          <w:color w:val="auto"/>
          <w:sz w:val="24"/>
          <w:szCs w:val="24"/>
          <w:highlight w:val="none"/>
        </w:rPr>
      </w:pPr>
    </w:p>
    <w:p w14:paraId="53882D33">
      <w:pPr>
        <w:wordWrap w:val="0"/>
        <w:topLinePunct/>
        <w:spacing w:line="500" w:lineRule="exact"/>
        <w:rPr>
          <w:rFonts w:ascii="宋体" w:hAnsi="宋体" w:eastAsia="宋体" w:cs="宋体"/>
          <w:color w:val="auto"/>
          <w:spacing w:val="6"/>
          <w:sz w:val="24"/>
          <w:szCs w:val="24"/>
          <w:highlight w:val="none"/>
        </w:rPr>
      </w:pPr>
    </w:p>
    <w:p w14:paraId="2AAF9926">
      <w:pPr>
        <w:wordWrap w:val="0"/>
        <w:topLinePunct/>
        <w:spacing w:line="500" w:lineRule="exact"/>
        <w:ind w:firstLine="42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（监狱企业参加政府采购活动时，应当提供由省级以上监狱管理局、戒毒管理局(含新疆生产建设兵团)出具的属于监狱企业的证明文件。</w:t>
      </w:r>
    </w:p>
    <w:p w14:paraId="206324CE">
      <w:pPr>
        <w:wordWrap w:val="0"/>
        <w:topLinePunct/>
        <w:spacing w:line="500" w:lineRule="exact"/>
        <w:ind w:firstLine="504" w:firstLineChars="200"/>
        <w:rPr>
          <w:rFonts w:ascii="宋体" w:hAnsi="宋体" w:eastAsia="宋体" w:cs="宋体"/>
          <w:color w:val="auto"/>
          <w:spacing w:val="6"/>
          <w:sz w:val="24"/>
          <w:szCs w:val="24"/>
          <w:highlight w:val="none"/>
        </w:rPr>
      </w:pPr>
    </w:p>
    <w:p w14:paraId="23CADD7A">
      <w:pPr>
        <w:wordWrap w:val="0"/>
        <w:topLinePunct/>
        <w:spacing w:line="500" w:lineRule="exact"/>
        <w:ind w:firstLine="504" w:firstLineChars="200"/>
        <w:rPr>
          <w:rFonts w:ascii="宋体" w:hAnsi="宋体" w:eastAsia="宋体" w:cs="宋体"/>
          <w:color w:val="auto"/>
          <w:spacing w:val="6"/>
          <w:sz w:val="24"/>
          <w:szCs w:val="24"/>
          <w:highlight w:val="none"/>
        </w:rPr>
      </w:pPr>
    </w:p>
    <w:p w14:paraId="360D5F08">
      <w:pPr>
        <w:wordWrap w:val="0"/>
        <w:topLinePunct/>
        <w:spacing w:line="500" w:lineRule="exact"/>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注：在投标文件中附扫描件</w:t>
      </w:r>
    </w:p>
    <w:p w14:paraId="12833EC5">
      <w:pPr>
        <w:wordWrap w:val="0"/>
        <w:topLinePunct/>
        <w:spacing w:line="500" w:lineRule="exact"/>
        <w:rPr>
          <w:rFonts w:ascii="宋体" w:hAnsi="宋体" w:eastAsia="宋体" w:cs="宋体"/>
          <w:color w:val="auto"/>
          <w:sz w:val="24"/>
          <w:szCs w:val="24"/>
          <w:highlight w:val="none"/>
        </w:rPr>
      </w:pPr>
    </w:p>
    <w:p w14:paraId="34138BB1">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3AF465CF">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27270716">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3CED10ED">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6DEE745C">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18BCFAFB">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435BD887">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5A9C55E0">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4B7FE1D8">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116D0ACD">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1DCB6614">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201974C3">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67AEFCCE">
      <w:pPr>
        <w:pageBreakBefore/>
        <w:wordWrap w:val="0"/>
        <w:topLinePunct/>
        <w:ind w:firstLine="360" w:firstLineChars="150"/>
        <w:outlineLvl w:val="0"/>
        <w:rPr>
          <w:rFonts w:ascii="宋体" w:hAnsi="宋体" w:eastAsia="宋体" w:cs="宋体"/>
          <w:color w:val="auto"/>
          <w:sz w:val="24"/>
          <w:szCs w:val="24"/>
          <w:highlight w:val="none"/>
        </w:rPr>
      </w:pPr>
      <w:bookmarkStart w:id="39" w:name="_Toc1643"/>
      <w:bookmarkStart w:id="40" w:name="_Toc7118"/>
      <w:bookmarkStart w:id="41" w:name="_Toc14168"/>
      <w:bookmarkStart w:id="42" w:name="_Toc27716"/>
      <w:bookmarkStart w:id="43" w:name="_Toc16416"/>
      <w:bookmarkStart w:id="44" w:name="_Toc20645"/>
      <w:bookmarkStart w:id="45" w:name="_Toc11345"/>
      <w:bookmarkStart w:id="46" w:name="_Toc6264"/>
      <w:r>
        <w:rPr>
          <w:rFonts w:hint="eastAsia" w:ascii="宋体" w:hAnsi="宋体" w:eastAsia="宋体" w:cs="宋体"/>
          <w:color w:val="auto"/>
          <w:sz w:val="24"/>
          <w:szCs w:val="24"/>
          <w:highlight w:val="none"/>
        </w:rPr>
        <w:t>附件3</w:t>
      </w:r>
      <w:bookmarkEnd w:id="39"/>
      <w:bookmarkEnd w:id="40"/>
      <w:bookmarkEnd w:id="41"/>
      <w:bookmarkEnd w:id="42"/>
      <w:bookmarkEnd w:id="43"/>
      <w:bookmarkEnd w:id="44"/>
      <w:bookmarkEnd w:id="45"/>
      <w:bookmarkEnd w:id="46"/>
    </w:p>
    <w:p w14:paraId="75E52B5F">
      <w:pPr>
        <w:wordWrap w:val="0"/>
        <w:spacing w:after="120" w:line="480" w:lineRule="exact"/>
        <w:jc w:val="center"/>
        <w:outlineLvl w:val="0"/>
        <w:rPr>
          <w:rFonts w:ascii="宋体" w:hAnsi="宋体" w:eastAsia="宋体" w:cs="宋体"/>
          <w:b/>
          <w:bCs/>
          <w:color w:val="auto"/>
          <w:kern w:val="36"/>
          <w:sz w:val="24"/>
          <w:szCs w:val="24"/>
          <w:highlight w:val="none"/>
        </w:rPr>
      </w:pPr>
      <w:bookmarkStart w:id="47" w:name="_Toc25433"/>
      <w:bookmarkStart w:id="48" w:name="_Toc24744"/>
      <w:bookmarkStart w:id="49" w:name="_Toc6118"/>
      <w:bookmarkStart w:id="50" w:name="_Toc27930"/>
      <w:bookmarkStart w:id="51" w:name="_Toc8171"/>
      <w:bookmarkStart w:id="52" w:name="_Toc12807"/>
      <w:bookmarkStart w:id="53" w:name="_Toc9003"/>
      <w:bookmarkStart w:id="54" w:name="_Toc32130"/>
      <w:r>
        <w:rPr>
          <w:rFonts w:hint="eastAsia" w:ascii="宋体" w:hAnsi="宋体" w:eastAsia="宋体" w:cs="宋体"/>
          <w:b/>
          <w:bCs/>
          <w:color w:val="auto"/>
          <w:kern w:val="36"/>
          <w:sz w:val="24"/>
          <w:szCs w:val="24"/>
          <w:highlight w:val="none"/>
        </w:rPr>
        <w:t>残疾人福利性单位声明函（如有）</w:t>
      </w:r>
      <w:bookmarkEnd w:id="47"/>
      <w:bookmarkEnd w:id="48"/>
      <w:bookmarkEnd w:id="49"/>
      <w:bookmarkEnd w:id="50"/>
      <w:bookmarkEnd w:id="51"/>
      <w:bookmarkEnd w:id="52"/>
      <w:bookmarkEnd w:id="53"/>
      <w:bookmarkEnd w:id="54"/>
    </w:p>
    <w:p w14:paraId="47FC94FE">
      <w:pPr>
        <w:wordWrap w:val="0"/>
        <w:spacing w:after="120" w:line="480" w:lineRule="exact"/>
        <w:ind w:firstLine="480" w:firstLineChars="200"/>
        <w:rPr>
          <w:rFonts w:ascii="宋体" w:hAnsi="宋体" w:eastAsia="宋体" w:cs="宋体"/>
          <w:color w:val="auto"/>
          <w:kern w:val="36"/>
          <w:sz w:val="24"/>
          <w:szCs w:val="24"/>
          <w:highlight w:val="none"/>
        </w:rPr>
      </w:pPr>
    </w:p>
    <w:p w14:paraId="27D1B2D1">
      <w:pPr>
        <w:wordWrap w:val="0"/>
        <w:spacing w:after="120" w:line="480" w:lineRule="exact"/>
        <w:ind w:firstLine="480" w:firstLineChars="200"/>
        <w:rPr>
          <w:rFonts w:ascii="宋体" w:hAnsi="宋体" w:eastAsia="宋体" w:cs="宋体"/>
          <w:color w:val="auto"/>
          <w:kern w:val="36"/>
          <w:sz w:val="24"/>
          <w:szCs w:val="24"/>
          <w:highlight w:val="none"/>
        </w:rPr>
      </w:pPr>
      <w:r>
        <w:rPr>
          <w:rFonts w:hint="eastAsia" w:ascii="宋体" w:hAnsi="宋体" w:eastAsia="宋体" w:cs="宋体"/>
          <w:color w:val="auto"/>
          <w:kern w:val="36"/>
          <w:sz w:val="24"/>
          <w:szCs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kern w:val="36"/>
          <w:sz w:val="24"/>
          <w:szCs w:val="24"/>
          <w:highlight w:val="none"/>
          <w:u w:val="single"/>
        </w:rPr>
        <w:t xml:space="preserve">       </w:t>
      </w:r>
      <w:r>
        <w:rPr>
          <w:rFonts w:hint="eastAsia" w:ascii="宋体" w:hAnsi="宋体" w:eastAsia="宋体" w:cs="宋体"/>
          <w:color w:val="auto"/>
          <w:kern w:val="36"/>
          <w:sz w:val="24"/>
          <w:szCs w:val="24"/>
          <w:highlight w:val="none"/>
        </w:rPr>
        <w:t xml:space="preserve">单位的 </w:t>
      </w:r>
      <w:r>
        <w:rPr>
          <w:rFonts w:hint="eastAsia" w:ascii="宋体" w:hAnsi="宋体" w:eastAsia="宋体" w:cs="宋体"/>
          <w:color w:val="auto"/>
          <w:kern w:val="36"/>
          <w:sz w:val="24"/>
          <w:szCs w:val="24"/>
          <w:highlight w:val="none"/>
          <w:u w:val="single"/>
        </w:rPr>
        <w:t xml:space="preserve">     </w:t>
      </w:r>
      <w:r>
        <w:rPr>
          <w:rFonts w:hint="eastAsia" w:ascii="宋体" w:hAnsi="宋体" w:eastAsia="宋体" w:cs="宋体"/>
          <w:color w:val="auto"/>
          <w:kern w:val="36"/>
          <w:sz w:val="24"/>
          <w:szCs w:val="24"/>
          <w:highlight w:val="none"/>
        </w:rPr>
        <w:t>项目采购活动提供本单位制造的货物（由本单位承担工程/提供服务），或者提供其他残疾人福利性单位制造的货物（不包括使用非残疾人福利性单位注册商标的货物）。</w:t>
      </w:r>
    </w:p>
    <w:p w14:paraId="6825481B">
      <w:pPr>
        <w:wordWrap w:val="0"/>
        <w:spacing w:after="120" w:line="480" w:lineRule="exact"/>
        <w:ind w:firstLine="480" w:firstLineChars="200"/>
        <w:rPr>
          <w:rFonts w:ascii="宋体" w:hAnsi="宋体" w:eastAsia="宋体" w:cs="宋体"/>
          <w:color w:val="auto"/>
          <w:kern w:val="36"/>
          <w:sz w:val="24"/>
          <w:szCs w:val="24"/>
          <w:highlight w:val="none"/>
        </w:rPr>
      </w:pPr>
      <w:r>
        <w:rPr>
          <w:rFonts w:hint="eastAsia" w:ascii="宋体" w:hAnsi="宋体" w:eastAsia="宋体" w:cs="宋体"/>
          <w:color w:val="auto"/>
          <w:kern w:val="36"/>
          <w:sz w:val="24"/>
          <w:szCs w:val="24"/>
          <w:highlight w:val="none"/>
        </w:rPr>
        <w:t>本单位对上述声明的真实性负责。如有虚假，将依法承担相应责任。</w:t>
      </w:r>
    </w:p>
    <w:p w14:paraId="432771C0">
      <w:pPr>
        <w:wordWrap w:val="0"/>
        <w:spacing w:line="480" w:lineRule="exact"/>
        <w:ind w:firstLine="480" w:firstLineChars="200"/>
        <w:jc w:val="right"/>
        <w:rPr>
          <w:rFonts w:ascii="宋体" w:hAnsi="宋体" w:eastAsia="宋体" w:cs="宋体"/>
          <w:color w:val="auto"/>
          <w:sz w:val="24"/>
          <w:szCs w:val="24"/>
          <w:highlight w:val="none"/>
        </w:rPr>
      </w:pPr>
    </w:p>
    <w:p w14:paraId="5FB7B615">
      <w:pPr>
        <w:wordWrap w:val="0"/>
        <w:topLinePunct/>
        <w:spacing w:line="360" w:lineRule="auto"/>
        <w:rPr>
          <w:rFonts w:ascii="宋体" w:hAnsi="宋体" w:eastAsia="宋体" w:cs="宋体"/>
          <w:color w:val="auto"/>
          <w:kern w:val="0"/>
          <w:sz w:val="24"/>
          <w:szCs w:val="24"/>
          <w:highlight w:val="none"/>
        </w:rPr>
      </w:pPr>
    </w:p>
    <w:p w14:paraId="560898CE">
      <w:pPr>
        <w:wordWrap w:val="0"/>
        <w:topLinePunct/>
        <w:spacing w:line="360" w:lineRule="auto"/>
        <w:ind w:firstLine="480" w:firstLineChars="200"/>
        <w:rPr>
          <w:rFonts w:ascii="宋体" w:hAnsi="宋体" w:eastAsia="宋体" w:cs="宋体"/>
          <w:color w:val="auto"/>
          <w:sz w:val="24"/>
          <w:szCs w:val="24"/>
          <w:highlight w:val="none"/>
        </w:rPr>
      </w:pPr>
    </w:p>
    <w:p w14:paraId="7C660787">
      <w:pPr>
        <w:wordWrap w:val="0"/>
        <w:topLinePunct/>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响应人（企业电子签章或盖章）：</w:t>
      </w:r>
    </w:p>
    <w:p w14:paraId="0AAB7463">
      <w:pPr>
        <w:wordWrap w:val="0"/>
        <w:topLinePunct/>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法定代表人（个人电子签章或盖章或签字）： </w:t>
      </w:r>
    </w:p>
    <w:p w14:paraId="6B387A63">
      <w:pPr>
        <w:wordWrap w:val="0"/>
        <w:topLinePunct/>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 期： </w:t>
      </w:r>
    </w:p>
    <w:p w14:paraId="603A12F7">
      <w:pPr>
        <w:rPr>
          <w:rFonts w:ascii="Calibri" w:hAnsi="Calibri" w:eastAsia="宋体" w:cs="Times New Roman"/>
          <w:color w:val="auto"/>
          <w:sz w:val="22"/>
          <w:highlight w:val="none"/>
        </w:rPr>
      </w:pPr>
    </w:p>
    <w:p w14:paraId="48930207">
      <w:pPr>
        <w:wordWrap w:val="0"/>
        <w:jc w:val="center"/>
        <w:rPr>
          <w:rFonts w:ascii="宋体" w:hAnsi="宋体" w:eastAsia="宋体" w:cs="宋体"/>
          <w:b/>
          <w:bCs/>
          <w:color w:val="auto"/>
          <w:sz w:val="24"/>
          <w:szCs w:val="24"/>
          <w:highlight w:val="none"/>
        </w:rPr>
      </w:pPr>
    </w:p>
    <w:p w14:paraId="59F14C70">
      <w:pPr>
        <w:wordWrap w:val="0"/>
        <w:jc w:val="center"/>
        <w:rPr>
          <w:rFonts w:ascii="宋体" w:hAnsi="宋体" w:eastAsia="宋体" w:cs="宋体"/>
          <w:b/>
          <w:bCs/>
          <w:color w:val="auto"/>
          <w:sz w:val="24"/>
          <w:szCs w:val="24"/>
          <w:highlight w:val="none"/>
        </w:rPr>
      </w:pPr>
    </w:p>
    <w:p w14:paraId="1702E61D">
      <w:pPr>
        <w:wordWrap w:val="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14:paraId="0C32D0A4">
      <w:pPr>
        <w:wordWrap w:val="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14:paraId="74921093">
      <w:pPr>
        <w:wordWrap w:val="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14:paraId="690BD8EF">
      <w:pPr>
        <w:wordWrap w:val="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14:paraId="6CEEE989">
      <w:pPr>
        <w:topLinePunct/>
        <w:jc w:val="center"/>
        <w:rPr>
          <w:rFonts w:ascii="宋体" w:hAnsi="宋体" w:eastAsia="宋体" w:cs="宋体"/>
          <w:b/>
          <w:bCs/>
          <w:color w:val="auto"/>
          <w:sz w:val="24"/>
          <w:szCs w:val="24"/>
          <w:highlight w:val="none"/>
        </w:rPr>
      </w:pPr>
    </w:p>
    <w:p w14:paraId="64A3271C">
      <w:pPr>
        <w:topLinePunct/>
        <w:jc w:val="center"/>
        <w:rPr>
          <w:rFonts w:ascii="宋体" w:hAnsi="宋体" w:eastAsia="宋体" w:cs="宋体"/>
          <w:b/>
          <w:bCs/>
          <w:color w:val="auto"/>
          <w:sz w:val="24"/>
          <w:szCs w:val="24"/>
          <w:highlight w:val="none"/>
        </w:rPr>
      </w:pPr>
    </w:p>
    <w:p w14:paraId="6EDF8ABF">
      <w:pPr>
        <w:rPr>
          <w:color w:val="auto"/>
          <w:highlight w:val="none"/>
        </w:rPr>
      </w:pPr>
    </w:p>
    <w:p w14:paraId="7B6F2A44">
      <w:pPr>
        <w:pStyle w:val="4"/>
        <w:spacing w:line="480" w:lineRule="exact"/>
        <w:jc w:val="center"/>
        <w:outlineLvl w:val="9"/>
        <w:rPr>
          <w:rFonts w:hint="eastAsia" w:ascii="宋体" w:hAnsi="宋体" w:eastAsia="宋体" w:cs="宋体"/>
          <w:b/>
          <w:color w:val="auto"/>
          <w:sz w:val="28"/>
          <w:highlight w:val="none"/>
          <w:lang w:val="zh-CN"/>
        </w:rPr>
      </w:pPr>
    </w:p>
    <w:p w14:paraId="26175F66">
      <w:pPr>
        <w:pStyle w:val="4"/>
        <w:spacing w:line="480" w:lineRule="exact"/>
        <w:jc w:val="center"/>
        <w:outlineLvl w:val="9"/>
        <w:rPr>
          <w:rFonts w:hint="eastAsia" w:ascii="宋体" w:hAnsi="宋体" w:eastAsia="宋体" w:cs="宋体"/>
          <w:b/>
          <w:color w:val="auto"/>
          <w:sz w:val="28"/>
          <w:highlight w:val="none"/>
          <w:lang w:val="zh-CN"/>
        </w:rPr>
      </w:pPr>
    </w:p>
    <w:p w14:paraId="1B50EFA6">
      <w:pPr>
        <w:rPr>
          <w:rFonts w:hint="eastAsia" w:ascii="宋体" w:hAnsi="宋体" w:eastAsia="宋体" w:cs="宋体"/>
          <w:color w:val="auto"/>
          <w:highlight w:val="none"/>
          <w:lang w:val="en-US" w:eastAsia="zh-CN"/>
        </w:rPr>
      </w:pPr>
    </w:p>
    <w:p w14:paraId="7F023FA7">
      <w:pPr>
        <w:rPr>
          <w:color w:val="auto"/>
          <w:highlight w:val="none"/>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仿宋">
    <w:panose1 w:val="02010609060101010101"/>
    <w:charset w:val="7A"/>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ADD1B3">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3C04E0">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D6C08C">
                          <w:pPr>
                            <w:pStyle w:val="17"/>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BD6C08C">
                    <w:pPr>
                      <w:pStyle w:val="17"/>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C5EC6C">
    <w:pPr>
      <w:pStyle w:val="3"/>
      <w:spacing w:line="14" w:lineRule="auto"/>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6B6125">
                          <w:pPr>
                            <w:pStyle w:val="17"/>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C6B6125">
                    <w:pPr>
                      <w:pStyle w:val="17"/>
                    </w:pPr>
                    <w:r>
                      <w:fldChar w:fldCharType="begin"/>
                    </w:r>
                    <w:r>
                      <w:instrText xml:space="preserve"> PAGE  \* MERGEFORMAT </w:instrText>
                    </w:r>
                    <w:r>
                      <w:fldChar w:fldCharType="separate"/>
                    </w:r>
                    <w:r>
                      <w:t>35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86EEA8">
    <w:pPr>
      <w:pStyle w:val="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E5FEEA"/>
    <w:multiLevelType w:val="singleLevel"/>
    <w:tmpl w:val="F6E5FEEA"/>
    <w:lvl w:ilvl="0" w:tentative="0">
      <w:start w:val="1"/>
      <w:numFmt w:val="decimal"/>
      <w:suff w:val="nothing"/>
      <w:lvlText w:val="%1、"/>
      <w:lvlJc w:val="left"/>
    </w:lvl>
  </w:abstractNum>
  <w:abstractNum w:abstractNumId="1">
    <w:nsid w:val="F9C812F1"/>
    <w:multiLevelType w:val="singleLevel"/>
    <w:tmpl w:val="F9C812F1"/>
    <w:lvl w:ilvl="0" w:tentative="0">
      <w:start w:val="1"/>
      <w:numFmt w:val="decimal"/>
      <w:suff w:val="nothing"/>
      <w:lvlText w:val="（%1）"/>
      <w:lvlJc w:val="left"/>
    </w:lvl>
  </w:abstractNum>
  <w:abstractNum w:abstractNumId="2">
    <w:nsid w:val="1FC106E5"/>
    <w:multiLevelType w:val="singleLevel"/>
    <w:tmpl w:val="1FC106E5"/>
    <w:lvl w:ilvl="0" w:tentative="0">
      <w:start w:val="4"/>
      <w:numFmt w:val="chineseCounting"/>
      <w:suff w:val="space"/>
      <w:lvlText w:val="第%1章"/>
      <w:lvlJc w:val="left"/>
      <w:rPr>
        <w:rFonts w:hint="eastAsia"/>
      </w:rPr>
    </w:lvl>
  </w:abstractNum>
  <w:abstractNum w:abstractNumId="3">
    <w:nsid w:val="3A09B31B"/>
    <w:multiLevelType w:val="singleLevel"/>
    <w:tmpl w:val="3A09B31B"/>
    <w:lvl w:ilvl="0" w:tentative="0">
      <w:start w:val="2"/>
      <w:numFmt w:val="chineseCounting"/>
      <w:suff w:val="nothing"/>
      <w:lvlText w:val="%1、"/>
      <w:lvlJc w:val="left"/>
      <w:rPr>
        <w:rFonts w:hint="eastAsia"/>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trackRevisions w:val="1"/>
  <w:documentProtection w:edit="trackedChanges" w:enforcement="1" w:cryptProviderType="rsaFull" w:cryptAlgorithmClass="hash" w:cryptAlgorithmType="typeAny" w:cryptAlgorithmSid="4" w:cryptSpinCount="0" w:hash="sDKw1fVUOhzaj0uAuV13MgxrgfQ=" w:salt="YoUoX5XzoTnkW4SeFfpftA=="/>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VjNTAyZTJmOTk5YjJjMzg5ZWM5MjdhMWFkZjhkYzQifQ=="/>
  </w:docVars>
  <w:rsids>
    <w:rsidRoot w:val="6F455122"/>
    <w:rsid w:val="004003F4"/>
    <w:rsid w:val="011914B8"/>
    <w:rsid w:val="014A4B87"/>
    <w:rsid w:val="016C2D4F"/>
    <w:rsid w:val="0181291D"/>
    <w:rsid w:val="01D628BE"/>
    <w:rsid w:val="01F66ABD"/>
    <w:rsid w:val="02AE0322"/>
    <w:rsid w:val="03625857"/>
    <w:rsid w:val="03DB0660"/>
    <w:rsid w:val="03EC0177"/>
    <w:rsid w:val="040B0C1A"/>
    <w:rsid w:val="041264DF"/>
    <w:rsid w:val="04310280"/>
    <w:rsid w:val="046C12B8"/>
    <w:rsid w:val="04763EE5"/>
    <w:rsid w:val="04CE19A8"/>
    <w:rsid w:val="05286BE1"/>
    <w:rsid w:val="06F832D7"/>
    <w:rsid w:val="07B70FD5"/>
    <w:rsid w:val="07D433FC"/>
    <w:rsid w:val="09872A61"/>
    <w:rsid w:val="0A307BBE"/>
    <w:rsid w:val="0A60366D"/>
    <w:rsid w:val="0B022976"/>
    <w:rsid w:val="0B683B84"/>
    <w:rsid w:val="0C193AD3"/>
    <w:rsid w:val="0C8A1028"/>
    <w:rsid w:val="0DB066B9"/>
    <w:rsid w:val="0E0132A3"/>
    <w:rsid w:val="0F1D1B2D"/>
    <w:rsid w:val="0F346E76"/>
    <w:rsid w:val="0F6F5AF2"/>
    <w:rsid w:val="0F8E6BA9"/>
    <w:rsid w:val="0F952BE5"/>
    <w:rsid w:val="0FF53898"/>
    <w:rsid w:val="11012D1B"/>
    <w:rsid w:val="114535BD"/>
    <w:rsid w:val="116003F7"/>
    <w:rsid w:val="12F73583"/>
    <w:rsid w:val="13B66003"/>
    <w:rsid w:val="13DF3855"/>
    <w:rsid w:val="1466786F"/>
    <w:rsid w:val="15532985"/>
    <w:rsid w:val="15E46F00"/>
    <w:rsid w:val="15FC7C1D"/>
    <w:rsid w:val="16B231DA"/>
    <w:rsid w:val="16DE1BA1"/>
    <w:rsid w:val="170B6491"/>
    <w:rsid w:val="175745AE"/>
    <w:rsid w:val="17A34AF5"/>
    <w:rsid w:val="17D9680D"/>
    <w:rsid w:val="17E21B65"/>
    <w:rsid w:val="17FE3BC2"/>
    <w:rsid w:val="18B43502"/>
    <w:rsid w:val="19063631"/>
    <w:rsid w:val="196D1903"/>
    <w:rsid w:val="199D3F96"/>
    <w:rsid w:val="1A512FD2"/>
    <w:rsid w:val="1ACC4407"/>
    <w:rsid w:val="1BA86C22"/>
    <w:rsid w:val="1BFB1448"/>
    <w:rsid w:val="1C7F782D"/>
    <w:rsid w:val="1CA404EA"/>
    <w:rsid w:val="1CFB20F0"/>
    <w:rsid w:val="1DAF5FA9"/>
    <w:rsid w:val="1E5D4451"/>
    <w:rsid w:val="1F4959A5"/>
    <w:rsid w:val="1F4F1D32"/>
    <w:rsid w:val="209B0B03"/>
    <w:rsid w:val="20EE50D7"/>
    <w:rsid w:val="21354997"/>
    <w:rsid w:val="216929AF"/>
    <w:rsid w:val="219C4B33"/>
    <w:rsid w:val="21BA320B"/>
    <w:rsid w:val="220C3CE1"/>
    <w:rsid w:val="223E208E"/>
    <w:rsid w:val="22680EB9"/>
    <w:rsid w:val="22934188"/>
    <w:rsid w:val="23072480"/>
    <w:rsid w:val="2366364A"/>
    <w:rsid w:val="239B0E1A"/>
    <w:rsid w:val="23C91E2B"/>
    <w:rsid w:val="242136F5"/>
    <w:rsid w:val="24D74F06"/>
    <w:rsid w:val="250550E5"/>
    <w:rsid w:val="254D1ECE"/>
    <w:rsid w:val="260211C0"/>
    <w:rsid w:val="2625588A"/>
    <w:rsid w:val="26461511"/>
    <w:rsid w:val="266E2824"/>
    <w:rsid w:val="274A70A1"/>
    <w:rsid w:val="27526B2E"/>
    <w:rsid w:val="277F117F"/>
    <w:rsid w:val="28384C2F"/>
    <w:rsid w:val="28597A12"/>
    <w:rsid w:val="29280B10"/>
    <w:rsid w:val="29D06620"/>
    <w:rsid w:val="2A3A09D3"/>
    <w:rsid w:val="2AB949A8"/>
    <w:rsid w:val="2B2D4A4E"/>
    <w:rsid w:val="2B443194"/>
    <w:rsid w:val="2BA2095F"/>
    <w:rsid w:val="2BA559E9"/>
    <w:rsid w:val="2BB10633"/>
    <w:rsid w:val="2C113AC3"/>
    <w:rsid w:val="2D0A14EA"/>
    <w:rsid w:val="2D222D81"/>
    <w:rsid w:val="2DDE5D83"/>
    <w:rsid w:val="2E830CCE"/>
    <w:rsid w:val="2F821DA3"/>
    <w:rsid w:val="307A3D70"/>
    <w:rsid w:val="30FE72F1"/>
    <w:rsid w:val="31973569"/>
    <w:rsid w:val="31B7018C"/>
    <w:rsid w:val="3203475A"/>
    <w:rsid w:val="32513718"/>
    <w:rsid w:val="32FE2E9B"/>
    <w:rsid w:val="333126C0"/>
    <w:rsid w:val="3357543B"/>
    <w:rsid w:val="3421711A"/>
    <w:rsid w:val="34E138A4"/>
    <w:rsid w:val="34ED62D7"/>
    <w:rsid w:val="353F1F4D"/>
    <w:rsid w:val="35754FDA"/>
    <w:rsid w:val="35774D9F"/>
    <w:rsid w:val="36D97FDD"/>
    <w:rsid w:val="373553B6"/>
    <w:rsid w:val="376A7537"/>
    <w:rsid w:val="37E001EA"/>
    <w:rsid w:val="37EE37B7"/>
    <w:rsid w:val="37F457DC"/>
    <w:rsid w:val="383D480E"/>
    <w:rsid w:val="387D4CD1"/>
    <w:rsid w:val="38AC0272"/>
    <w:rsid w:val="39557F91"/>
    <w:rsid w:val="3A06303A"/>
    <w:rsid w:val="3A7C218A"/>
    <w:rsid w:val="3D6C2D45"/>
    <w:rsid w:val="3EEA117C"/>
    <w:rsid w:val="400E2C48"/>
    <w:rsid w:val="403703F1"/>
    <w:rsid w:val="40CF6117"/>
    <w:rsid w:val="40E8793D"/>
    <w:rsid w:val="41596145"/>
    <w:rsid w:val="422718F0"/>
    <w:rsid w:val="427D6F5C"/>
    <w:rsid w:val="42B95C33"/>
    <w:rsid w:val="42C83582"/>
    <w:rsid w:val="436F1026"/>
    <w:rsid w:val="444E19A7"/>
    <w:rsid w:val="44DF2E05"/>
    <w:rsid w:val="44EC44AD"/>
    <w:rsid w:val="451E392D"/>
    <w:rsid w:val="46593AA7"/>
    <w:rsid w:val="46641814"/>
    <w:rsid w:val="471B1FD9"/>
    <w:rsid w:val="477B1E7C"/>
    <w:rsid w:val="47E32C0C"/>
    <w:rsid w:val="47F72214"/>
    <w:rsid w:val="482E20D9"/>
    <w:rsid w:val="48390ED1"/>
    <w:rsid w:val="489A776F"/>
    <w:rsid w:val="49340969"/>
    <w:rsid w:val="4A314C56"/>
    <w:rsid w:val="4A747123"/>
    <w:rsid w:val="4B6C50E2"/>
    <w:rsid w:val="4C20442F"/>
    <w:rsid w:val="4C2C153D"/>
    <w:rsid w:val="4CA92ED0"/>
    <w:rsid w:val="4CF51418"/>
    <w:rsid w:val="4E20297D"/>
    <w:rsid w:val="4E2B70BB"/>
    <w:rsid w:val="4E9D3820"/>
    <w:rsid w:val="4F0F42E7"/>
    <w:rsid w:val="4F4F0B87"/>
    <w:rsid w:val="504E1850"/>
    <w:rsid w:val="505855B9"/>
    <w:rsid w:val="508605D9"/>
    <w:rsid w:val="508825A3"/>
    <w:rsid w:val="5099655E"/>
    <w:rsid w:val="50A725E9"/>
    <w:rsid w:val="51295B34"/>
    <w:rsid w:val="514B7512"/>
    <w:rsid w:val="514C1822"/>
    <w:rsid w:val="51563E97"/>
    <w:rsid w:val="517E1C18"/>
    <w:rsid w:val="518A10D2"/>
    <w:rsid w:val="51BD38CA"/>
    <w:rsid w:val="51E25CE3"/>
    <w:rsid w:val="51FD48CA"/>
    <w:rsid w:val="527F1783"/>
    <w:rsid w:val="52E737B8"/>
    <w:rsid w:val="53371980"/>
    <w:rsid w:val="53476745"/>
    <w:rsid w:val="53B81F63"/>
    <w:rsid w:val="54372316"/>
    <w:rsid w:val="545509EE"/>
    <w:rsid w:val="55A51501"/>
    <w:rsid w:val="56110247"/>
    <w:rsid w:val="56585F78"/>
    <w:rsid w:val="56810C41"/>
    <w:rsid w:val="568234D0"/>
    <w:rsid w:val="575A4079"/>
    <w:rsid w:val="58086DF8"/>
    <w:rsid w:val="5818245E"/>
    <w:rsid w:val="58AC2BA6"/>
    <w:rsid w:val="58B82BD2"/>
    <w:rsid w:val="592B6E1F"/>
    <w:rsid w:val="596C0CB3"/>
    <w:rsid w:val="59EF0550"/>
    <w:rsid w:val="5A105AE3"/>
    <w:rsid w:val="5B8175B1"/>
    <w:rsid w:val="5BAD7C14"/>
    <w:rsid w:val="5BB8472C"/>
    <w:rsid w:val="5C1C28CE"/>
    <w:rsid w:val="5C8005D2"/>
    <w:rsid w:val="5D1E5865"/>
    <w:rsid w:val="5D2B2C34"/>
    <w:rsid w:val="5D66733F"/>
    <w:rsid w:val="5D717B9C"/>
    <w:rsid w:val="5D76403C"/>
    <w:rsid w:val="5EF153BA"/>
    <w:rsid w:val="5F9605FB"/>
    <w:rsid w:val="5FB46F10"/>
    <w:rsid w:val="5FCB3EDE"/>
    <w:rsid w:val="601C1153"/>
    <w:rsid w:val="61F730E4"/>
    <w:rsid w:val="623C47AA"/>
    <w:rsid w:val="625E65A5"/>
    <w:rsid w:val="63234928"/>
    <w:rsid w:val="63315910"/>
    <w:rsid w:val="63E56E61"/>
    <w:rsid w:val="647E7AED"/>
    <w:rsid w:val="65617249"/>
    <w:rsid w:val="658924EB"/>
    <w:rsid w:val="67000C8D"/>
    <w:rsid w:val="678B0249"/>
    <w:rsid w:val="67F13E67"/>
    <w:rsid w:val="684D7F02"/>
    <w:rsid w:val="68617509"/>
    <w:rsid w:val="687F139E"/>
    <w:rsid w:val="692626AB"/>
    <w:rsid w:val="694641F3"/>
    <w:rsid w:val="694E3F32"/>
    <w:rsid w:val="69A55B1C"/>
    <w:rsid w:val="6B21130D"/>
    <w:rsid w:val="6BA918F3"/>
    <w:rsid w:val="6BAB5A1A"/>
    <w:rsid w:val="6BE17C88"/>
    <w:rsid w:val="6BF34B5F"/>
    <w:rsid w:val="6C0979E0"/>
    <w:rsid w:val="6C71128E"/>
    <w:rsid w:val="6C893DAB"/>
    <w:rsid w:val="6D3671B7"/>
    <w:rsid w:val="6D5E02EA"/>
    <w:rsid w:val="6EC407F2"/>
    <w:rsid w:val="6EF10793"/>
    <w:rsid w:val="6F03756C"/>
    <w:rsid w:val="6F043A22"/>
    <w:rsid w:val="6F095BAB"/>
    <w:rsid w:val="6F455122"/>
    <w:rsid w:val="6FB61E83"/>
    <w:rsid w:val="72C67A01"/>
    <w:rsid w:val="72E96A79"/>
    <w:rsid w:val="72F524C9"/>
    <w:rsid w:val="732E26DE"/>
    <w:rsid w:val="73922C6D"/>
    <w:rsid w:val="73F73575"/>
    <w:rsid w:val="74934F0B"/>
    <w:rsid w:val="74F1463C"/>
    <w:rsid w:val="752244C4"/>
    <w:rsid w:val="7533222E"/>
    <w:rsid w:val="753E5FF6"/>
    <w:rsid w:val="77057D06"/>
    <w:rsid w:val="77444892"/>
    <w:rsid w:val="77465356"/>
    <w:rsid w:val="78126A72"/>
    <w:rsid w:val="782D11B6"/>
    <w:rsid w:val="789D4075"/>
    <w:rsid w:val="78BA2027"/>
    <w:rsid w:val="79273E57"/>
    <w:rsid w:val="79314CD6"/>
    <w:rsid w:val="7A081C66"/>
    <w:rsid w:val="7A1C7734"/>
    <w:rsid w:val="7A432F13"/>
    <w:rsid w:val="7A5769BE"/>
    <w:rsid w:val="7A717563"/>
    <w:rsid w:val="7A9E5FB6"/>
    <w:rsid w:val="7B3B008E"/>
    <w:rsid w:val="7C156B31"/>
    <w:rsid w:val="7CBB1019"/>
    <w:rsid w:val="7CFC4DA3"/>
    <w:rsid w:val="7E1B69E2"/>
    <w:rsid w:val="7F007CC9"/>
    <w:rsid w:val="7F3D43D5"/>
    <w:rsid w:val="7FD71DDB"/>
    <w:rsid w:val="7FEE39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99" w:semiHidden="0" w:name="heading 4"/>
    <w:lsdException w:qFormat="1" w:uiPriority="0" w:name="heading 5"/>
    <w:lsdException w:qFormat="1" w:uiPriority="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9">
    <w:name w:val="heading 1"/>
    <w:basedOn w:val="1"/>
    <w:next w:val="1"/>
    <w:qFormat/>
    <w:uiPriority w:val="1"/>
    <w:pPr>
      <w:ind w:right="19"/>
      <w:jc w:val="center"/>
      <w:outlineLvl w:val="0"/>
    </w:pPr>
    <w:rPr>
      <w:rFonts w:ascii="宋体" w:hAnsi="宋体" w:eastAsia="宋体" w:cs="宋体"/>
      <w:b/>
      <w:bCs/>
      <w:sz w:val="28"/>
      <w:szCs w:val="28"/>
    </w:rPr>
  </w:style>
  <w:style w:type="paragraph" w:styleId="10">
    <w:name w:val="heading 2"/>
    <w:basedOn w:val="1"/>
    <w:next w:val="1"/>
    <w:qFormat/>
    <w:uiPriority w:val="1"/>
    <w:pPr>
      <w:ind w:left="3553"/>
      <w:outlineLvl w:val="1"/>
    </w:pPr>
    <w:rPr>
      <w:rFonts w:ascii="黑体" w:hAnsi="黑体" w:eastAsia="黑体" w:cs="黑体"/>
      <w:sz w:val="28"/>
      <w:szCs w:val="28"/>
    </w:rPr>
  </w:style>
  <w:style w:type="paragraph" w:styleId="11">
    <w:name w:val="heading 3"/>
    <w:basedOn w:val="1"/>
    <w:next w:val="1"/>
    <w:qFormat/>
    <w:uiPriority w:val="1"/>
    <w:pPr>
      <w:spacing w:before="60"/>
      <w:ind w:left="273"/>
      <w:outlineLvl w:val="2"/>
    </w:pPr>
    <w:rPr>
      <w:rFonts w:ascii="宋体" w:hAnsi="宋体" w:eastAsia="宋体" w:cs="宋体"/>
      <w:sz w:val="29"/>
      <w:szCs w:val="29"/>
    </w:rPr>
  </w:style>
  <w:style w:type="paragraph" w:styleId="12">
    <w:name w:val="heading 4"/>
    <w:basedOn w:val="1"/>
    <w:next w:val="1"/>
    <w:qFormat/>
    <w:uiPriority w:val="99"/>
    <w:pPr>
      <w:keepNext/>
      <w:outlineLvl w:val="3"/>
    </w:pPr>
    <w:rPr>
      <w:b/>
      <w:bCs/>
      <w:kern w:val="0"/>
      <w:sz w:val="24"/>
      <w:szCs w:val="24"/>
    </w:rPr>
  </w:style>
  <w:style w:type="paragraph" w:styleId="13">
    <w:name w:val="heading 7"/>
    <w:basedOn w:val="1"/>
    <w:next w:val="1"/>
    <w:qFormat/>
    <w:uiPriority w:val="1"/>
    <w:pPr>
      <w:ind w:left="748" w:hanging="420"/>
      <w:outlineLvl w:val="6"/>
    </w:pPr>
    <w:rPr>
      <w:rFonts w:ascii="宋体" w:hAnsi="宋体" w:eastAsia="宋体" w:cs="宋体"/>
      <w:b/>
      <w:bCs/>
      <w:sz w:val="21"/>
      <w:szCs w:val="21"/>
    </w:rPr>
  </w:style>
  <w:style w:type="character" w:default="1" w:styleId="23">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6"/>
    <w:qFormat/>
    <w:uiPriority w:val="0"/>
    <w:pPr>
      <w:ind w:firstLine="420" w:firstLineChars="100"/>
    </w:pPr>
  </w:style>
  <w:style w:type="paragraph" w:styleId="3">
    <w:name w:val="Body Text"/>
    <w:basedOn w:val="1"/>
    <w:next w:val="4"/>
    <w:qFormat/>
    <w:uiPriority w:val="1"/>
    <w:rPr>
      <w:rFonts w:ascii="宋体" w:hAnsi="宋体" w:eastAsia="宋体" w:cs="宋体"/>
      <w:sz w:val="23"/>
      <w:szCs w:val="23"/>
    </w:rPr>
  </w:style>
  <w:style w:type="paragraph" w:customStyle="1" w:styleId="4">
    <w:name w:val="Default"/>
    <w:next w:val="5"/>
    <w:qFormat/>
    <w:uiPriority w:val="0"/>
    <w:pPr>
      <w:widowControl w:val="0"/>
      <w:autoSpaceDE w:val="0"/>
      <w:autoSpaceDN w:val="0"/>
      <w:adjustRightInd w:val="0"/>
    </w:pPr>
    <w:rPr>
      <w:rFonts w:ascii="Tahoma" w:hAnsi="Tahoma" w:eastAsia="宋体" w:cs="Tahoma"/>
      <w:color w:val="000000"/>
      <w:sz w:val="24"/>
      <w:szCs w:val="24"/>
      <w:lang w:val="en-US" w:eastAsia="zh-CN" w:bidi="ar-SA"/>
    </w:rPr>
  </w:style>
  <w:style w:type="paragraph" w:customStyle="1" w:styleId="5">
    <w:name w:val="大标题"/>
    <w:basedOn w:val="1"/>
    <w:next w:val="6"/>
    <w:qFormat/>
    <w:uiPriority w:val="0"/>
    <w:pPr>
      <w:pageBreakBefore/>
      <w:spacing w:after="200" w:line="720" w:lineRule="auto"/>
      <w:jc w:val="center"/>
      <w:outlineLvl w:val="0"/>
    </w:pPr>
    <w:rPr>
      <w:rFonts w:ascii="黑体" w:hAnsi="Calibri" w:eastAsia="黑体"/>
      <w:sz w:val="32"/>
      <w:szCs w:val="30"/>
      <w:lang w:eastAsia="en-US" w:bidi="en-US"/>
    </w:rPr>
  </w:style>
  <w:style w:type="paragraph" w:styleId="6">
    <w:name w:val="Body Text First Indent 2"/>
    <w:basedOn w:val="7"/>
    <w:next w:val="1"/>
    <w:qFormat/>
    <w:uiPriority w:val="0"/>
    <w:pPr>
      <w:ind w:firstLine="420" w:firstLineChars="200"/>
    </w:pPr>
    <w:rPr>
      <w:rFonts w:ascii="Times New Roman" w:hAnsi="Times New Roman" w:eastAsia="宋体" w:cs="Times New Roman"/>
    </w:rPr>
  </w:style>
  <w:style w:type="paragraph" w:styleId="7">
    <w:name w:val="Body Text Indent"/>
    <w:basedOn w:val="1"/>
    <w:next w:val="8"/>
    <w:qFormat/>
    <w:uiPriority w:val="0"/>
    <w:pPr>
      <w:adjustRightInd w:val="0"/>
      <w:ind w:left="960"/>
      <w:jc w:val="left"/>
      <w:textAlignment w:val="baseline"/>
    </w:pPr>
    <w:rPr>
      <w:rFonts w:ascii="楷体_GB2312" w:eastAsia="楷体_GB2312"/>
      <w:kern w:val="0"/>
      <w:sz w:val="28"/>
      <w:szCs w:val="20"/>
    </w:rPr>
  </w:style>
  <w:style w:type="paragraph" w:styleId="8">
    <w:name w:val="envelope return"/>
    <w:basedOn w:val="1"/>
    <w:qFormat/>
    <w:uiPriority w:val="0"/>
    <w:pPr>
      <w:snapToGrid w:val="0"/>
    </w:pPr>
    <w:rPr>
      <w:rFonts w:ascii="Arial" w:hAnsi="Arial"/>
    </w:rPr>
  </w:style>
  <w:style w:type="paragraph" w:styleId="14">
    <w:name w:val="annotation text"/>
    <w:basedOn w:val="1"/>
    <w:qFormat/>
    <w:uiPriority w:val="0"/>
    <w:pPr>
      <w:jc w:val="left"/>
    </w:pPr>
    <w:rPr>
      <w:rFonts w:ascii="Times New Roman" w:hAnsi="Times New Roman" w:eastAsia="宋体" w:cs="Times New Roman"/>
    </w:rPr>
  </w:style>
  <w:style w:type="paragraph" w:styleId="15">
    <w:name w:val="Plain Text"/>
    <w:basedOn w:val="1"/>
    <w:qFormat/>
    <w:uiPriority w:val="0"/>
    <w:rPr>
      <w:rFonts w:ascii="宋体" w:hAnsi="Courier New" w:cs="Courier New"/>
      <w:szCs w:val="21"/>
    </w:rPr>
  </w:style>
  <w:style w:type="paragraph" w:styleId="16">
    <w:name w:val="Body Text Indent 2"/>
    <w:basedOn w:val="1"/>
    <w:unhideWhenUsed/>
    <w:qFormat/>
    <w:uiPriority w:val="99"/>
    <w:pPr>
      <w:spacing w:after="120" w:line="480" w:lineRule="auto"/>
      <w:ind w:left="420" w:leftChars="200"/>
      <w:jc w:val="both"/>
    </w:pPr>
    <w:rPr>
      <w:sz w:val="21"/>
      <w:szCs w:val="24"/>
    </w:rPr>
  </w:style>
  <w:style w:type="paragraph" w:styleId="17">
    <w:name w:val="footer"/>
    <w:basedOn w:val="1"/>
    <w:unhideWhenUsed/>
    <w:qFormat/>
    <w:uiPriority w:val="0"/>
    <w:pPr>
      <w:tabs>
        <w:tab w:val="center" w:pos="4153"/>
        <w:tab w:val="right" w:pos="8306"/>
      </w:tabs>
      <w:snapToGrid w:val="0"/>
      <w:jc w:val="left"/>
    </w:pPr>
    <w:rPr>
      <w:sz w:val="18"/>
      <w:szCs w:val="18"/>
    </w:rPr>
  </w:style>
  <w:style w:type="paragraph" w:styleId="1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9">
    <w:name w:val="toc 1"/>
    <w:basedOn w:val="1"/>
    <w:next w:val="1"/>
    <w:qFormat/>
    <w:uiPriority w:val="0"/>
  </w:style>
  <w:style w:type="paragraph" w:styleId="2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96" w:lineRule="atLeast"/>
      <w:jc w:val="left"/>
    </w:pPr>
    <w:rPr>
      <w:rFonts w:ascii="Arial" w:hAnsi="Arial" w:cs="Arial"/>
      <w:kern w:val="0"/>
      <w:sz w:val="25"/>
      <w:szCs w:val="25"/>
    </w:rPr>
  </w:style>
  <w:style w:type="table" w:styleId="22">
    <w:name w:val="Table Grid"/>
    <w:basedOn w:val="21"/>
    <w:qFormat/>
    <w:uiPriority w:val="59"/>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basedOn w:val="23"/>
    <w:qFormat/>
    <w:uiPriority w:val="0"/>
    <w:rPr>
      <w:b/>
      <w:bCs/>
    </w:rPr>
  </w:style>
  <w:style w:type="character" w:styleId="25">
    <w:name w:val="FollowedHyperlink"/>
    <w:basedOn w:val="23"/>
    <w:qFormat/>
    <w:uiPriority w:val="0"/>
    <w:rPr>
      <w:color w:val="800080"/>
      <w:u w:val="none"/>
    </w:rPr>
  </w:style>
  <w:style w:type="character" w:styleId="26">
    <w:name w:val="Emphasis"/>
    <w:basedOn w:val="23"/>
    <w:qFormat/>
    <w:uiPriority w:val="0"/>
    <w:rPr>
      <w:b/>
      <w:bCs/>
    </w:rPr>
  </w:style>
  <w:style w:type="character" w:styleId="27">
    <w:name w:val="HTML Definition"/>
    <w:basedOn w:val="23"/>
    <w:qFormat/>
    <w:uiPriority w:val="0"/>
  </w:style>
  <w:style w:type="character" w:styleId="28">
    <w:name w:val="HTML Typewriter"/>
    <w:basedOn w:val="23"/>
    <w:qFormat/>
    <w:uiPriority w:val="0"/>
    <w:rPr>
      <w:rFonts w:ascii="monospace" w:hAnsi="monospace" w:eastAsia="monospace" w:cs="monospace"/>
      <w:sz w:val="18"/>
      <w:szCs w:val="18"/>
      <w:bdr w:val="single" w:color="D2D2D2" w:sz="2" w:space="0"/>
    </w:rPr>
  </w:style>
  <w:style w:type="character" w:styleId="29">
    <w:name w:val="HTML Acronym"/>
    <w:basedOn w:val="23"/>
    <w:qFormat/>
    <w:uiPriority w:val="0"/>
  </w:style>
  <w:style w:type="character" w:styleId="30">
    <w:name w:val="HTML Variable"/>
    <w:basedOn w:val="23"/>
    <w:qFormat/>
    <w:uiPriority w:val="0"/>
    <w:rPr>
      <w:shd w:val="clear" w:fill="FFFFFF"/>
    </w:rPr>
  </w:style>
  <w:style w:type="character" w:styleId="31">
    <w:name w:val="Hyperlink"/>
    <w:basedOn w:val="23"/>
    <w:qFormat/>
    <w:uiPriority w:val="0"/>
    <w:rPr>
      <w:color w:val="0000FF"/>
      <w:u w:val="none"/>
    </w:rPr>
  </w:style>
  <w:style w:type="character" w:styleId="32">
    <w:name w:val="HTML Code"/>
    <w:basedOn w:val="23"/>
    <w:qFormat/>
    <w:uiPriority w:val="0"/>
    <w:rPr>
      <w:rFonts w:hint="default" w:ascii="monospace" w:hAnsi="monospace" w:eastAsia="monospace" w:cs="monospace"/>
      <w:sz w:val="20"/>
    </w:rPr>
  </w:style>
  <w:style w:type="character" w:styleId="33">
    <w:name w:val="HTML Cite"/>
    <w:basedOn w:val="23"/>
    <w:qFormat/>
    <w:uiPriority w:val="0"/>
  </w:style>
  <w:style w:type="character" w:styleId="34">
    <w:name w:val="HTML Keyboard"/>
    <w:basedOn w:val="23"/>
    <w:qFormat/>
    <w:uiPriority w:val="0"/>
    <w:rPr>
      <w:rFonts w:hint="default" w:ascii="monospace" w:hAnsi="monospace" w:eastAsia="monospace" w:cs="monospace"/>
      <w:sz w:val="20"/>
    </w:rPr>
  </w:style>
  <w:style w:type="character" w:styleId="35">
    <w:name w:val="HTML Sample"/>
    <w:basedOn w:val="23"/>
    <w:qFormat/>
    <w:uiPriority w:val="0"/>
    <w:rPr>
      <w:rFonts w:hint="default" w:ascii="monospace" w:hAnsi="monospace" w:eastAsia="monospace" w:cs="monospace"/>
    </w:rPr>
  </w:style>
  <w:style w:type="paragraph" w:customStyle="1" w:styleId="36">
    <w:name w:val="信息标题1"/>
    <w:basedOn w:val="1"/>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cs="黑体"/>
      <w:shd w:val="pct20" w:color="auto" w:fill="auto"/>
    </w:rPr>
  </w:style>
  <w:style w:type="paragraph" w:customStyle="1" w:styleId="37">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customStyle="1" w:styleId="38">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9">
    <w:name w:val="样式 样式 行距: 1.5 倍行距 + 首行缩进:  2 字符"/>
    <w:next w:val="3"/>
    <w:qFormat/>
    <w:uiPriority w:val="0"/>
    <w:pPr>
      <w:widowControl w:val="0"/>
      <w:spacing w:line="360" w:lineRule="auto"/>
      <w:ind w:firstLine="200" w:firstLineChars="200"/>
      <w:jc w:val="both"/>
    </w:pPr>
    <w:rPr>
      <w:rFonts w:ascii="Times New Roman" w:hAnsi="Times New Roman" w:eastAsia="宋体" w:cs="宋体"/>
      <w:kern w:val="2"/>
      <w:sz w:val="24"/>
      <w:szCs w:val="21"/>
      <w:lang w:val="en-US" w:eastAsia="zh-CN" w:bidi="ar-SA"/>
    </w:rPr>
  </w:style>
  <w:style w:type="paragraph" w:customStyle="1" w:styleId="40">
    <w:name w:val="Table Paragraph"/>
    <w:basedOn w:val="1"/>
    <w:qFormat/>
    <w:uiPriority w:val="1"/>
    <w:rPr>
      <w:rFonts w:ascii="宋体" w:hAnsi="宋体" w:eastAsia="宋体" w:cs="宋体"/>
    </w:rPr>
  </w:style>
  <w:style w:type="paragraph" w:styleId="41">
    <w:name w:val="List Paragraph"/>
    <w:basedOn w:val="1"/>
    <w:qFormat/>
    <w:uiPriority w:val="1"/>
    <w:pPr>
      <w:ind w:left="1182" w:hanging="483"/>
    </w:pPr>
    <w:rPr>
      <w:rFonts w:ascii="宋体" w:hAnsi="宋体" w:eastAsia="宋体" w:cs="宋体"/>
    </w:rPr>
  </w:style>
  <w:style w:type="paragraph" w:customStyle="1" w:styleId="42">
    <w:name w:val="_Style 1"/>
    <w:basedOn w:val="1"/>
    <w:qFormat/>
    <w:uiPriority w:val="34"/>
    <w:pPr>
      <w:ind w:firstLine="420" w:firstLineChars="200"/>
    </w:pPr>
  </w:style>
  <w:style w:type="character" w:customStyle="1" w:styleId="43">
    <w:name w:val="hover1"/>
    <w:basedOn w:val="23"/>
    <w:qFormat/>
    <w:uiPriority w:val="0"/>
    <w:rPr>
      <w:color w:val="2590EB"/>
    </w:rPr>
  </w:style>
  <w:style w:type="character" w:customStyle="1" w:styleId="44">
    <w:name w:val="hover2"/>
    <w:basedOn w:val="23"/>
    <w:qFormat/>
    <w:uiPriority w:val="0"/>
    <w:rPr>
      <w:color w:val="2590EB"/>
    </w:rPr>
  </w:style>
  <w:style w:type="character" w:customStyle="1" w:styleId="45">
    <w:name w:val="hover3"/>
    <w:basedOn w:val="23"/>
    <w:qFormat/>
    <w:uiPriority w:val="0"/>
  </w:style>
  <w:style w:type="character" w:customStyle="1" w:styleId="46">
    <w:name w:val="mini-outputtext1"/>
    <w:basedOn w:val="23"/>
    <w:qFormat/>
    <w:uiPriority w:val="0"/>
  </w:style>
  <w:style w:type="character" w:customStyle="1" w:styleId="47">
    <w:name w:val="hover"/>
    <w:basedOn w:val="23"/>
    <w:qFormat/>
    <w:uiPriority w:val="0"/>
    <w:rPr>
      <w:color w:val="2590EB"/>
    </w:rPr>
  </w:style>
  <w:style w:type="paragraph" w:customStyle="1" w:styleId="48">
    <w:name w:val="WPSOffice手动目录 1"/>
    <w:qFormat/>
    <w:uiPriority w:val="0"/>
    <w:pPr>
      <w:ind w:leftChars="0"/>
    </w:pPr>
    <w:rPr>
      <w:rFonts w:ascii="Times New Roman" w:hAnsi="Times New Roman" w:eastAsia="宋体" w:cs="Times New Roman"/>
      <w:sz w:val="20"/>
      <w:szCs w:val="20"/>
    </w:rPr>
  </w:style>
  <w:style w:type="paragraph" w:customStyle="1" w:styleId="49">
    <w:name w:val="Table Text"/>
    <w:basedOn w:val="1"/>
    <w:semiHidden/>
    <w:qFormat/>
    <w:uiPriority w:val="0"/>
    <w:rPr>
      <w:rFonts w:ascii="仿宋" w:hAnsi="仿宋" w:eastAsia="仿宋" w:cs="仿宋"/>
      <w:sz w:val="24"/>
      <w:szCs w:val="24"/>
      <w:lang w:val="en-US" w:eastAsia="en-US" w:bidi="ar-SA"/>
    </w:rPr>
  </w:style>
  <w:style w:type="table" w:customStyle="1" w:styleId="50">
    <w:name w:val="Table Normal"/>
    <w:semiHidden/>
    <w:unhideWhenUsed/>
    <w:qFormat/>
    <w:uiPriority w:val="0"/>
    <w:tblPr>
      <w:tblCellMar>
        <w:top w:w="0" w:type="dxa"/>
        <w:left w:w="0" w:type="dxa"/>
        <w:bottom w:w="0" w:type="dxa"/>
        <w:right w:w="0" w:type="dxa"/>
      </w:tblCellMar>
    </w:tblPr>
  </w:style>
  <w:style w:type="character" w:customStyle="1" w:styleId="51">
    <w:name w:val="layui-layer-tabnow"/>
    <w:basedOn w:val="23"/>
    <w:qFormat/>
    <w:uiPriority w:val="0"/>
    <w:rPr>
      <w:bdr w:val="single" w:color="CCCCCC" w:sz="6" w:space="0"/>
      <w:shd w:val="clear" w:fill="FFFFFF"/>
    </w:rPr>
  </w:style>
  <w:style w:type="character" w:customStyle="1" w:styleId="52">
    <w:name w:val="first-child"/>
    <w:basedOn w:val="23"/>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49</Pages>
  <Words>20419</Words>
  <Characters>21994</Characters>
  <Lines>0</Lines>
  <Paragraphs>0</Paragraphs>
  <TotalTime>13</TotalTime>
  <ScaleCrop>false</ScaleCrop>
  <LinksUpToDate>false</LinksUpToDate>
  <CharactersWithSpaces>22530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2024-06-01T08:48:00Z</dcterms:created>
  <dc:creator>李扬</dc:creator>
  <cp:lastModifiedBy>李扬</cp:lastModifiedBy>
  <cp:lastPrinted>2025-09-17T03:51:00Z</cp:lastPrinted>
  <dcterms:modified xsi:type="dcterms:W3CDTF">2025-12-30T09:15:46Z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99AD6E859A5648CCB250A3377A3C0CD6_13</vt:lpwstr>
  </property>
  <property fmtid="{D5CDD505-2E9C-101B-9397-08002B2CF9AE}" pid="4" name="KSOTemplateDocerSaveRecord">
    <vt:lpwstr>eyJoZGlkIjoiOWVjNTAyZTJmOTk5YjJjMzg5ZWM5MjdhMWFkZjhkYzQiLCJ1c2VySWQiOiI0MzczODk0NzkifQ==</vt:lpwstr>
  </property>
</Properties>
</file>