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B5951">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t>三门峡市渑池县S312K365+700-K365+850段等2处灾害防治工程</w:t>
      </w:r>
    </w:p>
    <w:p w14:paraId="0470D751">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4D20649A">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color w:val="auto"/>
          <w:kern w:val="2"/>
          <w:sz w:val="22"/>
          <w:szCs w:val="22"/>
          <w:highlight w:val="none"/>
          <w:shd w:val="clear" w:color="auto" w:fill="FFFFFF"/>
          <w:lang w:eastAsia="zh-CN"/>
        </w:rPr>
        <w:drawing>
          <wp:inline distT="0" distB="0" distL="114300" distR="114300">
            <wp:extent cx="2630170" cy="2837180"/>
            <wp:effectExtent l="0" t="0" r="17780" b="1270"/>
            <wp:docPr id="4" name="图片 1" descr="992f9bfd8c261eee5121feb4fbd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992f9bfd8c261eee5121feb4fbd4518"/>
                    <pic:cNvPicPr>
                      <a:picLocks noChangeAspect="1"/>
                    </pic:cNvPicPr>
                  </pic:nvPicPr>
                  <pic:blipFill>
                    <a:blip r:embed="rId8"/>
                    <a:stretch>
                      <a:fillRect/>
                    </a:stretch>
                  </pic:blipFill>
                  <pic:spPr>
                    <a:xfrm>
                      <a:off x="0" y="0"/>
                      <a:ext cx="2630170" cy="2837180"/>
                    </a:xfrm>
                    <a:prstGeom prst="rect">
                      <a:avLst/>
                    </a:prstGeom>
                    <a:noFill/>
                    <a:ln>
                      <a:noFill/>
                    </a:ln>
                  </pic:spPr>
                </pic:pic>
              </a:graphicData>
            </a:graphic>
          </wp:inline>
        </w:drawing>
      </w: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5DD715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54BF90B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渑池县公路局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河南省中塍建设管理有限公司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十二</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w:t>
          </w:r>
          <w:r>
            <w:rPr>
              <w:rFonts w:hint="eastAsia"/>
              <w:color w:val="auto"/>
              <w:sz w:val="28"/>
              <w:szCs w:val="36"/>
              <w:highlight w:val="none"/>
              <w:lang w:val="en-US" w:eastAsia="zh-CN"/>
            </w:rPr>
            <w:t xml:space="preserve"> </w:t>
          </w:r>
          <w:r>
            <w:rPr>
              <w:color w:val="auto"/>
              <w:sz w:val="28"/>
              <w:szCs w:val="36"/>
              <w:highlight w:val="none"/>
            </w:rPr>
            <w:t>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w:t>
          </w:r>
          <w:r>
            <w:rPr>
              <w:rFonts w:hint="eastAsia"/>
              <w:color w:val="auto"/>
              <w:sz w:val="28"/>
              <w:szCs w:val="36"/>
              <w:highlight w:val="none"/>
              <w:lang w:val="en-US" w:eastAsia="zh-CN"/>
            </w:rPr>
            <w:t xml:space="preserve"> </w:t>
          </w:r>
          <w:r>
            <w:rPr>
              <w:color w:val="auto"/>
              <w:sz w:val="28"/>
              <w:szCs w:val="36"/>
              <w:highlight w:val="none"/>
            </w:rPr>
            <w:t>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jc w:val="distribute"/>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w:t>
          </w:r>
          <w:r>
            <w:rPr>
              <w:rFonts w:hint="eastAsia"/>
              <w:color w:val="auto"/>
              <w:sz w:val="28"/>
              <w:szCs w:val="44"/>
              <w:highlight w:val="none"/>
              <w:lang w:val="en-US" w:eastAsia="zh-CN"/>
            </w:rPr>
            <w:t xml:space="preserve"> </w:t>
          </w:r>
          <w:r>
            <w:rPr>
              <w:color w:val="auto"/>
              <w:sz w:val="28"/>
              <w:szCs w:val="44"/>
              <w:highlight w:val="none"/>
            </w:rPr>
            <w:t>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5"/>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三门峡市渑池县S312线K365+700-K365+850段等2处灾害防治工程</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1月13日08时20分</w:t>
      </w:r>
      <w:r>
        <w:rPr>
          <w:rFonts w:hint="eastAsia" w:ascii="宋体" w:hAnsi="宋体" w:eastAsia="宋体" w:cs="宋体"/>
          <w:color w:val="auto"/>
          <w:kern w:val="0"/>
          <w:sz w:val="24"/>
          <w:szCs w:val="24"/>
          <w:highlight w:val="none"/>
          <w:lang w:eastAsia="zh-CN"/>
        </w:rPr>
        <w:t>（北京时间）前递交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渑池竞磋采购-2025-185</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MCGZ[2025]313-ZC246</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三门峡市渑池县S312线K365+700-K365+850段等2处灾害防治工程</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3088838.28</w:t>
      </w:r>
      <w:r>
        <w:rPr>
          <w:rFonts w:hint="eastAsia" w:ascii="宋体" w:hAnsi="宋体" w:eastAsia="宋体" w:cs="宋体"/>
          <w:color w:val="auto"/>
          <w:kern w:val="0"/>
          <w:sz w:val="24"/>
          <w:szCs w:val="24"/>
          <w:highlight w:val="none"/>
          <w:lang w:val="en-US" w:eastAsia="zh-CN"/>
        </w:rPr>
        <w:t xml:space="preserve">元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3088838.28</w:t>
      </w:r>
      <w:r>
        <w:rPr>
          <w:rFonts w:hint="eastAsia" w:ascii="宋体" w:hAnsi="宋体" w:eastAsia="宋体" w:cs="宋体"/>
          <w:color w:val="auto"/>
          <w:kern w:val="0"/>
          <w:sz w:val="24"/>
          <w:szCs w:val="24"/>
          <w:highlight w:val="none"/>
          <w:lang w:val="en-US" w:eastAsia="zh-CN"/>
        </w:rPr>
        <w:t>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562"/>
        <w:gridCol w:w="1638"/>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562"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638"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MCGZ[2025]313-ZC246</w:t>
            </w:r>
          </w:p>
        </w:tc>
        <w:tc>
          <w:tcPr>
            <w:tcW w:w="2562"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三门峡市渑池县S312线K365+700-K365+850段等2处灾害防治工程</w:t>
            </w:r>
          </w:p>
        </w:tc>
        <w:tc>
          <w:tcPr>
            <w:tcW w:w="1638"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3088838.28</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3088838.28</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三门峡市渑池县S312线K365+700-K365+850段等2处灾害防治工程</w:t>
      </w:r>
      <w:r>
        <w:rPr>
          <w:rFonts w:hint="eastAsia" w:ascii="宋体" w:hAnsi="宋体" w:eastAsia="宋体" w:cs="宋体"/>
          <w:color w:val="auto"/>
          <w:kern w:val="0"/>
          <w:sz w:val="24"/>
          <w:szCs w:val="24"/>
          <w:highlight w:val="none"/>
          <w:lang w:val="en-US" w:eastAsia="zh-CN"/>
        </w:rPr>
        <w:t>，位于三门峡市</w:t>
      </w:r>
      <w:r>
        <w:rPr>
          <w:rFonts w:hint="eastAsia" w:ascii="宋体" w:hAnsi="宋体" w:cs="宋体"/>
          <w:color w:val="auto"/>
          <w:kern w:val="0"/>
          <w:sz w:val="24"/>
          <w:szCs w:val="24"/>
          <w:highlight w:val="none"/>
          <w:lang w:val="en-US" w:eastAsia="zh-CN"/>
        </w:rPr>
        <w:t>渑池县</w:t>
      </w:r>
      <w:r>
        <w:rPr>
          <w:rFonts w:hint="eastAsia" w:ascii="宋体" w:hAnsi="宋体" w:eastAsia="宋体" w:cs="宋体"/>
          <w:color w:val="auto"/>
          <w:kern w:val="0"/>
          <w:sz w:val="24"/>
          <w:szCs w:val="24"/>
          <w:highlight w:val="none"/>
          <w:lang w:val="en-US" w:eastAsia="zh-CN"/>
        </w:rPr>
        <w:t>，主要内容为</w:t>
      </w:r>
      <w:r>
        <w:rPr>
          <w:rFonts w:hint="eastAsia" w:ascii="宋体" w:hAnsi="宋体" w:cs="宋体"/>
          <w:color w:val="auto"/>
          <w:kern w:val="0"/>
          <w:sz w:val="24"/>
          <w:szCs w:val="24"/>
          <w:highlight w:val="none"/>
          <w:lang w:val="en-US" w:eastAsia="zh-CN"/>
        </w:rPr>
        <w:t>灾害点防治</w:t>
      </w:r>
      <w:r>
        <w:rPr>
          <w:rFonts w:hint="eastAsia" w:ascii="宋体" w:hAnsi="宋体" w:eastAsia="宋体" w:cs="宋体"/>
          <w:color w:val="auto"/>
          <w:kern w:val="0"/>
          <w:sz w:val="24"/>
          <w:szCs w:val="24"/>
          <w:highlight w:val="none"/>
          <w:lang w:val="en-US" w:eastAsia="zh-CN"/>
        </w:rPr>
        <w:t>工程</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渑池县</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120日历天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120日历天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供应商须具有交通运输部门颁发的路基路面养护乙级及以上资质，具备有效的安全生产许可证，并在人员、设备、资金等方面具有相应的施工能力</w:t>
      </w:r>
      <w:r>
        <w:rPr>
          <w:rFonts w:hint="eastAsia" w:ascii="宋体" w:hAnsi="宋体" w:eastAsia="宋体" w:cs="宋体"/>
          <w:b w:val="0"/>
          <w:i w:val="0"/>
          <w:caps w:val="0"/>
          <w:color w:val="auto"/>
          <w:spacing w:val="0"/>
          <w:w w:val="100"/>
          <w:sz w:val="24"/>
          <w:szCs w:val="24"/>
          <w:highlight w:val="none"/>
          <w:lang w:eastAsia="zh-CN"/>
        </w:rPr>
        <w:t>。</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w:t>
      </w:r>
      <w:r>
        <w:rPr>
          <w:rFonts w:hint="eastAsia" w:ascii="宋体" w:hAnsi="宋体" w:cs="宋体"/>
          <w:b w:val="0"/>
          <w:i w:val="0"/>
          <w:caps w:val="0"/>
          <w:color w:val="auto"/>
          <w:spacing w:val="0"/>
          <w:w w:val="100"/>
          <w:sz w:val="24"/>
          <w:szCs w:val="24"/>
          <w:highlight w:val="none"/>
          <w:lang w:eastAsia="zh-CN"/>
        </w:rPr>
        <w:t>（提供</w:t>
      </w:r>
      <w:r>
        <w:rPr>
          <w:rFonts w:hint="eastAsia" w:ascii="宋体" w:hAnsi="宋体" w:cs="宋体"/>
          <w:b w:val="0"/>
          <w:i w:val="0"/>
          <w:caps w:val="0"/>
          <w:color w:val="auto"/>
          <w:spacing w:val="0"/>
          <w:w w:val="100"/>
          <w:sz w:val="24"/>
          <w:szCs w:val="24"/>
          <w:highlight w:val="none"/>
          <w:lang w:val="en-US" w:eastAsia="zh-CN"/>
        </w:rPr>
        <w:t>近半年来连续3个月</w:t>
      </w:r>
      <w:r>
        <w:rPr>
          <w:rFonts w:hint="eastAsia" w:ascii="宋体" w:hAnsi="宋体" w:cs="宋体"/>
          <w:b w:val="0"/>
          <w:i w:val="0"/>
          <w:caps w:val="0"/>
          <w:color w:val="auto"/>
          <w:spacing w:val="0"/>
          <w:w w:val="100"/>
          <w:sz w:val="24"/>
          <w:szCs w:val="24"/>
          <w:highlight w:val="none"/>
          <w:lang w:eastAsia="zh-CN"/>
        </w:rPr>
        <w:t>养老保险缴纳证明），</w:t>
      </w:r>
      <w:r>
        <w:rPr>
          <w:rFonts w:hint="eastAsia" w:ascii="宋体" w:hAnsi="宋体" w:eastAsia="宋体" w:cs="宋体"/>
          <w:b w:val="0"/>
          <w:i w:val="0"/>
          <w:caps w:val="0"/>
          <w:color w:val="auto"/>
          <w:spacing w:val="0"/>
          <w:w w:val="100"/>
          <w:sz w:val="24"/>
          <w:szCs w:val="24"/>
          <w:highlight w:val="none"/>
          <w:lang w:eastAsia="zh-CN"/>
        </w:rPr>
        <w:t>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7"/>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2026年1月13日08时20分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2026年1月13日08时20分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bookmarkStart w:id="49" w:name="_GoBack"/>
      <w:bookmarkEnd w:id="49"/>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渑池县公共资源交易中心开标一室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59F0980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390224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：渑池县公路局</w:t>
      </w:r>
    </w:p>
    <w:p w14:paraId="09A37AD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地址：渑池县仰韶大街26号</w:t>
      </w:r>
    </w:p>
    <w:p w14:paraId="6BE8676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联系人：董先生</w:t>
      </w:r>
    </w:p>
    <w:p w14:paraId="5BDB6E6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联系方式：18239882517</w:t>
      </w:r>
    </w:p>
    <w:p w14:paraId="20AE36B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w:t>
      </w:r>
      <w:r>
        <w:rPr>
          <w:rFonts w:hint="eastAsia" w:ascii="宋体" w:hAnsi="宋体" w:eastAsia="宋体" w:cs="宋体"/>
          <w:color w:val="auto"/>
          <w:kern w:val="0"/>
          <w:sz w:val="24"/>
          <w:szCs w:val="24"/>
          <w:highlight w:val="none"/>
          <w:lang w:val="en-US" w:eastAsia="zh-CN"/>
        </w:rPr>
        <w:t>河南省中塍建设管理有限公司</w:t>
      </w:r>
    </w:p>
    <w:p w14:paraId="1FF4146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    址：</w:t>
      </w:r>
      <w:r>
        <w:rPr>
          <w:rFonts w:hint="eastAsia" w:ascii="宋体" w:hAnsi="宋体" w:eastAsia="宋体" w:cs="宋体"/>
          <w:color w:val="auto"/>
          <w:kern w:val="0"/>
          <w:sz w:val="24"/>
          <w:szCs w:val="24"/>
          <w:highlight w:val="none"/>
          <w:lang w:val="en-US" w:eastAsia="zh-CN"/>
        </w:rPr>
        <w:t>河南自贸试验区郑州片区（郑东）心怡路319号易元国际B座1623室</w:t>
      </w:r>
    </w:p>
    <w:p w14:paraId="56A1984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 系 人：</w:t>
      </w:r>
      <w:r>
        <w:rPr>
          <w:rFonts w:hint="eastAsia" w:ascii="宋体" w:hAnsi="宋体" w:eastAsia="宋体" w:cs="宋体"/>
          <w:color w:val="auto"/>
          <w:kern w:val="0"/>
          <w:sz w:val="24"/>
          <w:szCs w:val="24"/>
          <w:highlight w:val="none"/>
          <w:lang w:val="en-US" w:eastAsia="zh-CN"/>
        </w:rPr>
        <w:t>高先生</w:t>
      </w:r>
    </w:p>
    <w:p w14:paraId="5A3D794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联系电话：</w:t>
      </w:r>
      <w:r>
        <w:rPr>
          <w:rFonts w:hint="eastAsia" w:ascii="宋体" w:hAnsi="宋体" w:cs="宋体"/>
          <w:color w:val="auto"/>
          <w:kern w:val="0"/>
          <w:sz w:val="24"/>
          <w:szCs w:val="24"/>
          <w:highlight w:val="none"/>
          <w:lang w:val="en-US" w:eastAsia="zh-CN"/>
        </w:rPr>
        <w:t>18639859559</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3、监督单位信息：</w:t>
      </w:r>
    </w:p>
    <w:p w14:paraId="1FEA05E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监督单位：渑池县政府采购办公室</w:t>
      </w:r>
    </w:p>
    <w:p w14:paraId="3CD3B71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联系方式：0398-4818677</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5C2729DF">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渑池县公路局</w:t>
            </w:r>
          </w:p>
          <w:p w14:paraId="0502217C">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地址：渑池县仰韶大街26号</w:t>
            </w:r>
          </w:p>
          <w:p w14:paraId="05422F28">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联系人：董先生</w:t>
            </w:r>
          </w:p>
          <w:p w14:paraId="4DF4E338">
            <w:pPr>
              <w:pStyle w:val="38"/>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联系方式：18239882517</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18DAD90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采购代理机构：河南省中塍建设管理有限公司</w:t>
            </w:r>
          </w:p>
          <w:p w14:paraId="22764A3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    址：河南自贸试验区郑州片区（郑东）心怡路319号易元国际B座1623室</w:t>
            </w:r>
          </w:p>
          <w:p w14:paraId="39B1722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 系 人：高先生</w:t>
            </w:r>
          </w:p>
          <w:p w14:paraId="55B3646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联系电话：18639859559</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3088838.28元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三门峡市渑池县S312线K365+700-K365+850段等2处灾害防治工程</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渑池竞磋采购-2025-185</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MCGZ[2025]313-ZC246</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7156CDB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三门峡市渑池县S312线K365+700-K365+850段等2处灾害防治工程，位于三门峡市渑池县，主要内容为灾害点防治工程</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120日历天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供应商须具有交通运输部门颁发的路基路面养护乙级及以上资质，具备有效的安全生产许可证，并在人员、设备、资金等方面具有相应的施工能力。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w:t>
            </w:r>
            <w:r>
              <w:rPr>
                <w:rFonts w:hint="eastAsia" w:ascii="宋体" w:hAnsi="宋体" w:cs="宋体"/>
                <w:b w:val="0"/>
                <w:i w:val="0"/>
                <w:caps w:val="0"/>
                <w:color w:val="auto"/>
                <w:spacing w:val="0"/>
                <w:w w:val="100"/>
                <w:sz w:val="24"/>
                <w:szCs w:val="24"/>
                <w:highlight w:val="none"/>
                <w:lang w:val="en-US" w:eastAsia="zh-CN"/>
              </w:rPr>
              <w:t>近半年来连续3个月</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2026年1月13日08时20分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2026年1月13日08时20分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渑池县公共资源交易中心开标一室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叁佰零捌万捌仟捌佰叁拾捌元贰角捌分</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3088838.28元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供应商须具有交通运输部门颁发的路基路面养护乙级及以上资质，具备有效的安全生产许可证，并在人员、设备、资金等方面具有相应的施工能力。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w:t>
            </w:r>
            <w:r>
              <w:rPr>
                <w:rFonts w:hint="eastAsia" w:ascii="宋体" w:hAnsi="宋体" w:cs="宋体"/>
                <w:b w:val="0"/>
                <w:i w:val="0"/>
                <w:caps w:val="0"/>
                <w:color w:val="auto"/>
                <w:spacing w:val="0"/>
                <w:w w:val="100"/>
                <w:sz w:val="24"/>
                <w:szCs w:val="24"/>
                <w:highlight w:val="none"/>
                <w:lang w:val="en-US" w:eastAsia="zh-CN"/>
              </w:rPr>
              <w:t>近半年来连续3个月</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120日历天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451"/>
        <w:gridCol w:w="1080"/>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451"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1080"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451"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1080"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0</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45793C41">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总体施工组织</w:t>
            </w:r>
            <w:r>
              <w:rPr>
                <w:rFonts w:hint="eastAsia" w:asciiTheme="minorEastAsia" w:hAnsiTheme="minorEastAsia" w:eastAsiaTheme="minorEastAsia" w:cstheme="minorEastAsia"/>
                <w:color w:val="auto"/>
                <w:spacing w:val="-1"/>
                <w:sz w:val="24"/>
                <w:szCs w:val="24"/>
                <w:highlight w:val="none"/>
              </w:rPr>
              <w:t>布置及规划</w:t>
            </w:r>
          </w:p>
          <w:p w14:paraId="34E044F9">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653AA918">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对磋商范围内的各专业工程有叙述，施工组织措施针对性强，切实可行的得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分；内容基本完整,施工组织措施针对性一般，基本切实可行的，得2分；</w:t>
            </w:r>
          </w:p>
          <w:p w14:paraId="7978170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不提供不得分</w:t>
            </w:r>
            <w:r>
              <w:rPr>
                <w:rFonts w:hint="eastAsia" w:asciiTheme="minorEastAsia" w:hAnsiTheme="minorEastAsia" w:eastAsiaTheme="minorEastAsia" w:cstheme="minorEastAsia"/>
                <w:color w:val="auto"/>
                <w:sz w:val="24"/>
                <w:szCs w:val="24"/>
                <w:highlight w:val="none"/>
              </w:rPr>
              <w:t>。</w:t>
            </w:r>
          </w:p>
        </w:tc>
        <w:tc>
          <w:tcPr>
            <w:tcW w:w="1080" w:type="dxa"/>
            <w:vAlign w:val="center"/>
          </w:tcPr>
          <w:p w14:paraId="51AC0B32">
            <w:pPr>
              <w:widowControl/>
              <w:spacing w:line="360" w:lineRule="auto"/>
              <w:jc w:val="center"/>
              <w:textAlignment w:val="center"/>
              <w:rPr>
                <w:rFonts w:hint="default" w:ascii="宋体" w:hAnsi="宋体" w:eastAsia="宋体" w:cs="宋体"/>
                <w:color w:val="auto"/>
                <w:sz w:val="24"/>
                <w:szCs w:val="22"/>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0-5分</w:t>
            </w:r>
            <w:r>
              <w:rPr>
                <w:rFonts w:hint="eastAsia" w:asciiTheme="minorEastAsia" w:hAnsiTheme="minorEastAsia" w:eastAsiaTheme="minorEastAsia" w:cstheme="minorEastAsia"/>
                <w:color w:val="auto"/>
                <w:spacing w:val="-1"/>
                <w:sz w:val="24"/>
                <w:szCs w:val="24"/>
                <w:highlight w:val="none"/>
                <w:lang w:eastAsia="zh-CN"/>
              </w:rPr>
              <w:t>）</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8F18514">
            <w:pPr>
              <w:keepNext w:val="0"/>
              <w:keepLines w:val="0"/>
              <w:pageBreakBefore w:val="0"/>
              <w:widowControl w:val="0"/>
              <w:kinsoku/>
              <w:wordWrap w:val="0"/>
              <w:overflowPunct/>
              <w:topLinePunct w:val="0"/>
              <w:autoSpaceDE/>
              <w:autoSpaceDN/>
              <w:bidi w:val="0"/>
              <w:adjustRightInd/>
              <w:snapToGrid/>
              <w:spacing w:line="500" w:lineRule="exact"/>
              <w:ind w:left="0" w:right="0" w:firstLine="0"/>
              <w:jc w:val="center"/>
              <w:textAlignment w:val="auto"/>
              <w:rPr>
                <w:rFonts w:hint="eastAsia" w:asciiTheme="minorEastAsia" w:hAnsiTheme="minorEastAsia" w:eastAsiaTheme="minorEastAsia" w:cstheme="minorEastAsia"/>
                <w:color w:val="auto"/>
                <w:sz w:val="24"/>
                <w:szCs w:val="24"/>
                <w:highlight w:val="none"/>
              </w:rPr>
            </w:pPr>
          </w:p>
          <w:p w14:paraId="442E786F">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主要工程项目</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的施工方案、</w:t>
            </w:r>
            <w:r>
              <w:rPr>
                <w:rFonts w:hint="eastAsia" w:asciiTheme="minorEastAsia" w:hAnsiTheme="minorEastAsia" w:eastAsiaTheme="minorEastAsia" w:cstheme="minorEastAsia"/>
                <w:color w:val="auto"/>
                <w:spacing w:val="-1"/>
                <w:sz w:val="24"/>
                <w:szCs w:val="24"/>
                <w:highlight w:val="none"/>
              </w:rPr>
              <w:t>方法与技术措</w:t>
            </w:r>
            <w:r>
              <w:rPr>
                <w:rFonts w:hint="eastAsia" w:asciiTheme="minorEastAsia" w:hAnsiTheme="minorEastAsia" w:eastAsiaTheme="minorEastAsia" w:cstheme="minorEastAsia"/>
                <w:color w:val="auto"/>
                <w:sz w:val="24"/>
                <w:szCs w:val="24"/>
                <w:highlight w:val="none"/>
              </w:rPr>
              <w:t>施</w:t>
            </w:r>
          </w:p>
          <w:p w14:paraId="170E7FB4">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1AE74B00">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rPr>
              <w:t>分；</w:t>
            </w:r>
          </w:p>
          <w:p w14:paraId="548616D3">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施工方案安排大体上符合项目特点、施工工艺及机械符合施工要求得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rPr>
              <w:t>分；</w:t>
            </w:r>
          </w:p>
          <w:p w14:paraId="4A630710">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施工方案总体安排简略、欠完善的得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rPr>
              <w:t>分；</w:t>
            </w:r>
          </w:p>
          <w:p w14:paraId="5C0EA570">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不提供不得分。</w:t>
            </w:r>
          </w:p>
        </w:tc>
        <w:tc>
          <w:tcPr>
            <w:tcW w:w="1080"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0-7分</w:t>
            </w:r>
            <w:r>
              <w:rPr>
                <w:rFonts w:hint="eastAsia" w:asciiTheme="minorEastAsia" w:hAnsiTheme="minorEastAsia" w:eastAsiaTheme="minorEastAsia" w:cstheme="minorEastAsia"/>
                <w:color w:val="auto"/>
                <w:sz w:val="24"/>
                <w:szCs w:val="24"/>
                <w:highlight w:val="none"/>
                <w:lang w:eastAsia="zh-CN"/>
              </w:rPr>
              <w:t>）</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D3EC54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养护工程作业</w:t>
            </w:r>
            <w:r>
              <w:rPr>
                <w:rFonts w:hint="eastAsia" w:asciiTheme="minorEastAsia" w:hAnsiTheme="minorEastAsia" w:eastAsiaTheme="minorEastAsia" w:cstheme="minorEastAsia"/>
                <w:color w:val="auto"/>
                <w:spacing w:val="-2"/>
                <w:sz w:val="24"/>
                <w:szCs w:val="24"/>
                <w:highlight w:val="none"/>
              </w:rPr>
              <w:t>方案</w:t>
            </w:r>
          </w:p>
          <w:p w14:paraId="2FD4C6A7">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5F0A7D95">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养护工程作业方案进度安排，平面布置，主要养护作业方法，交通疏导方案，技术和安全措施，质量保证体系等措</w:t>
            </w:r>
            <w:r>
              <w:rPr>
                <w:rFonts w:hint="eastAsia" w:asciiTheme="minorEastAsia" w:hAnsiTheme="minorEastAsia" w:eastAsiaTheme="minorEastAsia" w:cstheme="minorEastAsia"/>
                <w:color w:val="auto"/>
                <w:spacing w:val="-9"/>
                <w:sz w:val="24"/>
                <w:szCs w:val="24"/>
                <w:highlight w:val="none"/>
              </w:rPr>
              <w:t>施</w:t>
            </w:r>
            <w:r>
              <w:rPr>
                <w:rFonts w:hint="eastAsia" w:asciiTheme="minorEastAsia" w:hAnsiTheme="minorEastAsia" w:eastAsiaTheme="minorEastAsia" w:cstheme="minorEastAsia"/>
                <w:color w:val="auto"/>
                <w:spacing w:val="-9"/>
                <w:sz w:val="24"/>
                <w:szCs w:val="24"/>
                <w:highlight w:val="none"/>
                <w:lang w:val="en-US" w:eastAsia="zh-CN"/>
              </w:rPr>
              <w:t>全面、可行、</w:t>
            </w:r>
            <w:r>
              <w:rPr>
                <w:rFonts w:hint="eastAsia" w:asciiTheme="minorEastAsia" w:hAnsiTheme="minorEastAsia" w:eastAsiaTheme="minorEastAsia" w:cstheme="minorEastAsia"/>
                <w:color w:val="auto"/>
                <w:spacing w:val="-9"/>
                <w:sz w:val="24"/>
                <w:szCs w:val="24"/>
                <w:highlight w:val="none"/>
              </w:rPr>
              <w:t>合理</w:t>
            </w:r>
            <w:r>
              <w:rPr>
                <w:rFonts w:hint="eastAsia" w:asciiTheme="minorEastAsia" w:hAnsiTheme="minorEastAsia" w:eastAsiaTheme="minorEastAsia" w:cstheme="minorEastAsia"/>
                <w:color w:val="auto"/>
                <w:spacing w:val="-9"/>
                <w:sz w:val="24"/>
                <w:szCs w:val="24"/>
                <w:highlight w:val="none"/>
                <w:lang w:val="en-US" w:eastAsia="zh-CN"/>
              </w:rPr>
              <w:t>得8分；</w:t>
            </w:r>
          </w:p>
          <w:p w14:paraId="6228A4FD">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大体符合项目特点、主要养护作业方法基本符合要求得5分；</w:t>
            </w:r>
          </w:p>
          <w:p w14:paraId="32AA938A">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主要养护作业方法安排简略、欠完善的得2分；</w:t>
            </w:r>
          </w:p>
          <w:p w14:paraId="00011DE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0-8分</w:t>
            </w:r>
            <w:r>
              <w:rPr>
                <w:rFonts w:hint="eastAsia" w:asciiTheme="minorEastAsia" w:hAnsiTheme="minorEastAsia" w:eastAsiaTheme="minorEastAsia" w:cstheme="minorEastAsia"/>
                <w:color w:val="auto"/>
                <w:sz w:val="24"/>
                <w:szCs w:val="24"/>
                <w:highlight w:val="none"/>
                <w:lang w:eastAsia="zh-CN"/>
              </w:rPr>
              <w:t>）</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FD82A54">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工期保证措施</w:t>
            </w:r>
          </w:p>
          <w:p w14:paraId="1A33F18A">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2B107C3E">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工期承诺优于磋商文件要求，工期保证措施科学、合理且有针对性的得5分；</w:t>
            </w:r>
          </w:p>
          <w:p w14:paraId="1E20440F">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工期承诺满足磋商文件要求，工期保证措施大致科学、合理、有针对性的得3分；</w:t>
            </w:r>
          </w:p>
          <w:p w14:paraId="3F988D2B">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工程进度计划简略、欠完善的得1分；</w:t>
            </w:r>
          </w:p>
          <w:p w14:paraId="7D6AF93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0-5分</w:t>
            </w:r>
            <w:r>
              <w:rPr>
                <w:rFonts w:hint="eastAsia" w:asciiTheme="minorEastAsia" w:hAnsiTheme="minorEastAsia" w:eastAsiaTheme="minorEastAsia" w:cstheme="minorEastAsia"/>
                <w:color w:val="auto"/>
                <w:spacing w:val="-2"/>
                <w:sz w:val="24"/>
                <w:szCs w:val="24"/>
                <w:highlight w:val="none"/>
                <w:lang w:eastAsia="zh-CN"/>
              </w:rPr>
              <w:t>）</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1A815E7">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2"/>
                <w:sz w:val="24"/>
                <w:szCs w:val="24"/>
                <w:highlight w:val="none"/>
              </w:rPr>
              <w:t>质量管理体系</w:t>
            </w:r>
            <w:r>
              <w:rPr>
                <w:rFonts w:hint="eastAsia" w:asciiTheme="minorEastAsia" w:hAnsiTheme="minorEastAsia" w:eastAsiaTheme="minorEastAsia" w:cstheme="minorEastAsia"/>
                <w:color w:val="auto"/>
                <w:spacing w:val="-4"/>
                <w:sz w:val="24"/>
                <w:szCs w:val="24"/>
                <w:highlight w:val="none"/>
              </w:rPr>
              <w:t>与措施</w:t>
            </w:r>
          </w:p>
          <w:p w14:paraId="3515D8DF">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7DC56ABE">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质量管理体系健全，质量管理组织机构形式合理，质量保证措施完整得力、经济、安全、切实可行的得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rPr>
              <w:t>分；</w:t>
            </w:r>
          </w:p>
          <w:p w14:paraId="19E707D7">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质量管理组织机构形式大体上合理，质量保证措施大致完整的得</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rPr>
              <w:t>分；</w:t>
            </w:r>
          </w:p>
          <w:p w14:paraId="5F963BB3">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质量管理组织机构形式不太明确，措施简略、欠完善的得</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rPr>
              <w:t>分；</w:t>
            </w:r>
          </w:p>
          <w:p w14:paraId="6ABE7F3B">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0-5分</w:t>
            </w:r>
            <w:r>
              <w:rPr>
                <w:rFonts w:hint="eastAsia" w:asciiTheme="minorEastAsia" w:hAnsiTheme="minorEastAsia" w:eastAsiaTheme="minorEastAsia" w:cstheme="minorEastAsia"/>
                <w:color w:val="auto"/>
                <w:spacing w:val="-4"/>
                <w:sz w:val="24"/>
                <w:szCs w:val="24"/>
                <w:highlight w:val="none"/>
                <w:lang w:eastAsia="zh-CN"/>
              </w:rPr>
              <w:t>）</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63C99C1">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rPr>
              <w:t>安全管理体系</w:t>
            </w:r>
            <w:r>
              <w:rPr>
                <w:rFonts w:hint="eastAsia" w:asciiTheme="minorEastAsia" w:hAnsiTheme="minorEastAsia" w:eastAsiaTheme="minorEastAsia" w:cstheme="minorEastAsia"/>
                <w:color w:val="auto"/>
                <w:spacing w:val="-4"/>
                <w:sz w:val="24"/>
                <w:szCs w:val="24"/>
                <w:highlight w:val="none"/>
              </w:rPr>
              <w:t>与措施</w:t>
            </w:r>
          </w:p>
          <w:p w14:paraId="0CA1885D">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5FA2DED2">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rPr>
              <w:t>分；</w:t>
            </w:r>
          </w:p>
          <w:p w14:paraId="04CDC21B">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安全管理体系和安全保证措施大致合理、安全管理制度较为可行的得</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rPr>
              <w:t>分 ；</w:t>
            </w:r>
          </w:p>
          <w:p w14:paraId="14D63FA3">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安全管理体系和措施简略、欠完善的得</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rPr>
              <w:t>分；</w:t>
            </w:r>
          </w:p>
          <w:p w14:paraId="0DEADD13">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0-5分</w:t>
            </w:r>
            <w:r>
              <w:rPr>
                <w:rFonts w:hint="eastAsia" w:asciiTheme="minorEastAsia" w:hAnsiTheme="minorEastAsia" w:eastAsiaTheme="minorEastAsia" w:cstheme="minorEastAsia"/>
                <w:color w:val="auto"/>
                <w:spacing w:val="-4"/>
                <w:sz w:val="24"/>
                <w:szCs w:val="24"/>
                <w:highlight w:val="none"/>
                <w:lang w:eastAsia="zh-CN"/>
              </w:rPr>
              <w:t>）</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416C287C">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2"/>
                <w:sz w:val="24"/>
                <w:szCs w:val="24"/>
                <w:highlight w:val="none"/>
              </w:rPr>
              <w:t>拟投入资源配</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备计划</w:t>
            </w:r>
          </w:p>
          <w:p w14:paraId="2D63C7F4">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3363B08C">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拟投入资源配备，根据机械设备配备计划、主要材料配备及进场计划表达、劳动力配备及进场计划表达完整齐全情况得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rPr>
              <w:t>分；</w:t>
            </w:r>
          </w:p>
          <w:p w14:paraId="773F7100">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根据机械设备配备计划、主要材料配备及进场计划表达、劳动力配备及进场计划基本满足项目要求的得</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rPr>
              <w:t>分；</w:t>
            </w:r>
          </w:p>
          <w:p w14:paraId="77B58E7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根据机械设备配备计划、主要材料配备及进场计划表达、劳动力配备及进场计划简略、欠完善的得</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rPr>
              <w:t>分；</w:t>
            </w:r>
          </w:p>
          <w:p w14:paraId="4747F8BC">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val="en-US" w:eastAsia="zh-CN"/>
              </w:rPr>
              <w:t>0-5分</w:t>
            </w:r>
            <w:r>
              <w:rPr>
                <w:rFonts w:hint="eastAsia" w:asciiTheme="minorEastAsia" w:hAnsiTheme="minorEastAsia" w:eastAsiaTheme="minorEastAsia" w:cstheme="minorEastAsia"/>
                <w:color w:val="auto"/>
                <w:spacing w:val="-3"/>
                <w:sz w:val="24"/>
                <w:szCs w:val="24"/>
                <w:highlight w:val="none"/>
                <w:lang w:eastAsia="zh-CN"/>
              </w:rPr>
              <w:t>）</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138EDE1">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文明施工、环境保护管理体系及施工现场扬尘治理措施</w:t>
            </w:r>
          </w:p>
          <w:p w14:paraId="46DAA0A2">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27C182C9">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文明施工、环境保护管理体系及施工现场扬尘治理措施科学、合理、符合相关标准、规范、规程有具体的安全文明措施费用投入使用计划的，满足要求的得5分；</w:t>
            </w:r>
          </w:p>
          <w:p w14:paraId="6DEEA3F7">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措施大致科学、合理、基本满足要求的得3分；</w:t>
            </w:r>
          </w:p>
          <w:p w14:paraId="6A8BAA23">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措施简略、欠完善的得1分；</w:t>
            </w:r>
          </w:p>
          <w:p w14:paraId="5300B612">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 xml:space="preserve">不提供不得分。 </w:t>
            </w:r>
          </w:p>
        </w:tc>
        <w:tc>
          <w:tcPr>
            <w:tcW w:w="1080"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0-5分</w:t>
            </w:r>
            <w:r>
              <w:rPr>
                <w:rFonts w:hint="eastAsia" w:asciiTheme="minorEastAsia" w:hAnsiTheme="minorEastAsia" w:eastAsiaTheme="minorEastAsia" w:cstheme="minorEastAsia"/>
                <w:color w:val="auto"/>
                <w:spacing w:val="-2"/>
                <w:sz w:val="24"/>
                <w:szCs w:val="24"/>
                <w:highlight w:val="none"/>
                <w:lang w:eastAsia="zh-CN"/>
              </w:rPr>
              <w:t>）</w:t>
            </w:r>
          </w:p>
        </w:tc>
      </w:tr>
      <w:tr w14:paraId="1FAD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CFA9146">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9E4C01C">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风险管理措施</w:t>
            </w:r>
          </w:p>
          <w:p w14:paraId="38725E6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39CCE441">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rPr>
              <w:t>风险防控管理措施齐全、考虑周密、针对性强，风险控制要点定位准确的，得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rPr>
              <w:t>分；大致合理、基本满足要求的得3分；</w:t>
            </w:r>
            <w:r>
              <w:rPr>
                <w:rFonts w:hint="eastAsia" w:asciiTheme="minorEastAsia" w:hAnsiTheme="minorEastAsia" w:eastAsiaTheme="minorEastAsia" w:cstheme="minorEastAsia"/>
                <w:color w:val="auto"/>
                <w:sz w:val="24"/>
                <w:highlight w:val="none"/>
                <w:lang w:val="en-US" w:eastAsia="zh-CN"/>
              </w:rPr>
              <w:t>措施简略、欠完善的得1分；</w:t>
            </w:r>
          </w:p>
          <w:p w14:paraId="2ACA7A69">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2A61494C">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0-5分</w:t>
            </w:r>
            <w:r>
              <w:rPr>
                <w:rFonts w:hint="eastAsia" w:asciiTheme="minorEastAsia" w:hAnsiTheme="minorEastAsia" w:eastAsiaTheme="minorEastAsia" w:cstheme="minorEastAsia"/>
                <w:color w:val="auto"/>
                <w:spacing w:val="-2"/>
                <w:sz w:val="24"/>
                <w:szCs w:val="24"/>
                <w:highlight w:val="none"/>
                <w:lang w:eastAsia="zh-CN"/>
              </w:rPr>
              <w:t>）</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0EACE6B7">
            <w:pPr>
              <w:widowControl/>
              <w:tabs>
                <w:tab w:val="left" w:pos="9720"/>
              </w:tabs>
              <w:autoSpaceDE w:val="0"/>
              <w:autoSpaceDN w:val="0"/>
              <w:adjustRightIn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企业业绩</w:t>
            </w:r>
          </w:p>
          <w:p w14:paraId="412D699B">
            <w:pPr>
              <w:widowControl/>
              <w:tabs>
                <w:tab w:val="left" w:pos="9720"/>
              </w:tabs>
              <w:autoSpaceDE w:val="0"/>
              <w:autoSpaceDN w:val="0"/>
              <w:adjustRightInd w:val="0"/>
              <w:spacing w:line="360" w:lineRule="auto"/>
              <w:jc w:val="center"/>
              <w:rPr>
                <w:rFonts w:hint="eastAsia" w:ascii="宋体" w:hAnsi="宋体" w:eastAsia="宋体" w:cs="宋体"/>
                <w:color w:val="auto"/>
                <w:sz w:val="24"/>
                <w:szCs w:val="22"/>
                <w:highlight w:val="none"/>
              </w:rPr>
            </w:pPr>
          </w:p>
        </w:tc>
        <w:tc>
          <w:tcPr>
            <w:tcW w:w="6451" w:type="dxa"/>
            <w:vAlign w:val="center"/>
          </w:tcPr>
          <w:p w14:paraId="0379BE01">
            <w:pPr>
              <w:widowControl/>
              <w:tabs>
                <w:tab w:val="left" w:pos="9720"/>
              </w:tabs>
              <w:autoSpaceDE w:val="0"/>
              <w:autoSpaceDN w:val="0"/>
              <w:adjustRightInd w:val="0"/>
              <w:spacing w:line="360" w:lineRule="auto"/>
              <w:jc w:val="left"/>
              <w:rPr>
                <w:rFonts w:hint="eastAsia" w:ascii="宋体" w:hAnsi="宋体" w:eastAsia="宋体" w:cs="宋体"/>
                <w:color w:val="auto"/>
                <w:sz w:val="24"/>
                <w:szCs w:val="22"/>
                <w:highlight w:val="none"/>
              </w:rPr>
            </w:pPr>
            <w:r>
              <w:rPr>
                <w:rFonts w:hint="eastAsia" w:ascii="宋体" w:hAnsi="宋体" w:cs="宋体"/>
                <w:color w:val="auto"/>
                <w:sz w:val="24"/>
                <w:highlight w:val="none"/>
                <w:lang w:eastAsia="zh-CN"/>
              </w:rPr>
              <w:t>2022年1月1日</w:t>
            </w:r>
            <w:r>
              <w:rPr>
                <w:rFonts w:hint="eastAsia" w:ascii="宋体" w:hAnsi="宋体" w:eastAsia="宋体" w:cs="宋体"/>
                <w:color w:val="auto"/>
                <w:sz w:val="24"/>
                <w:highlight w:val="none"/>
              </w:rPr>
              <w:t>以来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以合同签订时间为准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企业承担过的类似业绩</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提供一</w:t>
            </w:r>
            <w:r>
              <w:rPr>
                <w:rFonts w:hint="eastAsia" w:ascii="宋体" w:hAnsi="宋体" w:cs="宋体"/>
                <w:color w:val="auto"/>
                <w:sz w:val="24"/>
                <w:highlight w:val="none"/>
                <w:lang w:val="en-US" w:eastAsia="zh-CN"/>
              </w:rPr>
              <w:t>份</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w:t>
            </w:r>
            <w:r>
              <w:rPr>
                <w:rFonts w:hint="eastAsia" w:ascii="宋体" w:hAnsi="宋体" w:cs="宋体"/>
                <w:color w:val="auto"/>
                <w:sz w:val="24"/>
                <w:highlight w:val="none"/>
                <w:lang w:val="en-US" w:eastAsia="zh-CN"/>
              </w:rPr>
              <w:t>，本项</w:t>
            </w:r>
            <w:r>
              <w:rPr>
                <w:rFonts w:hint="eastAsia" w:ascii="宋体" w:hAnsi="宋体" w:eastAsia="宋体" w:cs="宋体"/>
                <w:color w:val="auto"/>
                <w:sz w:val="24"/>
                <w:highlight w:val="none"/>
              </w:rPr>
              <w:t>最多得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分，不提供不得分；（</w:t>
            </w:r>
            <w:r>
              <w:rPr>
                <w:rFonts w:hint="eastAsia" w:ascii="宋体" w:hAnsi="宋体" w:eastAsia="宋体" w:cs="宋体"/>
                <w:color w:val="auto"/>
                <w:sz w:val="24"/>
                <w:highlight w:val="none"/>
                <w:lang w:val="en-US" w:eastAsia="zh-CN"/>
              </w:rPr>
              <w:t>响应文件中附</w:t>
            </w:r>
            <w:r>
              <w:rPr>
                <w:rFonts w:hint="eastAsia" w:ascii="宋体" w:hAnsi="宋体" w:eastAsia="宋体" w:cs="宋体"/>
                <w:color w:val="auto"/>
                <w:sz w:val="24"/>
                <w:highlight w:val="none"/>
              </w:rPr>
              <w:t>合同协议书原件扫描件</w:t>
            </w:r>
            <w:r>
              <w:rPr>
                <w:rFonts w:hint="eastAsia" w:ascii="宋体" w:hAnsi="宋体" w:eastAsia="宋体" w:cs="宋体"/>
                <w:color w:val="auto"/>
                <w:sz w:val="24"/>
                <w:highlight w:val="none"/>
                <w:lang w:val="en-US" w:eastAsia="zh-CN"/>
              </w:rPr>
              <w:t>并加盖公章，否则不得分</w:t>
            </w:r>
            <w:r>
              <w:rPr>
                <w:rFonts w:hint="eastAsia" w:ascii="宋体" w:hAnsi="宋体" w:eastAsia="宋体" w:cs="宋体"/>
                <w:color w:val="auto"/>
                <w:sz w:val="24"/>
                <w:highlight w:val="none"/>
              </w:rPr>
              <w:t>）</w:t>
            </w:r>
          </w:p>
        </w:tc>
        <w:tc>
          <w:tcPr>
            <w:tcW w:w="1080" w:type="dxa"/>
            <w:vAlign w:val="center"/>
          </w:tcPr>
          <w:p w14:paraId="2D2DFDDA">
            <w:pPr>
              <w:widowControl/>
              <w:tabs>
                <w:tab w:val="left" w:pos="9720"/>
              </w:tabs>
              <w:autoSpaceDE w:val="0"/>
              <w:autoSpaceDN w:val="0"/>
              <w:adjustRightInd w:val="0"/>
              <w:spacing w:line="360" w:lineRule="auto"/>
              <w:jc w:val="center"/>
              <w:rPr>
                <w:rFonts w:ascii="宋体" w:hAnsi="宋体" w:eastAsia="宋体" w:cs="宋体"/>
                <w:color w:val="auto"/>
                <w:sz w:val="24"/>
                <w:highlight w:val="none"/>
              </w:rPr>
            </w:pPr>
          </w:p>
          <w:p w14:paraId="0BD953F0">
            <w:pPr>
              <w:widowControl/>
              <w:tabs>
                <w:tab w:val="left" w:pos="9720"/>
              </w:tabs>
              <w:autoSpaceDE w:val="0"/>
              <w:autoSpaceDN w:val="0"/>
              <w:adjustRightInd w:val="0"/>
              <w:spacing w:line="360" w:lineRule="auto"/>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widowControl/>
              <w:tabs>
                <w:tab w:val="left" w:pos="9720"/>
              </w:tabs>
              <w:autoSpaceDE w:val="0"/>
              <w:autoSpaceDN w:val="0"/>
              <w:adjustRightInd w:val="0"/>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工程保修服务承诺</w:t>
            </w:r>
          </w:p>
        </w:tc>
        <w:tc>
          <w:tcPr>
            <w:tcW w:w="6451" w:type="dxa"/>
            <w:vAlign w:val="center"/>
          </w:tcPr>
          <w:p w14:paraId="6B216014">
            <w:pPr>
              <w:widowControl/>
              <w:tabs>
                <w:tab w:val="left" w:pos="9720"/>
              </w:tabs>
              <w:autoSpaceDE w:val="0"/>
              <w:autoSpaceDN w:val="0"/>
              <w:adjustRightInd w:val="0"/>
              <w:spacing w:line="360" w:lineRule="auto"/>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highlight w:val="none"/>
              </w:rPr>
              <w:t>承诺如保修期内工程出现损坏，供应商承诺</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小时内到场的得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分，承诺</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小时内到场的得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tc>
        <w:tc>
          <w:tcPr>
            <w:tcW w:w="1080" w:type="dxa"/>
            <w:vAlign w:val="center"/>
          </w:tcPr>
          <w:p w14:paraId="272262C0">
            <w:pPr>
              <w:widowControl/>
              <w:tabs>
                <w:tab w:val="left" w:pos="9720"/>
              </w:tabs>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tc>
      </w:tr>
      <w:tr w14:paraId="5880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C4F641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5B54243E">
            <w:pPr>
              <w:widowControl/>
              <w:tabs>
                <w:tab w:val="left" w:pos="9720"/>
              </w:tabs>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履职尽责</w:t>
            </w:r>
          </w:p>
          <w:p w14:paraId="144F4BCC">
            <w:pPr>
              <w:widowControl/>
              <w:tabs>
                <w:tab w:val="left" w:pos="9720"/>
              </w:tabs>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承诺</w:t>
            </w:r>
          </w:p>
          <w:p w14:paraId="662AAC83">
            <w:pPr>
              <w:widowControl/>
              <w:tabs>
                <w:tab w:val="left" w:pos="9720"/>
              </w:tabs>
              <w:autoSpaceDE w:val="0"/>
              <w:autoSpaceDN w:val="0"/>
              <w:adjustRightInd w:val="0"/>
              <w:spacing w:line="360" w:lineRule="auto"/>
              <w:jc w:val="center"/>
              <w:rPr>
                <w:rFonts w:hint="eastAsia" w:ascii="宋体" w:hAnsi="宋体" w:eastAsia="宋体" w:cs="宋体"/>
                <w:color w:val="auto"/>
                <w:sz w:val="24"/>
                <w:highlight w:val="none"/>
              </w:rPr>
            </w:pPr>
          </w:p>
        </w:tc>
        <w:tc>
          <w:tcPr>
            <w:tcW w:w="6451" w:type="dxa"/>
            <w:vAlign w:val="center"/>
          </w:tcPr>
          <w:p w14:paraId="45D2BBD4">
            <w:pPr>
              <w:widowControl/>
              <w:tabs>
                <w:tab w:val="left" w:pos="9720"/>
              </w:tabs>
              <w:autoSpaceDE w:val="0"/>
              <w:autoSpaceDN w:val="0"/>
              <w:adjustRightInd w:val="0"/>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的得</w:t>
            </w:r>
            <w:r>
              <w:rPr>
                <w:rFonts w:hint="eastAsia" w:ascii="宋体" w:hAnsi="宋体" w:eastAsia="宋体" w:cs="宋体"/>
                <w:color w:val="auto"/>
                <w:sz w:val="24"/>
                <w:highlight w:val="none"/>
                <w:lang w:val="en-US" w:eastAsia="zh-CN"/>
              </w:rPr>
              <w:t>5</w:t>
            </w:r>
            <w:r>
              <w:rPr>
                <w:rFonts w:hint="default" w:ascii="宋体" w:hAnsi="宋体" w:eastAsia="宋体" w:cs="宋体"/>
                <w:color w:val="auto"/>
                <w:sz w:val="24"/>
                <w:highlight w:val="none"/>
                <w:lang w:val="en-US" w:eastAsia="zh-CN"/>
              </w:rPr>
              <w:t>分。</w:t>
            </w:r>
          </w:p>
          <w:p w14:paraId="79026CDD">
            <w:pPr>
              <w:widowControl/>
              <w:tabs>
                <w:tab w:val="left" w:pos="9720"/>
              </w:tabs>
              <w:autoSpaceDE w:val="0"/>
              <w:autoSpaceDN w:val="0"/>
              <w:adjustRightInd w:val="0"/>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具有可行、合法有效的保证技术措施，落实到位的承诺和落实不到位的处理承诺，其中包括各关键岗位人员（项目经理、技术负责人及相关技术人员、质量员、安全员、材料员等）的在岗、更换等履职尽责承诺，提供承包商履约保证的得3分。</w:t>
            </w:r>
          </w:p>
          <w:p w14:paraId="493ACAA0">
            <w:pPr>
              <w:widowControl/>
              <w:tabs>
                <w:tab w:val="left" w:pos="9720"/>
              </w:tabs>
              <w:autoSpaceDE w:val="0"/>
              <w:autoSpaceDN w:val="0"/>
              <w:adjustRightInd w:val="0"/>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具有较差的保证技术措施，落实到位的承诺和落实不到位的处理承诺，其中包括各关键岗位人员（项目经理、技术负责人及相关技术人员、质量员、安全员、材料员等）的在岗、更换等履职尽责承诺，提供承包商履约保证的得1分。</w:t>
            </w:r>
          </w:p>
          <w:p w14:paraId="4315ECB7">
            <w:pPr>
              <w:widowControl/>
              <w:tabs>
                <w:tab w:val="left" w:pos="9720"/>
              </w:tabs>
              <w:autoSpaceDE w:val="0"/>
              <w:autoSpaceDN w:val="0"/>
              <w:adjustRightInd w:val="0"/>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4.未提供或者不可行或不符合项目需求的不得分。</w:t>
            </w:r>
          </w:p>
        </w:tc>
        <w:tc>
          <w:tcPr>
            <w:tcW w:w="1080" w:type="dxa"/>
            <w:vAlign w:val="center"/>
          </w:tcPr>
          <w:p w14:paraId="47EB6580">
            <w:pPr>
              <w:widowControl/>
              <w:tabs>
                <w:tab w:val="left" w:pos="9720"/>
              </w:tabs>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270357A5">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240CD294">
            <w:pPr>
              <w:widowControl/>
              <w:tabs>
                <w:tab w:val="left" w:pos="9720"/>
              </w:tabs>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w:t>
            </w:r>
          </w:p>
        </w:tc>
        <w:tc>
          <w:tcPr>
            <w:tcW w:w="6451" w:type="dxa"/>
            <w:vAlign w:val="center"/>
          </w:tcPr>
          <w:p w14:paraId="4DB86B96">
            <w:pPr>
              <w:widowControl/>
              <w:tabs>
                <w:tab w:val="left" w:pos="9720"/>
              </w:tabs>
              <w:autoSpaceDE w:val="0"/>
              <w:autoSpaceDN w:val="0"/>
              <w:adjustRightIn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w:t>
            </w:r>
            <w:r>
              <w:rPr>
                <w:rFonts w:hint="eastAsia" w:ascii="宋体" w:hAnsi="宋体" w:eastAsia="宋体" w:cs="宋体"/>
                <w:color w:val="auto"/>
                <w:sz w:val="24"/>
                <w:highlight w:val="none"/>
              </w:rPr>
              <w:t>优惠承诺符合工程实际情况，确保依法依规，优惠合理，详实可行的得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p w14:paraId="03AC4B39">
            <w:pPr>
              <w:widowControl/>
              <w:tabs>
                <w:tab w:val="left" w:pos="9720"/>
              </w:tabs>
              <w:autoSpaceDE w:val="0"/>
              <w:autoSpaceDN w:val="0"/>
              <w:adjustRightIn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w:t>
            </w:r>
            <w:r>
              <w:rPr>
                <w:rFonts w:hint="eastAsia" w:ascii="宋体" w:hAnsi="宋体" w:eastAsia="宋体" w:cs="宋体"/>
                <w:color w:val="auto"/>
                <w:sz w:val="24"/>
                <w:highlight w:val="none"/>
              </w:rPr>
              <w:t>优惠承诺符合工程实际情况，确保依法依规，优惠较差，基本详实可行的得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p w14:paraId="60F59FDE">
            <w:pPr>
              <w:widowControl/>
              <w:tabs>
                <w:tab w:val="left" w:pos="9720"/>
              </w:tabs>
              <w:autoSpaceDE w:val="0"/>
              <w:autoSpaceDN w:val="0"/>
              <w:adjustRightInd w:val="0"/>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rPr>
              <w:t>3</w:t>
            </w:r>
            <w:r>
              <w:rPr>
                <w:rFonts w:ascii="宋体" w:hAnsi="宋体" w:eastAsia="宋体" w:cs="宋体"/>
                <w:color w:val="auto"/>
                <w:sz w:val="24"/>
                <w:highlight w:val="none"/>
              </w:rPr>
              <w:t>.</w:t>
            </w:r>
            <w:r>
              <w:rPr>
                <w:rFonts w:hint="eastAsia" w:ascii="宋体" w:hAnsi="宋体" w:eastAsia="宋体" w:cs="宋体"/>
                <w:color w:val="auto"/>
                <w:sz w:val="24"/>
                <w:highlight w:val="none"/>
              </w:rPr>
              <w:t>未提供或者不可行或不符合项目需求的不得分。</w:t>
            </w:r>
          </w:p>
        </w:tc>
        <w:tc>
          <w:tcPr>
            <w:tcW w:w="1080" w:type="dxa"/>
            <w:vAlign w:val="center"/>
          </w:tcPr>
          <w:p w14:paraId="765736D4">
            <w:pPr>
              <w:widowControl/>
              <w:tabs>
                <w:tab w:val="left" w:pos="9720"/>
              </w:tabs>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3"/>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74598C7D">
      <w:pPr>
        <w:pStyle w:val="18"/>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一、投标函及投标函附录"/>
      <w:bookmarkEnd w:id="9"/>
      <w:bookmarkStart w:id="10" w:name="_bookmark5"/>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2" w:name="_Toc30047"/>
      <w:bookmarkStart w:id="13" w:name="_Toc17170"/>
      <w:bookmarkStart w:id="14"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5"/>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7" w:name="_Toc25037"/>
      <w:bookmarkStart w:id="18" w:name="_Toc24807"/>
      <w:bookmarkStart w:id="19" w:name="_Toc27316"/>
      <w:bookmarkStart w:id="20" w:name="_Toc18593"/>
      <w:bookmarkStart w:id="21" w:name="_Toc2102"/>
      <w:bookmarkStart w:id="22" w:name="_Toc28455"/>
      <w:bookmarkStart w:id="23" w:name="_Toc3901"/>
      <w:bookmarkStart w:id="24" w:name="_Toc29742"/>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20491"/>
      <w:bookmarkStart w:id="26" w:name="_Toc7097"/>
      <w:bookmarkStart w:id="27" w:name="_Toc25118"/>
      <w:bookmarkStart w:id="28" w:name="_Toc30785"/>
      <w:bookmarkStart w:id="29" w:name="_Toc20672"/>
      <w:bookmarkStart w:id="30" w:name="_Toc12776"/>
      <w:bookmarkStart w:id="31" w:name="_Toc9287"/>
      <w:bookmarkStart w:id="32" w:name="_Toc22690"/>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3" w:name="_Toc1643"/>
      <w:bookmarkStart w:id="34" w:name="_Toc14168"/>
      <w:bookmarkStart w:id="35" w:name="_Toc27716"/>
      <w:bookmarkStart w:id="36" w:name="_Toc20645"/>
      <w:bookmarkStart w:id="37" w:name="_Toc11345"/>
      <w:bookmarkStart w:id="38" w:name="_Toc7118"/>
      <w:bookmarkStart w:id="39" w:name="_Toc16416"/>
      <w:bookmarkStart w:id="40" w:name="_Toc6264"/>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25433"/>
      <w:bookmarkStart w:id="42" w:name="_Toc6118"/>
      <w:bookmarkStart w:id="43" w:name="_Toc8171"/>
      <w:bookmarkStart w:id="44" w:name="_Toc32130"/>
      <w:bookmarkStart w:id="45" w:name="_Toc12807"/>
      <w:bookmarkStart w:id="46" w:name="_Toc24744"/>
      <w:bookmarkStart w:id="47" w:name="_Toc27930"/>
      <w:bookmarkStart w:id="48" w:name="_Toc9003"/>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39"/>
        <w:spacing w:line="480" w:lineRule="exact"/>
        <w:jc w:val="center"/>
        <w:outlineLvl w:val="9"/>
        <w:rPr>
          <w:rFonts w:hint="eastAsia" w:ascii="宋体" w:hAnsi="宋体" w:eastAsia="宋体" w:cs="宋体"/>
          <w:b/>
          <w:color w:val="auto"/>
          <w:sz w:val="28"/>
          <w:highlight w:val="none"/>
          <w:lang w:val="zh-CN"/>
        </w:rPr>
      </w:pPr>
    </w:p>
    <w:p w14:paraId="26175F66">
      <w:pPr>
        <w:pStyle w:val="3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Ih76boEoK9ZPqeJqs7NRxpSC5Ng=" w:salt="4rEtOULr9ruILs0eBDqiv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0E739B"/>
    <w:rsid w:val="004003F4"/>
    <w:rsid w:val="011914B8"/>
    <w:rsid w:val="014A4B87"/>
    <w:rsid w:val="016C2D4F"/>
    <w:rsid w:val="0181291D"/>
    <w:rsid w:val="01D628BE"/>
    <w:rsid w:val="01F66ABD"/>
    <w:rsid w:val="02AE0322"/>
    <w:rsid w:val="02B96468"/>
    <w:rsid w:val="03625857"/>
    <w:rsid w:val="03DB0660"/>
    <w:rsid w:val="03EC0177"/>
    <w:rsid w:val="040B0C1A"/>
    <w:rsid w:val="041264DF"/>
    <w:rsid w:val="04310280"/>
    <w:rsid w:val="046C12B8"/>
    <w:rsid w:val="04763EE5"/>
    <w:rsid w:val="04CE19A8"/>
    <w:rsid w:val="05286BE1"/>
    <w:rsid w:val="06F832D7"/>
    <w:rsid w:val="07B70FD5"/>
    <w:rsid w:val="07D433FC"/>
    <w:rsid w:val="09872A61"/>
    <w:rsid w:val="0A0501E5"/>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8D18C4"/>
    <w:rsid w:val="16DE1BA1"/>
    <w:rsid w:val="170B6491"/>
    <w:rsid w:val="175F31A8"/>
    <w:rsid w:val="17A34AF5"/>
    <w:rsid w:val="17D9680D"/>
    <w:rsid w:val="17E21B65"/>
    <w:rsid w:val="17FE3BC2"/>
    <w:rsid w:val="18B43502"/>
    <w:rsid w:val="19063631"/>
    <w:rsid w:val="196D1903"/>
    <w:rsid w:val="199D3F96"/>
    <w:rsid w:val="1A512FD2"/>
    <w:rsid w:val="1ACC4407"/>
    <w:rsid w:val="1BA86C22"/>
    <w:rsid w:val="1BFB1448"/>
    <w:rsid w:val="1C7F782D"/>
    <w:rsid w:val="1C8E4389"/>
    <w:rsid w:val="1CA404EA"/>
    <w:rsid w:val="1CFB20F0"/>
    <w:rsid w:val="1DAF5FA9"/>
    <w:rsid w:val="1DDA191B"/>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280B10"/>
    <w:rsid w:val="29D06620"/>
    <w:rsid w:val="2A3A09D3"/>
    <w:rsid w:val="2AB949A8"/>
    <w:rsid w:val="2B2D4A4E"/>
    <w:rsid w:val="2B443194"/>
    <w:rsid w:val="2BA2095F"/>
    <w:rsid w:val="2BA559E9"/>
    <w:rsid w:val="2BB10633"/>
    <w:rsid w:val="2C113AC3"/>
    <w:rsid w:val="2D0A14EA"/>
    <w:rsid w:val="2D222D81"/>
    <w:rsid w:val="2DDE5D83"/>
    <w:rsid w:val="2E830CCE"/>
    <w:rsid w:val="2F821DA3"/>
    <w:rsid w:val="307A3D70"/>
    <w:rsid w:val="30FE72F1"/>
    <w:rsid w:val="31B7018C"/>
    <w:rsid w:val="3203475A"/>
    <w:rsid w:val="32513718"/>
    <w:rsid w:val="32872EA0"/>
    <w:rsid w:val="32FE2E9B"/>
    <w:rsid w:val="333126C0"/>
    <w:rsid w:val="3357543B"/>
    <w:rsid w:val="3421711A"/>
    <w:rsid w:val="34E138A4"/>
    <w:rsid w:val="34ED62D7"/>
    <w:rsid w:val="353F1F4D"/>
    <w:rsid w:val="35754FDA"/>
    <w:rsid w:val="35774D9F"/>
    <w:rsid w:val="35A87AF3"/>
    <w:rsid w:val="36D97FDD"/>
    <w:rsid w:val="373553B6"/>
    <w:rsid w:val="376A7537"/>
    <w:rsid w:val="37E001EA"/>
    <w:rsid w:val="37EE37B7"/>
    <w:rsid w:val="37F457DC"/>
    <w:rsid w:val="383D480E"/>
    <w:rsid w:val="387D4CD1"/>
    <w:rsid w:val="38AC0272"/>
    <w:rsid w:val="39557F91"/>
    <w:rsid w:val="3A06303A"/>
    <w:rsid w:val="3D6C2D45"/>
    <w:rsid w:val="3E7073DA"/>
    <w:rsid w:val="3EEA117C"/>
    <w:rsid w:val="3F103F94"/>
    <w:rsid w:val="3FD451EB"/>
    <w:rsid w:val="400E2C48"/>
    <w:rsid w:val="403703F1"/>
    <w:rsid w:val="40CF6117"/>
    <w:rsid w:val="40E8793D"/>
    <w:rsid w:val="41596145"/>
    <w:rsid w:val="422718F0"/>
    <w:rsid w:val="427D6F5C"/>
    <w:rsid w:val="42B95C33"/>
    <w:rsid w:val="42C83582"/>
    <w:rsid w:val="436F1026"/>
    <w:rsid w:val="444E19A7"/>
    <w:rsid w:val="44DF2E05"/>
    <w:rsid w:val="44EC44AD"/>
    <w:rsid w:val="451E392D"/>
    <w:rsid w:val="46593AA7"/>
    <w:rsid w:val="46641814"/>
    <w:rsid w:val="470F5832"/>
    <w:rsid w:val="471B1FD9"/>
    <w:rsid w:val="477B1E7C"/>
    <w:rsid w:val="47E32C0C"/>
    <w:rsid w:val="47F72214"/>
    <w:rsid w:val="482E20D9"/>
    <w:rsid w:val="48390ED1"/>
    <w:rsid w:val="489A776F"/>
    <w:rsid w:val="49340969"/>
    <w:rsid w:val="4A314C56"/>
    <w:rsid w:val="4A747123"/>
    <w:rsid w:val="4B6C50E2"/>
    <w:rsid w:val="4C20442F"/>
    <w:rsid w:val="4C2C153D"/>
    <w:rsid w:val="4CA92ED0"/>
    <w:rsid w:val="4CF51418"/>
    <w:rsid w:val="4E20297D"/>
    <w:rsid w:val="4E2B70BB"/>
    <w:rsid w:val="4E9D3820"/>
    <w:rsid w:val="4F0F42E7"/>
    <w:rsid w:val="4F4F0B87"/>
    <w:rsid w:val="504E1850"/>
    <w:rsid w:val="505855B9"/>
    <w:rsid w:val="50832D2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287EB0"/>
    <w:rsid w:val="55A51501"/>
    <w:rsid w:val="56110247"/>
    <w:rsid w:val="56585F78"/>
    <w:rsid w:val="56810C41"/>
    <w:rsid w:val="568234D0"/>
    <w:rsid w:val="575A4079"/>
    <w:rsid w:val="58086DF8"/>
    <w:rsid w:val="5818245E"/>
    <w:rsid w:val="58AC2BA6"/>
    <w:rsid w:val="58B82BD2"/>
    <w:rsid w:val="592B6E1F"/>
    <w:rsid w:val="596C0CB3"/>
    <w:rsid w:val="59EF0550"/>
    <w:rsid w:val="5A105AE3"/>
    <w:rsid w:val="5B8175B1"/>
    <w:rsid w:val="5BAD7C14"/>
    <w:rsid w:val="5BB8472C"/>
    <w:rsid w:val="5C1C28CE"/>
    <w:rsid w:val="5C2313D1"/>
    <w:rsid w:val="5C8005D2"/>
    <w:rsid w:val="5D1E5865"/>
    <w:rsid w:val="5D2B2C34"/>
    <w:rsid w:val="5D66733F"/>
    <w:rsid w:val="5D717B9C"/>
    <w:rsid w:val="5D76403C"/>
    <w:rsid w:val="5E412EB8"/>
    <w:rsid w:val="5EF153BA"/>
    <w:rsid w:val="5F9605FB"/>
    <w:rsid w:val="5FB46F10"/>
    <w:rsid w:val="5FCB3EDE"/>
    <w:rsid w:val="601C1153"/>
    <w:rsid w:val="61F730E4"/>
    <w:rsid w:val="623C47AA"/>
    <w:rsid w:val="625E65A5"/>
    <w:rsid w:val="63234928"/>
    <w:rsid w:val="63315910"/>
    <w:rsid w:val="63E56E61"/>
    <w:rsid w:val="647E7AED"/>
    <w:rsid w:val="649E1F3D"/>
    <w:rsid w:val="65615E7B"/>
    <w:rsid w:val="65617249"/>
    <w:rsid w:val="658924EB"/>
    <w:rsid w:val="67000C8D"/>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979E0"/>
    <w:rsid w:val="6C71128E"/>
    <w:rsid w:val="6C893DAB"/>
    <w:rsid w:val="6D3671B7"/>
    <w:rsid w:val="6D5E02EA"/>
    <w:rsid w:val="6EC407F2"/>
    <w:rsid w:val="6EF10793"/>
    <w:rsid w:val="6F03756C"/>
    <w:rsid w:val="6F043A22"/>
    <w:rsid w:val="6F095BAB"/>
    <w:rsid w:val="6F455122"/>
    <w:rsid w:val="6FB61E83"/>
    <w:rsid w:val="72E96A79"/>
    <w:rsid w:val="72F524C9"/>
    <w:rsid w:val="732E26DE"/>
    <w:rsid w:val="73922C6D"/>
    <w:rsid w:val="73F73575"/>
    <w:rsid w:val="74934F0B"/>
    <w:rsid w:val="74F1463C"/>
    <w:rsid w:val="752244C4"/>
    <w:rsid w:val="7533222E"/>
    <w:rsid w:val="753E5FF6"/>
    <w:rsid w:val="77057D06"/>
    <w:rsid w:val="77444892"/>
    <w:rsid w:val="77465356"/>
    <w:rsid w:val="780A4532"/>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15914</Words>
  <Characters>17547</Characters>
  <Lines>0</Lines>
  <Paragraphs>0</Paragraphs>
  <TotalTime>0</TotalTime>
  <ScaleCrop>false</ScaleCrop>
  <LinksUpToDate>false</LinksUpToDate>
  <CharactersWithSpaces>17645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李扬</cp:lastModifiedBy>
  <cp:lastPrinted>2025-09-17T03:51:00Z</cp:lastPrinted>
  <dcterms:modified xsi:type="dcterms:W3CDTF">2025-12-30T08:15:34Z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EF27F27C1BEA4F00A7D2630EDFAF3E74_13</vt:lpwstr>
  </property>
  <property fmtid="{D5CDD505-2E9C-101B-9397-08002B2CF9AE}" pid="4" name="KSOTemplateDocerSaveRecord">
    <vt:lpwstr>eyJoZGlkIjoiOWVjNTAyZTJmOTk5YjJjMzg5ZWM5MjdhMWFkZjhkYzQiLCJ1c2VySWQiOiI0MzczODk0NzkifQ==</vt:lpwstr>
  </property>
</Properties>
</file>