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7B7FD">
      <w:pPr>
        <w:spacing w:line="360" w:lineRule="auto"/>
        <w:ind w:firstLine="261" w:firstLineChars="50"/>
        <w:jc w:val="center"/>
        <w:rPr>
          <w:rFonts w:hint="eastAsia" w:ascii="宋体" w:hAnsi="宋体" w:eastAsia="宋体" w:cs="宋体"/>
          <w:b/>
          <w:color w:val="auto"/>
          <w:sz w:val="84"/>
          <w:szCs w:val="84"/>
          <w:highlight w:val="none"/>
        </w:rPr>
      </w:pPr>
      <w:r>
        <w:rPr>
          <w:rFonts w:hint="eastAsia" w:ascii="宋体" w:hAnsi="宋体" w:cs="宋体"/>
          <w:b/>
          <w:color w:val="auto"/>
          <w:sz w:val="52"/>
          <w:szCs w:val="52"/>
          <w:highlight w:val="none"/>
          <w:lang w:eastAsia="zh-CN"/>
        </w:rPr>
        <w:t>灵宝市2025年度永久基本农田年度评估调整补划及永久基本农田储备区划定更新项目</w:t>
      </w:r>
    </w:p>
    <w:p w14:paraId="2D3BF3B0">
      <w:pPr>
        <w:spacing w:line="360" w:lineRule="auto"/>
        <w:ind w:firstLine="422" w:firstLineChars="50"/>
        <w:jc w:val="center"/>
        <w:rPr>
          <w:rFonts w:hint="eastAsia" w:ascii="宋体" w:hAnsi="宋体" w:eastAsia="宋体" w:cs="宋体"/>
          <w:b/>
          <w:color w:val="auto"/>
          <w:sz w:val="84"/>
          <w:szCs w:val="84"/>
          <w:highlight w:val="none"/>
        </w:rPr>
      </w:pPr>
    </w:p>
    <w:p w14:paraId="09868FE6">
      <w:pPr>
        <w:spacing w:line="360" w:lineRule="auto"/>
        <w:ind w:firstLine="422" w:firstLineChars="50"/>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竞争性磋商文件</w:t>
      </w:r>
    </w:p>
    <w:p w14:paraId="1B24BA1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2" w:lineRule="atLeast"/>
        <w:ind w:right="0"/>
        <w:jc w:val="center"/>
        <w:rPr>
          <w:rFonts w:hint="eastAsia" w:ascii="宋体" w:hAnsi="宋体" w:eastAsia="宋体" w:cs="宋体"/>
          <w:b/>
          <w:color w:val="auto"/>
          <w:sz w:val="28"/>
          <w:szCs w:val="28"/>
          <w:highlight w:val="none"/>
        </w:rPr>
      </w:pPr>
    </w:p>
    <w:p w14:paraId="1EE24E8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2" w:lineRule="atLeast"/>
        <w:ind w:right="0"/>
        <w:jc w:val="center"/>
        <w:rPr>
          <w:rFonts w:hint="eastAsia" w:ascii="微软雅黑" w:hAnsi="微软雅黑" w:eastAsia="宋体" w:cs="微软雅黑"/>
          <w:color w:val="auto"/>
          <w:sz w:val="16"/>
          <w:szCs w:val="16"/>
          <w:highlight w:val="none"/>
          <w:lang w:val="en-US" w:eastAsia="zh-CN"/>
        </w:rPr>
      </w:pPr>
      <w:r>
        <w:rPr>
          <w:rFonts w:hint="eastAsia" w:ascii="宋体" w:hAnsi="宋体" w:eastAsia="宋体" w:cs="宋体"/>
          <w:b/>
          <w:color w:val="auto"/>
          <w:sz w:val="28"/>
          <w:szCs w:val="28"/>
          <w:highlight w:val="none"/>
        </w:rPr>
        <w:t>项目编号：</w:t>
      </w:r>
      <w:r>
        <w:rPr>
          <w:rFonts w:hint="eastAsia" w:ascii="宋体" w:hAnsi="宋体" w:cs="宋体"/>
          <w:b/>
          <w:color w:val="auto"/>
          <w:sz w:val="28"/>
          <w:szCs w:val="28"/>
          <w:highlight w:val="none"/>
          <w:lang w:eastAsia="zh-CN"/>
        </w:rPr>
        <w:t>LBGZ[2026]019-ZC018、灵宝竞磋采购-2026-9</w:t>
      </w:r>
    </w:p>
    <w:p w14:paraId="52E13796">
      <w:pPr>
        <w:widowControl/>
        <w:spacing w:line="560" w:lineRule="exact"/>
        <w:jc w:val="left"/>
        <w:rPr>
          <w:rFonts w:hint="eastAsia" w:ascii="宋体" w:hAnsi="宋体" w:eastAsia="宋体" w:cs="宋体"/>
          <w:b/>
          <w:color w:val="auto"/>
          <w:sz w:val="28"/>
          <w:szCs w:val="28"/>
          <w:highlight w:val="none"/>
        </w:rPr>
      </w:pPr>
    </w:p>
    <w:p w14:paraId="676B7C89">
      <w:pPr>
        <w:spacing w:line="360" w:lineRule="auto"/>
        <w:jc w:val="both"/>
        <w:rPr>
          <w:rFonts w:hint="eastAsia" w:ascii="宋体" w:hAnsi="宋体" w:eastAsia="宋体" w:cs="宋体"/>
          <w:b/>
          <w:color w:val="auto"/>
          <w:sz w:val="28"/>
          <w:szCs w:val="28"/>
          <w:highlight w:val="none"/>
        </w:rPr>
      </w:pPr>
    </w:p>
    <w:p w14:paraId="47C83AAD">
      <w:pPr>
        <w:spacing w:line="360" w:lineRule="auto"/>
        <w:jc w:val="both"/>
        <w:rPr>
          <w:rFonts w:hint="eastAsia" w:ascii="宋体" w:hAnsi="宋体" w:eastAsia="宋体" w:cs="宋体"/>
          <w:b/>
          <w:color w:val="auto"/>
          <w:sz w:val="28"/>
          <w:szCs w:val="28"/>
          <w:highlight w:val="none"/>
        </w:rPr>
      </w:pPr>
    </w:p>
    <w:p w14:paraId="3A0027D6">
      <w:pPr>
        <w:widowControl/>
        <w:jc w:val="left"/>
        <w:rPr>
          <w:rFonts w:hint="eastAsia" w:ascii="宋体" w:hAnsi="宋体" w:eastAsia="宋体" w:cs="宋体"/>
          <w:color w:val="auto"/>
          <w:highlight w:val="none"/>
        </w:rPr>
      </w:pPr>
    </w:p>
    <w:p w14:paraId="000039D0">
      <w:pPr>
        <w:widowControl/>
        <w:jc w:val="left"/>
        <w:rPr>
          <w:rFonts w:hint="eastAsia" w:ascii="宋体" w:hAnsi="宋体" w:eastAsia="宋体" w:cs="宋体"/>
          <w:color w:val="auto"/>
          <w:highlight w:val="none"/>
        </w:rPr>
      </w:pPr>
    </w:p>
    <w:p w14:paraId="744DC268">
      <w:pPr>
        <w:widowControl/>
        <w:jc w:val="left"/>
        <w:rPr>
          <w:rFonts w:hint="eastAsia" w:ascii="宋体" w:hAnsi="宋体" w:eastAsia="宋体" w:cs="宋体"/>
          <w:color w:val="auto"/>
          <w:highlight w:val="none"/>
        </w:rPr>
      </w:pPr>
    </w:p>
    <w:p w14:paraId="6C428B06">
      <w:pPr>
        <w:widowControl/>
        <w:jc w:val="left"/>
        <w:rPr>
          <w:rFonts w:hint="eastAsia" w:ascii="宋体" w:hAnsi="宋体" w:eastAsia="宋体" w:cs="宋体"/>
          <w:color w:val="auto"/>
          <w:highlight w:val="none"/>
        </w:rPr>
      </w:pPr>
    </w:p>
    <w:p w14:paraId="30C9AB70">
      <w:pPr>
        <w:widowControl/>
        <w:jc w:val="left"/>
        <w:rPr>
          <w:rFonts w:hint="eastAsia" w:ascii="宋体" w:hAnsi="宋体" w:eastAsia="宋体" w:cs="宋体"/>
          <w:color w:val="auto"/>
          <w:highlight w:val="none"/>
        </w:rPr>
      </w:pPr>
    </w:p>
    <w:p w14:paraId="0B395D26">
      <w:pPr>
        <w:pStyle w:val="2"/>
        <w:rPr>
          <w:rFonts w:hint="eastAsia" w:ascii="宋体" w:hAnsi="宋体" w:eastAsia="宋体" w:cs="宋体"/>
          <w:color w:val="auto"/>
          <w:highlight w:val="none"/>
        </w:rPr>
      </w:pPr>
    </w:p>
    <w:p w14:paraId="7C3D6E01">
      <w:pPr>
        <w:pStyle w:val="2"/>
        <w:rPr>
          <w:rFonts w:hint="eastAsia" w:ascii="宋体" w:hAnsi="宋体" w:eastAsia="宋体" w:cs="宋体"/>
          <w:color w:val="auto"/>
          <w:highlight w:val="none"/>
        </w:rPr>
      </w:pPr>
    </w:p>
    <w:p w14:paraId="546EB2C6">
      <w:pPr>
        <w:widowControl/>
        <w:jc w:val="left"/>
        <w:rPr>
          <w:rFonts w:hint="eastAsia" w:ascii="宋体" w:hAnsi="宋体" w:eastAsia="宋体" w:cs="宋体"/>
          <w:color w:val="auto"/>
          <w:highlight w:val="none"/>
        </w:rPr>
      </w:pPr>
    </w:p>
    <w:p w14:paraId="1E653908">
      <w:pPr>
        <w:widowControl/>
        <w:jc w:val="left"/>
        <w:rPr>
          <w:rFonts w:hint="eastAsia" w:ascii="宋体" w:hAnsi="宋体" w:eastAsia="宋体" w:cs="宋体"/>
          <w:color w:val="auto"/>
          <w:highlight w:val="none"/>
        </w:rPr>
      </w:pPr>
    </w:p>
    <w:p w14:paraId="20834577">
      <w:pPr>
        <w:widowControl/>
        <w:jc w:val="left"/>
        <w:rPr>
          <w:rFonts w:hint="eastAsia" w:ascii="宋体" w:hAnsi="宋体" w:eastAsia="宋体" w:cs="宋体"/>
          <w:color w:val="auto"/>
          <w:highlight w:val="none"/>
        </w:rPr>
      </w:pPr>
    </w:p>
    <w:tbl>
      <w:tblPr>
        <w:tblStyle w:val="16"/>
        <w:tblW w:w="0" w:type="auto"/>
        <w:jc w:val="center"/>
        <w:tblLayout w:type="fixed"/>
        <w:tblCellMar>
          <w:top w:w="0" w:type="dxa"/>
          <w:left w:w="108" w:type="dxa"/>
          <w:bottom w:w="0" w:type="dxa"/>
          <w:right w:w="108" w:type="dxa"/>
        </w:tblCellMar>
      </w:tblPr>
      <w:tblGrid>
        <w:gridCol w:w="2190"/>
        <w:gridCol w:w="5410"/>
      </w:tblGrid>
      <w:tr w14:paraId="194C85BB">
        <w:tblPrEx>
          <w:tblCellMar>
            <w:top w:w="0" w:type="dxa"/>
            <w:left w:w="108" w:type="dxa"/>
            <w:bottom w:w="0" w:type="dxa"/>
            <w:right w:w="108" w:type="dxa"/>
          </w:tblCellMar>
        </w:tblPrEx>
        <w:trPr>
          <w:jc w:val="center"/>
        </w:trPr>
        <w:tc>
          <w:tcPr>
            <w:tcW w:w="2190" w:type="dxa"/>
          </w:tcPr>
          <w:p w14:paraId="053A58A2">
            <w:pPr>
              <w:pStyle w:val="9"/>
              <w:adjustRightInd w:val="0"/>
              <w:snapToGrid w:val="0"/>
              <w:spacing w:line="360" w:lineRule="auto"/>
              <w:ind w:firstLine="0" w:firstLineChars="0"/>
              <w:jc w:val="distribute"/>
              <w:rPr>
                <w:rFonts w:hint="eastAsia" w:asciiTheme="minorEastAsia" w:hAnsiTheme="minorEastAsia" w:eastAsiaTheme="minorEastAsia" w:cstheme="minorEastAsia"/>
                <w:b/>
                <w:sz w:val="32"/>
                <w:szCs w:val="32"/>
                <w:highlight w:val="none"/>
              </w:rPr>
            </w:pPr>
            <w:bookmarkStart w:id="0" w:name="_Toc508179882"/>
            <w:r>
              <w:rPr>
                <w:rFonts w:hint="eastAsia" w:asciiTheme="minorEastAsia" w:hAnsiTheme="minorEastAsia" w:eastAsiaTheme="minorEastAsia" w:cstheme="minorEastAsia"/>
                <w:b/>
                <w:sz w:val="32"/>
                <w:szCs w:val="32"/>
                <w:highlight w:val="none"/>
              </w:rPr>
              <w:t>招标人：</w:t>
            </w:r>
          </w:p>
        </w:tc>
        <w:tc>
          <w:tcPr>
            <w:tcW w:w="5410" w:type="dxa"/>
          </w:tcPr>
          <w:p w14:paraId="5AF75C9D">
            <w:pPr>
              <w:pStyle w:val="9"/>
              <w:adjustRightInd w:val="0"/>
              <w:snapToGrid w:val="0"/>
              <w:spacing w:line="360" w:lineRule="auto"/>
              <w:ind w:firstLine="0" w:firstLineChars="0"/>
              <w:jc w:val="distribute"/>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pacing w:val="14"/>
                <w:w w:val="97"/>
                <w:sz w:val="32"/>
                <w:szCs w:val="32"/>
                <w:highlight w:val="none"/>
                <w:lang w:eastAsia="zh-CN"/>
              </w:rPr>
              <w:t>灵宝市自然资源和规划局</w:t>
            </w:r>
          </w:p>
        </w:tc>
      </w:tr>
      <w:tr w14:paraId="52D9C15F">
        <w:tblPrEx>
          <w:tblCellMar>
            <w:top w:w="0" w:type="dxa"/>
            <w:left w:w="108" w:type="dxa"/>
            <w:bottom w:w="0" w:type="dxa"/>
            <w:right w:w="108" w:type="dxa"/>
          </w:tblCellMar>
        </w:tblPrEx>
        <w:trPr>
          <w:jc w:val="center"/>
        </w:trPr>
        <w:tc>
          <w:tcPr>
            <w:tcW w:w="2190" w:type="dxa"/>
          </w:tcPr>
          <w:p w14:paraId="487510B7">
            <w:pPr>
              <w:pStyle w:val="9"/>
              <w:adjustRightInd w:val="0"/>
              <w:snapToGrid w:val="0"/>
              <w:spacing w:line="360" w:lineRule="auto"/>
              <w:ind w:firstLine="0" w:firstLineChars="0"/>
              <w:jc w:val="distribute"/>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代理机构：</w:t>
            </w:r>
          </w:p>
        </w:tc>
        <w:tc>
          <w:tcPr>
            <w:tcW w:w="5410" w:type="dxa"/>
          </w:tcPr>
          <w:p w14:paraId="7BE57A64">
            <w:pPr>
              <w:adjustRightInd w:val="0"/>
              <w:snapToGrid w:val="0"/>
              <w:spacing w:line="360" w:lineRule="auto"/>
              <w:ind w:firstLine="0" w:firstLineChars="0"/>
              <w:jc w:val="distribute"/>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32"/>
                <w:szCs w:val="32"/>
                <w:highlight w:val="none"/>
                <w:lang w:eastAsia="zh-CN"/>
              </w:rPr>
              <w:t>华睿诚项目管理有限公司</w:t>
            </w:r>
          </w:p>
        </w:tc>
      </w:tr>
      <w:tr w14:paraId="48558ECD">
        <w:tblPrEx>
          <w:tblCellMar>
            <w:top w:w="0" w:type="dxa"/>
            <w:left w:w="108" w:type="dxa"/>
            <w:bottom w:w="0" w:type="dxa"/>
            <w:right w:w="108" w:type="dxa"/>
          </w:tblCellMar>
        </w:tblPrEx>
        <w:trPr>
          <w:jc w:val="center"/>
        </w:trPr>
        <w:tc>
          <w:tcPr>
            <w:tcW w:w="2190" w:type="dxa"/>
          </w:tcPr>
          <w:p w14:paraId="30D75D2A">
            <w:pPr>
              <w:pStyle w:val="9"/>
              <w:adjustRightInd w:val="0"/>
              <w:snapToGrid w:val="0"/>
              <w:spacing w:line="360" w:lineRule="auto"/>
              <w:ind w:firstLine="0" w:firstLineChars="0"/>
              <w:jc w:val="distribute"/>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编制日期：</w:t>
            </w:r>
          </w:p>
        </w:tc>
        <w:tc>
          <w:tcPr>
            <w:tcW w:w="5410" w:type="dxa"/>
          </w:tcPr>
          <w:p w14:paraId="6B3F44D8">
            <w:pPr>
              <w:pStyle w:val="9"/>
              <w:adjustRightInd w:val="0"/>
              <w:snapToGrid w:val="0"/>
              <w:spacing w:line="360" w:lineRule="auto"/>
              <w:ind w:firstLine="0" w:firstLineChars="0"/>
              <w:jc w:val="distribute"/>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二零二</w:t>
            </w:r>
            <w:r>
              <w:rPr>
                <w:rFonts w:hint="eastAsia" w:asciiTheme="minorEastAsia" w:hAnsiTheme="minorEastAsia" w:eastAsiaTheme="minorEastAsia" w:cstheme="minorEastAsia"/>
                <w:b/>
                <w:sz w:val="32"/>
                <w:szCs w:val="32"/>
                <w:highlight w:val="none"/>
                <w:lang w:val="en-US" w:eastAsia="zh-CN"/>
              </w:rPr>
              <w:t>六</w:t>
            </w:r>
            <w:r>
              <w:rPr>
                <w:rFonts w:hint="eastAsia" w:asciiTheme="minorEastAsia" w:hAnsiTheme="minorEastAsia" w:eastAsiaTheme="minorEastAsia" w:cstheme="minorEastAsia"/>
                <w:b/>
                <w:sz w:val="32"/>
                <w:szCs w:val="32"/>
                <w:highlight w:val="none"/>
              </w:rPr>
              <w:t>年</w:t>
            </w:r>
            <w:r>
              <w:rPr>
                <w:rFonts w:hint="eastAsia" w:asciiTheme="minorEastAsia" w:hAnsiTheme="minorEastAsia" w:eastAsiaTheme="minorEastAsia" w:cstheme="minorEastAsia"/>
                <w:b/>
                <w:sz w:val="32"/>
                <w:szCs w:val="32"/>
                <w:highlight w:val="none"/>
                <w:lang w:val="en-US" w:eastAsia="zh-CN"/>
              </w:rPr>
              <w:t>一</w:t>
            </w:r>
            <w:r>
              <w:rPr>
                <w:rFonts w:hint="eastAsia" w:asciiTheme="minorEastAsia" w:hAnsiTheme="minorEastAsia" w:eastAsiaTheme="minorEastAsia" w:cstheme="minorEastAsia"/>
                <w:b/>
                <w:sz w:val="32"/>
                <w:szCs w:val="32"/>
                <w:highlight w:val="none"/>
              </w:rPr>
              <w:t>月</w:t>
            </w:r>
          </w:p>
        </w:tc>
      </w:tr>
    </w:tbl>
    <w:p w14:paraId="77A07DDA">
      <w:pPr>
        <w:spacing w:line="360" w:lineRule="auto"/>
        <w:jc w:val="center"/>
        <w:rPr>
          <w:rFonts w:hint="eastAsia" w:ascii="宋体" w:hAnsi="宋体" w:eastAsia="宋体" w:cs="宋体"/>
          <w:b/>
          <w:color w:val="auto"/>
          <w:kern w:val="44"/>
          <w:sz w:val="44"/>
          <w:szCs w:val="44"/>
          <w:highlight w:val="none"/>
        </w:rPr>
      </w:pPr>
      <w:r>
        <w:rPr>
          <w:rFonts w:hint="eastAsia" w:ascii="宋体" w:hAnsi="宋体" w:eastAsia="宋体" w:cs="宋体"/>
          <w:b/>
          <w:color w:val="auto"/>
          <w:kern w:val="0"/>
          <w:sz w:val="32"/>
          <w:szCs w:val="32"/>
          <w:highlight w:val="none"/>
          <w:shd w:val="clear" w:color="auto" w:fill="FFFFFF"/>
        </w:rPr>
        <w:br w:type="page"/>
      </w:r>
      <w:r>
        <w:rPr>
          <w:rFonts w:hint="eastAsia" w:ascii="宋体" w:hAnsi="宋体" w:eastAsia="宋体" w:cs="宋体"/>
          <w:b/>
          <w:color w:val="auto"/>
          <w:kern w:val="44"/>
          <w:sz w:val="44"/>
          <w:szCs w:val="44"/>
          <w:highlight w:val="none"/>
        </w:rPr>
        <w:t>目   录</w:t>
      </w:r>
    </w:p>
    <w:bookmarkEnd w:id="0"/>
    <w:p w14:paraId="7ACCADF5">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bookmarkStart w:id="1" w:name="_Toc525811562"/>
      <w:bookmarkStart w:id="2" w:name="_Toc16520163"/>
      <w:bookmarkStart w:id="3" w:name="_Toc523220931"/>
      <w:r>
        <w:rPr>
          <w:rFonts w:hint="eastAsia" w:ascii="宋体" w:hAnsi="宋体" w:eastAsia="宋体" w:cs="宋体"/>
          <w:bCs/>
          <w:color w:val="auto"/>
          <w:sz w:val="24"/>
          <w:szCs w:val="24"/>
          <w:highlight w:val="none"/>
          <w:lang w:eastAsia="zh-CN"/>
        </w:rPr>
        <w:fldChar w:fldCharType="begin"/>
      </w:r>
      <w:r>
        <w:rPr>
          <w:rFonts w:hint="eastAsia" w:ascii="宋体" w:hAnsi="宋体" w:eastAsia="宋体" w:cs="宋体"/>
          <w:bCs/>
          <w:color w:val="auto"/>
          <w:sz w:val="24"/>
          <w:szCs w:val="24"/>
          <w:highlight w:val="none"/>
          <w:lang w:eastAsia="zh-CN"/>
        </w:rPr>
        <w:instrText xml:space="preserve"> TOC \o "1-2" \h \u </w:instrText>
      </w:r>
      <w:r>
        <w:rPr>
          <w:rFonts w:hint="eastAsia" w:ascii="宋体" w:hAnsi="宋体" w:eastAsia="宋体" w:cs="宋体"/>
          <w:bCs/>
          <w:color w:val="auto"/>
          <w:sz w:val="24"/>
          <w:szCs w:val="24"/>
          <w:highlight w:val="none"/>
          <w:lang w:eastAsia="zh-CN"/>
        </w:rPr>
        <w:fldChar w:fldCharType="separate"/>
      </w:r>
      <w:r>
        <w:rPr>
          <w:rFonts w:hint="eastAsia" w:ascii="宋体" w:hAnsi="宋体" w:eastAsia="宋体" w:cs="宋体"/>
          <w:bCs/>
          <w:color w:val="auto"/>
          <w:sz w:val="24"/>
          <w:szCs w:val="24"/>
          <w:highlight w:val="none"/>
          <w:lang w:eastAsia="zh-CN"/>
        </w:rPr>
        <w:fldChar w:fldCharType="begin"/>
      </w:r>
      <w:r>
        <w:rPr>
          <w:rFonts w:hint="eastAsia" w:ascii="宋体" w:hAnsi="宋体" w:eastAsia="宋体" w:cs="宋体"/>
          <w:bCs/>
          <w:color w:val="auto"/>
          <w:sz w:val="24"/>
          <w:szCs w:val="24"/>
          <w:highlight w:val="none"/>
          <w:lang w:eastAsia="zh-CN"/>
        </w:rPr>
        <w:instrText xml:space="preserve"> HYPERLINK \l _Toc23400 </w:instrText>
      </w:r>
      <w:r>
        <w:rPr>
          <w:rFonts w:hint="eastAsia" w:ascii="宋体" w:hAnsi="宋体" w:eastAsia="宋体" w:cs="宋体"/>
          <w:bCs/>
          <w:color w:val="auto"/>
          <w:sz w:val="24"/>
          <w:szCs w:val="24"/>
          <w:highlight w:val="none"/>
          <w:lang w:eastAsia="zh-CN"/>
        </w:rPr>
        <w:fldChar w:fldCharType="separate"/>
      </w:r>
      <w:r>
        <w:rPr>
          <w:rFonts w:hint="eastAsia" w:ascii="宋体" w:hAnsi="宋体" w:eastAsia="宋体" w:cs="宋体"/>
          <w:bCs/>
          <w:color w:val="auto"/>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_Toc23400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eastAsia="zh-CN"/>
        </w:rPr>
        <w:fldChar w:fldCharType="end"/>
      </w:r>
    </w:p>
    <w:p w14:paraId="6F486F59">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fldChar w:fldCharType="begin"/>
      </w:r>
      <w:r>
        <w:rPr>
          <w:rFonts w:hint="eastAsia" w:ascii="宋体" w:hAnsi="宋体" w:eastAsia="宋体" w:cs="宋体"/>
          <w:bCs/>
          <w:color w:val="auto"/>
          <w:sz w:val="24"/>
          <w:szCs w:val="24"/>
          <w:highlight w:val="none"/>
          <w:lang w:eastAsia="zh-CN"/>
        </w:rPr>
        <w:instrText xml:space="preserve"> HYPERLINK \l _Toc8041 </w:instrText>
      </w:r>
      <w:r>
        <w:rPr>
          <w:rFonts w:hint="eastAsia" w:ascii="宋体" w:hAnsi="宋体" w:eastAsia="宋体" w:cs="宋体"/>
          <w:bCs/>
          <w:color w:val="auto"/>
          <w:sz w:val="24"/>
          <w:szCs w:val="24"/>
          <w:highlight w:val="none"/>
          <w:lang w:eastAsia="zh-CN"/>
        </w:rPr>
        <w:fldChar w:fldCharType="separate"/>
      </w:r>
      <w:r>
        <w:rPr>
          <w:rFonts w:hint="eastAsia" w:ascii="宋体" w:hAnsi="宋体" w:eastAsia="宋体" w:cs="宋体"/>
          <w:bCs/>
          <w:color w:val="auto"/>
          <w:sz w:val="24"/>
          <w:szCs w:val="24"/>
          <w:highlight w:val="none"/>
        </w:rPr>
        <w:t xml:space="preserve">第二章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_Toc8041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eastAsia="zh-CN"/>
        </w:rPr>
        <w:fldChar w:fldCharType="end"/>
      </w:r>
    </w:p>
    <w:p w14:paraId="38E1FAD6">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fldChar w:fldCharType="begin"/>
      </w:r>
      <w:r>
        <w:rPr>
          <w:rFonts w:hint="eastAsia" w:ascii="宋体" w:hAnsi="宋体" w:eastAsia="宋体" w:cs="宋体"/>
          <w:bCs/>
          <w:color w:val="auto"/>
          <w:sz w:val="24"/>
          <w:szCs w:val="24"/>
          <w:highlight w:val="none"/>
          <w:lang w:eastAsia="zh-CN"/>
        </w:rPr>
        <w:instrText xml:space="preserve"> HYPERLINK \l _Toc23881 </w:instrText>
      </w:r>
      <w:r>
        <w:rPr>
          <w:rFonts w:hint="eastAsia" w:ascii="宋体" w:hAnsi="宋体" w:eastAsia="宋体" w:cs="宋体"/>
          <w:bCs/>
          <w:color w:val="auto"/>
          <w:sz w:val="24"/>
          <w:szCs w:val="24"/>
          <w:highlight w:val="none"/>
          <w:lang w:eastAsia="zh-CN"/>
        </w:rPr>
        <w:fldChar w:fldCharType="separate"/>
      </w:r>
      <w:r>
        <w:rPr>
          <w:rFonts w:hint="eastAsia" w:ascii="宋体" w:hAnsi="宋体" w:eastAsia="宋体" w:cs="宋体"/>
          <w:bCs/>
          <w:color w:val="auto"/>
          <w:sz w:val="24"/>
          <w:szCs w:val="24"/>
          <w:highlight w:val="none"/>
        </w:rPr>
        <w:t xml:space="preserve">第三章  </w:t>
      </w:r>
      <w:r>
        <w:rPr>
          <w:rFonts w:hint="eastAsia" w:ascii="宋体" w:hAnsi="宋体" w:eastAsia="宋体" w:cs="宋体"/>
          <w:bCs/>
          <w:color w:val="auto"/>
          <w:sz w:val="24"/>
          <w:szCs w:val="24"/>
          <w:highlight w:val="none"/>
          <w:lang w:val="en-US" w:eastAsia="zh-CN"/>
        </w:rPr>
        <w:t>服务内容</w:t>
      </w:r>
      <w:r>
        <w:rPr>
          <w:rFonts w:hint="eastAsia" w:ascii="宋体" w:hAnsi="宋体" w:eastAsia="宋体" w:cs="宋体"/>
          <w:bCs/>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_Toc23881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eastAsia="zh-CN"/>
        </w:rPr>
        <w:fldChar w:fldCharType="end"/>
      </w:r>
    </w:p>
    <w:p w14:paraId="67D29EAB">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fldChar w:fldCharType="begin"/>
      </w:r>
      <w:r>
        <w:rPr>
          <w:rFonts w:hint="eastAsia" w:ascii="宋体" w:hAnsi="宋体" w:eastAsia="宋体" w:cs="宋体"/>
          <w:bCs/>
          <w:color w:val="auto"/>
          <w:sz w:val="24"/>
          <w:szCs w:val="24"/>
          <w:highlight w:val="none"/>
          <w:lang w:eastAsia="zh-CN"/>
        </w:rPr>
        <w:instrText xml:space="preserve"> HYPERLINK \l _Toc10931 </w:instrText>
      </w:r>
      <w:r>
        <w:rPr>
          <w:rFonts w:hint="eastAsia" w:ascii="宋体" w:hAnsi="宋体" w:eastAsia="宋体" w:cs="宋体"/>
          <w:bCs/>
          <w:color w:val="auto"/>
          <w:sz w:val="24"/>
          <w:szCs w:val="24"/>
          <w:highlight w:val="none"/>
          <w:lang w:eastAsia="zh-CN"/>
        </w:rPr>
        <w:fldChar w:fldCharType="separate"/>
      </w:r>
      <w:r>
        <w:rPr>
          <w:rFonts w:hint="eastAsia" w:ascii="宋体" w:hAnsi="宋体" w:eastAsia="宋体" w:cs="宋体"/>
          <w:bCs/>
          <w:color w:val="auto"/>
          <w:sz w:val="24"/>
          <w:szCs w:val="24"/>
          <w:highlight w:val="none"/>
        </w:rPr>
        <w:t>第四章  评审办法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_Toc10931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eastAsia="zh-CN"/>
        </w:rPr>
        <w:fldChar w:fldCharType="end"/>
      </w:r>
    </w:p>
    <w:p w14:paraId="28BC6DAF">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fldChar w:fldCharType="begin"/>
      </w:r>
      <w:r>
        <w:rPr>
          <w:rFonts w:hint="eastAsia" w:ascii="宋体" w:hAnsi="宋体" w:eastAsia="宋体" w:cs="宋体"/>
          <w:bCs/>
          <w:color w:val="auto"/>
          <w:sz w:val="24"/>
          <w:szCs w:val="24"/>
          <w:highlight w:val="none"/>
          <w:lang w:eastAsia="zh-CN"/>
        </w:rPr>
        <w:instrText xml:space="preserve"> HYPERLINK \l _Toc32577 </w:instrText>
      </w:r>
      <w:r>
        <w:rPr>
          <w:rFonts w:hint="eastAsia" w:ascii="宋体" w:hAnsi="宋体" w:eastAsia="宋体" w:cs="宋体"/>
          <w:bCs/>
          <w:color w:val="auto"/>
          <w:sz w:val="24"/>
          <w:szCs w:val="24"/>
          <w:highlight w:val="none"/>
          <w:lang w:eastAsia="zh-CN"/>
        </w:rPr>
        <w:fldChar w:fldCharType="separate"/>
      </w:r>
      <w:r>
        <w:rPr>
          <w:rFonts w:hint="eastAsia" w:ascii="宋体" w:hAnsi="宋体" w:eastAsia="宋体" w:cs="宋体"/>
          <w:bCs/>
          <w:color w:val="auto"/>
          <w:sz w:val="24"/>
          <w:szCs w:val="24"/>
          <w:highlight w:val="none"/>
        </w:rPr>
        <w:t xml:space="preserve">第五章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合同协议书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_Toc32577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eastAsia="zh-CN"/>
        </w:rPr>
        <w:fldChar w:fldCharType="end"/>
      </w:r>
    </w:p>
    <w:p w14:paraId="3D9E0B7C">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fldChar w:fldCharType="begin"/>
      </w:r>
      <w:r>
        <w:rPr>
          <w:rFonts w:hint="eastAsia" w:ascii="宋体" w:hAnsi="宋体" w:eastAsia="宋体" w:cs="宋体"/>
          <w:bCs/>
          <w:color w:val="auto"/>
          <w:sz w:val="24"/>
          <w:szCs w:val="24"/>
          <w:highlight w:val="none"/>
          <w:lang w:eastAsia="zh-CN"/>
        </w:rPr>
        <w:instrText xml:space="preserve"> HYPERLINK \l _Toc5473 </w:instrText>
      </w:r>
      <w:r>
        <w:rPr>
          <w:rFonts w:hint="eastAsia" w:ascii="宋体" w:hAnsi="宋体" w:eastAsia="宋体" w:cs="宋体"/>
          <w:bCs/>
          <w:color w:val="auto"/>
          <w:sz w:val="24"/>
          <w:szCs w:val="24"/>
          <w:highlight w:val="none"/>
          <w:lang w:eastAsia="zh-CN"/>
        </w:rPr>
        <w:fldChar w:fldCharType="separate"/>
      </w:r>
      <w:r>
        <w:rPr>
          <w:rFonts w:hint="eastAsia" w:ascii="宋体" w:hAnsi="宋体" w:eastAsia="宋体" w:cs="宋体"/>
          <w:bCs/>
          <w:color w:val="auto"/>
          <w:sz w:val="24"/>
          <w:szCs w:val="24"/>
          <w:highlight w:val="none"/>
        </w:rPr>
        <w:t xml:space="preserve">第六章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响应性文件部分格式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_Toc5473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eastAsia="zh-CN"/>
        </w:rPr>
        <w:fldChar w:fldCharType="end"/>
      </w:r>
    </w:p>
    <w:p w14:paraId="6C82405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fldChar w:fldCharType="end"/>
      </w:r>
    </w:p>
    <w:p w14:paraId="423ED0FE">
      <w:pPr>
        <w:rPr>
          <w:rFonts w:hint="eastAsia" w:ascii="宋体" w:hAnsi="宋体" w:eastAsia="宋体" w:cs="宋体"/>
          <w:bCs/>
          <w:color w:val="auto"/>
          <w:sz w:val="30"/>
          <w:szCs w:val="30"/>
          <w:highlight w:val="none"/>
        </w:rPr>
      </w:pPr>
    </w:p>
    <w:p w14:paraId="7AB74682">
      <w:pPr>
        <w:jc w:val="center"/>
        <w:outlineLvl w:val="0"/>
        <w:rPr>
          <w:rFonts w:hint="eastAsia" w:ascii="宋体" w:hAnsi="宋体" w:eastAsia="宋体" w:cs="宋体"/>
          <w:b/>
          <w:bCs/>
          <w:color w:val="auto"/>
          <w:sz w:val="32"/>
          <w:szCs w:val="32"/>
          <w:highlight w:val="none"/>
        </w:rPr>
        <w:sectPr>
          <w:headerReference r:id="rId3" w:type="default"/>
          <w:footerReference r:id="rId4" w:type="default"/>
          <w:pgSz w:w="11906" w:h="16838"/>
          <w:pgMar w:top="1361" w:right="1134" w:bottom="1247" w:left="1134" w:header="850" w:footer="907" w:gutter="0"/>
          <w:cols w:space="720" w:num="1"/>
          <w:docGrid w:type="lines" w:linePitch="312" w:charSpace="0"/>
        </w:sectPr>
      </w:pPr>
      <w:bookmarkStart w:id="4" w:name="_Toc121405490"/>
      <w:bookmarkStart w:id="5" w:name="_Toc23400"/>
      <w:bookmarkStart w:id="6" w:name="_Toc22273"/>
    </w:p>
    <w:p w14:paraId="5A80307B">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第一章  竞争性磋商公告</w:t>
      </w:r>
      <w:bookmarkEnd w:id="4"/>
      <w:bookmarkEnd w:id="5"/>
      <w:bookmarkEnd w:id="6"/>
    </w:p>
    <w:bookmarkEnd w:id="1"/>
    <w:bookmarkEnd w:id="2"/>
    <w:bookmarkEnd w:id="3"/>
    <w:p w14:paraId="6AEF7EDD">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bookmarkStart w:id="7" w:name="_Toc28359091"/>
      <w:bookmarkStart w:id="8" w:name="_Toc28359014"/>
      <w:bookmarkStart w:id="9" w:name="_Hlk16602944"/>
      <w:r>
        <w:rPr>
          <w:rFonts w:hint="eastAsia" w:ascii="宋体" w:hAnsi="宋体" w:cs="宋体"/>
          <w:color w:val="auto"/>
          <w:sz w:val="24"/>
          <w:szCs w:val="24"/>
          <w:highlight w:val="none"/>
          <w:lang w:val="zh-CN" w:eastAsia="zh-CN" w:bidi="zh-CN"/>
        </w:rPr>
        <w:t>华睿诚项目管理有限公司</w:t>
      </w:r>
      <w:r>
        <w:rPr>
          <w:rFonts w:hint="eastAsia" w:ascii="宋体" w:hAnsi="宋体" w:eastAsia="宋体" w:cs="宋体"/>
          <w:color w:val="auto"/>
          <w:sz w:val="24"/>
          <w:szCs w:val="24"/>
          <w:highlight w:val="none"/>
          <w:lang w:val="zh-CN" w:eastAsia="zh-CN" w:bidi="zh-CN"/>
        </w:rPr>
        <w:t>受灵宝市自然资源和规划局的委托，就</w:t>
      </w:r>
      <w:r>
        <w:rPr>
          <w:rFonts w:hint="eastAsia" w:ascii="宋体" w:hAnsi="宋体" w:cs="宋体"/>
          <w:color w:val="auto"/>
          <w:sz w:val="24"/>
          <w:szCs w:val="24"/>
          <w:highlight w:val="none"/>
          <w:lang w:val="zh-CN" w:eastAsia="zh-CN" w:bidi="zh-CN"/>
        </w:rPr>
        <w:t>灵宝市2025年度永久基本农田年度评估调整补划及永久基本农田储备区划定更新项目</w:t>
      </w:r>
      <w:r>
        <w:rPr>
          <w:rFonts w:hint="eastAsia" w:ascii="宋体" w:hAnsi="宋体" w:eastAsia="宋体" w:cs="宋体"/>
          <w:color w:val="auto"/>
          <w:sz w:val="24"/>
          <w:szCs w:val="24"/>
          <w:highlight w:val="none"/>
          <w:lang w:val="zh-CN" w:eastAsia="zh-CN" w:bidi="zh-CN"/>
        </w:rPr>
        <w:t>进行竞争性磋商，欢迎符合资格条件的供应商参加磋商。</w:t>
      </w:r>
    </w:p>
    <w:p w14:paraId="058F502D">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一、项目基本情况</w:t>
      </w:r>
    </w:p>
    <w:p w14:paraId="1B98090B">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zh-CN" w:eastAsia="zh-CN" w:bidi="zh-CN"/>
        </w:rPr>
        <w:t>1、项目编号：</w:t>
      </w:r>
      <w:r>
        <w:rPr>
          <w:rFonts w:hint="eastAsia" w:ascii="宋体" w:hAnsi="宋体" w:cs="宋体"/>
          <w:color w:val="auto"/>
          <w:sz w:val="24"/>
          <w:szCs w:val="24"/>
          <w:highlight w:val="none"/>
          <w:lang w:val="zh-CN" w:eastAsia="zh-CN" w:bidi="zh-CN"/>
        </w:rPr>
        <w:t>LBGZ[2026]019-ZC018、灵宝竞磋采购-2026-9</w:t>
      </w:r>
    </w:p>
    <w:p w14:paraId="1B95CFEF">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2、项目名称：</w:t>
      </w:r>
      <w:r>
        <w:rPr>
          <w:rFonts w:hint="eastAsia" w:ascii="宋体" w:hAnsi="宋体" w:cs="宋体"/>
          <w:color w:val="auto"/>
          <w:sz w:val="24"/>
          <w:szCs w:val="24"/>
          <w:highlight w:val="none"/>
          <w:lang w:val="zh-CN" w:eastAsia="zh-CN" w:bidi="zh-CN"/>
        </w:rPr>
        <w:t>灵宝市2025年度永久基本农田年度评估调整补划及永久基本农田储备区划定更新项目</w:t>
      </w:r>
    </w:p>
    <w:p w14:paraId="377B693F">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3、采购方式：竞争性磋商</w:t>
      </w:r>
    </w:p>
    <w:p w14:paraId="46D26D11">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4、预算金额：</w:t>
      </w:r>
      <w:r>
        <w:rPr>
          <w:rFonts w:hint="eastAsia" w:ascii="宋体" w:hAnsi="宋体" w:cs="宋体"/>
          <w:color w:val="auto"/>
          <w:sz w:val="24"/>
          <w:szCs w:val="24"/>
          <w:highlight w:val="none"/>
          <w:lang w:val="en-US" w:eastAsia="zh-CN" w:bidi="zh-CN"/>
        </w:rPr>
        <w:t>86.13</w:t>
      </w:r>
      <w:r>
        <w:rPr>
          <w:rFonts w:hint="eastAsia" w:ascii="宋体" w:hAnsi="宋体" w:eastAsia="宋体" w:cs="宋体"/>
          <w:color w:val="auto"/>
          <w:sz w:val="24"/>
          <w:szCs w:val="24"/>
          <w:highlight w:val="none"/>
          <w:lang w:val="en-US" w:eastAsia="zh-CN" w:bidi="zh-CN"/>
        </w:rPr>
        <w:t>万元</w:t>
      </w:r>
    </w:p>
    <w:p w14:paraId="2F4AB89B">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5、采购需求（包括但不限于标的的名称、数量、简要技术需求或服务要求等）</w:t>
      </w:r>
    </w:p>
    <w:p w14:paraId="50599D9D">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5.1采购内容：</w:t>
      </w:r>
      <w:r>
        <w:rPr>
          <w:rFonts w:hint="eastAsia" w:ascii="宋体" w:hAnsi="宋体" w:cs="宋体"/>
          <w:color w:val="auto"/>
          <w:sz w:val="24"/>
          <w:szCs w:val="24"/>
          <w:highlight w:val="none"/>
          <w:lang w:eastAsia="zh-CN"/>
        </w:rPr>
        <w:t>灵宝市2025年度永久基本农田年度评估调整补划及永久基本农田储备区划定更新项目</w:t>
      </w:r>
      <w:r>
        <w:rPr>
          <w:rFonts w:hint="eastAsia" w:ascii="宋体" w:hAnsi="宋体" w:cs="宋体"/>
          <w:color w:val="auto"/>
          <w:sz w:val="24"/>
          <w:szCs w:val="24"/>
          <w:highlight w:val="none"/>
        </w:rPr>
        <w:t>；具体内容详见磋商文件</w:t>
      </w:r>
      <w:r>
        <w:rPr>
          <w:rFonts w:hint="eastAsia" w:ascii="宋体" w:hAnsi="宋体" w:eastAsia="宋体" w:cs="宋体"/>
          <w:color w:val="auto"/>
          <w:sz w:val="24"/>
          <w:szCs w:val="24"/>
          <w:highlight w:val="none"/>
          <w:lang w:val="zh-CN" w:eastAsia="zh-CN" w:bidi="zh-CN"/>
        </w:rPr>
        <w:t>。</w:t>
      </w:r>
    </w:p>
    <w:p w14:paraId="65712043">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5.2标段划分：一个标段</w:t>
      </w:r>
    </w:p>
    <w:p w14:paraId="11315E52">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5.</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val="zh-CN" w:eastAsia="zh-CN" w:bidi="zh-CN"/>
        </w:rPr>
        <w:t>服务地点：采购人指定地点</w:t>
      </w:r>
    </w:p>
    <w:p w14:paraId="3793ABA6">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5.</w:t>
      </w: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val="zh-CN" w:eastAsia="zh-CN" w:bidi="zh-CN"/>
        </w:rPr>
        <w:t>服务质量：符合现行国家规程、地方技术方案及相关标准的规定，质量要求达到合格，通过上级行政主管部门的评审及验收</w:t>
      </w:r>
    </w:p>
    <w:p w14:paraId="7722A4B4">
      <w:pPr>
        <w:spacing w:line="360" w:lineRule="auto"/>
        <w:ind w:firstLine="480" w:firstLineChars="200"/>
        <w:jc w:val="left"/>
        <w:rPr>
          <w:rFonts w:hint="default"/>
          <w:color w:val="auto"/>
          <w:sz w:val="24"/>
          <w:szCs w:val="24"/>
          <w:highlight w:val="none"/>
          <w:lang w:val="en-US" w:eastAsia="zh-CN"/>
        </w:rPr>
      </w:pPr>
      <w:r>
        <w:rPr>
          <w:rFonts w:hint="eastAsia" w:ascii="宋体" w:hAnsi="宋体" w:eastAsia="宋体" w:cs="宋体"/>
          <w:color w:val="auto"/>
          <w:sz w:val="24"/>
          <w:szCs w:val="24"/>
          <w:highlight w:val="none"/>
          <w:lang w:val="en-US" w:eastAsia="zh-CN" w:bidi="zh-CN"/>
        </w:rPr>
        <w:t>5.5资金来源：财政资金，已落实。</w:t>
      </w:r>
    </w:p>
    <w:p w14:paraId="2801DEC3">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zh-CN" w:eastAsia="zh-CN" w:bidi="zh-CN"/>
        </w:rPr>
        <w:t>6、服务期限：</w:t>
      </w:r>
      <w:r>
        <w:rPr>
          <w:rFonts w:hint="eastAsia" w:ascii="宋体" w:hAnsi="宋体" w:cs="宋体"/>
          <w:color w:val="auto"/>
          <w:sz w:val="24"/>
          <w:szCs w:val="24"/>
          <w:highlight w:val="none"/>
          <w:lang w:val="zh-CN" w:eastAsia="zh-CN" w:bidi="zh-CN"/>
        </w:rPr>
        <w:t>自签订合同之日起240日历天完成项目服务并提交成果；</w:t>
      </w:r>
    </w:p>
    <w:p w14:paraId="7A497A79">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7</w:t>
      </w:r>
      <w:r>
        <w:rPr>
          <w:rFonts w:hint="eastAsia" w:ascii="宋体" w:hAnsi="宋体" w:eastAsia="宋体" w:cs="宋体"/>
          <w:color w:val="auto"/>
          <w:sz w:val="24"/>
          <w:szCs w:val="24"/>
          <w:highlight w:val="none"/>
          <w:lang w:val="zh-CN" w:eastAsia="zh-CN" w:bidi="zh-CN"/>
        </w:rPr>
        <w:t>、本项目是否接受联合体投标：否</w:t>
      </w:r>
    </w:p>
    <w:p w14:paraId="37FE6B37">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8</w:t>
      </w:r>
      <w:r>
        <w:rPr>
          <w:rFonts w:hint="eastAsia" w:ascii="宋体" w:hAnsi="宋体" w:eastAsia="宋体" w:cs="宋体"/>
          <w:color w:val="auto"/>
          <w:sz w:val="24"/>
          <w:szCs w:val="24"/>
          <w:highlight w:val="none"/>
          <w:lang w:val="zh-CN" w:eastAsia="zh-CN" w:bidi="zh-CN"/>
        </w:rPr>
        <w:t>、是否接受进口产品：否</w:t>
      </w:r>
    </w:p>
    <w:p w14:paraId="3DE052EF">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二、</w:t>
      </w:r>
      <w:r>
        <w:rPr>
          <w:rFonts w:hint="eastAsia" w:ascii="宋体" w:hAnsi="宋体" w:eastAsia="宋体" w:cs="宋体"/>
          <w:color w:val="auto"/>
          <w:sz w:val="24"/>
          <w:szCs w:val="24"/>
          <w:highlight w:val="none"/>
          <w:lang w:val="en-US" w:eastAsia="zh-CN" w:bidi="zh-CN"/>
        </w:rPr>
        <w:t>供应商</w:t>
      </w:r>
      <w:r>
        <w:rPr>
          <w:rFonts w:hint="eastAsia" w:ascii="宋体" w:hAnsi="宋体" w:eastAsia="宋体" w:cs="宋体"/>
          <w:color w:val="auto"/>
          <w:sz w:val="24"/>
          <w:szCs w:val="24"/>
          <w:highlight w:val="none"/>
          <w:lang w:val="zh-CN" w:eastAsia="zh-CN" w:bidi="zh-CN"/>
        </w:rPr>
        <w:t>资格要求：</w:t>
      </w:r>
    </w:p>
    <w:p w14:paraId="7B45EBE2">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1、满足《中华人民共和国政府采购法》第二十二条规定；</w:t>
      </w:r>
    </w:p>
    <w:p w14:paraId="046398FE">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2、落实政府采购政策满足的资格要求：</w:t>
      </w:r>
    </w:p>
    <w:p w14:paraId="191A9487">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本项目专门面向中小企业、监狱企业及残疾人福利性单位采购项目，须提供《中小企业声明函》</w:t>
      </w:r>
      <w:r>
        <w:rPr>
          <w:rFonts w:hint="eastAsia" w:ascii="宋体" w:hAnsi="宋体" w:cs="宋体"/>
          <w:color w:val="auto"/>
          <w:sz w:val="24"/>
          <w:szCs w:val="24"/>
          <w:highlight w:val="none"/>
          <w:lang w:val="zh-CN" w:eastAsia="zh-CN" w:bidi="zh-CN"/>
        </w:rPr>
        <w:t>，</w:t>
      </w:r>
      <w:r>
        <w:rPr>
          <w:rFonts w:hint="eastAsia" w:ascii="宋体" w:hAnsi="宋体" w:eastAsia="宋体" w:cs="宋体"/>
          <w:color w:val="auto"/>
          <w:sz w:val="24"/>
          <w:szCs w:val="24"/>
          <w:highlight w:val="none"/>
          <w:lang w:val="zh-CN" w:eastAsia="zh-CN" w:bidi="zh-CN"/>
        </w:rPr>
        <w:t>不符合要求的声明函或未提供的将视为不符合资格要求。</w:t>
      </w:r>
    </w:p>
    <w:p w14:paraId="3E8862CB">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3、本项目的特定资格要求：</w:t>
      </w:r>
    </w:p>
    <w:p w14:paraId="675218B7">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3.1、供应商具有独立承担民事责任的能力（具有有效的营业执照或事业单位法人证书）；</w:t>
      </w:r>
    </w:p>
    <w:p w14:paraId="797493C6">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3.2、</w:t>
      </w:r>
      <w:r>
        <w:rPr>
          <w:rFonts w:hint="eastAsia" w:ascii="宋体" w:hAnsi="宋体" w:cs="宋体"/>
          <w:color w:val="auto"/>
          <w:sz w:val="24"/>
          <w:szCs w:val="24"/>
          <w:highlight w:val="none"/>
          <w:lang w:val="zh-CN" w:eastAsia="zh-CN" w:bidi="zh-CN"/>
        </w:rPr>
        <w:t>供应商须同时具备行政主管部门核准和颁发的测绘乙级（含）及以上资质和土地规划乙级（含）及以上资质（因国家机构改革而暂停审批的规划资质证书，提供相应证明视同继续有效）</w:t>
      </w:r>
      <w:r>
        <w:rPr>
          <w:rFonts w:hint="eastAsia" w:ascii="宋体" w:hAnsi="宋体" w:eastAsia="宋体" w:cs="宋体"/>
          <w:color w:val="auto"/>
          <w:sz w:val="24"/>
          <w:szCs w:val="24"/>
          <w:highlight w:val="none"/>
          <w:lang w:val="zh-CN" w:eastAsia="zh-CN" w:bidi="zh-CN"/>
        </w:rPr>
        <w:t>；</w:t>
      </w:r>
    </w:p>
    <w:p w14:paraId="53BC34C4">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3.3、</w:t>
      </w:r>
      <w:r>
        <w:rPr>
          <w:rFonts w:hint="eastAsia" w:ascii="宋体" w:hAnsi="宋体" w:cs="宋体"/>
          <w:color w:val="auto"/>
          <w:sz w:val="24"/>
          <w:szCs w:val="24"/>
          <w:highlight w:val="none"/>
          <w:lang w:val="zh-CN" w:eastAsia="zh-CN" w:bidi="zh-CN"/>
        </w:rPr>
        <w:t>拟派项目负责人须具备相关专业中级及以上技术职称及单位养老保险缴费证明</w:t>
      </w:r>
      <w:r>
        <w:rPr>
          <w:rFonts w:hint="eastAsia" w:ascii="宋体" w:hAnsi="宋体" w:eastAsia="宋体" w:cs="宋体"/>
          <w:color w:val="auto"/>
          <w:sz w:val="24"/>
          <w:szCs w:val="24"/>
          <w:highlight w:val="none"/>
          <w:lang w:val="zh-CN" w:eastAsia="zh-CN" w:bidi="zh-CN"/>
        </w:rPr>
        <w:t>；</w:t>
      </w:r>
    </w:p>
    <w:p w14:paraId="057AE624">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w:t>
      </w:r>
      <w:r>
        <w:rPr>
          <w:rFonts w:hint="eastAsia" w:ascii="宋体" w:hAnsi="宋体" w:cs="宋体"/>
          <w:color w:val="auto"/>
          <w:sz w:val="24"/>
          <w:szCs w:val="24"/>
          <w:highlight w:val="none"/>
          <w:lang w:val="en-US" w:eastAsia="zh-CN" w:bidi="zh-CN"/>
        </w:rPr>
        <w:t>4</w:t>
      </w:r>
      <w:r>
        <w:rPr>
          <w:rFonts w:hint="eastAsia" w:ascii="宋体" w:hAnsi="宋体" w:eastAsia="宋体" w:cs="宋体"/>
          <w:color w:val="auto"/>
          <w:sz w:val="24"/>
          <w:szCs w:val="24"/>
          <w:highlight w:val="none"/>
          <w:lang w:val="en-US" w:eastAsia="zh-CN" w:bidi="zh-CN"/>
        </w:rPr>
        <w:t>、</w:t>
      </w:r>
      <w:r>
        <w:rPr>
          <w:rFonts w:hint="eastAsia" w:ascii="宋体" w:hAnsi="宋体" w:eastAsia="宋体" w:cs="宋体"/>
          <w:color w:val="auto"/>
          <w:sz w:val="24"/>
          <w:szCs w:val="24"/>
          <w:highlight w:val="none"/>
          <w:lang w:val="zh-CN" w:eastAsia="zh-CN" w:bidi="zh-CN"/>
        </w:rPr>
        <w:t>具有履行合同所必需的设备和专业技术能力（自行承诺，格式自拟）；</w:t>
      </w:r>
    </w:p>
    <w:p w14:paraId="5E9C2FC1">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3.</w:t>
      </w:r>
      <w:r>
        <w:rPr>
          <w:rFonts w:hint="eastAsia" w:ascii="宋体" w:hAnsi="宋体" w:cs="宋体"/>
          <w:color w:val="auto"/>
          <w:sz w:val="24"/>
          <w:szCs w:val="24"/>
          <w:highlight w:val="none"/>
          <w:lang w:val="en-US" w:eastAsia="zh-CN" w:bidi="zh-CN"/>
        </w:rPr>
        <w:t>5</w:t>
      </w:r>
      <w:r>
        <w:rPr>
          <w:rFonts w:hint="eastAsia" w:ascii="宋体" w:hAnsi="宋体" w:eastAsia="宋体" w:cs="宋体"/>
          <w:color w:val="auto"/>
          <w:sz w:val="24"/>
          <w:szCs w:val="24"/>
          <w:highlight w:val="none"/>
          <w:lang w:val="en-US" w:eastAsia="zh-CN" w:bidi="zh-CN"/>
        </w:rPr>
        <w:t>、</w:t>
      </w:r>
      <w:r>
        <w:rPr>
          <w:rFonts w:hint="eastAsia" w:ascii="宋体" w:hAnsi="宋体" w:eastAsia="宋体" w:cs="宋体"/>
          <w:color w:val="auto"/>
          <w:sz w:val="24"/>
          <w:szCs w:val="24"/>
          <w:highlight w:val="none"/>
          <w:lang w:val="zh-CN" w:eastAsia="zh-CN" w:bidi="zh-CN"/>
        </w:rPr>
        <w:t>参加政府采购活动前三年，在经营活动中没有重大违法记录（提供参加政府采购活动前三年没有重大违法记录的书面声明，格式自拟）；</w:t>
      </w:r>
    </w:p>
    <w:p w14:paraId="10FF77F3">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3</w:t>
      </w:r>
      <w:r>
        <w:rPr>
          <w:rFonts w:hint="eastAsia" w:ascii="宋体" w:hAnsi="宋体" w:cs="宋体"/>
          <w:color w:val="auto"/>
          <w:sz w:val="24"/>
          <w:szCs w:val="24"/>
          <w:highlight w:val="none"/>
          <w:lang w:val="en-US" w:eastAsia="zh-CN" w:bidi="zh-CN"/>
        </w:rPr>
        <w:t>.6</w:t>
      </w:r>
      <w:r>
        <w:rPr>
          <w:rFonts w:hint="eastAsia" w:ascii="宋体" w:hAnsi="宋体" w:eastAsia="宋体" w:cs="宋体"/>
          <w:color w:val="auto"/>
          <w:sz w:val="24"/>
          <w:szCs w:val="24"/>
          <w:highlight w:val="none"/>
          <w:lang w:val="en-US" w:eastAsia="zh-CN" w:bidi="zh-CN"/>
        </w:rPr>
        <w:t>、</w:t>
      </w:r>
      <w:r>
        <w:rPr>
          <w:rFonts w:hint="eastAsia" w:ascii="宋体" w:hAnsi="宋体" w:eastAsia="宋体" w:cs="宋体"/>
          <w:color w:val="auto"/>
          <w:sz w:val="24"/>
          <w:szCs w:val="24"/>
          <w:highlight w:val="none"/>
          <w:lang w:val="zh-CN" w:eastAsia="zh-CN" w:bidi="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56569D3E">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3.</w:t>
      </w:r>
      <w:r>
        <w:rPr>
          <w:rFonts w:hint="eastAsia" w:ascii="宋体" w:hAnsi="宋体" w:cs="宋体"/>
          <w:color w:val="auto"/>
          <w:sz w:val="24"/>
          <w:szCs w:val="24"/>
          <w:highlight w:val="none"/>
          <w:lang w:val="en-US" w:eastAsia="zh-CN" w:bidi="zh-CN"/>
        </w:rPr>
        <w:t>7</w:t>
      </w:r>
      <w:r>
        <w:rPr>
          <w:rFonts w:hint="eastAsia" w:ascii="宋体" w:hAnsi="宋体" w:eastAsia="宋体" w:cs="宋体"/>
          <w:color w:val="auto"/>
          <w:sz w:val="24"/>
          <w:szCs w:val="24"/>
          <w:highlight w:val="none"/>
          <w:lang w:val="en-US" w:eastAsia="zh-CN" w:bidi="zh-CN"/>
        </w:rPr>
        <w:t>、须提供本企业无商业贿赂及无不正当竞争行为的承诺书（格式自拟）</w:t>
      </w:r>
      <w:r>
        <w:rPr>
          <w:rFonts w:hint="eastAsia" w:ascii="宋体" w:hAnsi="宋体" w:eastAsia="宋体" w:cs="宋体"/>
          <w:color w:val="auto"/>
          <w:sz w:val="24"/>
          <w:szCs w:val="24"/>
          <w:highlight w:val="none"/>
          <w:lang w:val="zh-CN" w:eastAsia="zh-CN" w:bidi="zh-CN"/>
        </w:rPr>
        <w:t>；</w:t>
      </w:r>
    </w:p>
    <w:p w14:paraId="23C8D901">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3.</w:t>
      </w:r>
      <w:r>
        <w:rPr>
          <w:rFonts w:hint="eastAsia" w:ascii="宋体" w:hAnsi="宋体" w:cs="宋体"/>
          <w:color w:val="auto"/>
          <w:sz w:val="24"/>
          <w:szCs w:val="24"/>
          <w:highlight w:val="none"/>
          <w:lang w:val="en-US" w:eastAsia="zh-CN" w:bidi="zh-CN"/>
        </w:rPr>
        <w:t>8</w:t>
      </w:r>
      <w:r>
        <w:rPr>
          <w:rFonts w:hint="eastAsia" w:ascii="宋体" w:hAnsi="宋体" w:eastAsia="宋体" w:cs="宋体"/>
          <w:color w:val="auto"/>
          <w:sz w:val="24"/>
          <w:szCs w:val="24"/>
          <w:highlight w:val="none"/>
          <w:lang w:val="en-US" w:eastAsia="zh-CN" w:bidi="zh-CN"/>
        </w:rPr>
        <w:t>、</w:t>
      </w:r>
      <w:r>
        <w:rPr>
          <w:rFonts w:hint="eastAsia" w:ascii="宋体" w:hAnsi="宋体" w:eastAsia="宋体" w:cs="宋体"/>
          <w:color w:val="auto"/>
          <w:sz w:val="24"/>
          <w:szCs w:val="24"/>
          <w:highlight w:val="none"/>
          <w:lang w:val="zh-CN" w:eastAsia="zh-CN" w:bidi="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14:paraId="1381891E">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3.</w:t>
      </w:r>
      <w:r>
        <w:rPr>
          <w:rFonts w:hint="eastAsia" w:ascii="宋体" w:hAnsi="宋体" w:cs="宋体"/>
          <w:color w:val="auto"/>
          <w:sz w:val="24"/>
          <w:szCs w:val="24"/>
          <w:highlight w:val="none"/>
          <w:lang w:val="en-US" w:eastAsia="zh-CN" w:bidi="zh-CN"/>
        </w:rPr>
        <w:t>9</w:t>
      </w:r>
      <w:r>
        <w:rPr>
          <w:rFonts w:hint="eastAsia" w:ascii="宋体" w:hAnsi="宋体" w:eastAsia="宋体" w:cs="宋体"/>
          <w:color w:val="auto"/>
          <w:sz w:val="24"/>
          <w:szCs w:val="24"/>
          <w:highlight w:val="none"/>
          <w:lang w:val="en-US" w:eastAsia="zh-CN" w:bidi="zh-CN"/>
        </w:rPr>
        <w:t>、</w:t>
      </w:r>
      <w:r>
        <w:rPr>
          <w:rFonts w:hint="eastAsia" w:ascii="宋体" w:hAnsi="宋体" w:eastAsia="宋体" w:cs="宋体"/>
          <w:color w:val="auto"/>
          <w:sz w:val="24"/>
          <w:szCs w:val="24"/>
          <w:highlight w:val="none"/>
          <w:lang w:val="zh-CN" w:eastAsia="zh-CN" w:bidi="zh-CN"/>
        </w:rPr>
        <w:t>本项目不接受联合体投标（提供非联合体承诺，格式自拟）。</w:t>
      </w:r>
    </w:p>
    <w:p w14:paraId="71964383">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3.1</w:t>
      </w:r>
      <w:r>
        <w:rPr>
          <w:rFonts w:hint="eastAsia" w:ascii="宋体" w:hAnsi="宋体" w:cs="宋体"/>
          <w:color w:val="auto"/>
          <w:sz w:val="24"/>
          <w:szCs w:val="24"/>
          <w:highlight w:val="none"/>
          <w:lang w:val="en-US" w:eastAsia="zh-CN" w:bidi="zh-CN"/>
        </w:rPr>
        <w:t>0</w:t>
      </w:r>
      <w:r>
        <w:rPr>
          <w:rFonts w:hint="eastAsia" w:ascii="宋体" w:hAnsi="宋体" w:eastAsia="宋体" w:cs="宋体"/>
          <w:color w:val="auto"/>
          <w:sz w:val="24"/>
          <w:szCs w:val="24"/>
          <w:highlight w:val="none"/>
          <w:lang w:val="en-US" w:eastAsia="zh-CN" w:bidi="zh-CN"/>
        </w:rPr>
        <w:t>、</w:t>
      </w:r>
      <w:r>
        <w:rPr>
          <w:rFonts w:hint="eastAsia" w:ascii="宋体" w:hAnsi="宋体" w:eastAsia="宋体" w:cs="宋体"/>
          <w:color w:val="auto"/>
          <w:sz w:val="24"/>
          <w:szCs w:val="24"/>
          <w:highlight w:val="none"/>
          <w:lang w:val="zh-CN" w:eastAsia="zh-CN" w:bidi="zh-CN"/>
        </w:rPr>
        <w:t>本次招标实行资格后审，资格审查的具体要求见竞争性磋商文件。</w:t>
      </w:r>
    </w:p>
    <w:p w14:paraId="42E6359A">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三、竞争性磋商文件获取：</w:t>
      </w:r>
    </w:p>
    <w:bookmarkEnd w:id="7"/>
    <w:bookmarkEnd w:id="8"/>
    <w:bookmarkEnd w:id="9"/>
    <w:p w14:paraId="0B33A95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eastAsia="zh-CN"/>
        </w:rPr>
        <w:t>2026年02月05日08时30分</w:t>
      </w:r>
      <w:r>
        <w:rPr>
          <w:rFonts w:hint="eastAsia" w:ascii="宋体" w:hAnsi="宋体" w:eastAsia="宋体" w:cs="宋体"/>
          <w:color w:val="auto"/>
          <w:sz w:val="24"/>
          <w:szCs w:val="24"/>
          <w:highlight w:val="none"/>
        </w:rPr>
        <w:t>（北京时间）</w:t>
      </w:r>
    </w:p>
    <w:p w14:paraId="4B303F04">
      <w:pPr>
        <w:spacing w:line="360" w:lineRule="auto"/>
        <w:ind w:firstLine="480" w:firstLineChars="200"/>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2.地点：三门峡市公共资源交易中心网（http://gzjy.smx.gov.cn/）</w:t>
      </w:r>
    </w:p>
    <w:p w14:paraId="3B77DCC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3.方式：本项目没有报名环节，</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sz w:val="24"/>
          <w:szCs w:val="24"/>
          <w:highlight w:val="none"/>
        </w:rPr>
        <w:t>凭CA数字证书通过（网址：http://gzjy.smx.gov.cn/），点击交易平台选择“市场主体登录”，登陆系统后，点击采购业务-业务管理-竞争性磋商文件领取菜单-点击领取按钮-领取.smxzf格式的电子竞争性磋商文件。</w:t>
      </w:r>
    </w:p>
    <w:p w14:paraId="0B00D6F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三门峡市公共资源交易平台操作手册：</w:t>
      </w:r>
    </w:p>
    <w:p w14:paraId="57A443D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http://gzjy.smx.gov.cn/fwzn/004003/20200325/2b5a3a5a-f987-405c-993f-88f43e1d1ac3.html</w:t>
      </w:r>
    </w:p>
    <w:p w14:paraId="5650A53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办理CA证书：</w:t>
      </w:r>
    </w:p>
    <w:p w14:paraId="6E521C36">
      <w:pPr>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http://gzjy.smx.gov.cn/bzzx/008001/20231102/4defc9b5-408e-47f2-9e9f-1f376a06ee1f.html</w:t>
      </w:r>
    </w:p>
    <w:p w14:paraId="2841EE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售价：根据《关于进一步加强公共资源交易管理持续优化营商环境的通知》（三公管办〔2020〕2号）文件的要求，文件费用不再收取。</w:t>
      </w:r>
    </w:p>
    <w:p w14:paraId="2C00C195">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四、响应文件提交</w:t>
      </w:r>
    </w:p>
    <w:p w14:paraId="3888C0FB">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1、截止时间：</w:t>
      </w:r>
      <w:r>
        <w:rPr>
          <w:rFonts w:hint="eastAsia" w:ascii="宋体" w:hAnsi="宋体" w:cs="宋体"/>
          <w:color w:val="auto"/>
          <w:sz w:val="24"/>
          <w:szCs w:val="24"/>
          <w:highlight w:val="none"/>
          <w:lang w:val="zh-CN" w:eastAsia="zh-CN" w:bidi="zh-CN"/>
        </w:rPr>
        <w:t>2026年02月05日08时30分</w:t>
      </w:r>
      <w:r>
        <w:rPr>
          <w:rFonts w:hint="eastAsia" w:ascii="宋体" w:hAnsi="宋体" w:eastAsia="宋体" w:cs="宋体"/>
          <w:color w:val="auto"/>
          <w:sz w:val="24"/>
          <w:szCs w:val="24"/>
          <w:highlight w:val="none"/>
          <w:lang w:val="zh-CN" w:eastAsia="zh-CN" w:bidi="zh-CN"/>
        </w:rPr>
        <w:t>（北京时间）</w:t>
      </w:r>
    </w:p>
    <w:p w14:paraId="2541AE48">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2、地点：加密电子竞争性磋商响应文件须在磋商截止时间前通过三门峡市公共资源交易中心电子交易平台加密上传。（网址：http://gzjy.smx.gov.cn/）</w:t>
      </w:r>
    </w:p>
    <w:p w14:paraId="2B682197">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五、磋商时间和地点</w:t>
      </w:r>
    </w:p>
    <w:p w14:paraId="722D05D6">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1.响应文件递交截止时间及磋商时间：</w:t>
      </w:r>
      <w:r>
        <w:rPr>
          <w:rFonts w:hint="eastAsia" w:ascii="宋体" w:hAnsi="宋体" w:cs="宋体"/>
          <w:color w:val="auto"/>
          <w:sz w:val="24"/>
          <w:szCs w:val="24"/>
          <w:highlight w:val="none"/>
          <w:lang w:val="zh-CN" w:eastAsia="zh-CN" w:bidi="zh-CN"/>
        </w:rPr>
        <w:t>2026年02月05日08时30分</w:t>
      </w:r>
      <w:r>
        <w:rPr>
          <w:rFonts w:hint="eastAsia" w:ascii="宋体" w:hAnsi="宋体" w:eastAsia="宋体" w:cs="宋体"/>
          <w:color w:val="auto"/>
          <w:sz w:val="24"/>
          <w:szCs w:val="24"/>
          <w:highlight w:val="none"/>
          <w:lang w:val="zh-CN" w:eastAsia="zh-CN" w:bidi="zh-CN"/>
        </w:rPr>
        <w:t>。</w:t>
      </w:r>
    </w:p>
    <w:p w14:paraId="40310267">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2.磋商地点：灵宝市公共资源交易中心开</w:t>
      </w:r>
      <w:r>
        <w:rPr>
          <w:rFonts w:hint="eastAsia" w:ascii="宋体" w:hAnsi="宋体" w:cs="宋体"/>
          <w:color w:val="auto"/>
          <w:sz w:val="24"/>
          <w:szCs w:val="24"/>
          <w:highlight w:val="none"/>
          <w:lang w:val="zh-CN" w:eastAsia="zh-CN" w:bidi="zh-CN"/>
        </w:rPr>
        <w:t>标二室、评标二室</w:t>
      </w:r>
      <w:r>
        <w:rPr>
          <w:rFonts w:hint="eastAsia" w:ascii="宋体" w:hAnsi="宋体" w:eastAsia="宋体" w:cs="宋体"/>
          <w:color w:val="auto"/>
          <w:sz w:val="24"/>
          <w:szCs w:val="24"/>
          <w:highlight w:val="none"/>
          <w:lang w:val="zh-CN" w:eastAsia="zh-CN" w:bidi="zh-CN"/>
        </w:rPr>
        <w:t>（灵宝市信用合作联社 12 楼）。</w:t>
      </w:r>
    </w:p>
    <w:p w14:paraId="7162F708">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3、开标时供应商必须持CA密钥在规定时间内对本单位的加密电子响应文件进行远程解密。本次项目实行远程不见面开标。</w:t>
      </w:r>
    </w:p>
    <w:p w14:paraId="252F6359">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六、其他补充事宜</w:t>
      </w:r>
    </w:p>
    <w:p w14:paraId="33901E68">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1. 本项目为不见面开标项目。开标当日，磋商供应商无需到开标现场参加开标会议，磋商供应商应当在投标截止时间前，登陆不见面开标大厅选择登陆三门峡市公共资源电子招投标系统进行登陆（网址http://120.194.249.36:10094/BidOpening/bidopeninghallaction/hall/login）,在线准时参加开标活动并进行响应文件解密等。每位磋商供应商的解密时间为开标时间起30分钟内完成。因供应商原因未能解密、解密失败或解密超时的将被拒绝。</w:t>
      </w:r>
    </w:p>
    <w:p w14:paraId="45128140">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2.本项目为电子化、无纸化交易项目，开标时不再接受任何纸质资料，为保证您能投标成功，请需仔细阅读竞争性磋商文件和三门峡市公共资源交易中心官网业务办理指南。</w:t>
      </w:r>
    </w:p>
    <w:p w14:paraId="71F55DC7">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3.根据《河南省财政厅关于优化政府采购营商环境有关问题的通知》（豫财购【2019】4号）第6条的规定，磋商保证金不再收取。</w:t>
      </w:r>
    </w:p>
    <w:p w14:paraId="43E9DC46">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4.本项目实行资格后审，审查内容以投标文件为准，其上传资料真实性由供应商自行承担，同时，供应商请完善主体库。（注：评标过程中若主体库资料显示不全面，不得作为废标的依据）</w:t>
      </w:r>
    </w:p>
    <w:p w14:paraId="2643F40C">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5.评标打分部分：评标打分部分仍按照100分制原则进行，涉及到资格审查、企业荣誉、企业业绩等计分部分时，以投标单位自行上传到磋商响应文件中的相应内容为准。</w:t>
      </w:r>
    </w:p>
    <w:p w14:paraId="2530E12E">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7A427ABE">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7.我单位（采购人）严格按三财购【2021】9号文要求的时限发布中标结果公告，发出中标通知书，签订采购合同，上传采购合同。</w:t>
      </w:r>
    </w:p>
    <w:p w14:paraId="07F8C077">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七、发布竞争性磋商公告的媒介</w:t>
      </w:r>
    </w:p>
    <w:p w14:paraId="6AA0235E">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本次磋商公告同时在《河南省政府采购网》、《中国采购与招标网》、《三门峡市公共资源交易中心网》上发布。</w:t>
      </w:r>
    </w:p>
    <w:p w14:paraId="0E8A1626">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、联系方式：</w:t>
      </w:r>
    </w:p>
    <w:p w14:paraId="15847A62">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监督单位：灵宝市财政局政府采购监督管理科</w:t>
      </w:r>
    </w:p>
    <w:p w14:paraId="43128B17">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联系电话：0398-8852670</w:t>
      </w:r>
    </w:p>
    <w:p w14:paraId="225B8E26">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监督单位：中共灵宝市自然资源和规划局党组</w:t>
      </w:r>
    </w:p>
    <w:p w14:paraId="5E95360B">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0398-8853801</w:t>
      </w:r>
    </w:p>
    <w:p w14:paraId="5711314D">
      <w:pPr>
        <w:keepNext w:val="0"/>
        <w:keepLines w:val="0"/>
        <w:pageBreakBefore w:val="0"/>
        <w:widowControl w:val="0"/>
        <w:kinsoku/>
        <w:wordWrap/>
        <w:overflowPunct/>
        <w:topLinePunct w:val="0"/>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w:t>
      </w:r>
      <w:bookmarkStart w:id="10" w:name="OLE_LINK1"/>
      <w:r>
        <w:rPr>
          <w:rFonts w:hint="eastAsia" w:ascii="宋体" w:hAnsi="宋体" w:eastAsia="宋体" w:cs="宋体"/>
          <w:color w:val="auto"/>
          <w:sz w:val="24"/>
          <w:szCs w:val="24"/>
          <w:highlight w:val="none"/>
          <w:lang w:val="en-US" w:eastAsia="zh-CN"/>
        </w:rPr>
        <w:t>灵宝市自然资源和规划局</w:t>
      </w:r>
      <w:bookmarkEnd w:id="10"/>
    </w:p>
    <w:p w14:paraId="719AD916">
      <w:pPr>
        <w:keepNext w:val="0"/>
        <w:keepLines w:val="0"/>
        <w:pageBreakBefore w:val="0"/>
        <w:widowControl w:val="0"/>
        <w:kinsoku/>
        <w:wordWrap/>
        <w:overflowPunct/>
        <w:topLinePunct w:val="0"/>
        <w:bidi w:val="0"/>
        <w:adjustRightInd/>
        <w:snapToGrid/>
        <w:spacing w:line="360" w:lineRule="auto"/>
        <w:ind w:firstLine="484" w:firstLineChars="202"/>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李先生</w:t>
      </w:r>
    </w:p>
    <w:p w14:paraId="695FA72C">
      <w:pPr>
        <w:keepNext w:val="0"/>
        <w:keepLines w:val="0"/>
        <w:pageBreakBefore w:val="0"/>
        <w:widowControl w:val="0"/>
        <w:kinsoku/>
        <w:wordWrap/>
        <w:overflowPunct/>
        <w:topLinePunct w:val="0"/>
        <w:bidi w:val="0"/>
        <w:adjustRightInd/>
        <w:snapToGrid/>
        <w:spacing w:line="360" w:lineRule="auto"/>
        <w:ind w:firstLine="484" w:firstLineChars="202"/>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r>
        <w:rPr>
          <w:rFonts w:hint="eastAsia" w:ascii="宋体" w:hAnsi="宋体" w:cs="宋体"/>
          <w:color w:val="auto"/>
          <w:sz w:val="24"/>
          <w:szCs w:val="24"/>
          <w:highlight w:val="none"/>
          <w:lang w:val="en-US" w:eastAsia="zh-CN"/>
        </w:rPr>
        <w:t>0398-8859892</w:t>
      </w:r>
    </w:p>
    <w:p w14:paraId="3DE8B94C">
      <w:pPr>
        <w:keepNext w:val="0"/>
        <w:keepLines w:val="0"/>
        <w:pageBreakBefore w:val="0"/>
        <w:widowControl w:val="0"/>
        <w:kinsoku/>
        <w:wordWrap/>
        <w:overflowPunct/>
        <w:topLinePunct w:val="0"/>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址：灵宝市函谷路56号</w:t>
      </w:r>
    </w:p>
    <w:p w14:paraId="35CDB36C">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cs="宋体"/>
          <w:color w:val="auto"/>
          <w:sz w:val="24"/>
          <w:szCs w:val="24"/>
          <w:highlight w:val="none"/>
          <w:lang w:eastAsia="zh-CN"/>
        </w:rPr>
        <w:t>华睿诚项目管理有限公司</w:t>
      </w:r>
    </w:p>
    <w:p w14:paraId="4840E4CC">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cs="宋体"/>
          <w:color w:val="auto"/>
          <w:sz w:val="24"/>
          <w:szCs w:val="24"/>
          <w:highlight w:val="none"/>
          <w:lang w:val="en-US" w:eastAsia="zh-CN"/>
        </w:rPr>
        <w:t>陕西省西安市曲江新区雁翔路3269号旺座曲江E座29层2901号</w:t>
      </w:r>
    </w:p>
    <w:p w14:paraId="64FAE861">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w:t>
      </w:r>
      <w:r>
        <w:rPr>
          <w:rFonts w:hint="eastAsia" w:ascii="宋体" w:hAnsi="宋体" w:cs="宋体"/>
          <w:bCs/>
          <w:color w:val="auto"/>
          <w:kern w:val="0"/>
          <w:sz w:val="24"/>
          <w:szCs w:val="24"/>
          <w:highlight w:val="none"/>
          <w:lang w:val="en-US" w:eastAsia="zh-CN"/>
        </w:rPr>
        <w:t>刘女士</w:t>
      </w:r>
    </w:p>
    <w:p w14:paraId="262CB200">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cs="宋体"/>
          <w:color w:val="auto"/>
          <w:sz w:val="24"/>
          <w:szCs w:val="24"/>
          <w:highlight w:val="none"/>
          <w:lang w:val="en-US" w:eastAsia="zh-CN"/>
        </w:rPr>
        <w:t>15503982003</w:t>
      </w:r>
    </w:p>
    <w:p w14:paraId="5F912250">
      <w:pPr>
        <w:jc w:val="center"/>
        <w:outlineLvl w:val="9"/>
        <w:rPr>
          <w:rFonts w:hint="eastAsia" w:ascii="宋体" w:hAnsi="宋体" w:eastAsia="宋体" w:cs="宋体"/>
          <w:b/>
          <w:bCs/>
          <w:color w:val="auto"/>
          <w:sz w:val="32"/>
          <w:szCs w:val="32"/>
          <w:highlight w:val="none"/>
        </w:rPr>
      </w:pPr>
      <w:bookmarkStart w:id="11" w:name="_Toc16520164"/>
      <w:bookmarkStart w:id="12" w:name="_Toc16520676"/>
      <w:bookmarkStart w:id="13" w:name="_Toc121405491"/>
      <w:bookmarkStart w:id="14" w:name="_Toc508179883"/>
    </w:p>
    <w:p w14:paraId="55170264">
      <w:pPr>
        <w:jc w:val="center"/>
        <w:outlineLvl w:val="0"/>
        <w:rPr>
          <w:rFonts w:hint="eastAsia" w:ascii="宋体" w:hAnsi="宋体" w:eastAsia="宋体" w:cs="宋体"/>
          <w:b/>
          <w:bCs/>
          <w:color w:val="auto"/>
          <w:sz w:val="32"/>
          <w:szCs w:val="32"/>
          <w:highlight w:val="none"/>
        </w:rPr>
      </w:pPr>
      <w:bookmarkStart w:id="15" w:name="_Toc27546"/>
      <w:bookmarkStart w:id="16" w:name="_Toc8041"/>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第二章 供应商须知</w:t>
      </w:r>
      <w:bookmarkEnd w:id="11"/>
      <w:bookmarkEnd w:id="12"/>
      <w:bookmarkEnd w:id="13"/>
      <w:bookmarkEnd w:id="14"/>
      <w:bookmarkEnd w:id="15"/>
      <w:bookmarkEnd w:id="16"/>
    </w:p>
    <w:p w14:paraId="04D47E46">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供应商须知前附表</w:t>
      </w:r>
    </w:p>
    <w:tbl>
      <w:tblPr>
        <w:tblStyle w:val="16"/>
        <w:tblW w:w="9935" w:type="dxa"/>
        <w:jc w:val="center"/>
        <w:tblLayout w:type="fixed"/>
        <w:tblCellMar>
          <w:top w:w="0" w:type="dxa"/>
          <w:left w:w="108" w:type="dxa"/>
          <w:bottom w:w="0" w:type="dxa"/>
          <w:right w:w="108" w:type="dxa"/>
        </w:tblCellMar>
      </w:tblPr>
      <w:tblGrid>
        <w:gridCol w:w="987"/>
        <w:gridCol w:w="2657"/>
        <w:gridCol w:w="6291"/>
      </w:tblGrid>
      <w:tr w14:paraId="5A242678">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0C446D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50CF9DA">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  款  名  称</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5B6827FF">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编  列  内  容</w:t>
            </w:r>
          </w:p>
        </w:tc>
      </w:tr>
      <w:tr w14:paraId="6EB74844">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62490D7A">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558E3A2">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 购 人</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FC700CB">
            <w:pPr>
              <w:spacing w:line="45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采购人：灵宝市自然资源和规划局</w:t>
            </w:r>
          </w:p>
          <w:p w14:paraId="29F0C145">
            <w:pPr>
              <w:spacing w:line="45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 系 人：</w:t>
            </w:r>
            <w:r>
              <w:rPr>
                <w:rFonts w:hint="eastAsia" w:ascii="宋体" w:hAnsi="宋体" w:cs="宋体"/>
                <w:color w:val="auto"/>
                <w:sz w:val="24"/>
                <w:szCs w:val="24"/>
                <w:highlight w:val="none"/>
                <w:lang w:val="en-US" w:eastAsia="zh-CN"/>
              </w:rPr>
              <w:t>李先生</w:t>
            </w:r>
          </w:p>
          <w:p w14:paraId="6FBA36B6">
            <w:pPr>
              <w:spacing w:line="45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w:t>
            </w:r>
            <w:r>
              <w:rPr>
                <w:rFonts w:hint="eastAsia" w:ascii="宋体" w:hAnsi="宋体" w:cs="宋体"/>
                <w:color w:val="auto"/>
                <w:sz w:val="24"/>
                <w:highlight w:val="none"/>
                <w:lang w:val="en-US" w:eastAsia="zh-CN"/>
              </w:rPr>
              <w:t>0398-8859892</w:t>
            </w:r>
          </w:p>
          <w:p w14:paraId="6616E529">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地址：灵宝市函谷路56号</w:t>
            </w:r>
          </w:p>
        </w:tc>
      </w:tr>
      <w:tr w14:paraId="4B6EF93B">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442B301">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27572470">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5AE4C84">
            <w:pPr>
              <w:spacing w:line="45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代理机构：</w:t>
            </w:r>
            <w:r>
              <w:rPr>
                <w:rFonts w:hint="eastAsia" w:ascii="宋体" w:hAnsi="宋体" w:cs="宋体"/>
                <w:color w:val="auto"/>
                <w:sz w:val="24"/>
                <w:highlight w:val="none"/>
                <w:lang w:eastAsia="zh-CN"/>
              </w:rPr>
              <w:t>华睿诚项目管理有限公司</w:t>
            </w:r>
          </w:p>
          <w:p w14:paraId="7A6060D9">
            <w:pPr>
              <w:spacing w:line="45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w:t>
            </w:r>
            <w:r>
              <w:rPr>
                <w:rFonts w:hint="eastAsia" w:ascii="宋体" w:hAnsi="宋体" w:cs="宋体"/>
                <w:color w:val="auto"/>
                <w:sz w:val="24"/>
                <w:highlight w:val="none"/>
                <w:lang w:val="en-US" w:eastAsia="zh-CN"/>
              </w:rPr>
              <w:t>陕西省西安市曲江新区雁翔路3269号旺座曲江E座29层2901号</w:t>
            </w:r>
          </w:p>
          <w:p w14:paraId="42967CA6">
            <w:pPr>
              <w:spacing w:line="45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w:t>
            </w:r>
            <w:r>
              <w:rPr>
                <w:rFonts w:hint="eastAsia" w:ascii="宋体" w:hAnsi="宋体" w:cs="宋体"/>
                <w:color w:val="auto"/>
                <w:sz w:val="24"/>
                <w:highlight w:val="none"/>
                <w:lang w:val="en-US" w:eastAsia="zh-CN"/>
              </w:rPr>
              <w:t>刘女士</w:t>
            </w:r>
          </w:p>
          <w:p w14:paraId="6959FE90">
            <w:pPr>
              <w:spacing w:line="45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电话：</w:t>
            </w:r>
            <w:r>
              <w:rPr>
                <w:rFonts w:hint="eastAsia" w:ascii="宋体" w:hAnsi="宋体" w:cs="宋体"/>
                <w:color w:val="auto"/>
                <w:sz w:val="24"/>
                <w:highlight w:val="none"/>
                <w:lang w:val="en-US" w:eastAsia="zh-CN"/>
              </w:rPr>
              <w:t>15503982003</w:t>
            </w:r>
          </w:p>
        </w:tc>
      </w:tr>
      <w:tr w14:paraId="742449AE">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EDBFDDF">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37C9B22">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17B02D8">
            <w:pPr>
              <w:widowControl/>
              <w:spacing w:line="42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灵宝市2025年度永久基本农田年度评估调整补划及永久基本农田储备区划定更新项目</w:t>
            </w:r>
          </w:p>
        </w:tc>
      </w:tr>
      <w:tr w14:paraId="59B0F8D4">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B4C3FA7">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BA4358D">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采购内容</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D083205">
            <w:pPr>
              <w:widowControl/>
              <w:spacing w:line="420" w:lineRule="exact"/>
              <w:jc w:val="left"/>
              <w:rPr>
                <w:rFonts w:hint="eastAsia" w:ascii="宋体" w:hAnsi="宋体" w:eastAsia="宋体" w:cs="宋体"/>
                <w:color w:val="auto"/>
                <w:sz w:val="24"/>
                <w:highlight w:val="none"/>
              </w:rPr>
            </w:pPr>
            <w:r>
              <w:rPr>
                <w:rFonts w:hint="eastAsia" w:ascii="宋体" w:hAnsi="宋体" w:cs="宋体"/>
                <w:color w:val="auto"/>
                <w:sz w:val="24"/>
                <w:szCs w:val="24"/>
                <w:highlight w:val="none"/>
                <w:lang w:eastAsia="zh-CN"/>
              </w:rPr>
              <w:t>灵宝市2025年度永久基本农田年度评估调整补划及永久基本农田储备区划定更新项目</w:t>
            </w:r>
            <w:r>
              <w:rPr>
                <w:rFonts w:hint="eastAsia" w:ascii="宋体" w:hAnsi="宋体" w:cs="宋体"/>
                <w:color w:val="auto"/>
                <w:sz w:val="24"/>
                <w:szCs w:val="24"/>
                <w:highlight w:val="none"/>
              </w:rPr>
              <w:t>；具体内容详见磋商文件</w:t>
            </w:r>
          </w:p>
        </w:tc>
      </w:tr>
      <w:tr w14:paraId="58B9839C">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99AF25A">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2D06EB27">
            <w:pPr>
              <w:spacing w:line="45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服务质量</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F4E5610">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eastAsia="zh-CN"/>
              </w:rPr>
              <w:t>符合现行国家规程、地方技术方案及相关标准的规定，质量要求达到合格，通过上级行政主管部门的评审及验收</w:t>
            </w:r>
          </w:p>
        </w:tc>
      </w:tr>
      <w:tr w14:paraId="5D426E45">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29B686C">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9BF3A40">
            <w:pPr>
              <w:spacing w:line="480" w:lineRule="exact"/>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服务期限</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0B5A425">
            <w:pPr>
              <w:spacing w:line="48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zh-CN" w:eastAsia="zh-CN"/>
              </w:rPr>
              <w:t>自签订合同之日起240日历天完成项目服务并提交成果；</w:t>
            </w:r>
          </w:p>
        </w:tc>
      </w:tr>
      <w:tr w14:paraId="75F1F623">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635BAF8C">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3322CE21">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地点</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5B5BEADC">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采购人指定地点</w:t>
            </w:r>
          </w:p>
        </w:tc>
      </w:tr>
      <w:tr w14:paraId="49771123">
        <w:tblPrEx>
          <w:tblCellMar>
            <w:top w:w="0" w:type="dxa"/>
            <w:left w:w="108" w:type="dxa"/>
            <w:bottom w:w="0" w:type="dxa"/>
            <w:right w:w="108" w:type="dxa"/>
          </w:tblCellMar>
        </w:tblPrEx>
        <w:trPr>
          <w:trHeight w:val="531"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0C50FB7">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top"/>
          </w:tcPr>
          <w:p w14:paraId="46C493BE">
            <w:pPr>
              <w:spacing w:line="48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标段划分</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A9C3B10">
            <w:pPr>
              <w:spacing w:line="48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一个标段</w:t>
            </w:r>
          </w:p>
        </w:tc>
      </w:tr>
      <w:tr w14:paraId="23FFA75C">
        <w:tblPrEx>
          <w:tblCellMar>
            <w:top w:w="0" w:type="dxa"/>
            <w:left w:w="108" w:type="dxa"/>
            <w:bottom w:w="0" w:type="dxa"/>
            <w:right w:w="108" w:type="dxa"/>
          </w:tblCellMar>
        </w:tblPrEx>
        <w:trPr>
          <w:trHeight w:val="531"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733B3B78">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24C23553">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E54C105">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财政</w:t>
            </w:r>
            <w:r>
              <w:rPr>
                <w:rFonts w:hint="eastAsia" w:ascii="宋体" w:hAnsi="宋体" w:eastAsia="宋体" w:cs="宋体"/>
                <w:color w:val="auto"/>
                <w:sz w:val="24"/>
                <w:highlight w:val="none"/>
              </w:rPr>
              <w:t>资金</w:t>
            </w:r>
          </w:p>
        </w:tc>
      </w:tr>
      <w:tr w14:paraId="2BA74D41">
        <w:tblPrEx>
          <w:tblCellMar>
            <w:top w:w="0" w:type="dxa"/>
            <w:left w:w="108" w:type="dxa"/>
            <w:bottom w:w="0" w:type="dxa"/>
            <w:right w:w="108" w:type="dxa"/>
          </w:tblCellMar>
        </w:tblPrEx>
        <w:trPr>
          <w:trHeight w:val="531"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23099F2">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31A600FA">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资金落实情况</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8669107">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已落实</w:t>
            </w:r>
          </w:p>
        </w:tc>
      </w:tr>
      <w:tr w14:paraId="0D3FEAE6">
        <w:tblPrEx>
          <w:tblCellMar>
            <w:top w:w="0" w:type="dxa"/>
            <w:left w:w="108" w:type="dxa"/>
            <w:bottom w:w="0" w:type="dxa"/>
            <w:right w:w="108" w:type="dxa"/>
          </w:tblCellMar>
        </w:tblPrEx>
        <w:trPr>
          <w:trHeight w:val="9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FD6EBB3">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A4EA313">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供应商资质条件</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0103D7B">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480" w:lineRule="exact"/>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同第一章竞争性磋商公告“二、供应商资格要求”</w:t>
            </w:r>
          </w:p>
        </w:tc>
      </w:tr>
      <w:tr w14:paraId="7F803A3F">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7821ECEF">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14C0336">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投标预备会</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77E803F">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■不召开</w:t>
            </w:r>
          </w:p>
        </w:tc>
      </w:tr>
      <w:tr w14:paraId="2B9AFBE6">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CF62C31">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8C8F9D1">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分包</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084446F">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1BA94F4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6AE0964E">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D81BEFC">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偏离</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43EA354">
            <w:pPr>
              <w:spacing w:line="360" w:lineRule="auto"/>
              <w:rPr>
                <w:rFonts w:hint="default" w:ascii="宋体" w:hAnsi="宋体" w:eastAsia="宋体" w:cs="宋体"/>
                <w:color w:val="auto"/>
                <w:sz w:val="24"/>
                <w:highlight w:val="none"/>
                <w:lang w:val="en-US"/>
              </w:rPr>
            </w:pPr>
            <w:r>
              <w:rPr>
                <w:rFonts w:hint="eastAsia" w:ascii="宋体" w:hAnsi="宋体" w:eastAsia="宋体" w:cs="宋体"/>
                <w:caps w:val="0"/>
                <w:color w:val="auto"/>
                <w:spacing w:val="0"/>
                <w:sz w:val="24"/>
                <w:szCs w:val="24"/>
                <w:highlight w:val="none"/>
                <w:lang w:eastAsia="zh-CN"/>
              </w:rPr>
              <w:t>■不允许</w:t>
            </w:r>
            <w:r>
              <w:rPr>
                <w:rFonts w:hint="eastAsia" w:ascii="宋体" w:hAnsi="宋体" w:eastAsia="宋体" w:cs="宋体"/>
                <w:caps w:val="0"/>
                <w:color w:val="auto"/>
                <w:spacing w:val="0"/>
                <w:sz w:val="24"/>
                <w:szCs w:val="24"/>
                <w:highlight w:val="none"/>
                <w:lang w:val="en-US" w:eastAsia="zh-CN"/>
              </w:rPr>
              <w:t>负偏离</w:t>
            </w:r>
          </w:p>
        </w:tc>
      </w:tr>
      <w:tr w14:paraId="1A529130">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F225F5D">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186E7FC">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踏勘现场</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3B46A849">
            <w:pPr>
              <w:spacing w:line="360" w:lineRule="auto"/>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lang w:eastAsia="zh-CN"/>
              </w:rPr>
              <w:t>■不组织，投标人自行踏勘。</w:t>
            </w:r>
          </w:p>
        </w:tc>
      </w:tr>
      <w:tr w14:paraId="48902E97">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ADCCB2E">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6F04BDC">
            <w:pPr>
              <w:spacing w:line="45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联合体</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73168A4">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76B27C3D">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03551A96">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31A78AE">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供应商提出问题的截止时间</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C065A38">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响应性文件递交截止时间5天前</w:t>
            </w:r>
          </w:p>
        </w:tc>
      </w:tr>
      <w:tr w14:paraId="30B59959">
        <w:tblPrEx>
          <w:tblCellMar>
            <w:top w:w="0" w:type="dxa"/>
            <w:left w:w="108" w:type="dxa"/>
            <w:bottom w:w="0" w:type="dxa"/>
            <w:right w:w="108" w:type="dxa"/>
          </w:tblCellMar>
        </w:tblPrEx>
        <w:trPr>
          <w:trHeight w:val="716"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0DABCE1">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1C93986">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采购人书面澄清的时间</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A585014">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响应性文件递交截止时间5天前</w:t>
            </w:r>
          </w:p>
        </w:tc>
      </w:tr>
      <w:tr w14:paraId="1ABBCE0F">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76BF1271">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DE2770A">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磋商文件澄清或者修改发出的形式</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347C2705">
            <w:pPr>
              <w:spacing w:line="360" w:lineRule="auto"/>
              <w:rPr>
                <w:rFonts w:hint="eastAsia" w:ascii="宋体" w:hAnsi="宋体" w:eastAsia="宋体" w:cs="宋体"/>
                <w:color w:val="auto"/>
                <w:sz w:val="24"/>
                <w:highlight w:val="none"/>
                <w:lang w:eastAsia="zh-CN"/>
              </w:rPr>
            </w:pPr>
            <w:r>
              <w:rPr>
                <w:rFonts w:hint="eastAsia" w:ascii="宋体" w:hAnsi="宋体" w:eastAsia="宋体" w:cs="宋体"/>
                <w:caps w:val="0"/>
                <w:color w:val="auto"/>
                <w:spacing w:val="0"/>
                <w:sz w:val="24"/>
                <w:szCs w:val="24"/>
                <w:highlight w:val="none"/>
                <w:lang w:eastAsia="zh-CN"/>
              </w:rPr>
              <w:t>所有投标单位请时刻关注三门峡市公共资源交易中心电子化交易系统，该项目所有澄清、修改、答疑、变更均在</w:t>
            </w:r>
            <w:r>
              <w:rPr>
                <w:rFonts w:hint="eastAsia" w:ascii="宋体" w:hAnsi="宋体" w:eastAsia="宋体" w:cs="宋体"/>
                <w:caps w:val="0"/>
                <w:color w:val="auto"/>
                <w:spacing w:val="0"/>
                <w:sz w:val="24"/>
                <w:szCs w:val="24"/>
                <w:highlight w:val="none"/>
                <w:lang w:val="en-US" w:eastAsia="zh-CN"/>
              </w:rPr>
              <w:t>招标公告</w:t>
            </w:r>
            <w:r>
              <w:rPr>
                <w:rFonts w:hint="eastAsia" w:ascii="宋体" w:hAnsi="宋体" w:eastAsia="宋体" w:cs="宋体"/>
                <w:caps w:val="0"/>
                <w:color w:val="auto"/>
                <w:spacing w:val="0"/>
                <w:sz w:val="24"/>
                <w:szCs w:val="24"/>
                <w:highlight w:val="none"/>
                <w:lang w:eastAsia="zh-CN"/>
              </w:rPr>
              <w:t>发布</w:t>
            </w:r>
            <w:r>
              <w:rPr>
                <w:rFonts w:hint="eastAsia" w:ascii="宋体" w:hAnsi="宋体" w:eastAsia="宋体" w:cs="宋体"/>
                <w:caps w:val="0"/>
                <w:color w:val="auto"/>
                <w:spacing w:val="0"/>
                <w:sz w:val="24"/>
                <w:szCs w:val="24"/>
                <w:highlight w:val="none"/>
                <w:lang w:val="en-US" w:eastAsia="zh-CN"/>
              </w:rPr>
              <w:t>同一网站</w:t>
            </w:r>
            <w:r>
              <w:rPr>
                <w:rFonts w:hint="eastAsia" w:ascii="宋体" w:hAnsi="宋体" w:eastAsia="宋体" w:cs="宋体"/>
                <w:caps w:val="0"/>
                <w:color w:val="auto"/>
                <w:spacing w:val="0"/>
                <w:sz w:val="24"/>
                <w:szCs w:val="24"/>
                <w:highlight w:val="none"/>
                <w:lang w:eastAsia="zh-CN"/>
              </w:rPr>
              <w:t>，不再另行通知。如未及时查看影响其投标，后果自负。（如有）</w:t>
            </w:r>
          </w:p>
        </w:tc>
      </w:tr>
      <w:tr w14:paraId="69012DAD">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38CD4B9">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E866DC4">
            <w:pPr>
              <w:widowControl/>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确认收到磋商文件澄清或者修改</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3014F55">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供应商在投标截止时间前须自行查看在原公告发布媒体上发布的澄清或修改公告，因供应商未及时查看而造成的后果自负。</w:t>
            </w:r>
          </w:p>
        </w:tc>
      </w:tr>
      <w:tr w14:paraId="59F495FD">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766A0833">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54D7482">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构成竞争性磋商文件的其他材料</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9A5A87F">
            <w:pPr>
              <w:spacing w:line="360" w:lineRule="auto"/>
              <w:rPr>
                <w:rFonts w:hint="eastAsia" w:ascii="宋体" w:hAnsi="宋体" w:eastAsia="宋体" w:cs="宋体"/>
                <w:color w:val="auto"/>
                <w:sz w:val="24"/>
                <w:highlight w:val="none"/>
                <w:lang w:eastAsia="zh-CN"/>
              </w:rPr>
            </w:pPr>
            <w:r>
              <w:rPr>
                <w:rFonts w:hint="eastAsia" w:ascii="宋体" w:hAnsi="宋体" w:eastAsia="宋体" w:cs="宋体"/>
                <w:caps w:val="0"/>
                <w:color w:val="auto"/>
                <w:spacing w:val="0"/>
                <w:sz w:val="24"/>
                <w:szCs w:val="24"/>
                <w:highlight w:val="none"/>
                <w:lang w:eastAsia="zh-CN"/>
              </w:rPr>
              <w:t>答疑纪要、竞争性磋商文件的补充和修改文件（如有）、工程量清单、招标控制价等。</w:t>
            </w:r>
          </w:p>
        </w:tc>
      </w:tr>
      <w:tr w14:paraId="29328CDA">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17E9C99">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7331A5A4">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投标人要求澄清竞争性磋商文件的截止时间</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6BB5A1C">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供应商认为磋商文件、磋商过程、成交结果使自己的权益受到损害的，可以在知道或者应知其权益受到损害之日起7个工作日内，以书面形式向招标人、招标代理机构提出质疑。</w:t>
            </w:r>
          </w:p>
          <w:p w14:paraId="5421F3E4">
            <w:pPr>
              <w:spacing w:line="360" w:lineRule="auto"/>
              <w:rPr>
                <w:rFonts w:hint="eastAsia" w:ascii="宋体" w:hAnsi="宋体" w:eastAsia="宋体" w:cs="宋体"/>
                <w:color w:val="auto"/>
                <w:sz w:val="24"/>
                <w:highlight w:val="none"/>
                <w:lang w:eastAsia="zh-CN"/>
              </w:rPr>
            </w:pPr>
            <w:r>
              <w:rPr>
                <w:rFonts w:hint="eastAsia" w:ascii="宋体" w:hAnsi="宋体" w:eastAsia="宋体" w:cs="宋体"/>
                <w:caps w:val="0"/>
                <w:color w:val="auto"/>
                <w:spacing w:val="0"/>
                <w:sz w:val="24"/>
                <w:szCs w:val="24"/>
                <w:highlight w:val="none"/>
                <w:lang w:eastAsia="zh-CN"/>
              </w:rPr>
              <w:t>要求供应商在法定质疑期内一次性提出针对同一磋商程序环节的质疑。</w:t>
            </w:r>
          </w:p>
        </w:tc>
      </w:tr>
      <w:tr w14:paraId="1DF3F796">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FE57291">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3728E34D">
            <w:pPr>
              <w:spacing w:line="45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响应性文件递交截止</w:t>
            </w:r>
            <w:r>
              <w:rPr>
                <w:rFonts w:hint="eastAsia" w:ascii="宋体" w:hAnsi="宋体" w:eastAsia="宋体" w:cs="宋体"/>
                <w:color w:val="auto"/>
                <w:sz w:val="24"/>
                <w:highlight w:val="none"/>
                <w:lang w:eastAsia="zh-CN"/>
              </w:rPr>
              <w:t>地点</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3D4DC603">
            <w:pPr>
              <w:spacing w:line="45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同公告</w:t>
            </w:r>
          </w:p>
        </w:tc>
      </w:tr>
      <w:tr w14:paraId="6EA59651">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709D23CA">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7F5AB93C">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供应商确认收到竞争性磋商文件的澄清时间</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AB615DA">
            <w:pPr>
              <w:spacing w:line="450" w:lineRule="exact"/>
              <w:rPr>
                <w:rFonts w:hint="eastAsia" w:ascii="宋体" w:hAnsi="宋体" w:eastAsia="宋体" w:cs="宋体"/>
                <w:color w:val="auto"/>
                <w:sz w:val="24"/>
                <w:highlight w:val="none"/>
              </w:rPr>
            </w:pPr>
            <w:r>
              <w:rPr>
                <w:rFonts w:hint="eastAsia" w:ascii="宋体" w:hAnsi="宋体"/>
                <w:color w:val="auto"/>
                <w:sz w:val="24"/>
                <w:highlight w:val="none"/>
              </w:rPr>
              <w:t>收到竞争性磋商文件澄清24小时内</w:t>
            </w:r>
          </w:p>
        </w:tc>
      </w:tr>
      <w:tr w14:paraId="0E03C78B">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1000DF5">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3894CC8A">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供应商确认收到竞争性磋商文件的修改时间</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A96D2D5">
            <w:pPr>
              <w:spacing w:line="450" w:lineRule="exact"/>
              <w:rPr>
                <w:rFonts w:hint="eastAsia" w:ascii="宋体" w:hAnsi="宋体" w:eastAsia="宋体" w:cs="宋体"/>
                <w:color w:val="auto"/>
                <w:sz w:val="24"/>
                <w:highlight w:val="none"/>
              </w:rPr>
            </w:pPr>
            <w:r>
              <w:rPr>
                <w:rFonts w:hint="eastAsia" w:ascii="宋体" w:hAnsi="宋体"/>
                <w:color w:val="auto"/>
                <w:sz w:val="24"/>
                <w:highlight w:val="none"/>
              </w:rPr>
              <w:t>收到竞争性磋商文件澄清24小时内</w:t>
            </w:r>
          </w:p>
        </w:tc>
      </w:tr>
      <w:tr w14:paraId="3A5B5784">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629A3AA">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255B5B4">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2EC99A3">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自响应性文件递交截止之日起60日历天</w:t>
            </w:r>
          </w:p>
        </w:tc>
      </w:tr>
      <w:tr w14:paraId="624AAA46">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3FEDA01">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top"/>
          </w:tcPr>
          <w:p w14:paraId="3398BDD7">
            <w:pPr>
              <w:spacing w:line="400" w:lineRule="exact"/>
              <w:jc w:val="left"/>
              <w:rPr>
                <w:rFonts w:hint="eastAsia" w:ascii="宋体" w:hAnsi="宋体" w:eastAsia="宋体" w:cs="宋体"/>
                <w:color w:val="auto"/>
                <w:sz w:val="24"/>
                <w:highlight w:val="none"/>
              </w:rPr>
            </w:pPr>
            <w:r>
              <w:rPr>
                <w:rFonts w:hint="eastAsia" w:ascii="Times New Roman" w:hAnsi="Times New Roman"/>
                <w:color w:val="auto"/>
                <w:sz w:val="24"/>
                <w:szCs w:val="24"/>
                <w:highlight w:val="none"/>
                <w:shd w:val="clear" w:color="auto" w:fill="FFFFFF"/>
                <w:lang w:bidi="ar"/>
              </w:rPr>
              <w:t>近年财务状况的年份要求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E005376">
            <w:pPr>
              <w:spacing w:line="400" w:lineRule="exact"/>
              <w:rPr>
                <w:rFonts w:hint="eastAsia" w:ascii="宋体" w:hAnsi="宋体" w:eastAsia="宋体" w:cs="宋体"/>
                <w:color w:val="auto"/>
                <w:sz w:val="24"/>
                <w:highlight w:val="none"/>
              </w:rPr>
            </w:pPr>
            <w:r>
              <w:rPr>
                <w:rFonts w:hint="eastAsia" w:ascii="Times New Roman" w:hAnsi="Times New Roman"/>
                <w:color w:val="auto"/>
                <w:sz w:val="24"/>
                <w:szCs w:val="24"/>
                <w:highlight w:val="none"/>
                <w:shd w:val="clear" w:color="auto" w:fill="FFFFFF"/>
                <w:lang w:bidi="ar"/>
              </w:rPr>
              <w:t>提供</w:t>
            </w:r>
            <w:r>
              <w:rPr>
                <w:rFonts w:ascii="Times New Roman" w:hAnsi="Times New Roman"/>
                <w:color w:val="auto"/>
                <w:sz w:val="24"/>
                <w:szCs w:val="24"/>
                <w:highlight w:val="none"/>
                <w:shd w:val="clear" w:color="auto" w:fill="FFFFFF"/>
                <w:lang w:bidi="ar"/>
              </w:rPr>
              <w:t>2024</w:t>
            </w:r>
            <w:r>
              <w:rPr>
                <w:rFonts w:hint="eastAsia" w:ascii="Times New Roman" w:hAnsi="Times New Roman"/>
                <w:color w:val="auto"/>
                <w:sz w:val="24"/>
                <w:szCs w:val="24"/>
                <w:highlight w:val="none"/>
                <w:shd w:val="clear" w:color="auto" w:fill="FFFFFF"/>
                <w:lang w:bidi="ar"/>
              </w:rPr>
              <w:t>年度经审计的财务状况报告（成立时间不足一年的，可提供成立时间至当前时间节点的财务状况报告）</w:t>
            </w:r>
          </w:p>
        </w:tc>
      </w:tr>
      <w:tr w14:paraId="6FD6FE7D">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ACC80B8">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top"/>
          </w:tcPr>
          <w:p w14:paraId="76D5EE07">
            <w:pPr>
              <w:spacing w:line="400" w:lineRule="exact"/>
              <w:jc w:val="left"/>
              <w:rPr>
                <w:rFonts w:hint="eastAsia" w:ascii="宋体" w:hAnsi="宋体" w:eastAsia="宋体" w:cs="宋体"/>
                <w:color w:val="auto"/>
                <w:sz w:val="24"/>
                <w:highlight w:val="none"/>
              </w:rPr>
            </w:pPr>
            <w:r>
              <w:rPr>
                <w:rFonts w:hint="eastAsia" w:ascii="Times New Roman" w:hAnsi="Times New Roman"/>
                <w:color w:val="auto"/>
                <w:sz w:val="24"/>
                <w:szCs w:val="24"/>
                <w:highlight w:val="none"/>
                <w:shd w:val="clear" w:color="auto" w:fill="FFFFFF"/>
                <w:lang w:bidi="ar"/>
              </w:rPr>
              <w:t>近年完成的类似项目的年份要求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2780D82">
            <w:pPr>
              <w:spacing w:line="400" w:lineRule="exact"/>
              <w:rPr>
                <w:rFonts w:hint="eastAsia" w:ascii="宋体" w:hAnsi="宋体" w:eastAsia="宋体" w:cs="宋体"/>
                <w:color w:val="auto"/>
                <w:sz w:val="24"/>
                <w:highlight w:val="none"/>
              </w:rPr>
            </w:pPr>
            <w:r>
              <w:rPr>
                <w:rFonts w:ascii="Times New Roman" w:hAnsi="Times New Roman"/>
                <w:color w:val="auto"/>
                <w:sz w:val="24"/>
                <w:szCs w:val="24"/>
                <w:highlight w:val="none"/>
                <w:shd w:val="clear" w:color="auto" w:fill="FFFFFF"/>
                <w:lang w:bidi="ar"/>
              </w:rPr>
              <w:t>202</w:t>
            </w:r>
            <w:r>
              <w:rPr>
                <w:rFonts w:hint="eastAsia"/>
                <w:color w:val="auto"/>
                <w:sz w:val="24"/>
                <w:szCs w:val="24"/>
                <w:highlight w:val="none"/>
                <w:shd w:val="clear" w:color="auto" w:fill="FFFFFF"/>
                <w:lang w:val="en-US" w:eastAsia="zh-CN" w:bidi="ar"/>
              </w:rPr>
              <w:t>3</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日以来至今。</w:t>
            </w:r>
          </w:p>
        </w:tc>
      </w:tr>
      <w:tr w14:paraId="5A49A51A">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7283EF6">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top"/>
          </w:tcPr>
          <w:p w14:paraId="0ED3835B">
            <w:pPr>
              <w:spacing w:line="400" w:lineRule="exact"/>
              <w:jc w:val="left"/>
              <w:rPr>
                <w:rFonts w:hint="eastAsia" w:ascii="宋体" w:hAnsi="宋体" w:eastAsia="宋体" w:cs="宋体"/>
                <w:color w:val="auto"/>
                <w:sz w:val="24"/>
                <w:highlight w:val="none"/>
              </w:rPr>
            </w:pPr>
            <w:r>
              <w:rPr>
                <w:rFonts w:hint="eastAsia" w:ascii="Times New Roman" w:hAnsi="Times New Roman"/>
                <w:color w:val="auto"/>
                <w:sz w:val="24"/>
                <w:szCs w:val="24"/>
                <w:highlight w:val="none"/>
                <w:shd w:val="clear" w:color="auto" w:fill="FFFFFF"/>
                <w:lang w:bidi="ar"/>
              </w:rPr>
              <w:t>近年发生的诉讼及仲裁情况的年份要求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839BB32">
            <w:pPr>
              <w:spacing w:line="400" w:lineRule="exact"/>
              <w:rPr>
                <w:rFonts w:hint="eastAsia" w:ascii="宋体" w:hAnsi="宋体" w:eastAsia="宋体" w:cs="宋体"/>
                <w:color w:val="auto"/>
                <w:sz w:val="24"/>
                <w:highlight w:val="none"/>
              </w:rPr>
            </w:pPr>
            <w:r>
              <w:rPr>
                <w:rFonts w:ascii="Times New Roman" w:hAnsi="Times New Roman"/>
                <w:color w:val="auto"/>
                <w:sz w:val="24"/>
                <w:szCs w:val="24"/>
                <w:highlight w:val="none"/>
                <w:shd w:val="clear" w:color="auto" w:fill="FFFFFF"/>
                <w:lang w:bidi="ar"/>
              </w:rPr>
              <w:t>202</w:t>
            </w:r>
            <w:r>
              <w:rPr>
                <w:rFonts w:hint="eastAsia"/>
                <w:color w:val="auto"/>
                <w:sz w:val="24"/>
                <w:szCs w:val="24"/>
                <w:highlight w:val="none"/>
                <w:shd w:val="clear" w:color="auto" w:fill="FFFFFF"/>
                <w:lang w:val="en-US" w:eastAsia="zh-CN" w:bidi="ar"/>
              </w:rPr>
              <w:t>3</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日以来至今。</w:t>
            </w:r>
          </w:p>
        </w:tc>
      </w:tr>
      <w:tr w14:paraId="2207F8A3">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FCB0DEF">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3994FBE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37369B3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按照《河南省财政厅关于优化政府采购营商环境有关问题的通知》（豫财购[2019]4号文）的要求本项目不再收取投标保证金。</w:t>
            </w:r>
          </w:p>
        </w:tc>
      </w:tr>
      <w:tr w14:paraId="301FF698">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8964C64">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942A524">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签字或盖章要求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DFC92DB">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1、本项目为电子化、无纸化交易项目，磋商文件是响应人通过中心投标文件制作系统制作，并经过电子签章和加密后生成的电子化投标文件，未对电子化文件进行签章的视为无效投标。投标人投标时，将不再接受任何纸质文件资料。</w:t>
            </w:r>
          </w:p>
          <w:p w14:paraId="4529AFAC">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2、</w:t>
            </w:r>
            <w:r>
              <w:rPr>
                <w:rFonts w:hint="eastAsia" w:ascii="宋体" w:hAnsi="宋体" w:cs="宋体"/>
                <w:caps w:val="0"/>
                <w:color w:val="auto"/>
                <w:spacing w:val="0"/>
                <w:sz w:val="24"/>
                <w:szCs w:val="24"/>
                <w:highlight w:val="none"/>
                <w:lang w:eastAsia="zh-CN"/>
              </w:rPr>
              <w:t>文件中要求盖单位章的位置投标人应使用CA数字证书签盖投标人的单位电子印章；要求法定代表人签字或盖章的地方，投标人应使用CA数字证书签盖法定代表人的个人电子印章为准。要求委托代理人签字或盖章的以委托代理人签字或盖章为准。</w:t>
            </w:r>
          </w:p>
          <w:p w14:paraId="6B3141FF">
            <w:pPr>
              <w:spacing w:line="360" w:lineRule="auto"/>
              <w:rPr>
                <w:rFonts w:hint="eastAsia" w:ascii="宋体" w:hAnsi="宋体" w:eastAsia="宋体" w:cs="宋体"/>
                <w:color w:val="auto"/>
                <w:kern w:val="0"/>
                <w:sz w:val="24"/>
                <w:highlight w:val="none"/>
              </w:rPr>
            </w:pPr>
            <w:r>
              <w:rPr>
                <w:rFonts w:hint="eastAsia" w:ascii="宋体" w:hAnsi="宋体" w:eastAsia="宋体" w:cs="宋体"/>
                <w:caps w:val="0"/>
                <w:color w:val="auto"/>
                <w:spacing w:val="0"/>
                <w:sz w:val="24"/>
                <w:szCs w:val="24"/>
                <w:highlight w:val="none"/>
                <w:lang w:eastAsia="zh-CN"/>
              </w:rPr>
              <w:t>3、电子化投标文件工具请点击https://download.bqpoint.com/download/downloaddetail.html?SourceFrom=Ztb&amp;ZtbSoftXiaQuCode=1506&amp;ZtbSoftType=tballinclusive进行下载。</w:t>
            </w:r>
          </w:p>
        </w:tc>
      </w:tr>
      <w:tr w14:paraId="21E0CC7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A8AADB7">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8B69891">
            <w:pPr>
              <w:widowControl/>
              <w:spacing w:line="259" w:lineRule="auto"/>
              <w:ind w:left="90" w:leftChars="43" w:firstLine="240" w:firstLineChars="100"/>
              <w:rPr>
                <w:rFonts w:hint="eastAsia" w:ascii="宋体" w:hAnsi="宋体" w:eastAsia="宋体" w:cs="宋体"/>
                <w:color w:val="auto"/>
                <w:kern w:val="10"/>
                <w:sz w:val="24"/>
                <w:highlight w:val="none"/>
              </w:rPr>
            </w:pPr>
            <w:r>
              <w:rPr>
                <w:rFonts w:hint="eastAsia" w:ascii="宋体" w:hAnsi="宋体" w:eastAsia="宋体" w:cs="宋体"/>
                <w:color w:val="auto"/>
                <w:kern w:val="0"/>
                <w:sz w:val="24"/>
                <w:highlight w:val="none"/>
              </w:rPr>
              <w:t>响应文件上传</w:t>
            </w:r>
          </w:p>
        </w:tc>
        <w:tc>
          <w:tcPr>
            <w:tcW w:w="6291" w:type="dxa"/>
            <w:tcBorders>
              <w:top w:val="single" w:color="auto" w:sz="4" w:space="0"/>
              <w:left w:val="single" w:color="auto" w:sz="4" w:space="0"/>
              <w:bottom w:val="single" w:color="auto" w:sz="4" w:space="0"/>
              <w:right w:val="single" w:color="auto" w:sz="4" w:space="0"/>
            </w:tcBorders>
            <w:noWrap w:val="0"/>
            <w:vAlign w:val="top"/>
          </w:tcPr>
          <w:p w14:paraId="1D0325AB">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1、本项目采用电子招标，根据三门峡市公共资源交易中心系统编制响应文件，供应商需用CA在电子平台上传电子响应文件；</w:t>
            </w:r>
          </w:p>
          <w:p w14:paraId="1073AAFC">
            <w:pPr>
              <w:widowControl/>
              <w:spacing w:line="259" w:lineRule="auto"/>
              <w:ind w:right="105" w:rightChars="50"/>
              <w:jc w:val="left"/>
              <w:rPr>
                <w:rFonts w:hint="eastAsia" w:ascii="宋体" w:hAnsi="宋体" w:eastAsia="宋体" w:cs="宋体"/>
                <w:color w:val="auto"/>
                <w:kern w:val="10"/>
                <w:sz w:val="24"/>
                <w:highlight w:val="none"/>
              </w:rPr>
            </w:pPr>
            <w:r>
              <w:rPr>
                <w:rFonts w:hint="eastAsia" w:ascii="宋体" w:hAnsi="宋体" w:eastAsia="宋体" w:cs="宋体"/>
                <w:caps w:val="0"/>
                <w:color w:val="auto"/>
                <w:spacing w:val="0"/>
                <w:sz w:val="24"/>
                <w:szCs w:val="24"/>
                <w:highlight w:val="none"/>
                <w:lang w:eastAsia="zh-CN"/>
              </w:rPr>
              <w:t>2、开标时不再递交纸质响应文件，中标单位领取成交通知书时提交贰份纸质响应文件，响应文件应按以下要求装订：胶装（不得采用活页装订），应有目录，并逐页标注连续页码，需加盖公章。</w:t>
            </w:r>
          </w:p>
        </w:tc>
      </w:tr>
      <w:tr w14:paraId="1069ECF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FDF51B1">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7BB2DF7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10"/>
                <w:sz w:val="24"/>
                <w:highlight w:val="none"/>
              </w:rPr>
              <w:t>是否允许递交备选投标方案</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DE80EC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10"/>
                <w:sz w:val="24"/>
                <w:highlight w:val="none"/>
              </w:rPr>
              <w:t>不允许</w:t>
            </w:r>
          </w:p>
        </w:tc>
      </w:tr>
      <w:tr w14:paraId="6DF38380">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490F739">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1AAB299">
            <w:pPr>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sz w:val="24"/>
                <w:highlight w:val="none"/>
              </w:rPr>
              <w:t>是否退还响应性文件</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550B5DDA">
            <w:pPr>
              <w:spacing w:line="360" w:lineRule="auto"/>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sz w:val="24"/>
                <w:highlight w:val="none"/>
              </w:rPr>
              <w:t>■否</w:t>
            </w:r>
          </w:p>
        </w:tc>
      </w:tr>
      <w:tr w14:paraId="676C01CB">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B19D0A4">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7EB958EF">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电子化磋商响应文件的格式及上传</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3E40151A">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1.投标人所上传的电子化磋商响应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0F5E777B">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2.电子化磋商响应文件应在投标截止时间前成功上传至三门峡市公共资源电子化交易系统。至投标截止时间止，仍未上传成功的电子化磋商响应文件将不予接收。</w:t>
            </w:r>
          </w:p>
          <w:p w14:paraId="37209958">
            <w:pPr>
              <w:spacing w:line="360" w:lineRule="auto"/>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lang w:eastAsia="zh-CN"/>
              </w:rPr>
              <w:t>注：如按照电子化投标操作教材制作完成的电子化磋商响应文件无法上传的，投标人应在投标截止时间前尽早的联系中心技术人员，以便有充分的时间进行处理。投标人应充分考虑到处理技术问题和上传数据等工作所需的时间问题，磋商响应文件未在投标截止时间前成功上传的，其磋商响应文件不予接收。</w:t>
            </w:r>
          </w:p>
        </w:tc>
      </w:tr>
      <w:tr w14:paraId="45C572EF">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914B34E">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50EECCA">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响应性文件递交截止时间</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7893570">
            <w:pPr>
              <w:spacing w:line="450" w:lineRule="exact"/>
              <w:rPr>
                <w:rFonts w:hint="eastAsia" w:ascii="宋体" w:hAnsi="宋体" w:eastAsia="宋体" w:cs="宋体"/>
                <w:color w:val="auto"/>
                <w:sz w:val="24"/>
                <w:highlight w:val="none"/>
              </w:rPr>
            </w:pPr>
            <w:r>
              <w:rPr>
                <w:rFonts w:hint="eastAsia" w:ascii="宋体" w:hAnsi="宋体" w:cs="宋体"/>
                <w:color w:val="auto"/>
                <w:sz w:val="24"/>
                <w:highlight w:val="none"/>
                <w:lang w:eastAsia="zh-CN"/>
              </w:rPr>
              <w:t>2026年02月05日08时30分</w:t>
            </w:r>
          </w:p>
        </w:tc>
      </w:tr>
      <w:tr w14:paraId="17C7DD78">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0969DD59">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77D13D3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磋商时间和地点</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3148BEF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磋商时间：同递交响应性文件截止时间</w:t>
            </w:r>
          </w:p>
          <w:p w14:paraId="4792A54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磋商地点：同递交响应性文件地点</w:t>
            </w:r>
          </w:p>
        </w:tc>
      </w:tr>
      <w:tr w14:paraId="21963CF5">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6CDCC8B">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D65CB1E">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aps w:val="0"/>
                <w:color w:val="auto"/>
                <w:spacing w:val="0"/>
                <w:sz w:val="24"/>
                <w:szCs w:val="24"/>
                <w:highlight w:val="none"/>
              </w:rPr>
              <w:t>磋商程序</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958AA86">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、本项目采用电子开评标系统，投标人应当在开标时间前，登录到三门峡市公共资源电子招投标交易平台→点击进入“不见面开标大厅”→找到相应的项目→在线准时参加开标活动。</w:t>
            </w:r>
          </w:p>
          <w:p w14:paraId="175F6A95">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2</w:t>
            </w:r>
            <w:r>
              <w:rPr>
                <w:rFonts w:hint="eastAsia" w:ascii="Times New Roman" w:hAnsi="Times New Roman"/>
                <w:color w:val="auto"/>
                <w:sz w:val="24"/>
                <w:szCs w:val="24"/>
                <w:highlight w:val="none"/>
                <w:shd w:val="clear" w:color="auto" w:fill="FFFFFF"/>
                <w:lang w:bidi="ar"/>
              </w:rPr>
              <w:t>、公布在投标截止时间前提交投标文件的供应商名单；</w:t>
            </w:r>
          </w:p>
          <w:p w14:paraId="0DAA30F9">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3</w:t>
            </w:r>
            <w:r>
              <w:rPr>
                <w:rFonts w:hint="eastAsia" w:ascii="Times New Roman" w:hAnsi="Times New Roman"/>
                <w:color w:val="auto"/>
                <w:sz w:val="24"/>
                <w:szCs w:val="24"/>
                <w:highlight w:val="none"/>
                <w:shd w:val="clear" w:color="auto" w:fill="FFFFFF"/>
                <w:lang w:bidi="ar"/>
              </w:rPr>
              <w:t>、投标人通过电子招标投标交易平台对已递交的电子投标文件进行解密；</w:t>
            </w:r>
          </w:p>
          <w:p w14:paraId="1CD6FD40">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4</w:t>
            </w:r>
            <w:r>
              <w:rPr>
                <w:rFonts w:hint="eastAsia" w:ascii="Times New Roman" w:hAnsi="Times New Roman"/>
                <w:color w:val="auto"/>
                <w:sz w:val="24"/>
                <w:szCs w:val="24"/>
                <w:highlight w:val="none"/>
                <w:shd w:val="clear" w:color="auto" w:fill="FFFFFF"/>
                <w:lang w:bidi="ar"/>
              </w:rPr>
              <w:t>、系统导入电子投标文件；</w:t>
            </w:r>
          </w:p>
          <w:p w14:paraId="2AB30789">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5</w:t>
            </w:r>
            <w:r>
              <w:rPr>
                <w:rFonts w:hint="eastAsia" w:ascii="Times New Roman" w:hAnsi="Times New Roman"/>
                <w:color w:val="auto"/>
                <w:sz w:val="24"/>
                <w:szCs w:val="24"/>
                <w:highlight w:val="none"/>
                <w:shd w:val="clear" w:color="auto" w:fill="FFFFFF"/>
                <w:lang w:bidi="ar"/>
              </w:rPr>
              <w:t>、采购人或采购代理机构将通过“电子开标系统”按照顺序公布供应商名称和招标文件规定的需要公布的其他内容；</w:t>
            </w:r>
          </w:p>
          <w:p w14:paraId="4AB1D23B">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6</w:t>
            </w:r>
            <w:r>
              <w:rPr>
                <w:rFonts w:hint="eastAsia" w:ascii="Times New Roman" w:hAnsi="Times New Roman"/>
                <w:color w:val="auto"/>
                <w:sz w:val="24"/>
                <w:szCs w:val="24"/>
                <w:highlight w:val="none"/>
                <w:shd w:val="clear" w:color="auto" w:fill="FFFFFF"/>
                <w:lang w:bidi="ar"/>
              </w:rPr>
              <w:t>、投标人代表对开标过程和开标记录有无异议：投标人如有异议，须按要求在规定时间内通过系统提出，由监督人代表现场核查并及时处理；否则视为该投标人认可开标过程及开标记录；投标人未参加开标的，视为认可开标结果。</w:t>
            </w:r>
          </w:p>
          <w:p w14:paraId="612112D1">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7</w:t>
            </w:r>
            <w:r>
              <w:rPr>
                <w:rFonts w:hint="eastAsia" w:ascii="Times New Roman" w:hAnsi="Times New Roman"/>
                <w:color w:val="auto"/>
                <w:sz w:val="24"/>
                <w:szCs w:val="24"/>
                <w:highlight w:val="none"/>
                <w:shd w:val="clear" w:color="auto" w:fill="FFFFFF"/>
                <w:lang w:bidi="ar"/>
              </w:rPr>
              <w:t>、开标结束。</w:t>
            </w:r>
          </w:p>
          <w:p w14:paraId="247BE5A5">
            <w:pPr>
              <w:spacing w:line="400" w:lineRule="exact"/>
              <w:ind w:firstLine="482" w:firstLineChars="200"/>
              <w:jc w:val="left"/>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注：</w:t>
            </w:r>
            <w:r>
              <w:rPr>
                <w:rFonts w:ascii="Times New Roman" w:hAnsi="Times New Roman"/>
                <w:b/>
                <w:bCs/>
                <w:color w:val="auto"/>
                <w:sz w:val="24"/>
                <w:szCs w:val="24"/>
                <w:highlight w:val="none"/>
                <w:shd w:val="clear" w:color="auto" w:fill="FFFFFF"/>
                <w:lang w:bidi="ar"/>
              </w:rPr>
              <w:t>1.</w:t>
            </w:r>
            <w:r>
              <w:rPr>
                <w:rFonts w:hint="eastAsia" w:ascii="Times New Roman" w:hAnsi="Times New Roman"/>
                <w:b/>
                <w:bCs/>
                <w:color w:val="auto"/>
                <w:sz w:val="24"/>
                <w:szCs w:val="24"/>
                <w:highlight w:val="none"/>
                <w:shd w:val="clear" w:color="auto" w:fill="FFFFFF"/>
                <w:lang w:bidi="ar"/>
              </w:rPr>
              <w:t>本项目采用电子化、无纸化进行招标，开标当日，投标供应商无需到开标现场参加开标会议，投标供应商应当在投标截止时间前，登录三门峡市公共资源交易中心电子交易平台，</w:t>
            </w:r>
            <w:r>
              <w:rPr>
                <w:rFonts w:hint="eastAsia" w:ascii="Times New Roman" w:hAnsi="Times New Roman"/>
                <w:b/>
                <w:color w:val="auto"/>
                <w:sz w:val="24"/>
                <w:highlight w:val="none"/>
              </w:rPr>
              <w:t>点击【不见面开标大厅】按钮进入，在线准时参加开标活动并进行投标文件解密等。或者直接</w:t>
            </w:r>
            <w:r>
              <w:rPr>
                <w:rFonts w:hint="eastAsia" w:ascii="Times New Roman" w:hAnsi="Times New Roman"/>
                <w:b/>
                <w:bCs/>
                <w:color w:val="auto"/>
                <w:sz w:val="24"/>
                <w:szCs w:val="24"/>
                <w:highlight w:val="none"/>
                <w:shd w:val="clear" w:color="auto" w:fill="FFFFFF"/>
                <w:lang w:bidi="ar"/>
              </w:rPr>
              <w:t>登陆不见面开标大厅选择登陆三门峡市公共资源电子招投标系统进行登陆（网址为</w:t>
            </w:r>
            <w:r>
              <w:rPr>
                <w:rFonts w:ascii="Times New Roman" w:hAnsi="Times New Roman"/>
                <w:b/>
                <w:bCs/>
                <w:color w:val="auto"/>
                <w:sz w:val="24"/>
                <w:szCs w:val="24"/>
                <w:highlight w:val="none"/>
                <w:shd w:val="clear" w:color="auto" w:fill="FFFFFF"/>
                <w:lang w:bidi="ar"/>
              </w:rPr>
              <w:t>http</w:t>
            </w:r>
            <w:r>
              <w:rPr>
                <w:rFonts w:hint="eastAsia" w:ascii="Times New Roman" w:hAnsi="Times New Roman"/>
                <w:b/>
                <w:bCs/>
                <w:color w:val="auto"/>
                <w:sz w:val="24"/>
                <w:szCs w:val="24"/>
                <w:highlight w:val="none"/>
                <w:shd w:val="clear" w:color="auto" w:fill="FFFFFF"/>
                <w:lang w:bidi="ar"/>
              </w:rPr>
              <w:t>:</w:t>
            </w:r>
            <w:r>
              <w:rPr>
                <w:rFonts w:ascii="Times New Roman" w:hAnsi="Times New Roman"/>
                <w:b/>
                <w:bCs/>
                <w:color w:val="auto"/>
                <w:sz w:val="24"/>
                <w:szCs w:val="24"/>
                <w:highlight w:val="none"/>
                <w:shd w:val="clear" w:color="auto" w:fill="FFFFFF"/>
                <w:lang w:bidi="ar"/>
              </w:rPr>
              <w:t>//120.194.249.36</w:t>
            </w:r>
            <w:r>
              <w:rPr>
                <w:rFonts w:hint="eastAsia" w:ascii="Times New Roman" w:hAnsi="Times New Roman"/>
                <w:b/>
                <w:bCs/>
                <w:color w:val="auto"/>
                <w:sz w:val="24"/>
                <w:szCs w:val="24"/>
                <w:highlight w:val="none"/>
                <w:shd w:val="clear" w:color="auto" w:fill="FFFFFF"/>
                <w:lang w:bidi="ar"/>
              </w:rPr>
              <w:t>:</w:t>
            </w:r>
            <w:r>
              <w:rPr>
                <w:rFonts w:ascii="Times New Roman" w:hAnsi="Times New Roman"/>
                <w:b/>
                <w:bCs/>
                <w:color w:val="auto"/>
                <w:sz w:val="24"/>
                <w:szCs w:val="24"/>
                <w:highlight w:val="none"/>
                <w:shd w:val="clear" w:color="auto" w:fill="FFFFFF"/>
                <w:lang w:bidi="ar"/>
              </w:rPr>
              <w:t>10094/BidOpening/bidopeninghallaction/hall/login</w:t>
            </w:r>
            <w:r>
              <w:rPr>
                <w:rFonts w:hint="eastAsia" w:ascii="Times New Roman" w:hAnsi="Times New Roman"/>
                <w:b/>
                <w:bCs/>
                <w:color w:val="auto"/>
                <w:sz w:val="24"/>
                <w:szCs w:val="24"/>
                <w:highlight w:val="none"/>
                <w:shd w:val="clear" w:color="auto" w:fill="FFFFFF"/>
                <w:lang w:bidi="ar"/>
              </w:rPr>
              <w:t>）</w:t>
            </w:r>
            <w:r>
              <w:rPr>
                <w:rFonts w:ascii="Times New Roman" w:hAnsi="Times New Roman"/>
                <w:b/>
                <w:bCs/>
                <w:color w:val="auto"/>
                <w:sz w:val="24"/>
                <w:szCs w:val="24"/>
                <w:highlight w:val="none"/>
                <w:shd w:val="clear" w:color="auto" w:fill="FFFFFF"/>
                <w:lang w:bidi="ar"/>
              </w:rPr>
              <w:t>,</w:t>
            </w:r>
            <w:r>
              <w:rPr>
                <w:rFonts w:hint="eastAsia" w:ascii="Times New Roman" w:hAnsi="Times New Roman"/>
                <w:b/>
                <w:bCs/>
                <w:color w:val="auto"/>
                <w:sz w:val="24"/>
                <w:szCs w:val="24"/>
                <w:highlight w:val="none"/>
                <w:shd w:val="clear" w:color="auto" w:fill="FFFFFF"/>
                <w:lang w:bidi="ar"/>
              </w:rPr>
              <w:t>在线准时参加开标活动并进行投标文件解密等。</w:t>
            </w:r>
          </w:p>
          <w:p w14:paraId="75556480">
            <w:pPr>
              <w:spacing w:line="360" w:lineRule="auto"/>
              <w:rPr>
                <w:rFonts w:hint="eastAsia" w:ascii="宋体" w:hAnsi="宋体" w:eastAsia="宋体" w:cs="宋体"/>
                <w:color w:val="auto"/>
                <w:kern w:val="0"/>
                <w:sz w:val="24"/>
                <w:highlight w:val="none"/>
              </w:rPr>
            </w:pPr>
            <w:r>
              <w:rPr>
                <w:rFonts w:ascii="Times New Roman" w:hAnsi="Times New Roman"/>
                <w:b/>
                <w:bCs/>
                <w:color w:val="auto"/>
                <w:sz w:val="24"/>
                <w:szCs w:val="24"/>
                <w:highlight w:val="none"/>
                <w:shd w:val="clear" w:color="auto" w:fill="FFFFFF"/>
                <w:lang w:bidi="ar"/>
              </w:rPr>
              <w:t>2.</w:t>
            </w:r>
            <w:r>
              <w:rPr>
                <w:rFonts w:hint="eastAsia" w:ascii="Times New Roman" w:hAnsi="Times New Roman"/>
                <w:b/>
                <w:bCs/>
                <w:color w:val="auto"/>
                <w:sz w:val="24"/>
                <w:szCs w:val="24"/>
                <w:highlight w:val="none"/>
                <w:shd w:val="clear" w:color="auto" w:fill="FFFFFF"/>
                <w:lang w:bidi="ar"/>
              </w:rPr>
              <w:t>投标文件采用一次加密方式。开标时，由投标供应商使用</w:t>
            </w:r>
            <w:r>
              <w:rPr>
                <w:rFonts w:ascii="Times New Roman" w:hAnsi="Times New Roman"/>
                <w:b/>
                <w:bCs/>
                <w:color w:val="auto"/>
                <w:sz w:val="24"/>
                <w:szCs w:val="24"/>
                <w:highlight w:val="none"/>
                <w:shd w:val="clear" w:color="auto" w:fill="FFFFFF"/>
                <w:lang w:bidi="ar"/>
              </w:rPr>
              <w:t>CA</w:t>
            </w:r>
            <w:r>
              <w:rPr>
                <w:rFonts w:hint="eastAsia" w:ascii="Times New Roman" w:hAnsi="Times New Roman"/>
                <w:b/>
                <w:bCs/>
                <w:color w:val="auto"/>
                <w:sz w:val="24"/>
                <w:szCs w:val="24"/>
                <w:highlight w:val="none"/>
                <w:shd w:val="clear" w:color="auto" w:fill="FFFFFF"/>
                <w:lang w:bidi="ar"/>
              </w:rPr>
              <w:t>证书，在规定时间内对其电子化投标文件进行解密。每位投标供应商的解密时间为开标时间起</w:t>
            </w:r>
            <w:r>
              <w:rPr>
                <w:rFonts w:ascii="Times New Roman" w:hAnsi="Times New Roman"/>
                <w:b/>
                <w:bCs/>
                <w:color w:val="auto"/>
                <w:sz w:val="24"/>
                <w:szCs w:val="24"/>
                <w:highlight w:val="none"/>
                <w:shd w:val="clear" w:color="auto" w:fill="FFFFFF"/>
                <w:lang w:bidi="ar"/>
              </w:rPr>
              <w:t>30</w:t>
            </w:r>
            <w:r>
              <w:rPr>
                <w:rFonts w:hint="eastAsia" w:ascii="Times New Roman" w:hAnsi="Times New Roman"/>
                <w:b/>
                <w:bCs/>
                <w:color w:val="auto"/>
                <w:sz w:val="24"/>
                <w:szCs w:val="24"/>
                <w:highlight w:val="none"/>
                <w:shd w:val="clear" w:color="auto" w:fill="FFFFFF"/>
                <w:lang w:bidi="ar"/>
              </w:rPr>
              <w:t>分钟内，如在规定时间内未完成解密的，其投标文件不予开标、唱标。每位投标人的解密时间为开标时间起</w:t>
            </w:r>
            <w:r>
              <w:rPr>
                <w:rFonts w:ascii="Times New Roman" w:hAnsi="Times New Roman"/>
                <w:b/>
                <w:bCs/>
                <w:color w:val="auto"/>
                <w:sz w:val="24"/>
                <w:szCs w:val="24"/>
                <w:highlight w:val="none"/>
                <w:shd w:val="clear" w:color="auto" w:fill="FFFFFF"/>
                <w:lang w:bidi="ar"/>
              </w:rPr>
              <w:t>30</w:t>
            </w:r>
            <w:r>
              <w:rPr>
                <w:rFonts w:hint="eastAsia" w:ascii="Times New Roman" w:hAnsi="Times New Roman"/>
                <w:b/>
                <w:bCs/>
                <w:color w:val="auto"/>
                <w:sz w:val="24"/>
                <w:szCs w:val="24"/>
                <w:highlight w:val="none"/>
                <w:shd w:val="clear" w:color="auto" w:fill="FFFFFF"/>
                <w:lang w:bidi="ar"/>
              </w:rPr>
              <w:t>分钟内完成。</w:t>
            </w:r>
          </w:p>
        </w:tc>
      </w:tr>
      <w:tr w14:paraId="0AB7BB2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FE59534">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758BA60F">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aps w:val="0"/>
                <w:color w:val="auto"/>
                <w:spacing w:val="0"/>
                <w:sz w:val="24"/>
                <w:szCs w:val="24"/>
                <w:highlight w:val="none"/>
              </w:rPr>
              <w:t>响应人代表出席开标会</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DB79D35">
            <w:pPr>
              <w:spacing w:line="360" w:lineRule="auto"/>
              <w:rPr>
                <w:rFonts w:hint="eastAsia" w:ascii="宋体" w:hAnsi="宋体" w:eastAsia="宋体" w:cs="宋体"/>
                <w:color w:val="auto"/>
                <w:kern w:val="0"/>
                <w:sz w:val="24"/>
                <w:highlight w:val="none"/>
              </w:rPr>
            </w:pPr>
            <w:r>
              <w:rPr>
                <w:rFonts w:hint="eastAsia" w:ascii="宋体" w:hAnsi="宋体" w:eastAsia="宋体" w:cs="宋体"/>
                <w:caps w:val="0"/>
                <w:color w:val="auto"/>
                <w:spacing w:val="0"/>
                <w:sz w:val="24"/>
                <w:szCs w:val="24"/>
                <w:highlight w:val="none"/>
                <w:lang w:eastAsia="zh-CN"/>
              </w:rPr>
              <w:t>所有投标响应人的法定代表人或其委托代理人无需到现场参加开标会议，仔细阅读磋商文件和三门峡市公共资源交易中心官网业务办理指南</w:t>
            </w:r>
          </w:p>
        </w:tc>
      </w:tr>
      <w:tr w14:paraId="59470C45">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D9FF4C9">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29AEA9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4AD0DB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磋商小组构成：</w:t>
            </w:r>
          </w:p>
          <w:p w14:paraId="4200C8C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由招标人代表和有关技术、经济等方面的专家共3人组成。</w:t>
            </w:r>
          </w:p>
          <w:p w14:paraId="1592281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其中：技术、经济等方面的专家不能少于磋商小组成员的2/3。</w:t>
            </w:r>
          </w:p>
          <w:p w14:paraId="6A10EE7E">
            <w:pPr>
              <w:pStyle w:val="2"/>
              <w:rPr>
                <w:rFonts w:hint="default" w:eastAsia="宋体"/>
                <w:lang w:val="en-US" w:eastAsia="zh-CN"/>
              </w:rPr>
            </w:pPr>
            <w:r>
              <w:rPr>
                <w:rFonts w:hint="eastAsia" w:ascii="宋体" w:hAnsi="宋体" w:cs="宋体"/>
                <w:color w:val="auto"/>
                <w:sz w:val="24"/>
                <w:highlight w:val="none"/>
                <w:lang w:val="en-US" w:eastAsia="zh-CN"/>
              </w:rPr>
              <w:t>业主评委无评审</w:t>
            </w:r>
            <w:bookmarkStart w:id="409" w:name="_GoBack"/>
            <w:bookmarkEnd w:id="409"/>
            <w:r>
              <w:rPr>
                <w:rFonts w:hint="eastAsia" w:ascii="宋体" w:hAnsi="宋体" w:cs="宋体"/>
                <w:color w:val="auto"/>
                <w:sz w:val="24"/>
                <w:highlight w:val="none"/>
                <w:lang w:val="en-US" w:eastAsia="zh-CN"/>
              </w:rPr>
              <w:t>费用。</w:t>
            </w:r>
          </w:p>
        </w:tc>
      </w:tr>
      <w:tr w14:paraId="6AB6FEF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0DECCDE">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393A5C5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是否授权磋商小组确定成交供应商</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6E21923">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■否，推荐成交候选人数：1-3</w:t>
            </w:r>
            <w:r>
              <w:rPr>
                <w:rFonts w:hint="eastAsia" w:ascii="宋体" w:hAnsi="宋体" w:eastAsia="宋体" w:cs="宋体"/>
                <w:color w:val="auto"/>
                <w:sz w:val="24"/>
                <w:highlight w:val="none"/>
                <w:lang w:val="en-US" w:eastAsia="zh-CN"/>
              </w:rPr>
              <w:t>名</w:t>
            </w:r>
          </w:p>
        </w:tc>
      </w:tr>
      <w:tr w14:paraId="4DC38700">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64114CEC">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FB5FC0C">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结果公示</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B88F678">
            <w:pPr>
              <w:spacing w:line="360" w:lineRule="auto"/>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lang w:eastAsia="zh-CN"/>
              </w:rPr>
              <w:t>在成交通知书发出前，招标人将成交候选人的情况在本招标项目招标公告发布的同一媒介予以公示，接受社会监督。</w:t>
            </w:r>
          </w:p>
        </w:tc>
      </w:tr>
      <w:tr w14:paraId="301ECEF2">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40453B8">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A2776F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履约担保</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4465AA6">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中标后甲乙双方协商。</w:t>
            </w:r>
          </w:p>
        </w:tc>
      </w:tr>
      <w:tr w14:paraId="5A3AA462">
        <w:tblPrEx>
          <w:tblCellMar>
            <w:top w:w="0" w:type="dxa"/>
            <w:left w:w="108" w:type="dxa"/>
            <w:bottom w:w="0" w:type="dxa"/>
            <w:right w:w="108" w:type="dxa"/>
          </w:tblCellMar>
        </w:tblPrEx>
        <w:trPr>
          <w:trHeight w:val="523"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BAD34D1">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A69D64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56220ACA">
            <w:pPr>
              <w:widowControl/>
              <w:spacing w:line="42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86.13</w:t>
            </w:r>
            <w:r>
              <w:rPr>
                <w:rFonts w:hint="eastAsia" w:ascii="宋体" w:hAnsi="宋体" w:eastAsia="宋体" w:cs="宋体"/>
                <w:color w:val="auto"/>
                <w:sz w:val="24"/>
                <w:highlight w:val="none"/>
                <w:lang w:val="en-US" w:eastAsia="zh-CN"/>
              </w:rPr>
              <w:t>万元</w:t>
            </w:r>
            <w:r>
              <w:rPr>
                <w:rFonts w:hint="eastAsia" w:ascii="宋体" w:hAnsi="宋体" w:eastAsia="宋体" w:cs="宋体"/>
                <w:color w:val="auto"/>
                <w:sz w:val="24"/>
                <w:highlight w:val="none"/>
                <w:lang w:eastAsia="zh-CN"/>
              </w:rPr>
              <w:t>；</w:t>
            </w:r>
          </w:p>
          <w:p w14:paraId="6CBB5387">
            <w:pPr>
              <w:widowControl/>
              <w:spacing w:line="420" w:lineRule="exact"/>
              <w:jc w:val="left"/>
              <w:rPr>
                <w:rFonts w:hint="eastAsia" w:ascii="宋体" w:hAnsi="宋体" w:eastAsia="宋体" w:cs="宋体"/>
                <w:color w:val="auto"/>
                <w:highlight w:val="none"/>
              </w:rPr>
            </w:pPr>
            <w:r>
              <w:rPr>
                <w:rFonts w:hint="eastAsia" w:ascii="宋体" w:hAnsi="宋体" w:eastAsia="宋体" w:cs="宋体"/>
                <w:color w:val="auto"/>
                <w:sz w:val="24"/>
                <w:highlight w:val="none"/>
              </w:rPr>
              <w:t>供应商的总报价不得高于最高限价，否则其响应文件将于否决。</w:t>
            </w:r>
          </w:p>
        </w:tc>
      </w:tr>
      <w:tr w14:paraId="246297B9">
        <w:tblPrEx>
          <w:tblCellMar>
            <w:top w:w="0" w:type="dxa"/>
            <w:left w:w="108" w:type="dxa"/>
            <w:bottom w:w="0" w:type="dxa"/>
            <w:right w:w="108" w:type="dxa"/>
          </w:tblCellMar>
        </w:tblPrEx>
        <w:trPr>
          <w:trHeight w:val="545"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B812A25">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76FB3B6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385CDA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中标后双方协商。</w:t>
            </w:r>
          </w:p>
        </w:tc>
      </w:tr>
      <w:tr w14:paraId="150AB22A">
        <w:tblPrEx>
          <w:tblCellMar>
            <w:top w:w="0" w:type="dxa"/>
            <w:left w:w="108" w:type="dxa"/>
            <w:bottom w:w="0" w:type="dxa"/>
            <w:right w:w="108" w:type="dxa"/>
          </w:tblCellMar>
        </w:tblPrEx>
        <w:trPr>
          <w:trHeight w:val="15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DDC62C7">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7214329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采购代理费</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0E040AA">
            <w:pPr>
              <w:widowControl/>
              <w:spacing w:line="360" w:lineRule="auto"/>
              <w:jc w:val="left"/>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lang w:eastAsia="zh-CN"/>
              </w:rPr>
              <w:t>收费标准：</w:t>
            </w:r>
            <w:r>
              <w:rPr>
                <w:rFonts w:hint="eastAsia" w:ascii="宋体" w:hAnsi="宋体" w:eastAsia="宋体" w:cs="宋体"/>
                <w:color w:val="auto"/>
                <w:kern w:val="44"/>
                <w:sz w:val="24"/>
                <w:szCs w:val="24"/>
                <w:highlight w:val="none"/>
              </w:rPr>
              <w:t>按豫招协[2023]002号河南省招标投标协会关于印发《河南省招标代理服务收费指导意见》规定的收费标准收取，</w:t>
            </w:r>
            <w:r>
              <w:rPr>
                <w:rFonts w:hint="eastAsia" w:ascii="宋体" w:hAnsi="宋体" w:eastAsia="宋体" w:cs="宋体"/>
                <w:color w:val="auto"/>
                <w:kern w:val="44"/>
                <w:sz w:val="24"/>
                <w:szCs w:val="24"/>
                <w:highlight w:val="none"/>
                <w:lang w:eastAsia="zh-CN"/>
              </w:rPr>
              <w:t>由</w:t>
            </w:r>
            <w:r>
              <w:rPr>
                <w:rFonts w:hint="eastAsia" w:ascii="宋体" w:hAnsi="宋体" w:eastAsia="宋体" w:cs="宋体"/>
                <w:color w:val="auto"/>
                <w:kern w:val="44"/>
                <w:sz w:val="24"/>
                <w:szCs w:val="24"/>
                <w:highlight w:val="none"/>
              </w:rPr>
              <w:t>成交人</w:t>
            </w:r>
            <w:r>
              <w:rPr>
                <w:rFonts w:hint="eastAsia" w:ascii="宋体" w:hAnsi="宋体" w:eastAsia="宋体" w:cs="宋体"/>
                <w:color w:val="auto"/>
                <w:kern w:val="44"/>
                <w:sz w:val="24"/>
                <w:szCs w:val="24"/>
                <w:highlight w:val="none"/>
                <w:lang w:eastAsia="zh-CN"/>
              </w:rPr>
              <w:t>在领取成交通知书时</w:t>
            </w:r>
            <w:r>
              <w:rPr>
                <w:rFonts w:hint="eastAsia" w:ascii="宋体" w:hAnsi="宋体" w:eastAsia="宋体" w:cs="宋体"/>
                <w:color w:val="auto"/>
                <w:kern w:val="44"/>
                <w:sz w:val="24"/>
                <w:szCs w:val="24"/>
                <w:highlight w:val="none"/>
              </w:rPr>
              <w:t>缴纳。</w:t>
            </w:r>
          </w:p>
          <w:p w14:paraId="4294C16A">
            <w:pPr>
              <w:widowControl/>
              <w:spacing w:line="360" w:lineRule="auto"/>
              <w:jc w:val="left"/>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lang w:val="en-US" w:eastAsia="zh-CN"/>
              </w:rPr>
              <w:t>收款单位：</w:t>
            </w:r>
            <w:r>
              <w:rPr>
                <w:rFonts w:hint="eastAsia" w:ascii="宋体" w:hAnsi="宋体" w:cs="宋体"/>
                <w:color w:val="auto"/>
                <w:kern w:val="44"/>
                <w:sz w:val="24"/>
                <w:szCs w:val="24"/>
                <w:highlight w:val="none"/>
                <w:lang w:val="en-US" w:eastAsia="zh-CN"/>
              </w:rPr>
              <w:t>华睿诚项目管理有限公司</w:t>
            </w:r>
          </w:p>
        </w:tc>
      </w:tr>
      <w:tr w14:paraId="0F5F7528">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F5FF80F">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243C7C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政府采购政策</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29EC377">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480" w:lineRule="exact"/>
              <w:jc w:val="both"/>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本项目专门面向中小企业、监狱企业及残疾人福利性单位采购项目，执行促进中小型企业发展政策（残疾人福利性企业、监狱企业视同小微企业）、优先采购节能环保产品等政府采购政策。</w:t>
            </w:r>
          </w:p>
          <w:p w14:paraId="52AC465A">
            <w:pPr>
              <w:keepNext w:val="0"/>
              <w:keepLines w:val="0"/>
              <w:pageBreakBefore w:val="0"/>
              <w:kinsoku/>
              <w:wordWrap/>
              <w:overflowPunct/>
              <w:topLinePunct w:val="0"/>
              <w:bidi w:val="0"/>
              <w:snapToGrid/>
              <w:spacing w:line="540" w:lineRule="exact"/>
              <w:ind w:firstLine="480" w:firstLineChars="200"/>
              <w:jc w:val="left"/>
              <w:textAlignment w:val="auto"/>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t>2.划定标准为：《工业和信息化部、国家统计局、国家发展和改革委员会、财政部关于印发&lt;中小企业划型标准规定的通知&gt;（工信部联企业〔2011〕300号）规定的划分标准为依据。</w:t>
            </w:r>
          </w:p>
          <w:p w14:paraId="0396A601">
            <w:pPr>
              <w:keepNext w:val="0"/>
              <w:keepLines w:val="0"/>
              <w:pageBreakBefore w:val="0"/>
              <w:kinsoku/>
              <w:wordWrap/>
              <w:overflowPunct/>
              <w:topLinePunct w:val="0"/>
              <w:bidi w:val="0"/>
              <w:snapToGrid/>
              <w:spacing w:line="540" w:lineRule="exact"/>
              <w:ind w:firstLine="480" w:firstLineChars="200"/>
              <w:jc w:val="left"/>
              <w:textAlignment w:val="auto"/>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t>本项目采购标的属于租赁和商务服务业；</w:t>
            </w:r>
          </w:p>
          <w:p w14:paraId="170A553E">
            <w:pPr>
              <w:keepNext w:val="0"/>
              <w:keepLines w:val="0"/>
              <w:pageBreakBefore w:val="0"/>
              <w:kinsoku/>
              <w:wordWrap/>
              <w:overflowPunct/>
              <w:topLinePunct w:val="0"/>
              <w:bidi w:val="0"/>
              <w:snapToGrid/>
              <w:spacing w:line="540" w:lineRule="exact"/>
              <w:ind w:firstLine="480" w:firstLineChars="200"/>
              <w:jc w:val="left"/>
              <w:textAlignment w:val="auto"/>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t>3.小微企业的认定标准详见《关于印发《政府采购促进中小企业发展管理办法》的通知》（财库〔2020〕46号）。</w:t>
            </w:r>
          </w:p>
          <w:p w14:paraId="7461D380">
            <w:pPr>
              <w:keepNext w:val="0"/>
              <w:keepLines w:val="0"/>
              <w:pageBreakBefore w:val="0"/>
              <w:kinsoku/>
              <w:wordWrap/>
              <w:overflowPunct/>
              <w:topLinePunct w:val="0"/>
              <w:bidi w:val="0"/>
              <w:snapToGrid/>
              <w:spacing w:line="540" w:lineRule="exact"/>
              <w:ind w:firstLine="240" w:firstLineChars="100"/>
              <w:jc w:val="left"/>
              <w:textAlignment w:val="auto"/>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t>（1）小微企业认定标准：出具《中小企业声明函》。</w:t>
            </w:r>
          </w:p>
          <w:p w14:paraId="66641FAC">
            <w:pPr>
              <w:keepNext w:val="0"/>
              <w:keepLines w:val="0"/>
              <w:pageBreakBefore w:val="0"/>
              <w:kinsoku/>
              <w:wordWrap/>
              <w:overflowPunct/>
              <w:topLinePunct w:val="0"/>
              <w:bidi w:val="0"/>
              <w:snapToGrid/>
              <w:spacing w:line="540" w:lineRule="exact"/>
              <w:ind w:firstLine="240" w:firstLineChars="100"/>
              <w:jc w:val="left"/>
              <w:textAlignment w:val="auto"/>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t>（2）残疾人福利性单位认定标准：出具《残疾人福利性单位声明函》。</w:t>
            </w:r>
          </w:p>
          <w:p w14:paraId="6B8D4BEB">
            <w:pPr>
              <w:keepNext w:val="0"/>
              <w:keepLines w:val="0"/>
              <w:pageBreakBefore w:val="0"/>
              <w:kinsoku/>
              <w:wordWrap/>
              <w:overflowPunct/>
              <w:topLinePunct w:val="0"/>
              <w:bidi w:val="0"/>
              <w:snapToGrid/>
              <w:spacing w:line="540" w:lineRule="exact"/>
              <w:ind w:firstLine="240" w:firstLineChars="100"/>
              <w:jc w:val="left"/>
              <w:textAlignment w:val="auto"/>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t>（3）监狱企业的认定标准：省级以上监狱管理局、戒毒管理局（含新疆生产建设兵团）出具的属于监狱企业的证明文件。</w:t>
            </w:r>
          </w:p>
          <w:p w14:paraId="18FD7475">
            <w:pPr>
              <w:keepNext w:val="0"/>
              <w:keepLines w:val="0"/>
              <w:pageBreakBefore w:val="0"/>
              <w:kinsoku/>
              <w:wordWrap/>
              <w:overflowPunct/>
              <w:topLinePunct w:val="0"/>
              <w:bidi w:val="0"/>
              <w:snapToGrid/>
              <w:spacing w:line="540" w:lineRule="exact"/>
              <w:ind w:firstLine="480" w:firstLineChars="200"/>
              <w:jc w:val="left"/>
              <w:textAlignment w:val="auto"/>
              <w:rPr>
                <w:rFonts w:hint="eastAsia" w:ascii="宋体" w:hAnsi="宋体" w:eastAsia="宋体" w:cs="宋体"/>
                <w:color w:val="auto"/>
                <w:kern w:val="44"/>
                <w:sz w:val="24"/>
                <w:szCs w:val="24"/>
                <w:highlight w:val="none"/>
                <w:lang w:val="en-US" w:eastAsia="zh-CN" w:bidi="ar-SA"/>
              </w:rPr>
            </w:pPr>
            <w:r>
              <w:rPr>
                <w:rFonts w:hint="eastAsia" w:ascii="宋体" w:hAnsi="宋体" w:eastAsia="宋体" w:cs="宋体"/>
                <w:color w:val="auto"/>
                <w:kern w:val="44"/>
                <w:sz w:val="24"/>
                <w:szCs w:val="24"/>
                <w:highlight w:val="none"/>
              </w:rPr>
              <w:t>相关风险：提供虚假证明材料后果：</w:t>
            </w:r>
            <w:r>
              <w:rPr>
                <w:rFonts w:hint="eastAsia" w:ascii="宋体" w:hAnsi="宋体" w:eastAsia="宋体" w:cs="宋体"/>
                <w:color w:val="auto"/>
                <w:kern w:val="44"/>
                <w:sz w:val="24"/>
                <w:szCs w:val="24"/>
                <w:highlight w:val="none"/>
                <w:lang w:eastAsia="zh-CN"/>
              </w:rPr>
              <w:t>供应商</w:t>
            </w:r>
            <w:r>
              <w:rPr>
                <w:rFonts w:hint="eastAsia" w:ascii="宋体" w:hAnsi="宋体" w:eastAsia="宋体" w:cs="宋体"/>
                <w:color w:val="auto"/>
                <w:kern w:val="44"/>
                <w:sz w:val="24"/>
                <w:szCs w:val="24"/>
                <w:highlight w:val="none"/>
              </w:rPr>
              <w:t>为取得上述身份而提供虚假证明材料，在评审过程中发现的，按无效标处理；已取得中标资格的，无论该行为是否影响中标，均取消其中标资格；该</w:t>
            </w:r>
            <w:r>
              <w:rPr>
                <w:rFonts w:hint="eastAsia" w:ascii="宋体" w:hAnsi="宋体" w:eastAsia="宋体" w:cs="宋体"/>
                <w:color w:val="auto"/>
                <w:kern w:val="44"/>
                <w:sz w:val="24"/>
                <w:szCs w:val="24"/>
                <w:highlight w:val="none"/>
                <w:lang w:eastAsia="zh-CN"/>
              </w:rPr>
              <w:t>供应商</w:t>
            </w:r>
            <w:r>
              <w:rPr>
                <w:rFonts w:hint="eastAsia" w:ascii="宋体" w:hAnsi="宋体" w:eastAsia="宋体" w:cs="宋体"/>
                <w:color w:val="auto"/>
                <w:kern w:val="44"/>
                <w:sz w:val="24"/>
                <w:szCs w:val="24"/>
                <w:highlight w:val="none"/>
              </w:rPr>
              <w:t>还应承担由此引起的其他经济、法律责任。出现此种情形时，</w:t>
            </w:r>
            <w:r>
              <w:rPr>
                <w:rFonts w:hint="eastAsia" w:ascii="宋体" w:hAnsi="宋体" w:cs="宋体"/>
                <w:color w:val="auto"/>
                <w:kern w:val="44"/>
                <w:sz w:val="24"/>
                <w:szCs w:val="24"/>
                <w:highlight w:val="none"/>
                <w:lang w:eastAsia="zh-CN"/>
              </w:rPr>
              <w:t>采购人</w:t>
            </w:r>
            <w:r>
              <w:rPr>
                <w:rFonts w:hint="eastAsia" w:ascii="宋体" w:hAnsi="宋体" w:eastAsia="宋体" w:cs="宋体"/>
                <w:color w:val="auto"/>
                <w:kern w:val="44"/>
                <w:sz w:val="24"/>
                <w:szCs w:val="24"/>
                <w:highlight w:val="none"/>
              </w:rPr>
              <w:t>、</w:t>
            </w:r>
            <w:r>
              <w:rPr>
                <w:rFonts w:hint="eastAsia" w:ascii="宋体" w:hAnsi="宋体" w:cs="宋体"/>
                <w:color w:val="auto"/>
                <w:kern w:val="44"/>
                <w:sz w:val="24"/>
                <w:szCs w:val="24"/>
                <w:highlight w:val="none"/>
                <w:lang w:eastAsia="zh-CN"/>
              </w:rPr>
              <w:t>采购代理机构</w:t>
            </w:r>
            <w:r>
              <w:rPr>
                <w:rFonts w:hint="eastAsia" w:ascii="宋体" w:hAnsi="宋体" w:eastAsia="宋体" w:cs="宋体"/>
                <w:color w:val="auto"/>
                <w:kern w:val="44"/>
                <w:sz w:val="24"/>
                <w:szCs w:val="24"/>
                <w:highlight w:val="none"/>
              </w:rPr>
              <w:t>将有关情况上报政府采购监管部门，由监管部门按有关规定对其进行相应处罚。</w:t>
            </w:r>
          </w:p>
        </w:tc>
      </w:tr>
      <w:tr w14:paraId="2F402A54">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862C287">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34A6865">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知识产权</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3C7B23C5">
            <w:pPr>
              <w:spacing w:line="360" w:lineRule="auto"/>
              <w:rPr>
                <w:rFonts w:hint="eastAsia" w:ascii="宋体" w:hAnsi="宋体" w:eastAsia="宋体" w:cs="宋体"/>
                <w:color w:val="auto"/>
                <w:kern w:val="44"/>
                <w:sz w:val="24"/>
                <w:szCs w:val="24"/>
                <w:highlight w:val="none"/>
              </w:rPr>
            </w:pPr>
            <w:r>
              <w:rPr>
                <w:rFonts w:hint="eastAsia" w:ascii="宋体" w:hAnsi="宋体" w:eastAsia="宋体" w:cs="宋体"/>
                <w:caps w:val="0"/>
                <w:color w:val="auto"/>
                <w:spacing w:val="0"/>
                <w:sz w:val="24"/>
                <w:szCs w:val="24"/>
                <w:highlight w:val="none"/>
                <w:lang w:eastAsia="zh-CN"/>
              </w:rPr>
              <w:t>构成本竞争性磋商文件各个组成部分的文件，未经招标人书面同意，投标人不得擅自复印和用于非本招标项目所需的其他目的。招标人全部或者部分使用未成交人投标文件中的技术成果或技术方案时，需征得其书面同意，并不得擅自复印或提供给第三人</w:t>
            </w:r>
          </w:p>
        </w:tc>
      </w:tr>
      <w:tr w14:paraId="58EB8569">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B49C672">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B553175">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监督</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31D664D">
            <w:pPr>
              <w:spacing w:line="360" w:lineRule="auto"/>
              <w:rPr>
                <w:rFonts w:hint="eastAsia" w:ascii="宋体" w:hAnsi="宋体" w:eastAsia="宋体" w:cs="宋体"/>
                <w:color w:val="auto"/>
                <w:kern w:val="44"/>
                <w:sz w:val="24"/>
                <w:szCs w:val="24"/>
                <w:highlight w:val="none"/>
              </w:rPr>
            </w:pPr>
            <w:r>
              <w:rPr>
                <w:rFonts w:hint="eastAsia" w:ascii="宋体" w:hAnsi="宋体" w:eastAsia="宋体" w:cs="宋体"/>
                <w:caps w:val="0"/>
                <w:color w:val="auto"/>
                <w:spacing w:val="0"/>
                <w:sz w:val="24"/>
                <w:szCs w:val="24"/>
                <w:highlight w:val="none"/>
                <w:lang w:eastAsia="zh-CN"/>
              </w:rPr>
              <w:t>本项目的招标投标活动及其相关当事人应当接受有管辖权的建设工程招标投标行政监督部门依法实施的监督</w:t>
            </w:r>
          </w:p>
        </w:tc>
      </w:tr>
      <w:tr w14:paraId="30EC9859">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77ECAD2">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102E803">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解释权</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3CAF83B6">
            <w:pPr>
              <w:spacing w:line="360" w:lineRule="auto"/>
              <w:rPr>
                <w:rFonts w:hint="eastAsia" w:ascii="宋体" w:hAnsi="宋体" w:eastAsia="宋体" w:cs="宋体"/>
                <w:color w:val="auto"/>
                <w:kern w:val="44"/>
                <w:sz w:val="24"/>
                <w:szCs w:val="24"/>
                <w:highlight w:val="none"/>
              </w:rPr>
            </w:pPr>
            <w:r>
              <w:rPr>
                <w:rFonts w:hint="eastAsia" w:ascii="宋体" w:hAnsi="宋体" w:eastAsia="宋体" w:cs="宋体"/>
                <w:caps w:val="0"/>
                <w:color w:val="auto"/>
                <w:spacing w:val="0"/>
                <w:sz w:val="24"/>
                <w:szCs w:val="24"/>
                <w:highlight w:val="none"/>
                <w:lang w:eastAsia="zh-CN"/>
              </w:rPr>
              <w:t>构成本竞争性磋商文件的各个组成部分应互为解释，互为说明，如有不明确或不一致，构成合同文件组成内容，以合同文件约定内容为准，且以专用合同草案约定的合同文件优先顺序解释；除竞争性磋商文件中有特别规定外，仅适用于招标投标阶段的规定，按招标公告（投标邀请书）、评标办法、投标文件格式的先后顺序解释；同一组成文件中就同一事项的规定或约定不一致的，以编排顺序在后者为准；同一组成文件不同版本之间有不一致的，已形成时间在后者为准。按本款前述规定仍不能形成结论的，由招标人或委托代理机构负责解释。</w:t>
            </w:r>
          </w:p>
        </w:tc>
      </w:tr>
      <w:tr w14:paraId="5DE7B536">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8799E71">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F487464">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同义词语</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4071A87">
            <w:pPr>
              <w:spacing w:line="360" w:lineRule="auto"/>
              <w:rPr>
                <w:rFonts w:hint="eastAsia" w:ascii="宋体" w:hAnsi="宋体" w:eastAsia="宋体" w:cs="宋体"/>
                <w:color w:val="auto"/>
                <w:kern w:val="44"/>
                <w:sz w:val="24"/>
                <w:szCs w:val="24"/>
                <w:highlight w:val="none"/>
              </w:rPr>
            </w:pPr>
            <w:r>
              <w:rPr>
                <w:rFonts w:hint="eastAsia" w:ascii="宋体" w:hAnsi="宋体" w:eastAsia="宋体" w:cs="宋体"/>
                <w:caps w:val="0"/>
                <w:color w:val="auto"/>
                <w:spacing w:val="0"/>
                <w:sz w:val="24"/>
                <w:szCs w:val="24"/>
                <w:highlight w:val="none"/>
                <w:lang w:eastAsia="zh-CN"/>
              </w:rPr>
              <w:t xml:space="preserve">  构成竞争性磋商文件组成部分的“通用合同条款”、“专用合同条款”、“技术标准和要求”等章节中出现的措辞“发包人”和“承包人”，在招标投标阶段应当分别按“招标人”和“投标人”进行理解。</w:t>
            </w:r>
          </w:p>
        </w:tc>
      </w:tr>
      <w:tr w14:paraId="1CA1A9A3">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DF1B202">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F97C351">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具体要求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53AA43B">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本项目为电子化、无纸化交易项目，投标文件是投标人、响应人（以下简称“投标人”）通过中心投标文件制作系统制作，并经过签章和加密后生成的电子版投标文件。</w:t>
            </w:r>
          </w:p>
          <w:p w14:paraId="197B9815">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电子化投标文件具体制作文件请点击https://download.bqpoint.com/download/downloaddetail.html?SourceFrom=Ztb&amp;ZtbSoftXiaQuCode=1506&amp;ZtbSoftType=tballinclusive进行下载。</w:t>
            </w:r>
          </w:p>
          <w:p w14:paraId="00012498">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温馨提示：本项目为电子化、无纸化交易项目，为保证您能投标成功，请需仔细阅读以下条款。</w:t>
            </w:r>
          </w:p>
          <w:p w14:paraId="4740F0F5">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一、电子化投标</w:t>
            </w:r>
          </w:p>
          <w:p w14:paraId="0AD8A58A">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（一）电子化投标文件的签章</w:t>
            </w:r>
          </w:p>
          <w:p w14:paraId="475D39BC">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1、投标人在生成电子化投标文件后，应对电子化投标文件进行签章，未进行签章的视为无效投标。</w:t>
            </w:r>
          </w:p>
          <w:p w14:paraId="71F6F4E8">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2、</w:t>
            </w:r>
            <w:r>
              <w:rPr>
                <w:rFonts w:hint="eastAsia" w:ascii="宋体" w:hAnsi="宋体" w:cs="宋体"/>
                <w:caps w:val="0"/>
                <w:color w:val="auto"/>
                <w:spacing w:val="0"/>
                <w:sz w:val="24"/>
                <w:szCs w:val="24"/>
                <w:highlight w:val="none"/>
                <w:lang w:eastAsia="zh-CN"/>
              </w:rPr>
              <w:t>文件中要求盖单位章的位置投标人应使用CA数字证书签盖投标人的单位电子印章；要求法定代表人签字或盖章的地方，投标人应使用CA数字证书签盖法定代表人的个人电子印章为准。要求委托代理人签字或盖章的以委托代理人签字或盖章为准；</w:t>
            </w:r>
          </w:p>
          <w:p w14:paraId="1ADF15F9">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（二）电子化投标文件的格式及上传投标</w:t>
            </w:r>
          </w:p>
          <w:p w14:paraId="25511249">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1、投标人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2A31A7AF">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2、电子化投标文件应在投标截止时间前成功上传至三门峡市公共资源电子化交易系统。至投标截止时间止，仍未上传成功的电子化投标文件将不予接收。</w:t>
            </w:r>
          </w:p>
          <w:p w14:paraId="1092E9C7">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47AAD38A">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技术联系电话：0398-3117871</w:t>
            </w:r>
          </w:p>
          <w:p w14:paraId="1E543C24">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（三）电子化项目开标、解密、唱标、评标</w:t>
            </w:r>
          </w:p>
          <w:p w14:paraId="42AEF336">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4A503CD1">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3CECC0B6">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3、电子化投标文件解密异常的处理</w:t>
            </w:r>
          </w:p>
          <w:p w14:paraId="6A377148">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如出现投标人的电子投标文件无法解密等异常情况，投标人应及时致电中介服务机构说明。投标文件异常，按以下步骤进行处理：</w:t>
            </w:r>
          </w:p>
          <w:p w14:paraId="2CAE1366">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（1）首先由技术人员进行问题排查。</w:t>
            </w:r>
          </w:p>
          <w:p w14:paraId="50105AB3">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（2）经技术人员排查后，是投标人文件自身问题导致投标文件无法解密的，该投标文件将不予接收、解密和唱标。开标会议继续进行。</w:t>
            </w:r>
          </w:p>
          <w:p w14:paraId="48BCFA3A">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8A70C25">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4、待所有投标人投标文件解密完成后，由中介服务机构操作，对所有已解密投标文件进行唱标。</w:t>
            </w:r>
          </w:p>
          <w:p w14:paraId="689F47AA">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投标人应保证在开标期间电话、电脑、网络能够正常工作，投标人因停电、电脑病毒、网络堵塞等原因，未在规定的解密时间内对投标文件进行解密的，其投标文件不予接收、唱标。</w:t>
            </w:r>
          </w:p>
          <w:p w14:paraId="1588C6A4">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32F82490">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60D0E7F4">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7、如评标委员会对需要回复的投标人连续三次致电未接通的，视为投标人放弃回复，评标委员会将自行对需要回复的内容进行认定。</w:t>
            </w:r>
          </w:p>
          <w:p w14:paraId="748EEFAA">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二、投标文件的提交</w:t>
            </w:r>
          </w:p>
          <w:p w14:paraId="6E55DF89">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本项目实行后审，审查内容以投标截止时间前在三门峡市公共资源交易系统上传的投标文件的信息为准。其上传资料真实性由投标人自行承担，同时，投标人需要完善主体库信息。（注：评标过程中若主体库资料显示不全面，不得作为废标的依据）</w:t>
            </w:r>
          </w:p>
          <w:p w14:paraId="0ECFABE4">
            <w:pPr>
              <w:spacing w:line="360" w:lineRule="auto"/>
              <w:rPr>
                <w:rFonts w:hint="eastAsia" w:ascii="宋体" w:hAnsi="宋体" w:eastAsia="宋体" w:cs="宋体"/>
                <w:color w:val="auto"/>
                <w:kern w:val="44"/>
                <w:sz w:val="24"/>
                <w:szCs w:val="24"/>
                <w:highlight w:val="none"/>
              </w:rPr>
            </w:pPr>
            <w:r>
              <w:rPr>
                <w:rFonts w:hint="eastAsia" w:ascii="宋体" w:hAnsi="宋体" w:eastAsia="宋体" w:cs="宋体"/>
                <w:caps w:val="0"/>
                <w:color w:val="auto"/>
                <w:spacing w:val="0"/>
                <w:sz w:val="24"/>
                <w:szCs w:val="24"/>
                <w:highlight w:val="none"/>
                <w:lang w:eastAsia="zh-CN"/>
              </w:rPr>
              <w:t>提示：本项目为电子化、无纸化交易项目，为保证您能投标成功，请需仔细阅读以上条款。</w:t>
            </w:r>
          </w:p>
        </w:tc>
      </w:tr>
    </w:tbl>
    <w:p w14:paraId="64A170F7">
      <w:pPr>
        <w:spacing w:line="480" w:lineRule="exact"/>
        <w:ind w:firstLine="482" w:firstLineChars="200"/>
        <w:outlineLvl w:val="9"/>
        <w:rPr>
          <w:rFonts w:hint="eastAsia" w:ascii="宋体" w:hAnsi="宋体" w:eastAsia="宋体" w:cs="宋体"/>
          <w:b/>
          <w:bCs/>
          <w:color w:val="auto"/>
          <w:sz w:val="24"/>
          <w:highlight w:val="none"/>
        </w:rPr>
      </w:pPr>
      <w:bookmarkStart w:id="17" w:name="_Toc127797694"/>
      <w:bookmarkStart w:id="18" w:name="_Toc29773"/>
      <w:bookmarkStart w:id="19" w:name="_Toc179632575"/>
      <w:bookmarkStart w:id="20" w:name="_Toc144974525"/>
      <w:bookmarkStart w:id="21" w:name="_Toc246996201"/>
      <w:bookmarkStart w:id="22" w:name="_Toc296602445"/>
      <w:bookmarkStart w:id="23" w:name="_Toc246996944"/>
      <w:bookmarkStart w:id="24" w:name="_Toc152045557"/>
      <w:bookmarkStart w:id="25" w:name="_Toc247085715"/>
      <w:bookmarkStart w:id="26" w:name="_Toc152042333"/>
      <w:r>
        <w:rPr>
          <w:rFonts w:hint="eastAsia" w:ascii="宋体" w:hAnsi="宋体" w:eastAsia="宋体" w:cs="宋体"/>
          <w:b/>
          <w:bCs/>
          <w:color w:val="auto"/>
          <w:sz w:val="24"/>
          <w:highlight w:val="none"/>
        </w:rPr>
        <w:t>1、适用范围</w:t>
      </w:r>
      <w:bookmarkEnd w:id="17"/>
      <w:bookmarkEnd w:id="18"/>
    </w:p>
    <w:p w14:paraId="3ED29326">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本竞争性磋商文件仅适用于本次竞争性磋商文件中的所叙述的内容。</w:t>
      </w:r>
    </w:p>
    <w:p w14:paraId="50E8BB36">
      <w:pPr>
        <w:spacing w:line="480" w:lineRule="exact"/>
        <w:ind w:firstLine="482" w:firstLineChars="200"/>
        <w:outlineLvl w:val="9"/>
        <w:rPr>
          <w:rFonts w:hint="eastAsia" w:ascii="宋体" w:hAnsi="宋体" w:eastAsia="宋体" w:cs="宋体"/>
          <w:b/>
          <w:bCs/>
          <w:color w:val="auto"/>
          <w:sz w:val="24"/>
          <w:highlight w:val="none"/>
        </w:rPr>
      </w:pPr>
      <w:bookmarkStart w:id="27" w:name="_Toc18686"/>
      <w:bookmarkStart w:id="28" w:name="_Toc127797695"/>
      <w:r>
        <w:rPr>
          <w:rFonts w:hint="eastAsia" w:ascii="宋体" w:hAnsi="宋体" w:eastAsia="宋体" w:cs="宋体"/>
          <w:b/>
          <w:bCs/>
          <w:color w:val="auto"/>
          <w:sz w:val="24"/>
          <w:highlight w:val="none"/>
        </w:rPr>
        <w:t>2、合格的供应商</w:t>
      </w:r>
      <w:bookmarkEnd w:id="27"/>
      <w:bookmarkEnd w:id="28"/>
    </w:p>
    <w:p w14:paraId="1B31CE13">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符合供应商须知前附表要求。</w:t>
      </w:r>
    </w:p>
    <w:p w14:paraId="08DB2B4B">
      <w:pPr>
        <w:spacing w:line="480" w:lineRule="exact"/>
        <w:ind w:firstLine="482" w:firstLineChars="200"/>
        <w:outlineLvl w:val="9"/>
        <w:rPr>
          <w:rFonts w:hint="eastAsia" w:ascii="宋体" w:hAnsi="宋体" w:eastAsia="宋体" w:cs="宋体"/>
          <w:b/>
          <w:bCs/>
          <w:color w:val="auto"/>
          <w:sz w:val="24"/>
          <w:highlight w:val="none"/>
        </w:rPr>
      </w:pPr>
      <w:bookmarkStart w:id="29" w:name="_Toc127797696"/>
      <w:bookmarkStart w:id="30" w:name="_Toc23800"/>
      <w:r>
        <w:rPr>
          <w:rFonts w:hint="eastAsia" w:ascii="宋体" w:hAnsi="宋体" w:eastAsia="宋体" w:cs="宋体"/>
          <w:b/>
          <w:bCs/>
          <w:color w:val="auto"/>
          <w:sz w:val="24"/>
          <w:highlight w:val="none"/>
        </w:rPr>
        <w:t>3. 其他</w:t>
      </w:r>
      <w:bookmarkEnd w:id="29"/>
      <w:bookmarkEnd w:id="30"/>
    </w:p>
    <w:p w14:paraId="1B856E32">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 无论磋商中的做法和结果如何，供应商均应自行承担所有与参与磋商活动有关的全部费用。</w:t>
      </w:r>
    </w:p>
    <w:p w14:paraId="4BAEBC51">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 无论磋商结果如何，采购人均无向供应商解释其成交或未成交原因的义务。</w:t>
      </w:r>
    </w:p>
    <w:p w14:paraId="51435ECC">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 无论成交与否，已购买竞争性磋商文件的供应商对竞争性磋商文件负保密责任。</w:t>
      </w:r>
    </w:p>
    <w:p w14:paraId="22C65A8E">
      <w:pPr>
        <w:spacing w:line="480" w:lineRule="exact"/>
        <w:ind w:firstLine="482" w:firstLineChars="200"/>
        <w:outlineLvl w:val="9"/>
        <w:rPr>
          <w:rFonts w:hint="eastAsia" w:ascii="宋体" w:hAnsi="宋体" w:eastAsia="宋体" w:cs="宋体"/>
          <w:b/>
          <w:bCs/>
          <w:color w:val="auto"/>
          <w:sz w:val="24"/>
          <w:highlight w:val="none"/>
        </w:rPr>
      </w:pPr>
      <w:bookmarkStart w:id="31" w:name="_Toc10903"/>
      <w:bookmarkStart w:id="32" w:name="_Toc127797697"/>
      <w:r>
        <w:rPr>
          <w:rFonts w:hint="eastAsia" w:ascii="宋体" w:hAnsi="宋体" w:eastAsia="宋体" w:cs="宋体"/>
          <w:b/>
          <w:bCs/>
          <w:color w:val="auto"/>
          <w:sz w:val="24"/>
          <w:highlight w:val="none"/>
        </w:rPr>
        <w:t>4、竞争性磋商文件的组成</w:t>
      </w:r>
      <w:bookmarkEnd w:id="31"/>
      <w:bookmarkEnd w:id="32"/>
    </w:p>
    <w:p w14:paraId="04425227">
      <w:pPr>
        <w:spacing w:line="480" w:lineRule="exact"/>
        <w:ind w:firstLine="480" w:firstLineChars="200"/>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4.1 竞争性磋商文件用于阐明采购项目的服务范围、磋商程序、磋商内容、合同草签和条款以及评定成交的标准。具体包括以下内容：</w:t>
      </w:r>
    </w:p>
    <w:p w14:paraId="07AC4BF6">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（1）竞争性磋商公告</w:t>
      </w:r>
    </w:p>
    <w:p w14:paraId="67B92752">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（2）供应商须知</w:t>
      </w:r>
    </w:p>
    <w:p w14:paraId="2948CBF4">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服务内容</w:t>
      </w:r>
      <w:r>
        <w:rPr>
          <w:rFonts w:hint="eastAsia" w:ascii="宋体" w:hAnsi="宋体" w:eastAsia="宋体" w:cs="宋体"/>
          <w:color w:val="auto"/>
          <w:sz w:val="24"/>
          <w:highlight w:val="none"/>
        </w:rPr>
        <w:t>及要求</w:t>
      </w:r>
    </w:p>
    <w:p w14:paraId="6A5B14ED">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（4）评审办法</w:t>
      </w:r>
    </w:p>
    <w:p w14:paraId="758D0376">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（5）合同协议书（样本）</w:t>
      </w:r>
    </w:p>
    <w:p w14:paraId="1BDAFB89">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（6）响应文件部分格式</w:t>
      </w:r>
    </w:p>
    <w:p w14:paraId="5401137F">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4.2 竞争性磋商文件以中文编印，且以中文为准。</w:t>
      </w:r>
    </w:p>
    <w:p w14:paraId="1D7265C7">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4.3 除非有特殊要求，竞争性磋商文件不单独提供项目所在地的自然环境、气候条件、公用设施等情况，供应商被视为熟悉上述与履行合同有关的一切情况。</w:t>
      </w:r>
    </w:p>
    <w:p w14:paraId="434D5A46">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4.4 竞争性磋商文件的澄清和修改</w:t>
      </w:r>
    </w:p>
    <w:p w14:paraId="0ABFC235">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4.4.1供应商对竞争性磋商文件如有需要澄清或疑问，应当在系统内提出。代理机构将视情况在响应性文件递交截止时间五日前以公告形式予以答复。</w:t>
      </w:r>
    </w:p>
    <w:p w14:paraId="74E86D85">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4.4.2在磋商文件中所述的响应性文件递交截止时间五日前，采购代理机构可主动地或在解答供应商提出的澄清问题时对竞争性磋商文件进行修改。</w:t>
      </w:r>
    </w:p>
    <w:p w14:paraId="4F31613C">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4.4.3竞争性磋商文件的修改将以公告形式予以修改，并构成竞争性磋商文件的一部分，对所有供应商均具有约束力。</w:t>
      </w:r>
    </w:p>
    <w:p w14:paraId="5205916E">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4.4.4如果修改竞争性磋商文件，会在三门峡市公共资源交易中心网发布变更公告，不再发纸质的变更信息。提醒供应商随时注意网上发布的信息。如因供应商自身原因未看到信息，因此造成的一切后果由供应商自行承担。</w:t>
      </w:r>
    </w:p>
    <w:p w14:paraId="2EDBFFA1">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4.4.5为使供应商有充分的时间对竞争性磋商文件的修改部分进行研究，采购代理机构可适当延长响应性文件递交截止时间。</w:t>
      </w:r>
    </w:p>
    <w:p w14:paraId="320F178A">
      <w:pPr>
        <w:spacing w:line="480" w:lineRule="exact"/>
        <w:ind w:firstLine="482" w:firstLineChars="200"/>
        <w:outlineLvl w:val="9"/>
        <w:rPr>
          <w:rFonts w:hint="eastAsia" w:ascii="宋体" w:hAnsi="宋体" w:eastAsia="宋体" w:cs="宋体"/>
          <w:b/>
          <w:bCs/>
          <w:color w:val="auto"/>
          <w:sz w:val="24"/>
          <w:highlight w:val="none"/>
        </w:rPr>
      </w:pPr>
      <w:bookmarkStart w:id="33" w:name="_Toc9736"/>
      <w:bookmarkStart w:id="34" w:name="_Toc127797698"/>
      <w:r>
        <w:rPr>
          <w:rFonts w:hint="eastAsia" w:ascii="宋体" w:hAnsi="宋体" w:eastAsia="宋体" w:cs="宋体"/>
          <w:b/>
          <w:bCs/>
          <w:color w:val="auto"/>
          <w:sz w:val="24"/>
          <w:highlight w:val="none"/>
        </w:rPr>
        <w:t>5、响应性文件的组成</w:t>
      </w:r>
      <w:bookmarkEnd w:id="33"/>
      <w:bookmarkEnd w:id="34"/>
    </w:p>
    <w:p w14:paraId="3E271296">
      <w:pPr>
        <w:shd w:val="clear" w:color="auto" w:fill="FFFFFF"/>
        <w:tabs>
          <w:tab w:val="right" w:pos="6077"/>
        </w:tabs>
        <w:autoSpaceDE w:val="0"/>
        <w:autoSpaceDN w:val="0"/>
        <w:spacing w:line="480" w:lineRule="auto"/>
        <w:ind w:firstLine="480" w:firstLineChars="200"/>
        <w:outlineLvl w:val="9"/>
        <w:rPr>
          <w:rFonts w:hint="eastAsia" w:ascii="宋体" w:hAnsi="宋体" w:eastAsia="宋体" w:cs="宋体"/>
          <w:color w:val="auto"/>
          <w:sz w:val="24"/>
          <w:highlight w:val="none"/>
        </w:rPr>
      </w:pPr>
      <w:bookmarkStart w:id="35" w:name="_Toc127797700"/>
      <w:bookmarkStart w:id="36" w:name="_Toc17403"/>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报价函 </w:t>
      </w:r>
    </w:p>
    <w:p w14:paraId="3B70B700">
      <w:pPr>
        <w:shd w:val="clear" w:color="auto" w:fill="FFFFFF"/>
        <w:tabs>
          <w:tab w:val="right" w:pos="6077"/>
        </w:tabs>
        <w:autoSpaceDE w:val="0"/>
        <w:autoSpaceDN w:val="0"/>
        <w:spacing w:line="480" w:lineRule="auto"/>
        <w:ind w:firstLine="480" w:firstLineChars="200"/>
        <w:outlineLvl w:val="9"/>
        <w:rPr>
          <w:rFonts w:hint="eastAsia" w:ascii="宋体" w:hAnsi="宋体" w:eastAsia="宋体" w:cs="宋体"/>
          <w:bCs/>
          <w:color w:val="auto"/>
          <w:kern w:val="10"/>
          <w:sz w:val="24"/>
          <w:highlight w:val="none"/>
        </w:rPr>
      </w:pPr>
      <w:r>
        <w:rPr>
          <w:rFonts w:hint="eastAsia" w:ascii="宋体" w:hAnsi="宋体" w:eastAsia="宋体" w:cs="宋体"/>
          <w:bCs/>
          <w:color w:val="auto"/>
          <w:kern w:val="10"/>
          <w:sz w:val="24"/>
          <w:highlight w:val="none"/>
          <w:lang w:eastAsia="zh-CN"/>
        </w:rPr>
        <w:t>（</w:t>
      </w:r>
      <w:r>
        <w:rPr>
          <w:rFonts w:hint="eastAsia" w:ascii="宋体" w:hAnsi="宋体" w:eastAsia="宋体" w:cs="宋体"/>
          <w:bCs/>
          <w:color w:val="auto"/>
          <w:kern w:val="10"/>
          <w:sz w:val="24"/>
          <w:highlight w:val="none"/>
          <w:lang w:val="en-US" w:eastAsia="zh-CN"/>
        </w:rPr>
        <w:t>2</w:t>
      </w:r>
      <w:r>
        <w:rPr>
          <w:rFonts w:hint="eastAsia" w:ascii="宋体" w:hAnsi="宋体" w:eastAsia="宋体" w:cs="宋体"/>
          <w:bCs/>
          <w:color w:val="auto"/>
          <w:kern w:val="10"/>
          <w:sz w:val="24"/>
          <w:highlight w:val="none"/>
          <w:lang w:eastAsia="zh-CN"/>
        </w:rPr>
        <w:t>）</w:t>
      </w:r>
      <w:r>
        <w:rPr>
          <w:rFonts w:hint="eastAsia" w:ascii="宋体" w:hAnsi="宋体" w:eastAsia="宋体" w:cs="宋体"/>
          <w:bCs/>
          <w:color w:val="auto"/>
          <w:kern w:val="10"/>
          <w:sz w:val="24"/>
          <w:highlight w:val="none"/>
        </w:rPr>
        <w:t>法定代表人身份证明</w:t>
      </w:r>
    </w:p>
    <w:p w14:paraId="128F4DFC">
      <w:pPr>
        <w:shd w:val="clear" w:color="auto" w:fill="FFFFFF"/>
        <w:tabs>
          <w:tab w:val="right" w:pos="6077"/>
        </w:tabs>
        <w:autoSpaceDE w:val="0"/>
        <w:autoSpaceDN w:val="0"/>
        <w:spacing w:line="480" w:lineRule="auto"/>
        <w:ind w:firstLine="480" w:firstLineChars="200"/>
        <w:outlineLvl w:val="9"/>
        <w:rPr>
          <w:rFonts w:hint="eastAsia" w:ascii="宋体" w:hAnsi="宋体" w:eastAsia="宋体" w:cs="宋体"/>
          <w:bCs/>
          <w:color w:val="auto"/>
          <w:kern w:val="10"/>
          <w:sz w:val="24"/>
          <w:highlight w:val="none"/>
        </w:rPr>
      </w:pPr>
      <w:r>
        <w:rPr>
          <w:rFonts w:hint="eastAsia" w:ascii="宋体" w:hAnsi="宋体" w:cs="宋体"/>
          <w:bCs/>
          <w:color w:val="auto"/>
          <w:kern w:val="10"/>
          <w:sz w:val="24"/>
          <w:highlight w:val="none"/>
          <w:lang w:eastAsia="zh-CN"/>
        </w:rPr>
        <w:t>（</w:t>
      </w:r>
      <w:r>
        <w:rPr>
          <w:rFonts w:hint="eastAsia" w:ascii="宋体" w:hAnsi="宋体" w:cs="宋体"/>
          <w:bCs/>
          <w:color w:val="auto"/>
          <w:kern w:val="10"/>
          <w:sz w:val="24"/>
          <w:highlight w:val="none"/>
          <w:lang w:val="en-US" w:eastAsia="zh-CN"/>
        </w:rPr>
        <w:t>3</w:t>
      </w:r>
      <w:r>
        <w:rPr>
          <w:rFonts w:hint="eastAsia" w:ascii="宋体" w:hAnsi="宋体" w:cs="宋体"/>
          <w:bCs/>
          <w:color w:val="auto"/>
          <w:kern w:val="10"/>
          <w:sz w:val="24"/>
          <w:highlight w:val="none"/>
          <w:lang w:eastAsia="zh-CN"/>
        </w:rPr>
        <w:t>）</w:t>
      </w:r>
      <w:r>
        <w:rPr>
          <w:rFonts w:hint="eastAsia" w:ascii="宋体" w:hAnsi="宋体" w:eastAsia="宋体" w:cs="宋体"/>
          <w:bCs/>
          <w:color w:val="auto"/>
          <w:kern w:val="10"/>
          <w:sz w:val="24"/>
          <w:highlight w:val="none"/>
        </w:rPr>
        <w:t>授权委托书</w:t>
      </w:r>
    </w:p>
    <w:p w14:paraId="7F842A6F">
      <w:pPr>
        <w:shd w:val="clear" w:color="auto" w:fill="FFFFFF"/>
        <w:tabs>
          <w:tab w:val="right" w:pos="6077"/>
        </w:tabs>
        <w:autoSpaceDE w:val="0"/>
        <w:autoSpaceDN w:val="0"/>
        <w:spacing w:line="480" w:lineRule="auto"/>
        <w:ind w:firstLine="480" w:firstLineChars="200"/>
        <w:outlineLvl w:val="9"/>
        <w:rPr>
          <w:rFonts w:hint="default" w:ascii="宋体" w:hAnsi="宋体" w:eastAsia="宋体" w:cs="宋体"/>
          <w:bCs/>
          <w:color w:val="auto"/>
          <w:kern w:val="10"/>
          <w:sz w:val="24"/>
          <w:highlight w:val="none"/>
          <w:lang w:val="en-US" w:eastAsia="zh-CN"/>
        </w:rPr>
      </w:pPr>
      <w:r>
        <w:rPr>
          <w:rFonts w:hint="eastAsia" w:ascii="宋体" w:hAnsi="宋体" w:eastAsia="宋体" w:cs="宋体"/>
          <w:bCs/>
          <w:color w:val="auto"/>
          <w:kern w:val="10"/>
          <w:sz w:val="24"/>
          <w:highlight w:val="none"/>
          <w:lang w:eastAsia="zh-CN"/>
        </w:rPr>
        <w:t>（</w:t>
      </w:r>
      <w:r>
        <w:rPr>
          <w:rFonts w:hint="eastAsia" w:ascii="宋体" w:hAnsi="宋体" w:cs="宋体"/>
          <w:bCs/>
          <w:color w:val="auto"/>
          <w:kern w:val="10"/>
          <w:sz w:val="24"/>
          <w:highlight w:val="none"/>
          <w:lang w:val="en-US" w:eastAsia="zh-CN"/>
        </w:rPr>
        <w:t>4</w:t>
      </w:r>
      <w:r>
        <w:rPr>
          <w:rFonts w:hint="eastAsia" w:ascii="宋体" w:hAnsi="宋体" w:eastAsia="宋体" w:cs="宋体"/>
          <w:bCs/>
          <w:color w:val="auto"/>
          <w:kern w:val="10"/>
          <w:sz w:val="24"/>
          <w:highlight w:val="none"/>
          <w:lang w:eastAsia="zh-CN"/>
        </w:rPr>
        <w:t>）投标承诺函</w:t>
      </w:r>
    </w:p>
    <w:p w14:paraId="141E882C">
      <w:pPr>
        <w:shd w:val="clear" w:color="auto" w:fill="FFFFFF"/>
        <w:tabs>
          <w:tab w:val="right" w:pos="6077"/>
        </w:tabs>
        <w:autoSpaceDE w:val="0"/>
        <w:autoSpaceDN w:val="0"/>
        <w:spacing w:line="480" w:lineRule="auto"/>
        <w:ind w:firstLine="480" w:firstLineChars="200"/>
        <w:outlineLvl w:val="9"/>
        <w:rPr>
          <w:rFonts w:hint="eastAsia" w:ascii="宋体" w:hAnsi="宋体" w:eastAsia="宋体" w:cs="宋体"/>
          <w:bCs/>
          <w:color w:val="auto"/>
          <w:kern w:val="10"/>
          <w:sz w:val="24"/>
          <w:highlight w:val="none"/>
        </w:rPr>
      </w:pPr>
      <w:r>
        <w:rPr>
          <w:rFonts w:hint="eastAsia" w:ascii="宋体" w:hAnsi="宋体" w:eastAsia="宋体" w:cs="宋体"/>
          <w:bCs/>
          <w:color w:val="auto"/>
          <w:kern w:val="10"/>
          <w:sz w:val="24"/>
          <w:highlight w:val="none"/>
          <w:lang w:eastAsia="zh-CN"/>
        </w:rPr>
        <w:t>（</w:t>
      </w:r>
      <w:r>
        <w:rPr>
          <w:rFonts w:hint="eastAsia" w:ascii="宋体" w:hAnsi="宋体" w:cs="宋体"/>
          <w:bCs/>
          <w:color w:val="auto"/>
          <w:kern w:val="10"/>
          <w:sz w:val="24"/>
          <w:highlight w:val="none"/>
          <w:lang w:val="en-US" w:eastAsia="zh-CN"/>
        </w:rPr>
        <w:t>5</w:t>
      </w:r>
      <w:r>
        <w:rPr>
          <w:rFonts w:hint="eastAsia" w:ascii="宋体" w:hAnsi="宋体" w:eastAsia="宋体" w:cs="宋体"/>
          <w:bCs/>
          <w:color w:val="auto"/>
          <w:kern w:val="10"/>
          <w:sz w:val="24"/>
          <w:highlight w:val="none"/>
          <w:lang w:eastAsia="zh-CN"/>
        </w:rPr>
        <w:t>）供应商资格审查</w:t>
      </w:r>
    </w:p>
    <w:p w14:paraId="4B7E4E08">
      <w:pPr>
        <w:shd w:val="clear" w:color="auto" w:fill="FFFFFF"/>
        <w:tabs>
          <w:tab w:val="right" w:pos="6077"/>
        </w:tabs>
        <w:autoSpaceDE w:val="0"/>
        <w:autoSpaceDN w:val="0"/>
        <w:spacing w:line="480" w:lineRule="auto"/>
        <w:ind w:firstLine="480" w:firstLineChars="200"/>
        <w:outlineLvl w:val="9"/>
        <w:rPr>
          <w:rFonts w:hint="default" w:ascii="宋体" w:hAnsi="宋体" w:eastAsia="宋体" w:cs="宋体"/>
          <w:bCs/>
          <w:color w:val="auto"/>
          <w:kern w:val="10"/>
          <w:sz w:val="24"/>
          <w:highlight w:val="none"/>
          <w:lang w:val="en-US" w:eastAsia="zh-CN"/>
        </w:rPr>
      </w:pPr>
      <w:r>
        <w:rPr>
          <w:rFonts w:hint="eastAsia" w:ascii="宋体" w:hAnsi="宋体" w:eastAsia="宋体" w:cs="宋体"/>
          <w:bCs/>
          <w:color w:val="auto"/>
          <w:kern w:val="10"/>
          <w:sz w:val="24"/>
          <w:highlight w:val="none"/>
          <w:lang w:eastAsia="zh-CN"/>
        </w:rPr>
        <w:t>（</w:t>
      </w:r>
      <w:r>
        <w:rPr>
          <w:rFonts w:hint="eastAsia" w:ascii="宋体" w:hAnsi="宋体" w:cs="宋体"/>
          <w:bCs/>
          <w:color w:val="auto"/>
          <w:kern w:val="10"/>
          <w:sz w:val="24"/>
          <w:highlight w:val="none"/>
          <w:lang w:val="en-US" w:eastAsia="zh-CN"/>
        </w:rPr>
        <w:t>6</w:t>
      </w:r>
      <w:r>
        <w:rPr>
          <w:rFonts w:hint="eastAsia" w:ascii="宋体" w:hAnsi="宋体" w:eastAsia="宋体" w:cs="宋体"/>
          <w:bCs/>
          <w:color w:val="auto"/>
          <w:kern w:val="10"/>
          <w:sz w:val="24"/>
          <w:highlight w:val="none"/>
          <w:lang w:eastAsia="zh-CN"/>
        </w:rPr>
        <w:t>）</w:t>
      </w:r>
      <w:r>
        <w:rPr>
          <w:rFonts w:hint="eastAsia" w:ascii="宋体" w:hAnsi="宋体" w:cs="宋体"/>
          <w:bCs/>
          <w:color w:val="auto"/>
          <w:kern w:val="10"/>
          <w:sz w:val="24"/>
          <w:highlight w:val="none"/>
          <w:lang w:val="en-US" w:eastAsia="zh-CN"/>
        </w:rPr>
        <w:t>技</w:t>
      </w:r>
      <w:r>
        <w:rPr>
          <w:rFonts w:hint="eastAsia" w:ascii="宋体" w:hAnsi="宋体" w:eastAsia="宋体" w:cs="宋体"/>
          <w:bCs/>
          <w:color w:val="auto"/>
          <w:kern w:val="10"/>
          <w:sz w:val="24"/>
          <w:highlight w:val="none"/>
          <w:lang w:eastAsia="zh-CN"/>
        </w:rPr>
        <w:t>术部分资料</w:t>
      </w:r>
    </w:p>
    <w:p w14:paraId="06F8FD78">
      <w:pPr>
        <w:shd w:val="clear" w:color="auto" w:fill="FFFFFF"/>
        <w:tabs>
          <w:tab w:val="right" w:pos="6077"/>
        </w:tabs>
        <w:autoSpaceDE w:val="0"/>
        <w:autoSpaceDN w:val="0"/>
        <w:spacing w:line="480" w:lineRule="auto"/>
        <w:ind w:firstLine="480" w:firstLineChars="200"/>
        <w:outlineLvl w:val="9"/>
        <w:rPr>
          <w:rFonts w:hint="eastAsia" w:ascii="宋体" w:hAnsi="宋体" w:eastAsia="宋体" w:cs="宋体"/>
          <w:bCs/>
          <w:color w:val="auto"/>
          <w:kern w:val="10"/>
          <w:sz w:val="24"/>
          <w:highlight w:val="none"/>
          <w:lang w:val="en-US" w:eastAsia="zh-CN"/>
        </w:rPr>
      </w:pPr>
      <w:r>
        <w:rPr>
          <w:rFonts w:hint="eastAsia" w:ascii="宋体" w:hAnsi="宋体" w:eastAsia="宋体" w:cs="宋体"/>
          <w:bCs/>
          <w:color w:val="auto"/>
          <w:kern w:val="10"/>
          <w:sz w:val="24"/>
          <w:highlight w:val="none"/>
          <w:lang w:val="en-US" w:eastAsia="zh-CN"/>
        </w:rPr>
        <w:t>（7</w:t>
      </w:r>
      <w:r>
        <w:rPr>
          <w:rFonts w:hint="eastAsia" w:ascii="宋体" w:hAnsi="宋体" w:eastAsia="宋体" w:cs="宋体"/>
          <w:bCs/>
          <w:color w:val="auto"/>
          <w:kern w:val="10"/>
          <w:sz w:val="24"/>
          <w:highlight w:val="none"/>
          <w:lang w:val="en-US" w:eastAsia="zh-CN"/>
        </w:rPr>
        <w:t>）商务部分资料</w:t>
      </w:r>
    </w:p>
    <w:p w14:paraId="710AA88F">
      <w:pPr>
        <w:shd w:val="clear" w:color="auto" w:fill="FFFFFF"/>
        <w:tabs>
          <w:tab w:val="right" w:pos="6077"/>
        </w:tabs>
        <w:autoSpaceDE w:val="0"/>
        <w:autoSpaceDN w:val="0"/>
        <w:spacing w:line="480" w:lineRule="auto"/>
        <w:ind w:firstLine="480" w:firstLineChars="200"/>
        <w:outlineLvl w:val="9"/>
        <w:rPr>
          <w:rFonts w:hint="eastAsia" w:ascii="宋体" w:hAnsi="宋体" w:eastAsia="宋体" w:cs="宋体"/>
          <w:bCs/>
          <w:color w:val="auto"/>
          <w:kern w:val="10"/>
          <w:sz w:val="24"/>
          <w:highlight w:val="none"/>
          <w:lang w:val="en-US" w:eastAsia="zh-CN"/>
        </w:rPr>
      </w:pPr>
      <w:r>
        <w:rPr>
          <w:rFonts w:hint="eastAsia" w:ascii="宋体" w:hAnsi="宋体" w:eastAsia="宋体" w:cs="宋体"/>
          <w:bCs/>
          <w:color w:val="auto"/>
          <w:kern w:val="10"/>
          <w:sz w:val="24"/>
          <w:highlight w:val="none"/>
          <w:lang w:val="en-US" w:eastAsia="zh-CN"/>
        </w:rPr>
        <w:t>（8</w:t>
      </w:r>
      <w:r>
        <w:rPr>
          <w:rFonts w:hint="eastAsia" w:ascii="宋体" w:hAnsi="宋体" w:eastAsia="宋体" w:cs="宋体"/>
          <w:bCs/>
          <w:color w:val="auto"/>
          <w:kern w:val="10"/>
          <w:sz w:val="24"/>
          <w:highlight w:val="none"/>
          <w:lang w:val="en-US" w:eastAsia="zh-CN"/>
        </w:rPr>
        <w:t>）拟投入本项目的人员情况</w:t>
      </w:r>
    </w:p>
    <w:p w14:paraId="1707692B">
      <w:pPr>
        <w:shd w:val="clear" w:color="auto" w:fill="FFFFFF"/>
        <w:tabs>
          <w:tab w:val="right" w:pos="6077"/>
        </w:tabs>
        <w:autoSpaceDE w:val="0"/>
        <w:autoSpaceDN w:val="0"/>
        <w:spacing w:line="480" w:lineRule="auto"/>
        <w:ind w:firstLine="480" w:firstLineChars="200"/>
        <w:outlineLvl w:val="9"/>
        <w:rPr>
          <w:rFonts w:hint="eastAsia" w:ascii="宋体" w:hAnsi="宋体" w:eastAsia="宋体" w:cs="宋体"/>
          <w:bCs/>
          <w:color w:val="auto"/>
          <w:kern w:val="10"/>
          <w:sz w:val="24"/>
          <w:highlight w:val="none"/>
          <w:lang w:val="en-US" w:eastAsia="zh-CN"/>
        </w:rPr>
      </w:pPr>
      <w:r>
        <w:rPr>
          <w:rFonts w:hint="eastAsia" w:ascii="宋体" w:hAnsi="宋体" w:eastAsia="宋体" w:cs="宋体"/>
          <w:bCs/>
          <w:color w:val="auto"/>
          <w:kern w:val="10"/>
          <w:sz w:val="24"/>
          <w:highlight w:val="none"/>
          <w:lang w:val="zh-CN" w:eastAsia="zh-CN"/>
        </w:rPr>
        <w:t>（</w:t>
      </w:r>
      <w:r>
        <w:rPr>
          <w:rFonts w:hint="eastAsia" w:ascii="宋体" w:hAnsi="宋体" w:eastAsia="宋体" w:cs="宋体"/>
          <w:bCs/>
          <w:color w:val="auto"/>
          <w:kern w:val="10"/>
          <w:sz w:val="24"/>
          <w:highlight w:val="none"/>
          <w:lang w:val="en-US" w:eastAsia="zh-CN"/>
        </w:rPr>
        <w:t>9</w:t>
      </w:r>
      <w:r>
        <w:rPr>
          <w:rFonts w:hint="eastAsia" w:ascii="宋体" w:hAnsi="宋体" w:eastAsia="宋体" w:cs="宋体"/>
          <w:bCs/>
          <w:color w:val="auto"/>
          <w:kern w:val="10"/>
          <w:sz w:val="24"/>
          <w:highlight w:val="none"/>
          <w:lang w:val="zh-CN" w:eastAsia="zh-CN"/>
        </w:rPr>
        <w:t>）供应商认为需要提供的其他资料</w:t>
      </w:r>
    </w:p>
    <w:p w14:paraId="2AD7C69F">
      <w:pPr>
        <w:shd w:val="clear" w:color="auto" w:fill="FFFFFF"/>
        <w:tabs>
          <w:tab w:val="right" w:pos="6077"/>
        </w:tabs>
        <w:autoSpaceDE w:val="0"/>
        <w:autoSpaceDN w:val="0"/>
        <w:spacing w:line="480" w:lineRule="auto"/>
        <w:ind w:firstLine="482" w:firstLineChars="200"/>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6、</w:t>
      </w:r>
      <w:r>
        <w:rPr>
          <w:rFonts w:hint="eastAsia" w:ascii="宋体" w:hAnsi="宋体" w:eastAsia="宋体" w:cs="宋体"/>
          <w:b/>
          <w:color w:val="auto"/>
          <w:sz w:val="24"/>
          <w:highlight w:val="none"/>
        </w:rPr>
        <w:t>响应性文件的编制</w:t>
      </w:r>
      <w:bookmarkEnd w:id="35"/>
      <w:bookmarkEnd w:id="36"/>
    </w:p>
    <w:p w14:paraId="43B9E211">
      <w:pPr>
        <w:shd w:val="clear" w:color="auto" w:fill="FFFFFF"/>
        <w:tabs>
          <w:tab w:val="right" w:pos="6077"/>
        </w:tabs>
        <w:autoSpaceDE w:val="0"/>
        <w:autoSpaceDN w:val="0"/>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6.1、响应性文件应按 “响应性文件格式”进行编写，如有必要，可以增加附页，作为响应性文件的组成部分。其中，报价一览表在满足竞争性磋商文件实质性要求的基础上，可以提出比竞争性磋商文件要求更有利于采购人的承诺。</w:t>
      </w:r>
    </w:p>
    <w:p w14:paraId="479CEFFF">
      <w:pPr>
        <w:shd w:val="clear" w:color="auto" w:fill="FFFFFF"/>
        <w:tabs>
          <w:tab w:val="right" w:pos="6077"/>
        </w:tabs>
        <w:autoSpaceDE w:val="0"/>
        <w:autoSpaceDN w:val="0"/>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6.2、响应文件应当对磋商文件有关</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lang w:eastAsia="zh-CN"/>
        </w:rPr>
        <w:t>限</w:t>
      </w:r>
      <w:r>
        <w:rPr>
          <w:rFonts w:hint="eastAsia" w:ascii="宋体" w:hAnsi="宋体" w:eastAsia="宋体" w:cs="宋体"/>
          <w:color w:val="auto"/>
          <w:sz w:val="24"/>
          <w:highlight w:val="none"/>
        </w:rPr>
        <w:t>、磋商有效期、质量要求、</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内容等实质性内容作出响应。</w:t>
      </w:r>
    </w:p>
    <w:p w14:paraId="1D36095C">
      <w:pPr>
        <w:shd w:val="clear" w:color="auto" w:fill="FFFFFF"/>
        <w:tabs>
          <w:tab w:val="right" w:pos="6077"/>
        </w:tabs>
        <w:autoSpaceDE w:val="0"/>
        <w:autoSpaceDN w:val="0"/>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6.3、供应商在生成电子化响应文件后，应对电子化响应文件进行签章，未进行签章的视为无效响应。</w:t>
      </w:r>
    </w:p>
    <w:p w14:paraId="0C9C5F26">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6.4、磋商文件中要求签章的，供应商在进行电子化响应文件签章时，以单位和法定代表人电子签章为准。</w:t>
      </w:r>
    </w:p>
    <w:p w14:paraId="28250DAA">
      <w:pPr>
        <w:spacing w:line="500" w:lineRule="exact"/>
        <w:ind w:firstLine="482" w:firstLineChars="200"/>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电子化投标文件具体制作教材请供应商点击以下链接学习</w:t>
      </w:r>
      <w:r>
        <w:rPr>
          <w:rFonts w:hint="eastAsia" w:ascii="宋体" w:hAnsi="宋体" w:eastAsia="宋体" w:cs="宋体"/>
          <w:color w:val="auto"/>
          <w:sz w:val="24"/>
          <w:highlight w:val="none"/>
        </w:rPr>
        <w:t>http://gzjy.smx.gov.cn/bzzx/008001/20200325/4a2f9fa3-b923-4ddd-bd6f-138a0b63f7d1.html</w:t>
      </w:r>
    </w:p>
    <w:p w14:paraId="2E217BEE">
      <w:pPr>
        <w:spacing w:line="480" w:lineRule="exact"/>
        <w:ind w:firstLine="482" w:firstLineChars="200"/>
        <w:contextualSpacing/>
        <w:outlineLvl w:val="9"/>
        <w:rPr>
          <w:rFonts w:hint="eastAsia" w:ascii="宋体" w:hAnsi="宋体" w:eastAsia="宋体" w:cs="宋体"/>
          <w:b/>
          <w:color w:val="auto"/>
          <w:kern w:val="1"/>
          <w:sz w:val="24"/>
          <w:highlight w:val="none"/>
        </w:rPr>
      </w:pPr>
      <w:bookmarkStart w:id="37" w:name="_Toc16827"/>
      <w:bookmarkStart w:id="38" w:name="_Toc127797701"/>
      <w:r>
        <w:rPr>
          <w:rFonts w:hint="eastAsia" w:ascii="宋体" w:hAnsi="宋体" w:eastAsia="宋体" w:cs="宋体"/>
          <w:b/>
          <w:bCs/>
          <w:color w:val="auto"/>
          <w:sz w:val="24"/>
          <w:highlight w:val="none"/>
        </w:rPr>
        <w:t xml:space="preserve">7. </w:t>
      </w:r>
      <w:r>
        <w:rPr>
          <w:rFonts w:hint="eastAsia" w:ascii="宋体" w:hAnsi="宋体" w:eastAsia="宋体" w:cs="宋体"/>
          <w:b/>
          <w:color w:val="auto"/>
          <w:kern w:val="1"/>
          <w:sz w:val="24"/>
          <w:highlight w:val="none"/>
        </w:rPr>
        <w:t>响应性文件的递交</w:t>
      </w:r>
      <w:bookmarkEnd w:id="37"/>
      <w:bookmarkEnd w:id="38"/>
    </w:p>
    <w:p w14:paraId="053386AE">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7.1、供应商所上传的电子化响应文件，应是通过中心投标文件制作系统制作的，经过签章和加密后生成的电子版响应文件。生成的电子版响应文件包含用于响应文件上传的主文件和用于应急补救的响应文件备份文件，备份文件主要用于电子化开标出现技术问题后的补救。</w:t>
      </w:r>
    </w:p>
    <w:p w14:paraId="5F6BDDEB">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注：供应商投报多个标段的，每个标段均要生成独立的电子响应文件。</w:t>
      </w:r>
    </w:p>
    <w:p w14:paraId="5FE897D9">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7.2、电子化响应文件应在投标截止时间前成功上传至三门峡市公共资源电子化交易系统。至投标截止时间止，仍未上传成功的电子化响应文件将不予接收。</w:t>
      </w:r>
    </w:p>
    <w:p w14:paraId="5A3C1A2B">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09CB9F36">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技术联系电话：0398-3117871</w:t>
      </w:r>
    </w:p>
    <w:p w14:paraId="0BD71765">
      <w:pPr>
        <w:spacing w:line="480" w:lineRule="exact"/>
        <w:ind w:firstLine="482" w:firstLineChars="200"/>
        <w:outlineLvl w:val="9"/>
        <w:rPr>
          <w:rFonts w:hint="eastAsia" w:ascii="宋体" w:hAnsi="宋体" w:eastAsia="宋体" w:cs="宋体"/>
          <w:b/>
          <w:color w:val="auto"/>
          <w:kern w:val="1"/>
          <w:sz w:val="24"/>
          <w:highlight w:val="none"/>
        </w:rPr>
      </w:pPr>
      <w:bookmarkStart w:id="39" w:name="_Toc127797702"/>
      <w:bookmarkStart w:id="40" w:name="_Toc26718"/>
      <w:r>
        <w:rPr>
          <w:rFonts w:hint="eastAsia" w:ascii="宋体" w:hAnsi="宋体" w:eastAsia="宋体" w:cs="宋体"/>
          <w:b/>
          <w:bCs/>
          <w:color w:val="auto"/>
          <w:kern w:val="1"/>
          <w:sz w:val="24"/>
          <w:highlight w:val="none"/>
        </w:rPr>
        <w:t>8、</w:t>
      </w:r>
      <w:bookmarkStart w:id="41" w:name="_Toc530665439"/>
      <w:bookmarkEnd w:id="41"/>
      <w:bookmarkStart w:id="42" w:name="_Toc511897549"/>
      <w:bookmarkEnd w:id="42"/>
      <w:bookmarkStart w:id="43" w:name="_Toc531936128"/>
      <w:bookmarkEnd w:id="43"/>
      <w:bookmarkStart w:id="44" w:name="_Toc511663232"/>
      <w:bookmarkEnd w:id="44"/>
      <w:bookmarkStart w:id="45" w:name="_Toc530663936"/>
      <w:bookmarkEnd w:id="45"/>
      <w:bookmarkStart w:id="46" w:name="_Toc530664092"/>
      <w:bookmarkEnd w:id="46"/>
      <w:r>
        <w:rPr>
          <w:rFonts w:hint="eastAsia" w:ascii="宋体" w:hAnsi="宋体" w:eastAsia="宋体" w:cs="宋体"/>
          <w:b/>
          <w:color w:val="auto"/>
          <w:kern w:val="1"/>
          <w:sz w:val="24"/>
          <w:highlight w:val="none"/>
        </w:rPr>
        <w:t>电子化项目开标、解密、唱标、评标</w:t>
      </w:r>
      <w:bookmarkEnd w:id="39"/>
      <w:bookmarkEnd w:id="40"/>
    </w:p>
    <w:p w14:paraId="26058E3B">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8.1、本项目采用电子化、无纸化进行招标，供应商应当在投标截止时间前，登陆不见面开标大厅选择登陆三门峡市公共资源电子招投标系统进行登陆（网址http://120.194.249.36:10094/BidOpening/bidopeninghallaction/hall/login）,在线准时参加开标活动并进行响应文件解密等。每位供应商的解密时间为开标时间起30分钟内完成。因供应商原因未能解密、解密失败或解密超时的将被拒绝。</w:t>
      </w:r>
    </w:p>
    <w:p w14:paraId="0ED40255">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8.2、电子化响应文件采用一次加密方式。开标时，由供应商使用CA 证书，在规定时间内对其电子化响应文件进行解密。每位供应商的解密时间为开标时间起30分钟内，如在规定时间内未完成解密的，其响应文件不予开标、唱标。</w:t>
      </w:r>
    </w:p>
    <w:p w14:paraId="5E71BB75">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8.3、电子化响应文件异常情况的处理</w:t>
      </w:r>
    </w:p>
    <w:p w14:paraId="548AD434">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如出现供应商的电子响应文件无法解密等异常情况，供应商应及时致电中介服务机构说明。响应文件异常，按以下步骤进行处理：</w:t>
      </w:r>
    </w:p>
    <w:p w14:paraId="3747C2E6">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（1）首先由技术人员进行问题排查。</w:t>
      </w:r>
    </w:p>
    <w:p w14:paraId="39F67B08">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（2）经技术人员排查后，是供应商文件自身问题导致投标文件无法解密的，该响应文件将不予接收、解密和唱标。开标会议继续进行。</w:t>
      </w:r>
    </w:p>
    <w:p w14:paraId="1DA8F14F">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A0CDEB9">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8.4、待所有供应商响应文件解密完成后，由中介服务机构操作，对所有已解密响应文件进行唱标。供应商应保证在开标期间电话、电脑、网络能够正常工作，供应商因停电、电脑病毒、网络堵塞等原因，未在规定的解密时间内对响应文件进行解密的，其响应文件不予接收、唱标。</w:t>
      </w:r>
    </w:p>
    <w:p w14:paraId="39AF16ED">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8.5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766524AF">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8.6、评标时，磋商小组对电子化响应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评标委员会。</w:t>
      </w:r>
    </w:p>
    <w:p w14:paraId="370EA6D9">
      <w:pPr>
        <w:spacing w:line="480" w:lineRule="exact"/>
        <w:ind w:firstLine="500" w:firstLineChars="200"/>
        <w:contextualSpacing/>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8.7、如磋商小组对需要回复的供应商连续三次致电未接通的，视为供应商放弃回复，磋商小组将自行对需要回复的内容进行认定。</w:t>
      </w:r>
    </w:p>
    <w:p w14:paraId="37C44B3D">
      <w:pPr>
        <w:spacing w:line="480" w:lineRule="exact"/>
        <w:ind w:firstLine="480" w:firstLineChars="200"/>
        <w:contextualSpacing/>
        <w:outlineLvl w:val="9"/>
        <w:rPr>
          <w:rFonts w:hint="eastAsia" w:ascii="宋体" w:hAnsi="宋体" w:eastAsia="宋体" w:cs="宋体"/>
          <w:color w:val="auto"/>
          <w:kern w:val="1"/>
          <w:sz w:val="24"/>
          <w:highlight w:val="none"/>
        </w:rPr>
      </w:pPr>
      <w:bookmarkStart w:id="47" w:name="_Toc24766"/>
      <w:bookmarkStart w:id="48" w:name="_Toc127797703"/>
      <w:r>
        <w:rPr>
          <w:rFonts w:hint="eastAsia" w:ascii="宋体" w:hAnsi="宋体" w:eastAsia="宋体" w:cs="宋体"/>
          <w:color w:val="auto"/>
          <w:kern w:val="1"/>
          <w:sz w:val="24"/>
          <w:highlight w:val="none"/>
        </w:rPr>
        <w:t>9、</w:t>
      </w:r>
      <w:r>
        <w:rPr>
          <w:rFonts w:hint="eastAsia" w:ascii="宋体" w:hAnsi="宋体" w:eastAsia="宋体" w:cs="宋体"/>
          <w:b/>
          <w:color w:val="auto"/>
          <w:kern w:val="1"/>
          <w:sz w:val="24"/>
          <w:highlight w:val="none"/>
        </w:rPr>
        <w:t>磋商过程的保密性</w:t>
      </w:r>
      <w:bookmarkEnd w:id="47"/>
      <w:bookmarkEnd w:id="48"/>
    </w:p>
    <w:p w14:paraId="24C69656">
      <w:pPr>
        <w:spacing w:line="480" w:lineRule="exact"/>
        <w:ind w:firstLine="480" w:firstLineChars="200"/>
        <w:contextualSpacing/>
        <w:outlineLvl w:val="9"/>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9.1、磋商期间，直到授予成交人合同止，凡是与响应文件审查、澄清、评价、比较以及推荐成交人等方面的情况，均不得向供应商或其他无关的人员透露。</w:t>
      </w:r>
    </w:p>
    <w:p w14:paraId="3F9C5621">
      <w:pPr>
        <w:spacing w:line="480" w:lineRule="exact"/>
        <w:ind w:firstLine="480" w:firstLineChars="200"/>
        <w:contextualSpacing/>
        <w:outlineLvl w:val="9"/>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9.1.2在磋商过程中，供应商如向磋商小组成员施加任何影响，都将会导致其磋商被拒绝，政府招标监管部门将记录其不良行为。</w:t>
      </w:r>
    </w:p>
    <w:p w14:paraId="1B893E90">
      <w:pPr>
        <w:spacing w:line="480" w:lineRule="exact"/>
        <w:ind w:firstLine="480" w:firstLineChars="200"/>
        <w:outlineLvl w:val="9"/>
        <w:rPr>
          <w:rFonts w:hint="eastAsia" w:ascii="宋体" w:hAnsi="宋体" w:eastAsia="宋体" w:cs="宋体"/>
          <w:bCs/>
          <w:color w:val="auto"/>
          <w:sz w:val="24"/>
          <w:highlight w:val="none"/>
        </w:rPr>
      </w:pPr>
      <w:bookmarkStart w:id="49" w:name="_Toc3826"/>
      <w:bookmarkStart w:id="50" w:name="_Toc127797704"/>
      <w:r>
        <w:rPr>
          <w:rFonts w:hint="eastAsia" w:ascii="宋体" w:hAnsi="宋体" w:eastAsia="宋体" w:cs="宋体"/>
          <w:bCs/>
          <w:color w:val="auto"/>
          <w:sz w:val="24"/>
          <w:highlight w:val="none"/>
        </w:rPr>
        <w:t>10、</w:t>
      </w:r>
      <w:r>
        <w:rPr>
          <w:rFonts w:hint="eastAsia" w:ascii="宋体" w:hAnsi="宋体" w:eastAsia="宋体" w:cs="宋体"/>
          <w:b/>
          <w:bCs/>
          <w:color w:val="auto"/>
          <w:sz w:val="24"/>
          <w:highlight w:val="none"/>
        </w:rPr>
        <w:t>竞争性磋商</w:t>
      </w:r>
      <w:bookmarkEnd w:id="49"/>
      <w:bookmarkEnd w:id="50"/>
    </w:p>
    <w:p w14:paraId="7BAF9C51">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10.1、采购单位据本项目的特点组成磋商小组，其成员</w:t>
      </w:r>
      <w:r>
        <w:rPr>
          <w:rFonts w:hint="eastAsia" w:ascii="宋体" w:hAnsi="宋体" w:eastAsia="宋体" w:cs="宋体"/>
          <w:color w:val="auto"/>
          <w:sz w:val="24"/>
          <w:highlight w:val="none"/>
        </w:rPr>
        <w:t>由采购人代表及有关技术、经济等方面的专家组成</w:t>
      </w:r>
      <w:r>
        <w:rPr>
          <w:rFonts w:hint="eastAsia" w:ascii="宋体" w:hAnsi="宋体" w:eastAsia="宋体" w:cs="宋体"/>
          <w:bCs/>
          <w:color w:val="auto"/>
          <w:sz w:val="24"/>
          <w:highlight w:val="none"/>
        </w:rPr>
        <w:t>等3人组成</w:t>
      </w:r>
      <w:r>
        <w:rPr>
          <w:rFonts w:hint="eastAsia" w:ascii="宋体" w:hAnsi="宋体" w:eastAsia="宋体" w:cs="宋体"/>
          <w:color w:val="auto"/>
          <w:sz w:val="24"/>
          <w:highlight w:val="none"/>
        </w:rPr>
        <w:t>，其中：采购人代表1人，技术和经济方面专家各1人（技术和经济方面专家从专家库抽取），</w:t>
      </w:r>
      <w:r>
        <w:rPr>
          <w:rFonts w:hint="eastAsia" w:ascii="宋体" w:hAnsi="宋体" w:eastAsia="宋体" w:cs="宋体"/>
          <w:bCs/>
          <w:color w:val="auto"/>
          <w:sz w:val="24"/>
          <w:highlight w:val="none"/>
        </w:rPr>
        <w:t>磋商小组负责对磋商响应文件进行综合评审，推荐1-3名成交候选人。</w:t>
      </w:r>
    </w:p>
    <w:p w14:paraId="5DD959AF">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10.2、磋商小组制定磋商文件或确认磋商文件符合政府招标政策规定，整个磋商过程将严格按照 “公开、公平、公正”的原则进行。</w:t>
      </w:r>
    </w:p>
    <w:p w14:paraId="53EE72D5">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10.3、磋商小组推荐1-3名成交候选人。</w:t>
      </w:r>
    </w:p>
    <w:p w14:paraId="370DF755">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10.4、磋商小组首先要对各供应商的资格性、递交的响应文件的响应性进行审阅，以判定各供应商资格、响应文件的有效性，审阅结束后，要确定进入最终报价磋商阶段的供应商名单；</w:t>
      </w:r>
    </w:p>
    <w:p w14:paraId="271384C1">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10.4.1在初审阶段，属于下列情况的响应文件将不得进入磋商阶段：</w:t>
      </w:r>
    </w:p>
    <w:p w14:paraId="6A98B134">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（1）供应商在生成电子化响应文件后，应对电子化响应文件进行签章，未进行签章的视为无效投标。</w:t>
      </w:r>
    </w:p>
    <w:p w14:paraId="2B5BCC8E">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（2）响应文件中有采购人不能接受的其它条件；</w:t>
      </w:r>
    </w:p>
    <w:p w14:paraId="62AD45DD">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（3）资格不合格的供应商。</w:t>
      </w:r>
    </w:p>
    <w:p w14:paraId="23117A5D">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10.4.2在初审阶段,响应文件出现以下情况之一者，属于重大偏差，为未能对磋商文件作出实质性响应，作废标处理：</w:t>
      </w:r>
    </w:p>
    <w:p w14:paraId="7C3B1DAA">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（1）响应文件未按规定的格式填写、内容不全的；</w:t>
      </w:r>
    </w:p>
    <w:p w14:paraId="08548793">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（2）响应文件中无报价、无服务周期、无质量等达不到磋商文件要求的；</w:t>
      </w:r>
    </w:p>
    <w:p w14:paraId="68D61FD6">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（3）响应文件有保留或合同条款有采购人不可接受条件；</w:t>
      </w:r>
    </w:p>
    <w:p w14:paraId="43852DC5">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（4）资格证明文件不全，或不满足磋商文件规定的供应商资质要求的；</w:t>
      </w:r>
    </w:p>
    <w:p w14:paraId="2510DE4A">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10.4.3详细磋商：</w:t>
      </w:r>
    </w:p>
    <w:p w14:paraId="5B602832">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（1）磋商小组首先要对各供应商的资格性、递交的响应文件的符合性进行审阅，以判定各供应商资格、响应文件的有效性，审阅结束后，要确定进入最终报价磋商阶段的供应商名单；</w:t>
      </w:r>
    </w:p>
    <w:p w14:paraId="20E9B427">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磋商小组集中与单一供应商分别进行磋商。在磋商中，磋商双方可以就磋商项目所涉及的价格、技术、服务等进行实质性磋商，但磋商的任何一方不得透露与磋商有关的其他供应商的商业秘密、技术资料、价格和其他信息，不得变动磋商文件中的其他内容。</w:t>
      </w:r>
    </w:p>
    <w:p w14:paraId="3D8C8C44">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D62B874">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（4）磋商小组要求供应商澄清、说明或者更正响应文件应当在系统内作出。</w:t>
      </w:r>
    </w:p>
    <w:p w14:paraId="0972F628">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在磋商过程中，磋商小组可以根据磋商文件和磋商情况实质性变动磋商需求中的技术、服务要求以及合同草案条款，但不得变动磋商文件中的其他内容。实质性变动的内容，须经采购人代表确认。对磋商文件作出的实质性变动是磋商文件的有效组成部分，磋商小组应当在系统内通知所有参加磋商的供应商。</w:t>
      </w:r>
    </w:p>
    <w:p w14:paraId="31A6A794">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磋商文件不能详细列明招标标的的技术、服务要求，需经磋商由供应商提供最终设计方案或解决方案的，磋商结束后，磋商小组应当按照少数服从多数的原则投票推荐2家或以上供应商的设计方案或者解决方案，并要求其在规定时间内提交最后报价。</w:t>
      </w:r>
    </w:p>
    <w:p w14:paraId="0E0A4C4C">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（7）磋商文件能够详细列明招标标的的技术、服务要求的，磋商结束后，磋商小组应当要求所有继续参加磋商的供应商在规定的时间内提交最后报价。</w:t>
      </w:r>
    </w:p>
    <w:p w14:paraId="7A3E55FB">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10.4.4磋商报价</w:t>
      </w:r>
    </w:p>
    <w:p w14:paraId="42DBBF85">
      <w:pPr>
        <w:spacing w:line="480" w:lineRule="exact"/>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（1）磋商报价采用人民币报价。</w:t>
      </w:r>
    </w:p>
    <w:p w14:paraId="68F1CBDF">
      <w:pPr>
        <w:spacing w:line="480" w:lineRule="exact"/>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（2）本次竞争性磋商分为两轮报价。供应商响应性文件中的报价作为第一次报价，不得高于项目预算金额且不公开；第二轮报价不得高于第一轮报价。</w:t>
      </w:r>
    </w:p>
    <w:p w14:paraId="7F5FF64C">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（3）磋商报价计量采用中华人民共和国法定的基本计量单位。供应商根据采购人提供的本项目采购清单、答疑纪要、磋商文件及补充答疑文件进行磋商报价。</w:t>
      </w:r>
    </w:p>
    <w:p w14:paraId="1B1735F7">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（4）磋商报价为供应商在响应性文件中提出的各项支付金额的总和，报价应是目的地交货价，含</w:t>
      </w:r>
      <w:r>
        <w:rPr>
          <w:rFonts w:hint="eastAsia" w:ascii="宋体" w:hAnsi="宋体" w:eastAsia="宋体" w:cs="宋体"/>
          <w:color w:val="auto"/>
          <w:sz w:val="24"/>
          <w:highlight w:val="none"/>
        </w:rPr>
        <w:t>报价、服务、税费、售后服务等综合费用及交付使用过程中涉及到的一切费用</w:t>
      </w:r>
      <w:r>
        <w:rPr>
          <w:rFonts w:hint="eastAsia" w:ascii="宋体" w:hAnsi="宋体" w:eastAsia="宋体" w:cs="宋体"/>
          <w:bCs/>
          <w:color w:val="auto"/>
          <w:sz w:val="24"/>
          <w:highlight w:val="none"/>
        </w:rPr>
        <w:t>，成交后不予调整。</w:t>
      </w:r>
    </w:p>
    <w:p w14:paraId="1106A82D">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（5）经磋商小组确定最终采购需求和提交最终报价的供应商后，由磋商小组采用综合评分法对提交最终报价的供应商的响应文件和最终报价进行综合评分。</w:t>
      </w:r>
    </w:p>
    <w:p w14:paraId="6020F4EF">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10.4.5成交原则</w:t>
      </w:r>
    </w:p>
    <w:p w14:paraId="3E4C88DE">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磋商小组根据综合评分情况，按照评审得分由高到低顺序推荐1-3名供应商，并编写评审报告并在报告上签字。评审得分相同的，按照最后报价由低到高的顺序推荐。评审得分且最后报价相同的，按照技术指标优劣顺序推荐。</w:t>
      </w:r>
    </w:p>
    <w:p w14:paraId="68BEFC07">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10.4.6评审报告</w:t>
      </w:r>
    </w:p>
    <w:p w14:paraId="0B81A17F">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磋商小组应当根据评审记录和评审结果编写评审报告，其主要内容包括：</w:t>
      </w:r>
    </w:p>
    <w:p w14:paraId="76D29FA7">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（1）招标活动的具体方式和相关情况，以及参加招标活动的投标人名单；</w:t>
      </w:r>
    </w:p>
    <w:p w14:paraId="1D2BD573">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（2）评审日期和地点，磋商小组成员名单；</w:t>
      </w:r>
    </w:p>
    <w:p w14:paraId="3A26E187">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（3）评审情况记录和说明，包括对供应商的资格审查情况、响应文件评审情况、磋商情况、报价情况等；</w:t>
      </w:r>
    </w:p>
    <w:p w14:paraId="3C21EF77">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（4）提出的成交候选人的名单及理由。</w:t>
      </w:r>
    </w:p>
    <w:p w14:paraId="18955CCD">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644087D">
      <w:pPr>
        <w:spacing w:line="480" w:lineRule="exact"/>
        <w:ind w:firstLine="482" w:firstLineChars="200"/>
        <w:outlineLvl w:val="9"/>
        <w:rPr>
          <w:rFonts w:hint="eastAsia" w:ascii="宋体" w:hAnsi="宋体" w:eastAsia="宋体" w:cs="宋体"/>
          <w:b/>
          <w:bCs/>
          <w:color w:val="auto"/>
          <w:sz w:val="24"/>
          <w:highlight w:val="none"/>
        </w:rPr>
      </w:pPr>
      <w:bookmarkStart w:id="51" w:name="_Toc27083"/>
      <w:bookmarkStart w:id="52" w:name="_Toc127797705"/>
      <w:r>
        <w:rPr>
          <w:rFonts w:hint="eastAsia" w:ascii="宋体" w:hAnsi="宋体" w:eastAsia="宋体" w:cs="宋体"/>
          <w:b/>
          <w:bCs/>
          <w:color w:val="auto"/>
          <w:sz w:val="24"/>
          <w:highlight w:val="none"/>
        </w:rPr>
        <w:t>11、响应性文件的提交</w:t>
      </w:r>
      <w:bookmarkEnd w:id="51"/>
      <w:bookmarkEnd w:id="52"/>
    </w:p>
    <w:p w14:paraId="23DE751A">
      <w:pPr>
        <w:spacing w:line="480" w:lineRule="exact"/>
        <w:ind w:firstLine="456" w:firstLineChars="200"/>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响应性文件递交截止时间见供应商须知前附表。</w:t>
      </w:r>
    </w:p>
    <w:p w14:paraId="0EB66E07">
      <w:pPr>
        <w:spacing w:line="480" w:lineRule="exact"/>
        <w:ind w:firstLine="482" w:firstLineChars="200"/>
        <w:outlineLvl w:val="9"/>
        <w:rPr>
          <w:rFonts w:hint="eastAsia" w:ascii="宋体" w:hAnsi="宋体" w:eastAsia="宋体" w:cs="宋体"/>
          <w:color w:val="auto"/>
          <w:sz w:val="24"/>
          <w:highlight w:val="none"/>
        </w:rPr>
      </w:pPr>
      <w:bookmarkStart w:id="53" w:name="_Toc127797706"/>
      <w:bookmarkStart w:id="54" w:name="_Toc26261"/>
      <w:r>
        <w:rPr>
          <w:rFonts w:hint="eastAsia" w:ascii="宋体" w:hAnsi="宋体" w:eastAsia="宋体" w:cs="宋体"/>
          <w:b/>
          <w:bCs/>
          <w:color w:val="auto"/>
          <w:sz w:val="24"/>
          <w:highlight w:val="none"/>
        </w:rPr>
        <w:t>12、</w:t>
      </w:r>
      <w:r>
        <w:rPr>
          <w:rFonts w:hint="eastAsia" w:ascii="宋体" w:hAnsi="宋体" w:eastAsia="宋体" w:cs="宋体"/>
          <w:b/>
          <w:color w:val="auto"/>
          <w:sz w:val="24"/>
          <w:highlight w:val="none"/>
        </w:rPr>
        <w:t>终止竞争性磋商采购活动</w:t>
      </w:r>
      <w:bookmarkEnd w:id="53"/>
      <w:bookmarkEnd w:id="54"/>
    </w:p>
    <w:p w14:paraId="54A38502">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出现下列情形之一的，采购人或者招标代理机构应当终止竞争性磋商采购活动，发布项目终止公告并说明原因，重新开展采购活动：</w:t>
      </w:r>
    </w:p>
    <w:p w14:paraId="56E02CD1">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（1）因情况变化，不再符合规定的竞争性磋商采购方式适用情形的；</w:t>
      </w:r>
    </w:p>
    <w:p w14:paraId="40579287">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30D3D165">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（3）在磋商过程中符合竞争要求的供应商或者报价未超过招标预算的供应商不足2家的，但货物和服务项目技术复杂或者性质特殊，不能确定详细规格或者具体要求的情形除外。</w:t>
      </w:r>
    </w:p>
    <w:p w14:paraId="390D784C">
      <w:pPr>
        <w:spacing w:line="480" w:lineRule="exact"/>
        <w:ind w:firstLine="482" w:firstLineChars="200"/>
        <w:outlineLvl w:val="9"/>
        <w:rPr>
          <w:rFonts w:hint="eastAsia" w:ascii="宋体" w:hAnsi="宋体" w:eastAsia="宋体" w:cs="宋体"/>
          <w:b/>
          <w:color w:val="auto"/>
          <w:sz w:val="24"/>
          <w:highlight w:val="none"/>
        </w:rPr>
      </w:pPr>
      <w:bookmarkStart w:id="55" w:name="_Toc127797707"/>
      <w:bookmarkStart w:id="56" w:name="_Toc20264"/>
      <w:r>
        <w:rPr>
          <w:rFonts w:hint="eastAsia" w:ascii="宋体" w:hAnsi="宋体" w:eastAsia="宋体" w:cs="宋体"/>
          <w:b/>
          <w:color w:val="auto"/>
          <w:sz w:val="24"/>
          <w:highlight w:val="none"/>
        </w:rPr>
        <w:t>13、确定成交人</w:t>
      </w:r>
      <w:bookmarkEnd w:id="55"/>
      <w:bookmarkEnd w:id="56"/>
    </w:p>
    <w:p w14:paraId="7583BECF">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13.1、招标代理机构应当在磋商结束后2个工作日内将评审报告送采购人。采购人应当在收到评审报告后5个工作日内，按照磋商评审报告中推荐的成交候选人顺序确定成交人，并将结果发布网上。</w:t>
      </w:r>
    </w:p>
    <w:p w14:paraId="0EE912B1">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13.2、采购人也可以授权磋商小组直接确定成交供应商。磋商小组直接确定成交供应商的应在磋商文件中写明。</w:t>
      </w:r>
    </w:p>
    <w:p w14:paraId="2FD5E55A">
      <w:pPr>
        <w:spacing w:line="480" w:lineRule="exact"/>
        <w:ind w:firstLine="482" w:firstLineChars="200"/>
        <w:contextualSpacing/>
        <w:outlineLvl w:val="9"/>
        <w:rPr>
          <w:rFonts w:hint="eastAsia" w:ascii="宋体" w:hAnsi="宋体" w:eastAsia="宋体" w:cs="宋体"/>
          <w:color w:val="auto"/>
          <w:kern w:val="1"/>
          <w:sz w:val="24"/>
          <w:highlight w:val="none"/>
        </w:rPr>
      </w:pPr>
      <w:bookmarkStart w:id="57" w:name="_Toc127797708"/>
      <w:bookmarkStart w:id="58" w:name="_Toc9164"/>
      <w:r>
        <w:rPr>
          <w:rFonts w:hint="eastAsia" w:ascii="宋体" w:hAnsi="宋体" w:eastAsia="宋体" w:cs="宋体"/>
          <w:b/>
          <w:color w:val="auto"/>
          <w:sz w:val="24"/>
          <w:highlight w:val="none"/>
        </w:rPr>
        <w:t>14、</w:t>
      </w:r>
      <w:r>
        <w:rPr>
          <w:rFonts w:hint="eastAsia" w:ascii="宋体" w:hAnsi="宋体" w:eastAsia="宋体" w:cs="宋体"/>
          <w:b/>
          <w:color w:val="auto"/>
          <w:kern w:val="1"/>
          <w:sz w:val="24"/>
          <w:highlight w:val="none"/>
        </w:rPr>
        <w:t>成交结果公告</w:t>
      </w:r>
      <w:bookmarkEnd w:id="57"/>
      <w:bookmarkEnd w:id="58"/>
    </w:p>
    <w:p w14:paraId="13831FB8">
      <w:pPr>
        <w:spacing w:line="480" w:lineRule="exact"/>
        <w:ind w:firstLine="480" w:firstLineChars="200"/>
        <w:contextualSpacing/>
        <w:outlineLvl w:val="9"/>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14.1、采购人应当在成交人确定后2个工作日内，在公告发布的同一媒介上发布成交结果，同时向成交供应商发出成交通知书，并将磋商文件随成交结果同时公告，公告期限1个工作日。</w:t>
      </w:r>
    </w:p>
    <w:p w14:paraId="55929448">
      <w:pPr>
        <w:spacing w:line="480" w:lineRule="exact"/>
        <w:ind w:firstLine="480" w:firstLineChars="200"/>
        <w:outlineLvl w:val="9"/>
        <w:rPr>
          <w:rFonts w:hint="eastAsia" w:ascii="宋体" w:hAnsi="宋体" w:eastAsia="宋体" w:cs="宋体"/>
          <w:color w:val="auto"/>
          <w:sz w:val="24"/>
          <w:highlight w:val="none"/>
        </w:rPr>
      </w:pPr>
      <w:bookmarkStart w:id="59" w:name="_Toc454788042"/>
      <w:bookmarkEnd w:id="59"/>
      <w:r>
        <w:rPr>
          <w:rFonts w:hint="eastAsia" w:ascii="宋体" w:hAnsi="宋体" w:eastAsia="宋体" w:cs="宋体"/>
          <w:color w:val="auto"/>
          <w:kern w:val="1"/>
          <w:sz w:val="24"/>
          <w:highlight w:val="none"/>
        </w:rPr>
        <w:t>14.2、成交结果公告内容应当包括采购人和招标代理机构的名称、地址、联系方式，项目名称和项目编号，成交人名称、地址和成交金额，主要成交标的的名称、规格型号、数量、单价、服务要求或标的的基本概况以及磋商小组名单。</w:t>
      </w:r>
    </w:p>
    <w:p w14:paraId="6398DC1B">
      <w:pPr>
        <w:spacing w:line="480" w:lineRule="exact"/>
        <w:ind w:firstLine="482" w:firstLineChars="200"/>
        <w:contextualSpacing/>
        <w:outlineLvl w:val="9"/>
        <w:rPr>
          <w:rFonts w:hint="eastAsia" w:ascii="宋体" w:hAnsi="宋体" w:eastAsia="宋体" w:cs="宋体"/>
          <w:color w:val="auto"/>
          <w:kern w:val="1"/>
          <w:sz w:val="24"/>
          <w:highlight w:val="none"/>
        </w:rPr>
      </w:pPr>
      <w:bookmarkStart w:id="60" w:name="_Toc127797709"/>
      <w:bookmarkStart w:id="61" w:name="_Toc14649"/>
      <w:r>
        <w:rPr>
          <w:rFonts w:hint="eastAsia" w:ascii="宋体" w:hAnsi="宋体" w:eastAsia="宋体" w:cs="宋体"/>
          <w:b/>
          <w:color w:val="auto"/>
          <w:sz w:val="24"/>
          <w:highlight w:val="none"/>
        </w:rPr>
        <w:t>15、</w:t>
      </w:r>
      <w:r>
        <w:rPr>
          <w:rFonts w:hint="eastAsia" w:ascii="宋体" w:hAnsi="宋体" w:eastAsia="宋体" w:cs="宋体"/>
          <w:b/>
          <w:color w:val="auto"/>
          <w:kern w:val="1"/>
          <w:sz w:val="24"/>
          <w:highlight w:val="none"/>
        </w:rPr>
        <w:t>合同授予</w:t>
      </w:r>
      <w:bookmarkEnd w:id="60"/>
      <w:bookmarkEnd w:id="61"/>
    </w:p>
    <w:p w14:paraId="7813D403">
      <w:pPr>
        <w:spacing w:line="480" w:lineRule="exact"/>
        <w:ind w:firstLine="480" w:firstLineChars="200"/>
        <w:contextualSpacing/>
        <w:outlineLvl w:val="9"/>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15.1、成交结果公示的同时，采购人以书面形式向成交人发出成交通知书。</w:t>
      </w:r>
    </w:p>
    <w:p w14:paraId="5AED72A2">
      <w:pPr>
        <w:spacing w:line="480" w:lineRule="exact"/>
        <w:ind w:firstLine="480" w:firstLineChars="200"/>
        <w:contextualSpacing/>
        <w:outlineLvl w:val="9"/>
        <w:rPr>
          <w:rFonts w:hint="eastAsia" w:ascii="宋体" w:hAnsi="宋体" w:eastAsia="宋体" w:cs="宋体"/>
          <w:color w:val="auto"/>
          <w:kern w:val="1"/>
          <w:sz w:val="24"/>
          <w:highlight w:val="none"/>
        </w:rPr>
      </w:pPr>
      <w:bookmarkStart w:id="62" w:name="_Toc463011501"/>
      <w:bookmarkEnd w:id="62"/>
      <w:bookmarkStart w:id="63" w:name="_Toc269470335"/>
      <w:bookmarkEnd w:id="63"/>
      <w:bookmarkStart w:id="64" w:name="_Toc455678262"/>
      <w:bookmarkEnd w:id="64"/>
      <w:bookmarkStart w:id="65" w:name="_Toc511897557"/>
      <w:bookmarkEnd w:id="65"/>
      <w:bookmarkStart w:id="66" w:name="_Toc530664100"/>
      <w:bookmarkEnd w:id="66"/>
      <w:bookmarkStart w:id="67" w:name="_Toc531936136"/>
      <w:bookmarkEnd w:id="67"/>
      <w:bookmarkStart w:id="68" w:name="_Toc511663240"/>
      <w:bookmarkEnd w:id="68"/>
      <w:bookmarkStart w:id="69" w:name="_Toc530665447"/>
      <w:bookmarkEnd w:id="69"/>
      <w:bookmarkStart w:id="70" w:name="_Toc530663944"/>
      <w:bookmarkEnd w:id="70"/>
      <w:r>
        <w:rPr>
          <w:rFonts w:hint="eastAsia" w:ascii="宋体" w:hAnsi="宋体" w:eastAsia="宋体" w:cs="宋体"/>
          <w:color w:val="auto"/>
          <w:kern w:val="1"/>
          <w:sz w:val="24"/>
          <w:highlight w:val="none"/>
        </w:rPr>
        <w:t>15.2、 供应商的最后一轮报价为成交价，成交价即为合同价。</w:t>
      </w:r>
    </w:p>
    <w:p w14:paraId="513E60BC">
      <w:pPr>
        <w:spacing w:line="480" w:lineRule="exact"/>
        <w:ind w:firstLine="480" w:firstLineChars="200"/>
        <w:contextualSpacing/>
        <w:outlineLvl w:val="9"/>
        <w:rPr>
          <w:rFonts w:hint="eastAsia" w:ascii="宋体" w:hAnsi="宋体" w:eastAsia="宋体" w:cs="宋体"/>
          <w:color w:val="auto"/>
          <w:kern w:val="1"/>
          <w:sz w:val="24"/>
          <w:highlight w:val="none"/>
        </w:rPr>
      </w:pPr>
      <w:bookmarkStart w:id="71" w:name="_Toc530665448"/>
      <w:bookmarkEnd w:id="71"/>
      <w:bookmarkStart w:id="72" w:name="_Toc511897558"/>
      <w:bookmarkEnd w:id="72"/>
      <w:bookmarkStart w:id="73" w:name="_Toc530663945"/>
      <w:bookmarkEnd w:id="73"/>
      <w:bookmarkStart w:id="74" w:name="_Toc531936137"/>
      <w:bookmarkEnd w:id="74"/>
      <w:bookmarkStart w:id="75" w:name="_Toc455678263"/>
      <w:bookmarkEnd w:id="75"/>
      <w:bookmarkStart w:id="76" w:name="_Toc463011502"/>
      <w:bookmarkEnd w:id="76"/>
      <w:bookmarkStart w:id="77" w:name="_Toc530664101"/>
      <w:bookmarkEnd w:id="77"/>
      <w:bookmarkStart w:id="78" w:name="_Toc511663241"/>
      <w:bookmarkEnd w:id="78"/>
      <w:r>
        <w:rPr>
          <w:rFonts w:hint="eastAsia" w:ascii="宋体" w:hAnsi="宋体" w:eastAsia="宋体" w:cs="宋体"/>
          <w:color w:val="auto"/>
          <w:kern w:val="1"/>
          <w:sz w:val="24"/>
          <w:highlight w:val="none"/>
        </w:rPr>
        <w:t>15.3 、采购人和成交人应当自成交通知书发出之日起15天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35D3C56C">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kern w:val="1"/>
          <w:sz w:val="24"/>
          <w:highlight w:val="none"/>
        </w:rPr>
        <w:t>15.4、在签订合同过程中，如发现成交供应商以他人名义磋商或者以其他方式弄虚作假，骗取成交的，采购人有权取消其成交资格。</w:t>
      </w:r>
    </w:p>
    <w:p w14:paraId="3F5CC4C6">
      <w:pPr>
        <w:spacing w:line="480" w:lineRule="exact"/>
        <w:ind w:firstLine="482" w:firstLineChars="200"/>
        <w:contextualSpacing/>
        <w:outlineLvl w:val="9"/>
        <w:rPr>
          <w:rFonts w:hint="eastAsia" w:ascii="宋体" w:hAnsi="宋体" w:eastAsia="宋体" w:cs="宋体"/>
          <w:color w:val="auto"/>
          <w:kern w:val="1"/>
          <w:sz w:val="24"/>
          <w:highlight w:val="none"/>
        </w:rPr>
      </w:pPr>
      <w:bookmarkStart w:id="79" w:name="_Toc127797710"/>
      <w:bookmarkStart w:id="80" w:name="_Toc17303"/>
      <w:r>
        <w:rPr>
          <w:rFonts w:hint="eastAsia" w:ascii="宋体" w:hAnsi="宋体" w:eastAsia="宋体" w:cs="宋体"/>
          <w:b/>
          <w:bCs/>
          <w:color w:val="auto"/>
          <w:sz w:val="24"/>
          <w:highlight w:val="none"/>
        </w:rPr>
        <w:t>16、</w:t>
      </w:r>
      <w:r>
        <w:rPr>
          <w:rFonts w:hint="eastAsia" w:ascii="宋体" w:hAnsi="宋体" w:eastAsia="宋体" w:cs="宋体"/>
          <w:b/>
          <w:color w:val="auto"/>
          <w:kern w:val="1"/>
          <w:sz w:val="24"/>
          <w:highlight w:val="none"/>
        </w:rPr>
        <w:t>履约保证金</w:t>
      </w:r>
      <w:bookmarkEnd w:id="79"/>
      <w:bookmarkEnd w:id="80"/>
    </w:p>
    <w:p w14:paraId="4509DD16">
      <w:pPr>
        <w:spacing w:line="480" w:lineRule="exact"/>
        <w:ind w:firstLine="480" w:firstLineChars="200"/>
        <w:outlineLvl w:val="9"/>
        <w:rPr>
          <w:rFonts w:hint="eastAsia" w:ascii="宋体" w:hAnsi="宋体" w:eastAsia="宋体" w:cs="宋体"/>
          <w:color w:val="auto"/>
          <w:kern w:val="1"/>
          <w:sz w:val="24"/>
          <w:highlight w:val="none"/>
        </w:rPr>
      </w:pPr>
      <w:bookmarkStart w:id="81" w:name="_Toc463011504"/>
      <w:bookmarkEnd w:id="81"/>
      <w:bookmarkStart w:id="82" w:name="_Toc455678265"/>
      <w:bookmarkEnd w:id="82"/>
      <w:r>
        <w:rPr>
          <w:rFonts w:hint="eastAsia" w:ascii="宋体" w:hAnsi="宋体" w:eastAsia="宋体" w:cs="宋体"/>
          <w:color w:val="auto"/>
          <w:kern w:val="1"/>
          <w:sz w:val="24"/>
          <w:highlight w:val="none"/>
        </w:rPr>
        <w:t>本项目不收取履约保证金。</w:t>
      </w:r>
    </w:p>
    <w:p w14:paraId="2F8A7547">
      <w:pPr>
        <w:spacing w:line="480" w:lineRule="exact"/>
        <w:ind w:firstLine="482" w:firstLineChars="200"/>
        <w:outlineLvl w:val="9"/>
        <w:rPr>
          <w:rFonts w:hint="eastAsia" w:ascii="宋体" w:hAnsi="宋体" w:eastAsia="宋体" w:cs="宋体"/>
          <w:b/>
          <w:bCs/>
          <w:color w:val="auto"/>
          <w:sz w:val="24"/>
          <w:highlight w:val="none"/>
        </w:rPr>
      </w:pPr>
      <w:bookmarkStart w:id="83" w:name="_Toc30337"/>
      <w:bookmarkStart w:id="84" w:name="_Toc127797711"/>
      <w:r>
        <w:rPr>
          <w:rFonts w:hint="eastAsia" w:ascii="宋体" w:hAnsi="宋体" w:eastAsia="宋体" w:cs="宋体"/>
          <w:b/>
          <w:bCs/>
          <w:color w:val="auto"/>
          <w:sz w:val="24"/>
          <w:highlight w:val="none"/>
        </w:rPr>
        <w:t>17、合同授予</w:t>
      </w:r>
      <w:bookmarkEnd w:id="83"/>
      <w:bookmarkEnd w:id="84"/>
    </w:p>
    <w:p w14:paraId="1A0E2C3B">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17.1 、成交供应商在收到成交通知书后应与采购人签订承包合同。竞争性磋商文件成交供应商的响应性文件及其相关澄清、补遗文件等，均为签订合同的依据。</w:t>
      </w:r>
    </w:p>
    <w:p w14:paraId="00F7D6F7">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17.2、成交供应商如未能按竞争性磋商文件要求，在规定限期内与采购人签订合同，无论何种原因招标方将取消其成交资格、撤销其成交通知书，并没收其磋商保证金。在此情况下，采购人可将合同授予排名次髙的供应商。</w:t>
      </w:r>
    </w:p>
    <w:p w14:paraId="15E01BCE">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17.3、在签订合同过程中，如发现成交供应商以他人名义磋商或者以其他方式弄虚作假，骗取成交的，采购人有权取消其成交资格。</w:t>
      </w:r>
    </w:p>
    <w:p w14:paraId="269DAE83">
      <w:pPr>
        <w:spacing w:line="480" w:lineRule="exact"/>
        <w:ind w:firstLine="482" w:firstLineChars="200"/>
        <w:contextualSpacing/>
        <w:outlineLvl w:val="9"/>
        <w:rPr>
          <w:rFonts w:hint="eastAsia" w:ascii="宋体" w:hAnsi="宋体" w:eastAsia="宋体" w:cs="宋体"/>
          <w:color w:val="auto"/>
          <w:kern w:val="1"/>
          <w:sz w:val="24"/>
          <w:highlight w:val="none"/>
        </w:rPr>
      </w:pPr>
      <w:bookmarkStart w:id="85" w:name="_Toc127797712"/>
      <w:bookmarkStart w:id="86" w:name="_Toc4580"/>
      <w:r>
        <w:rPr>
          <w:rFonts w:hint="eastAsia" w:ascii="宋体" w:hAnsi="宋体" w:eastAsia="宋体" w:cs="宋体"/>
          <w:b/>
          <w:bCs/>
          <w:color w:val="auto"/>
          <w:sz w:val="24"/>
          <w:highlight w:val="none"/>
        </w:rPr>
        <w:t>18、</w:t>
      </w:r>
      <w:r>
        <w:rPr>
          <w:rFonts w:hint="eastAsia" w:ascii="宋体" w:hAnsi="宋体" w:eastAsia="宋体" w:cs="宋体"/>
          <w:b/>
          <w:color w:val="auto"/>
          <w:kern w:val="1"/>
          <w:sz w:val="24"/>
          <w:highlight w:val="none"/>
        </w:rPr>
        <w:t>纪律和监督</w:t>
      </w:r>
      <w:bookmarkEnd w:id="85"/>
      <w:bookmarkEnd w:id="86"/>
      <w:bookmarkStart w:id="87" w:name="_Toc454788293"/>
      <w:bookmarkEnd w:id="87"/>
      <w:bookmarkStart w:id="88" w:name="_Toc530664107"/>
      <w:bookmarkEnd w:id="88"/>
      <w:bookmarkStart w:id="89" w:name="_Toc530665454"/>
      <w:bookmarkEnd w:id="89"/>
      <w:bookmarkStart w:id="90" w:name="_Toc511663247"/>
      <w:bookmarkEnd w:id="90"/>
      <w:bookmarkStart w:id="91" w:name="_Toc270604611"/>
      <w:bookmarkEnd w:id="91"/>
      <w:bookmarkStart w:id="92" w:name="_Toc531936143"/>
      <w:bookmarkEnd w:id="92"/>
      <w:bookmarkStart w:id="93" w:name="_Toc511897564"/>
      <w:bookmarkEnd w:id="93"/>
      <w:bookmarkStart w:id="94" w:name="_Toc277149399"/>
      <w:bookmarkEnd w:id="94"/>
      <w:bookmarkStart w:id="95" w:name="_Toc455678274"/>
      <w:bookmarkEnd w:id="95"/>
      <w:bookmarkStart w:id="96" w:name="_Toc463011513"/>
      <w:bookmarkEnd w:id="96"/>
      <w:bookmarkStart w:id="97" w:name="_Toc270604838"/>
      <w:bookmarkEnd w:id="97"/>
      <w:bookmarkStart w:id="98" w:name="_Toc269470339"/>
      <w:bookmarkEnd w:id="98"/>
      <w:bookmarkStart w:id="99" w:name="_Toc428276606"/>
      <w:bookmarkEnd w:id="99"/>
      <w:bookmarkStart w:id="100" w:name="_Toc530663951"/>
      <w:bookmarkEnd w:id="100"/>
    </w:p>
    <w:p w14:paraId="7E6D3368">
      <w:pPr>
        <w:tabs>
          <w:tab w:val="left" w:pos="540"/>
        </w:tabs>
        <w:autoSpaceDE w:val="0"/>
        <w:autoSpaceDN w:val="0"/>
        <w:adjustRightInd w:val="0"/>
        <w:spacing w:line="480" w:lineRule="exact"/>
        <w:ind w:firstLine="480" w:firstLineChars="200"/>
        <w:outlineLvl w:val="9"/>
        <w:rPr>
          <w:rFonts w:hint="eastAsia" w:ascii="宋体" w:hAnsi="宋体" w:eastAsia="宋体" w:cs="宋体"/>
          <w:color w:val="auto"/>
          <w:sz w:val="24"/>
          <w:highlight w:val="none"/>
        </w:rPr>
      </w:pPr>
      <w:bookmarkStart w:id="101" w:name="_Toc514402140"/>
      <w:bookmarkStart w:id="102" w:name="_Toc50397315"/>
      <w:bookmarkStart w:id="103" w:name="_Toc21437473"/>
      <w:bookmarkStart w:id="104" w:name="_Toc515378707"/>
      <w:bookmarkStart w:id="105" w:name="_Toc528250057"/>
      <w:bookmarkStart w:id="106" w:name="_Toc23882"/>
      <w:bookmarkStart w:id="107" w:name="_Toc521488519"/>
      <w:bookmarkStart w:id="108" w:name="_Toc25797"/>
      <w:bookmarkStart w:id="109" w:name="_Toc530142110"/>
      <w:bookmarkStart w:id="110" w:name="_Toc521486763"/>
      <w:bookmarkStart w:id="111" w:name="_Toc127797713"/>
      <w:bookmarkStart w:id="112" w:name="_Toc17415"/>
      <w:bookmarkStart w:id="113" w:name="_Toc3206130"/>
      <w:bookmarkStart w:id="114" w:name="_Toc27652"/>
      <w:bookmarkStart w:id="115" w:name="_Toc22486"/>
      <w:bookmarkStart w:id="116" w:name="_Toc521488919"/>
      <w:bookmarkStart w:id="117" w:name="_Toc521488759"/>
      <w:bookmarkStart w:id="118" w:name="_Toc19521"/>
      <w:bookmarkStart w:id="119" w:name="_Toc22717750"/>
      <w:bookmarkStart w:id="120" w:name="_Toc50397855"/>
      <w:bookmarkStart w:id="121" w:name="_Toc13802"/>
      <w:bookmarkStart w:id="122" w:name="_Toc4248302"/>
      <w:bookmarkStart w:id="123" w:name="_Toc526682544"/>
      <w:r>
        <w:rPr>
          <w:rFonts w:hint="eastAsia" w:ascii="宋体" w:hAnsi="宋体" w:eastAsia="宋体" w:cs="宋体"/>
          <w:color w:val="auto"/>
          <w:sz w:val="24"/>
          <w:highlight w:val="none"/>
        </w:rPr>
        <w:t>18.1、对采购人的纪律要求</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4B1EB51E">
      <w:pPr>
        <w:tabs>
          <w:tab w:val="left" w:pos="540"/>
        </w:tabs>
        <w:autoSpaceDE w:val="0"/>
        <w:autoSpaceDN w:val="0"/>
        <w:adjustRightInd w:val="0"/>
        <w:spacing w:line="480" w:lineRule="exact"/>
        <w:ind w:firstLine="480" w:firstLineChars="200"/>
        <w:outlineLvl w:val="9"/>
        <w:rPr>
          <w:rFonts w:hint="eastAsia" w:ascii="宋体" w:hAnsi="宋体" w:eastAsia="宋体" w:cs="宋体"/>
          <w:color w:val="auto"/>
          <w:kern w:val="0"/>
          <w:sz w:val="24"/>
          <w:highlight w:val="none"/>
        </w:rPr>
      </w:pPr>
      <w:bookmarkStart w:id="124" w:name="_Toc27053"/>
      <w:bookmarkStart w:id="125" w:name="_Toc21437474"/>
      <w:bookmarkStart w:id="126" w:name="_Toc3206131"/>
      <w:bookmarkStart w:id="127" w:name="_Toc30898"/>
      <w:bookmarkStart w:id="128" w:name="_Toc530142111"/>
      <w:bookmarkStart w:id="129" w:name="_Toc50397316"/>
      <w:bookmarkStart w:id="130" w:name="_Toc50397856"/>
      <w:bookmarkStart w:id="131" w:name="_Toc22717751"/>
      <w:bookmarkStart w:id="132" w:name="_Toc4248303"/>
      <w:bookmarkStart w:id="133" w:name="_Toc127797714"/>
      <w:r>
        <w:rPr>
          <w:rFonts w:hint="eastAsia" w:ascii="宋体" w:hAnsi="宋体" w:eastAsia="宋体" w:cs="宋体"/>
          <w:color w:val="auto"/>
          <w:sz w:val="24"/>
          <w:highlight w:val="none"/>
        </w:rPr>
        <w:t>采购人不得泄漏竞争性</w:t>
      </w:r>
      <w:r>
        <w:rPr>
          <w:rFonts w:hint="eastAsia" w:ascii="宋体" w:hAnsi="宋体" w:eastAsia="宋体" w:cs="宋体"/>
          <w:color w:val="auto"/>
          <w:kern w:val="0"/>
          <w:sz w:val="24"/>
          <w:highlight w:val="none"/>
        </w:rPr>
        <w:t>磋商中应当保密的情况和资料，不得与供应商串通损害国家利益、社会公共利益或者他人合法权益。</w:t>
      </w:r>
      <w:bookmarkEnd w:id="124"/>
      <w:bookmarkEnd w:id="125"/>
      <w:bookmarkEnd w:id="126"/>
      <w:bookmarkEnd w:id="127"/>
      <w:bookmarkEnd w:id="128"/>
      <w:bookmarkEnd w:id="129"/>
      <w:bookmarkEnd w:id="130"/>
      <w:bookmarkEnd w:id="131"/>
      <w:bookmarkEnd w:id="132"/>
      <w:bookmarkEnd w:id="133"/>
    </w:p>
    <w:p w14:paraId="057516CB">
      <w:pPr>
        <w:tabs>
          <w:tab w:val="left" w:pos="540"/>
        </w:tabs>
        <w:autoSpaceDE w:val="0"/>
        <w:autoSpaceDN w:val="0"/>
        <w:adjustRightInd w:val="0"/>
        <w:spacing w:line="480" w:lineRule="exact"/>
        <w:ind w:firstLine="480" w:firstLineChars="200"/>
        <w:outlineLvl w:val="9"/>
        <w:rPr>
          <w:rFonts w:hint="eastAsia" w:ascii="宋体" w:hAnsi="宋体" w:eastAsia="宋体" w:cs="宋体"/>
          <w:color w:val="auto"/>
          <w:kern w:val="0"/>
          <w:sz w:val="24"/>
          <w:highlight w:val="none"/>
        </w:rPr>
      </w:pPr>
      <w:bookmarkStart w:id="134" w:name="_Toc528250058"/>
      <w:bookmarkStart w:id="135" w:name="_Toc50397857"/>
      <w:bookmarkStart w:id="136" w:name="_Toc521488760"/>
      <w:bookmarkStart w:id="137" w:name="_Toc521488920"/>
      <w:bookmarkStart w:id="138" w:name="_Toc515378708"/>
      <w:bookmarkStart w:id="139" w:name="_Toc3096"/>
      <w:bookmarkStart w:id="140" w:name="_Toc428276607"/>
      <w:bookmarkStart w:id="141" w:name="_Toc530142112"/>
      <w:bookmarkStart w:id="142" w:name="_Toc25647"/>
      <w:bookmarkStart w:id="143" w:name="_Toc514402141"/>
      <w:bookmarkStart w:id="144" w:name="_Toc526682545"/>
      <w:bookmarkStart w:id="145" w:name="_Toc270604612"/>
      <w:bookmarkStart w:id="146" w:name="_Toc269470340"/>
      <w:bookmarkStart w:id="147" w:name="_Toc50397317"/>
      <w:bookmarkStart w:id="148" w:name="_Toc455678275"/>
      <w:bookmarkStart w:id="149" w:name="_Toc511897565"/>
      <w:bookmarkStart w:id="150" w:name="_Toc463011514"/>
      <w:bookmarkStart w:id="151" w:name="_Toc127797715"/>
      <w:bookmarkStart w:id="152" w:name="_Toc454788294"/>
      <w:bookmarkStart w:id="153" w:name="_Toc2963"/>
      <w:bookmarkStart w:id="154" w:name="_Toc511663248"/>
      <w:bookmarkStart w:id="155" w:name="_Toc3206132"/>
      <w:bookmarkStart w:id="156" w:name="_Toc521488520"/>
      <w:bookmarkStart w:id="157" w:name="_Toc277149400"/>
      <w:bookmarkStart w:id="158" w:name="_Toc4248304"/>
      <w:bookmarkStart w:id="159" w:name="_Toc488"/>
      <w:bookmarkStart w:id="160" w:name="_Toc21437475"/>
      <w:bookmarkStart w:id="161" w:name="_Toc31355"/>
      <w:bookmarkStart w:id="162" w:name="_Toc5793"/>
      <w:bookmarkStart w:id="163" w:name="_Toc270604839"/>
      <w:bookmarkStart w:id="164" w:name="_Toc23986"/>
      <w:bookmarkStart w:id="165" w:name="_Toc22717752"/>
      <w:bookmarkStart w:id="166" w:name="_Toc521486764"/>
      <w:r>
        <w:rPr>
          <w:rFonts w:hint="eastAsia" w:ascii="宋体" w:hAnsi="宋体" w:eastAsia="宋体" w:cs="宋体"/>
          <w:color w:val="auto"/>
          <w:kern w:val="0"/>
          <w:sz w:val="24"/>
          <w:highlight w:val="none"/>
        </w:rPr>
        <w:t>18.2、对供应商的纪律要求</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07487628">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供应商不得相互串通或者与采购人串通，不得向采购人或者磋商小组成员行贿谋取</w:t>
      </w:r>
      <w:r>
        <w:rPr>
          <w:rFonts w:hint="eastAsia" w:ascii="宋体" w:hAnsi="宋体" w:eastAsia="宋体" w:cs="宋体"/>
          <w:color w:val="auto"/>
          <w:sz w:val="24"/>
          <w:highlight w:val="none"/>
        </w:rPr>
        <w:t>成交</w:t>
      </w:r>
      <w:r>
        <w:rPr>
          <w:rFonts w:hint="eastAsia" w:ascii="宋体" w:hAnsi="宋体" w:eastAsia="宋体" w:cs="宋体"/>
          <w:color w:val="auto"/>
          <w:kern w:val="0"/>
          <w:sz w:val="24"/>
          <w:highlight w:val="none"/>
        </w:rPr>
        <w:t>，不得以他人名义磋商或者以其他方式弄虚作假骗取</w:t>
      </w:r>
      <w:r>
        <w:rPr>
          <w:rFonts w:hint="eastAsia" w:ascii="宋体" w:hAnsi="宋体" w:eastAsia="宋体" w:cs="宋体"/>
          <w:color w:val="auto"/>
          <w:sz w:val="24"/>
          <w:highlight w:val="none"/>
        </w:rPr>
        <w:t>成交</w:t>
      </w:r>
      <w:r>
        <w:rPr>
          <w:rFonts w:hint="eastAsia" w:ascii="宋体" w:hAnsi="宋体" w:eastAsia="宋体" w:cs="宋体"/>
          <w:color w:val="auto"/>
          <w:kern w:val="0"/>
          <w:sz w:val="24"/>
          <w:highlight w:val="none"/>
        </w:rPr>
        <w:t>；供应商不得以任何方式干扰、影响磋商工作。</w:t>
      </w:r>
    </w:p>
    <w:p w14:paraId="601699BA">
      <w:pPr>
        <w:tabs>
          <w:tab w:val="left" w:pos="540"/>
        </w:tabs>
        <w:autoSpaceDE w:val="0"/>
        <w:autoSpaceDN w:val="0"/>
        <w:adjustRightInd w:val="0"/>
        <w:spacing w:line="480" w:lineRule="exact"/>
        <w:ind w:firstLine="480" w:firstLineChars="200"/>
        <w:outlineLvl w:val="9"/>
        <w:rPr>
          <w:rFonts w:hint="eastAsia" w:ascii="宋体" w:hAnsi="宋体" w:eastAsia="宋体" w:cs="宋体"/>
          <w:color w:val="auto"/>
          <w:kern w:val="0"/>
          <w:sz w:val="24"/>
          <w:highlight w:val="none"/>
        </w:rPr>
      </w:pPr>
      <w:bookmarkStart w:id="167" w:name="_Toc8673"/>
      <w:bookmarkStart w:id="168" w:name="_Toc428276608"/>
      <w:bookmarkStart w:id="169" w:name="_Toc1306"/>
      <w:bookmarkStart w:id="170" w:name="_Toc511663249"/>
      <w:bookmarkStart w:id="171" w:name="_Toc521486765"/>
      <w:bookmarkStart w:id="172" w:name="_Toc23023"/>
      <w:bookmarkStart w:id="173" w:name="_Toc270604840"/>
      <w:bookmarkStart w:id="174" w:name="_Toc530142113"/>
      <w:bookmarkStart w:id="175" w:name="_Toc50397318"/>
      <w:bookmarkStart w:id="176" w:name="_Toc4248305"/>
      <w:bookmarkStart w:id="177" w:name="_Toc9361"/>
      <w:bookmarkStart w:id="178" w:name="_Toc269470341"/>
      <w:bookmarkStart w:id="179" w:name="_Toc50397858"/>
      <w:bookmarkStart w:id="180" w:name="_Toc3206133"/>
      <w:bookmarkStart w:id="181" w:name="_Toc277149401"/>
      <w:bookmarkStart w:id="182" w:name="_Toc521488921"/>
      <w:bookmarkStart w:id="183" w:name="_Toc463011515"/>
      <w:bookmarkStart w:id="184" w:name="_Toc21437476"/>
      <w:bookmarkStart w:id="185" w:name="_Toc22717753"/>
      <w:bookmarkStart w:id="186" w:name="_Toc12234"/>
      <w:bookmarkStart w:id="187" w:name="_Toc454788295"/>
      <w:bookmarkStart w:id="188" w:name="_Toc455678276"/>
      <w:bookmarkStart w:id="189" w:name="_Toc32745"/>
      <w:bookmarkStart w:id="190" w:name="_Toc521488521"/>
      <w:bookmarkStart w:id="191" w:name="_Toc270604613"/>
      <w:bookmarkStart w:id="192" w:name="_Toc521488761"/>
      <w:bookmarkStart w:id="193" w:name="_Toc515378709"/>
      <w:bookmarkStart w:id="194" w:name="_Toc127797716"/>
      <w:bookmarkStart w:id="195" w:name="_Toc511897566"/>
      <w:bookmarkStart w:id="196" w:name="_Toc12854"/>
      <w:bookmarkStart w:id="197" w:name="_Toc528250059"/>
      <w:bookmarkStart w:id="198" w:name="_Toc526682546"/>
      <w:bookmarkStart w:id="199" w:name="_Toc514402142"/>
      <w:r>
        <w:rPr>
          <w:rFonts w:hint="eastAsia" w:ascii="宋体" w:hAnsi="宋体" w:eastAsia="宋体" w:cs="宋体"/>
          <w:color w:val="auto"/>
          <w:kern w:val="0"/>
          <w:sz w:val="24"/>
          <w:highlight w:val="none"/>
        </w:rPr>
        <w:t>18.3、对磋商小组成员的纪律要求</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1D9353F9">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磋商小组成员不得收受他人的财物或者其他好处，不得向他人透漏对响应文件的评审和比较、</w:t>
      </w:r>
      <w:r>
        <w:rPr>
          <w:rFonts w:hint="eastAsia" w:ascii="宋体" w:hAnsi="宋体" w:eastAsia="宋体" w:cs="宋体"/>
          <w:color w:val="auto"/>
          <w:sz w:val="24"/>
          <w:highlight w:val="none"/>
        </w:rPr>
        <w:t>成交</w:t>
      </w:r>
      <w:r>
        <w:rPr>
          <w:rFonts w:hint="eastAsia" w:ascii="宋体" w:hAnsi="宋体" w:eastAsia="宋体" w:cs="宋体"/>
          <w:color w:val="auto"/>
          <w:kern w:val="0"/>
          <w:sz w:val="24"/>
          <w:highlight w:val="none"/>
        </w:rPr>
        <w:t>候选人的推荐情况以及与磋商有关的其他情况。在磋商活动中，磋商小组成员不得擅离职守，影响磋商程序正常进行。</w:t>
      </w:r>
    </w:p>
    <w:p w14:paraId="0A007808">
      <w:pPr>
        <w:tabs>
          <w:tab w:val="left" w:pos="540"/>
        </w:tabs>
        <w:autoSpaceDE w:val="0"/>
        <w:autoSpaceDN w:val="0"/>
        <w:adjustRightInd w:val="0"/>
        <w:spacing w:line="480" w:lineRule="exact"/>
        <w:ind w:firstLine="480" w:firstLineChars="200"/>
        <w:outlineLvl w:val="9"/>
        <w:rPr>
          <w:rFonts w:hint="eastAsia" w:ascii="宋体" w:hAnsi="宋体" w:eastAsia="宋体" w:cs="宋体"/>
          <w:color w:val="auto"/>
          <w:kern w:val="0"/>
          <w:sz w:val="24"/>
          <w:highlight w:val="none"/>
        </w:rPr>
      </w:pPr>
      <w:bookmarkStart w:id="200" w:name="_Toc455678277"/>
      <w:bookmarkStart w:id="201" w:name="_Toc14108"/>
      <w:bookmarkStart w:id="202" w:name="_Toc8785"/>
      <w:bookmarkStart w:id="203" w:name="_Toc23391"/>
      <w:bookmarkStart w:id="204" w:name="_Toc528250060"/>
      <w:bookmarkStart w:id="205" w:name="_Toc11428"/>
      <w:bookmarkStart w:id="206" w:name="_Toc521488522"/>
      <w:bookmarkStart w:id="207" w:name="_Toc270604614"/>
      <w:bookmarkStart w:id="208" w:name="_Toc26852"/>
      <w:bookmarkStart w:id="209" w:name="_Toc3206134"/>
      <w:bookmarkStart w:id="210" w:name="_Toc454788296"/>
      <w:bookmarkStart w:id="211" w:name="_Toc5597"/>
      <w:bookmarkStart w:id="212" w:name="_Toc511663250"/>
      <w:bookmarkStart w:id="213" w:name="_Toc515378710"/>
      <w:bookmarkStart w:id="214" w:name="_Toc277149402"/>
      <w:bookmarkStart w:id="215" w:name="_Toc50397859"/>
      <w:bookmarkStart w:id="216" w:name="_Toc521488762"/>
      <w:bookmarkStart w:id="217" w:name="_Toc521486766"/>
      <w:bookmarkStart w:id="218" w:name="_Toc270604841"/>
      <w:bookmarkStart w:id="219" w:name="_Toc127797717"/>
      <w:bookmarkStart w:id="220" w:name="_Toc514402143"/>
      <w:bookmarkStart w:id="221" w:name="_Toc50397319"/>
      <w:bookmarkStart w:id="222" w:name="_Toc511897567"/>
      <w:bookmarkStart w:id="223" w:name="_Toc463011516"/>
      <w:bookmarkStart w:id="224" w:name="_Toc22717754"/>
      <w:bookmarkStart w:id="225" w:name="_Toc526682547"/>
      <w:bookmarkStart w:id="226" w:name="_Toc13268"/>
      <w:bookmarkStart w:id="227" w:name="_Toc269470342"/>
      <w:bookmarkStart w:id="228" w:name="_Toc4248306"/>
      <w:bookmarkStart w:id="229" w:name="_Toc530142114"/>
      <w:bookmarkStart w:id="230" w:name="_Toc21437477"/>
      <w:bookmarkStart w:id="231" w:name="_Toc428276609"/>
      <w:bookmarkStart w:id="232" w:name="_Toc521488922"/>
      <w:r>
        <w:rPr>
          <w:rFonts w:hint="eastAsia" w:ascii="宋体" w:hAnsi="宋体" w:eastAsia="宋体" w:cs="宋体"/>
          <w:color w:val="auto"/>
          <w:kern w:val="0"/>
          <w:sz w:val="24"/>
          <w:highlight w:val="none"/>
        </w:rPr>
        <w:t>18.4、对与磋商活动有关的工作人员的纪律要求</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704DBFE0">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与磋商活动有关的工作人员不得收受他人的财物或者其他好处，不得向他人透漏对响应文件的评审和比较、</w:t>
      </w:r>
      <w:r>
        <w:rPr>
          <w:rFonts w:hint="eastAsia" w:ascii="宋体" w:hAnsi="宋体" w:eastAsia="宋体" w:cs="宋体"/>
          <w:color w:val="auto"/>
          <w:sz w:val="24"/>
          <w:highlight w:val="none"/>
        </w:rPr>
        <w:t>成交</w:t>
      </w:r>
      <w:r>
        <w:rPr>
          <w:rFonts w:hint="eastAsia" w:ascii="宋体" w:hAnsi="宋体" w:eastAsia="宋体" w:cs="宋体"/>
          <w:color w:val="auto"/>
          <w:kern w:val="0"/>
          <w:sz w:val="24"/>
          <w:highlight w:val="none"/>
        </w:rPr>
        <w:t>候选人的推荐情况以及与磋商有关的其他情况。在磋商活动中，与磋商活动有关的工作人员不得擅离职守，影响磋商程序正常进行。</w:t>
      </w:r>
    </w:p>
    <w:p w14:paraId="7D34214D">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bookmarkStart w:id="233" w:name="_Toc514402144"/>
      <w:bookmarkStart w:id="234" w:name="_Toc270604842"/>
      <w:bookmarkStart w:id="235" w:name="_Toc20395"/>
      <w:bookmarkStart w:id="236" w:name="_Toc270604615"/>
      <w:bookmarkStart w:id="237" w:name="_Toc12322"/>
      <w:bookmarkStart w:id="238" w:name="_Toc511663251"/>
      <w:bookmarkStart w:id="239" w:name="_Toc521488763"/>
      <w:bookmarkStart w:id="240" w:name="_Toc528250061"/>
      <w:bookmarkStart w:id="241" w:name="_Toc521488523"/>
      <w:bookmarkStart w:id="242" w:name="_Toc526682548"/>
      <w:bookmarkStart w:id="243" w:name="_Toc463011517"/>
      <w:bookmarkStart w:id="244" w:name="_Toc515378711"/>
      <w:bookmarkStart w:id="245" w:name="_Toc521488923"/>
      <w:bookmarkStart w:id="246" w:name="_Toc269470343"/>
      <w:bookmarkStart w:id="247" w:name="_Toc2654"/>
      <w:bookmarkStart w:id="248" w:name="_Toc29575"/>
      <w:bookmarkStart w:id="249" w:name="_Toc277149403"/>
      <w:bookmarkStart w:id="250" w:name="_Toc511897568"/>
      <w:bookmarkStart w:id="251" w:name="_Toc455678278"/>
      <w:bookmarkStart w:id="252" w:name="_Toc454788297"/>
      <w:bookmarkStart w:id="253" w:name="_Toc25427"/>
      <w:bookmarkStart w:id="254" w:name="_Toc428276610"/>
      <w:bookmarkStart w:id="255" w:name="_Toc521486767"/>
      <w:r>
        <w:rPr>
          <w:rFonts w:hint="eastAsia" w:ascii="宋体" w:hAnsi="宋体" w:eastAsia="宋体" w:cs="宋体"/>
          <w:color w:val="auto"/>
          <w:kern w:val="0"/>
          <w:sz w:val="24"/>
          <w:highlight w:val="none"/>
        </w:rPr>
        <w:t>18.5、投诉</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268F06D8">
      <w:pPr>
        <w:tabs>
          <w:tab w:val="left" w:pos="540"/>
        </w:tabs>
        <w:autoSpaceDE w:val="0"/>
        <w:autoSpaceDN w:val="0"/>
        <w:adjustRightInd w:val="0"/>
        <w:spacing w:line="480" w:lineRule="exact"/>
        <w:ind w:firstLine="480" w:firstLineChars="200"/>
        <w:outlineLvl w:val="9"/>
        <w:rPr>
          <w:rFonts w:hint="eastAsia" w:ascii="宋体" w:hAnsi="宋体" w:eastAsia="宋体" w:cs="宋体"/>
          <w:color w:val="auto"/>
          <w:sz w:val="24"/>
          <w:highlight w:val="none"/>
        </w:rPr>
      </w:pPr>
      <w:bookmarkStart w:id="256" w:name="_Toc21437478"/>
      <w:bookmarkStart w:id="257" w:name="_Toc50397860"/>
      <w:bookmarkStart w:id="258" w:name="_Toc4248307"/>
      <w:bookmarkStart w:id="259" w:name="_Toc50397320"/>
      <w:bookmarkStart w:id="260" w:name="_Toc127797718"/>
      <w:bookmarkStart w:id="261" w:name="_Toc3206135"/>
      <w:bookmarkStart w:id="262" w:name="_Toc14811"/>
      <w:bookmarkStart w:id="263" w:name="_Toc628"/>
      <w:bookmarkStart w:id="264" w:name="_Toc22717755"/>
      <w:r>
        <w:rPr>
          <w:rFonts w:hint="eastAsia" w:ascii="宋体" w:hAnsi="宋体" w:eastAsia="宋体" w:cs="宋体"/>
          <w:color w:val="auto"/>
          <w:sz w:val="24"/>
          <w:highlight w:val="none"/>
        </w:rPr>
        <w:t>供应商和其他利害关系人认为本次竞争性磋商违反法律、法规和规章规定的，有权向有关行政监督部门投诉。</w:t>
      </w:r>
      <w:bookmarkEnd w:id="256"/>
      <w:bookmarkEnd w:id="257"/>
      <w:bookmarkEnd w:id="258"/>
      <w:bookmarkEnd w:id="259"/>
      <w:bookmarkEnd w:id="260"/>
      <w:bookmarkEnd w:id="261"/>
      <w:bookmarkEnd w:id="262"/>
      <w:bookmarkEnd w:id="263"/>
      <w:bookmarkEnd w:id="264"/>
    </w:p>
    <w:p w14:paraId="099AB719">
      <w:pPr>
        <w:autoSpaceDE w:val="0"/>
        <w:autoSpaceDN w:val="0"/>
        <w:adjustRightInd w:val="0"/>
        <w:spacing w:line="480" w:lineRule="exact"/>
        <w:ind w:firstLine="482" w:firstLineChars="200"/>
        <w:jc w:val="left"/>
        <w:outlineLvl w:val="9"/>
        <w:rPr>
          <w:rFonts w:hint="eastAsia" w:ascii="宋体" w:hAnsi="宋体" w:eastAsia="宋体" w:cs="宋体"/>
          <w:b/>
          <w:color w:val="auto"/>
          <w:sz w:val="24"/>
          <w:highlight w:val="none"/>
        </w:rPr>
      </w:pPr>
      <w:bookmarkStart w:id="265" w:name="_Toc454788050"/>
      <w:bookmarkStart w:id="266" w:name="_Toc28235"/>
      <w:bookmarkStart w:id="267" w:name="_Toc521486768"/>
      <w:bookmarkStart w:id="268" w:name="_Toc521488764"/>
      <w:bookmarkStart w:id="269" w:name="_Toc32469"/>
      <w:bookmarkStart w:id="270" w:name="_Toc521488524"/>
      <w:bookmarkStart w:id="271" w:name="_Toc18997_WPSOffice_Level2"/>
      <w:bookmarkStart w:id="272" w:name="_Toc22717756"/>
      <w:bookmarkStart w:id="273" w:name="_Toc428351670"/>
      <w:bookmarkStart w:id="274" w:name="_Toc521488924"/>
      <w:bookmarkStart w:id="275" w:name="_Toc528250062"/>
      <w:bookmarkStart w:id="276" w:name="_Toc530142115"/>
      <w:bookmarkStart w:id="277" w:name="_Toc15944_WPSOffice_Level2"/>
      <w:bookmarkStart w:id="278" w:name="_Toc127797719"/>
      <w:bookmarkStart w:id="279" w:name="_Toc24230"/>
      <w:r>
        <w:rPr>
          <w:rFonts w:hint="eastAsia" w:ascii="宋体" w:hAnsi="宋体" w:eastAsia="宋体" w:cs="宋体"/>
          <w:b/>
          <w:color w:val="auto"/>
          <w:sz w:val="24"/>
          <w:highlight w:val="none"/>
        </w:rPr>
        <w:t>19、</w:t>
      </w:r>
      <w:bookmarkEnd w:id="265"/>
      <w:bookmarkEnd w:id="266"/>
      <w:bookmarkEnd w:id="267"/>
      <w:bookmarkEnd w:id="268"/>
      <w:bookmarkEnd w:id="269"/>
      <w:bookmarkEnd w:id="270"/>
      <w:bookmarkEnd w:id="271"/>
      <w:bookmarkEnd w:id="272"/>
      <w:bookmarkEnd w:id="273"/>
      <w:bookmarkEnd w:id="274"/>
      <w:bookmarkEnd w:id="275"/>
      <w:bookmarkEnd w:id="276"/>
      <w:bookmarkEnd w:id="277"/>
      <w:bookmarkStart w:id="280" w:name="_Toc530142122"/>
      <w:bookmarkStart w:id="281" w:name="_Toc528250070"/>
      <w:bookmarkStart w:id="282" w:name="_Toc16552_WPSOffice_Level2"/>
      <w:bookmarkStart w:id="283" w:name="_Toc521488932"/>
      <w:bookmarkStart w:id="284" w:name="_Toc30905_WPSOffice_Level2"/>
      <w:bookmarkStart w:id="285" w:name="_Toc4098"/>
      <w:bookmarkStart w:id="286" w:name="_Toc521488532"/>
      <w:bookmarkStart w:id="287" w:name="_Toc521486776"/>
      <w:bookmarkStart w:id="288" w:name="_Toc3774"/>
      <w:bookmarkStart w:id="289" w:name="_Toc22717764"/>
      <w:bookmarkStart w:id="290" w:name="_Toc521488772"/>
      <w:r>
        <w:rPr>
          <w:rFonts w:hint="eastAsia" w:ascii="宋体" w:hAnsi="宋体" w:eastAsia="宋体" w:cs="宋体"/>
          <w:b/>
          <w:color w:val="auto"/>
          <w:sz w:val="24"/>
          <w:highlight w:val="none"/>
        </w:rPr>
        <w:t>质疑程序及处理</w:t>
      </w:r>
      <w:bookmarkEnd w:id="278"/>
      <w:bookmarkEnd w:id="279"/>
    </w:p>
    <w:p w14:paraId="2DC846B6">
      <w:pPr>
        <w:tabs>
          <w:tab w:val="left" w:pos="540"/>
        </w:tabs>
        <w:autoSpaceDE w:val="0"/>
        <w:autoSpaceDN w:val="0"/>
        <w:adjustRightInd w:val="0"/>
        <w:spacing w:line="480" w:lineRule="exact"/>
        <w:ind w:firstLine="480" w:firstLineChars="200"/>
        <w:outlineLvl w:val="9"/>
        <w:rPr>
          <w:rFonts w:hint="eastAsia" w:ascii="宋体" w:hAnsi="宋体" w:eastAsia="宋体" w:cs="宋体"/>
          <w:color w:val="auto"/>
          <w:sz w:val="24"/>
          <w:highlight w:val="none"/>
        </w:rPr>
      </w:pPr>
      <w:bookmarkStart w:id="291" w:name="_Toc127797720"/>
      <w:bookmarkStart w:id="292" w:name="_Toc17187"/>
      <w:bookmarkStart w:id="293" w:name="_Toc50397321"/>
      <w:bookmarkStart w:id="294" w:name="_Toc50397861"/>
      <w:bookmarkStart w:id="295" w:name="_Toc8571"/>
      <w:r>
        <w:rPr>
          <w:rFonts w:hint="eastAsia" w:ascii="宋体" w:hAnsi="宋体" w:eastAsia="宋体" w:cs="宋体"/>
          <w:color w:val="auto"/>
          <w:sz w:val="24"/>
          <w:highlight w:val="none"/>
        </w:rPr>
        <w:t>19.1、 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bookmarkEnd w:id="291"/>
      <w:bookmarkEnd w:id="292"/>
      <w:bookmarkEnd w:id="293"/>
      <w:bookmarkEnd w:id="294"/>
      <w:bookmarkEnd w:id="295"/>
    </w:p>
    <w:p w14:paraId="69880998">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（一）对可以质疑的磋商文件提出质疑的，为收到磋商文件之日或者磋商文件公告期限届满之日；</w:t>
      </w:r>
    </w:p>
    <w:p w14:paraId="51DEBFC9">
      <w:pPr>
        <w:autoSpaceDE w:val="0"/>
        <w:autoSpaceDN w:val="0"/>
        <w:adjustRightInd w:val="0"/>
        <w:spacing w:line="480" w:lineRule="exact"/>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（二）对采购过程提出质疑的，为各采购程序环节结束之日； </w:t>
      </w:r>
    </w:p>
    <w:p w14:paraId="2CA0F665">
      <w:pPr>
        <w:autoSpaceDE w:val="0"/>
        <w:autoSpaceDN w:val="0"/>
        <w:adjustRightInd w:val="0"/>
        <w:spacing w:line="480" w:lineRule="exact"/>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（三）对成交结果提出质疑的，为成交结果公告期限届满之日。 </w:t>
      </w:r>
    </w:p>
    <w:p w14:paraId="4CC5A89F">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19.2、 质疑书应当包括下列主要内容，并按照“谁主张、谁举证”的原则，附上相关证明材料。否则，采购人不予受理： </w:t>
      </w:r>
    </w:p>
    <w:p w14:paraId="6DF7ABE0">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（一）质疑供应商全称、地址、法定代表人、联系人及联系电话、邮政编码等； </w:t>
      </w:r>
    </w:p>
    <w:p w14:paraId="5D00D374">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（二）被质疑采购项目的名称、编号； </w:t>
      </w:r>
    </w:p>
    <w:p w14:paraId="19765749">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（三）质疑的具体事项、明确的请求和主张；</w:t>
      </w:r>
    </w:p>
    <w:p w14:paraId="2CC7AD45">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（四）质疑所依据的法律依据（具体条款）、具体事实和具体理由。质疑书依据理由部分只有主观陈述、推理、猜测等，而没有提供客观事实依据、法律依据的； </w:t>
      </w:r>
    </w:p>
    <w:p w14:paraId="15DF9471">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 </w:t>
      </w:r>
    </w:p>
    <w:p w14:paraId="473AFD63">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（六）充足有效的相关证明材料；如果涉及到产品功能或技术指标的，应出具相关制造商的证明文件； </w:t>
      </w:r>
    </w:p>
    <w:p w14:paraId="4AA95D63">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（七）质疑材料中有外文资料的，应一并附上中文译本，并以中文译本为准。 </w:t>
      </w:r>
    </w:p>
    <w:p w14:paraId="7E2F704D">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（八）提起质疑的日期</w:t>
      </w:r>
    </w:p>
    <w:p w14:paraId="2D4D28BB">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19.3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 </w:t>
      </w:r>
    </w:p>
    <w:p w14:paraId="6E97035D">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19.4、供应商委托代理人办理质疑事宜，应当提交授权委托书，并载明委托代理的具体权限和事项。授权委托书应当由委托人签字并加盖单位公章。 </w:t>
      </w:r>
    </w:p>
    <w:p w14:paraId="49D01BA0">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19.5、 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4CC292E8">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19.6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 </w:t>
      </w:r>
    </w:p>
    <w:p w14:paraId="11BD5566">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14B6B861">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19.8 、采购人将在收到符合上述条件的书面质疑后 7 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4DF090AB">
      <w:pPr>
        <w:autoSpaceDE w:val="0"/>
        <w:autoSpaceDN w:val="0"/>
        <w:adjustRightInd w:val="0"/>
        <w:spacing w:line="46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19.9、 质疑供应商对采购人的答复不满意以及采购人未在规定的时间内做出答复的，可以在答复期满后15个工作日内向财政部门投诉。</w:t>
      </w:r>
    </w:p>
    <w:p w14:paraId="3922ACA1">
      <w:pPr>
        <w:tabs>
          <w:tab w:val="left" w:pos="540"/>
        </w:tabs>
        <w:autoSpaceDE w:val="0"/>
        <w:autoSpaceDN w:val="0"/>
        <w:adjustRightInd w:val="0"/>
        <w:spacing w:line="460" w:lineRule="exact"/>
        <w:ind w:firstLine="482" w:firstLineChars="200"/>
        <w:outlineLvl w:val="9"/>
        <w:rPr>
          <w:rFonts w:hint="eastAsia" w:ascii="宋体" w:hAnsi="宋体" w:eastAsia="宋体" w:cs="宋体"/>
          <w:b/>
          <w:color w:val="auto"/>
          <w:sz w:val="24"/>
          <w:highlight w:val="none"/>
        </w:rPr>
      </w:pPr>
      <w:bookmarkStart w:id="296" w:name="_Toc13440"/>
      <w:bookmarkStart w:id="297" w:name="_Toc127797721"/>
      <w:bookmarkStart w:id="298" w:name="_Toc50397862"/>
      <w:bookmarkStart w:id="299" w:name="_Toc50397322"/>
      <w:bookmarkStart w:id="300" w:name="_Toc21446"/>
      <w:r>
        <w:rPr>
          <w:rFonts w:hint="eastAsia" w:ascii="宋体" w:hAnsi="宋体" w:eastAsia="宋体" w:cs="宋体"/>
          <w:b/>
          <w:color w:val="auto"/>
          <w:sz w:val="24"/>
          <w:highlight w:val="none"/>
        </w:rPr>
        <w:t>20、需要补充的其他内容</w:t>
      </w:r>
      <w:bookmarkEnd w:id="280"/>
      <w:bookmarkEnd w:id="281"/>
      <w:bookmarkEnd w:id="282"/>
      <w:bookmarkEnd w:id="283"/>
      <w:bookmarkEnd w:id="284"/>
      <w:bookmarkEnd w:id="285"/>
      <w:bookmarkEnd w:id="286"/>
      <w:bookmarkEnd w:id="287"/>
      <w:bookmarkEnd w:id="288"/>
      <w:bookmarkEnd w:id="289"/>
      <w:bookmarkEnd w:id="290"/>
      <w:bookmarkEnd w:id="296"/>
      <w:bookmarkEnd w:id="297"/>
      <w:bookmarkEnd w:id="298"/>
      <w:bookmarkEnd w:id="299"/>
      <w:bookmarkEnd w:id="300"/>
    </w:p>
    <w:p w14:paraId="7487831B">
      <w:pPr>
        <w:tabs>
          <w:tab w:val="left" w:pos="540"/>
        </w:tabs>
        <w:autoSpaceDE w:val="0"/>
        <w:autoSpaceDN w:val="0"/>
        <w:adjustRightInd w:val="0"/>
        <w:spacing w:line="460" w:lineRule="exact"/>
        <w:ind w:firstLine="480" w:firstLineChars="200"/>
        <w:outlineLvl w:val="9"/>
        <w:rPr>
          <w:rFonts w:hint="eastAsia" w:ascii="宋体" w:hAnsi="宋体" w:eastAsia="宋体" w:cs="宋体"/>
          <w:color w:val="auto"/>
          <w:sz w:val="24"/>
          <w:highlight w:val="none"/>
        </w:rPr>
      </w:pPr>
      <w:bookmarkStart w:id="301" w:name="_Toc50397323"/>
      <w:bookmarkStart w:id="302" w:name="_Toc3206145"/>
      <w:bookmarkStart w:id="303" w:name="_Toc4248317"/>
      <w:bookmarkStart w:id="304" w:name="_Toc32159"/>
      <w:bookmarkStart w:id="305" w:name="_Toc127797722"/>
      <w:bookmarkStart w:id="306" w:name="_Toc530142123"/>
      <w:bookmarkStart w:id="307" w:name="_Toc22717765"/>
      <w:bookmarkStart w:id="308" w:name="_Toc27186"/>
      <w:bookmarkStart w:id="309" w:name="_Toc50397863"/>
      <w:bookmarkStart w:id="310" w:name="_Toc21437488"/>
      <w:r>
        <w:rPr>
          <w:rFonts w:hint="eastAsia" w:ascii="宋体" w:hAnsi="宋体" w:eastAsia="宋体" w:cs="宋体"/>
          <w:color w:val="auto"/>
          <w:sz w:val="24"/>
          <w:highlight w:val="none"/>
        </w:rPr>
        <w:t>需要补充的其他内容：见&lt;供应商须知前附表&gt;。</w:t>
      </w:r>
      <w:bookmarkEnd w:id="301"/>
      <w:bookmarkEnd w:id="302"/>
      <w:bookmarkEnd w:id="303"/>
      <w:bookmarkEnd w:id="304"/>
      <w:bookmarkEnd w:id="305"/>
      <w:bookmarkEnd w:id="306"/>
      <w:bookmarkEnd w:id="307"/>
      <w:bookmarkEnd w:id="308"/>
      <w:bookmarkEnd w:id="309"/>
      <w:bookmarkEnd w:id="310"/>
    </w:p>
    <w:p w14:paraId="15591D61">
      <w:pPr>
        <w:jc w:val="center"/>
        <w:outlineLvl w:val="0"/>
        <w:rPr>
          <w:rFonts w:hint="eastAsia" w:ascii="宋体" w:hAnsi="宋体" w:eastAsia="宋体" w:cs="宋体"/>
          <w:b/>
          <w:bCs/>
          <w:color w:val="auto"/>
          <w:sz w:val="32"/>
          <w:szCs w:val="32"/>
          <w:highlight w:val="none"/>
        </w:rPr>
      </w:pPr>
      <w:bookmarkStart w:id="311" w:name="_Toc3868"/>
      <w:bookmarkStart w:id="312" w:name="_Toc23881"/>
      <w:bookmarkStart w:id="313" w:name="_Toc121405492"/>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val="en-US" w:eastAsia="zh-CN"/>
        </w:rPr>
        <w:t>服务内容</w:t>
      </w:r>
      <w:r>
        <w:rPr>
          <w:rFonts w:hint="eastAsia" w:ascii="宋体" w:hAnsi="宋体" w:eastAsia="宋体" w:cs="宋体"/>
          <w:b/>
          <w:bCs/>
          <w:color w:val="auto"/>
          <w:sz w:val="32"/>
          <w:szCs w:val="32"/>
          <w:highlight w:val="none"/>
        </w:rPr>
        <w:t>及要求</w:t>
      </w:r>
      <w:bookmarkEnd w:id="311"/>
      <w:bookmarkEnd w:id="312"/>
      <w:bookmarkEnd w:id="313"/>
    </w:p>
    <w:bookmarkEnd w:id="19"/>
    <w:bookmarkEnd w:id="20"/>
    <w:bookmarkEnd w:id="21"/>
    <w:bookmarkEnd w:id="22"/>
    <w:bookmarkEnd w:id="23"/>
    <w:bookmarkEnd w:id="24"/>
    <w:bookmarkEnd w:id="25"/>
    <w:bookmarkEnd w:id="26"/>
    <w:p w14:paraId="1A565012">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bookmarkStart w:id="314" w:name="_Toc16520166"/>
      <w:bookmarkStart w:id="315" w:name="_Toc121405493"/>
      <w:bookmarkStart w:id="316" w:name="_Toc16520678"/>
      <w:bookmarkStart w:id="317" w:name="_Toc495647412"/>
      <w:bookmarkStart w:id="318" w:name="_Toc508179885"/>
      <w:bookmarkStart w:id="319" w:name="_Toc523220934"/>
      <w:r>
        <w:rPr>
          <w:rFonts w:hint="eastAsia" w:ascii="宋体" w:hAnsi="宋体" w:eastAsia="宋体" w:cs="宋体"/>
          <w:color w:val="auto"/>
          <w:sz w:val="24"/>
          <w:szCs w:val="24"/>
          <w:highlight w:val="none"/>
          <w:lang w:val="zh-CN" w:eastAsia="zh-CN" w:bidi="zh-CN"/>
        </w:rPr>
        <w:t>一、项目基本情况</w:t>
      </w:r>
    </w:p>
    <w:p w14:paraId="4CE7E630">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1、项目编号：</w:t>
      </w:r>
      <w:r>
        <w:rPr>
          <w:rFonts w:hint="eastAsia" w:ascii="宋体" w:hAnsi="宋体" w:cs="宋体"/>
          <w:color w:val="auto"/>
          <w:sz w:val="24"/>
          <w:szCs w:val="24"/>
          <w:highlight w:val="none"/>
          <w:lang w:val="zh-CN" w:eastAsia="zh-CN" w:bidi="zh-CN"/>
        </w:rPr>
        <w:t>LBGZ[2026]019-ZC018、灵宝竞磋采购-2026-9</w:t>
      </w:r>
    </w:p>
    <w:p w14:paraId="6C1BE237">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2、项目名称：</w:t>
      </w:r>
      <w:r>
        <w:rPr>
          <w:rFonts w:hint="eastAsia" w:ascii="宋体" w:hAnsi="宋体" w:cs="宋体"/>
          <w:color w:val="auto"/>
          <w:sz w:val="24"/>
          <w:szCs w:val="24"/>
          <w:highlight w:val="none"/>
          <w:lang w:val="zh-CN" w:eastAsia="zh-CN" w:bidi="zh-CN"/>
        </w:rPr>
        <w:t>灵宝市2025年度永久基本农田年度评估调整补划及永久基本农田储备区划定更新项目</w:t>
      </w:r>
    </w:p>
    <w:p w14:paraId="00644FE2">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3、采购方式：竞争性磋商</w:t>
      </w:r>
    </w:p>
    <w:p w14:paraId="05B1551D">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4、预算金额：</w:t>
      </w:r>
      <w:r>
        <w:rPr>
          <w:rFonts w:hint="eastAsia" w:ascii="宋体" w:hAnsi="宋体" w:cs="宋体"/>
          <w:color w:val="auto"/>
          <w:sz w:val="24"/>
          <w:szCs w:val="24"/>
          <w:highlight w:val="none"/>
          <w:lang w:val="en-US" w:eastAsia="zh-CN" w:bidi="zh-CN"/>
        </w:rPr>
        <w:t>86.13</w:t>
      </w:r>
      <w:r>
        <w:rPr>
          <w:rFonts w:hint="eastAsia" w:ascii="宋体" w:hAnsi="宋体" w:eastAsia="宋体" w:cs="宋体"/>
          <w:color w:val="auto"/>
          <w:sz w:val="24"/>
          <w:szCs w:val="24"/>
          <w:highlight w:val="none"/>
          <w:lang w:val="en-US" w:eastAsia="zh-CN" w:bidi="zh-CN"/>
        </w:rPr>
        <w:t>万元</w:t>
      </w:r>
    </w:p>
    <w:p w14:paraId="74412FBD">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5、采购需求（包括但不限于标的的名称、数量、简要技术需求或服务要求等）</w:t>
      </w:r>
    </w:p>
    <w:p w14:paraId="77240435">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5.1采购内容：</w:t>
      </w:r>
      <w:r>
        <w:rPr>
          <w:rFonts w:hint="eastAsia" w:ascii="宋体" w:hAnsi="宋体" w:cs="宋体"/>
          <w:color w:val="auto"/>
          <w:sz w:val="24"/>
          <w:szCs w:val="24"/>
          <w:highlight w:val="none"/>
          <w:lang w:eastAsia="zh-CN"/>
        </w:rPr>
        <w:t>灵宝市2025年度永久基本农田年度评估调整补划及永久基本农田储备区划定更新项目</w:t>
      </w:r>
      <w:r>
        <w:rPr>
          <w:rFonts w:hint="eastAsia" w:ascii="宋体" w:hAnsi="宋体" w:cs="宋体"/>
          <w:color w:val="auto"/>
          <w:sz w:val="24"/>
          <w:szCs w:val="24"/>
          <w:highlight w:val="none"/>
        </w:rPr>
        <w:t>；具体内容详见磋商文件</w:t>
      </w:r>
      <w:r>
        <w:rPr>
          <w:rFonts w:hint="eastAsia" w:ascii="宋体" w:hAnsi="宋体" w:eastAsia="宋体" w:cs="宋体"/>
          <w:color w:val="auto"/>
          <w:sz w:val="24"/>
          <w:szCs w:val="24"/>
          <w:highlight w:val="none"/>
          <w:lang w:val="zh-CN" w:eastAsia="zh-CN" w:bidi="zh-CN"/>
        </w:rPr>
        <w:t>。</w:t>
      </w:r>
    </w:p>
    <w:p w14:paraId="074B3F03">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5.2标段划分：一个标段</w:t>
      </w:r>
    </w:p>
    <w:p w14:paraId="29CC4619">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5.</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val="zh-CN" w:eastAsia="zh-CN" w:bidi="zh-CN"/>
        </w:rPr>
        <w:t>服务地点：采购人指定地点</w:t>
      </w:r>
    </w:p>
    <w:p w14:paraId="08A329F0">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5.</w:t>
      </w: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val="zh-CN" w:eastAsia="zh-CN" w:bidi="zh-CN"/>
        </w:rPr>
        <w:t>服务质量：符合现行国家规程、地方技术方案及相关标准的规定，质量要求达到合格，通过上级行政主管部门的评审及验收</w:t>
      </w:r>
    </w:p>
    <w:p w14:paraId="51EB5717">
      <w:pPr>
        <w:spacing w:line="360" w:lineRule="auto"/>
        <w:ind w:firstLine="480" w:firstLineChars="200"/>
        <w:jc w:val="left"/>
        <w:rPr>
          <w:rFonts w:hint="default"/>
          <w:color w:val="auto"/>
          <w:sz w:val="24"/>
          <w:szCs w:val="24"/>
          <w:highlight w:val="none"/>
          <w:lang w:val="en-US" w:eastAsia="zh-CN"/>
        </w:rPr>
      </w:pPr>
      <w:r>
        <w:rPr>
          <w:rFonts w:hint="eastAsia" w:ascii="宋体" w:hAnsi="宋体" w:eastAsia="宋体" w:cs="宋体"/>
          <w:color w:val="auto"/>
          <w:sz w:val="24"/>
          <w:szCs w:val="24"/>
          <w:highlight w:val="none"/>
          <w:lang w:val="en-US" w:eastAsia="zh-CN" w:bidi="zh-CN"/>
        </w:rPr>
        <w:t>5.5资金来源：财政资金，已落实。</w:t>
      </w:r>
    </w:p>
    <w:p w14:paraId="0CFF7904">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zh-CN" w:eastAsia="zh-CN" w:bidi="zh-CN"/>
        </w:rPr>
        <w:t>6、服务期限：</w:t>
      </w:r>
      <w:r>
        <w:rPr>
          <w:rFonts w:hint="eastAsia" w:ascii="宋体" w:hAnsi="宋体" w:cs="宋体"/>
          <w:color w:val="auto"/>
          <w:sz w:val="24"/>
          <w:szCs w:val="24"/>
          <w:highlight w:val="none"/>
          <w:lang w:val="zh-CN" w:eastAsia="zh-CN" w:bidi="zh-CN"/>
        </w:rPr>
        <w:t>自签订合同之日起240日历天完成项目服务并提交成果；</w:t>
      </w:r>
    </w:p>
    <w:p w14:paraId="3F7C9361">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7</w:t>
      </w:r>
      <w:r>
        <w:rPr>
          <w:rFonts w:hint="eastAsia" w:ascii="宋体" w:hAnsi="宋体" w:eastAsia="宋体" w:cs="宋体"/>
          <w:color w:val="auto"/>
          <w:sz w:val="24"/>
          <w:szCs w:val="24"/>
          <w:highlight w:val="none"/>
          <w:lang w:val="zh-CN" w:eastAsia="zh-CN" w:bidi="zh-CN"/>
        </w:rPr>
        <w:t>、本项目是否接受联合体投标：否</w:t>
      </w:r>
    </w:p>
    <w:p w14:paraId="3A4B67E4">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zh-CN"/>
        </w:rPr>
        <w:t>8</w:t>
      </w:r>
      <w:r>
        <w:rPr>
          <w:rFonts w:hint="eastAsia" w:ascii="宋体" w:hAnsi="宋体" w:eastAsia="宋体" w:cs="宋体"/>
          <w:color w:val="auto"/>
          <w:sz w:val="24"/>
          <w:szCs w:val="24"/>
          <w:highlight w:val="none"/>
          <w:lang w:val="zh-CN" w:eastAsia="zh-CN" w:bidi="zh-CN"/>
        </w:rPr>
        <w:t>、是否接受进口产品：否</w:t>
      </w:r>
    </w:p>
    <w:p w14:paraId="5102A16B">
      <w:pPr>
        <w:widowControl/>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服务内容：</w:t>
      </w:r>
    </w:p>
    <w:p w14:paraId="43F12F36">
      <w:pPr>
        <w:widowControl/>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永久基本农田保护红线管理办法》(中华人民共和国自然资源部中华人民共和国农业农村部令第17号)、《中共中央办公厅、国务院办公厅关于印发&lt;逐步把永久基本农田建成高标准农田实施方案&gt;的通知》(中办发[2025]13号)及《河南省自然资源厅河南省农业农村厅关于严格规范永久基本农田保护红线优化调整工作的通知》(豫自然资发[2025]53号)文件精神，我市需结合国土空间规划实施年度体检工作，对辖区内永久基本农田的保护状况、利用情况及质量水平等开展年度评估;依据评估结果，若确需对少量永久基本农田布局进行优化调整，需在坚守永久基本农田保护红线整体稳定、保障国土空间规划确定的保护任务不突破的前提下，以实现布局集中连片、提升耕地质量为目标导向，明确允许优化调整的具体情形、操作程序与执行规则，以此兼顾耕地保护的刚性要求与农业生产的灵活需求。</w:t>
      </w:r>
    </w:p>
    <w:p w14:paraId="0CECE970">
      <w:pPr>
        <w:widowControl/>
        <w:spacing w:line="360" w:lineRule="auto"/>
        <w:ind w:firstLine="484" w:firstLineChars="202"/>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在确保国土空间规划确定的永久基本农田保护任务不突破，对永久基本农田内存在的划定不合理、耕地质量不高、零星破碎地块整合调整;对于误划入永久基本农田问题纠错，维护群众和社会主体的合法利益;对现代农业发展开展必要的灌溉和排水设施、农村道路等配套设施建设，积极提供保障的渠道，促进集中连片，布局优化调整、质量提升</w:t>
      </w:r>
      <w:r>
        <w:rPr>
          <w:rFonts w:hint="eastAsia" w:ascii="宋体" w:hAnsi="宋体" w:eastAsia="宋体" w:cs="宋体"/>
          <w:color w:val="auto"/>
          <w:sz w:val="24"/>
          <w:szCs w:val="24"/>
          <w:highlight w:val="none"/>
          <w:lang w:eastAsia="zh-CN"/>
        </w:rPr>
        <w:t>。</w:t>
      </w:r>
    </w:p>
    <w:p w14:paraId="0F993EE7">
      <w:pPr>
        <w:widowControl/>
        <w:spacing w:line="360" w:lineRule="auto"/>
        <w:ind w:firstLine="484" w:firstLineChars="20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三、技术要求：</w:t>
      </w:r>
    </w:p>
    <w:p w14:paraId="3EA2812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1、年度评估：对永久基本农田的保护、利用和质量状况进行全面评估，确保符合国家耕地保护标准。</w:t>
      </w:r>
    </w:p>
    <w:p w14:paraId="4D97CB9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2、调整补划：遵循"数量不减、质量不降、布局优化、生态改善"原则，优化永久基本农田布局，并落实补划任务。</w:t>
      </w:r>
    </w:p>
    <w:p w14:paraId="7DE8C42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3、储备区划定更新：优先将土地综合整治新增耕地、高标准农田等优质耕地划入储备区，并动态更新数据库。</w:t>
      </w:r>
    </w:p>
    <w:p w14:paraId="75F93284">
      <w:pPr>
        <w:widowControl/>
        <w:spacing w:line="360" w:lineRule="auto"/>
        <w:ind w:firstLine="484" w:firstLineChars="202"/>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4、数据库更新：完成评估和调整后，将成果数据纳入自然资源部永久基本农田数据库，确保信息实时同步</w:t>
      </w:r>
      <w:r>
        <w:rPr>
          <w:rFonts w:hint="eastAsia" w:ascii="宋体" w:hAnsi="宋体" w:eastAsia="宋体" w:cs="宋体"/>
          <w:color w:val="auto"/>
          <w:sz w:val="24"/>
          <w:szCs w:val="24"/>
          <w:highlight w:val="none"/>
          <w:lang w:val="en-US" w:eastAsia="zh-CN"/>
        </w:rPr>
        <w:t>。</w:t>
      </w:r>
    </w:p>
    <w:p w14:paraId="71257ACA">
      <w:pPr>
        <w:widowControl/>
        <w:spacing w:line="360" w:lineRule="auto"/>
        <w:ind w:firstLine="649" w:firstLineChars="202"/>
        <w:jc w:val="center"/>
        <w:rPr>
          <w:rFonts w:hint="eastAsia" w:ascii="宋体" w:hAnsi="宋体" w:eastAsia="宋体" w:cs="宋体"/>
          <w:b/>
          <w:bCs/>
          <w:color w:val="auto"/>
          <w:sz w:val="32"/>
          <w:szCs w:val="32"/>
          <w:highlight w:val="none"/>
        </w:rPr>
      </w:pPr>
      <w:bookmarkStart w:id="320" w:name="_Toc22500"/>
      <w:bookmarkStart w:id="321" w:name="_Toc10931"/>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第四章  评审办法</w:t>
      </w:r>
      <w:bookmarkEnd w:id="314"/>
      <w:bookmarkEnd w:id="315"/>
      <w:bookmarkEnd w:id="316"/>
      <w:bookmarkEnd w:id="317"/>
      <w:bookmarkEnd w:id="320"/>
      <w:bookmarkEnd w:id="321"/>
    </w:p>
    <w:p w14:paraId="25ECA8B1">
      <w:pPr>
        <w:spacing w:line="480" w:lineRule="exact"/>
        <w:ind w:firstLine="482" w:firstLineChars="200"/>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初步评审</w:t>
      </w:r>
    </w:p>
    <w:tbl>
      <w:tblPr>
        <w:tblStyle w:val="16"/>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07"/>
        <w:gridCol w:w="2554"/>
        <w:gridCol w:w="4960"/>
      </w:tblGrid>
      <w:tr w14:paraId="5E1D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28C3B384">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7627D9A1">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4960" w:type="dxa"/>
            <w:tcBorders>
              <w:top w:val="single" w:color="auto" w:sz="4" w:space="0"/>
              <w:left w:val="single" w:color="auto" w:sz="4" w:space="0"/>
              <w:bottom w:val="single" w:color="auto" w:sz="4" w:space="0"/>
              <w:right w:val="single" w:color="auto" w:sz="4" w:space="0"/>
            </w:tcBorders>
            <w:noWrap w:val="0"/>
            <w:vAlign w:val="center"/>
          </w:tcPr>
          <w:p w14:paraId="00C8622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65BE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restart"/>
            <w:tcBorders>
              <w:top w:val="single" w:color="auto" w:sz="4" w:space="0"/>
              <w:left w:val="single" w:color="auto" w:sz="4" w:space="0"/>
              <w:right w:val="single" w:color="auto" w:sz="4" w:space="0"/>
            </w:tcBorders>
            <w:noWrap w:val="0"/>
            <w:vAlign w:val="center"/>
          </w:tcPr>
          <w:p w14:paraId="5A20AF9B">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2.1.1</w:t>
            </w:r>
          </w:p>
        </w:tc>
        <w:tc>
          <w:tcPr>
            <w:tcW w:w="1007" w:type="dxa"/>
            <w:vMerge w:val="restart"/>
            <w:tcBorders>
              <w:top w:val="single" w:color="auto" w:sz="4" w:space="0"/>
              <w:left w:val="single" w:color="auto" w:sz="4" w:space="0"/>
              <w:right w:val="single" w:color="auto" w:sz="4" w:space="0"/>
            </w:tcBorders>
            <w:noWrap w:val="0"/>
            <w:vAlign w:val="center"/>
          </w:tcPr>
          <w:p w14:paraId="38112D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资格性审查标准</w:t>
            </w:r>
          </w:p>
        </w:tc>
        <w:tc>
          <w:tcPr>
            <w:tcW w:w="2554" w:type="dxa"/>
            <w:tcBorders>
              <w:top w:val="single" w:color="auto" w:sz="4" w:space="0"/>
              <w:left w:val="single" w:color="auto" w:sz="4" w:space="0"/>
              <w:right w:val="single" w:color="auto" w:sz="4" w:space="0"/>
            </w:tcBorders>
            <w:noWrap w:val="0"/>
            <w:vAlign w:val="center"/>
          </w:tcPr>
          <w:p w14:paraId="64ED2777">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满足《中华人民共和国政府采购法》第二十二条规定</w:t>
            </w:r>
          </w:p>
        </w:tc>
        <w:tc>
          <w:tcPr>
            <w:tcW w:w="4960" w:type="dxa"/>
            <w:tcBorders>
              <w:top w:val="single" w:color="auto" w:sz="4" w:space="0"/>
              <w:left w:val="single" w:color="auto" w:sz="4" w:space="0"/>
              <w:right w:val="single" w:color="auto" w:sz="4" w:space="0"/>
            </w:tcBorders>
            <w:noWrap w:val="0"/>
            <w:vAlign w:val="center"/>
          </w:tcPr>
          <w:p w14:paraId="1FAEAB0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提供证明材料或自行承诺（承诺格式自拟）</w:t>
            </w:r>
            <w:r>
              <w:rPr>
                <w:rFonts w:hint="eastAsia" w:ascii="宋体" w:hAnsi="宋体" w:eastAsia="宋体" w:cs="宋体"/>
                <w:color w:val="auto"/>
                <w:sz w:val="24"/>
                <w:szCs w:val="24"/>
                <w:highlight w:val="none"/>
              </w:rPr>
              <w:t>；</w:t>
            </w:r>
          </w:p>
        </w:tc>
      </w:tr>
      <w:tr w14:paraId="2B55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noWrap w:val="0"/>
            <w:vAlign w:val="center"/>
          </w:tcPr>
          <w:p w14:paraId="1D99004A">
            <w:pPr>
              <w:spacing w:line="360" w:lineRule="auto"/>
              <w:jc w:val="center"/>
              <w:rPr>
                <w:rFonts w:hint="eastAsia" w:ascii="宋体" w:hAnsi="宋体" w:eastAsia="宋体" w:cs="宋体"/>
                <w:bCs/>
                <w:color w:val="auto"/>
                <w:sz w:val="24"/>
                <w:szCs w:val="24"/>
                <w:highlight w:val="none"/>
                <w:lang w:val="en-US" w:eastAsia="zh-CN"/>
              </w:rPr>
            </w:pPr>
          </w:p>
        </w:tc>
        <w:tc>
          <w:tcPr>
            <w:tcW w:w="1007" w:type="dxa"/>
            <w:vMerge w:val="continue"/>
            <w:tcBorders>
              <w:left w:val="single" w:color="auto" w:sz="4" w:space="0"/>
              <w:right w:val="single" w:color="auto" w:sz="4" w:space="0"/>
            </w:tcBorders>
            <w:noWrap w:val="0"/>
            <w:vAlign w:val="center"/>
          </w:tcPr>
          <w:p w14:paraId="04F08152">
            <w:pPr>
              <w:spacing w:line="360" w:lineRule="auto"/>
              <w:jc w:val="center"/>
              <w:rPr>
                <w:rFonts w:hint="eastAsia" w:ascii="宋体" w:hAnsi="宋体" w:eastAsia="宋体" w:cs="宋体"/>
                <w:color w:val="auto"/>
                <w:sz w:val="24"/>
                <w:szCs w:val="24"/>
                <w:highlight w:val="none"/>
                <w:lang w:val="en-US" w:eastAsia="zh-CN"/>
              </w:rPr>
            </w:pPr>
          </w:p>
        </w:tc>
        <w:tc>
          <w:tcPr>
            <w:tcW w:w="2554" w:type="dxa"/>
            <w:tcBorders>
              <w:top w:val="single" w:color="auto" w:sz="4" w:space="0"/>
              <w:left w:val="single" w:color="auto" w:sz="4" w:space="0"/>
              <w:right w:val="single" w:color="auto" w:sz="4" w:space="0"/>
            </w:tcBorders>
            <w:noWrap w:val="0"/>
            <w:vAlign w:val="center"/>
          </w:tcPr>
          <w:p w14:paraId="2A951C9C">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中小企业声明函</w:t>
            </w:r>
          </w:p>
        </w:tc>
        <w:tc>
          <w:tcPr>
            <w:tcW w:w="4960" w:type="dxa"/>
            <w:tcBorders>
              <w:top w:val="single" w:color="auto" w:sz="4" w:space="0"/>
              <w:left w:val="single" w:color="auto" w:sz="4" w:space="0"/>
              <w:right w:val="single" w:color="auto" w:sz="4" w:space="0"/>
            </w:tcBorders>
            <w:noWrap w:val="0"/>
            <w:vAlign w:val="center"/>
          </w:tcPr>
          <w:p w14:paraId="687D3478">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本项目专门面向中小企业采购,投标供应商须提供《中小企业声明函》</w:t>
            </w:r>
          </w:p>
        </w:tc>
      </w:tr>
      <w:tr w14:paraId="7CDB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noWrap w:val="0"/>
            <w:vAlign w:val="center"/>
          </w:tcPr>
          <w:p w14:paraId="35B9E22C">
            <w:pPr>
              <w:spacing w:line="360" w:lineRule="auto"/>
              <w:jc w:val="center"/>
              <w:rPr>
                <w:rFonts w:hint="eastAsia" w:ascii="宋体" w:hAnsi="宋体" w:eastAsia="宋体" w:cs="宋体"/>
                <w:bCs/>
                <w:color w:val="auto"/>
                <w:sz w:val="24"/>
                <w:szCs w:val="24"/>
                <w:highlight w:val="none"/>
                <w:lang w:val="en-US" w:eastAsia="zh-CN"/>
              </w:rPr>
            </w:pPr>
          </w:p>
        </w:tc>
        <w:tc>
          <w:tcPr>
            <w:tcW w:w="1007" w:type="dxa"/>
            <w:vMerge w:val="continue"/>
            <w:tcBorders>
              <w:left w:val="single" w:color="auto" w:sz="4" w:space="0"/>
              <w:right w:val="single" w:color="auto" w:sz="4" w:space="0"/>
            </w:tcBorders>
            <w:noWrap w:val="0"/>
            <w:vAlign w:val="center"/>
          </w:tcPr>
          <w:p w14:paraId="520772CD">
            <w:pPr>
              <w:spacing w:line="360" w:lineRule="auto"/>
              <w:jc w:val="center"/>
              <w:rPr>
                <w:rFonts w:hint="eastAsia" w:ascii="宋体" w:hAnsi="宋体" w:eastAsia="宋体" w:cs="宋体"/>
                <w:color w:val="auto"/>
                <w:sz w:val="24"/>
                <w:szCs w:val="24"/>
                <w:highlight w:val="none"/>
                <w:lang w:val="en-US" w:eastAsia="zh-CN"/>
              </w:rPr>
            </w:pPr>
          </w:p>
        </w:tc>
        <w:tc>
          <w:tcPr>
            <w:tcW w:w="2554" w:type="dxa"/>
            <w:tcBorders>
              <w:top w:val="single" w:color="auto" w:sz="4" w:space="0"/>
              <w:left w:val="single" w:color="auto" w:sz="4" w:space="0"/>
              <w:right w:val="single" w:color="auto" w:sz="4" w:space="0"/>
            </w:tcBorders>
            <w:noWrap w:val="0"/>
            <w:vAlign w:val="center"/>
          </w:tcPr>
          <w:p w14:paraId="716F25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w:t>
            </w:r>
          </w:p>
          <w:p w14:paraId="4AE12928">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文件</w:t>
            </w:r>
          </w:p>
        </w:tc>
        <w:tc>
          <w:tcPr>
            <w:tcW w:w="4960" w:type="dxa"/>
            <w:tcBorders>
              <w:top w:val="single" w:color="auto" w:sz="4" w:space="0"/>
              <w:left w:val="single" w:color="auto" w:sz="4" w:space="0"/>
              <w:right w:val="single" w:color="auto" w:sz="4" w:space="0"/>
            </w:tcBorders>
            <w:noWrap w:val="0"/>
            <w:vAlign w:val="center"/>
          </w:tcPr>
          <w:p w14:paraId="0FF3ED1C">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投标供应商具有独立承担民事责任的能力（具有有效的营业执照或事业单位法人证书）；</w:t>
            </w:r>
          </w:p>
        </w:tc>
      </w:tr>
      <w:tr w14:paraId="5EEE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noWrap w:val="0"/>
            <w:vAlign w:val="center"/>
          </w:tcPr>
          <w:p w14:paraId="145C172B">
            <w:pPr>
              <w:spacing w:line="360" w:lineRule="auto"/>
              <w:jc w:val="center"/>
              <w:rPr>
                <w:rFonts w:hint="eastAsia" w:ascii="宋体" w:hAnsi="宋体" w:eastAsia="宋体" w:cs="宋体"/>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2ED84406">
            <w:pPr>
              <w:spacing w:line="360" w:lineRule="auto"/>
              <w:jc w:val="center"/>
              <w:rPr>
                <w:rFonts w:hint="eastAsia" w:ascii="宋体" w:hAnsi="宋体" w:eastAsia="宋体" w:cs="宋体"/>
                <w:color w:val="auto"/>
                <w:sz w:val="24"/>
                <w:szCs w:val="24"/>
                <w:highlight w:val="none"/>
              </w:rPr>
            </w:pPr>
          </w:p>
        </w:tc>
        <w:tc>
          <w:tcPr>
            <w:tcW w:w="2554" w:type="dxa"/>
            <w:tcBorders>
              <w:top w:val="single" w:color="auto" w:sz="4" w:space="0"/>
              <w:left w:val="single" w:color="auto" w:sz="4" w:space="0"/>
              <w:right w:val="single" w:color="auto" w:sz="4" w:space="0"/>
            </w:tcBorders>
            <w:noWrap w:val="0"/>
            <w:vAlign w:val="center"/>
          </w:tcPr>
          <w:p w14:paraId="0433D50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w:t>
            </w:r>
          </w:p>
        </w:tc>
        <w:tc>
          <w:tcPr>
            <w:tcW w:w="4960" w:type="dxa"/>
            <w:tcBorders>
              <w:top w:val="single" w:color="auto" w:sz="4" w:space="0"/>
              <w:left w:val="single" w:color="auto" w:sz="4" w:space="0"/>
              <w:right w:val="single" w:color="auto" w:sz="4" w:space="0"/>
            </w:tcBorders>
            <w:noWrap w:val="0"/>
            <w:vAlign w:val="center"/>
          </w:tcPr>
          <w:p w14:paraId="14FCFC45">
            <w:pPr>
              <w:spacing w:line="6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供应商须同时具备行政主管部门核准和颁发的测绘乙级（含）及以上资质和土地规划乙级（含）及以上资质（因国家机构改革而暂停审批的规划资质证书，提供相应证明视同继续有效）</w:t>
            </w:r>
            <w:r>
              <w:rPr>
                <w:rFonts w:hint="eastAsia" w:ascii="宋体" w:hAnsi="宋体" w:eastAsia="宋体" w:cs="宋体"/>
                <w:color w:val="auto"/>
                <w:sz w:val="24"/>
                <w:szCs w:val="24"/>
                <w:highlight w:val="none"/>
              </w:rPr>
              <w:t>；</w:t>
            </w:r>
          </w:p>
        </w:tc>
      </w:tr>
      <w:tr w14:paraId="3FCC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noWrap w:val="0"/>
            <w:vAlign w:val="center"/>
          </w:tcPr>
          <w:p w14:paraId="247D1ACD">
            <w:pPr>
              <w:spacing w:line="360" w:lineRule="auto"/>
              <w:jc w:val="center"/>
              <w:rPr>
                <w:rFonts w:hint="eastAsia" w:ascii="宋体" w:hAnsi="宋体" w:eastAsia="宋体" w:cs="宋体"/>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768DFD7B">
            <w:pPr>
              <w:spacing w:line="360" w:lineRule="auto"/>
              <w:jc w:val="center"/>
              <w:rPr>
                <w:rFonts w:hint="eastAsia" w:ascii="宋体" w:hAnsi="宋体" w:eastAsia="宋体" w:cs="宋体"/>
                <w:color w:val="auto"/>
                <w:sz w:val="24"/>
                <w:szCs w:val="24"/>
                <w:highlight w:val="none"/>
              </w:rPr>
            </w:pPr>
          </w:p>
        </w:tc>
        <w:tc>
          <w:tcPr>
            <w:tcW w:w="2554" w:type="dxa"/>
            <w:tcBorders>
              <w:top w:val="single" w:color="auto" w:sz="4" w:space="0"/>
              <w:left w:val="single" w:color="auto" w:sz="4" w:space="0"/>
              <w:right w:val="single" w:color="auto" w:sz="4" w:space="0"/>
            </w:tcBorders>
            <w:noWrap w:val="0"/>
            <w:vAlign w:val="center"/>
          </w:tcPr>
          <w:p w14:paraId="5E90143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4960" w:type="dxa"/>
            <w:tcBorders>
              <w:top w:val="single" w:color="auto" w:sz="4" w:space="0"/>
              <w:left w:val="single" w:color="auto" w:sz="4" w:space="0"/>
              <w:right w:val="single" w:color="auto" w:sz="4" w:space="0"/>
            </w:tcBorders>
            <w:noWrap w:val="0"/>
            <w:vAlign w:val="center"/>
          </w:tcPr>
          <w:p w14:paraId="1DF1553A">
            <w:pPr>
              <w:tabs>
                <w:tab w:val="left" w:pos="3686"/>
              </w:tabs>
              <w:spacing w:line="6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拟派项目负责人须具备相关专业中级及以上技术职称及单位养老保险缴费证明</w:t>
            </w:r>
          </w:p>
        </w:tc>
      </w:tr>
      <w:tr w14:paraId="6411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16" w:type="dxa"/>
            <w:vMerge w:val="continue"/>
            <w:tcBorders>
              <w:left w:val="single" w:color="auto" w:sz="4" w:space="0"/>
              <w:right w:val="single" w:color="auto" w:sz="4" w:space="0"/>
            </w:tcBorders>
            <w:noWrap w:val="0"/>
            <w:vAlign w:val="center"/>
          </w:tcPr>
          <w:p w14:paraId="13225435">
            <w:pPr>
              <w:spacing w:line="360" w:lineRule="auto"/>
              <w:jc w:val="center"/>
              <w:rPr>
                <w:rFonts w:hint="eastAsia" w:ascii="宋体" w:hAnsi="宋体" w:eastAsia="宋体" w:cs="宋体"/>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1306B03E">
            <w:pPr>
              <w:spacing w:line="360" w:lineRule="auto"/>
              <w:jc w:val="center"/>
              <w:rPr>
                <w:rFonts w:hint="eastAsia" w:ascii="宋体" w:hAnsi="宋体" w:eastAsia="宋体" w:cs="宋体"/>
                <w:color w:val="auto"/>
                <w:sz w:val="24"/>
                <w:szCs w:val="24"/>
                <w:highlight w:val="none"/>
              </w:rPr>
            </w:pPr>
          </w:p>
        </w:tc>
        <w:tc>
          <w:tcPr>
            <w:tcW w:w="2554" w:type="dxa"/>
            <w:tcBorders>
              <w:top w:val="single" w:color="auto" w:sz="4" w:space="0"/>
              <w:left w:val="single" w:color="auto" w:sz="4" w:space="0"/>
              <w:right w:val="single" w:color="auto" w:sz="4" w:space="0"/>
            </w:tcBorders>
            <w:noWrap w:val="0"/>
            <w:vAlign w:val="center"/>
          </w:tcPr>
          <w:p w14:paraId="4534E74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本企业无商业贿赂和不正当竞争行为</w:t>
            </w:r>
          </w:p>
        </w:tc>
        <w:tc>
          <w:tcPr>
            <w:tcW w:w="4960" w:type="dxa"/>
            <w:tcBorders>
              <w:top w:val="single" w:color="auto" w:sz="4" w:space="0"/>
              <w:left w:val="single" w:color="auto" w:sz="4" w:space="0"/>
              <w:right w:val="single" w:color="auto" w:sz="4" w:space="0"/>
            </w:tcBorders>
            <w:noWrap w:val="0"/>
            <w:vAlign w:val="center"/>
          </w:tcPr>
          <w:p w14:paraId="033786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本企业无商业贿赂和不正当竞争行为</w:t>
            </w:r>
            <w:r>
              <w:rPr>
                <w:rFonts w:hint="eastAsia" w:ascii="宋体" w:hAnsi="宋体" w:eastAsia="宋体" w:cs="宋体"/>
                <w:color w:val="auto"/>
                <w:sz w:val="24"/>
                <w:szCs w:val="24"/>
                <w:highlight w:val="none"/>
                <w:lang w:val="en-US" w:eastAsia="zh-CN"/>
              </w:rPr>
              <w:t>承诺书</w:t>
            </w:r>
            <w:r>
              <w:rPr>
                <w:rFonts w:hint="eastAsia" w:ascii="宋体" w:hAnsi="宋体" w:eastAsia="宋体" w:cs="宋体"/>
                <w:color w:val="auto"/>
                <w:sz w:val="24"/>
                <w:szCs w:val="24"/>
                <w:highlight w:val="none"/>
              </w:rPr>
              <w:t>；</w:t>
            </w:r>
          </w:p>
        </w:tc>
      </w:tr>
      <w:tr w14:paraId="527C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16" w:type="dxa"/>
            <w:vMerge w:val="continue"/>
            <w:tcBorders>
              <w:left w:val="single" w:color="auto" w:sz="4" w:space="0"/>
              <w:right w:val="single" w:color="auto" w:sz="4" w:space="0"/>
            </w:tcBorders>
            <w:noWrap w:val="0"/>
            <w:vAlign w:val="center"/>
          </w:tcPr>
          <w:p w14:paraId="62E87FD5">
            <w:pPr>
              <w:spacing w:line="360" w:lineRule="auto"/>
              <w:jc w:val="center"/>
              <w:rPr>
                <w:rFonts w:hint="eastAsia" w:ascii="宋体" w:hAnsi="宋体" w:eastAsia="宋体" w:cs="宋体"/>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40DB38BB">
            <w:pPr>
              <w:spacing w:line="360" w:lineRule="auto"/>
              <w:jc w:val="center"/>
              <w:rPr>
                <w:rFonts w:hint="eastAsia" w:ascii="宋体" w:hAnsi="宋体" w:eastAsia="宋体" w:cs="宋体"/>
                <w:color w:val="auto"/>
                <w:sz w:val="24"/>
                <w:szCs w:val="24"/>
                <w:highlight w:val="none"/>
              </w:rPr>
            </w:pPr>
          </w:p>
        </w:tc>
        <w:tc>
          <w:tcPr>
            <w:tcW w:w="2554" w:type="dxa"/>
            <w:tcBorders>
              <w:top w:val="single" w:color="auto" w:sz="4" w:space="0"/>
              <w:left w:val="single" w:color="auto" w:sz="4" w:space="0"/>
              <w:right w:val="single" w:color="auto" w:sz="4" w:space="0"/>
            </w:tcBorders>
            <w:noWrap w:val="0"/>
            <w:vAlign w:val="center"/>
          </w:tcPr>
          <w:p w14:paraId="0F7C90F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具有履行合同所必需的设备和专业技术能力</w:t>
            </w:r>
          </w:p>
        </w:tc>
        <w:tc>
          <w:tcPr>
            <w:tcW w:w="4960" w:type="dxa"/>
            <w:tcBorders>
              <w:top w:val="single" w:color="auto" w:sz="4" w:space="0"/>
              <w:left w:val="single" w:color="auto" w:sz="4" w:space="0"/>
              <w:right w:val="single" w:color="auto" w:sz="4" w:space="0"/>
            </w:tcBorders>
            <w:noWrap w:val="0"/>
            <w:vAlign w:val="center"/>
          </w:tcPr>
          <w:p w14:paraId="71D854E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具有履行合同所必需的设备和专业技术能力（自行承诺，格式自拟）；</w:t>
            </w:r>
          </w:p>
        </w:tc>
      </w:tr>
      <w:tr w14:paraId="3D8C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16" w:type="dxa"/>
            <w:vMerge w:val="continue"/>
            <w:tcBorders>
              <w:left w:val="single" w:color="auto" w:sz="4" w:space="0"/>
              <w:right w:val="single" w:color="auto" w:sz="4" w:space="0"/>
            </w:tcBorders>
            <w:noWrap w:val="0"/>
            <w:vAlign w:val="center"/>
          </w:tcPr>
          <w:p w14:paraId="697729F9">
            <w:pPr>
              <w:spacing w:line="360" w:lineRule="auto"/>
              <w:jc w:val="center"/>
              <w:rPr>
                <w:rFonts w:hint="eastAsia" w:ascii="宋体" w:hAnsi="宋体" w:eastAsia="宋体" w:cs="宋体"/>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05DC0C95">
            <w:pPr>
              <w:spacing w:line="360" w:lineRule="auto"/>
              <w:jc w:val="center"/>
              <w:rPr>
                <w:rFonts w:hint="eastAsia" w:ascii="宋体" w:hAnsi="宋体" w:eastAsia="宋体" w:cs="宋体"/>
                <w:color w:val="auto"/>
                <w:sz w:val="24"/>
                <w:szCs w:val="24"/>
                <w:highlight w:val="none"/>
              </w:rPr>
            </w:pPr>
          </w:p>
        </w:tc>
        <w:tc>
          <w:tcPr>
            <w:tcW w:w="2554" w:type="dxa"/>
            <w:tcBorders>
              <w:top w:val="single" w:color="auto" w:sz="4" w:space="0"/>
              <w:left w:val="single" w:color="auto" w:sz="4" w:space="0"/>
              <w:right w:val="single" w:color="auto" w:sz="4" w:space="0"/>
            </w:tcBorders>
            <w:noWrap w:val="0"/>
            <w:vAlign w:val="center"/>
          </w:tcPr>
          <w:p w14:paraId="5F86140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没有重大违法记录</w:t>
            </w:r>
          </w:p>
        </w:tc>
        <w:tc>
          <w:tcPr>
            <w:tcW w:w="4960" w:type="dxa"/>
            <w:tcBorders>
              <w:top w:val="single" w:color="auto" w:sz="4" w:space="0"/>
              <w:left w:val="single" w:color="auto" w:sz="4" w:space="0"/>
              <w:right w:val="single" w:color="auto" w:sz="4" w:space="0"/>
            </w:tcBorders>
            <w:noWrap w:val="0"/>
            <w:vAlign w:val="center"/>
          </w:tcPr>
          <w:p w14:paraId="26F30DF7">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参加政府采购活动前三年，在经营活动中没有重大违法记录（提供参加政府采购活动前三年没有重大违法记录的书面声明，格式自拟）；</w:t>
            </w:r>
          </w:p>
        </w:tc>
      </w:tr>
      <w:tr w14:paraId="1F31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6" w:type="dxa"/>
            <w:vMerge w:val="continue"/>
            <w:tcBorders>
              <w:left w:val="single" w:color="auto" w:sz="4" w:space="0"/>
              <w:right w:val="single" w:color="auto" w:sz="4" w:space="0"/>
            </w:tcBorders>
            <w:noWrap w:val="0"/>
            <w:vAlign w:val="center"/>
          </w:tcPr>
          <w:p w14:paraId="69BE595A">
            <w:pPr>
              <w:spacing w:line="360" w:lineRule="auto"/>
              <w:jc w:val="center"/>
              <w:rPr>
                <w:rFonts w:hint="eastAsia" w:ascii="宋体" w:hAnsi="宋体" w:eastAsia="宋体" w:cs="宋体"/>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4656C19F">
            <w:pPr>
              <w:spacing w:line="360" w:lineRule="auto"/>
              <w:jc w:val="center"/>
              <w:rPr>
                <w:rFonts w:hint="eastAsia" w:ascii="宋体" w:hAnsi="宋体" w:eastAsia="宋体" w:cs="宋体"/>
                <w:color w:val="auto"/>
                <w:sz w:val="24"/>
                <w:szCs w:val="24"/>
                <w:highlight w:val="none"/>
              </w:rPr>
            </w:pPr>
          </w:p>
        </w:tc>
        <w:tc>
          <w:tcPr>
            <w:tcW w:w="2554" w:type="dxa"/>
            <w:tcBorders>
              <w:top w:val="single" w:color="auto" w:sz="4" w:space="0"/>
              <w:left w:val="single" w:color="auto" w:sz="4" w:space="0"/>
              <w:right w:val="single" w:color="auto" w:sz="4" w:space="0"/>
            </w:tcBorders>
            <w:noWrap w:val="0"/>
            <w:vAlign w:val="center"/>
          </w:tcPr>
          <w:p w14:paraId="65CFBD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4960" w:type="dxa"/>
            <w:tcBorders>
              <w:top w:val="single" w:color="auto" w:sz="4" w:space="0"/>
              <w:left w:val="single" w:color="auto" w:sz="4" w:space="0"/>
              <w:right w:val="single" w:color="auto" w:sz="4" w:space="0"/>
            </w:tcBorders>
            <w:noWrap w:val="0"/>
            <w:vAlign w:val="center"/>
          </w:tcPr>
          <w:p w14:paraId="0087D541">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65A3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6" w:type="dxa"/>
            <w:vMerge w:val="continue"/>
            <w:tcBorders>
              <w:left w:val="single" w:color="auto" w:sz="4" w:space="0"/>
              <w:right w:val="single" w:color="auto" w:sz="4" w:space="0"/>
            </w:tcBorders>
            <w:noWrap w:val="0"/>
            <w:vAlign w:val="center"/>
          </w:tcPr>
          <w:p w14:paraId="5F1F5555">
            <w:pPr>
              <w:spacing w:line="360" w:lineRule="auto"/>
              <w:jc w:val="center"/>
              <w:rPr>
                <w:rFonts w:hint="eastAsia" w:ascii="宋体" w:hAnsi="宋体" w:eastAsia="宋体" w:cs="宋体"/>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290DABA3">
            <w:pPr>
              <w:spacing w:line="360" w:lineRule="auto"/>
              <w:jc w:val="center"/>
              <w:rPr>
                <w:rFonts w:hint="eastAsia" w:ascii="宋体" w:hAnsi="宋体" w:eastAsia="宋体" w:cs="宋体"/>
                <w:color w:val="auto"/>
                <w:sz w:val="24"/>
                <w:szCs w:val="24"/>
                <w:highlight w:val="none"/>
              </w:rPr>
            </w:pPr>
          </w:p>
        </w:tc>
        <w:tc>
          <w:tcPr>
            <w:tcW w:w="2554" w:type="dxa"/>
            <w:tcBorders>
              <w:top w:val="single" w:color="auto" w:sz="4" w:space="0"/>
              <w:left w:val="single" w:color="auto" w:sz="4" w:space="0"/>
              <w:right w:val="single" w:color="auto" w:sz="4" w:space="0"/>
            </w:tcBorders>
            <w:noWrap w:val="0"/>
            <w:vAlign w:val="center"/>
          </w:tcPr>
          <w:p w14:paraId="2D702A6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p>
        </w:tc>
        <w:tc>
          <w:tcPr>
            <w:tcW w:w="4960" w:type="dxa"/>
            <w:tcBorders>
              <w:top w:val="single" w:color="auto" w:sz="4" w:space="0"/>
              <w:left w:val="single" w:color="auto" w:sz="4" w:space="0"/>
              <w:right w:val="single" w:color="auto" w:sz="4" w:space="0"/>
            </w:tcBorders>
            <w:noWrap w:val="0"/>
            <w:vAlign w:val="center"/>
          </w:tcPr>
          <w:p w14:paraId="5A70438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tc>
      </w:tr>
      <w:tr w14:paraId="1D6F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noWrap w:val="0"/>
            <w:vAlign w:val="center"/>
          </w:tcPr>
          <w:p w14:paraId="175803CC">
            <w:pPr>
              <w:spacing w:line="360" w:lineRule="auto"/>
              <w:jc w:val="center"/>
              <w:rPr>
                <w:rFonts w:hint="eastAsia" w:ascii="宋体" w:hAnsi="宋体" w:eastAsia="宋体" w:cs="宋体"/>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259F2682">
            <w:pPr>
              <w:spacing w:line="360" w:lineRule="auto"/>
              <w:jc w:val="center"/>
              <w:rPr>
                <w:rFonts w:hint="eastAsia" w:ascii="宋体" w:hAnsi="宋体" w:eastAsia="宋体" w:cs="宋体"/>
                <w:color w:val="auto"/>
                <w:sz w:val="24"/>
                <w:szCs w:val="24"/>
                <w:highlight w:val="none"/>
              </w:rPr>
            </w:pPr>
          </w:p>
        </w:tc>
        <w:tc>
          <w:tcPr>
            <w:tcW w:w="2554" w:type="dxa"/>
            <w:tcBorders>
              <w:top w:val="single" w:color="auto" w:sz="4" w:space="0"/>
              <w:left w:val="single" w:color="auto" w:sz="4" w:space="0"/>
              <w:right w:val="single" w:color="auto" w:sz="4" w:space="0"/>
            </w:tcBorders>
            <w:noWrap w:val="0"/>
            <w:vAlign w:val="center"/>
          </w:tcPr>
          <w:p w14:paraId="05FB340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tc>
        <w:tc>
          <w:tcPr>
            <w:tcW w:w="4960" w:type="dxa"/>
            <w:tcBorders>
              <w:top w:val="single" w:color="auto" w:sz="4" w:space="0"/>
              <w:left w:val="single" w:color="auto" w:sz="4" w:space="0"/>
              <w:right w:val="single" w:color="auto" w:sz="4" w:space="0"/>
            </w:tcBorders>
            <w:noWrap w:val="0"/>
            <w:vAlign w:val="center"/>
          </w:tcPr>
          <w:p w14:paraId="08E9E6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本项目不接受联合体投标。提供非联合体承诺，格式自拟。</w:t>
            </w:r>
          </w:p>
        </w:tc>
      </w:tr>
      <w:tr w14:paraId="4B6A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337" w:type="dxa"/>
            <w:gridSpan w:val="4"/>
            <w:tcBorders>
              <w:left w:val="single" w:color="auto" w:sz="4" w:space="0"/>
              <w:right w:val="single" w:color="auto" w:sz="4" w:space="0"/>
            </w:tcBorders>
            <w:noWrap w:val="0"/>
            <w:vAlign w:val="center"/>
          </w:tcPr>
          <w:p w14:paraId="4A57689E">
            <w:pPr>
              <w:tabs>
                <w:tab w:val="left" w:pos="1868"/>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资格评审以响应文件为准，其上传资料真实性由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自行承担。</w:t>
            </w:r>
          </w:p>
        </w:tc>
      </w:tr>
      <w:tr w14:paraId="71A3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6" w:type="dxa"/>
            <w:vMerge w:val="restart"/>
            <w:tcBorders>
              <w:top w:val="single" w:color="auto" w:sz="4" w:space="0"/>
              <w:left w:val="single" w:color="auto" w:sz="4" w:space="0"/>
              <w:right w:val="single" w:color="auto" w:sz="4" w:space="0"/>
            </w:tcBorders>
            <w:noWrap w:val="0"/>
            <w:vAlign w:val="center"/>
          </w:tcPr>
          <w:p w14:paraId="516B47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007" w:type="dxa"/>
            <w:vMerge w:val="restart"/>
            <w:tcBorders>
              <w:top w:val="single" w:color="auto" w:sz="4" w:space="0"/>
              <w:left w:val="single" w:color="auto" w:sz="4" w:space="0"/>
              <w:right w:val="single" w:color="auto" w:sz="4" w:space="0"/>
            </w:tcBorders>
            <w:noWrap w:val="0"/>
            <w:vAlign w:val="center"/>
          </w:tcPr>
          <w:p w14:paraId="1EA3B81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实质性响应评审</w:t>
            </w:r>
            <w:r>
              <w:rPr>
                <w:rFonts w:hint="eastAsia" w:ascii="宋体" w:hAnsi="宋体" w:eastAsia="宋体" w:cs="宋体"/>
                <w:bCs/>
                <w:color w:val="auto"/>
                <w:sz w:val="24"/>
                <w:szCs w:val="24"/>
                <w:highlight w:val="none"/>
              </w:rPr>
              <w:t>标准</w:t>
            </w:r>
          </w:p>
        </w:tc>
        <w:tc>
          <w:tcPr>
            <w:tcW w:w="2554" w:type="dxa"/>
            <w:tcBorders>
              <w:top w:val="single" w:color="auto" w:sz="4" w:space="0"/>
              <w:left w:val="single" w:color="auto" w:sz="4" w:space="0"/>
              <w:right w:val="single" w:color="auto" w:sz="4" w:space="0"/>
            </w:tcBorders>
            <w:noWrap w:val="0"/>
            <w:vAlign w:val="center"/>
          </w:tcPr>
          <w:p w14:paraId="6E4B5E0A">
            <w:pPr>
              <w:spacing w:line="72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服务期</w:t>
            </w:r>
            <w:r>
              <w:rPr>
                <w:rFonts w:hint="eastAsia" w:ascii="宋体" w:hAnsi="宋体" w:eastAsia="宋体" w:cs="宋体"/>
                <w:color w:val="auto"/>
                <w:sz w:val="24"/>
                <w:szCs w:val="24"/>
                <w:highlight w:val="none"/>
                <w:lang w:val="en-US" w:eastAsia="zh-CN"/>
              </w:rPr>
              <w:t>限</w:t>
            </w:r>
          </w:p>
        </w:tc>
        <w:tc>
          <w:tcPr>
            <w:tcW w:w="4960" w:type="dxa"/>
            <w:tcBorders>
              <w:top w:val="single" w:color="auto" w:sz="4" w:space="0"/>
              <w:left w:val="single" w:color="auto" w:sz="4" w:space="0"/>
              <w:right w:val="single" w:color="auto" w:sz="4" w:space="0"/>
            </w:tcBorders>
            <w:noWrap w:val="0"/>
            <w:vAlign w:val="center"/>
          </w:tcPr>
          <w:p w14:paraId="7F55B762">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自签订合同之日起240日历天完成项目服务并提交成果</w:t>
            </w:r>
          </w:p>
        </w:tc>
      </w:tr>
      <w:tr w14:paraId="38B6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16" w:type="dxa"/>
            <w:vMerge w:val="continue"/>
            <w:tcBorders>
              <w:left w:val="single" w:color="auto" w:sz="4" w:space="0"/>
              <w:right w:val="single" w:color="auto" w:sz="4" w:space="0"/>
            </w:tcBorders>
            <w:noWrap w:val="0"/>
            <w:vAlign w:val="center"/>
          </w:tcPr>
          <w:p w14:paraId="02797EB2">
            <w:pPr>
              <w:rPr>
                <w:rFonts w:hint="eastAsia" w:ascii="宋体" w:hAnsi="宋体" w:eastAsia="宋体" w:cs="宋体"/>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6D1D77D3">
            <w:pPr>
              <w:rPr>
                <w:rFonts w:hint="eastAsia" w:ascii="宋体" w:hAnsi="宋体" w:eastAsia="宋体" w:cs="宋体"/>
                <w:color w:val="auto"/>
                <w:sz w:val="24"/>
                <w:szCs w:val="24"/>
                <w:highlight w:val="none"/>
              </w:rPr>
            </w:pPr>
          </w:p>
        </w:tc>
        <w:tc>
          <w:tcPr>
            <w:tcW w:w="2554" w:type="dxa"/>
            <w:tcBorders>
              <w:top w:val="single" w:color="auto" w:sz="4" w:space="0"/>
              <w:left w:val="single" w:color="auto" w:sz="4" w:space="0"/>
              <w:bottom w:val="single" w:color="auto" w:sz="4" w:space="0"/>
              <w:right w:val="single" w:color="auto" w:sz="4" w:space="0"/>
            </w:tcBorders>
            <w:noWrap w:val="0"/>
            <w:vAlign w:val="center"/>
          </w:tcPr>
          <w:p w14:paraId="6B23CEAE">
            <w:pPr>
              <w:spacing w:line="7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4960" w:type="dxa"/>
            <w:tcBorders>
              <w:top w:val="single" w:color="auto" w:sz="4" w:space="0"/>
              <w:left w:val="single" w:color="auto" w:sz="4" w:space="0"/>
              <w:bottom w:val="single" w:color="auto" w:sz="4" w:space="0"/>
              <w:right w:val="single" w:color="auto" w:sz="4" w:space="0"/>
            </w:tcBorders>
            <w:noWrap w:val="0"/>
            <w:vAlign w:val="center"/>
          </w:tcPr>
          <w:p w14:paraId="63A4C9A3">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符合现行国家规程、地方技术方案及相关标准的规定，质量要求达到合格，通过上级行政主管部门的评审及验收</w:t>
            </w:r>
          </w:p>
        </w:tc>
      </w:tr>
      <w:tr w14:paraId="2A9D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Merge w:val="continue"/>
            <w:tcBorders>
              <w:left w:val="single" w:color="auto" w:sz="4" w:space="0"/>
              <w:right w:val="single" w:color="auto" w:sz="4" w:space="0"/>
            </w:tcBorders>
            <w:noWrap w:val="0"/>
            <w:vAlign w:val="center"/>
          </w:tcPr>
          <w:p w14:paraId="2A8B08C0">
            <w:pPr>
              <w:rPr>
                <w:rFonts w:hint="eastAsia" w:ascii="宋体" w:hAnsi="宋体" w:eastAsia="宋体" w:cs="宋体"/>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17ECDD35">
            <w:pPr>
              <w:rPr>
                <w:rFonts w:hint="eastAsia" w:ascii="宋体" w:hAnsi="宋体" w:eastAsia="宋体" w:cs="宋体"/>
                <w:color w:val="auto"/>
                <w:sz w:val="24"/>
                <w:szCs w:val="24"/>
                <w:highlight w:val="none"/>
              </w:rPr>
            </w:pPr>
          </w:p>
        </w:tc>
        <w:tc>
          <w:tcPr>
            <w:tcW w:w="2554" w:type="dxa"/>
            <w:tcBorders>
              <w:top w:val="single" w:color="auto" w:sz="4" w:space="0"/>
              <w:left w:val="single" w:color="auto" w:sz="4" w:space="0"/>
              <w:bottom w:val="single" w:color="auto" w:sz="4" w:space="0"/>
              <w:right w:val="single" w:color="auto" w:sz="4" w:space="0"/>
            </w:tcBorders>
            <w:noWrap w:val="0"/>
            <w:vAlign w:val="center"/>
          </w:tcPr>
          <w:p w14:paraId="4BE5E255">
            <w:pPr>
              <w:spacing w:line="7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4960" w:type="dxa"/>
            <w:tcBorders>
              <w:top w:val="single" w:color="auto" w:sz="4" w:space="0"/>
              <w:left w:val="single" w:color="auto" w:sz="4" w:space="0"/>
              <w:bottom w:val="single" w:color="auto" w:sz="4" w:space="0"/>
              <w:right w:val="single" w:color="auto" w:sz="4" w:space="0"/>
            </w:tcBorders>
            <w:noWrap w:val="0"/>
            <w:vAlign w:val="center"/>
          </w:tcPr>
          <w:p w14:paraId="0516331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投标截止之日起60日历天</w:t>
            </w:r>
          </w:p>
        </w:tc>
      </w:tr>
      <w:tr w14:paraId="1041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816" w:type="dxa"/>
            <w:vMerge w:val="continue"/>
            <w:tcBorders>
              <w:left w:val="single" w:color="auto" w:sz="4" w:space="0"/>
              <w:right w:val="single" w:color="auto" w:sz="4" w:space="0"/>
            </w:tcBorders>
            <w:noWrap w:val="0"/>
            <w:vAlign w:val="center"/>
          </w:tcPr>
          <w:p w14:paraId="307C7B55">
            <w:pPr>
              <w:rPr>
                <w:rFonts w:hint="eastAsia" w:ascii="宋体" w:hAnsi="宋体" w:eastAsia="宋体" w:cs="宋体"/>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6FC576F4">
            <w:pPr>
              <w:rPr>
                <w:rFonts w:hint="eastAsia" w:ascii="宋体" w:hAnsi="宋体" w:eastAsia="宋体" w:cs="宋体"/>
                <w:color w:val="auto"/>
                <w:sz w:val="24"/>
                <w:szCs w:val="24"/>
                <w:highlight w:val="none"/>
              </w:rPr>
            </w:pPr>
          </w:p>
        </w:tc>
        <w:tc>
          <w:tcPr>
            <w:tcW w:w="2554" w:type="dxa"/>
            <w:tcBorders>
              <w:top w:val="single" w:color="auto" w:sz="4" w:space="0"/>
              <w:left w:val="single" w:color="auto" w:sz="4" w:space="0"/>
              <w:bottom w:val="single" w:color="auto" w:sz="4" w:space="0"/>
              <w:right w:val="single" w:color="auto" w:sz="4" w:space="0"/>
            </w:tcBorders>
            <w:noWrap w:val="0"/>
            <w:vAlign w:val="center"/>
          </w:tcPr>
          <w:p w14:paraId="60B7CD6A">
            <w:pPr>
              <w:spacing w:line="7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4960" w:type="dxa"/>
            <w:tcBorders>
              <w:top w:val="single" w:color="auto" w:sz="4" w:space="0"/>
              <w:left w:val="single" w:color="auto" w:sz="4" w:space="0"/>
              <w:bottom w:val="single" w:color="auto" w:sz="4" w:space="0"/>
              <w:right w:val="single" w:color="auto" w:sz="4" w:space="0"/>
            </w:tcBorders>
            <w:noWrap w:val="0"/>
            <w:vAlign w:val="center"/>
          </w:tcPr>
          <w:p w14:paraId="2324587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响应人磋商总报价不得高于采购人的预算价，否则其投标将予否决。</w:t>
            </w:r>
          </w:p>
        </w:tc>
      </w:tr>
      <w:tr w14:paraId="0902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16" w:type="dxa"/>
            <w:vMerge w:val="restart"/>
            <w:tcBorders>
              <w:left w:val="single" w:color="auto" w:sz="4" w:space="0"/>
              <w:right w:val="single" w:color="auto" w:sz="4" w:space="0"/>
            </w:tcBorders>
            <w:noWrap w:val="0"/>
            <w:vAlign w:val="center"/>
          </w:tcPr>
          <w:p w14:paraId="079EC5C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w:t>
            </w:r>
          </w:p>
        </w:tc>
        <w:tc>
          <w:tcPr>
            <w:tcW w:w="1007" w:type="dxa"/>
            <w:vMerge w:val="restart"/>
            <w:tcBorders>
              <w:left w:val="single" w:color="auto" w:sz="4" w:space="0"/>
              <w:right w:val="single" w:color="auto" w:sz="4" w:space="0"/>
            </w:tcBorders>
            <w:noWrap w:val="0"/>
            <w:vAlign w:val="center"/>
          </w:tcPr>
          <w:p w14:paraId="7D9485B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符合性评审标准</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4D34324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供应商名称</w:t>
            </w:r>
          </w:p>
        </w:tc>
        <w:tc>
          <w:tcPr>
            <w:tcW w:w="4960" w:type="dxa"/>
            <w:tcBorders>
              <w:top w:val="single" w:color="auto" w:sz="4" w:space="0"/>
              <w:left w:val="single" w:color="auto" w:sz="4" w:space="0"/>
              <w:bottom w:val="single" w:color="auto" w:sz="4" w:space="0"/>
              <w:right w:val="single" w:color="auto" w:sz="4" w:space="0"/>
            </w:tcBorders>
            <w:noWrap w:val="0"/>
            <w:vAlign w:val="center"/>
          </w:tcPr>
          <w:p w14:paraId="4986D3E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与营业执照一致</w:t>
            </w:r>
          </w:p>
        </w:tc>
      </w:tr>
      <w:tr w14:paraId="1AFE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816" w:type="dxa"/>
            <w:vMerge w:val="continue"/>
            <w:tcBorders>
              <w:left w:val="single" w:color="auto" w:sz="4" w:space="0"/>
              <w:right w:val="single" w:color="auto" w:sz="4" w:space="0"/>
            </w:tcBorders>
            <w:noWrap w:val="0"/>
            <w:vAlign w:val="center"/>
          </w:tcPr>
          <w:p w14:paraId="46796101">
            <w:pPr>
              <w:rPr>
                <w:rFonts w:hint="eastAsia" w:ascii="宋体" w:hAnsi="宋体" w:eastAsia="宋体" w:cs="宋体"/>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623CD648">
            <w:pPr>
              <w:spacing w:line="360" w:lineRule="auto"/>
              <w:rPr>
                <w:rFonts w:hint="eastAsia" w:ascii="宋体" w:hAnsi="宋体" w:eastAsia="宋体" w:cs="宋体"/>
                <w:color w:val="auto"/>
                <w:sz w:val="24"/>
                <w:szCs w:val="24"/>
                <w:highlight w:val="none"/>
              </w:rPr>
            </w:pPr>
          </w:p>
        </w:tc>
        <w:tc>
          <w:tcPr>
            <w:tcW w:w="2554" w:type="dxa"/>
            <w:tcBorders>
              <w:top w:val="single" w:color="auto" w:sz="4" w:space="0"/>
              <w:left w:val="single" w:color="auto" w:sz="4" w:space="0"/>
              <w:bottom w:val="single" w:color="auto" w:sz="4" w:space="0"/>
              <w:right w:val="single" w:color="auto" w:sz="4" w:space="0"/>
            </w:tcBorders>
            <w:noWrap w:val="0"/>
            <w:vAlign w:val="center"/>
          </w:tcPr>
          <w:p w14:paraId="08B4F69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报价唯一</w:t>
            </w:r>
          </w:p>
        </w:tc>
        <w:tc>
          <w:tcPr>
            <w:tcW w:w="4960" w:type="dxa"/>
            <w:tcBorders>
              <w:top w:val="single" w:color="auto" w:sz="4" w:space="0"/>
              <w:left w:val="single" w:color="auto" w:sz="4" w:space="0"/>
              <w:bottom w:val="single" w:color="auto" w:sz="4" w:space="0"/>
              <w:right w:val="single" w:color="auto" w:sz="4" w:space="0"/>
            </w:tcBorders>
            <w:noWrap w:val="0"/>
            <w:vAlign w:val="center"/>
          </w:tcPr>
          <w:p w14:paraId="0084AF1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只有一个有效报价</w:t>
            </w:r>
          </w:p>
        </w:tc>
      </w:tr>
      <w:tr w14:paraId="2F5D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816" w:type="dxa"/>
            <w:vMerge w:val="continue"/>
            <w:tcBorders>
              <w:left w:val="single" w:color="auto" w:sz="4" w:space="0"/>
              <w:right w:val="single" w:color="auto" w:sz="4" w:space="0"/>
            </w:tcBorders>
            <w:noWrap w:val="0"/>
            <w:vAlign w:val="center"/>
          </w:tcPr>
          <w:p w14:paraId="743F935E">
            <w:pPr>
              <w:rPr>
                <w:rFonts w:hint="eastAsia" w:ascii="宋体" w:hAnsi="宋体" w:eastAsia="宋体" w:cs="宋体"/>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64194B89">
            <w:pPr>
              <w:spacing w:line="360" w:lineRule="auto"/>
              <w:rPr>
                <w:rFonts w:hint="eastAsia" w:ascii="宋体" w:hAnsi="宋体" w:eastAsia="宋体" w:cs="宋体"/>
                <w:color w:val="auto"/>
                <w:sz w:val="24"/>
                <w:szCs w:val="24"/>
                <w:highlight w:val="none"/>
              </w:rPr>
            </w:pPr>
          </w:p>
        </w:tc>
        <w:tc>
          <w:tcPr>
            <w:tcW w:w="2554" w:type="dxa"/>
            <w:tcBorders>
              <w:top w:val="single" w:color="auto" w:sz="4" w:space="0"/>
              <w:left w:val="single" w:color="auto" w:sz="4" w:space="0"/>
              <w:bottom w:val="single" w:color="auto" w:sz="4" w:space="0"/>
              <w:right w:val="single" w:color="auto" w:sz="4" w:space="0"/>
            </w:tcBorders>
            <w:noWrap w:val="0"/>
            <w:vAlign w:val="center"/>
          </w:tcPr>
          <w:p w14:paraId="748FDF7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aps w:val="0"/>
                <w:color w:val="auto"/>
                <w:spacing w:val="0"/>
                <w:sz w:val="24"/>
                <w:szCs w:val="24"/>
                <w:highlight w:val="none"/>
              </w:rPr>
              <w:t>签字盖章</w:t>
            </w:r>
          </w:p>
        </w:tc>
        <w:tc>
          <w:tcPr>
            <w:tcW w:w="4960" w:type="dxa"/>
            <w:tcBorders>
              <w:top w:val="single" w:color="auto" w:sz="4" w:space="0"/>
              <w:left w:val="single" w:color="auto" w:sz="4" w:space="0"/>
              <w:bottom w:val="single" w:color="auto" w:sz="4" w:space="0"/>
              <w:right w:val="single" w:color="auto" w:sz="4" w:space="0"/>
            </w:tcBorders>
            <w:noWrap w:val="0"/>
            <w:vAlign w:val="center"/>
          </w:tcPr>
          <w:p w14:paraId="190C4948">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aps w:val="0"/>
                <w:color w:val="auto"/>
                <w:spacing w:val="0"/>
                <w:sz w:val="24"/>
                <w:szCs w:val="24"/>
                <w:highlight w:val="none"/>
              </w:rPr>
              <w:t>符合第二章“投标人须知”规定</w:t>
            </w:r>
          </w:p>
        </w:tc>
      </w:tr>
      <w:tr w14:paraId="662C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16" w:type="dxa"/>
            <w:vMerge w:val="continue"/>
            <w:tcBorders>
              <w:left w:val="single" w:color="auto" w:sz="4" w:space="0"/>
              <w:bottom w:val="single" w:color="auto" w:sz="4" w:space="0"/>
              <w:right w:val="single" w:color="auto" w:sz="4" w:space="0"/>
            </w:tcBorders>
            <w:noWrap w:val="0"/>
            <w:vAlign w:val="center"/>
          </w:tcPr>
          <w:p w14:paraId="4A851636">
            <w:pPr>
              <w:rPr>
                <w:rFonts w:hint="eastAsia" w:ascii="宋体" w:hAnsi="宋体" w:eastAsia="宋体" w:cs="宋体"/>
                <w:color w:val="auto"/>
                <w:sz w:val="24"/>
                <w:szCs w:val="24"/>
                <w:highlight w:val="none"/>
                <w:lang w:val="en-US"/>
              </w:rPr>
            </w:pPr>
          </w:p>
        </w:tc>
        <w:tc>
          <w:tcPr>
            <w:tcW w:w="1007" w:type="dxa"/>
            <w:vMerge w:val="continue"/>
            <w:tcBorders>
              <w:left w:val="single" w:color="auto" w:sz="4" w:space="0"/>
              <w:bottom w:val="single" w:color="auto" w:sz="4" w:space="0"/>
              <w:right w:val="single" w:color="auto" w:sz="4" w:space="0"/>
            </w:tcBorders>
            <w:noWrap w:val="0"/>
            <w:vAlign w:val="center"/>
          </w:tcPr>
          <w:p w14:paraId="736509CC">
            <w:pPr>
              <w:spacing w:line="360" w:lineRule="auto"/>
              <w:rPr>
                <w:rFonts w:hint="eastAsia" w:ascii="宋体" w:hAnsi="宋体" w:eastAsia="宋体" w:cs="宋体"/>
                <w:color w:val="auto"/>
                <w:sz w:val="24"/>
                <w:szCs w:val="24"/>
                <w:highlight w:val="none"/>
              </w:rPr>
            </w:pPr>
          </w:p>
        </w:tc>
        <w:tc>
          <w:tcPr>
            <w:tcW w:w="2554" w:type="dxa"/>
            <w:tcBorders>
              <w:top w:val="single" w:color="auto" w:sz="4" w:space="0"/>
              <w:left w:val="single" w:color="auto" w:sz="4" w:space="0"/>
              <w:bottom w:val="single" w:color="auto" w:sz="4" w:space="0"/>
              <w:right w:val="single" w:color="auto" w:sz="4" w:space="0"/>
            </w:tcBorders>
            <w:noWrap w:val="0"/>
            <w:vAlign w:val="center"/>
          </w:tcPr>
          <w:p w14:paraId="7F7AFA6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投标文件格式</w:t>
            </w:r>
          </w:p>
        </w:tc>
        <w:tc>
          <w:tcPr>
            <w:tcW w:w="4960" w:type="dxa"/>
            <w:tcBorders>
              <w:top w:val="single" w:color="auto" w:sz="4" w:space="0"/>
              <w:left w:val="single" w:color="auto" w:sz="4" w:space="0"/>
              <w:bottom w:val="single" w:color="auto" w:sz="4" w:space="0"/>
              <w:right w:val="single" w:color="auto" w:sz="4" w:space="0"/>
            </w:tcBorders>
            <w:noWrap w:val="0"/>
            <w:vAlign w:val="center"/>
          </w:tcPr>
          <w:p w14:paraId="768AE76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符合“磋商文件格式”</w:t>
            </w:r>
          </w:p>
        </w:tc>
      </w:tr>
    </w:tbl>
    <w:p w14:paraId="35910F7B">
      <w:pPr>
        <w:widowControl/>
        <w:jc w:val="left"/>
        <w:outlineLvl w:val="9"/>
        <w:rPr>
          <w:rFonts w:hint="eastAsia" w:ascii="宋体" w:hAnsi="宋体" w:eastAsia="宋体" w:cs="宋体"/>
          <w:color w:val="auto"/>
          <w:highlight w:val="none"/>
        </w:rPr>
      </w:pPr>
    </w:p>
    <w:p w14:paraId="1E89646D">
      <w:pPr>
        <w:spacing w:line="600" w:lineRule="exact"/>
        <w:ind w:firstLine="482" w:firstLineChars="200"/>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 磋商文件的评审、比较和否决</w:t>
      </w:r>
    </w:p>
    <w:p w14:paraId="6AB10650">
      <w:pPr>
        <w:spacing w:line="6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color w:val="auto"/>
          <w:sz w:val="24"/>
          <w:szCs w:val="24"/>
          <w:highlight w:val="none"/>
        </w:rPr>
        <w:t>磋商小组将按照竞争性磋商文件的规定，仅对在实质上响应竞争性磋商文件要求的响应文件进行评估和比较。</w:t>
      </w:r>
    </w:p>
    <w:p w14:paraId="0979D52E">
      <w:pPr>
        <w:spacing w:line="6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color w:val="auto"/>
          <w:sz w:val="24"/>
          <w:szCs w:val="24"/>
          <w:highlight w:val="none"/>
        </w:rPr>
        <w:t>根据相关法律法规及有关磋商文件规定，结合本项目具体情况，制定本次采购磋商办法。并按照“公平、公正、科学、择优”的原则进行磋商。采用百分制综合评估法进行评比。</w:t>
      </w:r>
    </w:p>
    <w:p w14:paraId="4D7B70DA">
      <w:pPr>
        <w:spacing w:line="6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w:t>
      </w:r>
      <w:r>
        <w:rPr>
          <w:rFonts w:hint="eastAsia" w:ascii="宋体" w:hAnsi="宋体" w:eastAsia="宋体" w:cs="宋体"/>
          <w:color w:val="auto"/>
          <w:sz w:val="24"/>
          <w:szCs w:val="24"/>
          <w:highlight w:val="none"/>
        </w:rPr>
        <w:t>在磋商过程中，磋商小组可以以书面形式要求磋商供应商就响应文件中含义不明确的内容进行书面说明并提供相关材料；</w:t>
      </w:r>
      <w:r>
        <w:rPr>
          <w:rFonts w:hint="eastAsia" w:ascii="宋体" w:hAnsi="宋体" w:eastAsia="宋体" w:cs="宋体"/>
          <w:color w:val="auto"/>
          <w:spacing w:val="-12"/>
          <w:sz w:val="24"/>
          <w:szCs w:val="24"/>
          <w:highlight w:val="none"/>
        </w:rPr>
        <w:t>凡遇到响应文件中无界定或界定不清、前后不一致使评委会成员</w:t>
      </w:r>
      <w:r>
        <w:rPr>
          <w:rFonts w:hint="eastAsia" w:ascii="宋体" w:hAnsi="宋体" w:eastAsia="宋体" w:cs="宋体"/>
          <w:color w:val="auto"/>
          <w:sz w:val="24"/>
          <w:szCs w:val="24"/>
          <w:highlight w:val="none"/>
        </w:rPr>
        <w:t>意见</w:t>
      </w:r>
      <w:r>
        <w:rPr>
          <w:rFonts w:hint="eastAsia" w:ascii="宋体" w:hAnsi="宋体" w:eastAsia="宋体" w:cs="宋体"/>
          <w:color w:val="auto"/>
          <w:spacing w:val="-12"/>
          <w:sz w:val="24"/>
          <w:szCs w:val="24"/>
          <w:highlight w:val="none"/>
        </w:rPr>
        <w:t>有分歧且又难于协商一致的问题，均由评委会予以表决，获半数以上同意的即为通过，未获半数同意的即为否决</w:t>
      </w:r>
      <w:r>
        <w:rPr>
          <w:rFonts w:hint="eastAsia" w:ascii="宋体" w:hAnsi="宋体" w:eastAsia="宋体" w:cs="宋体"/>
          <w:color w:val="auto"/>
          <w:sz w:val="24"/>
          <w:szCs w:val="24"/>
          <w:highlight w:val="none"/>
        </w:rPr>
        <w:t>。</w:t>
      </w:r>
    </w:p>
    <w:p w14:paraId="66F97BC8">
      <w:pPr>
        <w:spacing w:line="6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w:t>
      </w:r>
      <w:r>
        <w:rPr>
          <w:rFonts w:hint="eastAsia" w:ascii="宋体" w:hAnsi="宋体" w:eastAsia="宋体" w:cs="宋体"/>
          <w:color w:val="auto"/>
          <w:sz w:val="24"/>
          <w:szCs w:val="24"/>
          <w:highlight w:val="none"/>
        </w:rPr>
        <w:t>磋商时，磋商报价是磋商的重要依据，但不是唯一依据，采购人不承诺将合同授予报价最低或最高的磋商供应商。</w:t>
      </w:r>
    </w:p>
    <w:p w14:paraId="6D645DD7">
      <w:pPr>
        <w:spacing w:line="6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w:t>
      </w:r>
      <w:r>
        <w:rPr>
          <w:rFonts w:hint="eastAsia" w:ascii="宋体" w:hAnsi="宋体" w:eastAsia="宋体" w:cs="宋体"/>
          <w:color w:val="auto"/>
          <w:sz w:val="24"/>
          <w:szCs w:val="24"/>
          <w:highlight w:val="none"/>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3DD61C3D">
      <w:pPr>
        <w:spacing w:line="600" w:lineRule="exact"/>
        <w:ind w:firstLine="482" w:firstLineChars="200"/>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 磋商程序</w:t>
      </w:r>
    </w:p>
    <w:p w14:paraId="44F6BC19">
      <w:pPr>
        <w:spacing w:line="6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资格审查</w:t>
      </w:r>
    </w:p>
    <w:p w14:paraId="212413B7">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本项目采用资格后审</w:t>
      </w:r>
    </w:p>
    <w:p w14:paraId="6B470708">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磋商小组按照竞争性磋商文件供应商资格要求，对磋商供应商的响应文件进行</w:t>
      </w:r>
      <w:r>
        <w:rPr>
          <w:rFonts w:hint="eastAsia" w:ascii="宋体" w:hAnsi="宋体" w:eastAsia="宋体" w:cs="宋体"/>
          <w:color w:val="auto"/>
          <w:sz w:val="24"/>
          <w:szCs w:val="24"/>
          <w:highlight w:val="none"/>
          <w:lang w:val="en-US" w:eastAsia="zh-CN"/>
        </w:rPr>
        <w:t>符合性、资格性、实质性响应评审</w:t>
      </w:r>
      <w:r>
        <w:rPr>
          <w:rFonts w:hint="eastAsia" w:ascii="宋体" w:hAnsi="宋体" w:eastAsia="宋体" w:cs="宋体"/>
          <w:color w:val="auto"/>
          <w:sz w:val="24"/>
          <w:szCs w:val="24"/>
          <w:highlight w:val="none"/>
        </w:rPr>
        <w:t>，有一项不符合的，按废标处理，符合的进入下一磋商程序。</w:t>
      </w:r>
    </w:p>
    <w:p w14:paraId="43583C45">
      <w:pPr>
        <w:spacing w:line="600" w:lineRule="exact"/>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3.磋商具体方法和标准</w:t>
      </w:r>
    </w:p>
    <w:p w14:paraId="6A45ADBA">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磋商小组根据磋商原则和办法对所有响应文件进行集中审核，分别评价。</w:t>
      </w:r>
    </w:p>
    <w:tbl>
      <w:tblPr>
        <w:tblStyle w:val="16"/>
        <w:tblW w:w="9633"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6"/>
        <w:gridCol w:w="2554"/>
        <w:gridCol w:w="5573"/>
      </w:tblGrid>
      <w:tr w14:paraId="5F0EC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506" w:type="dxa"/>
            <w:noWrap w:val="0"/>
            <w:vAlign w:val="center"/>
          </w:tcPr>
          <w:p w14:paraId="64B6E666">
            <w:pPr>
              <w:tabs>
                <w:tab w:val="left" w:pos="720"/>
              </w:tabs>
              <w:spacing w:line="48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w:t>
            </w:r>
          </w:p>
          <w:p w14:paraId="5C3890C5">
            <w:pPr>
              <w:tabs>
                <w:tab w:val="left" w:pos="720"/>
              </w:tabs>
              <w:spacing w:line="480" w:lineRule="exact"/>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分</w:t>
            </w:r>
            <w:r>
              <w:rPr>
                <w:rFonts w:hint="eastAsia" w:ascii="宋体" w:hAnsi="宋体" w:eastAsia="宋体" w:cs="宋体"/>
                <w:b/>
                <w:color w:val="auto"/>
                <w:sz w:val="24"/>
                <w:highlight w:val="none"/>
                <w:lang w:eastAsia="zh-CN"/>
              </w:rPr>
              <w:t>）</w:t>
            </w:r>
          </w:p>
        </w:tc>
        <w:tc>
          <w:tcPr>
            <w:tcW w:w="8127" w:type="dxa"/>
            <w:gridSpan w:val="2"/>
            <w:noWrap w:val="0"/>
            <w:vAlign w:val="center"/>
          </w:tcPr>
          <w:p w14:paraId="642337B6">
            <w:pPr>
              <w:tabs>
                <w:tab w:val="left" w:pos="720"/>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1、本项目进行</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轮报价，第二轮磋商报价为供应商的最终报价。若供应商最终报价超过控制价，按无效响应文件处理。</w:t>
            </w:r>
          </w:p>
          <w:p w14:paraId="0825B064">
            <w:pPr>
              <w:tabs>
                <w:tab w:val="left" w:pos="720"/>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注：投标报价得分四舍五入至小数点后两位。</w:t>
            </w:r>
          </w:p>
          <w:p w14:paraId="42FA6489">
            <w:pPr>
              <w:tabs>
                <w:tab w:val="left" w:pos="720"/>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2、价格分采用低价优先法计算，即通过资格性和符合性审查且投标价格最低的投标报价为评标基准价，其价格得分为满分</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分。</w:t>
            </w:r>
          </w:p>
          <w:p w14:paraId="0E07F67D">
            <w:pPr>
              <w:tabs>
                <w:tab w:val="left" w:pos="720"/>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3、其他投标供应商的价格分统一按照下列公式计算：</w:t>
            </w:r>
          </w:p>
          <w:p w14:paraId="4A2CDB63">
            <w:pPr>
              <w:tabs>
                <w:tab w:val="left" w:pos="720"/>
              </w:tabs>
              <w:spacing w:line="48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投标报价得分=(评标基准价／投标报价)×</w:t>
            </w:r>
            <w:r>
              <w:rPr>
                <w:rFonts w:hint="eastAsia" w:ascii="宋体" w:hAnsi="宋体" w:eastAsia="宋体" w:cs="宋体"/>
                <w:color w:val="auto"/>
                <w:sz w:val="24"/>
                <w:highlight w:val="none"/>
                <w:lang w:val="en-US" w:eastAsia="zh-CN"/>
              </w:rPr>
              <w:t>20</w:t>
            </w:r>
          </w:p>
          <w:p w14:paraId="3FA2FDC4">
            <w:pPr>
              <w:tabs>
                <w:tab w:val="left" w:pos="720"/>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价格分计算保留小数点后二位。（磋商小组认为供应商的报价明显低于其他通过审查供应商的报价，有可能影响服务质量或者不能诚信履约的，应当要求其在开标现场合理的时间内提供书面说明，必要时提交相关证明材料；供应商不能证明其报价合理性的，评标委员会应当将其作为无效响应处理。）</w:t>
            </w:r>
          </w:p>
          <w:p w14:paraId="50F3ECD3">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kern w:val="0"/>
                <w:sz w:val="24"/>
                <w:szCs w:val="24"/>
                <w:highlight w:val="none"/>
              </w:rPr>
              <w:t>中型企业</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小微企业需完整填写中小企业声明函。</w:t>
            </w:r>
          </w:p>
          <w:p w14:paraId="11503CA3">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根据财政部司法部《关于政府采购支持监狱企业发展有关问题的通知》（财库〔2014〕68号）规定及《关于进一步加大政府采购支持中小企业发展有关事项的通知》（灵财[2022]97号）通知，对于监狱企业单位视同为小型、微型企业。监狱企业，应当提供由省级以上监狱管理局、戒毒管理局（含新疆生产建设兵团）出具的属于监狱企业的证明文件。</w:t>
            </w:r>
          </w:p>
          <w:p w14:paraId="2AF239FF">
            <w:pPr>
              <w:pageBreakBefore w:val="0"/>
              <w:kinsoku/>
              <w:wordWrap/>
              <w:overflowPunct/>
              <w:topLinePunct w:val="0"/>
              <w:bidi w:val="0"/>
              <w:spacing w:beforeAutospacing="0"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根据财政部民政部中国残疾人联合会《关于促进残疾人就业政府采购政策的通知》（财库〔2017〕141号）规定，对于残疾人福利性单位视同为小型、微型企业</w:t>
            </w:r>
            <w:r>
              <w:rPr>
                <w:rFonts w:hint="eastAsia" w:ascii="宋体" w:hAnsi="宋体" w:eastAsia="宋体" w:cs="宋体"/>
                <w:color w:val="auto"/>
                <w:kern w:val="0"/>
                <w:sz w:val="24"/>
                <w:szCs w:val="24"/>
                <w:highlight w:val="none"/>
                <w:lang w:val="en-US" w:eastAsia="zh-CN"/>
              </w:rPr>
              <w:t>。</w:t>
            </w:r>
          </w:p>
        </w:tc>
      </w:tr>
      <w:tr w14:paraId="3264B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3" w:hRule="exact"/>
        </w:trPr>
        <w:tc>
          <w:tcPr>
            <w:tcW w:w="1506" w:type="dxa"/>
            <w:vMerge w:val="restart"/>
            <w:noWrap w:val="0"/>
            <w:vAlign w:val="center"/>
          </w:tcPr>
          <w:p w14:paraId="295A3E8C">
            <w:pPr>
              <w:tabs>
                <w:tab w:val="left" w:pos="720"/>
              </w:tabs>
              <w:spacing w:line="480" w:lineRule="exac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技术部分</w:t>
            </w:r>
          </w:p>
          <w:p w14:paraId="312A3353">
            <w:pPr>
              <w:tabs>
                <w:tab w:val="left" w:pos="720"/>
              </w:tabs>
              <w:spacing w:line="480" w:lineRule="exact"/>
              <w:jc w:val="center"/>
              <w:rPr>
                <w:rFonts w:hint="default" w:ascii="宋体" w:hAnsi="宋体" w:eastAsia="宋体" w:cs="宋体"/>
                <w:color w:val="auto"/>
                <w:sz w:val="24"/>
                <w:highlight w:val="none"/>
                <w:lang w:val="en-US" w:eastAsia="zh-CN"/>
              </w:rPr>
            </w:pPr>
            <w:r>
              <w:rPr>
                <w:rFonts w:hint="eastAsia" w:ascii="宋体" w:hAnsi="宋体" w:eastAsia="宋体" w:cs="宋体"/>
                <w:b/>
                <w:color w:val="auto"/>
                <w:sz w:val="24"/>
                <w:highlight w:val="none"/>
                <w:lang w:val="en-US" w:eastAsia="zh-CN"/>
              </w:rPr>
              <w:t>（</w:t>
            </w:r>
            <w:r>
              <w:rPr>
                <w:rFonts w:hint="eastAsia" w:ascii="宋体" w:hAnsi="宋体" w:cs="宋体"/>
                <w:b/>
                <w:color w:val="auto"/>
                <w:sz w:val="24"/>
                <w:highlight w:val="none"/>
                <w:lang w:val="en-US" w:eastAsia="zh-CN"/>
              </w:rPr>
              <w:t>60</w:t>
            </w:r>
            <w:r>
              <w:rPr>
                <w:rFonts w:hint="eastAsia" w:ascii="宋体" w:hAnsi="宋体" w:eastAsia="宋体" w:cs="宋体"/>
                <w:b/>
                <w:color w:val="auto"/>
                <w:sz w:val="24"/>
                <w:highlight w:val="none"/>
                <w:lang w:val="en-US" w:eastAsia="zh-CN"/>
              </w:rPr>
              <w:t>分）</w:t>
            </w:r>
          </w:p>
        </w:tc>
        <w:tc>
          <w:tcPr>
            <w:tcW w:w="2554" w:type="dxa"/>
            <w:tcBorders>
              <w:right w:val="single" w:color="auto" w:sz="4" w:space="0"/>
            </w:tcBorders>
            <w:noWrap w:val="0"/>
            <w:vAlign w:val="center"/>
          </w:tcPr>
          <w:p w14:paraId="57C064D4">
            <w:pPr>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1、项目工作内容实施方案（</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w:t>
            </w:r>
          </w:p>
        </w:tc>
        <w:tc>
          <w:tcPr>
            <w:tcW w:w="5573" w:type="dxa"/>
            <w:tcBorders>
              <w:left w:val="single" w:color="auto" w:sz="4" w:space="0"/>
            </w:tcBorders>
            <w:noWrap w:val="0"/>
            <w:vAlign w:val="center"/>
          </w:tcPr>
          <w:p w14:paraId="1E65570B">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1、对项目工作内容及技术路线方案全面深刻，论述完整清晰，总体组织符合实际、总体符合规范，总体计划合理，具有可行性和科学性得</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分；</w:t>
            </w:r>
          </w:p>
          <w:p w14:paraId="2A03BC31">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2、对项目工作内容及技术路线方案基本全面，论述基本完整清晰，总体组织基本符合实际、总体基本符合规范，总体计划基本合理，可行性和科学性基本得</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 xml:space="preserve"> 分；</w:t>
            </w:r>
          </w:p>
          <w:p w14:paraId="35A24C20">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、对项目工作内容及技术路线方案不全面，论述不完整不清晰，或总体组织不符合实际、总体不符合规范，总体计划不合理，不具有可行性和科学性得</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分；</w:t>
            </w:r>
          </w:p>
          <w:p w14:paraId="3F594677">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、不提供不得分。</w:t>
            </w:r>
          </w:p>
        </w:tc>
      </w:tr>
      <w:tr w14:paraId="123E2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7" w:hRule="exact"/>
        </w:trPr>
        <w:tc>
          <w:tcPr>
            <w:tcW w:w="1506" w:type="dxa"/>
            <w:vMerge w:val="continue"/>
            <w:noWrap w:val="0"/>
            <w:vAlign w:val="center"/>
          </w:tcPr>
          <w:p w14:paraId="56833EB2">
            <w:pPr>
              <w:tabs>
                <w:tab w:val="left" w:pos="720"/>
              </w:tabs>
              <w:spacing w:line="480" w:lineRule="exact"/>
              <w:jc w:val="center"/>
              <w:rPr>
                <w:rFonts w:hint="eastAsia" w:ascii="宋体" w:hAnsi="宋体" w:eastAsia="宋体" w:cs="宋体"/>
                <w:color w:val="auto"/>
                <w:sz w:val="24"/>
                <w:highlight w:val="none"/>
              </w:rPr>
            </w:pPr>
          </w:p>
        </w:tc>
        <w:tc>
          <w:tcPr>
            <w:tcW w:w="2554" w:type="dxa"/>
            <w:tcBorders>
              <w:right w:val="single" w:color="auto" w:sz="4" w:space="0"/>
            </w:tcBorders>
            <w:noWrap w:val="0"/>
            <w:vAlign w:val="center"/>
          </w:tcPr>
          <w:p w14:paraId="476018DD">
            <w:pPr>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2、质量管理体系及保证措施（</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w:t>
            </w:r>
          </w:p>
        </w:tc>
        <w:tc>
          <w:tcPr>
            <w:tcW w:w="5573" w:type="dxa"/>
            <w:tcBorders>
              <w:left w:val="single" w:color="auto" w:sz="4" w:space="0"/>
            </w:tcBorders>
            <w:noWrap w:val="0"/>
            <w:vAlign w:val="center"/>
          </w:tcPr>
          <w:p w14:paraId="5BDD3249">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1、实施方案中质量管理体系及保证措施科学合理、内容详尽、针对性及可作性强，措施合理、切合实际的得</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w:t>
            </w:r>
          </w:p>
          <w:p w14:paraId="5911E957">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2、措施较合理、较切合实际的得</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分；</w:t>
            </w:r>
          </w:p>
          <w:p w14:paraId="74DD1131">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3、措施不够合理、不够切合实际的得</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分；</w:t>
            </w:r>
          </w:p>
          <w:p w14:paraId="60A46D95">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4、不提供不得分。</w:t>
            </w:r>
          </w:p>
        </w:tc>
      </w:tr>
      <w:tr w14:paraId="6683B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4" w:hRule="exact"/>
        </w:trPr>
        <w:tc>
          <w:tcPr>
            <w:tcW w:w="1506" w:type="dxa"/>
            <w:vMerge w:val="continue"/>
            <w:noWrap w:val="0"/>
            <w:vAlign w:val="center"/>
          </w:tcPr>
          <w:p w14:paraId="2CC9D47A">
            <w:pPr>
              <w:tabs>
                <w:tab w:val="left" w:pos="720"/>
              </w:tabs>
              <w:spacing w:line="480" w:lineRule="exact"/>
              <w:jc w:val="center"/>
              <w:rPr>
                <w:rFonts w:hint="eastAsia" w:ascii="宋体" w:hAnsi="宋体" w:eastAsia="宋体" w:cs="宋体"/>
                <w:color w:val="auto"/>
                <w:sz w:val="24"/>
                <w:highlight w:val="none"/>
              </w:rPr>
            </w:pPr>
          </w:p>
        </w:tc>
        <w:tc>
          <w:tcPr>
            <w:tcW w:w="2554" w:type="dxa"/>
            <w:tcBorders>
              <w:right w:val="single" w:color="auto" w:sz="4" w:space="0"/>
            </w:tcBorders>
            <w:noWrap w:val="0"/>
            <w:vAlign w:val="center"/>
          </w:tcPr>
          <w:p w14:paraId="4318CD2C">
            <w:pPr>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3、项目组织机构（</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分）</w:t>
            </w:r>
          </w:p>
        </w:tc>
        <w:tc>
          <w:tcPr>
            <w:tcW w:w="5573" w:type="dxa"/>
            <w:tcBorders>
              <w:left w:val="single" w:color="auto" w:sz="4" w:space="0"/>
            </w:tcBorders>
            <w:noWrap w:val="0"/>
            <w:vAlign w:val="center"/>
          </w:tcPr>
          <w:p w14:paraId="26DC9BEA">
            <w:pPr>
              <w:pageBreakBefore w:val="0"/>
              <w:kinsoku/>
              <w:wordWrap/>
              <w:overflowPunct/>
              <w:topLinePunct w:val="0"/>
              <w:bidi w:val="0"/>
              <w:spacing w:beforeAutospacing="0" w:line="360" w:lineRule="auto"/>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1、项目主要人员岗位职责明确，贴合项目实际的得</w:t>
            </w:r>
            <w:r>
              <w:rPr>
                <w:rFonts w:hint="eastAsia" w:ascii="宋体" w:hAnsi="宋体" w:cs="宋体"/>
                <w:color w:val="auto"/>
                <w:kern w:val="0"/>
                <w:sz w:val="24"/>
                <w:szCs w:val="24"/>
                <w:highlight w:val="none"/>
                <w:lang w:val="en-US" w:eastAsia="zh-CN"/>
              </w:rPr>
              <w:t>8</w:t>
            </w:r>
            <w:r>
              <w:rPr>
                <w:rFonts w:hint="default" w:ascii="宋体" w:hAnsi="宋体" w:eastAsia="宋体" w:cs="宋体"/>
                <w:color w:val="auto"/>
                <w:kern w:val="0"/>
                <w:sz w:val="24"/>
                <w:szCs w:val="24"/>
                <w:highlight w:val="none"/>
                <w:lang w:val="en-US" w:eastAsia="zh-CN"/>
              </w:rPr>
              <w:t>分；</w:t>
            </w:r>
          </w:p>
          <w:p w14:paraId="1AF37603">
            <w:pPr>
              <w:pageBreakBefore w:val="0"/>
              <w:kinsoku/>
              <w:wordWrap/>
              <w:overflowPunct/>
              <w:topLinePunct w:val="0"/>
              <w:bidi w:val="0"/>
              <w:spacing w:beforeAutospacing="0" w:line="360" w:lineRule="auto"/>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2、项目主要人员岗位职责较明确，较贴合项目实际的得</w:t>
            </w:r>
            <w:r>
              <w:rPr>
                <w:rFonts w:hint="eastAsia" w:ascii="宋体" w:hAnsi="宋体" w:eastAsia="宋体" w:cs="宋体"/>
                <w:color w:val="auto"/>
                <w:kern w:val="0"/>
                <w:sz w:val="24"/>
                <w:szCs w:val="24"/>
                <w:highlight w:val="none"/>
                <w:lang w:val="en-US" w:eastAsia="zh-CN"/>
              </w:rPr>
              <w:t>5</w:t>
            </w:r>
            <w:r>
              <w:rPr>
                <w:rFonts w:hint="default" w:ascii="宋体" w:hAnsi="宋体" w:eastAsia="宋体" w:cs="宋体"/>
                <w:color w:val="auto"/>
                <w:kern w:val="0"/>
                <w:sz w:val="24"/>
                <w:szCs w:val="24"/>
                <w:highlight w:val="none"/>
                <w:lang w:val="en-US" w:eastAsia="zh-CN"/>
              </w:rPr>
              <w:t>分；</w:t>
            </w:r>
          </w:p>
          <w:p w14:paraId="312F9F49">
            <w:pPr>
              <w:pageBreakBefore w:val="0"/>
              <w:kinsoku/>
              <w:wordWrap/>
              <w:overflowPunct/>
              <w:topLinePunct w:val="0"/>
              <w:bidi w:val="0"/>
              <w:spacing w:beforeAutospacing="0" w:line="360" w:lineRule="auto"/>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3、项目主要人员岗位职责不明确，与项目贴合一般的得</w:t>
            </w:r>
            <w:r>
              <w:rPr>
                <w:rFonts w:hint="eastAsia" w:ascii="宋体" w:hAnsi="宋体" w:cs="宋体"/>
                <w:color w:val="auto"/>
                <w:kern w:val="0"/>
                <w:sz w:val="24"/>
                <w:szCs w:val="24"/>
                <w:highlight w:val="none"/>
                <w:lang w:val="en-US" w:eastAsia="zh-CN"/>
              </w:rPr>
              <w:t>2</w:t>
            </w:r>
            <w:r>
              <w:rPr>
                <w:rFonts w:hint="default" w:ascii="宋体" w:hAnsi="宋体" w:eastAsia="宋体" w:cs="宋体"/>
                <w:color w:val="auto"/>
                <w:kern w:val="0"/>
                <w:sz w:val="24"/>
                <w:szCs w:val="24"/>
                <w:highlight w:val="none"/>
                <w:lang w:val="en-US" w:eastAsia="zh-CN"/>
              </w:rPr>
              <w:t>分；</w:t>
            </w:r>
          </w:p>
          <w:p w14:paraId="2F2C507A">
            <w:pPr>
              <w:pageBreakBefore w:val="0"/>
              <w:kinsoku/>
              <w:wordWrap/>
              <w:overflowPunct/>
              <w:topLinePunct w:val="0"/>
              <w:bidi w:val="0"/>
              <w:spacing w:beforeAutospacing="0" w:line="360" w:lineRule="auto"/>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4、不提供不得分。</w:t>
            </w:r>
          </w:p>
        </w:tc>
      </w:tr>
      <w:tr w14:paraId="2E321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6" w:hRule="exact"/>
        </w:trPr>
        <w:tc>
          <w:tcPr>
            <w:tcW w:w="1506" w:type="dxa"/>
            <w:vMerge w:val="continue"/>
            <w:noWrap w:val="0"/>
            <w:vAlign w:val="center"/>
          </w:tcPr>
          <w:p w14:paraId="21B91AE1">
            <w:pPr>
              <w:tabs>
                <w:tab w:val="left" w:pos="720"/>
              </w:tabs>
              <w:spacing w:line="480" w:lineRule="exact"/>
              <w:jc w:val="center"/>
              <w:rPr>
                <w:rFonts w:hint="eastAsia" w:ascii="宋体" w:hAnsi="宋体" w:eastAsia="宋体" w:cs="宋体"/>
                <w:color w:val="auto"/>
                <w:sz w:val="24"/>
                <w:highlight w:val="none"/>
              </w:rPr>
            </w:pPr>
          </w:p>
        </w:tc>
        <w:tc>
          <w:tcPr>
            <w:tcW w:w="2554" w:type="dxa"/>
            <w:tcBorders>
              <w:right w:val="single" w:color="auto" w:sz="4" w:space="0"/>
            </w:tcBorders>
            <w:noWrap w:val="0"/>
            <w:vAlign w:val="center"/>
          </w:tcPr>
          <w:p w14:paraId="1CA7E750">
            <w:pPr>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4、项目实施进度保证措施（</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分）</w:t>
            </w:r>
          </w:p>
        </w:tc>
        <w:tc>
          <w:tcPr>
            <w:tcW w:w="5573" w:type="dxa"/>
            <w:tcBorders>
              <w:left w:val="single" w:color="auto" w:sz="4" w:space="0"/>
            </w:tcBorders>
            <w:noWrap w:val="0"/>
            <w:vAlign w:val="center"/>
          </w:tcPr>
          <w:p w14:paraId="62B0CA34">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1、项目实施进度保障措施合理，完全满足项目特点要求的得</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p w14:paraId="463F26D3">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2、项目实施进度保障措施较合理，能满足项目特点要求的得</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p w14:paraId="167D9DE8">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3、项目实施进度保障措施安排不合理，满足项目要求较差的得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14:paraId="297C5579">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4、未提供的不得分。</w:t>
            </w:r>
          </w:p>
        </w:tc>
      </w:tr>
      <w:tr w14:paraId="7EE37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1" w:hRule="exact"/>
        </w:trPr>
        <w:tc>
          <w:tcPr>
            <w:tcW w:w="1506" w:type="dxa"/>
            <w:vMerge w:val="continue"/>
            <w:noWrap w:val="0"/>
            <w:vAlign w:val="center"/>
          </w:tcPr>
          <w:p w14:paraId="7D89EC1B">
            <w:pPr>
              <w:tabs>
                <w:tab w:val="left" w:pos="720"/>
              </w:tabs>
              <w:spacing w:line="480" w:lineRule="exact"/>
              <w:jc w:val="center"/>
              <w:rPr>
                <w:rFonts w:hint="eastAsia" w:ascii="宋体" w:hAnsi="宋体" w:eastAsia="宋体" w:cs="宋体"/>
                <w:color w:val="auto"/>
                <w:sz w:val="24"/>
                <w:highlight w:val="none"/>
              </w:rPr>
            </w:pPr>
          </w:p>
        </w:tc>
        <w:tc>
          <w:tcPr>
            <w:tcW w:w="2554" w:type="dxa"/>
            <w:tcBorders>
              <w:right w:val="single" w:color="auto" w:sz="4" w:space="0"/>
            </w:tcBorders>
            <w:noWrap w:val="0"/>
            <w:vAlign w:val="center"/>
          </w:tcPr>
          <w:p w14:paraId="77A37BD6">
            <w:pPr>
              <w:pageBreakBefore w:val="0"/>
              <w:numPr>
                <w:ilvl w:val="0"/>
                <w:numId w:val="2"/>
              </w:numPr>
              <w:kinsoku/>
              <w:wordWrap/>
              <w:overflowPunct/>
              <w:topLinePunct w:val="0"/>
              <w:bidi w:val="0"/>
              <w:spacing w:before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成果管理保障措施（</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 xml:space="preserve"> 分）</w:t>
            </w:r>
          </w:p>
        </w:tc>
        <w:tc>
          <w:tcPr>
            <w:tcW w:w="5573" w:type="dxa"/>
            <w:tcBorders>
              <w:left w:val="single" w:color="auto" w:sz="4" w:space="0"/>
            </w:tcBorders>
            <w:noWrap w:val="0"/>
            <w:vAlign w:val="center"/>
          </w:tcPr>
          <w:p w14:paraId="06F6B775">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1、成果管理方案非常完善的，满足规范要求，充分考虑了针对本项目所采取的有效措施得</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p w14:paraId="7687B29E">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2、成果管理方案较完善的，基本满足规范要求，基本考虑了针对本项目所采取的有效措施得</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p w14:paraId="0E18CB82">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3、成果管理方案基本可行的得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14:paraId="6930D369">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4、不提供不得分。</w:t>
            </w:r>
          </w:p>
        </w:tc>
      </w:tr>
      <w:tr w14:paraId="1AD67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1" w:hRule="exact"/>
        </w:trPr>
        <w:tc>
          <w:tcPr>
            <w:tcW w:w="1506" w:type="dxa"/>
            <w:vMerge w:val="continue"/>
            <w:noWrap w:val="0"/>
            <w:vAlign w:val="center"/>
          </w:tcPr>
          <w:p w14:paraId="3B966DDC">
            <w:pPr>
              <w:tabs>
                <w:tab w:val="left" w:pos="720"/>
              </w:tabs>
              <w:spacing w:line="480" w:lineRule="exact"/>
              <w:jc w:val="center"/>
              <w:rPr>
                <w:rFonts w:hint="eastAsia" w:ascii="宋体" w:hAnsi="宋体" w:eastAsia="宋体" w:cs="宋体"/>
                <w:color w:val="auto"/>
                <w:sz w:val="24"/>
                <w:highlight w:val="none"/>
              </w:rPr>
            </w:pPr>
          </w:p>
        </w:tc>
        <w:tc>
          <w:tcPr>
            <w:tcW w:w="2554" w:type="dxa"/>
            <w:tcBorders>
              <w:right w:val="single" w:color="auto" w:sz="4" w:space="0"/>
            </w:tcBorders>
            <w:noWrap w:val="0"/>
            <w:vAlign w:val="center"/>
          </w:tcPr>
          <w:p w14:paraId="0C324424">
            <w:pPr>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6、项目实施难点及关键过程分析（</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分）</w:t>
            </w:r>
          </w:p>
        </w:tc>
        <w:tc>
          <w:tcPr>
            <w:tcW w:w="5573" w:type="dxa"/>
            <w:tcBorders>
              <w:left w:val="single" w:color="auto" w:sz="4" w:space="0"/>
            </w:tcBorders>
            <w:noWrap w:val="0"/>
            <w:vAlign w:val="center"/>
          </w:tcPr>
          <w:p w14:paraId="12AEE153">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1、项目实施难点及关键过程理解分析透彻，难点解决方法和方案科学合理，关键过程控制得当。分析透彻、方案合理、过程控制得当的得</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p w14:paraId="5710E3A8">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2、分析较透彻、方案较合理、过程控制较得当的得</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p w14:paraId="32A11FB0">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3、分析不够透彻、方案不够合理、过程控制不够得当的得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14:paraId="78559CC6">
            <w:pPr>
              <w:pageBreakBefore w:val="0"/>
              <w:kinsoku/>
              <w:wordWrap/>
              <w:overflowPunct/>
              <w:topLinePunct w:val="0"/>
              <w:bidi w:val="0"/>
              <w:spacing w:before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4、不提供不得分</w:t>
            </w:r>
          </w:p>
        </w:tc>
      </w:tr>
      <w:tr w14:paraId="3B3D1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1" w:hRule="exact"/>
        </w:trPr>
        <w:tc>
          <w:tcPr>
            <w:tcW w:w="1506" w:type="dxa"/>
            <w:vMerge w:val="continue"/>
            <w:noWrap w:val="0"/>
            <w:vAlign w:val="center"/>
          </w:tcPr>
          <w:p w14:paraId="1BDC7DBB">
            <w:pPr>
              <w:tabs>
                <w:tab w:val="left" w:pos="720"/>
              </w:tabs>
              <w:spacing w:line="480" w:lineRule="exact"/>
              <w:jc w:val="center"/>
              <w:rPr>
                <w:rFonts w:hint="eastAsia" w:ascii="宋体" w:hAnsi="宋体" w:eastAsia="宋体" w:cs="宋体"/>
                <w:color w:val="auto"/>
                <w:sz w:val="24"/>
                <w:highlight w:val="none"/>
              </w:rPr>
            </w:pPr>
          </w:p>
        </w:tc>
        <w:tc>
          <w:tcPr>
            <w:tcW w:w="2554" w:type="dxa"/>
            <w:tcBorders>
              <w:right w:val="single" w:color="auto" w:sz="4" w:space="0"/>
            </w:tcBorders>
            <w:noWrap w:val="0"/>
            <w:vAlign w:val="center"/>
          </w:tcPr>
          <w:p w14:paraId="52D381B6">
            <w:pPr>
              <w:pStyle w:val="6"/>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7、数据安全保障体系</w:t>
            </w:r>
          </w:p>
          <w:p w14:paraId="6F4D7A34">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val="en-US" w:eastAsia="zh-CN"/>
              </w:rPr>
              <w:t>分）</w:t>
            </w:r>
          </w:p>
        </w:tc>
        <w:tc>
          <w:tcPr>
            <w:tcW w:w="5573" w:type="dxa"/>
            <w:tcBorders>
              <w:left w:val="single" w:color="auto" w:sz="4" w:space="0"/>
            </w:tcBorders>
            <w:noWrap w:val="0"/>
            <w:vAlign w:val="center"/>
          </w:tcPr>
          <w:p w14:paraId="2755F82A">
            <w:pPr>
              <w:pStyle w:val="6"/>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rPr>
              <w:t>数据保密、数据整理的成果满足采购人要求并及时调整措施可行的，得</w:t>
            </w:r>
            <w:r>
              <w:rPr>
                <w:rFonts w:hint="eastAsia"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val="en-US" w:eastAsia="zh-CN"/>
              </w:rPr>
              <w:t>分；数据保密、数据整理的成果基本符合要求得</w:t>
            </w:r>
            <w:r>
              <w:rPr>
                <w:rFonts w:hint="eastAsia"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val="en-US" w:eastAsia="zh-CN"/>
              </w:rPr>
              <w:t>分；与本项目实际不符得</w:t>
            </w:r>
            <w:r>
              <w:rPr>
                <w:rFonts w:hint="eastAsia"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en-US" w:eastAsia="zh-CN"/>
              </w:rPr>
              <w:t>分；不提供不得分。</w:t>
            </w:r>
          </w:p>
        </w:tc>
      </w:tr>
      <w:tr w14:paraId="6E1FB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6" w:hRule="exact"/>
        </w:trPr>
        <w:tc>
          <w:tcPr>
            <w:tcW w:w="1506" w:type="dxa"/>
            <w:vMerge w:val="restart"/>
            <w:tcBorders>
              <w:right w:val="single" w:color="auto" w:sz="4" w:space="0"/>
            </w:tcBorders>
            <w:noWrap w:val="0"/>
            <w:vAlign w:val="center"/>
          </w:tcPr>
          <w:p w14:paraId="2446FD0D">
            <w:pPr>
              <w:spacing w:before="39" w:line="480" w:lineRule="exact"/>
              <w:ind w:left="105" w:leftChars="50" w:right="105" w:rightChar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商务标</w:t>
            </w:r>
          </w:p>
          <w:p w14:paraId="6AB735F7">
            <w:pPr>
              <w:autoSpaceDE w:val="0"/>
              <w:autoSpaceDN w:val="0"/>
              <w:spacing w:before="154" w:line="48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eastAsia="zh-CN"/>
              </w:rPr>
              <w:t>（</w:t>
            </w:r>
            <w:r>
              <w:rPr>
                <w:rFonts w:hint="eastAsia" w:ascii="宋体" w:hAnsi="宋体" w:cs="宋体"/>
                <w:b/>
                <w:color w:val="auto"/>
                <w:kern w:val="0"/>
                <w:sz w:val="24"/>
                <w:highlight w:val="none"/>
                <w:lang w:val="en-US" w:eastAsia="zh-CN"/>
              </w:rPr>
              <w:t>20</w:t>
            </w:r>
            <w:r>
              <w:rPr>
                <w:rFonts w:hint="eastAsia" w:ascii="宋体" w:hAnsi="宋体" w:eastAsia="宋体" w:cs="宋体"/>
                <w:b/>
                <w:color w:val="auto"/>
                <w:kern w:val="0"/>
                <w:sz w:val="24"/>
                <w:highlight w:val="none"/>
              </w:rPr>
              <w:t>分</w:t>
            </w:r>
            <w:r>
              <w:rPr>
                <w:rFonts w:hint="eastAsia" w:ascii="宋体" w:hAnsi="宋体" w:eastAsia="宋体" w:cs="宋体"/>
                <w:b/>
                <w:color w:val="auto"/>
                <w:kern w:val="0"/>
                <w:sz w:val="24"/>
                <w:highlight w:val="none"/>
                <w:lang w:eastAsia="zh-CN"/>
              </w:rPr>
              <w:t>）</w:t>
            </w:r>
          </w:p>
        </w:tc>
        <w:tc>
          <w:tcPr>
            <w:tcW w:w="2554" w:type="dxa"/>
            <w:tcBorders>
              <w:left w:val="single" w:color="auto" w:sz="4" w:space="0"/>
            </w:tcBorders>
            <w:noWrap w:val="0"/>
            <w:vAlign w:val="center"/>
          </w:tcPr>
          <w:p w14:paraId="05DEB0C3">
            <w:pPr>
              <w:autoSpaceDE w:val="0"/>
              <w:autoSpaceDN w:val="0"/>
              <w:jc w:val="center"/>
              <w:rPr>
                <w:rFonts w:ascii="宋体" w:hAnsi="宋体" w:cs="宋体"/>
                <w:color w:val="auto"/>
                <w:sz w:val="24"/>
                <w:szCs w:val="24"/>
                <w:highlight w:val="none"/>
              </w:rPr>
            </w:pPr>
            <w:r>
              <w:rPr>
                <w:rFonts w:hint="eastAsia" w:ascii="宋体" w:hAnsi="宋体" w:cs="宋体"/>
                <w:color w:val="auto"/>
                <w:sz w:val="24"/>
                <w:szCs w:val="24"/>
                <w:highlight w:val="none"/>
              </w:rPr>
              <w:t>企业业绩</w:t>
            </w:r>
          </w:p>
          <w:p w14:paraId="30C8B39F">
            <w:pPr>
              <w:autoSpaceDE w:val="0"/>
              <w:autoSpaceDN w:val="0"/>
              <w:jc w:val="center"/>
              <w:rPr>
                <w:rFonts w:hint="eastAsia" w:ascii="宋体" w:hAnsi="宋体" w:eastAsia="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tc>
        <w:tc>
          <w:tcPr>
            <w:tcW w:w="5573" w:type="dxa"/>
            <w:noWrap w:val="0"/>
            <w:vAlign w:val="center"/>
          </w:tcPr>
          <w:p w14:paraId="1C66A33C">
            <w:pPr>
              <w:pStyle w:val="5"/>
              <w:spacing w:line="360" w:lineRule="auto"/>
              <w:rPr>
                <w:rFonts w:hint="eastAsia"/>
                <w:color w:val="auto"/>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须提供自202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年1月1日以来（以合同签订日期为准）的类似项目业绩</w:t>
            </w:r>
            <w:r>
              <w:rPr>
                <w:rFonts w:hint="eastAsia" w:ascii="宋体" w:hAnsi="宋体" w:eastAsia="宋体" w:cs="宋体"/>
                <w:color w:val="auto"/>
                <w:sz w:val="24"/>
                <w:szCs w:val="24"/>
                <w:highlight w:val="none"/>
                <w:lang w:eastAsia="zh-CN"/>
              </w:rPr>
              <w:t>（基本农田、</w:t>
            </w:r>
            <w:r>
              <w:rPr>
                <w:rFonts w:hint="eastAsia" w:ascii="宋体" w:hAnsi="宋体" w:eastAsia="宋体" w:cs="宋体"/>
                <w:color w:val="auto"/>
                <w:sz w:val="24"/>
                <w:szCs w:val="24"/>
                <w:highlight w:val="none"/>
                <w:lang w:val="en-US" w:eastAsia="zh-CN"/>
              </w:rPr>
              <w:t>耕地“进出平衡”、两区划定、土地利用规划等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每项得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文件中附合同原件扫描件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中标通知书原件扫描件，否则不得分</w:t>
            </w:r>
            <w:r>
              <w:rPr>
                <w:rFonts w:hint="eastAsia" w:ascii="宋体" w:hAnsi="宋体" w:eastAsia="宋体" w:cs="宋体"/>
                <w:color w:val="auto"/>
                <w:sz w:val="24"/>
                <w:szCs w:val="24"/>
                <w:highlight w:val="none"/>
                <w:lang w:eastAsia="zh-CN"/>
              </w:rPr>
              <w:t>。</w:t>
            </w:r>
          </w:p>
        </w:tc>
      </w:tr>
      <w:tr w14:paraId="41E6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7" w:hRule="exact"/>
        </w:trPr>
        <w:tc>
          <w:tcPr>
            <w:tcW w:w="1506" w:type="dxa"/>
            <w:vMerge w:val="continue"/>
            <w:tcBorders>
              <w:right w:val="single" w:color="auto" w:sz="4" w:space="0"/>
            </w:tcBorders>
            <w:noWrap w:val="0"/>
            <w:vAlign w:val="center"/>
          </w:tcPr>
          <w:p w14:paraId="241E3773">
            <w:pPr>
              <w:autoSpaceDE w:val="0"/>
              <w:autoSpaceDN w:val="0"/>
              <w:spacing w:before="154" w:line="480" w:lineRule="exact"/>
              <w:jc w:val="center"/>
              <w:rPr>
                <w:rFonts w:hint="eastAsia" w:ascii="宋体" w:hAnsi="宋体" w:eastAsia="宋体" w:cs="宋体"/>
                <w:b/>
                <w:color w:val="auto"/>
                <w:kern w:val="0"/>
                <w:sz w:val="24"/>
                <w:highlight w:val="none"/>
                <w:lang w:eastAsia="zh-CN"/>
              </w:rPr>
            </w:pPr>
          </w:p>
        </w:tc>
        <w:tc>
          <w:tcPr>
            <w:tcW w:w="2554" w:type="dxa"/>
            <w:tcBorders>
              <w:left w:val="single" w:color="auto" w:sz="4" w:space="0"/>
            </w:tcBorders>
            <w:noWrap w:val="0"/>
            <w:vAlign w:val="center"/>
          </w:tcPr>
          <w:p w14:paraId="54AE6EFF">
            <w:pPr>
              <w:autoSpaceDE w:val="0"/>
              <w:autoSpaceDN w:val="0"/>
              <w:jc w:val="center"/>
              <w:rPr>
                <w:rFonts w:hint="eastAsia" w:ascii="宋体" w:hAnsi="宋体" w:eastAsia="宋体" w:cs="宋体"/>
                <w:color w:val="auto"/>
                <w:sz w:val="24"/>
                <w:highlight w:val="none"/>
              </w:rPr>
            </w:pPr>
            <w:r>
              <w:rPr>
                <w:rFonts w:hint="eastAsia" w:ascii="宋体" w:hAnsi="宋体" w:cs="宋体"/>
                <w:color w:val="auto"/>
                <w:sz w:val="24"/>
                <w:szCs w:val="24"/>
                <w:highlight w:val="none"/>
              </w:rPr>
              <w:t>人员配备（</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tc>
        <w:tc>
          <w:tcPr>
            <w:tcW w:w="5573" w:type="dxa"/>
            <w:noWrap w:val="0"/>
            <w:vAlign w:val="center"/>
          </w:tcPr>
          <w:p w14:paraId="4CFDE145">
            <w:pPr>
              <w:numPr>
                <w:ilvl w:val="0"/>
                <w:numId w:val="0"/>
              </w:numPr>
              <w:spacing w:line="360" w:lineRule="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（1）项目主要人员中每提供一个具有中级及以上技术职称得3分，最多得6分；</w:t>
            </w:r>
          </w:p>
          <w:p w14:paraId="06C32843">
            <w:pPr>
              <w:numPr>
                <w:ilvl w:val="0"/>
                <w:numId w:val="0"/>
              </w:numPr>
              <w:spacing w:line="360" w:lineRule="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（2）项目成员中有涉密证书的每个得2分，最高的4分；（以上所有人员需出具上述证件原件扫描件及</w:t>
            </w:r>
            <w:r>
              <w:rPr>
                <w:rFonts w:hint="eastAsia" w:ascii="宋体" w:hAnsi="宋体" w:eastAsia="宋体" w:cs="宋体"/>
                <w:color w:val="auto"/>
                <w:sz w:val="24"/>
                <w:highlight w:val="none"/>
                <w:lang w:val="en-US" w:eastAsia="zh-CN"/>
              </w:rPr>
              <w:t>近半年</w:t>
            </w:r>
            <w:r>
              <w:rPr>
                <w:rFonts w:hint="eastAsia" w:ascii="宋体" w:hAnsi="宋体" w:eastAsia="宋体" w:cs="宋体"/>
                <w:color w:val="auto"/>
                <w:sz w:val="24"/>
                <w:highlight w:val="none"/>
                <w:lang w:val="en-US"/>
              </w:rPr>
              <w:t>来本单位为其缴纳的任意</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rPr>
              <w:t>个月社保证明）</w:t>
            </w:r>
          </w:p>
        </w:tc>
      </w:tr>
      <w:tr w14:paraId="5A183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506" w:type="dxa"/>
            <w:vMerge w:val="continue"/>
            <w:tcBorders>
              <w:right w:val="single" w:color="auto" w:sz="4" w:space="0"/>
            </w:tcBorders>
            <w:noWrap w:val="0"/>
            <w:vAlign w:val="center"/>
          </w:tcPr>
          <w:p w14:paraId="4B2C7BE0">
            <w:pPr>
              <w:autoSpaceDE w:val="0"/>
              <w:autoSpaceDN w:val="0"/>
              <w:spacing w:before="154" w:line="480" w:lineRule="exact"/>
              <w:jc w:val="center"/>
              <w:rPr>
                <w:rFonts w:hint="eastAsia" w:ascii="宋体" w:hAnsi="宋体" w:eastAsia="宋体" w:cs="宋体"/>
                <w:color w:val="auto"/>
                <w:kern w:val="0"/>
                <w:sz w:val="24"/>
                <w:highlight w:val="none"/>
              </w:rPr>
            </w:pPr>
          </w:p>
        </w:tc>
        <w:tc>
          <w:tcPr>
            <w:tcW w:w="2554" w:type="dxa"/>
            <w:tcBorders>
              <w:left w:val="single" w:color="auto" w:sz="4" w:space="0"/>
            </w:tcBorders>
            <w:noWrap w:val="0"/>
            <w:vAlign w:val="center"/>
          </w:tcPr>
          <w:p w14:paraId="62977603">
            <w:pPr>
              <w:autoSpaceDE w:val="0"/>
              <w:autoSpaceDN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服务承诺（</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tc>
        <w:tc>
          <w:tcPr>
            <w:tcW w:w="5573" w:type="dxa"/>
            <w:noWrap w:val="0"/>
            <w:vAlign w:val="center"/>
          </w:tcPr>
          <w:p w14:paraId="3138DE1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服务承诺包含但不限于监测管理措施、质量保证措施、确保服务周期、后期服务配合等内容；</w:t>
            </w:r>
          </w:p>
          <w:p w14:paraId="632537E6">
            <w:pPr>
              <w:numPr>
                <w:ilvl w:val="0"/>
                <w:numId w:val="3"/>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内容完整详细，科学严谨，完全贴合项目实际情况的得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5D9A339B">
            <w:pPr>
              <w:numPr>
                <w:ilvl w:val="0"/>
                <w:numId w:val="3"/>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内容较为完整，较能贴合项目实际情况的得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124FA9EF">
            <w:pPr>
              <w:numPr>
                <w:ilvl w:val="0"/>
                <w:numId w:val="3"/>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内容基本满足项目要求的得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047BDD39">
            <w:pPr>
              <w:numPr>
                <w:ilvl w:val="0"/>
                <w:numId w:val="3"/>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无内容或缺项的不得分；</w:t>
            </w:r>
          </w:p>
        </w:tc>
      </w:tr>
    </w:tbl>
    <w:p w14:paraId="1D82293C">
      <w:pPr>
        <w:widowControl/>
        <w:jc w:val="left"/>
        <w:rPr>
          <w:rFonts w:hint="eastAsia" w:ascii="宋体" w:hAnsi="宋体" w:eastAsia="宋体" w:cs="宋体"/>
          <w:color w:val="auto"/>
          <w:highlight w:val="none"/>
        </w:rPr>
      </w:pPr>
      <w:r>
        <w:rPr>
          <w:rFonts w:hint="eastAsia" w:ascii="宋体" w:hAnsi="宋体" w:eastAsia="宋体" w:cs="宋体"/>
          <w:color w:val="auto"/>
          <w:sz w:val="24"/>
          <w:highlight w:val="none"/>
        </w:rPr>
        <w:t>注：评标过程中涉及到资格审查、企业荣誉、人员业绩、企业业绩等计分部分时，以投标单位自行上传到投标文件中的相应内容为准。</w:t>
      </w:r>
    </w:p>
    <w:bookmarkEnd w:id="318"/>
    <w:bookmarkEnd w:id="319"/>
    <w:p w14:paraId="36D1106C">
      <w:pPr>
        <w:tabs>
          <w:tab w:val="left" w:pos="1835"/>
        </w:tabs>
        <w:jc w:val="center"/>
        <w:outlineLvl w:val="0"/>
        <w:rPr>
          <w:rFonts w:hint="eastAsia" w:ascii="宋体" w:hAnsi="宋体" w:eastAsia="宋体" w:cs="宋体"/>
          <w:b/>
          <w:bCs/>
          <w:color w:val="auto"/>
          <w:sz w:val="32"/>
          <w:szCs w:val="32"/>
          <w:highlight w:val="none"/>
        </w:rPr>
      </w:pPr>
      <w:bookmarkStart w:id="322" w:name="_Toc508179890"/>
      <w:bookmarkStart w:id="323" w:name="_Toc31366"/>
      <w:bookmarkStart w:id="324" w:name="_Toc16520167"/>
      <w:bookmarkStart w:id="325" w:name="_Toc16520679"/>
      <w:bookmarkStart w:id="326" w:name="_Toc32577"/>
      <w:bookmarkStart w:id="327" w:name="_Toc121405494"/>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 xml:space="preserve">第五章 </w:t>
      </w:r>
      <w:bookmarkEnd w:id="322"/>
      <w:r>
        <w:rPr>
          <w:rFonts w:hint="eastAsia" w:ascii="宋体" w:hAnsi="宋体" w:eastAsia="宋体" w:cs="宋体"/>
          <w:b/>
          <w:bCs/>
          <w:color w:val="auto"/>
          <w:sz w:val="32"/>
          <w:szCs w:val="32"/>
          <w:highlight w:val="none"/>
        </w:rPr>
        <w:t>合同协议书</w:t>
      </w:r>
      <w:bookmarkEnd w:id="323"/>
      <w:bookmarkEnd w:id="324"/>
      <w:bookmarkEnd w:id="325"/>
      <w:bookmarkEnd w:id="326"/>
      <w:bookmarkEnd w:id="327"/>
    </w:p>
    <w:p w14:paraId="7C08D763">
      <w:pPr>
        <w:pStyle w:val="14"/>
        <w:spacing w:line="360" w:lineRule="auto"/>
        <w:ind w:firstLine="480" w:firstLineChars="200"/>
        <w:rPr>
          <w:rFonts w:hint="eastAsia" w:ascii="宋体" w:hAnsi="宋体" w:eastAsia="宋体" w:cs="宋体"/>
          <w:color w:val="auto"/>
          <w:kern w:val="2"/>
          <w:sz w:val="24"/>
          <w:szCs w:val="24"/>
          <w:highlight w:val="none"/>
          <w:lang w:val="en-US" w:eastAsia="zh-CN" w:bidi="ar-SA"/>
        </w:rPr>
      </w:pPr>
      <w:bookmarkStart w:id="328" w:name="_Hlt16619369"/>
      <w:bookmarkEnd w:id="328"/>
      <w:bookmarkStart w:id="329" w:name="_Toc121405495"/>
      <w:bookmarkStart w:id="330" w:name="_Toc26125"/>
      <w:bookmarkStart w:id="331" w:name="_Toc16520680"/>
      <w:bookmarkStart w:id="332" w:name="_Toc16520168"/>
      <w:bookmarkStart w:id="333" w:name="_Toc508179891"/>
      <w:bookmarkStart w:id="334" w:name="_Toc5473"/>
      <w:r>
        <w:rPr>
          <w:rFonts w:hint="eastAsia" w:ascii="宋体" w:hAnsi="宋体" w:eastAsia="宋体" w:cs="宋体"/>
          <w:color w:val="auto"/>
          <w:kern w:val="0"/>
          <w:sz w:val="24"/>
          <w:szCs w:val="24"/>
          <w:highlight w:val="none"/>
          <w:lang w:val="zh-CN"/>
        </w:rPr>
        <w:t>按《三门峡市财政局关于市本级政府采购合同备案管理工作的通知》（三</w:t>
      </w:r>
      <w:r>
        <w:rPr>
          <w:rFonts w:hint="eastAsia" w:ascii="宋体" w:hAnsi="宋体" w:eastAsia="宋体" w:cs="宋体"/>
          <w:color w:val="auto"/>
          <w:kern w:val="0"/>
          <w:sz w:val="24"/>
          <w:szCs w:val="24"/>
          <w:highlight w:val="none"/>
          <w:lang w:val="en-US" w:eastAsia="zh-CN"/>
        </w:rPr>
        <w:t>陕财预</w:t>
      </w:r>
      <w:r>
        <w:rPr>
          <w:rFonts w:hint="eastAsia" w:ascii="宋体" w:hAnsi="宋体" w:eastAsia="宋体" w:cs="宋体"/>
          <w:color w:val="auto"/>
          <w:kern w:val="0"/>
          <w:sz w:val="24"/>
          <w:szCs w:val="24"/>
          <w:highlight w:val="none"/>
          <w:lang w:val="zh-CN"/>
        </w:rPr>
        <w:t>[202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800</w:t>
      </w:r>
      <w:r>
        <w:rPr>
          <w:rFonts w:hint="eastAsia" w:ascii="宋体" w:hAnsi="宋体" w:eastAsia="宋体" w:cs="宋体"/>
          <w:color w:val="auto"/>
          <w:kern w:val="0"/>
          <w:sz w:val="24"/>
          <w:szCs w:val="24"/>
          <w:highlight w:val="none"/>
          <w:lang w:val="zh-CN"/>
        </w:rPr>
        <w:t>号）文要求，集中采购目录以外政府采购项目，原则上自中标通知书发出之日起2个工作日内与中标（成交）人按照采购文件确定的事项与成交人签订政府采购合同。</w:t>
      </w:r>
    </w:p>
    <w:p w14:paraId="6825AE94">
      <w:pPr>
        <w:spacing w:before="133" w:line="360" w:lineRule="auto"/>
        <w:ind w:left="1277"/>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（此合同范本仅供参考，具体以签订正式合同时为</w:t>
      </w:r>
      <w:r>
        <w:rPr>
          <w:rFonts w:hint="eastAsia" w:ascii="宋体" w:hAnsi="宋体" w:eastAsia="宋体" w:cs="宋体"/>
          <w:b/>
          <w:bCs/>
          <w:color w:val="auto"/>
          <w:spacing w:val="-4"/>
          <w:sz w:val="24"/>
          <w:szCs w:val="24"/>
          <w:highlight w:val="none"/>
        </w:rPr>
        <w:t>准）</w:t>
      </w:r>
    </w:p>
    <w:p w14:paraId="386E0472">
      <w:pPr>
        <w:spacing w:before="29" w:line="360" w:lineRule="auto"/>
        <w:ind w:left="488" w:firstLine="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采购人（甲方）：</w:t>
      </w:r>
    </w:p>
    <w:p w14:paraId="1EB6D098">
      <w:pPr>
        <w:spacing w:before="29" w:line="360" w:lineRule="auto"/>
        <w:ind w:left="488" w:firstLine="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供应商（乙方）：</w:t>
      </w:r>
    </w:p>
    <w:p w14:paraId="35A1DC7B">
      <w:pPr>
        <w:spacing w:before="29" w:line="360" w:lineRule="auto"/>
        <w:ind w:left="488" w:firstLine="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p>
    <w:p w14:paraId="1B0C8DAE">
      <w:pPr>
        <w:spacing w:before="29" w:line="360" w:lineRule="auto"/>
        <w:ind w:left="488" w:firstLine="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p>
    <w:p w14:paraId="71A34FFE">
      <w:pPr>
        <w:keepNext w:val="0"/>
        <w:keepLines w:val="0"/>
        <w:pageBreakBefore w:val="0"/>
        <w:widowControl w:val="0"/>
        <w:kinsoku/>
        <w:wordWrap/>
        <w:overflowPunct/>
        <w:topLinePunct w:val="0"/>
        <w:autoSpaceDE/>
        <w:autoSpaceDN/>
        <w:bidi w:val="0"/>
        <w:adjustRightInd/>
        <w:snapToGrid/>
        <w:spacing w:before="29" w:line="360" w:lineRule="auto"/>
        <w:ind w:left="488"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本项目经</w:t>
      </w:r>
      <w:r>
        <w:rPr>
          <w:rFonts w:hint="eastAsia" w:ascii="宋体" w:hAnsi="宋体" w:eastAsia="宋体" w:cs="宋体"/>
          <w:color w:val="auto"/>
          <w:sz w:val="24"/>
          <w:szCs w:val="24"/>
          <w:highlight w:val="none"/>
          <w:lang w:val="en-US" w:eastAsia="zh-CN"/>
        </w:rPr>
        <w:t>相关单位</w:t>
      </w:r>
      <w:r>
        <w:rPr>
          <w:rFonts w:hint="eastAsia" w:ascii="宋体" w:hAnsi="宋体" w:eastAsia="宋体" w:cs="宋体"/>
          <w:color w:val="auto"/>
          <w:sz w:val="24"/>
          <w:szCs w:val="24"/>
          <w:highlight w:val="none"/>
        </w:rPr>
        <w:t>批准,由 （以下简称“采购代理机</w:t>
      </w:r>
      <w:r>
        <w:rPr>
          <w:rFonts w:hint="eastAsia" w:ascii="宋体" w:hAnsi="宋体" w:eastAsia="宋体" w:cs="宋体"/>
          <w:color w:val="auto"/>
          <w:spacing w:val="-3"/>
          <w:sz w:val="24"/>
          <w:szCs w:val="24"/>
          <w:highlight w:val="none"/>
        </w:rPr>
        <w:t>构”）依法组织采购，经磋商小组评审，决定将政府采购合同授予乙方。为进一步明确甲</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乙双方的责任，确保合同顺利履行，根据《中华人民共和国政府采购法》及其实施条例、</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7"/>
          <w:sz w:val="24"/>
          <w:szCs w:val="24"/>
          <w:highlight w:val="none"/>
        </w:rPr>
        <w:t>《中华人民共和国合同法》以及本项目中标（成交）结果，甲乙双方充分协商，订立合同，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7"/>
          <w:sz w:val="24"/>
          <w:szCs w:val="24"/>
          <w:highlight w:val="none"/>
        </w:rPr>
        <w:t>共同遵守。</w:t>
      </w:r>
    </w:p>
    <w:p w14:paraId="787E7BB3">
      <w:pPr>
        <w:spacing w:before="35" w:line="360" w:lineRule="auto"/>
        <w:ind w:left="492"/>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第一条</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spacing w:val="-2"/>
          <w:sz w:val="24"/>
          <w:szCs w:val="24"/>
          <w:highlight w:val="none"/>
        </w:rPr>
        <w:t>服务对象基本情况</w:t>
      </w:r>
    </w:p>
    <w:p w14:paraId="37F001C6">
      <w:pPr>
        <w:spacing w:before="294" w:line="360" w:lineRule="auto"/>
        <w:ind w:left="489"/>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9"/>
          <w:sz w:val="24"/>
          <w:szCs w:val="24"/>
          <w:highlight w:val="none"/>
        </w:rPr>
        <w:t>服务类型：</w:t>
      </w:r>
      <w:r>
        <w:rPr>
          <w:rFonts w:hint="eastAsia" w:ascii="宋体" w:hAnsi="宋体" w:eastAsia="宋体" w:cs="宋体"/>
          <w:color w:val="auto"/>
          <w:spacing w:val="-1"/>
          <w:sz w:val="24"/>
          <w:szCs w:val="24"/>
          <w:highlight w:val="none"/>
        </w:rPr>
        <w:t>________</w:t>
      </w:r>
    </w:p>
    <w:p w14:paraId="1604E0BD">
      <w:pPr>
        <w:spacing w:before="304" w:line="36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其他必要内容  ________</w:t>
      </w:r>
    </w:p>
    <w:p w14:paraId="36028E93">
      <w:pPr>
        <w:spacing w:before="303" w:line="360" w:lineRule="auto"/>
        <w:ind w:left="492"/>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第二条</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具体服务事项</w:t>
      </w:r>
    </w:p>
    <w:p w14:paraId="26E40AC8">
      <w:pPr>
        <w:pStyle w:val="2"/>
        <w:spacing w:line="360" w:lineRule="auto"/>
        <w:rPr>
          <w:rFonts w:hint="eastAsia" w:ascii="宋体" w:hAnsi="宋体" w:eastAsia="宋体" w:cs="宋体"/>
          <w:color w:val="auto"/>
          <w:sz w:val="24"/>
          <w:szCs w:val="24"/>
          <w:highlight w:val="none"/>
        </w:rPr>
      </w:pPr>
    </w:p>
    <w:p w14:paraId="706F7708">
      <w:pPr>
        <w:spacing w:line="360" w:lineRule="auto"/>
        <w:ind w:right="98" w:firstLine="492"/>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lang w:val="en-US" w:eastAsia="zh-CN"/>
        </w:rPr>
        <w:t xml:space="preserve">1、 </w:t>
      </w:r>
    </w:p>
    <w:p w14:paraId="1962F796">
      <w:pPr>
        <w:spacing w:line="360" w:lineRule="auto"/>
        <w:ind w:right="98" w:firstLine="492"/>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lang w:val="en-US" w:eastAsia="zh-CN"/>
        </w:rPr>
        <w:t xml:space="preserve">2、 </w:t>
      </w:r>
    </w:p>
    <w:p w14:paraId="4C452260">
      <w:pPr>
        <w:spacing w:line="360" w:lineRule="auto"/>
        <w:ind w:right="98" w:firstLine="492"/>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w:t>
      </w:r>
    </w:p>
    <w:p w14:paraId="2D0081C3">
      <w:pPr>
        <w:spacing w:line="360" w:lineRule="auto"/>
        <w:ind w:right="98" w:firstLine="49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第三条</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spacing w:val="-2"/>
          <w:sz w:val="24"/>
          <w:szCs w:val="24"/>
          <w:highlight w:val="none"/>
        </w:rPr>
        <w:t>服务期限</w:t>
      </w:r>
      <w:r>
        <w:rPr>
          <w:rFonts w:hint="eastAsia" w:ascii="宋体" w:hAnsi="宋体" w:eastAsia="宋体" w:cs="宋体"/>
          <w:color w:val="auto"/>
          <w:spacing w:val="-2"/>
          <w:sz w:val="24"/>
          <w:szCs w:val="24"/>
          <w:highlight w:val="none"/>
        </w:rPr>
        <w:t>为</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年。自</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年</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月</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时起至</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年</w:t>
      </w:r>
      <w:r>
        <w:rPr>
          <w:rFonts w:hint="eastAsia" w:ascii="宋体" w:hAnsi="宋体" w:eastAsia="宋体" w:cs="宋体"/>
          <w:color w:val="auto"/>
          <w:spacing w:val="23"/>
          <w:sz w:val="24"/>
          <w:szCs w:val="24"/>
          <w:highlight w:val="none"/>
        </w:rPr>
        <w:t>____月</w:t>
      </w:r>
      <w:r>
        <w:rPr>
          <w:rFonts w:hint="eastAsia" w:ascii="宋体" w:hAnsi="宋体" w:eastAsia="宋体" w:cs="宋体"/>
          <w:color w:val="auto"/>
          <w:spacing w:val="29"/>
          <w:sz w:val="24"/>
          <w:szCs w:val="24"/>
          <w:highlight w:val="none"/>
        </w:rPr>
        <w:t>＿＿＿＿</w:t>
      </w:r>
      <w:r>
        <w:rPr>
          <w:rFonts w:hint="eastAsia" w:ascii="宋体" w:hAnsi="宋体" w:eastAsia="宋体" w:cs="宋体"/>
          <w:color w:val="auto"/>
          <w:spacing w:val="23"/>
          <w:sz w:val="24"/>
          <w:szCs w:val="24"/>
          <w:highlight w:val="none"/>
        </w:rPr>
        <w:t>日</w:t>
      </w:r>
      <w:r>
        <w:rPr>
          <w:rFonts w:hint="eastAsia" w:ascii="宋体" w:hAnsi="宋体" w:eastAsia="宋体" w:cs="宋体"/>
          <w:color w:val="auto"/>
          <w:spacing w:val="29"/>
          <w:sz w:val="24"/>
          <w:szCs w:val="24"/>
          <w:highlight w:val="none"/>
        </w:rPr>
        <w:t>＿＿＿＿</w:t>
      </w:r>
      <w:r>
        <w:rPr>
          <w:rFonts w:hint="eastAsia" w:ascii="宋体" w:hAnsi="宋体" w:eastAsia="宋体" w:cs="宋体"/>
          <w:color w:val="auto"/>
          <w:spacing w:val="23"/>
          <w:sz w:val="24"/>
          <w:szCs w:val="24"/>
          <w:highlight w:val="none"/>
        </w:rPr>
        <w:t>时止。</w:t>
      </w:r>
    </w:p>
    <w:p w14:paraId="0FF0CAB5">
      <w:pPr>
        <w:spacing w:before="43" w:line="360" w:lineRule="auto"/>
        <w:ind w:left="492"/>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第四条</w:t>
      </w:r>
      <w:r>
        <w:rPr>
          <w:rFonts w:hint="eastAsia" w:ascii="宋体" w:hAnsi="宋体" w:eastAsia="宋体" w:cs="宋体"/>
          <w:color w:val="auto"/>
          <w:spacing w:val="16"/>
          <w:sz w:val="24"/>
          <w:szCs w:val="24"/>
          <w:highlight w:val="none"/>
        </w:rPr>
        <w:t xml:space="preserve">   </w:t>
      </w:r>
      <w:r>
        <w:rPr>
          <w:rFonts w:hint="eastAsia" w:ascii="宋体" w:hAnsi="宋体" w:eastAsia="宋体" w:cs="宋体"/>
          <w:b/>
          <w:bCs/>
          <w:color w:val="auto"/>
          <w:spacing w:val="-8"/>
          <w:sz w:val="24"/>
          <w:szCs w:val="24"/>
          <w:highlight w:val="none"/>
        </w:rPr>
        <w:t>甲方权利义务</w:t>
      </w:r>
    </w:p>
    <w:p w14:paraId="0137DC32">
      <w:pPr>
        <w:spacing w:before="292" w:line="360" w:lineRule="auto"/>
        <w:ind w:left="5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1、甲方有对乙方提出改进服务意见的权利，</w:t>
      </w:r>
      <w:r>
        <w:rPr>
          <w:rFonts w:hint="eastAsia" w:ascii="宋体" w:hAnsi="宋体" w:eastAsia="宋体" w:cs="宋体"/>
          <w:color w:val="auto"/>
          <w:spacing w:val="-3"/>
          <w:sz w:val="24"/>
          <w:szCs w:val="24"/>
          <w:highlight w:val="none"/>
        </w:rPr>
        <w:t>监督乙方工作。</w:t>
      </w:r>
    </w:p>
    <w:p w14:paraId="49BDF4F3">
      <w:pPr>
        <w:spacing w:before="295" w:line="36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2、甲方负责协助乙方做好一切外部事物的处理与协调工作。</w:t>
      </w:r>
    </w:p>
    <w:p w14:paraId="2CB3ABE9">
      <w:pPr>
        <w:spacing w:before="292" w:line="360" w:lineRule="auto"/>
        <w:ind w:left="507"/>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3、乙方在工作中需要甲方工作人员协助的，甲方应积极配合。</w:t>
      </w:r>
    </w:p>
    <w:p w14:paraId="12BFE58E">
      <w:pPr>
        <w:spacing w:before="292" w:line="360" w:lineRule="auto"/>
        <w:ind w:left="507"/>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4、合同签订期限为     年。</w:t>
      </w:r>
    </w:p>
    <w:p w14:paraId="0509E849">
      <w:pPr>
        <w:spacing w:before="43" w:line="360" w:lineRule="auto"/>
        <w:ind w:left="492"/>
        <w:outlineLvl w:val="1"/>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第五条   乙方权利义务</w:t>
      </w:r>
    </w:p>
    <w:p w14:paraId="67F39D35">
      <w:pPr>
        <w:spacing w:before="292" w:line="360" w:lineRule="auto"/>
        <w:ind w:left="507"/>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1、乙方应根据有关法律法规及本合同约定，制定具体服务管理制度。</w:t>
      </w:r>
    </w:p>
    <w:p w14:paraId="6FDF0488">
      <w:pPr>
        <w:spacing w:before="39" w:line="360" w:lineRule="auto"/>
        <w:ind w:firstLine="48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2、乙方应接受甲方的监督和考核， 遵守甲方的规章制度，根据合同约定，服从甲方安排。</w:t>
      </w:r>
    </w:p>
    <w:p w14:paraId="38B4CD62">
      <w:pPr>
        <w:spacing w:before="39" w:line="360" w:lineRule="auto"/>
        <w:ind w:firstLine="48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3、在工作区域内乙方人员提供管理服务过程中，因乙方人员的故意或过失，造成甲乙双方或任何第三方的人身损害或财产损失，乙方承担一切法律责任与赔偿。</w:t>
      </w:r>
    </w:p>
    <w:p w14:paraId="2836E59F">
      <w:pPr>
        <w:spacing w:before="39" w:line="360" w:lineRule="auto"/>
        <w:ind w:firstLine="480"/>
        <w:outlineLvl w:val="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4"/>
          <w:sz w:val="24"/>
          <w:szCs w:val="24"/>
          <w:highlight w:val="none"/>
          <w:lang w:val="en-US" w:eastAsia="zh-CN"/>
        </w:rPr>
        <w:t>、详见合同约定内容</w:t>
      </w:r>
    </w:p>
    <w:p w14:paraId="7B0B58D9">
      <w:pPr>
        <w:spacing w:before="39" w:line="360" w:lineRule="auto"/>
        <w:ind w:firstLine="480"/>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w:t>
      </w:r>
    </w:p>
    <w:p w14:paraId="18FC1627">
      <w:pPr>
        <w:spacing w:before="39" w:line="360" w:lineRule="auto"/>
        <w:ind w:firstLine="480"/>
        <w:outlineLvl w:val="1"/>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第六条   服务目标</w:t>
      </w:r>
    </w:p>
    <w:p w14:paraId="3070F2E0">
      <w:pPr>
        <w:spacing w:before="39" w:line="360" w:lineRule="auto"/>
        <w:ind w:firstLine="480"/>
        <w:rPr>
          <w:rFonts w:hint="eastAsia" w:ascii="宋体" w:hAnsi="宋体" w:eastAsia="宋体" w:cs="宋体"/>
          <w:color w:val="auto"/>
          <w:spacing w:val="-4"/>
          <w:sz w:val="24"/>
          <w:szCs w:val="24"/>
          <w:highlight w:val="none"/>
        </w:rPr>
      </w:pPr>
      <w:r>
        <w:rPr>
          <w:rFonts w:hint="eastAsia" w:ascii="宋体" w:hAnsi="宋体" w:eastAsia="宋体" w:cs="宋体"/>
          <w:color w:val="auto"/>
          <w:spacing w:val="-3"/>
          <w:sz w:val="24"/>
          <w:szCs w:val="24"/>
          <w:highlight w:val="none"/>
        </w:rPr>
        <w:t>乙方根据甲方的具体服务事项及要求制定出服务工作标准和考核标准。经与</w:t>
      </w:r>
      <w:r>
        <w:rPr>
          <w:rFonts w:hint="eastAsia" w:ascii="宋体" w:hAnsi="宋体" w:eastAsia="宋体" w:cs="宋体"/>
          <w:color w:val="auto"/>
          <w:spacing w:val="-4"/>
          <w:sz w:val="24"/>
          <w:szCs w:val="24"/>
          <w:highlight w:val="none"/>
        </w:rPr>
        <w:t>甲方协商同意 后，乙方须按此工作标准和考核标准，实现服务目标。</w:t>
      </w:r>
    </w:p>
    <w:p w14:paraId="6BDC69E9">
      <w:pPr>
        <w:numPr>
          <w:ilvl w:val="0"/>
          <w:numId w:val="4"/>
        </w:numPr>
        <w:spacing w:before="39" w:line="360" w:lineRule="auto"/>
        <w:ind w:firstLine="48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________________ 2、________________ 3、________________ </w:t>
      </w:r>
    </w:p>
    <w:p w14:paraId="48C7113D">
      <w:pPr>
        <w:numPr>
          <w:ilvl w:val="0"/>
          <w:numId w:val="0"/>
        </w:numPr>
        <w:spacing w:before="39" w:line="360" w:lineRule="auto"/>
        <w:ind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4、________________ 5、________________ „</w:t>
      </w:r>
    </w:p>
    <w:p w14:paraId="7083D61A">
      <w:pPr>
        <w:spacing w:before="39" w:line="360" w:lineRule="auto"/>
        <w:ind w:firstLine="480"/>
        <w:outlineLvl w:val="1"/>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第七条  服务费用</w:t>
      </w:r>
    </w:p>
    <w:p w14:paraId="0869FD70">
      <w:pPr>
        <w:spacing w:before="39" w:line="360" w:lineRule="auto"/>
        <w:ind w:firstLine="480"/>
        <w:outlineLvl w:val="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1、费用结算</w:t>
      </w:r>
    </w:p>
    <w:p w14:paraId="66A10DF6">
      <w:pPr>
        <w:spacing w:before="39" w:line="360" w:lineRule="auto"/>
        <w:ind w:firstLine="48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本合同以人民币付款，总计   万元。</w:t>
      </w:r>
    </w:p>
    <w:p w14:paraId="09DAC696">
      <w:pPr>
        <w:spacing w:before="39" w:line="360" w:lineRule="auto"/>
        <w:ind w:firstLine="48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付款方式：</w:t>
      </w:r>
    </w:p>
    <w:p w14:paraId="3E117195">
      <w:pPr>
        <w:spacing w:before="39" w:line="360" w:lineRule="auto"/>
        <w:ind w:firstLine="480"/>
        <w:outlineLvl w:val="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2、费用构成</w:t>
      </w:r>
    </w:p>
    <w:p w14:paraId="0E854E90">
      <w:pPr>
        <w:spacing w:before="39" w:line="360" w:lineRule="auto"/>
        <w:ind w:firstLine="48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w:t>
      </w:r>
    </w:p>
    <w:p w14:paraId="70DDAF22">
      <w:pPr>
        <w:spacing w:before="39" w:line="360" w:lineRule="auto"/>
        <w:ind w:firstLine="48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w:t>
      </w:r>
    </w:p>
    <w:p w14:paraId="1E781669">
      <w:pPr>
        <w:spacing w:before="39" w:line="360" w:lineRule="auto"/>
        <w:ind w:firstLine="48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w:t>
      </w:r>
    </w:p>
    <w:p w14:paraId="17E47E29">
      <w:pPr>
        <w:spacing w:before="1" w:line="360" w:lineRule="auto"/>
        <w:ind w:left="481"/>
        <w:outlineLvl w:val="1"/>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第八条  验收方法</w:t>
      </w:r>
    </w:p>
    <w:p w14:paraId="013A0224">
      <w:pPr>
        <w:spacing w:before="298" w:line="360" w:lineRule="auto"/>
        <w:ind w:left="1" w:right="20" w:firstLine="5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甲方应当按照政府采购合同规定的技术、服务、安全标</w:t>
      </w:r>
      <w:r>
        <w:rPr>
          <w:rFonts w:hint="eastAsia" w:ascii="宋体" w:hAnsi="宋体" w:eastAsia="宋体" w:cs="宋体"/>
          <w:color w:val="auto"/>
          <w:spacing w:val="-3"/>
          <w:sz w:val="24"/>
          <w:szCs w:val="24"/>
          <w:highlight w:val="none"/>
        </w:rPr>
        <w:t>准组织对乙方履约情况进行验收，</w:t>
      </w:r>
      <w:r>
        <w:rPr>
          <w:rFonts w:hint="eastAsia" w:ascii="宋体" w:hAnsi="宋体" w:eastAsia="宋体" w:cs="宋体"/>
          <w:color w:val="auto"/>
          <w:spacing w:val="-5"/>
          <w:sz w:val="24"/>
          <w:szCs w:val="24"/>
          <w:highlight w:val="none"/>
        </w:rPr>
        <w:t>并出具验收书。验收书应当包括每一项技术、服务、安</w:t>
      </w:r>
      <w:r>
        <w:rPr>
          <w:rFonts w:hint="eastAsia" w:ascii="宋体" w:hAnsi="宋体" w:eastAsia="宋体" w:cs="宋体"/>
          <w:color w:val="auto"/>
          <w:spacing w:val="-6"/>
          <w:sz w:val="24"/>
          <w:szCs w:val="24"/>
          <w:highlight w:val="none"/>
        </w:rPr>
        <w:t>全标准的履约情况。验收不合格的， 乙</w:t>
      </w:r>
      <w:r>
        <w:rPr>
          <w:rFonts w:hint="eastAsia" w:ascii="宋体" w:hAnsi="宋体" w:eastAsia="宋体" w:cs="宋体"/>
          <w:color w:val="auto"/>
          <w:sz w:val="24"/>
          <w:szCs w:val="24"/>
          <w:highlight w:val="none"/>
        </w:rPr>
        <w:t>方应负责重新提供达到本合同约定的质量要求的标准；验收合格的,验</w:t>
      </w:r>
      <w:r>
        <w:rPr>
          <w:rFonts w:hint="eastAsia" w:ascii="宋体" w:hAnsi="宋体" w:eastAsia="宋体" w:cs="宋体"/>
          <w:color w:val="auto"/>
          <w:spacing w:val="-1"/>
          <w:sz w:val="24"/>
          <w:szCs w:val="24"/>
          <w:highlight w:val="none"/>
        </w:rPr>
        <w:t>收书作为支付货款的重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要依据。</w:t>
      </w:r>
    </w:p>
    <w:p w14:paraId="22728A4F">
      <w:pPr>
        <w:spacing w:before="33" w:line="360" w:lineRule="auto"/>
        <w:ind w:left="5" w:right="64" w:firstLine="47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政府向社会公众提供的公共服务项目，验收时应当邀请服务对象参与并出具意见，验收结</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5"/>
          <w:sz w:val="24"/>
          <w:szCs w:val="24"/>
          <w:highlight w:val="none"/>
        </w:rPr>
        <w:t>果应当向社会公告。</w:t>
      </w:r>
    </w:p>
    <w:p w14:paraId="2BAE7EC4">
      <w:pPr>
        <w:spacing w:before="35" w:line="360" w:lineRule="auto"/>
        <w:ind w:left="483"/>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第九条</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违约责任</w:t>
      </w:r>
    </w:p>
    <w:p w14:paraId="53745E49">
      <w:pPr>
        <w:spacing w:before="293" w:line="360" w:lineRule="auto"/>
        <w:ind w:right="67" w:firstLine="4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1、甲方违反本合同的约定，使乙方不能完成服务目标，乙方有权要求甲</w:t>
      </w:r>
      <w:r>
        <w:rPr>
          <w:rFonts w:hint="eastAsia" w:ascii="宋体" w:hAnsi="宋体" w:eastAsia="宋体" w:cs="宋体"/>
          <w:color w:val="auto"/>
          <w:spacing w:val="-1"/>
          <w:sz w:val="24"/>
          <w:szCs w:val="24"/>
          <w:highlight w:val="none"/>
        </w:rPr>
        <w:t>方在一定期限内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解决，逾期未解决的乙方有权终止合同；造成乙方经济损失的，甲方应给予乙方经济</w:t>
      </w:r>
      <w:r>
        <w:rPr>
          <w:rFonts w:hint="eastAsia" w:ascii="宋体" w:hAnsi="宋体" w:eastAsia="宋体" w:cs="宋体"/>
          <w:color w:val="auto"/>
          <w:spacing w:val="-2"/>
          <w:sz w:val="24"/>
          <w:szCs w:val="24"/>
          <w:highlight w:val="none"/>
        </w:rPr>
        <w:t>赔偿。</w:t>
      </w:r>
    </w:p>
    <w:p w14:paraId="7426E9B7">
      <w:pPr>
        <w:spacing w:before="35" w:line="360" w:lineRule="auto"/>
        <w:ind w:right="62" w:firstLine="4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2、乙方违反本合同的约定，不能完成服务目标，甲方有权要求乙方限期整改，逾期未整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2"/>
          <w:sz w:val="24"/>
          <w:szCs w:val="24"/>
          <w:highlight w:val="none"/>
        </w:rPr>
        <w:t>改或多次整改无提高，甲方有权单方终止合</w:t>
      </w:r>
      <w:r>
        <w:rPr>
          <w:rFonts w:hint="eastAsia" w:ascii="宋体" w:hAnsi="宋体" w:eastAsia="宋体" w:cs="宋体"/>
          <w:color w:val="auto"/>
          <w:spacing w:val="-3"/>
          <w:sz w:val="24"/>
          <w:szCs w:val="24"/>
          <w:highlight w:val="none"/>
        </w:rPr>
        <w:t>同；造成甲方经济损失的，乙方应给予甲方经济赔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偿。</w:t>
      </w:r>
    </w:p>
    <w:p w14:paraId="77559451">
      <w:pPr>
        <w:spacing w:before="34" w:line="360" w:lineRule="auto"/>
        <w:ind w:left="1" w:right="64" w:firstLine="4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3、乙方违反本合同的约定，擅自提高收费标准的，甲方有权要求乙方清退；造成甲方经</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3"/>
          <w:sz w:val="24"/>
          <w:szCs w:val="24"/>
          <w:highlight w:val="none"/>
        </w:rPr>
        <w:t>济损失的，乙方应给予甲方经济赔偿。</w:t>
      </w:r>
    </w:p>
    <w:p w14:paraId="2B9A230F">
      <w:pPr>
        <w:spacing w:before="39"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4、甲乙双方任何一方无法律依据提前终止本合同的，违约方应赔偿对方</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元的违约金；</w:t>
      </w:r>
      <w:r>
        <w:rPr>
          <w:rFonts w:hint="eastAsia" w:ascii="宋体" w:hAnsi="宋体" w:eastAsia="宋体" w:cs="宋体"/>
          <w:color w:val="auto"/>
          <w:spacing w:val="-3"/>
          <w:sz w:val="24"/>
          <w:szCs w:val="24"/>
          <w:highlight w:val="none"/>
        </w:rPr>
        <w:t>造成对方经济损失的，应给予经济赔偿。</w:t>
      </w:r>
    </w:p>
    <w:p w14:paraId="3A6838CD">
      <w:pPr>
        <w:spacing w:before="32" w:line="360" w:lineRule="auto"/>
        <w:ind w:left="486"/>
        <w:outlineLvl w:val="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5、其他。</w:t>
      </w:r>
    </w:p>
    <w:p w14:paraId="246FD96F">
      <w:pPr>
        <w:spacing w:before="294" w:line="360" w:lineRule="auto"/>
        <w:ind w:left="483"/>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第十条</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其他事项</w:t>
      </w:r>
    </w:p>
    <w:p w14:paraId="35413356">
      <w:pPr>
        <w:spacing w:before="295" w:line="360" w:lineRule="auto"/>
        <w:ind w:left="499"/>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1、本合同自甲乙双方签字盖章后生效。</w:t>
      </w:r>
    </w:p>
    <w:p w14:paraId="2E4A2DC4">
      <w:pPr>
        <w:spacing w:before="266" w:line="360" w:lineRule="auto"/>
        <w:ind w:right="110" w:firstLine="48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、合同执行期内，甲乙双方均不得随意变更或解除合同。合同如有未尽事宜，须经双方</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3"/>
          <w:sz w:val="24"/>
          <w:szCs w:val="24"/>
          <w:highlight w:val="none"/>
        </w:rPr>
        <w:t>共同协商，做出补充规定，补充规定与本合同具有同等效力，也可按照《中华人民共</w:t>
      </w:r>
      <w:r>
        <w:rPr>
          <w:rFonts w:hint="eastAsia" w:ascii="宋体" w:hAnsi="宋体" w:eastAsia="宋体" w:cs="宋体"/>
          <w:color w:val="auto"/>
          <w:spacing w:val="-4"/>
          <w:sz w:val="24"/>
          <w:szCs w:val="24"/>
          <w:highlight w:val="none"/>
        </w:rPr>
        <w:t>和国合同</w:t>
      </w:r>
      <w:r>
        <w:rPr>
          <w:rFonts w:hint="eastAsia" w:ascii="宋体" w:hAnsi="宋体" w:eastAsia="宋体" w:cs="宋体"/>
          <w:color w:val="auto"/>
          <w:spacing w:val="-5"/>
          <w:sz w:val="24"/>
          <w:szCs w:val="24"/>
          <w:highlight w:val="none"/>
        </w:rPr>
        <w:t>法》的规定执行。</w:t>
      </w:r>
    </w:p>
    <w:p w14:paraId="3BB7713F">
      <w:pPr>
        <w:spacing w:before="35" w:line="360" w:lineRule="auto"/>
        <w:ind w:left="5" w:right="11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3、本合同执行期间，如遇不可抗力，致使合同无法履行</w:t>
      </w:r>
      <w:r>
        <w:rPr>
          <w:rFonts w:hint="eastAsia" w:ascii="宋体" w:hAnsi="宋体" w:eastAsia="宋体" w:cs="宋体"/>
          <w:color w:val="auto"/>
          <w:spacing w:val="-1"/>
          <w:sz w:val="24"/>
          <w:szCs w:val="24"/>
          <w:highlight w:val="none"/>
        </w:rPr>
        <w:t>时，双方按有关法律规定及时协</w:t>
      </w:r>
      <w:r>
        <w:rPr>
          <w:rFonts w:hint="eastAsia" w:ascii="宋体" w:hAnsi="宋体" w:eastAsia="宋体" w:cs="宋体"/>
          <w:color w:val="auto"/>
          <w:spacing w:val="-10"/>
          <w:sz w:val="24"/>
          <w:szCs w:val="24"/>
          <w:highlight w:val="none"/>
        </w:rPr>
        <w:t>商处理。</w:t>
      </w:r>
    </w:p>
    <w:p w14:paraId="7DA93C84">
      <w:pPr>
        <w:spacing w:before="30" w:line="360" w:lineRule="auto"/>
        <w:ind w:right="106" w:firstLine="480"/>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4、本合同如发生纠纷，当事人双方应当及时协商解决，协商不成</w:t>
      </w:r>
      <w:r>
        <w:rPr>
          <w:rFonts w:hint="eastAsia" w:ascii="宋体" w:hAnsi="宋体" w:eastAsia="宋体" w:cs="宋体"/>
          <w:color w:val="auto"/>
          <w:spacing w:val="-1"/>
          <w:sz w:val="24"/>
          <w:szCs w:val="24"/>
          <w:highlight w:val="none"/>
        </w:rPr>
        <w:t>时，任何一方均可请政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府采购监督管理机关调解，调解不成，按以下第</w:t>
      </w:r>
      <w:r>
        <w:rPr>
          <w:rFonts w:hint="eastAsia" w:ascii="宋体" w:hAnsi="宋体" w:eastAsia="宋体" w:cs="宋体"/>
          <w:color w:val="auto"/>
          <w:spacing w:val="-27"/>
          <w:sz w:val="24"/>
          <w:szCs w:val="24"/>
          <w:highlight w:val="none"/>
        </w:rPr>
        <w:t>（</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7"/>
          <w:sz w:val="24"/>
          <w:szCs w:val="24"/>
          <w:highlight w:val="none"/>
        </w:rPr>
        <w:t>）</w:t>
      </w:r>
      <w:r>
        <w:rPr>
          <w:rFonts w:hint="eastAsia" w:ascii="宋体" w:hAnsi="宋体" w:eastAsia="宋体" w:cs="宋体"/>
          <w:color w:val="auto"/>
          <w:spacing w:val="-2"/>
          <w:sz w:val="24"/>
          <w:szCs w:val="24"/>
          <w:highlight w:val="none"/>
        </w:rPr>
        <w:t>项方式处理</w:t>
      </w:r>
      <w:r>
        <w:rPr>
          <w:rFonts w:hint="eastAsia" w:ascii="宋体" w:hAnsi="宋体" w:eastAsia="宋体" w:cs="宋体"/>
          <w:color w:val="auto"/>
          <w:spacing w:val="-27"/>
          <w:sz w:val="24"/>
          <w:szCs w:val="24"/>
          <w:highlight w:val="none"/>
        </w:rPr>
        <w:t>：（</w:t>
      </w:r>
      <w:r>
        <w:rPr>
          <w:rFonts w:hint="eastAsia" w:ascii="宋体" w:hAnsi="宋体" w:eastAsia="宋体" w:cs="宋体"/>
          <w:color w:val="auto"/>
          <w:spacing w:val="-2"/>
          <w:sz w:val="24"/>
          <w:szCs w:val="24"/>
          <w:highlight w:val="none"/>
        </w:rPr>
        <w:t>1）根据《中华人民共和</w:t>
      </w:r>
      <w:r>
        <w:rPr>
          <w:rFonts w:hint="eastAsia" w:ascii="宋体" w:hAnsi="宋体" w:eastAsia="宋体" w:cs="宋体"/>
          <w:color w:val="auto"/>
          <w:spacing w:val="-1"/>
          <w:sz w:val="24"/>
          <w:szCs w:val="24"/>
          <w:highlight w:val="none"/>
        </w:rPr>
        <w:t>国仲裁法》的规定申请仲裁。</w:t>
      </w:r>
    </w:p>
    <w:p w14:paraId="37429BEB">
      <w:pPr>
        <w:spacing w:before="30" w:line="360" w:lineRule="auto"/>
        <w:ind w:right="10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（2）向合同签订地有管辖权的</w:t>
      </w:r>
      <w:r>
        <w:rPr>
          <w:rFonts w:hint="eastAsia" w:ascii="宋体" w:hAnsi="宋体" w:eastAsia="宋体" w:cs="宋体"/>
          <w:color w:val="auto"/>
          <w:spacing w:val="-2"/>
          <w:sz w:val="24"/>
          <w:szCs w:val="24"/>
          <w:highlight w:val="none"/>
        </w:rPr>
        <w:t>人民法院起诉。</w:t>
      </w:r>
    </w:p>
    <w:p w14:paraId="6DFE6B28">
      <w:pPr>
        <w:spacing w:before="33" w:line="360" w:lineRule="auto"/>
        <w:ind w:firstLine="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5、采购双方必须严格按照磋商文件、响应文件及有关</w:t>
      </w:r>
      <w:r>
        <w:rPr>
          <w:rFonts w:hint="eastAsia" w:ascii="宋体" w:hAnsi="宋体" w:eastAsia="宋体" w:cs="宋体"/>
          <w:color w:val="auto"/>
          <w:spacing w:val="-7"/>
          <w:sz w:val="24"/>
          <w:szCs w:val="24"/>
          <w:highlight w:val="none"/>
        </w:rPr>
        <w:t>承诺签订采购合同， 不得擅自变更。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对任何因双方擅自变更合同引起的问题市政府采购中心概不负责，合同风险由双方自行承</w:t>
      </w:r>
      <w:r>
        <w:rPr>
          <w:rFonts w:hint="eastAsia" w:ascii="宋体" w:hAnsi="宋体" w:eastAsia="宋体" w:cs="宋体"/>
          <w:color w:val="auto"/>
          <w:spacing w:val="-2"/>
          <w:sz w:val="24"/>
          <w:szCs w:val="24"/>
          <w:highlight w:val="none"/>
        </w:rPr>
        <w:t>担。</w:t>
      </w:r>
    </w:p>
    <w:p w14:paraId="039EBE40">
      <w:pPr>
        <w:spacing w:before="33" w:line="360" w:lineRule="auto"/>
        <w:ind w:firstLine="48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6、本合同一式 份，甲乙双方各执  份。</w:t>
      </w:r>
    </w:p>
    <w:p w14:paraId="63D1F256">
      <w:pPr>
        <w:spacing w:before="33" w:line="360" w:lineRule="auto"/>
        <w:ind w:firstLine="48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第十一条下列关于项目编号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号的采购文件及有关附件是本合同不可分割的组成部分，与本合同具有同等法律效力，这些文件包括但不限于：</w:t>
      </w:r>
    </w:p>
    <w:p w14:paraId="6FC03F9F">
      <w:pPr>
        <w:spacing w:before="33" w:line="360" w:lineRule="auto"/>
        <w:ind w:firstLine="48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（1）磋商文件（2）乙方提供 的响应文件（3）服务承诺；（4）甲乙双方商定的其他文件。以上附件顺序在前的具有优先解释权。</w:t>
      </w:r>
    </w:p>
    <w:p w14:paraId="4D67625B">
      <w:pPr>
        <w:spacing w:before="72" w:line="360" w:lineRule="auto"/>
        <w:rPr>
          <w:rFonts w:hint="eastAsia" w:ascii="宋体" w:hAnsi="宋体" w:eastAsia="宋体" w:cs="宋体"/>
          <w:color w:val="auto"/>
          <w:spacing w:val="-1"/>
          <w:sz w:val="24"/>
          <w:szCs w:val="24"/>
          <w:highlight w:val="none"/>
        </w:rPr>
      </w:pPr>
    </w:p>
    <w:p w14:paraId="6DDD1748">
      <w:pPr>
        <w:spacing w:before="72"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采购人（甲方</w:t>
      </w:r>
      <w:r>
        <w:rPr>
          <w:rFonts w:hint="eastAsia" w:ascii="宋体" w:hAnsi="宋体" w:eastAsia="宋体" w:cs="宋体"/>
          <w:color w:val="auto"/>
          <w:sz w:val="24"/>
          <w:szCs w:val="24"/>
          <w:highlight w:val="none"/>
        </w:rPr>
        <w:t>）：    （</w:t>
      </w:r>
      <w:r>
        <w:rPr>
          <w:rFonts w:hint="eastAsia" w:ascii="宋体" w:hAnsi="宋体" w:eastAsia="宋体" w:cs="宋体"/>
          <w:color w:val="auto"/>
          <w:spacing w:val="-1"/>
          <w:sz w:val="24"/>
          <w:szCs w:val="24"/>
          <w:highlight w:val="none"/>
        </w:rPr>
        <w:t xml:space="preserve">公章）  </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 xml:space="preserve"> 供应商（乙方</w:t>
      </w:r>
      <w:r>
        <w:rPr>
          <w:rFonts w:hint="eastAsia" w:ascii="宋体" w:hAnsi="宋体" w:eastAsia="宋体" w:cs="宋体"/>
          <w:color w:val="auto"/>
          <w:sz w:val="24"/>
          <w:szCs w:val="24"/>
          <w:highlight w:val="none"/>
        </w:rPr>
        <w:t>）： （</w:t>
      </w:r>
      <w:r>
        <w:rPr>
          <w:rFonts w:hint="eastAsia" w:ascii="宋体" w:hAnsi="宋体" w:eastAsia="宋体" w:cs="宋体"/>
          <w:color w:val="auto"/>
          <w:spacing w:val="-1"/>
          <w:sz w:val="24"/>
          <w:szCs w:val="24"/>
          <w:highlight w:val="none"/>
        </w:rPr>
        <w:t>公章）</w:t>
      </w:r>
    </w:p>
    <w:p w14:paraId="0B62543A">
      <w:pPr>
        <w:spacing w:before="183" w:line="360" w:lineRule="auto"/>
        <w:ind w:left="48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地址：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6"/>
          <w:sz w:val="24"/>
          <w:szCs w:val="24"/>
          <w:highlight w:val="none"/>
        </w:rPr>
        <w:t xml:space="preserve"> 地址：</w:t>
      </w:r>
    </w:p>
    <w:p w14:paraId="510FED2A">
      <w:pPr>
        <w:spacing w:before="167" w:line="360" w:lineRule="auto"/>
        <w:ind w:left="48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法定代表人：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6"/>
          <w:sz w:val="24"/>
          <w:szCs w:val="24"/>
          <w:highlight w:val="none"/>
        </w:rPr>
        <w:t>法定代表人：</w:t>
      </w:r>
    </w:p>
    <w:p w14:paraId="07D7A767">
      <w:pPr>
        <w:spacing w:before="182"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委托代理人：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6"/>
          <w:sz w:val="24"/>
          <w:szCs w:val="24"/>
          <w:highlight w:val="none"/>
        </w:rPr>
        <w:t>委托代理人：</w:t>
      </w:r>
    </w:p>
    <w:p w14:paraId="7EBE5EEC">
      <w:pPr>
        <w:spacing w:before="181" w:line="360" w:lineRule="auto"/>
        <w:ind w:left="50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 xml:space="preserve">电话：                        </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电话：</w:t>
      </w:r>
    </w:p>
    <w:p w14:paraId="4703A601">
      <w:pPr>
        <w:spacing w:before="180" w:line="360" w:lineRule="auto"/>
        <w:ind w:left="48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开户银行：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7"/>
          <w:sz w:val="24"/>
          <w:szCs w:val="24"/>
          <w:highlight w:val="none"/>
        </w:rPr>
        <w:t>开户银行：</w:t>
      </w:r>
    </w:p>
    <w:p w14:paraId="24AF64E2">
      <w:pPr>
        <w:spacing w:before="179" w:line="360"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账号：                      </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账号：</w:t>
      </w:r>
    </w:p>
    <w:p w14:paraId="021CEBB7">
      <w:pPr>
        <w:ind w:firstLine="468" w:firstLineChars="200"/>
        <w:jc w:val="both"/>
        <w:outlineLvl w:val="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年</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月</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年</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月</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日</w:t>
      </w:r>
    </w:p>
    <w:p w14:paraId="691679B5">
      <w:pPr>
        <w:jc w:val="center"/>
        <w:outlineLvl w:val="0"/>
        <w:rPr>
          <w:rFonts w:hint="eastAsia" w:ascii="宋体" w:hAnsi="宋体" w:eastAsia="宋体" w:cs="宋体"/>
          <w:b/>
          <w:bCs/>
          <w:color w:val="auto"/>
          <w:sz w:val="32"/>
          <w:szCs w:val="32"/>
          <w:highlight w:val="none"/>
        </w:rPr>
      </w:pPr>
      <w:r>
        <w:rPr>
          <w:rFonts w:hint="eastAsia" w:ascii="宋体" w:hAnsi="宋体" w:eastAsia="宋体" w:cs="宋体"/>
          <w:color w:val="auto"/>
          <w:spacing w:val="-3"/>
          <w:sz w:val="24"/>
          <w:szCs w:val="24"/>
          <w:highlight w:val="none"/>
        </w:rPr>
        <w:br w:type="page"/>
      </w:r>
      <w:r>
        <w:rPr>
          <w:rFonts w:hint="eastAsia" w:ascii="宋体" w:hAnsi="宋体" w:eastAsia="宋体" w:cs="宋体"/>
          <w:b/>
          <w:bCs/>
          <w:color w:val="auto"/>
          <w:sz w:val="32"/>
          <w:szCs w:val="32"/>
          <w:highlight w:val="none"/>
        </w:rPr>
        <w:t>第六章 响应性文件部分格式</w:t>
      </w:r>
      <w:bookmarkEnd w:id="329"/>
      <w:bookmarkEnd w:id="330"/>
      <w:bookmarkEnd w:id="331"/>
      <w:bookmarkEnd w:id="332"/>
      <w:bookmarkEnd w:id="333"/>
      <w:bookmarkEnd w:id="334"/>
    </w:p>
    <w:p w14:paraId="4C53865C">
      <w:pPr>
        <w:spacing w:line="360" w:lineRule="auto"/>
        <w:rPr>
          <w:rFonts w:hint="eastAsia" w:ascii="宋体" w:hAnsi="宋体" w:eastAsia="宋体" w:cs="宋体"/>
          <w:b/>
          <w:bCs/>
          <w:color w:val="auto"/>
          <w:sz w:val="32"/>
          <w:szCs w:val="32"/>
          <w:highlight w:val="none"/>
        </w:rPr>
      </w:pPr>
    </w:p>
    <w:p w14:paraId="1083E2E1">
      <w:pPr>
        <w:spacing w:line="360" w:lineRule="auto"/>
        <w:rPr>
          <w:rFonts w:hint="eastAsia" w:ascii="宋体" w:hAnsi="宋体" w:eastAsia="宋体" w:cs="宋体"/>
          <w:b/>
          <w:color w:val="auto"/>
          <w:sz w:val="30"/>
          <w:szCs w:val="30"/>
          <w:highlight w:val="none"/>
        </w:rPr>
      </w:pPr>
    </w:p>
    <w:p w14:paraId="3DFE9BD3">
      <w:pPr>
        <w:widowControl/>
        <w:jc w:val="left"/>
        <w:rPr>
          <w:rFonts w:hint="eastAsia" w:ascii="宋体" w:hAnsi="宋体" w:eastAsia="宋体" w:cs="宋体"/>
          <w:color w:val="auto"/>
          <w:highlight w:val="none"/>
        </w:rPr>
      </w:pPr>
    </w:p>
    <w:p w14:paraId="44662576">
      <w:pPr>
        <w:spacing w:line="360" w:lineRule="auto"/>
        <w:jc w:val="center"/>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（项目名称）</w:t>
      </w:r>
    </w:p>
    <w:p w14:paraId="731B54D1">
      <w:pPr>
        <w:spacing w:line="360" w:lineRule="auto"/>
        <w:rPr>
          <w:rFonts w:hint="eastAsia" w:ascii="宋体" w:hAnsi="宋体" w:eastAsia="宋体" w:cs="宋体"/>
          <w:b/>
          <w:color w:val="auto"/>
          <w:highlight w:val="none"/>
        </w:rPr>
      </w:pPr>
    </w:p>
    <w:p w14:paraId="79A1498F">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响 应 性 文 件</w:t>
      </w:r>
    </w:p>
    <w:p w14:paraId="7DE655FF">
      <w:pPr>
        <w:spacing w:line="360" w:lineRule="auto"/>
        <w:ind w:firstLine="420" w:firstLineChars="200"/>
        <w:rPr>
          <w:rFonts w:hint="eastAsia" w:ascii="宋体" w:hAnsi="宋体" w:eastAsia="宋体" w:cs="宋体"/>
          <w:color w:val="auto"/>
          <w:highlight w:val="none"/>
        </w:rPr>
      </w:pPr>
    </w:p>
    <w:p w14:paraId="1702B2B1">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项目编号：</w:t>
      </w:r>
    </w:p>
    <w:p w14:paraId="2DAB18D2">
      <w:pPr>
        <w:spacing w:line="360" w:lineRule="auto"/>
        <w:ind w:firstLine="420" w:firstLineChars="200"/>
        <w:rPr>
          <w:rFonts w:hint="eastAsia" w:ascii="宋体" w:hAnsi="宋体" w:eastAsia="宋体" w:cs="宋体"/>
          <w:color w:val="auto"/>
          <w:highlight w:val="none"/>
        </w:rPr>
      </w:pPr>
    </w:p>
    <w:p w14:paraId="442C4478">
      <w:pPr>
        <w:spacing w:line="360" w:lineRule="auto"/>
        <w:ind w:firstLine="420" w:firstLineChars="200"/>
        <w:rPr>
          <w:rFonts w:hint="eastAsia" w:ascii="宋体" w:hAnsi="宋体" w:eastAsia="宋体" w:cs="宋体"/>
          <w:color w:val="auto"/>
          <w:highlight w:val="none"/>
        </w:rPr>
      </w:pPr>
    </w:p>
    <w:p w14:paraId="2FBE7819">
      <w:pPr>
        <w:spacing w:line="360" w:lineRule="auto"/>
        <w:ind w:firstLine="420" w:firstLineChars="200"/>
        <w:rPr>
          <w:rFonts w:hint="eastAsia" w:ascii="宋体" w:hAnsi="宋体" w:eastAsia="宋体" w:cs="宋体"/>
          <w:color w:val="auto"/>
          <w:highlight w:val="none"/>
        </w:rPr>
      </w:pPr>
    </w:p>
    <w:p w14:paraId="374AFD7D">
      <w:pPr>
        <w:spacing w:line="360" w:lineRule="auto"/>
        <w:ind w:firstLine="420" w:firstLineChars="200"/>
        <w:rPr>
          <w:rFonts w:hint="eastAsia" w:ascii="宋体" w:hAnsi="宋体" w:eastAsia="宋体" w:cs="宋体"/>
          <w:color w:val="auto"/>
          <w:highlight w:val="none"/>
        </w:rPr>
      </w:pPr>
    </w:p>
    <w:p w14:paraId="69661E7E">
      <w:pPr>
        <w:spacing w:line="360" w:lineRule="auto"/>
        <w:ind w:firstLine="420" w:firstLineChars="200"/>
        <w:rPr>
          <w:rFonts w:hint="eastAsia" w:ascii="宋体" w:hAnsi="宋体" w:eastAsia="宋体" w:cs="宋体"/>
          <w:color w:val="auto"/>
          <w:highlight w:val="none"/>
        </w:rPr>
      </w:pPr>
    </w:p>
    <w:p w14:paraId="3DF4F84C">
      <w:pPr>
        <w:spacing w:line="360" w:lineRule="auto"/>
        <w:rPr>
          <w:rFonts w:hint="eastAsia" w:ascii="宋体" w:hAnsi="宋体" w:eastAsia="宋体" w:cs="宋体"/>
          <w:color w:val="auto"/>
          <w:highlight w:val="none"/>
        </w:rPr>
      </w:pPr>
    </w:p>
    <w:p w14:paraId="3083E850">
      <w:pPr>
        <w:spacing w:line="48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32636A9A">
      <w:pPr>
        <w:spacing w:line="48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（电子签章或签字）</w:t>
      </w:r>
    </w:p>
    <w:p w14:paraId="41711959">
      <w:pPr>
        <w:spacing w:line="48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_____年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93D497B">
      <w:pPr>
        <w:spacing w:line="360" w:lineRule="auto"/>
        <w:rPr>
          <w:rFonts w:hint="eastAsia" w:ascii="宋体" w:hAnsi="宋体" w:eastAsia="宋体" w:cs="宋体"/>
          <w:color w:val="auto"/>
          <w:highlight w:val="none"/>
        </w:rPr>
      </w:pPr>
    </w:p>
    <w:p w14:paraId="0DE0DE45">
      <w:pPr>
        <w:spacing w:line="360" w:lineRule="auto"/>
        <w:rPr>
          <w:rFonts w:hint="eastAsia" w:ascii="宋体" w:hAnsi="宋体" w:eastAsia="宋体" w:cs="宋体"/>
          <w:color w:val="auto"/>
          <w:highlight w:val="none"/>
        </w:rPr>
      </w:pPr>
    </w:p>
    <w:p w14:paraId="4B8E64C4">
      <w:pPr>
        <w:spacing w:line="360" w:lineRule="auto"/>
        <w:rPr>
          <w:rFonts w:hint="eastAsia" w:ascii="宋体" w:hAnsi="宋体" w:eastAsia="宋体" w:cs="宋体"/>
          <w:color w:val="auto"/>
          <w:highlight w:val="none"/>
        </w:rPr>
      </w:pPr>
    </w:p>
    <w:p w14:paraId="31485BA0">
      <w:pPr>
        <w:shd w:val="clear" w:color="auto" w:fill="FFFFFF"/>
        <w:tabs>
          <w:tab w:val="right" w:pos="6077"/>
        </w:tabs>
        <w:autoSpaceDE w:val="0"/>
        <w:autoSpaceDN w:val="0"/>
        <w:spacing w:line="560" w:lineRule="exact"/>
        <w:jc w:val="center"/>
        <w:rPr>
          <w:rFonts w:hint="eastAsia" w:ascii="宋体" w:hAnsi="宋体" w:eastAsia="宋体" w:cs="宋体"/>
          <w:b/>
          <w:color w:val="auto"/>
          <w:highlight w:val="none"/>
        </w:rPr>
      </w:pPr>
    </w:p>
    <w:p w14:paraId="24185C2B">
      <w:pPr>
        <w:shd w:val="clear" w:color="auto" w:fill="FFFFFF"/>
        <w:tabs>
          <w:tab w:val="right" w:pos="6077"/>
        </w:tabs>
        <w:autoSpaceDE w:val="0"/>
        <w:autoSpaceDN w:val="0"/>
        <w:spacing w:line="5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目    录</w:t>
      </w:r>
    </w:p>
    <w:p w14:paraId="1BB91899">
      <w:pPr>
        <w:shd w:val="clear" w:color="auto" w:fill="FFFFFF"/>
        <w:autoSpaceDE w:val="0"/>
        <w:autoSpaceDN w:val="0"/>
        <w:spacing w:line="560" w:lineRule="exact"/>
        <w:ind w:right="600"/>
        <w:rPr>
          <w:rFonts w:hint="eastAsia" w:ascii="宋体" w:hAnsi="宋体" w:eastAsia="宋体" w:cs="宋体"/>
          <w:color w:val="auto"/>
          <w:sz w:val="24"/>
          <w:highlight w:val="none"/>
        </w:rPr>
      </w:pPr>
    </w:p>
    <w:p w14:paraId="0C88C103">
      <w:pPr>
        <w:shd w:val="clear" w:color="auto" w:fill="FFFFFF"/>
        <w:tabs>
          <w:tab w:val="right" w:pos="6077"/>
        </w:tabs>
        <w:autoSpaceDE w:val="0"/>
        <w:autoSpaceDN w:val="0"/>
        <w:spacing w:line="560" w:lineRule="exact"/>
        <w:jc w:val="center"/>
        <w:outlineLvl w:val="1"/>
        <w:rPr>
          <w:rFonts w:hint="eastAsia" w:ascii="宋体" w:hAnsi="宋体" w:eastAsia="宋体" w:cs="宋体"/>
          <w:b/>
          <w:bCs/>
          <w:color w:val="auto"/>
          <w:sz w:val="32"/>
          <w:szCs w:val="32"/>
          <w:highlight w:val="none"/>
        </w:rPr>
      </w:pPr>
      <w:bookmarkStart w:id="335" w:name="_Toc121405496"/>
      <w:bookmarkStart w:id="336" w:name="_Toc30996"/>
      <w:bookmarkStart w:id="337" w:name="_Toc16520681"/>
      <w:bookmarkStart w:id="338" w:name="_Toc16520169"/>
      <w:bookmarkStart w:id="339" w:name="_Toc508179892"/>
      <w:bookmarkStart w:id="340" w:name="_Toc90623954"/>
      <w:bookmarkStart w:id="341" w:name="_Toc14135"/>
      <w:r>
        <w:rPr>
          <w:rFonts w:hint="eastAsia" w:ascii="宋体" w:hAnsi="宋体" w:eastAsia="宋体" w:cs="宋体"/>
          <w:b/>
          <w:bCs/>
          <w:color w:val="auto"/>
          <w:sz w:val="32"/>
          <w:szCs w:val="32"/>
          <w:highlight w:val="none"/>
          <w:lang w:val="en-US" w:eastAsia="zh-CN"/>
        </w:rPr>
        <w:t>格式自拟</w:t>
      </w: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一、报价函</w:t>
      </w:r>
      <w:bookmarkEnd w:id="335"/>
      <w:bookmarkEnd w:id="336"/>
      <w:bookmarkEnd w:id="337"/>
      <w:bookmarkEnd w:id="338"/>
      <w:bookmarkEnd w:id="339"/>
      <w:bookmarkEnd w:id="340"/>
      <w:bookmarkEnd w:id="341"/>
      <w:r>
        <w:rPr>
          <w:rFonts w:hint="eastAsia" w:ascii="宋体" w:hAnsi="宋体" w:eastAsia="宋体" w:cs="宋体"/>
          <w:b/>
          <w:bCs/>
          <w:color w:val="auto"/>
          <w:sz w:val="32"/>
          <w:szCs w:val="32"/>
          <w:highlight w:val="none"/>
        </w:rPr>
        <w:t xml:space="preserve"> </w:t>
      </w:r>
    </w:p>
    <w:p w14:paraId="0A6A539D">
      <w:pPr>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（1）报价函</w:t>
      </w:r>
    </w:p>
    <w:p w14:paraId="1A58E45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（采购人名称）: </w:t>
      </w:r>
    </w:p>
    <w:p w14:paraId="02CEE36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1．在研究了上述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（项目名称）的竞争性磋商文件后，我们愿意按人民币（大写）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）的磋商报价，</w:t>
      </w:r>
      <w:r>
        <w:rPr>
          <w:rFonts w:hint="eastAsia" w:ascii="宋体" w:hAnsi="宋体" w:eastAsia="宋体" w:cs="宋体"/>
          <w:color w:val="auto"/>
          <w:sz w:val="24"/>
          <w:highlight w:val="none"/>
          <w:lang w:eastAsia="zh-CN"/>
        </w:rPr>
        <w:t>服务期限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，服务质量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，遵照竞争性磋商文件的要求及合同约定承包该项目的实施、完成及其缺陷修复工作。</w:t>
      </w:r>
    </w:p>
    <w:p w14:paraId="6DC6A1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2．我方承诺在磋商投标有效期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内不修改、撤销响应性文件。</w:t>
      </w:r>
    </w:p>
    <w:p w14:paraId="4335F1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果你单位接受我们的报价，我们将保证在接到开工通知后，在本响应性文件内写明的开服务期限内开工，所有上岗人员按照磋商承诺，及时到位，组织工作。并在计划服务期限内完成本合同项目，达到合同规定的要求。</w:t>
      </w:r>
    </w:p>
    <w:p w14:paraId="1706DB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4．如我方成交：</w:t>
      </w:r>
    </w:p>
    <w:p w14:paraId="4A8001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(l）我方承诺在收到成交通知书后，在成交通知书规定的期限内与你方签订合同。</w:t>
      </w:r>
    </w:p>
    <w:p w14:paraId="2C4E53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(2）我们愿提供磋商文件中要求的所有文件资料。</w:t>
      </w:r>
    </w:p>
    <w:p w14:paraId="0A9DB0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5、在合同协议书正式签署生效之前，本响应性文件连同你单位的成交通知书将构成我们双方之间共同遵守的文件，对双方具有约束力。</w:t>
      </w:r>
    </w:p>
    <w:p w14:paraId="042748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6、我方理解甲方竞争性磋商文件的所有要求，若不成交，不要求采购人做任何解释。</w:t>
      </w:r>
    </w:p>
    <w:p w14:paraId="6A3998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7、我方在此声明，所递交的响应性文件及有关资料内容完整、真实和准确。</w:t>
      </w:r>
    </w:p>
    <w:p w14:paraId="5C33D4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（其他补充说明,若无补充说明时本条可取消）。</w:t>
      </w:r>
    </w:p>
    <w:p w14:paraId="53CFB8E3">
      <w:pPr>
        <w:spacing w:line="360" w:lineRule="auto"/>
        <w:rPr>
          <w:rFonts w:hint="eastAsia" w:ascii="宋体" w:hAnsi="宋体" w:eastAsia="宋体" w:cs="宋体"/>
          <w:color w:val="auto"/>
          <w:sz w:val="24"/>
          <w:highlight w:val="none"/>
        </w:rPr>
      </w:pPr>
    </w:p>
    <w:p w14:paraId="37D6C98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512702F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（电子签章或签字）</w:t>
      </w:r>
    </w:p>
    <w:p w14:paraId="5EA3E409">
      <w:pPr>
        <w:spacing w:line="360" w:lineRule="auto"/>
        <w:rPr>
          <w:rFonts w:hint="eastAsia" w:ascii="宋体" w:hAnsi="宋体" w:eastAsia="宋体" w:cs="宋体"/>
          <w:color w:val="auto"/>
          <w:kern w:val="0"/>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kern w:val="0"/>
          <w:sz w:val="24"/>
          <w:highlight w:val="none"/>
          <w:u w:val="single"/>
        </w:rPr>
        <w:t xml:space="preserve">                             </w:t>
      </w:r>
    </w:p>
    <w:p w14:paraId="747CC56B">
      <w:pPr>
        <w:widowControl/>
        <w:jc w:val="left"/>
        <w:rPr>
          <w:rFonts w:hint="eastAsia" w:ascii="宋体" w:hAnsi="宋体" w:eastAsia="宋体" w:cs="宋体"/>
          <w:color w:val="auto"/>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p>
    <w:p w14:paraId="4154BBC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bookmarkStart w:id="342" w:name="_Toc234421990"/>
    </w:p>
    <w:bookmarkEnd w:id="342"/>
    <w:p w14:paraId="470DD3E2">
      <w:pPr>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r>
        <w:rPr>
          <w:rFonts w:hint="eastAsia" w:ascii="宋体" w:hAnsi="宋体" w:eastAsia="宋体" w:cs="宋体"/>
          <w:b/>
          <w:bCs/>
          <w:color w:val="auto"/>
          <w:kern w:val="0"/>
          <w:sz w:val="28"/>
          <w:szCs w:val="28"/>
          <w:highlight w:val="none"/>
        </w:rPr>
        <w:t>（2）初次报价一览表</w:t>
      </w:r>
    </w:p>
    <w:tbl>
      <w:tblPr>
        <w:tblStyle w:val="16"/>
        <w:tblW w:w="47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2541"/>
        <w:gridCol w:w="1565"/>
        <w:gridCol w:w="2910"/>
      </w:tblGrid>
      <w:tr w14:paraId="63EA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274" w:type="pct"/>
            <w:noWrap w:val="0"/>
            <w:vAlign w:val="center"/>
          </w:tcPr>
          <w:p w14:paraId="735F64E1">
            <w:pPr>
              <w:spacing w:line="360" w:lineRule="auto"/>
              <w:jc w:val="center"/>
              <w:rPr>
                <w:rFonts w:hint="eastAsia" w:ascii="宋体" w:hAnsi="宋体" w:eastAsia="宋体" w:cs="宋体"/>
                <w:color w:val="auto"/>
                <w:kern w:val="1"/>
                <w:sz w:val="24"/>
                <w:szCs w:val="22"/>
                <w:highlight w:val="none"/>
                <w:lang w:eastAsia="zh-CN"/>
              </w:rPr>
            </w:pPr>
            <w:r>
              <w:rPr>
                <w:rFonts w:hint="eastAsia" w:ascii="宋体" w:hAnsi="宋体" w:eastAsia="宋体" w:cs="宋体"/>
                <w:color w:val="auto"/>
                <w:kern w:val="1"/>
                <w:sz w:val="24"/>
                <w:szCs w:val="22"/>
                <w:highlight w:val="none"/>
              </w:rPr>
              <w:t>项目名称</w:t>
            </w:r>
          </w:p>
        </w:tc>
        <w:tc>
          <w:tcPr>
            <w:tcW w:w="3725" w:type="pct"/>
            <w:gridSpan w:val="3"/>
            <w:noWrap w:val="0"/>
            <w:vAlign w:val="center"/>
          </w:tcPr>
          <w:p w14:paraId="73EA04C8">
            <w:pPr>
              <w:spacing w:line="360" w:lineRule="auto"/>
              <w:jc w:val="center"/>
              <w:rPr>
                <w:rFonts w:hint="eastAsia" w:ascii="宋体" w:hAnsi="宋体" w:eastAsia="宋体" w:cs="宋体"/>
                <w:color w:val="auto"/>
                <w:kern w:val="1"/>
                <w:sz w:val="24"/>
                <w:szCs w:val="22"/>
                <w:highlight w:val="none"/>
              </w:rPr>
            </w:pPr>
          </w:p>
        </w:tc>
      </w:tr>
      <w:tr w14:paraId="2F2A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274" w:type="pct"/>
            <w:noWrap w:val="0"/>
            <w:vAlign w:val="center"/>
          </w:tcPr>
          <w:p w14:paraId="1E9F0988">
            <w:pPr>
              <w:spacing w:line="360" w:lineRule="auto"/>
              <w:jc w:val="center"/>
              <w:rPr>
                <w:rFonts w:hint="eastAsia" w:ascii="宋体" w:hAnsi="宋体" w:eastAsia="宋体" w:cs="宋体"/>
                <w:color w:val="auto"/>
                <w:kern w:val="1"/>
                <w:sz w:val="24"/>
                <w:szCs w:val="22"/>
                <w:highlight w:val="none"/>
              </w:rPr>
            </w:pPr>
            <w:r>
              <w:rPr>
                <w:rFonts w:hint="eastAsia" w:ascii="宋体" w:hAnsi="宋体" w:eastAsia="宋体" w:cs="宋体"/>
                <w:color w:val="auto"/>
                <w:sz w:val="24"/>
                <w:szCs w:val="22"/>
                <w:highlight w:val="none"/>
              </w:rPr>
              <w:t>供应商</w:t>
            </w:r>
            <w:r>
              <w:rPr>
                <w:rFonts w:hint="eastAsia" w:ascii="宋体" w:hAnsi="宋体" w:eastAsia="宋体" w:cs="宋体"/>
                <w:color w:val="auto"/>
                <w:kern w:val="1"/>
                <w:sz w:val="24"/>
                <w:szCs w:val="22"/>
                <w:highlight w:val="none"/>
              </w:rPr>
              <w:t>名称</w:t>
            </w:r>
          </w:p>
        </w:tc>
        <w:tc>
          <w:tcPr>
            <w:tcW w:w="3725" w:type="pct"/>
            <w:gridSpan w:val="3"/>
            <w:noWrap w:val="0"/>
            <w:vAlign w:val="center"/>
          </w:tcPr>
          <w:p w14:paraId="320470FD">
            <w:pPr>
              <w:spacing w:line="360" w:lineRule="auto"/>
              <w:jc w:val="center"/>
              <w:rPr>
                <w:rFonts w:hint="eastAsia" w:ascii="宋体" w:hAnsi="宋体" w:eastAsia="宋体" w:cs="宋体"/>
                <w:color w:val="auto"/>
                <w:kern w:val="1"/>
                <w:sz w:val="24"/>
                <w:szCs w:val="22"/>
                <w:highlight w:val="none"/>
              </w:rPr>
            </w:pPr>
          </w:p>
        </w:tc>
      </w:tr>
      <w:tr w14:paraId="26AE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274" w:type="pct"/>
            <w:noWrap w:val="0"/>
            <w:vAlign w:val="center"/>
          </w:tcPr>
          <w:p w14:paraId="3A7C9894">
            <w:pPr>
              <w:spacing w:line="360" w:lineRule="auto"/>
              <w:jc w:val="center"/>
              <w:rPr>
                <w:rFonts w:hint="eastAsia" w:ascii="宋体" w:hAnsi="宋体" w:eastAsia="宋体" w:cs="宋体"/>
                <w:color w:val="auto"/>
                <w:kern w:val="1"/>
                <w:sz w:val="24"/>
                <w:szCs w:val="22"/>
                <w:highlight w:val="none"/>
              </w:rPr>
            </w:pPr>
            <w:r>
              <w:rPr>
                <w:rFonts w:hint="eastAsia" w:ascii="宋体" w:hAnsi="宋体" w:eastAsia="宋体" w:cs="宋体"/>
                <w:color w:val="auto"/>
                <w:kern w:val="1"/>
                <w:sz w:val="24"/>
                <w:szCs w:val="22"/>
                <w:highlight w:val="none"/>
              </w:rPr>
              <w:t>总报价</w:t>
            </w:r>
          </w:p>
          <w:p w14:paraId="11ECD511">
            <w:pPr>
              <w:spacing w:line="360" w:lineRule="auto"/>
              <w:jc w:val="center"/>
              <w:rPr>
                <w:rFonts w:hint="eastAsia" w:ascii="宋体" w:hAnsi="宋体" w:eastAsia="宋体" w:cs="宋体"/>
                <w:color w:val="auto"/>
                <w:kern w:val="1"/>
                <w:sz w:val="24"/>
                <w:szCs w:val="22"/>
                <w:highlight w:val="none"/>
              </w:rPr>
            </w:pPr>
            <w:r>
              <w:rPr>
                <w:rFonts w:hint="eastAsia" w:ascii="宋体" w:hAnsi="宋体" w:eastAsia="宋体" w:cs="宋体"/>
                <w:color w:val="auto"/>
                <w:kern w:val="1"/>
                <w:sz w:val="24"/>
                <w:szCs w:val="22"/>
                <w:highlight w:val="none"/>
              </w:rPr>
              <w:t>（第一轮）</w:t>
            </w:r>
          </w:p>
        </w:tc>
        <w:tc>
          <w:tcPr>
            <w:tcW w:w="3725" w:type="pct"/>
            <w:gridSpan w:val="3"/>
            <w:noWrap w:val="0"/>
            <w:vAlign w:val="center"/>
          </w:tcPr>
          <w:p w14:paraId="713967B6">
            <w:pPr>
              <w:spacing w:line="360" w:lineRule="auto"/>
              <w:rPr>
                <w:rFonts w:hint="eastAsia" w:ascii="宋体" w:hAnsi="宋体" w:eastAsia="宋体" w:cs="宋体"/>
                <w:color w:val="auto"/>
                <w:kern w:val="1"/>
                <w:sz w:val="24"/>
                <w:szCs w:val="22"/>
                <w:highlight w:val="none"/>
              </w:rPr>
            </w:pPr>
            <w:r>
              <w:rPr>
                <w:rFonts w:hint="eastAsia" w:ascii="宋体" w:hAnsi="宋体" w:eastAsia="宋体" w:cs="宋体"/>
                <w:color w:val="auto"/>
                <w:kern w:val="1"/>
                <w:sz w:val="24"/>
                <w:szCs w:val="22"/>
                <w:highlight w:val="none"/>
              </w:rPr>
              <w:t>大写：</w:t>
            </w:r>
          </w:p>
          <w:p w14:paraId="624EBD88">
            <w:pPr>
              <w:spacing w:line="360" w:lineRule="auto"/>
              <w:rPr>
                <w:rFonts w:hint="eastAsia" w:ascii="宋体" w:hAnsi="宋体" w:eastAsia="宋体" w:cs="宋体"/>
                <w:color w:val="auto"/>
                <w:kern w:val="1"/>
                <w:sz w:val="24"/>
                <w:szCs w:val="22"/>
                <w:highlight w:val="none"/>
              </w:rPr>
            </w:pPr>
            <w:r>
              <w:rPr>
                <w:rFonts w:hint="eastAsia" w:ascii="宋体" w:hAnsi="宋体" w:eastAsia="宋体" w:cs="宋体"/>
                <w:color w:val="auto"/>
                <w:kern w:val="1"/>
                <w:sz w:val="24"/>
                <w:szCs w:val="22"/>
                <w:highlight w:val="none"/>
              </w:rPr>
              <w:t>小写：</w:t>
            </w:r>
          </w:p>
        </w:tc>
      </w:tr>
      <w:tr w14:paraId="45CA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74" w:type="pct"/>
            <w:noWrap w:val="0"/>
            <w:vAlign w:val="center"/>
          </w:tcPr>
          <w:p w14:paraId="57FFABAA">
            <w:pPr>
              <w:spacing w:line="360" w:lineRule="auto"/>
              <w:jc w:val="center"/>
              <w:rPr>
                <w:rFonts w:hint="eastAsia" w:ascii="宋体" w:hAnsi="宋体" w:eastAsia="宋体" w:cs="宋体"/>
                <w:color w:val="auto"/>
                <w:kern w:val="1"/>
                <w:sz w:val="24"/>
                <w:szCs w:val="22"/>
                <w:highlight w:val="none"/>
                <w:lang w:eastAsia="zh-CN"/>
              </w:rPr>
            </w:pPr>
            <w:r>
              <w:rPr>
                <w:rFonts w:hint="eastAsia" w:ascii="宋体" w:hAnsi="宋体" w:eastAsia="宋体" w:cs="宋体"/>
                <w:color w:val="auto"/>
                <w:kern w:val="1"/>
                <w:sz w:val="24"/>
                <w:szCs w:val="22"/>
                <w:highlight w:val="none"/>
              </w:rPr>
              <w:t>服务期限</w:t>
            </w:r>
          </w:p>
        </w:tc>
        <w:tc>
          <w:tcPr>
            <w:tcW w:w="3725" w:type="pct"/>
            <w:gridSpan w:val="3"/>
            <w:noWrap w:val="0"/>
            <w:vAlign w:val="center"/>
          </w:tcPr>
          <w:p w14:paraId="19130675">
            <w:pPr>
              <w:spacing w:line="360" w:lineRule="auto"/>
              <w:rPr>
                <w:rFonts w:hint="eastAsia" w:ascii="宋体" w:hAnsi="宋体" w:eastAsia="宋体" w:cs="宋体"/>
                <w:color w:val="auto"/>
                <w:kern w:val="1"/>
                <w:sz w:val="24"/>
                <w:szCs w:val="22"/>
                <w:highlight w:val="none"/>
              </w:rPr>
            </w:pPr>
          </w:p>
        </w:tc>
      </w:tr>
      <w:tr w14:paraId="7BAE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74" w:type="pct"/>
            <w:noWrap w:val="0"/>
            <w:vAlign w:val="center"/>
          </w:tcPr>
          <w:p w14:paraId="6EEDE3E4">
            <w:pPr>
              <w:spacing w:line="360" w:lineRule="auto"/>
              <w:jc w:val="center"/>
              <w:rPr>
                <w:rFonts w:hint="eastAsia" w:ascii="宋体" w:hAnsi="宋体" w:eastAsia="宋体" w:cs="宋体"/>
                <w:color w:val="auto"/>
                <w:kern w:val="1"/>
                <w:sz w:val="24"/>
                <w:szCs w:val="22"/>
                <w:highlight w:val="none"/>
              </w:rPr>
            </w:pPr>
            <w:r>
              <w:rPr>
                <w:rFonts w:hint="eastAsia" w:ascii="宋体" w:hAnsi="宋体" w:eastAsia="宋体" w:cs="宋体"/>
                <w:color w:val="auto"/>
                <w:kern w:val="1"/>
                <w:sz w:val="24"/>
                <w:szCs w:val="22"/>
                <w:highlight w:val="none"/>
              </w:rPr>
              <w:t>服务质量</w:t>
            </w:r>
          </w:p>
        </w:tc>
        <w:tc>
          <w:tcPr>
            <w:tcW w:w="3725" w:type="pct"/>
            <w:gridSpan w:val="3"/>
            <w:noWrap w:val="0"/>
            <w:vAlign w:val="center"/>
          </w:tcPr>
          <w:p w14:paraId="17841144">
            <w:pPr>
              <w:spacing w:line="360" w:lineRule="auto"/>
              <w:jc w:val="center"/>
              <w:rPr>
                <w:rFonts w:hint="eastAsia" w:ascii="宋体" w:hAnsi="宋体" w:eastAsia="宋体" w:cs="宋体"/>
                <w:color w:val="auto"/>
                <w:kern w:val="1"/>
                <w:sz w:val="24"/>
                <w:szCs w:val="22"/>
                <w:highlight w:val="none"/>
              </w:rPr>
            </w:pPr>
          </w:p>
        </w:tc>
      </w:tr>
      <w:tr w14:paraId="6E6D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274" w:type="pct"/>
            <w:noWrap w:val="0"/>
            <w:vAlign w:val="center"/>
          </w:tcPr>
          <w:p w14:paraId="0AD822F6">
            <w:pPr>
              <w:spacing w:line="360" w:lineRule="auto"/>
              <w:jc w:val="center"/>
              <w:rPr>
                <w:rFonts w:hint="eastAsia" w:ascii="宋体" w:hAnsi="宋体" w:eastAsia="宋体" w:cs="宋体"/>
                <w:color w:val="auto"/>
                <w:kern w:val="1"/>
                <w:sz w:val="24"/>
                <w:szCs w:val="22"/>
                <w:highlight w:val="none"/>
              </w:rPr>
            </w:pPr>
            <w:r>
              <w:rPr>
                <w:rFonts w:hint="eastAsia" w:ascii="宋体" w:hAnsi="宋体" w:eastAsia="宋体" w:cs="宋体"/>
                <w:color w:val="auto"/>
                <w:kern w:val="1"/>
                <w:sz w:val="24"/>
                <w:szCs w:val="22"/>
                <w:highlight w:val="none"/>
              </w:rPr>
              <w:t>投标有效期</w:t>
            </w:r>
          </w:p>
        </w:tc>
        <w:tc>
          <w:tcPr>
            <w:tcW w:w="3725" w:type="pct"/>
            <w:gridSpan w:val="3"/>
            <w:noWrap w:val="0"/>
            <w:vAlign w:val="center"/>
          </w:tcPr>
          <w:p w14:paraId="19E466F4">
            <w:pPr>
              <w:spacing w:line="360" w:lineRule="auto"/>
              <w:jc w:val="center"/>
              <w:rPr>
                <w:rFonts w:hint="eastAsia" w:ascii="宋体" w:hAnsi="宋体" w:eastAsia="宋体" w:cs="宋体"/>
                <w:color w:val="auto"/>
                <w:kern w:val="1"/>
                <w:sz w:val="24"/>
                <w:szCs w:val="22"/>
                <w:highlight w:val="none"/>
              </w:rPr>
            </w:pPr>
          </w:p>
        </w:tc>
      </w:tr>
      <w:tr w14:paraId="304A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274" w:type="pct"/>
            <w:noWrap w:val="0"/>
            <w:vAlign w:val="center"/>
          </w:tcPr>
          <w:p w14:paraId="7AB18D88">
            <w:pPr>
              <w:spacing w:line="360" w:lineRule="auto"/>
              <w:jc w:val="center"/>
              <w:rPr>
                <w:rFonts w:hint="eastAsia" w:ascii="宋体" w:hAnsi="宋体" w:eastAsia="宋体" w:cs="宋体"/>
                <w:color w:val="auto"/>
                <w:kern w:val="1"/>
                <w:sz w:val="24"/>
                <w:szCs w:val="22"/>
                <w:highlight w:val="none"/>
              </w:rPr>
            </w:pPr>
            <w:r>
              <w:rPr>
                <w:rFonts w:hint="eastAsia" w:ascii="宋体" w:hAnsi="宋体" w:cs="宋体"/>
                <w:color w:val="auto"/>
                <w:sz w:val="24"/>
                <w:szCs w:val="24"/>
                <w:highlight w:val="none"/>
              </w:rPr>
              <w:t>项目负责人</w:t>
            </w:r>
          </w:p>
        </w:tc>
        <w:tc>
          <w:tcPr>
            <w:tcW w:w="1349" w:type="pct"/>
            <w:noWrap w:val="0"/>
            <w:vAlign w:val="center"/>
          </w:tcPr>
          <w:p w14:paraId="7D0905AA">
            <w:pPr>
              <w:spacing w:line="360" w:lineRule="auto"/>
              <w:jc w:val="center"/>
              <w:rPr>
                <w:rFonts w:hint="eastAsia" w:ascii="宋体" w:hAnsi="宋体" w:eastAsia="宋体" w:cs="宋体"/>
                <w:color w:val="auto"/>
                <w:kern w:val="1"/>
                <w:sz w:val="24"/>
                <w:szCs w:val="22"/>
                <w:highlight w:val="none"/>
              </w:rPr>
            </w:pPr>
          </w:p>
        </w:tc>
        <w:tc>
          <w:tcPr>
            <w:tcW w:w="831" w:type="pct"/>
            <w:noWrap w:val="0"/>
            <w:vAlign w:val="center"/>
          </w:tcPr>
          <w:p w14:paraId="733AD868">
            <w:pPr>
              <w:spacing w:line="360" w:lineRule="auto"/>
              <w:jc w:val="center"/>
              <w:rPr>
                <w:rFonts w:hint="eastAsia" w:ascii="宋体" w:hAnsi="宋体" w:eastAsia="宋体" w:cs="宋体"/>
                <w:color w:val="auto"/>
                <w:kern w:val="1"/>
                <w:sz w:val="24"/>
                <w:szCs w:val="22"/>
                <w:highlight w:val="none"/>
                <w:lang w:eastAsia="zh-CN"/>
              </w:rPr>
            </w:pPr>
            <w:r>
              <w:rPr>
                <w:rFonts w:hint="eastAsia" w:ascii="宋体" w:hAnsi="宋体" w:eastAsia="宋体" w:cs="宋体"/>
                <w:color w:val="auto"/>
                <w:kern w:val="1"/>
                <w:sz w:val="24"/>
                <w:szCs w:val="22"/>
                <w:highlight w:val="none"/>
                <w:lang w:val="en-US" w:eastAsia="zh-CN"/>
              </w:rPr>
              <w:t>联系方式</w:t>
            </w:r>
          </w:p>
        </w:tc>
        <w:tc>
          <w:tcPr>
            <w:tcW w:w="1545" w:type="pct"/>
            <w:noWrap w:val="0"/>
            <w:vAlign w:val="center"/>
          </w:tcPr>
          <w:p w14:paraId="013227B9">
            <w:pPr>
              <w:spacing w:line="360" w:lineRule="auto"/>
              <w:jc w:val="center"/>
              <w:rPr>
                <w:rFonts w:hint="eastAsia" w:ascii="宋体" w:hAnsi="宋体" w:eastAsia="宋体" w:cs="宋体"/>
                <w:color w:val="auto"/>
                <w:kern w:val="1"/>
                <w:sz w:val="24"/>
                <w:szCs w:val="22"/>
                <w:highlight w:val="none"/>
              </w:rPr>
            </w:pPr>
          </w:p>
        </w:tc>
      </w:tr>
      <w:tr w14:paraId="37EB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274" w:type="pct"/>
            <w:noWrap w:val="0"/>
            <w:vAlign w:val="center"/>
          </w:tcPr>
          <w:p w14:paraId="0CDE660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职称</w:t>
            </w:r>
          </w:p>
        </w:tc>
        <w:tc>
          <w:tcPr>
            <w:tcW w:w="1349" w:type="pct"/>
            <w:noWrap w:val="0"/>
            <w:vAlign w:val="center"/>
          </w:tcPr>
          <w:p w14:paraId="5ADDE074">
            <w:pPr>
              <w:spacing w:line="360" w:lineRule="auto"/>
              <w:jc w:val="center"/>
              <w:rPr>
                <w:rFonts w:hint="eastAsia" w:ascii="宋体" w:hAnsi="宋体" w:eastAsia="宋体" w:cs="宋体"/>
                <w:color w:val="auto"/>
                <w:kern w:val="1"/>
                <w:sz w:val="24"/>
                <w:szCs w:val="22"/>
                <w:highlight w:val="none"/>
              </w:rPr>
            </w:pPr>
          </w:p>
        </w:tc>
        <w:tc>
          <w:tcPr>
            <w:tcW w:w="831" w:type="pct"/>
            <w:noWrap w:val="0"/>
            <w:vAlign w:val="center"/>
          </w:tcPr>
          <w:p w14:paraId="50B354D4">
            <w:pPr>
              <w:spacing w:line="360" w:lineRule="auto"/>
              <w:jc w:val="center"/>
              <w:rPr>
                <w:rFonts w:hint="default" w:ascii="宋体" w:hAnsi="宋体" w:eastAsia="宋体" w:cs="宋体"/>
                <w:color w:val="auto"/>
                <w:kern w:val="1"/>
                <w:sz w:val="24"/>
                <w:szCs w:val="22"/>
                <w:highlight w:val="none"/>
                <w:lang w:val="en-US" w:eastAsia="zh-CN"/>
              </w:rPr>
            </w:pPr>
            <w:r>
              <w:rPr>
                <w:rFonts w:hint="eastAsia" w:ascii="宋体" w:hAnsi="宋体" w:eastAsia="宋体" w:cs="宋体"/>
                <w:color w:val="auto"/>
                <w:kern w:val="1"/>
                <w:sz w:val="24"/>
                <w:szCs w:val="22"/>
                <w:highlight w:val="none"/>
                <w:lang w:val="en-US" w:eastAsia="zh-CN"/>
              </w:rPr>
              <w:t>证书编号</w:t>
            </w:r>
          </w:p>
        </w:tc>
        <w:tc>
          <w:tcPr>
            <w:tcW w:w="1545" w:type="pct"/>
            <w:noWrap w:val="0"/>
            <w:vAlign w:val="center"/>
          </w:tcPr>
          <w:p w14:paraId="021DA046">
            <w:pPr>
              <w:spacing w:line="360" w:lineRule="auto"/>
              <w:jc w:val="center"/>
              <w:rPr>
                <w:rFonts w:hint="eastAsia" w:ascii="宋体" w:hAnsi="宋体" w:eastAsia="宋体" w:cs="宋体"/>
                <w:color w:val="auto"/>
                <w:kern w:val="1"/>
                <w:sz w:val="24"/>
                <w:szCs w:val="22"/>
                <w:highlight w:val="none"/>
              </w:rPr>
            </w:pPr>
          </w:p>
        </w:tc>
      </w:tr>
      <w:tr w14:paraId="70C6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274" w:type="pct"/>
            <w:noWrap w:val="0"/>
            <w:vAlign w:val="center"/>
          </w:tcPr>
          <w:p w14:paraId="1145E7E4">
            <w:pPr>
              <w:spacing w:line="360" w:lineRule="auto"/>
              <w:jc w:val="center"/>
              <w:rPr>
                <w:rFonts w:hint="eastAsia" w:ascii="宋体" w:hAnsi="宋体" w:eastAsia="宋体" w:cs="宋体"/>
                <w:color w:val="auto"/>
                <w:kern w:val="1"/>
                <w:sz w:val="24"/>
                <w:szCs w:val="22"/>
                <w:highlight w:val="none"/>
              </w:rPr>
            </w:pPr>
            <w:r>
              <w:rPr>
                <w:rFonts w:hint="eastAsia" w:ascii="宋体" w:hAnsi="宋体" w:eastAsia="宋体" w:cs="宋体"/>
                <w:color w:val="auto"/>
                <w:kern w:val="1"/>
                <w:sz w:val="24"/>
                <w:szCs w:val="22"/>
                <w:highlight w:val="none"/>
              </w:rPr>
              <w:t>备注</w:t>
            </w:r>
          </w:p>
        </w:tc>
        <w:tc>
          <w:tcPr>
            <w:tcW w:w="3725" w:type="pct"/>
            <w:gridSpan w:val="3"/>
            <w:noWrap w:val="0"/>
            <w:vAlign w:val="center"/>
          </w:tcPr>
          <w:p w14:paraId="4B3A6A30">
            <w:pPr>
              <w:numPr>
                <w:ilvl w:val="0"/>
                <w:numId w:val="5"/>
              </w:numPr>
              <w:spacing w:line="360" w:lineRule="auto"/>
              <w:jc w:val="left"/>
              <w:rPr>
                <w:rFonts w:hint="eastAsia" w:ascii="宋体" w:hAnsi="宋体" w:eastAsia="宋体" w:cs="宋体"/>
                <w:color w:val="auto"/>
                <w:kern w:val="1"/>
                <w:sz w:val="24"/>
                <w:szCs w:val="22"/>
                <w:highlight w:val="none"/>
              </w:rPr>
            </w:pPr>
            <w:r>
              <w:rPr>
                <w:rFonts w:hint="eastAsia" w:ascii="宋体" w:hAnsi="宋体" w:eastAsia="宋体" w:cs="宋体"/>
                <w:color w:val="auto"/>
                <w:kern w:val="1"/>
                <w:sz w:val="24"/>
                <w:szCs w:val="22"/>
                <w:highlight w:val="none"/>
              </w:rPr>
              <w:t>本表总报价应与响应文件中报价表、磋商函的总报价一致，不一致者以《磋商函》中总报价为准（大小写不一致以大写金额为准），供应商将承担由此造成的一切后果。</w:t>
            </w:r>
          </w:p>
          <w:p w14:paraId="087BF3D2">
            <w:pPr>
              <w:numPr>
                <w:ilvl w:val="0"/>
                <w:numId w:val="5"/>
              </w:numPr>
              <w:spacing w:line="360" w:lineRule="auto"/>
              <w:jc w:val="left"/>
              <w:rPr>
                <w:rFonts w:hint="eastAsia" w:ascii="宋体" w:hAnsi="宋体" w:eastAsia="宋体" w:cs="宋体"/>
                <w:color w:val="auto"/>
                <w:kern w:val="1"/>
                <w:sz w:val="24"/>
                <w:szCs w:val="22"/>
                <w:highlight w:val="none"/>
              </w:rPr>
            </w:pPr>
            <w:r>
              <w:rPr>
                <w:rFonts w:hint="eastAsia" w:ascii="宋体" w:hAnsi="宋体" w:eastAsia="宋体" w:cs="宋体"/>
                <w:color w:val="auto"/>
                <w:kern w:val="1"/>
                <w:sz w:val="24"/>
                <w:szCs w:val="22"/>
                <w:highlight w:val="none"/>
              </w:rPr>
              <w:t>报价应包括磋商文件所确定的采购范围内的全部费用。</w:t>
            </w:r>
          </w:p>
        </w:tc>
      </w:tr>
    </w:tbl>
    <w:p w14:paraId="4B405DF7">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rPr>
      </w:pPr>
      <w:bookmarkStart w:id="343" w:name="_Toc121405497"/>
      <w:bookmarkStart w:id="344" w:name="_Toc90623955"/>
      <w:bookmarkStart w:id="345" w:name="_Toc16520682"/>
      <w:bookmarkStart w:id="346" w:name="_Toc30579"/>
      <w:bookmarkStart w:id="347" w:name="_Toc1510"/>
      <w:bookmarkStart w:id="348" w:name="_Toc508179893"/>
      <w:bookmarkStart w:id="349" w:name="_Toc16520170"/>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（电子签章）</w:t>
      </w:r>
    </w:p>
    <w:p w14:paraId="7876CEDD">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rPr>
        <w:t>电子签章或签字</w:t>
      </w:r>
      <w:r>
        <w:rPr>
          <w:rFonts w:hint="eastAsia" w:ascii="宋体" w:hAnsi="宋体" w:eastAsia="宋体" w:cs="宋体"/>
          <w:color w:val="auto"/>
          <w:kern w:val="0"/>
          <w:sz w:val="24"/>
          <w:highlight w:val="none"/>
        </w:rPr>
        <w:t>）</w:t>
      </w:r>
    </w:p>
    <w:p w14:paraId="7B7733AA">
      <w:pPr>
        <w:autoSpaceDE w:val="0"/>
        <w:autoSpaceDN w:val="0"/>
        <w:adjustRightInd w:val="0"/>
        <w:spacing w:line="360" w:lineRule="auto"/>
        <w:jc w:val="both"/>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none"/>
          <w:lang w:val="en-US" w:eastAsia="zh-CN"/>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1F856668">
      <w:pPr>
        <w:spacing w:line="360" w:lineRule="auto"/>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二、法定代表人身份证明</w:t>
      </w:r>
      <w:bookmarkEnd w:id="343"/>
      <w:bookmarkEnd w:id="344"/>
      <w:bookmarkEnd w:id="345"/>
      <w:bookmarkEnd w:id="346"/>
      <w:bookmarkEnd w:id="347"/>
      <w:bookmarkEnd w:id="348"/>
      <w:bookmarkEnd w:id="349"/>
    </w:p>
    <w:p w14:paraId="0E4416FB">
      <w:pPr>
        <w:rPr>
          <w:rFonts w:hint="eastAsia" w:ascii="宋体" w:hAnsi="宋体" w:eastAsia="宋体" w:cs="宋体"/>
          <w:color w:val="auto"/>
          <w:szCs w:val="21"/>
          <w:highlight w:val="none"/>
        </w:rPr>
      </w:pPr>
      <w:bookmarkStart w:id="350" w:name="_Toc387671317"/>
      <w:bookmarkStart w:id="351" w:name="_Toc387669603"/>
      <w:bookmarkStart w:id="352" w:name="_Toc234382962"/>
      <w:bookmarkStart w:id="353" w:name="_Toc387671679"/>
    </w:p>
    <w:bookmarkEnd w:id="350"/>
    <w:bookmarkEnd w:id="351"/>
    <w:bookmarkEnd w:id="352"/>
    <w:bookmarkEnd w:id="353"/>
    <w:p w14:paraId="768C389A">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单位名称：</w:t>
      </w:r>
      <w:r>
        <w:rPr>
          <w:rFonts w:ascii="Times New Roman" w:hAnsi="Times New Roman"/>
          <w:color w:val="auto"/>
          <w:sz w:val="24"/>
          <w:szCs w:val="24"/>
          <w:highlight w:val="none"/>
          <w:u w:val="single"/>
          <w:shd w:val="clear" w:color="auto" w:fill="FFFFFF"/>
          <w:lang w:bidi="ar"/>
        </w:rPr>
        <w:t xml:space="preserve">                                   </w:t>
      </w:r>
    </w:p>
    <w:p w14:paraId="10410066">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单位性质：</w:t>
      </w:r>
      <w:r>
        <w:rPr>
          <w:rFonts w:ascii="Times New Roman" w:hAnsi="Times New Roman"/>
          <w:color w:val="auto"/>
          <w:sz w:val="24"/>
          <w:szCs w:val="24"/>
          <w:highlight w:val="none"/>
          <w:u w:val="single"/>
          <w:shd w:val="clear" w:color="auto" w:fill="FFFFFF"/>
          <w:lang w:bidi="ar"/>
        </w:rPr>
        <w:t xml:space="preserve">                                   </w:t>
      </w:r>
    </w:p>
    <w:p w14:paraId="2A760CF8">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地址：</w:t>
      </w:r>
      <w:r>
        <w:rPr>
          <w:rFonts w:ascii="Times New Roman" w:hAnsi="Times New Roman"/>
          <w:color w:val="auto"/>
          <w:sz w:val="24"/>
          <w:szCs w:val="24"/>
          <w:highlight w:val="non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ab/>
      </w:r>
      <w:r>
        <w:rPr>
          <w:rFonts w:ascii="Times New Roman" w:hAnsi="Times New Roman"/>
          <w:color w:val="auto"/>
          <w:sz w:val="24"/>
          <w:szCs w:val="24"/>
          <w:highlight w:val="none"/>
          <w:u w:val="single"/>
          <w:shd w:val="clear" w:color="auto" w:fill="FFFFFF"/>
          <w:lang w:bidi="ar"/>
        </w:rPr>
        <w:t xml:space="preserve"> </w:t>
      </w:r>
    </w:p>
    <w:p w14:paraId="6B5906C1">
      <w:pPr>
        <w:spacing w:line="600" w:lineRule="exact"/>
        <w:ind w:firstLine="566" w:firstLineChars="236"/>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成立时间：</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742AD6AC">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经营期限：</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ab/>
      </w:r>
    </w:p>
    <w:p w14:paraId="619C4FAF">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姓</w:t>
      </w:r>
      <w:r>
        <w:rPr>
          <w:rFonts w:ascii="Times New Roman" w:hAnsi="Times New Roman"/>
          <w:color w:val="auto"/>
          <w:sz w:val="24"/>
          <w:szCs w:val="24"/>
          <w:highlight w:val="none"/>
          <w:shd w:val="clear" w:color="auto" w:fill="FFFFFF"/>
          <w:lang w:bidi="ar"/>
        </w:rPr>
        <w:tab/>
      </w:r>
      <w:r>
        <w:rPr>
          <w:rFonts w:hint="eastAsia" w:ascii="Times New Roman" w:hAnsi="Times New Roman"/>
          <w:color w:val="auto"/>
          <w:sz w:val="24"/>
          <w:szCs w:val="24"/>
          <w:highlight w:val="none"/>
          <w:shd w:val="clear" w:color="auto" w:fill="FFFFFF"/>
          <w:lang w:bidi="ar"/>
        </w:rPr>
        <w:t>名：</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性别：</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年龄：</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职务：</w:t>
      </w:r>
      <w:r>
        <w:rPr>
          <w:rFonts w:ascii="Times New Roman" w:hAnsi="Times New Roman"/>
          <w:color w:val="auto"/>
          <w:sz w:val="24"/>
          <w:szCs w:val="24"/>
          <w:highlight w:val="none"/>
          <w:u w:val="single"/>
          <w:shd w:val="clear" w:color="auto" w:fill="FFFFFF"/>
          <w:lang w:bidi="ar"/>
        </w:rPr>
        <w:t xml:space="preserve">    </w:t>
      </w:r>
    </w:p>
    <w:p w14:paraId="4A9F5F84">
      <w:pPr>
        <w:spacing w:line="600" w:lineRule="exact"/>
        <w:ind w:firstLine="566" w:firstLineChars="236"/>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系</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ab/>
      </w:r>
      <w:r>
        <w:rPr>
          <w:rFonts w:hint="eastAsia" w:ascii="Times New Roman" w:hAnsi="Times New Roman"/>
          <w:color w:val="auto"/>
          <w:sz w:val="24"/>
          <w:szCs w:val="24"/>
          <w:highlight w:val="none"/>
          <w:u w:val="single"/>
          <w:shd w:val="clear" w:color="auto" w:fill="FFFFFF"/>
          <w:lang w:bidi="ar"/>
        </w:rPr>
        <w:t>（供应商单位名称）</w:t>
      </w:r>
      <w:r>
        <w:rPr>
          <w:rFonts w:ascii="Times New Roman" w:hAnsi="Times New Roman"/>
          <w:color w:val="auto"/>
          <w:sz w:val="24"/>
          <w:szCs w:val="24"/>
          <w:highlight w:val="none"/>
          <w:u w:val="single"/>
          <w:shd w:val="clear" w:color="auto" w:fill="FFFFFF"/>
          <w:lang w:bidi="ar"/>
        </w:rPr>
        <w:tab/>
      </w:r>
      <w:r>
        <w:rPr>
          <w:rFonts w:hint="eastAsia" w:ascii="Times New Roman" w:hAnsi="Times New Roman"/>
          <w:color w:val="auto"/>
          <w:sz w:val="24"/>
          <w:szCs w:val="24"/>
          <w:highlight w:val="none"/>
          <w:shd w:val="clear" w:color="auto" w:fill="FFFFFF"/>
          <w:lang w:bidi="ar"/>
        </w:rPr>
        <w:t>的法定代表人。</w:t>
      </w:r>
    </w:p>
    <w:p w14:paraId="17D0AC0A">
      <w:pPr>
        <w:spacing w:line="600" w:lineRule="exact"/>
        <w:ind w:firstLine="566" w:firstLineChars="236"/>
        <w:rPr>
          <w:rFonts w:ascii="Times New Roman" w:hAnsi="Times New Roman"/>
          <w:color w:val="auto"/>
          <w:sz w:val="24"/>
          <w:szCs w:val="24"/>
          <w:highlight w:val="none"/>
          <w:shd w:val="clear" w:color="auto" w:fill="FFFFFF"/>
          <w:lang w:bidi="ar"/>
        </w:rPr>
      </w:pPr>
    </w:p>
    <w:p w14:paraId="263DC82B">
      <w:pPr>
        <w:spacing w:line="600" w:lineRule="exact"/>
        <w:ind w:firstLine="566" w:firstLineChars="236"/>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特此证明。</w:t>
      </w:r>
    </w:p>
    <w:p w14:paraId="768E2BBD">
      <w:pPr>
        <w:spacing w:line="600" w:lineRule="exact"/>
        <w:ind w:firstLine="566" w:firstLineChars="236"/>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（后附法定代表人身份证正反面扫描件）</w:t>
      </w:r>
    </w:p>
    <w:p w14:paraId="4C2D7B11">
      <w:pPr>
        <w:spacing w:line="500" w:lineRule="exact"/>
        <w:rPr>
          <w:rFonts w:hint="eastAsia" w:ascii="宋体" w:hAnsi="宋体" w:eastAsia="宋体" w:cs="宋体"/>
          <w:color w:val="auto"/>
          <w:sz w:val="24"/>
          <w:highlight w:val="none"/>
        </w:rPr>
      </w:pPr>
    </w:p>
    <w:p w14:paraId="10720D2B">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（电子签章）</w:t>
      </w:r>
    </w:p>
    <w:p w14:paraId="3A50259B">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rPr>
        <w:t>电子签章或签字</w:t>
      </w:r>
      <w:r>
        <w:rPr>
          <w:rFonts w:hint="eastAsia" w:ascii="宋体" w:hAnsi="宋体" w:eastAsia="宋体" w:cs="宋体"/>
          <w:color w:val="auto"/>
          <w:kern w:val="0"/>
          <w:sz w:val="24"/>
          <w:highlight w:val="none"/>
        </w:rPr>
        <w:t>）</w:t>
      </w:r>
    </w:p>
    <w:p w14:paraId="417CA111">
      <w:pPr>
        <w:autoSpaceDE w:val="0"/>
        <w:autoSpaceDN w:val="0"/>
        <w:adjustRightInd w:val="0"/>
        <w:spacing w:line="360" w:lineRule="auto"/>
        <w:jc w:val="both"/>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none"/>
          <w:lang w:val="en-US" w:eastAsia="zh-CN"/>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3947D2ED">
      <w:pPr>
        <w:spacing w:line="400" w:lineRule="exact"/>
        <w:rPr>
          <w:rFonts w:hint="eastAsia" w:ascii="宋体" w:hAnsi="宋体" w:eastAsia="宋体" w:cs="宋体"/>
          <w:color w:val="auto"/>
          <w:sz w:val="24"/>
          <w:highlight w:val="none"/>
        </w:rPr>
      </w:pPr>
    </w:p>
    <w:p w14:paraId="719FD794">
      <w:pPr>
        <w:jc w:val="center"/>
        <w:rPr>
          <w:rFonts w:hint="eastAsia" w:ascii="宋体" w:hAnsi="宋体" w:eastAsia="宋体" w:cs="宋体"/>
          <w:b/>
          <w:color w:val="auto"/>
          <w:sz w:val="24"/>
          <w:highlight w:val="none"/>
        </w:rPr>
      </w:pPr>
      <w:r>
        <w:rPr>
          <w:rFonts w:hint="eastAsia" w:ascii="宋体" w:hAnsi="宋体" w:eastAsia="宋体" w:cs="宋体"/>
          <w:b/>
          <w:bCs/>
          <w:color w:val="auto"/>
          <w:kern w:val="44"/>
          <w:sz w:val="24"/>
          <w:highlight w:val="none"/>
        </w:rPr>
        <w:br w:type="page"/>
      </w:r>
      <w:r>
        <w:rPr>
          <w:rFonts w:hint="eastAsia" w:ascii="宋体" w:hAnsi="宋体" w:eastAsia="宋体" w:cs="宋体"/>
          <w:b/>
          <w:bCs/>
          <w:color w:val="auto"/>
          <w:kern w:val="44"/>
          <w:sz w:val="24"/>
          <w:highlight w:val="none"/>
          <w:lang w:val="en-US" w:eastAsia="zh-CN"/>
        </w:rPr>
        <w:t>三、</w:t>
      </w:r>
      <w:r>
        <w:rPr>
          <w:rFonts w:hint="eastAsia" w:ascii="宋体" w:hAnsi="宋体" w:eastAsia="宋体" w:cs="宋体"/>
          <w:b/>
          <w:bCs/>
          <w:color w:val="auto"/>
          <w:kern w:val="44"/>
          <w:sz w:val="24"/>
          <w:highlight w:val="none"/>
        </w:rPr>
        <w:t>授权委托书</w:t>
      </w:r>
    </w:p>
    <w:p w14:paraId="352546E8">
      <w:pPr>
        <w:spacing w:line="500" w:lineRule="exact"/>
        <w:rPr>
          <w:rFonts w:hint="eastAsia" w:ascii="宋体" w:hAnsi="宋体" w:eastAsia="宋体" w:cs="宋体"/>
          <w:color w:val="auto"/>
          <w:sz w:val="24"/>
          <w:highlight w:val="none"/>
        </w:rPr>
      </w:pPr>
    </w:p>
    <w:p w14:paraId="7DC1CE9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（项目名称）响应性文件、签订合同和处理有关事宜，其法律后果由我方承担。</w:t>
      </w:r>
    </w:p>
    <w:p w14:paraId="661ECC35">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A425184">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00E30E53">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附：委托代理人身份证扫描件正反面</w:t>
      </w:r>
    </w:p>
    <w:p w14:paraId="01D5B2E7">
      <w:pPr>
        <w:widowControl/>
        <w:jc w:val="left"/>
        <w:rPr>
          <w:rFonts w:hint="eastAsia" w:ascii="宋体" w:hAnsi="宋体" w:eastAsia="宋体" w:cs="宋体"/>
          <w:color w:val="auto"/>
          <w:highlight w:val="none"/>
        </w:rPr>
      </w:pPr>
    </w:p>
    <w:p w14:paraId="378731CC">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电子签章</w:t>
      </w:r>
      <w:r>
        <w:rPr>
          <w:rFonts w:hint="eastAsia" w:ascii="宋体" w:hAnsi="宋体" w:eastAsia="宋体" w:cs="宋体"/>
          <w:color w:val="auto"/>
          <w:sz w:val="24"/>
          <w:highlight w:val="none"/>
        </w:rPr>
        <w:t>）</w:t>
      </w:r>
    </w:p>
    <w:p w14:paraId="4ECA44BC">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（电子签章或签字）</w:t>
      </w:r>
    </w:p>
    <w:p w14:paraId="366B591B">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（电子签章或签字）</w:t>
      </w:r>
    </w:p>
    <w:p w14:paraId="0F626AEB">
      <w:pPr>
        <w:spacing w:line="500" w:lineRule="exact"/>
        <w:rPr>
          <w:rFonts w:hint="eastAsia" w:ascii="宋体" w:hAnsi="宋体" w:eastAsia="宋体" w:cs="宋体"/>
          <w:color w:val="auto"/>
          <w:sz w:val="24"/>
          <w:highlight w:val="none"/>
        </w:rPr>
      </w:pPr>
    </w:p>
    <w:p w14:paraId="0C49D82F">
      <w:pPr>
        <w:shd w:val="clear" w:color="auto" w:fill="FFFFFF"/>
        <w:tabs>
          <w:tab w:val="right" w:pos="6077"/>
        </w:tabs>
        <w:autoSpaceDE w:val="0"/>
        <w:autoSpaceDN w:val="0"/>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129F853">
      <w:pPr>
        <w:spacing w:line="360" w:lineRule="auto"/>
        <w:ind w:firstLine="3600" w:firstLineChars="1500"/>
        <w:rPr>
          <w:rFonts w:ascii="Times New Roman" w:hAnsi="Times New Roman"/>
          <w:color w:val="auto"/>
          <w:sz w:val="24"/>
          <w:szCs w:val="24"/>
          <w:highlight w:val="none"/>
        </w:rPr>
      </w:pPr>
      <w:r>
        <w:rPr>
          <w:rFonts w:hint="eastAsia" w:ascii="Times New Roman" w:hAnsi="Times New Roman"/>
          <w:color w:val="auto"/>
          <w:sz w:val="24"/>
          <w:szCs w:val="24"/>
          <w:highlight w:val="none"/>
        </w:rPr>
        <w:t>法定代表人身份证扫描件</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44"/>
      </w:tblGrid>
      <w:tr w14:paraId="1846D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5" w:hRule="atLeast"/>
          <w:jc w:val="center"/>
        </w:trPr>
        <w:tc>
          <w:tcPr>
            <w:tcW w:w="8744" w:type="dxa"/>
            <w:tcBorders>
              <w:top w:val="single" w:color="000000" w:sz="4" w:space="0"/>
              <w:left w:val="single" w:color="000000" w:sz="4" w:space="0"/>
              <w:bottom w:val="single" w:color="000000" w:sz="4" w:space="0"/>
              <w:right w:val="single" w:color="000000" w:sz="4" w:space="0"/>
            </w:tcBorders>
            <w:noWrap w:val="0"/>
            <w:vAlign w:val="center"/>
          </w:tcPr>
          <w:p w14:paraId="1CA6015D">
            <w:pPr>
              <w:spacing w:line="360" w:lineRule="auto"/>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正面</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背面</w:t>
            </w:r>
          </w:p>
        </w:tc>
      </w:tr>
    </w:tbl>
    <w:p w14:paraId="2D58AEBE">
      <w:pPr>
        <w:spacing w:line="360" w:lineRule="auto"/>
        <w:ind w:firstLine="3600" w:firstLineChars="1500"/>
        <w:rPr>
          <w:rFonts w:ascii="Times New Roman" w:hAnsi="Times New Roman"/>
          <w:color w:val="auto"/>
          <w:sz w:val="24"/>
          <w:szCs w:val="24"/>
          <w:highlight w:val="none"/>
        </w:rPr>
      </w:pPr>
      <w:r>
        <w:rPr>
          <w:rFonts w:hint="eastAsia" w:ascii="Times New Roman" w:hAnsi="Times New Roman"/>
          <w:color w:val="auto"/>
          <w:sz w:val="24"/>
          <w:szCs w:val="24"/>
          <w:highlight w:val="none"/>
        </w:rPr>
        <w:t>委托代理人身份证扫描件</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7DB75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5" w:hRule="atLeast"/>
          <w:jc w:val="center"/>
        </w:trPr>
        <w:tc>
          <w:tcPr>
            <w:tcW w:w="8720" w:type="dxa"/>
            <w:tcBorders>
              <w:top w:val="single" w:color="000000" w:sz="4" w:space="0"/>
              <w:left w:val="single" w:color="000000" w:sz="4" w:space="0"/>
              <w:bottom w:val="single" w:color="000000" w:sz="4" w:space="0"/>
              <w:right w:val="single" w:color="000000" w:sz="4" w:space="0"/>
            </w:tcBorders>
            <w:noWrap w:val="0"/>
            <w:vAlign w:val="center"/>
          </w:tcPr>
          <w:p w14:paraId="40AAD67C">
            <w:pPr>
              <w:jc w:val="center"/>
              <w:rPr>
                <w:rFonts w:ascii="Times New Roman" w:hAnsi="Times New Roman"/>
                <w:color w:val="auto"/>
                <w:szCs w:val="24"/>
                <w:highlight w:val="none"/>
              </w:rPr>
            </w:pPr>
            <w:r>
              <w:rPr>
                <w:rFonts w:hint="eastAsia" w:ascii="Times New Roman" w:hAnsi="Times New Roman"/>
                <w:color w:val="auto"/>
                <w:sz w:val="24"/>
                <w:szCs w:val="24"/>
                <w:highlight w:val="none"/>
              </w:rPr>
              <w:t>正面</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背面</w:t>
            </w:r>
          </w:p>
        </w:tc>
      </w:tr>
    </w:tbl>
    <w:p w14:paraId="3B983D87">
      <w:pPr>
        <w:numPr>
          <w:ilvl w:val="0"/>
          <w:numId w:val="6"/>
        </w:numPr>
        <w:shd w:val="clear" w:color="auto" w:fill="FFFFFF"/>
        <w:tabs>
          <w:tab w:val="right" w:pos="6077"/>
        </w:tabs>
        <w:autoSpaceDE w:val="0"/>
        <w:autoSpaceDN w:val="0"/>
        <w:spacing w:line="560" w:lineRule="exact"/>
        <w:jc w:val="center"/>
        <w:outlineLvl w:val="1"/>
        <w:rPr>
          <w:rFonts w:hint="eastAsia" w:ascii="宋体" w:hAnsi="宋体" w:eastAsia="宋体" w:cs="宋体"/>
          <w:b/>
          <w:bCs/>
          <w:color w:val="auto"/>
          <w:sz w:val="32"/>
          <w:szCs w:val="32"/>
          <w:highlight w:val="none"/>
          <w:lang w:eastAsia="zh-CN"/>
        </w:rPr>
      </w:pPr>
      <w:bookmarkStart w:id="354" w:name="_Toc16520685"/>
      <w:bookmarkStart w:id="355" w:name="_Toc522117924"/>
      <w:bookmarkStart w:id="356" w:name="_Toc16520173"/>
      <w:bookmarkStart w:id="357" w:name="_Toc27875"/>
      <w:bookmarkStart w:id="358" w:name="_Toc90623959"/>
      <w:bookmarkStart w:id="359" w:name="_Toc121405501"/>
      <w:bookmarkStart w:id="360" w:name="_Toc6912"/>
      <w:r>
        <w:rPr>
          <w:rFonts w:hint="eastAsia" w:ascii="宋体" w:hAnsi="宋体" w:eastAsia="宋体" w:cs="宋体"/>
          <w:b/>
          <w:bCs/>
          <w:color w:val="auto"/>
          <w:sz w:val="32"/>
          <w:szCs w:val="32"/>
          <w:highlight w:val="none"/>
          <w:lang w:eastAsia="zh-CN"/>
        </w:rPr>
        <w:br w:type="page"/>
      </w:r>
      <w:r>
        <w:rPr>
          <w:rFonts w:hint="eastAsia" w:ascii="宋体" w:hAnsi="宋体" w:eastAsia="宋体" w:cs="宋体"/>
          <w:b/>
          <w:bCs/>
          <w:color w:val="auto"/>
          <w:sz w:val="32"/>
          <w:szCs w:val="32"/>
          <w:highlight w:val="none"/>
          <w:lang w:eastAsia="zh-CN"/>
        </w:rPr>
        <w:t>投标承诺函</w:t>
      </w:r>
    </w:p>
    <w:p w14:paraId="5AF62606">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（采购人名称）    </w:t>
      </w:r>
      <w:r>
        <w:rPr>
          <w:rFonts w:hint="eastAsia" w:ascii="宋体" w:hAnsi="宋体" w:eastAsia="宋体" w:cs="宋体"/>
          <w:color w:val="auto"/>
          <w:kern w:val="0"/>
          <w:sz w:val="24"/>
          <w:szCs w:val="24"/>
          <w:highlight w:val="none"/>
        </w:rPr>
        <w:t>：</w:t>
      </w:r>
    </w:p>
    <w:p w14:paraId="1DBDC3D2">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u w:val="single"/>
        </w:rPr>
        <w:t xml:space="preserve">    （供应商名称）     </w:t>
      </w:r>
      <w:r>
        <w:rPr>
          <w:rFonts w:hint="eastAsia" w:ascii="宋体" w:hAnsi="宋体" w:eastAsia="宋体" w:cs="宋体"/>
          <w:color w:val="auto"/>
          <w:kern w:val="0"/>
          <w:sz w:val="24"/>
          <w:szCs w:val="24"/>
          <w:highlight w:val="none"/>
        </w:rPr>
        <w:t>在参加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u w:val="single"/>
        </w:rPr>
        <w:t xml:space="preserve">  （项目编号）  </w:t>
      </w:r>
      <w:r>
        <w:rPr>
          <w:rFonts w:hint="eastAsia" w:ascii="宋体" w:hAnsi="宋体" w:eastAsia="宋体" w:cs="宋体"/>
          <w:color w:val="auto"/>
          <w:kern w:val="0"/>
          <w:sz w:val="24"/>
          <w:szCs w:val="24"/>
          <w:highlight w:val="none"/>
        </w:rPr>
        <w:t>，根据《中华人民共和国政府采购法》《河南省财政厅关于优化政府采购营商环境有关问题的通知》（豫财购〔2019〕4号）等相关规定、以及本项目招标（采购）文件的规定，现自愿做出如下承诺：</w:t>
      </w:r>
    </w:p>
    <w:p w14:paraId="68967118">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（1）承诺严格遵守《中华人民共和国政府采购法》等相关法律法规规定；</w:t>
      </w:r>
    </w:p>
    <w:p w14:paraId="44E7C30A">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诺在诚信库入库及参与政府采购活动中所提供的全部资料真实有效，如有虚假资料情况，将主动放弃中标权利，并承担由此给采购人造成的法律责任及经济损失。如有违反，采购人有权随时单方面提出解除合同，且不需做任何经济补偿、赔偿；</w:t>
      </w:r>
    </w:p>
    <w:p w14:paraId="0DC9FC3E">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（3）承诺如我方中标，保证严格按照采购文件、响应文件、附件等资料内容履行相关义务，保证质量符合贵单位的采购需求，否则，将承担相应法律责任并无条件接受退货且不需要任何经济补偿、赔偿。</w:t>
      </w:r>
    </w:p>
    <w:p w14:paraId="7208FCB7">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有以下违法行为的，采购人有权取消我方中标资格，且我方自愿接受采购人按法律法规及采购文件规定给予的相应处罚：如由财政部门列入不良行为记录名单，禁止参加政府采购活动、承担相应法律责任等，并纳入统一的信用信息平台。</w:t>
      </w:r>
    </w:p>
    <w:p w14:paraId="4C3C8137">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（1）在采购文件规定的采购有效期内未经采购人书面许可撤回响应文件的；</w:t>
      </w:r>
    </w:p>
    <w:p w14:paraId="6CAF481F">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（2）中标后未在采购文件规定的时间内领取中标通知书或领取中标通知书后无正当理由拒不与采购人签订政府采购合同的；</w:t>
      </w:r>
    </w:p>
    <w:p w14:paraId="48557EA9">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（3）在诚信库入库、参与投标过程中提供虚假材料、恶意串通、捏造事实或者以非法手段取得证明材料进行质疑、投诉的；</w:t>
      </w:r>
    </w:p>
    <w:p w14:paraId="5BEFAE80">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（4）违反法律法规及采购文件规定的其他情形。</w:t>
      </w:r>
    </w:p>
    <w:p w14:paraId="4B0227F2">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（电子签章）</w:t>
      </w:r>
    </w:p>
    <w:p w14:paraId="7C666977">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rPr>
        <w:t>电子签章或签字</w:t>
      </w:r>
      <w:r>
        <w:rPr>
          <w:rFonts w:hint="eastAsia" w:ascii="宋体" w:hAnsi="宋体" w:eastAsia="宋体" w:cs="宋体"/>
          <w:color w:val="auto"/>
          <w:kern w:val="0"/>
          <w:sz w:val="24"/>
          <w:highlight w:val="none"/>
        </w:rPr>
        <w:t>）</w:t>
      </w:r>
    </w:p>
    <w:p w14:paraId="40D9A37E">
      <w:pPr>
        <w:autoSpaceDE w:val="0"/>
        <w:autoSpaceDN w:val="0"/>
        <w:adjustRightInd w:val="0"/>
        <w:spacing w:line="360" w:lineRule="auto"/>
        <w:jc w:val="both"/>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none"/>
          <w:lang w:val="en-US" w:eastAsia="zh-CN"/>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0B9DA43D">
      <w:pPr>
        <w:numPr>
          <w:ilvl w:val="0"/>
          <w:numId w:val="6"/>
        </w:numPr>
        <w:shd w:val="clear" w:color="auto" w:fill="FFFFFF"/>
        <w:tabs>
          <w:tab w:val="right" w:pos="6077"/>
        </w:tabs>
        <w:autoSpaceDE w:val="0"/>
        <w:autoSpaceDN w:val="0"/>
        <w:spacing w:line="560" w:lineRule="exact"/>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br w:type="page"/>
      </w:r>
      <w:bookmarkEnd w:id="354"/>
      <w:bookmarkEnd w:id="355"/>
      <w:bookmarkEnd w:id="356"/>
      <w:r>
        <w:rPr>
          <w:rFonts w:hint="eastAsia" w:ascii="宋体" w:hAnsi="宋体" w:eastAsia="宋体" w:cs="宋体"/>
          <w:b/>
          <w:bCs/>
          <w:color w:val="auto"/>
          <w:sz w:val="32"/>
          <w:szCs w:val="32"/>
          <w:highlight w:val="none"/>
        </w:rPr>
        <w:t>供应商资格审查</w:t>
      </w:r>
      <w:bookmarkEnd w:id="357"/>
      <w:bookmarkEnd w:id="358"/>
      <w:bookmarkEnd w:id="359"/>
      <w:bookmarkEnd w:id="360"/>
    </w:p>
    <w:p w14:paraId="2CE1E1A3">
      <w:pPr>
        <w:autoSpaceDE w:val="0"/>
        <w:autoSpaceDN w:val="0"/>
        <w:spacing w:line="360" w:lineRule="exact"/>
        <w:ind w:right="26"/>
        <w:rPr>
          <w:rFonts w:hint="eastAsia" w:ascii="宋体" w:hAnsi="宋体" w:eastAsia="宋体" w:cs="宋体"/>
          <w:color w:val="auto"/>
          <w:szCs w:val="21"/>
          <w:highlight w:val="none"/>
        </w:rPr>
      </w:pPr>
    </w:p>
    <w:p w14:paraId="68D13B93">
      <w:pPr>
        <w:spacing w:line="360" w:lineRule="auto"/>
        <w:jc w:val="center"/>
        <w:rPr>
          <w:color w:val="auto"/>
          <w:sz w:val="24"/>
          <w:szCs w:val="18"/>
          <w:highlight w:val="none"/>
        </w:rPr>
      </w:pPr>
      <w:bookmarkStart w:id="361" w:name="_Toc10295_WPSOffice_Level2"/>
      <w:r>
        <w:rPr>
          <w:rFonts w:hint="eastAsia"/>
          <w:color w:val="auto"/>
          <w:sz w:val="24"/>
          <w:szCs w:val="18"/>
          <w:highlight w:val="none"/>
        </w:rPr>
        <w:t>（一）供应商基本情况表</w:t>
      </w:r>
      <w:bookmarkEnd w:id="361"/>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5C1B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280814EA">
            <w:pPr>
              <w:spacing w:line="360" w:lineRule="auto"/>
              <w:rPr>
                <w:color w:val="auto"/>
                <w:sz w:val="24"/>
                <w:highlight w:val="none"/>
              </w:rPr>
            </w:pPr>
            <w:r>
              <w:rPr>
                <w:rFonts w:hint="eastAsia"/>
                <w:color w:val="auto"/>
                <w:sz w:val="24"/>
                <w:highlight w:val="none"/>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555E46EA">
            <w:pPr>
              <w:spacing w:line="360" w:lineRule="auto"/>
              <w:rPr>
                <w:color w:val="auto"/>
                <w:sz w:val="24"/>
                <w:highlight w:val="none"/>
              </w:rPr>
            </w:pPr>
          </w:p>
        </w:tc>
      </w:tr>
      <w:tr w14:paraId="112D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827DADD">
            <w:pPr>
              <w:spacing w:line="360" w:lineRule="auto"/>
              <w:rPr>
                <w:color w:val="auto"/>
                <w:sz w:val="24"/>
                <w:highlight w:val="none"/>
              </w:rPr>
            </w:pPr>
            <w:r>
              <w:rPr>
                <w:rFonts w:hint="eastAsia"/>
                <w:color w:val="auto"/>
                <w:sz w:val="24"/>
                <w:highlight w:val="non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78D603CC">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301CD7FD">
            <w:pPr>
              <w:spacing w:line="360" w:lineRule="auto"/>
              <w:rPr>
                <w:color w:val="auto"/>
                <w:sz w:val="24"/>
                <w:highlight w:val="none"/>
              </w:rPr>
            </w:pPr>
            <w:r>
              <w:rPr>
                <w:rFonts w:hint="eastAsia"/>
                <w:color w:val="auto"/>
                <w:sz w:val="24"/>
                <w:highlight w:val="none"/>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73619CF6">
            <w:pPr>
              <w:spacing w:line="360" w:lineRule="auto"/>
              <w:rPr>
                <w:color w:val="auto"/>
                <w:sz w:val="24"/>
                <w:highlight w:val="none"/>
              </w:rPr>
            </w:pPr>
          </w:p>
        </w:tc>
      </w:tr>
      <w:tr w14:paraId="2209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100DF153">
            <w:pPr>
              <w:spacing w:line="360" w:lineRule="auto"/>
              <w:rPr>
                <w:color w:val="auto"/>
                <w:sz w:val="24"/>
                <w:highlight w:val="none"/>
              </w:rPr>
            </w:pPr>
            <w:r>
              <w:rPr>
                <w:rFonts w:hint="eastAsia"/>
                <w:color w:val="auto"/>
                <w:sz w:val="24"/>
                <w:highlight w:val="none"/>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64F7745A">
            <w:pPr>
              <w:spacing w:line="360" w:lineRule="auto"/>
              <w:rPr>
                <w:color w:val="auto"/>
                <w:sz w:val="24"/>
                <w:highlight w:val="none"/>
              </w:rPr>
            </w:pPr>
            <w:r>
              <w:rPr>
                <w:rFonts w:hint="eastAsia"/>
                <w:color w:val="auto"/>
                <w:sz w:val="24"/>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4237ED6E">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43AEDA92">
            <w:pPr>
              <w:spacing w:line="360" w:lineRule="auto"/>
              <w:rPr>
                <w:color w:val="auto"/>
                <w:sz w:val="24"/>
                <w:highlight w:val="none"/>
              </w:rPr>
            </w:pPr>
            <w:r>
              <w:rPr>
                <w:rFonts w:hint="eastAsia"/>
                <w:color w:val="auto"/>
                <w:sz w:val="24"/>
                <w:highlight w:val="none"/>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7041C642">
            <w:pPr>
              <w:spacing w:line="360" w:lineRule="auto"/>
              <w:rPr>
                <w:color w:val="auto"/>
                <w:sz w:val="24"/>
                <w:highlight w:val="none"/>
              </w:rPr>
            </w:pPr>
          </w:p>
        </w:tc>
      </w:tr>
      <w:tr w14:paraId="50D2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261E5AE6">
            <w:pPr>
              <w:rPr>
                <w:color w:val="auto"/>
                <w:sz w:val="20"/>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30317FA1">
            <w:pPr>
              <w:spacing w:line="360" w:lineRule="auto"/>
              <w:rPr>
                <w:color w:val="auto"/>
                <w:sz w:val="24"/>
                <w:highlight w:val="none"/>
              </w:rPr>
            </w:pPr>
            <w:r>
              <w:rPr>
                <w:rFonts w:hint="eastAsia"/>
                <w:color w:val="auto"/>
                <w:sz w:val="24"/>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21A9CC2C">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4B513F9C">
            <w:pPr>
              <w:spacing w:line="360" w:lineRule="auto"/>
              <w:rPr>
                <w:color w:val="auto"/>
                <w:sz w:val="24"/>
                <w:highlight w:val="none"/>
              </w:rPr>
            </w:pPr>
            <w:r>
              <w:rPr>
                <w:rFonts w:hint="eastAsia"/>
                <w:color w:val="auto"/>
                <w:sz w:val="24"/>
                <w:highlight w:val="none"/>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5EAA882D">
            <w:pPr>
              <w:spacing w:line="360" w:lineRule="auto"/>
              <w:rPr>
                <w:color w:val="auto"/>
                <w:sz w:val="24"/>
                <w:highlight w:val="none"/>
              </w:rPr>
            </w:pPr>
          </w:p>
        </w:tc>
      </w:tr>
      <w:tr w14:paraId="44B2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2B50E66D">
            <w:pPr>
              <w:spacing w:line="360" w:lineRule="auto"/>
              <w:rPr>
                <w:color w:val="auto"/>
                <w:sz w:val="24"/>
                <w:highlight w:val="none"/>
              </w:rPr>
            </w:pPr>
            <w:r>
              <w:rPr>
                <w:rFonts w:hint="eastAsia"/>
                <w:color w:val="auto"/>
                <w:sz w:val="24"/>
                <w:highlight w:val="non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F06F941">
            <w:pPr>
              <w:tabs>
                <w:tab w:val="left" w:pos="4776"/>
              </w:tabs>
              <w:spacing w:line="360" w:lineRule="auto"/>
              <w:rPr>
                <w:color w:val="auto"/>
                <w:sz w:val="24"/>
                <w:highlight w:val="none"/>
              </w:rPr>
            </w:pPr>
          </w:p>
        </w:tc>
      </w:tr>
      <w:tr w14:paraId="10C9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006C299">
            <w:pPr>
              <w:spacing w:line="360" w:lineRule="auto"/>
              <w:rPr>
                <w:color w:val="auto"/>
                <w:sz w:val="24"/>
                <w:highlight w:val="none"/>
              </w:rPr>
            </w:pPr>
            <w:r>
              <w:rPr>
                <w:rFonts w:hint="eastAsia"/>
                <w:color w:val="auto"/>
                <w:sz w:val="24"/>
                <w:highlight w:val="none"/>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68C4F52D">
            <w:pPr>
              <w:spacing w:line="360" w:lineRule="auto"/>
              <w:rPr>
                <w:color w:val="auto"/>
                <w:sz w:val="24"/>
                <w:highlight w:val="none"/>
              </w:rPr>
            </w:pPr>
            <w:r>
              <w:rPr>
                <w:rFonts w:hint="eastAsia"/>
                <w:color w:val="auto"/>
                <w:sz w:val="24"/>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6570F9F9">
            <w:pPr>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61E603B7">
            <w:pPr>
              <w:spacing w:line="360" w:lineRule="auto"/>
              <w:rPr>
                <w:color w:val="auto"/>
                <w:sz w:val="24"/>
                <w:highlight w:val="none"/>
              </w:rPr>
            </w:pPr>
            <w:r>
              <w:rPr>
                <w:rFonts w:hint="eastAsia"/>
                <w:color w:val="auto"/>
                <w:sz w:val="24"/>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3737C6CC">
            <w:pPr>
              <w:spacing w:line="360" w:lineRule="auto"/>
              <w:rPr>
                <w:color w:val="auto"/>
                <w:sz w:val="24"/>
                <w:highlight w:val="none"/>
              </w:rPr>
            </w:pPr>
          </w:p>
        </w:tc>
      </w:tr>
      <w:tr w14:paraId="508A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F8758B2">
            <w:pPr>
              <w:spacing w:line="360" w:lineRule="auto"/>
              <w:rPr>
                <w:color w:val="auto"/>
                <w:sz w:val="24"/>
                <w:highlight w:val="none"/>
              </w:rPr>
            </w:pPr>
            <w:r>
              <w:rPr>
                <w:rFonts w:hint="eastAsia"/>
                <w:color w:val="auto"/>
                <w:sz w:val="24"/>
                <w:highlight w:val="non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10709E7B">
            <w:pPr>
              <w:spacing w:line="360" w:lineRule="auto"/>
              <w:rPr>
                <w:color w:val="auto"/>
                <w:sz w:val="24"/>
                <w:highlight w:val="none"/>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16D5BFBD">
            <w:pPr>
              <w:spacing w:line="360" w:lineRule="auto"/>
              <w:rPr>
                <w:color w:val="auto"/>
                <w:sz w:val="24"/>
                <w:highlight w:val="none"/>
              </w:rPr>
            </w:pPr>
            <w:r>
              <w:rPr>
                <w:rFonts w:hint="eastAsia"/>
                <w:color w:val="auto"/>
                <w:sz w:val="24"/>
                <w:highlight w:val="none"/>
              </w:rPr>
              <w:t>员工总人数：</w:t>
            </w:r>
          </w:p>
        </w:tc>
      </w:tr>
      <w:tr w14:paraId="20E9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26C62E44">
            <w:pPr>
              <w:spacing w:line="360" w:lineRule="auto"/>
              <w:rPr>
                <w:color w:val="auto"/>
                <w:sz w:val="24"/>
                <w:highlight w:val="none"/>
              </w:rPr>
            </w:pPr>
            <w:r>
              <w:rPr>
                <w:rFonts w:hint="eastAsia"/>
                <w:color w:val="auto"/>
                <w:sz w:val="24"/>
                <w:highlight w:val="non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35D98F7F">
            <w:pPr>
              <w:spacing w:line="360" w:lineRule="auto"/>
              <w:rPr>
                <w:color w:val="auto"/>
                <w:sz w:val="24"/>
                <w:highlight w:val="none"/>
              </w:rPr>
            </w:pPr>
          </w:p>
        </w:tc>
      </w:tr>
      <w:tr w14:paraId="45B5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08A271F">
            <w:pPr>
              <w:spacing w:line="360" w:lineRule="auto"/>
              <w:rPr>
                <w:color w:val="auto"/>
                <w:sz w:val="24"/>
                <w:highlight w:val="none"/>
              </w:rPr>
            </w:pPr>
            <w:r>
              <w:rPr>
                <w:rFonts w:hint="eastAsia"/>
                <w:color w:val="auto"/>
                <w:sz w:val="24"/>
                <w:highlight w:val="non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6F1DE52A">
            <w:pPr>
              <w:spacing w:line="360" w:lineRule="auto"/>
              <w:rPr>
                <w:color w:val="auto"/>
                <w:sz w:val="24"/>
                <w:highlight w:val="none"/>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6F6CD4ED">
            <w:pPr>
              <w:spacing w:line="360" w:lineRule="auto"/>
              <w:rPr>
                <w:color w:val="auto"/>
                <w:sz w:val="24"/>
                <w:highlight w:val="none"/>
              </w:rPr>
            </w:pPr>
            <w:r>
              <w:rPr>
                <w:rFonts w:hint="eastAsia"/>
                <w:color w:val="auto"/>
                <w:sz w:val="24"/>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5069949C">
            <w:pPr>
              <w:spacing w:line="360" w:lineRule="auto"/>
              <w:rPr>
                <w:color w:val="auto"/>
                <w:sz w:val="24"/>
                <w:highlight w:val="none"/>
              </w:rPr>
            </w:pPr>
          </w:p>
        </w:tc>
      </w:tr>
      <w:tr w14:paraId="5963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6C9231EA">
            <w:pPr>
              <w:spacing w:line="360" w:lineRule="auto"/>
              <w:rPr>
                <w:color w:val="auto"/>
                <w:sz w:val="24"/>
                <w:highlight w:val="none"/>
              </w:rPr>
            </w:pPr>
            <w:r>
              <w:rPr>
                <w:rFonts w:hint="eastAsia"/>
                <w:color w:val="auto"/>
                <w:sz w:val="24"/>
                <w:highlight w:val="none"/>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07B0E18F">
            <w:pPr>
              <w:spacing w:line="360" w:lineRule="auto"/>
              <w:rPr>
                <w:color w:val="auto"/>
                <w:sz w:val="24"/>
                <w:highlight w:val="none"/>
              </w:rPr>
            </w:pPr>
          </w:p>
        </w:tc>
      </w:tr>
      <w:tr w14:paraId="7E7F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52C86E7">
            <w:pPr>
              <w:spacing w:line="360" w:lineRule="auto"/>
              <w:rPr>
                <w:color w:val="auto"/>
                <w:sz w:val="24"/>
                <w:highlight w:val="none"/>
              </w:rPr>
            </w:pPr>
            <w:r>
              <w:rPr>
                <w:rFonts w:hint="eastAsia"/>
                <w:color w:val="auto"/>
                <w:sz w:val="24"/>
                <w:highlight w:val="non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076CF57C">
            <w:pPr>
              <w:spacing w:line="360" w:lineRule="auto"/>
              <w:rPr>
                <w:color w:val="auto"/>
                <w:sz w:val="24"/>
                <w:highlight w:val="none"/>
              </w:rPr>
            </w:pPr>
          </w:p>
        </w:tc>
      </w:tr>
    </w:tbl>
    <w:p w14:paraId="7280CBFE">
      <w:pPr>
        <w:spacing w:line="360" w:lineRule="auto"/>
        <w:ind w:firstLine="480" w:firstLineChars="200"/>
        <w:rPr>
          <w:color w:val="auto"/>
          <w:sz w:val="24"/>
          <w:highlight w:val="none"/>
        </w:rPr>
      </w:pPr>
      <w:bookmarkStart w:id="362" w:name="_Toc15473_WPSOffice_Level3"/>
      <w:r>
        <w:rPr>
          <w:rFonts w:hint="eastAsia"/>
          <w:color w:val="auto"/>
          <w:sz w:val="24"/>
          <w:highlight w:val="none"/>
        </w:rPr>
        <w:t>附：1、营业执照、税务登记证、组织机构代码</w:t>
      </w:r>
      <w:r>
        <w:rPr>
          <w:rFonts w:hint="eastAsia" w:ascii="Times New Roman" w:hAnsi="Times New Roman" w:eastAsia="宋体" w:cs="Times New Roman"/>
          <w:color w:val="auto"/>
          <w:sz w:val="24"/>
          <w:highlight w:val="none"/>
        </w:rPr>
        <w:t>证</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或三证合一）</w:t>
      </w:r>
      <w:r>
        <w:rPr>
          <w:rFonts w:hint="eastAsia"/>
          <w:color w:val="auto"/>
          <w:sz w:val="24"/>
          <w:highlight w:val="none"/>
        </w:rPr>
        <w:t>等相关证件的扫描件</w:t>
      </w:r>
      <w:bookmarkEnd w:id="362"/>
    </w:p>
    <w:p w14:paraId="083CD052">
      <w:pPr>
        <w:spacing w:line="360" w:lineRule="auto"/>
        <w:rPr>
          <w:color w:val="auto"/>
          <w:sz w:val="24"/>
          <w:highlight w:val="none"/>
        </w:rPr>
      </w:pPr>
    </w:p>
    <w:p w14:paraId="44EA9FDA">
      <w:pPr>
        <w:spacing w:line="360" w:lineRule="auto"/>
        <w:jc w:val="center"/>
        <w:rPr>
          <w:color w:val="auto"/>
          <w:sz w:val="28"/>
          <w:szCs w:val="20"/>
          <w:highlight w:val="none"/>
        </w:rPr>
      </w:pPr>
      <w:r>
        <w:rPr>
          <w:rFonts w:hint="eastAsia"/>
          <w:color w:val="auto"/>
          <w:sz w:val="24"/>
          <w:highlight w:val="none"/>
        </w:rPr>
        <w:br w:type="page"/>
      </w:r>
      <w:bookmarkStart w:id="363" w:name="_Toc13068_WPSOffice_Level2"/>
      <w:r>
        <w:rPr>
          <w:rFonts w:hint="eastAsia"/>
          <w:color w:val="auto"/>
          <w:sz w:val="28"/>
          <w:szCs w:val="20"/>
          <w:highlight w:val="none"/>
        </w:rPr>
        <w:t>（二）竞争性磋商文件规定的资格审查资料</w:t>
      </w:r>
      <w:bookmarkEnd w:id="363"/>
    </w:p>
    <w:p w14:paraId="2C7FF727">
      <w:pPr>
        <w:spacing w:line="360" w:lineRule="auto"/>
        <w:rPr>
          <w:color w:val="auto"/>
          <w:sz w:val="24"/>
          <w:highlight w:val="none"/>
        </w:rPr>
      </w:pPr>
    </w:p>
    <w:p w14:paraId="73719F4E">
      <w:pPr>
        <w:spacing w:line="400" w:lineRule="exact"/>
        <w:rPr>
          <w:rFonts w:hint="eastAsia" w:ascii="宋体" w:hAnsi="宋体" w:eastAsia="宋体" w:cs="宋体"/>
          <w:color w:val="auto"/>
          <w:sz w:val="24"/>
          <w:highlight w:val="none"/>
        </w:rPr>
      </w:pPr>
    </w:p>
    <w:p w14:paraId="21BEF90B">
      <w:pPr>
        <w:spacing w:before="53" w:line="360" w:lineRule="auto"/>
        <w:jc w:val="center"/>
        <w:outlineLvl w:val="2"/>
        <w:rPr>
          <w:rFonts w:ascii="Times New Roman" w:hAnsi="Times New Roman"/>
          <w:b/>
          <w:bCs/>
          <w:color w:val="auto"/>
          <w:sz w:val="24"/>
          <w:szCs w:val="30"/>
          <w:highlight w:val="none"/>
          <w:lang w:val="zh-CN" w:bidi="zh-CN"/>
        </w:rPr>
      </w:pPr>
      <w:bookmarkStart w:id="364" w:name="_Toc44603941"/>
      <w:bookmarkStart w:id="365" w:name="_Toc89334771"/>
      <w:bookmarkStart w:id="366" w:name="_Toc90623962"/>
      <w:bookmarkStart w:id="367" w:name="_Toc121405504"/>
      <w:bookmarkStart w:id="368" w:name="_Toc13341"/>
      <w:bookmarkStart w:id="369" w:name="_Toc16691"/>
      <w:r>
        <w:rPr>
          <w:rFonts w:hint="eastAsia" w:ascii="宋体" w:hAnsi="宋体" w:eastAsia="宋体" w:cs="宋体"/>
          <w:b/>
          <w:bCs/>
          <w:color w:val="auto"/>
          <w:sz w:val="32"/>
          <w:szCs w:val="32"/>
          <w:highlight w:val="none"/>
          <w:lang w:eastAsia="zh-CN"/>
        </w:rPr>
        <w:br w:type="page"/>
      </w:r>
      <w:r>
        <w:rPr>
          <w:rFonts w:hint="eastAsia" w:ascii="Times New Roman" w:hAnsi="Times New Roman"/>
          <w:b/>
          <w:bCs/>
          <w:color w:val="auto"/>
          <w:sz w:val="24"/>
          <w:szCs w:val="30"/>
          <w:highlight w:val="none"/>
          <w:lang w:val="zh-CN" w:bidi="zh-CN"/>
        </w:rPr>
        <w:t>（三）近年发生的诉讼及仲裁情况</w:t>
      </w:r>
    </w:p>
    <w:p w14:paraId="772AE89F">
      <w:pPr>
        <w:autoSpaceDE w:val="0"/>
        <w:autoSpaceDN w:val="0"/>
        <w:adjustRightInd w:val="0"/>
        <w:jc w:val="left"/>
        <w:rPr>
          <w:rFonts w:ascii="Times New Roman" w:hAnsi="Times New Roman"/>
          <w:color w:val="auto"/>
          <w:kern w:val="0"/>
          <w:sz w:val="24"/>
          <w:szCs w:val="24"/>
          <w:highlight w:val="none"/>
        </w:rPr>
      </w:pPr>
    </w:p>
    <w:p w14:paraId="2B73604A">
      <w:pPr>
        <w:autoSpaceDE w:val="0"/>
        <w:autoSpaceDN w:val="0"/>
        <w:adjustRightInd w:val="0"/>
        <w:spacing w:line="450" w:lineRule="exact"/>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注：</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、“近年发生的诉讼及仲裁情况”应说明供应商败诉的设备买卖合同的相关情况，并附法院或仲裁机构作出的判决、裁决等有关法律文书扫描件，具体时间要求详见供应商须知。</w:t>
      </w:r>
      <w:r>
        <w:rPr>
          <w:rFonts w:ascii="Times New Roman" w:hAnsi="Times New Roman"/>
          <w:color w:val="auto"/>
          <w:sz w:val="24"/>
          <w:szCs w:val="24"/>
          <w:highlight w:val="none"/>
        </w:rPr>
        <w:t xml:space="preserve"> </w:t>
      </w:r>
    </w:p>
    <w:p w14:paraId="1921F1BB">
      <w:pPr>
        <w:autoSpaceDE w:val="0"/>
        <w:autoSpaceDN w:val="0"/>
        <w:adjustRightInd w:val="0"/>
        <w:spacing w:line="450" w:lineRule="exact"/>
        <w:ind w:firstLine="960" w:firstLineChars="400"/>
        <w:jc w:val="left"/>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、若无诉讼及仲裁情况供应商自行承诺，格式自拟。</w:t>
      </w:r>
    </w:p>
    <w:p w14:paraId="5E837BA5">
      <w:pPr>
        <w:numPr>
          <w:ilvl w:val="0"/>
          <w:numId w:val="7"/>
        </w:numPr>
        <w:spacing w:before="53" w:line="360" w:lineRule="auto"/>
        <w:jc w:val="center"/>
        <w:outlineLvl w:val="2"/>
        <w:rPr>
          <w:rFonts w:ascii="Times New Roman" w:hAnsi="Times New Roman"/>
          <w:b/>
          <w:bCs/>
          <w:color w:val="auto"/>
          <w:sz w:val="24"/>
          <w:szCs w:val="30"/>
          <w:highlight w:val="none"/>
          <w:lang w:val="zh-CN" w:bidi="zh-CN"/>
        </w:rPr>
      </w:pPr>
      <w:r>
        <w:rPr>
          <w:rFonts w:hint="eastAsia" w:ascii="宋体" w:hAnsi="宋体" w:eastAsia="宋体" w:cs="宋体"/>
          <w:b/>
          <w:bCs/>
          <w:color w:val="auto"/>
          <w:sz w:val="32"/>
          <w:szCs w:val="32"/>
          <w:highlight w:val="none"/>
          <w:lang w:eastAsia="zh-CN"/>
        </w:rPr>
        <w:br w:type="page"/>
      </w:r>
      <w:bookmarkStart w:id="370" w:name="_Toc176358386"/>
      <w:bookmarkStart w:id="371" w:name="_Toc96965864"/>
      <w:bookmarkStart w:id="372" w:name="_Toc151210178"/>
      <w:bookmarkStart w:id="373" w:name="_Toc94092131"/>
      <w:r>
        <w:rPr>
          <w:rFonts w:hint="eastAsia" w:ascii="Times New Roman" w:hAnsi="Times New Roman"/>
          <w:b/>
          <w:bCs/>
          <w:color w:val="auto"/>
          <w:sz w:val="24"/>
          <w:szCs w:val="30"/>
          <w:highlight w:val="none"/>
          <w:lang w:val="zh-CN" w:bidi="zh-CN"/>
        </w:rPr>
        <w:t>近年完成的类似项目情况表</w:t>
      </w:r>
      <w:bookmarkEnd w:id="370"/>
      <w:bookmarkEnd w:id="371"/>
      <w:bookmarkEnd w:id="372"/>
      <w:bookmarkEnd w:id="373"/>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6662"/>
      </w:tblGrid>
      <w:tr w14:paraId="61D3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277" w:type="dxa"/>
            <w:noWrap w:val="0"/>
            <w:vAlign w:val="center"/>
          </w:tcPr>
          <w:p w14:paraId="5CCB70C7">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序号</w:t>
            </w:r>
          </w:p>
        </w:tc>
        <w:tc>
          <w:tcPr>
            <w:tcW w:w="6662" w:type="dxa"/>
            <w:noWrap w:val="0"/>
            <w:vAlign w:val="top"/>
          </w:tcPr>
          <w:p w14:paraId="2C0A5ECD">
            <w:pPr>
              <w:spacing w:before="53" w:line="360" w:lineRule="auto"/>
              <w:outlineLvl w:val="2"/>
              <w:rPr>
                <w:rFonts w:ascii="Times New Roman" w:hAnsi="Times New Roman"/>
                <w:b/>
                <w:bCs/>
                <w:color w:val="auto"/>
                <w:sz w:val="24"/>
                <w:szCs w:val="30"/>
                <w:highlight w:val="none"/>
                <w:lang w:val="zh-CN" w:bidi="zh-CN"/>
              </w:rPr>
            </w:pPr>
          </w:p>
        </w:tc>
      </w:tr>
      <w:tr w14:paraId="0AA7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277" w:type="dxa"/>
            <w:noWrap w:val="0"/>
            <w:vAlign w:val="center"/>
          </w:tcPr>
          <w:p w14:paraId="047DA99C">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项目名称</w:t>
            </w:r>
          </w:p>
        </w:tc>
        <w:tc>
          <w:tcPr>
            <w:tcW w:w="6662" w:type="dxa"/>
            <w:noWrap w:val="0"/>
            <w:vAlign w:val="top"/>
          </w:tcPr>
          <w:p w14:paraId="2CB66597">
            <w:pPr>
              <w:spacing w:before="53" w:line="360" w:lineRule="auto"/>
              <w:outlineLvl w:val="2"/>
              <w:rPr>
                <w:rFonts w:ascii="Times New Roman" w:hAnsi="Times New Roman"/>
                <w:b/>
                <w:bCs/>
                <w:color w:val="auto"/>
                <w:sz w:val="24"/>
                <w:szCs w:val="30"/>
                <w:highlight w:val="none"/>
                <w:lang w:val="zh-CN" w:bidi="zh-CN"/>
              </w:rPr>
            </w:pPr>
          </w:p>
        </w:tc>
      </w:tr>
      <w:tr w14:paraId="5623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277" w:type="dxa"/>
            <w:noWrap w:val="0"/>
            <w:vAlign w:val="center"/>
          </w:tcPr>
          <w:p w14:paraId="31A36D3E">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合同金额</w:t>
            </w:r>
          </w:p>
        </w:tc>
        <w:tc>
          <w:tcPr>
            <w:tcW w:w="6662" w:type="dxa"/>
            <w:noWrap w:val="0"/>
            <w:vAlign w:val="top"/>
          </w:tcPr>
          <w:p w14:paraId="7F302144">
            <w:pPr>
              <w:spacing w:before="53" w:line="360" w:lineRule="auto"/>
              <w:outlineLvl w:val="2"/>
              <w:rPr>
                <w:rFonts w:ascii="Times New Roman" w:hAnsi="Times New Roman"/>
                <w:b/>
                <w:bCs/>
                <w:color w:val="auto"/>
                <w:sz w:val="24"/>
                <w:szCs w:val="30"/>
                <w:highlight w:val="none"/>
                <w:lang w:val="zh-CN" w:bidi="zh-CN"/>
              </w:rPr>
            </w:pPr>
          </w:p>
        </w:tc>
      </w:tr>
      <w:tr w14:paraId="675E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277" w:type="dxa"/>
            <w:noWrap w:val="0"/>
            <w:vAlign w:val="center"/>
          </w:tcPr>
          <w:p w14:paraId="143663C2">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合同时间</w:t>
            </w:r>
          </w:p>
        </w:tc>
        <w:tc>
          <w:tcPr>
            <w:tcW w:w="6662" w:type="dxa"/>
            <w:noWrap w:val="0"/>
            <w:vAlign w:val="top"/>
          </w:tcPr>
          <w:p w14:paraId="63486CE6">
            <w:pPr>
              <w:spacing w:before="53" w:line="360" w:lineRule="auto"/>
              <w:outlineLvl w:val="2"/>
              <w:rPr>
                <w:rFonts w:ascii="Times New Roman" w:hAnsi="Times New Roman"/>
                <w:b/>
                <w:bCs/>
                <w:color w:val="auto"/>
                <w:sz w:val="24"/>
                <w:szCs w:val="30"/>
                <w:highlight w:val="none"/>
                <w:lang w:val="zh-CN" w:bidi="zh-CN"/>
              </w:rPr>
            </w:pPr>
          </w:p>
        </w:tc>
      </w:tr>
      <w:tr w14:paraId="674D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277" w:type="dxa"/>
            <w:noWrap w:val="0"/>
            <w:vAlign w:val="center"/>
          </w:tcPr>
          <w:p w14:paraId="6FBD83EA">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委托人名称</w:t>
            </w:r>
          </w:p>
        </w:tc>
        <w:tc>
          <w:tcPr>
            <w:tcW w:w="6662" w:type="dxa"/>
            <w:noWrap w:val="0"/>
            <w:vAlign w:val="top"/>
          </w:tcPr>
          <w:p w14:paraId="69D5C902">
            <w:pPr>
              <w:spacing w:before="53" w:line="360" w:lineRule="auto"/>
              <w:outlineLvl w:val="2"/>
              <w:rPr>
                <w:rFonts w:ascii="Times New Roman" w:hAnsi="Times New Roman"/>
                <w:b/>
                <w:bCs/>
                <w:color w:val="auto"/>
                <w:sz w:val="24"/>
                <w:szCs w:val="30"/>
                <w:highlight w:val="none"/>
                <w:lang w:val="zh-CN" w:bidi="zh-CN"/>
              </w:rPr>
            </w:pPr>
          </w:p>
        </w:tc>
      </w:tr>
      <w:tr w14:paraId="366C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277" w:type="dxa"/>
            <w:noWrap w:val="0"/>
            <w:vAlign w:val="center"/>
          </w:tcPr>
          <w:p w14:paraId="291547E4">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委托人联系方式</w:t>
            </w:r>
          </w:p>
        </w:tc>
        <w:tc>
          <w:tcPr>
            <w:tcW w:w="6662" w:type="dxa"/>
            <w:noWrap w:val="0"/>
            <w:vAlign w:val="top"/>
          </w:tcPr>
          <w:p w14:paraId="65878C5A">
            <w:pPr>
              <w:spacing w:before="53" w:line="360" w:lineRule="auto"/>
              <w:outlineLvl w:val="2"/>
              <w:rPr>
                <w:rFonts w:ascii="Times New Roman" w:hAnsi="Times New Roman"/>
                <w:b/>
                <w:bCs/>
                <w:color w:val="auto"/>
                <w:sz w:val="24"/>
                <w:szCs w:val="30"/>
                <w:highlight w:val="none"/>
                <w:lang w:val="zh-CN" w:bidi="zh-CN"/>
              </w:rPr>
            </w:pPr>
          </w:p>
        </w:tc>
      </w:tr>
      <w:tr w14:paraId="32A5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2277" w:type="dxa"/>
            <w:noWrap w:val="0"/>
            <w:vAlign w:val="center"/>
          </w:tcPr>
          <w:p w14:paraId="6081D6D1">
            <w:pPr>
              <w:spacing w:before="53" w:line="360" w:lineRule="auto"/>
              <w:jc w:val="center"/>
              <w:outlineLvl w:val="2"/>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备注</w:t>
            </w:r>
          </w:p>
        </w:tc>
        <w:tc>
          <w:tcPr>
            <w:tcW w:w="6662" w:type="dxa"/>
            <w:noWrap w:val="0"/>
            <w:vAlign w:val="top"/>
          </w:tcPr>
          <w:p w14:paraId="15C1DEB2">
            <w:pPr>
              <w:spacing w:before="53" w:line="360" w:lineRule="auto"/>
              <w:outlineLvl w:val="2"/>
              <w:rPr>
                <w:rFonts w:ascii="Times New Roman" w:hAnsi="Times New Roman"/>
                <w:b/>
                <w:bCs/>
                <w:color w:val="auto"/>
                <w:sz w:val="24"/>
                <w:szCs w:val="30"/>
                <w:highlight w:val="none"/>
                <w:lang w:val="zh-CN" w:bidi="zh-CN"/>
              </w:rPr>
            </w:pPr>
          </w:p>
        </w:tc>
      </w:tr>
    </w:tbl>
    <w:p w14:paraId="41FB633A">
      <w:pPr>
        <w:spacing w:line="450" w:lineRule="exact"/>
        <w:rPr>
          <w:rFonts w:hint="default" w:ascii="Times New Roman" w:hAnsi="Times New Roman" w:eastAsia="宋体"/>
          <w:color w:val="auto"/>
          <w:sz w:val="24"/>
          <w:szCs w:val="24"/>
          <w:highlight w:val="none"/>
          <w:lang w:val="en-US" w:eastAsia="zh-CN"/>
        </w:rPr>
      </w:pPr>
      <w:r>
        <w:rPr>
          <w:rFonts w:hint="eastAsia" w:ascii="Times New Roman" w:hAnsi="Times New Roman"/>
          <w:color w:val="auto"/>
          <w:kern w:val="0"/>
          <w:sz w:val="24"/>
          <w:szCs w:val="24"/>
          <w:highlight w:val="none"/>
        </w:rPr>
        <w:t>注：</w:t>
      </w:r>
      <w:r>
        <w:rPr>
          <w:rFonts w:hint="eastAsia" w:ascii="Times New Roman" w:hAnsi="Times New Roman"/>
          <w:color w:val="auto"/>
          <w:sz w:val="24"/>
          <w:szCs w:val="24"/>
          <w:highlight w:val="none"/>
        </w:rPr>
        <w:t>标明序号，每张表格只填写一个项目，具体年份要求详见供应商须知。</w:t>
      </w:r>
      <w:r>
        <w:rPr>
          <w:rFonts w:hint="eastAsia" w:ascii="Times New Roman" w:hAnsi="Times New Roman"/>
          <w:color w:val="auto"/>
          <w:sz w:val="24"/>
          <w:szCs w:val="24"/>
          <w:highlight w:val="none"/>
          <w:lang w:val="en-US" w:eastAsia="zh-CN"/>
        </w:rPr>
        <w:t>后附证明材料</w:t>
      </w:r>
    </w:p>
    <w:p w14:paraId="3F2931CD">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（电子签章）</w:t>
      </w:r>
    </w:p>
    <w:p w14:paraId="668A8A62">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rPr>
        <w:t>电子签章或签字</w:t>
      </w:r>
      <w:r>
        <w:rPr>
          <w:rFonts w:hint="eastAsia" w:ascii="宋体" w:hAnsi="宋体" w:eastAsia="宋体" w:cs="宋体"/>
          <w:color w:val="auto"/>
          <w:kern w:val="0"/>
          <w:sz w:val="24"/>
          <w:highlight w:val="none"/>
        </w:rPr>
        <w:t>）</w:t>
      </w:r>
    </w:p>
    <w:p w14:paraId="0373960D">
      <w:pPr>
        <w:autoSpaceDE w:val="0"/>
        <w:autoSpaceDN w:val="0"/>
        <w:adjustRightInd w:val="0"/>
        <w:spacing w:line="360" w:lineRule="auto"/>
        <w:jc w:val="both"/>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none"/>
          <w:lang w:val="en-US" w:eastAsia="zh-CN"/>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42DC55C0">
      <w:pPr>
        <w:shd w:val="clear" w:color="auto" w:fill="FFFFFF"/>
        <w:tabs>
          <w:tab w:val="right" w:pos="6077"/>
        </w:tabs>
        <w:autoSpaceDE w:val="0"/>
        <w:autoSpaceDN w:val="0"/>
        <w:spacing w:line="560" w:lineRule="exact"/>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br w:type="page"/>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w:t>
      </w:r>
      <w:bookmarkEnd w:id="364"/>
      <w:bookmarkEnd w:id="365"/>
      <w:bookmarkEnd w:id="366"/>
      <w:bookmarkEnd w:id="367"/>
      <w:r>
        <w:rPr>
          <w:rFonts w:hint="eastAsia" w:ascii="宋体" w:hAnsi="宋体" w:eastAsia="宋体" w:cs="宋体"/>
          <w:b/>
          <w:bCs/>
          <w:color w:val="auto"/>
          <w:sz w:val="32"/>
          <w:szCs w:val="32"/>
          <w:highlight w:val="none"/>
          <w:lang w:val="en-US" w:eastAsia="zh-CN"/>
        </w:rPr>
        <w:t>技术</w:t>
      </w:r>
      <w:r>
        <w:rPr>
          <w:rFonts w:hint="eastAsia" w:ascii="宋体" w:hAnsi="宋体" w:eastAsia="宋体" w:cs="宋体"/>
          <w:b/>
          <w:bCs/>
          <w:color w:val="auto"/>
          <w:sz w:val="32"/>
          <w:szCs w:val="32"/>
          <w:highlight w:val="none"/>
        </w:rPr>
        <w:t>部分资料</w:t>
      </w:r>
      <w:bookmarkEnd w:id="368"/>
      <w:bookmarkEnd w:id="369"/>
    </w:p>
    <w:p w14:paraId="7148A2B9">
      <w:pPr>
        <w:spacing w:line="360" w:lineRule="auto"/>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（投标供应商根据招标文件评审细则，自行编拟）</w:t>
      </w:r>
    </w:p>
    <w:p w14:paraId="2DB129B1">
      <w:pPr>
        <w:spacing w:line="276" w:lineRule="auto"/>
        <w:ind w:firstLine="436" w:firstLineChars="182"/>
        <w:jc w:val="center"/>
        <w:rPr>
          <w:rFonts w:ascii="Times New Roman" w:hAnsi="Times New Roman"/>
          <w:color w:val="auto"/>
          <w:sz w:val="24"/>
          <w:szCs w:val="24"/>
          <w:highlight w:val="none"/>
          <w:lang w:val="zh-CN" w:bidi="zh-CN"/>
        </w:rPr>
      </w:pPr>
      <w:r>
        <w:rPr>
          <w:rFonts w:hint="eastAsia" w:ascii="Times New Roman" w:hAnsi="Times New Roman"/>
          <w:color w:val="auto"/>
          <w:sz w:val="24"/>
          <w:szCs w:val="24"/>
          <w:highlight w:val="none"/>
          <w:lang w:val="zh-CN" w:bidi="zh-CN"/>
        </w:rPr>
        <w:t>注：</w:t>
      </w:r>
      <w:r>
        <w:rPr>
          <w:rFonts w:ascii="Times New Roman" w:hAnsi="Times New Roman"/>
          <w:color w:val="auto"/>
          <w:sz w:val="24"/>
          <w:szCs w:val="24"/>
          <w:highlight w:val="none"/>
          <w:lang w:val="zh-CN" w:bidi="zh-CN"/>
        </w:rPr>
        <w:t>1.</w:t>
      </w:r>
      <w:r>
        <w:rPr>
          <w:rFonts w:hint="eastAsia" w:ascii="Times New Roman" w:hAnsi="Times New Roman"/>
          <w:color w:val="auto"/>
          <w:sz w:val="24"/>
          <w:szCs w:val="24"/>
          <w:highlight w:val="none"/>
          <w:lang w:val="zh-CN" w:bidi="zh-CN"/>
        </w:rPr>
        <w:t>投标供应商根据项目需求，自行提供技术证明资料。</w:t>
      </w:r>
    </w:p>
    <w:p w14:paraId="66BB0D84">
      <w:pPr>
        <w:spacing w:line="360" w:lineRule="auto"/>
        <w:jc w:val="center"/>
        <w:rPr>
          <w:rFonts w:hint="eastAsia" w:ascii="Times New Roman" w:hAnsi="Times New Roman" w:eastAsia="宋体" w:cs="Times New Roman"/>
          <w:color w:val="auto"/>
          <w:sz w:val="28"/>
          <w:szCs w:val="20"/>
          <w:highlight w:val="none"/>
        </w:rPr>
      </w:pPr>
    </w:p>
    <w:p w14:paraId="6930E915">
      <w:pPr>
        <w:ind w:firstLine="482" w:firstLineChars="200"/>
        <w:rPr>
          <w:rFonts w:hint="eastAsia" w:ascii="宋体" w:hAnsi="宋体" w:eastAsia="宋体" w:cs="宋体"/>
          <w:b/>
          <w:color w:val="auto"/>
          <w:sz w:val="24"/>
          <w:highlight w:val="none"/>
        </w:rPr>
      </w:pPr>
    </w:p>
    <w:p w14:paraId="26B327AE">
      <w:pPr>
        <w:rPr>
          <w:rFonts w:hint="eastAsia" w:ascii="宋体" w:hAnsi="宋体" w:eastAsia="宋体" w:cs="宋体"/>
          <w:color w:val="auto"/>
          <w:highlight w:val="none"/>
        </w:rPr>
      </w:pPr>
    </w:p>
    <w:p w14:paraId="5BBA22DC">
      <w:pPr>
        <w:shd w:val="clear" w:color="auto" w:fill="FFFFFF"/>
        <w:tabs>
          <w:tab w:val="right" w:pos="6077"/>
        </w:tabs>
        <w:autoSpaceDE w:val="0"/>
        <w:autoSpaceDN w:val="0"/>
        <w:spacing w:line="560" w:lineRule="exact"/>
        <w:jc w:val="center"/>
        <w:outlineLvl w:val="1"/>
        <w:rPr>
          <w:rFonts w:hint="default" w:ascii="宋体" w:hAnsi="宋体" w:eastAsia="宋体" w:cs="宋体"/>
          <w:b/>
          <w:bCs/>
          <w:color w:val="auto"/>
          <w:sz w:val="32"/>
          <w:szCs w:val="32"/>
          <w:highlight w:val="none"/>
          <w:lang w:val="en-US" w:eastAsia="zh-CN"/>
        </w:rPr>
      </w:pPr>
      <w:bookmarkStart w:id="374" w:name="_Toc15425"/>
      <w:bookmarkStart w:id="375" w:name="_Toc9034"/>
      <w:r>
        <w:rPr>
          <w:rFonts w:hint="eastAsia" w:ascii="宋体" w:hAnsi="宋体" w:eastAsia="宋体" w:cs="宋体"/>
          <w:b/>
          <w:bCs/>
          <w:color w:val="auto"/>
          <w:sz w:val="32"/>
          <w:szCs w:val="32"/>
          <w:highlight w:val="none"/>
          <w:lang w:val="en-US" w:eastAsia="zh-CN"/>
        </w:rPr>
        <w:br w:type="page"/>
      </w:r>
      <w:r>
        <w:rPr>
          <w:rFonts w:hint="eastAsia" w:ascii="宋体" w:hAnsi="宋体" w:eastAsia="宋体" w:cs="宋体"/>
          <w:b/>
          <w:bCs/>
          <w:color w:val="auto"/>
          <w:sz w:val="32"/>
          <w:szCs w:val="32"/>
          <w:highlight w:val="none"/>
          <w:lang w:val="en-US" w:eastAsia="zh-CN"/>
        </w:rPr>
        <w:t>七、商务部分资料</w:t>
      </w:r>
      <w:bookmarkEnd w:id="374"/>
      <w:bookmarkEnd w:id="375"/>
    </w:p>
    <w:p w14:paraId="30B6423E">
      <w:pPr>
        <w:rPr>
          <w:rFonts w:hint="eastAsia" w:ascii="宋体" w:hAnsi="宋体" w:eastAsia="宋体" w:cs="宋体"/>
          <w:color w:val="auto"/>
          <w:highlight w:val="none"/>
        </w:rPr>
      </w:pPr>
    </w:p>
    <w:p w14:paraId="398DE35A">
      <w:pPr>
        <w:spacing w:line="360" w:lineRule="auto"/>
        <w:ind w:firstLine="1132" w:firstLineChars="472"/>
        <w:jc w:val="left"/>
        <w:rPr>
          <w:rFonts w:ascii="Times New Roman" w:hAnsi="Times New Roman"/>
          <w:color w:val="auto"/>
          <w:sz w:val="24"/>
          <w:szCs w:val="24"/>
          <w:highlight w:val="none"/>
          <w:shd w:val="clear" w:color="auto" w:fill="FFFFFF"/>
          <w:lang w:bidi="ar"/>
        </w:rPr>
      </w:pPr>
    </w:p>
    <w:p w14:paraId="029B5ED7">
      <w:pPr>
        <w:spacing w:line="360" w:lineRule="auto"/>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（投标供应商根据招标文件评审细则，自行编拟）</w:t>
      </w:r>
    </w:p>
    <w:p w14:paraId="0A125EF4">
      <w:pPr>
        <w:spacing w:line="276" w:lineRule="auto"/>
        <w:ind w:firstLine="436" w:firstLineChars="182"/>
        <w:jc w:val="center"/>
        <w:rPr>
          <w:rFonts w:ascii="Times New Roman" w:hAnsi="Times New Roman"/>
          <w:color w:val="auto"/>
          <w:sz w:val="24"/>
          <w:szCs w:val="24"/>
          <w:highlight w:val="none"/>
          <w:lang w:val="zh-CN" w:bidi="zh-CN"/>
        </w:rPr>
      </w:pPr>
      <w:r>
        <w:rPr>
          <w:rFonts w:hint="eastAsia" w:ascii="Times New Roman" w:hAnsi="Times New Roman"/>
          <w:color w:val="auto"/>
          <w:sz w:val="24"/>
          <w:szCs w:val="24"/>
          <w:highlight w:val="none"/>
          <w:lang w:val="zh-CN" w:bidi="zh-CN"/>
        </w:rPr>
        <w:t>注：</w:t>
      </w:r>
      <w:r>
        <w:rPr>
          <w:rFonts w:ascii="Times New Roman" w:hAnsi="Times New Roman"/>
          <w:color w:val="auto"/>
          <w:sz w:val="24"/>
          <w:szCs w:val="24"/>
          <w:highlight w:val="none"/>
          <w:lang w:val="zh-CN" w:bidi="zh-CN"/>
        </w:rPr>
        <w:t>1.</w:t>
      </w:r>
      <w:r>
        <w:rPr>
          <w:rFonts w:hint="eastAsia" w:ascii="Times New Roman" w:hAnsi="Times New Roman"/>
          <w:color w:val="auto"/>
          <w:sz w:val="24"/>
          <w:szCs w:val="24"/>
          <w:highlight w:val="none"/>
          <w:lang w:val="zh-CN" w:bidi="zh-CN"/>
        </w:rPr>
        <w:t>投标供应商根据项目需求，自行提供技术证明资料。</w:t>
      </w:r>
    </w:p>
    <w:p w14:paraId="162C0912">
      <w:pPr>
        <w:rPr>
          <w:rFonts w:hint="eastAsia" w:ascii="宋体" w:hAnsi="宋体" w:eastAsia="宋体" w:cs="宋体"/>
          <w:color w:val="auto"/>
          <w:highlight w:val="none"/>
        </w:rPr>
      </w:pPr>
    </w:p>
    <w:p w14:paraId="45437C7B">
      <w:pPr>
        <w:rPr>
          <w:rFonts w:hint="eastAsia" w:ascii="宋体" w:hAnsi="宋体" w:eastAsia="宋体" w:cs="宋体"/>
          <w:color w:val="auto"/>
          <w:highlight w:val="none"/>
        </w:rPr>
      </w:pPr>
    </w:p>
    <w:p w14:paraId="1E1AF5FC">
      <w:pPr>
        <w:rPr>
          <w:rFonts w:hint="eastAsia" w:ascii="宋体" w:hAnsi="宋体" w:eastAsia="宋体" w:cs="宋体"/>
          <w:color w:val="auto"/>
          <w:highlight w:val="none"/>
        </w:rPr>
      </w:pPr>
    </w:p>
    <w:p w14:paraId="0119D2C2">
      <w:pPr>
        <w:rPr>
          <w:rFonts w:hint="eastAsia" w:ascii="宋体" w:hAnsi="宋体" w:eastAsia="宋体" w:cs="宋体"/>
          <w:color w:val="auto"/>
          <w:highlight w:val="none"/>
        </w:rPr>
      </w:pPr>
    </w:p>
    <w:p w14:paraId="627B6C42">
      <w:pPr>
        <w:rPr>
          <w:rFonts w:hint="eastAsia" w:ascii="宋体" w:hAnsi="宋体" w:eastAsia="宋体" w:cs="宋体"/>
          <w:color w:val="auto"/>
          <w:highlight w:val="none"/>
        </w:rPr>
      </w:pPr>
    </w:p>
    <w:p w14:paraId="1BE0635E">
      <w:pPr>
        <w:rPr>
          <w:rFonts w:hint="eastAsia" w:ascii="宋体" w:hAnsi="宋体" w:eastAsia="宋体" w:cs="宋体"/>
          <w:color w:val="auto"/>
          <w:highlight w:val="none"/>
        </w:rPr>
      </w:pPr>
    </w:p>
    <w:p w14:paraId="489A2B28">
      <w:pPr>
        <w:rPr>
          <w:rFonts w:hint="eastAsia" w:ascii="宋体" w:hAnsi="宋体" w:eastAsia="宋体" w:cs="宋体"/>
          <w:color w:val="auto"/>
          <w:highlight w:val="none"/>
        </w:rPr>
      </w:pPr>
    </w:p>
    <w:p w14:paraId="090F07EC">
      <w:pPr>
        <w:rPr>
          <w:rFonts w:hint="eastAsia" w:ascii="宋体" w:hAnsi="宋体" w:eastAsia="宋体" w:cs="宋体"/>
          <w:color w:val="auto"/>
          <w:highlight w:val="none"/>
        </w:rPr>
      </w:pPr>
    </w:p>
    <w:p w14:paraId="5B7C0F1A">
      <w:pPr>
        <w:autoSpaceDE w:val="0"/>
        <w:autoSpaceDN w:val="0"/>
        <w:adjustRightInd w:val="0"/>
        <w:spacing w:line="360" w:lineRule="auto"/>
        <w:jc w:val="center"/>
        <w:textAlignment w:val="baseline"/>
        <w:outlineLvl w:val="9"/>
        <w:rPr>
          <w:rFonts w:hint="eastAsia" w:ascii="宋体" w:hAnsi="宋体" w:eastAsia="宋体" w:cs="宋体"/>
          <w:color w:val="auto"/>
          <w:kern w:val="0"/>
          <w:sz w:val="24"/>
          <w:highlight w:val="none"/>
        </w:rPr>
      </w:pPr>
      <w:r>
        <w:rPr>
          <w:rFonts w:hint="eastAsia" w:ascii="宋体" w:hAnsi="宋体" w:cs="宋体"/>
          <w:b/>
          <w:bCs/>
          <w:color w:val="auto"/>
          <w:sz w:val="24"/>
          <w:szCs w:val="24"/>
          <w:highlight w:val="none"/>
          <w:lang w:eastAsia="zh-CN"/>
        </w:rPr>
        <w:br w:type="page"/>
      </w:r>
      <w:bookmarkStart w:id="376" w:name="_Toc478"/>
      <w:bookmarkEnd w:id="376"/>
      <w:bookmarkStart w:id="377" w:name="_Toc173946437"/>
      <w:bookmarkEnd w:id="377"/>
      <w:bookmarkStart w:id="378" w:name="_Toc174034470"/>
      <w:bookmarkEnd w:id="378"/>
      <w:bookmarkStart w:id="379" w:name="_Toc174693328"/>
      <w:bookmarkStart w:id="380" w:name="_Toc16835344"/>
      <w:bookmarkStart w:id="381" w:name="_Toc5377"/>
      <w:bookmarkStart w:id="382" w:name="_Toc524967867"/>
      <w:bookmarkStart w:id="383" w:name="_Toc90623997"/>
      <w:bookmarkStart w:id="384" w:name="OLE_LINK5"/>
      <w:bookmarkStart w:id="385" w:name="_Toc89334775"/>
    </w:p>
    <w:p w14:paraId="72B40921">
      <w:pPr>
        <w:shd w:val="clear" w:color="auto" w:fill="FFFFFF"/>
        <w:tabs>
          <w:tab w:val="right" w:pos="6077"/>
        </w:tabs>
        <w:autoSpaceDE w:val="0"/>
        <w:autoSpaceDN w:val="0"/>
        <w:spacing w:line="560" w:lineRule="exact"/>
        <w:jc w:val="center"/>
        <w:outlineLvl w:val="1"/>
        <w:rPr>
          <w:rFonts w:ascii="宋体" w:hAnsi="宋体" w:eastAsia="宋体" w:cs="宋体"/>
          <w:color w:val="auto"/>
          <w:kern w:val="0"/>
          <w:sz w:val="28"/>
          <w:szCs w:val="28"/>
          <w:highlight w:val="none"/>
        </w:rPr>
      </w:pPr>
      <w:bookmarkStart w:id="386" w:name="_Toc12128"/>
      <w:bookmarkStart w:id="387" w:name="_Toc19729"/>
      <w:r>
        <w:rPr>
          <w:rFonts w:hint="eastAsia" w:ascii="宋体" w:hAnsi="宋体" w:eastAsia="宋体" w:cs="宋体"/>
          <w:b/>
          <w:bCs/>
          <w:color w:val="auto"/>
          <w:sz w:val="32"/>
          <w:szCs w:val="32"/>
          <w:highlight w:val="none"/>
          <w:lang w:val="en-US" w:eastAsia="zh-CN"/>
        </w:rPr>
        <w:t>八</w:t>
      </w:r>
      <w:r>
        <w:rPr>
          <w:rFonts w:hint="eastAsia" w:ascii="宋体" w:hAnsi="宋体" w:eastAsia="宋体" w:cs="宋体"/>
          <w:b/>
          <w:bCs/>
          <w:color w:val="auto"/>
          <w:sz w:val="32"/>
          <w:szCs w:val="32"/>
          <w:highlight w:val="none"/>
          <w:lang w:eastAsia="zh-CN"/>
        </w:rPr>
        <w:t>、拟投入本项目的人员情况</w:t>
      </w:r>
      <w:bookmarkEnd w:id="379"/>
      <w:bookmarkEnd w:id="386"/>
      <w:bookmarkEnd w:id="387"/>
    </w:p>
    <w:p w14:paraId="6EA634B0">
      <w:pPr>
        <w:adjustRightInd w:val="0"/>
        <w:snapToGrid w:val="0"/>
        <w:spacing w:line="360" w:lineRule="auto"/>
        <w:jc w:val="center"/>
        <w:outlineLvl w:val="9"/>
        <w:rPr>
          <w:rFonts w:ascii="宋体" w:hAnsi="宋体" w:cs="宋体"/>
          <w:b w:val="0"/>
          <w:bCs/>
          <w:color w:val="auto"/>
          <w:kern w:val="0"/>
          <w:sz w:val="28"/>
          <w:szCs w:val="28"/>
          <w:highlight w:val="none"/>
          <w:lang w:val="zh-CN"/>
        </w:rPr>
      </w:pPr>
      <w:r>
        <w:rPr>
          <w:rFonts w:hint="eastAsia" w:ascii="宋体" w:hAnsi="宋体" w:cs="宋体"/>
          <w:b/>
          <w:bCs w:val="0"/>
          <w:color w:val="auto"/>
          <w:kern w:val="0"/>
          <w:sz w:val="28"/>
          <w:szCs w:val="28"/>
          <w:highlight w:val="none"/>
          <w:lang w:val="zh-CN"/>
        </w:rPr>
        <w:t>（一）拟投入本项目的主要人员汇总表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661"/>
        <w:gridCol w:w="1189"/>
        <w:gridCol w:w="1381"/>
        <w:gridCol w:w="1600"/>
        <w:gridCol w:w="1331"/>
      </w:tblGrid>
      <w:tr w14:paraId="716A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4B4AE69F">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姓名</w:t>
            </w:r>
          </w:p>
        </w:tc>
        <w:tc>
          <w:tcPr>
            <w:tcW w:w="1661" w:type="dxa"/>
            <w:tcBorders>
              <w:top w:val="single" w:color="auto" w:sz="4" w:space="0"/>
              <w:left w:val="single" w:color="auto" w:sz="4" w:space="0"/>
              <w:bottom w:val="single" w:color="auto" w:sz="4" w:space="0"/>
              <w:right w:val="single" w:color="auto" w:sz="4" w:space="0"/>
            </w:tcBorders>
            <w:noWrap w:val="0"/>
            <w:vAlign w:val="center"/>
          </w:tcPr>
          <w:p w14:paraId="081FCC3E">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本项目中职务</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4C102EAC">
            <w:pPr>
              <w:adjustRightInd w:val="0"/>
              <w:snapToGrid w:val="0"/>
              <w:spacing w:line="360" w:lineRule="auto"/>
              <w:jc w:val="center"/>
              <w:outlineLvl w:val="9"/>
              <w:rPr>
                <w:rFonts w:hint="eastAsia" w:ascii="宋体" w:eastAsia="宋体"/>
                <w:b w:val="0"/>
                <w:bCs/>
                <w:color w:val="auto"/>
                <w:sz w:val="24"/>
                <w:szCs w:val="24"/>
                <w:highlight w:val="none"/>
                <w:lang w:val="en-US" w:eastAsia="zh-CN"/>
              </w:rPr>
            </w:pPr>
            <w:r>
              <w:rPr>
                <w:rFonts w:hint="eastAsia" w:ascii="宋体"/>
                <w:b w:val="0"/>
                <w:bCs/>
                <w:color w:val="auto"/>
                <w:sz w:val="24"/>
                <w:szCs w:val="24"/>
                <w:highlight w:val="none"/>
                <w:lang w:val="en-US" w:eastAsia="zh-CN"/>
              </w:rPr>
              <w:t>职称</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2C8B58F2">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证件名称</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08ACB445">
            <w:pPr>
              <w:adjustRightInd w:val="0"/>
              <w:snapToGrid w:val="0"/>
              <w:spacing w:line="360" w:lineRule="auto"/>
              <w:jc w:val="center"/>
              <w:outlineLvl w:val="9"/>
              <w:rPr>
                <w:rFonts w:ascii="宋体"/>
                <w:b w:val="0"/>
                <w:bCs/>
                <w:color w:val="auto"/>
                <w:sz w:val="24"/>
                <w:szCs w:val="24"/>
                <w:highlight w:val="none"/>
              </w:rPr>
            </w:pPr>
            <w:r>
              <w:rPr>
                <w:rFonts w:hint="eastAsia" w:ascii="宋体"/>
                <w:b w:val="0"/>
                <w:bCs/>
                <w:color w:val="auto"/>
                <w:sz w:val="24"/>
                <w:szCs w:val="24"/>
                <w:highlight w:val="none"/>
              </w:rPr>
              <w:t>证件编号</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BB9DBF2">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备注</w:t>
            </w:r>
          </w:p>
        </w:tc>
      </w:tr>
      <w:tr w14:paraId="5E79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71587588">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4260A99E">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6F02D83">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194C25E">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4E2B37B6">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B12DFAF">
            <w:pPr>
              <w:adjustRightInd w:val="0"/>
              <w:snapToGrid w:val="0"/>
              <w:spacing w:line="360" w:lineRule="auto"/>
              <w:jc w:val="center"/>
              <w:outlineLvl w:val="9"/>
              <w:rPr>
                <w:rFonts w:ascii="宋体"/>
                <w:color w:val="auto"/>
                <w:sz w:val="24"/>
                <w:szCs w:val="24"/>
                <w:highlight w:val="none"/>
              </w:rPr>
            </w:pPr>
          </w:p>
        </w:tc>
      </w:tr>
      <w:tr w14:paraId="1D25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748C6462">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18056363">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1D65F244">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C07C7EE">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6BC5F4D2">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FE6B155">
            <w:pPr>
              <w:adjustRightInd w:val="0"/>
              <w:snapToGrid w:val="0"/>
              <w:spacing w:line="360" w:lineRule="auto"/>
              <w:jc w:val="center"/>
              <w:outlineLvl w:val="9"/>
              <w:rPr>
                <w:rFonts w:ascii="宋体"/>
                <w:color w:val="auto"/>
                <w:sz w:val="24"/>
                <w:szCs w:val="24"/>
                <w:highlight w:val="none"/>
              </w:rPr>
            </w:pPr>
          </w:p>
        </w:tc>
      </w:tr>
      <w:tr w14:paraId="2B22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6FCDB746">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0C18EA06">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E58C34B">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CEBAB0E">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5BD0B5F4">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2AD1E52">
            <w:pPr>
              <w:adjustRightInd w:val="0"/>
              <w:snapToGrid w:val="0"/>
              <w:spacing w:line="360" w:lineRule="auto"/>
              <w:jc w:val="center"/>
              <w:outlineLvl w:val="9"/>
              <w:rPr>
                <w:rFonts w:ascii="宋体"/>
                <w:color w:val="auto"/>
                <w:sz w:val="24"/>
                <w:szCs w:val="24"/>
                <w:highlight w:val="none"/>
              </w:rPr>
            </w:pPr>
          </w:p>
        </w:tc>
      </w:tr>
      <w:tr w14:paraId="7FED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6869E8F5">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217D1AD8">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187053F9">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D5BF6F9">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4D9ABA54">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FF7AEDB">
            <w:pPr>
              <w:adjustRightInd w:val="0"/>
              <w:snapToGrid w:val="0"/>
              <w:spacing w:line="360" w:lineRule="auto"/>
              <w:jc w:val="center"/>
              <w:outlineLvl w:val="9"/>
              <w:rPr>
                <w:rFonts w:ascii="宋体"/>
                <w:color w:val="auto"/>
                <w:sz w:val="24"/>
                <w:szCs w:val="24"/>
                <w:highlight w:val="none"/>
              </w:rPr>
            </w:pPr>
          </w:p>
        </w:tc>
      </w:tr>
      <w:tr w14:paraId="5437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1F144F83">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4EA50C24">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4BD76481">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2D507589">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92B611E">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3E90D0A">
            <w:pPr>
              <w:adjustRightInd w:val="0"/>
              <w:snapToGrid w:val="0"/>
              <w:spacing w:line="360" w:lineRule="auto"/>
              <w:jc w:val="center"/>
              <w:outlineLvl w:val="9"/>
              <w:rPr>
                <w:rFonts w:ascii="宋体"/>
                <w:color w:val="auto"/>
                <w:sz w:val="24"/>
                <w:szCs w:val="24"/>
                <w:highlight w:val="none"/>
              </w:rPr>
            </w:pPr>
          </w:p>
        </w:tc>
      </w:tr>
      <w:tr w14:paraId="6BEE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3133F951">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210CA18D">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3B6016EE">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1BCC0F7">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771DF645">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BE8F070">
            <w:pPr>
              <w:adjustRightInd w:val="0"/>
              <w:snapToGrid w:val="0"/>
              <w:spacing w:line="360" w:lineRule="auto"/>
              <w:jc w:val="center"/>
              <w:outlineLvl w:val="9"/>
              <w:rPr>
                <w:rFonts w:ascii="宋体"/>
                <w:color w:val="auto"/>
                <w:sz w:val="24"/>
                <w:szCs w:val="24"/>
                <w:highlight w:val="none"/>
              </w:rPr>
            </w:pPr>
          </w:p>
        </w:tc>
      </w:tr>
      <w:tr w14:paraId="5237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7D18C85B">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53DE3B73">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7529D7EE">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E3206B3">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4FABAC4">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1A4867A0">
            <w:pPr>
              <w:adjustRightInd w:val="0"/>
              <w:snapToGrid w:val="0"/>
              <w:spacing w:line="360" w:lineRule="auto"/>
              <w:jc w:val="center"/>
              <w:outlineLvl w:val="9"/>
              <w:rPr>
                <w:rFonts w:ascii="宋体"/>
                <w:color w:val="auto"/>
                <w:sz w:val="24"/>
                <w:szCs w:val="24"/>
                <w:highlight w:val="none"/>
              </w:rPr>
            </w:pPr>
          </w:p>
        </w:tc>
      </w:tr>
    </w:tbl>
    <w:p w14:paraId="44B43155">
      <w:pPr>
        <w:widowControl/>
        <w:adjustRightInd w:val="0"/>
        <w:snapToGrid w:val="0"/>
        <w:spacing w:line="360" w:lineRule="auto"/>
        <w:ind w:firstLine="723" w:firstLineChars="300"/>
        <w:jc w:val="left"/>
        <w:outlineLvl w:val="9"/>
        <w:rPr>
          <w:rFonts w:ascii="宋体" w:hAnsi="宋体" w:cs="宋体"/>
          <w:b/>
          <w:bCs/>
          <w:color w:val="auto"/>
          <w:sz w:val="24"/>
          <w:szCs w:val="24"/>
          <w:highlight w:val="none"/>
        </w:rPr>
      </w:pPr>
      <w:r>
        <w:rPr>
          <w:rFonts w:hint="eastAsia" w:ascii="宋体" w:hAnsi="宋体" w:cs="宋体"/>
          <w:b/>
          <w:bCs/>
          <w:color w:val="auto"/>
          <w:sz w:val="24"/>
          <w:szCs w:val="24"/>
          <w:highlight w:val="none"/>
        </w:rPr>
        <w:t>注：后附身份证、</w:t>
      </w:r>
      <w:r>
        <w:rPr>
          <w:rFonts w:hint="eastAsia" w:ascii="宋体" w:hAnsi="宋体" w:cs="宋体"/>
          <w:b/>
          <w:bCs/>
          <w:color w:val="auto"/>
          <w:sz w:val="24"/>
          <w:szCs w:val="24"/>
          <w:highlight w:val="none"/>
          <w:lang w:eastAsia="zh-CN"/>
        </w:rPr>
        <w:t>职称证</w:t>
      </w:r>
      <w:r>
        <w:rPr>
          <w:rFonts w:hint="eastAsia" w:ascii="宋体" w:hAnsi="宋体" w:cs="宋体"/>
          <w:b/>
          <w:bCs/>
          <w:color w:val="auto"/>
          <w:sz w:val="24"/>
          <w:szCs w:val="24"/>
          <w:highlight w:val="none"/>
        </w:rPr>
        <w:t>等相关证件资料。</w:t>
      </w:r>
    </w:p>
    <w:p w14:paraId="7C1324D0">
      <w:pPr>
        <w:adjustRightInd w:val="0"/>
        <w:snapToGrid w:val="0"/>
        <w:spacing w:line="360" w:lineRule="auto"/>
        <w:jc w:val="center"/>
        <w:outlineLvl w:val="9"/>
        <w:rPr>
          <w:rFonts w:ascii="宋体" w:hAnsi="宋体" w:cs="宋体"/>
          <w:b/>
          <w:color w:val="auto"/>
          <w:kern w:val="0"/>
          <w:sz w:val="28"/>
          <w:szCs w:val="28"/>
          <w:highlight w:val="none"/>
          <w:lang w:val="zh-CN"/>
        </w:rPr>
      </w:pPr>
      <w:r>
        <w:rPr>
          <w:rFonts w:hint="eastAsia" w:ascii="宋体" w:hAnsi="宋体" w:cs="宋体"/>
          <w:b/>
          <w:color w:val="auto"/>
          <w:kern w:val="0"/>
          <w:sz w:val="28"/>
          <w:szCs w:val="28"/>
          <w:highlight w:val="none"/>
        </w:rPr>
        <w:br w:type="page"/>
      </w:r>
      <w:r>
        <w:rPr>
          <w:rFonts w:hint="eastAsia" w:ascii="宋体" w:hAnsi="宋体" w:cs="宋体"/>
          <w:b/>
          <w:color w:val="auto"/>
          <w:kern w:val="0"/>
          <w:sz w:val="28"/>
          <w:szCs w:val="28"/>
          <w:highlight w:val="none"/>
        </w:rPr>
        <w:t>（二）项目负责人</w:t>
      </w:r>
      <w:r>
        <w:rPr>
          <w:rFonts w:hint="eastAsia" w:ascii="宋体" w:hAnsi="宋体" w:cs="宋体"/>
          <w:b/>
          <w:color w:val="auto"/>
          <w:kern w:val="0"/>
          <w:sz w:val="28"/>
          <w:szCs w:val="28"/>
          <w:highlight w:val="none"/>
          <w:lang w:val="zh-CN"/>
        </w:rPr>
        <w:t>简历表</w:t>
      </w:r>
    </w:p>
    <w:tbl>
      <w:tblPr>
        <w:tblStyle w:val="16"/>
        <w:tblW w:w="0" w:type="auto"/>
        <w:jc w:val="center"/>
        <w:tblLayout w:type="fixed"/>
        <w:tblCellMar>
          <w:top w:w="0" w:type="dxa"/>
          <w:left w:w="0" w:type="dxa"/>
          <w:bottom w:w="0" w:type="dxa"/>
          <w:right w:w="0" w:type="dxa"/>
        </w:tblCellMar>
      </w:tblPr>
      <w:tblGrid>
        <w:gridCol w:w="1438"/>
        <w:gridCol w:w="369"/>
        <w:gridCol w:w="740"/>
        <w:gridCol w:w="950"/>
        <w:gridCol w:w="1094"/>
        <w:gridCol w:w="725"/>
        <w:gridCol w:w="1293"/>
        <w:gridCol w:w="167"/>
        <w:gridCol w:w="2192"/>
      </w:tblGrid>
      <w:tr w14:paraId="11ECA8F1">
        <w:tblPrEx>
          <w:tblCellMar>
            <w:top w:w="0" w:type="dxa"/>
            <w:left w:w="0" w:type="dxa"/>
            <w:bottom w:w="0" w:type="dxa"/>
            <w:right w:w="0" w:type="dxa"/>
          </w:tblCellMar>
        </w:tblPrEx>
        <w:trPr>
          <w:trHeight w:val="903"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5FF835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姓</w:t>
            </w:r>
            <w:r>
              <w:rPr>
                <w:color w:val="auto"/>
                <w:highlight w:val="none"/>
              </w:rPr>
              <w:tab/>
            </w:r>
            <w:r>
              <w:rPr>
                <w:rFonts w:hint="eastAsia" w:ascii="宋体" w:hAnsi="宋体"/>
                <w:color w:val="auto"/>
                <w:spacing w:val="1"/>
                <w:kern w:val="0"/>
                <w:szCs w:val="21"/>
                <w:highlight w:val="none"/>
              </w:rPr>
              <w:t>名</w:t>
            </w:r>
          </w:p>
        </w:tc>
        <w:tc>
          <w:tcPr>
            <w:tcW w:w="1109" w:type="dxa"/>
            <w:gridSpan w:val="2"/>
            <w:tcBorders>
              <w:top w:val="single" w:color="000000" w:sz="4" w:space="0"/>
              <w:left w:val="nil"/>
              <w:bottom w:val="single" w:color="000000" w:sz="4" w:space="0"/>
              <w:right w:val="single" w:color="000000" w:sz="4" w:space="0"/>
            </w:tcBorders>
            <w:noWrap w:val="0"/>
            <w:vAlign w:val="center"/>
          </w:tcPr>
          <w:p w14:paraId="75DA5BFB">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950" w:type="dxa"/>
            <w:tcBorders>
              <w:top w:val="single" w:color="000000" w:sz="4" w:space="0"/>
              <w:left w:val="nil"/>
              <w:bottom w:val="single" w:color="000000" w:sz="4" w:space="0"/>
              <w:right w:val="single" w:color="000000" w:sz="4" w:space="0"/>
            </w:tcBorders>
            <w:noWrap w:val="0"/>
            <w:vAlign w:val="center"/>
          </w:tcPr>
          <w:p w14:paraId="6F0F43E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年  龄</w:t>
            </w:r>
          </w:p>
        </w:tc>
        <w:tc>
          <w:tcPr>
            <w:tcW w:w="1094" w:type="dxa"/>
            <w:tcBorders>
              <w:top w:val="single" w:color="000000" w:sz="4" w:space="0"/>
              <w:left w:val="nil"/>
              <w:bottom w:val="single" w:color="000000" w:sz="4" w:space="0"/>
              <w:right w:val="single" w:color="000000" w:sz="4" w:space="0"/>
            </w:tcBorders>
            <w:noWrap w:val="0"/>
            <w:vAlign w:val="center"/>
          </w:tcPr>
          <w:p w14:paraId="2D46F794">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185" w:type="dxa"/>
            <w:gridSpan w:val="3"/>
            <w:tcBorders>
              <w:top w:val="single" w:color="000000" w:sz="4" w:space="0"/>
              <w:left w:val="nil"/>
              <w:bottom w:val="single" w:color="000000" w:sz="4" w:space="0"/>
              <w:right w:val="single" w:color="000000" w:sz="4" w:space="0"/>
            </w:tcBorders>
            <w:noWrap w:val="0"/>
            <w:vAlign w:val="center"/>
          </w:tcPr>
          <w:p w14:paraId="6BB55C34">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学历</w:t>
            </w:r>
          </w:p>
        </w:tc>
        <w:tc>
          <w:tcPr>
            <w:tcW w:w="2192" w:type="dxa"/>
            <w:tcBorders>
              <w:top w:val="single" w:color="000000" w:sz="4" w:space="0"/>
              <w:left w:val="nil"/>
              <w:bottom w:val="single" w:color="000000" w:sz="4" w:space="0"/>
              <w:right w:val="single" w:color="000000" w:sz="4" w:space="0"/>
            </w:tcBorders>
            <w:noWrap w:val="0"/>
            <w:vAlign w:val="center"/>
          </w:tcPr>
          <w:p w14:paraId="16BD8FD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28244A8F">
        <w:tblPrEx>
          <w:tblCellMar>
            <w:top w:w="0" w:type="dxa"/>
            <w:left w:w="0" w:type="dxa"/>
            <w:bottom w:w="0" w:type="dxa"/>
            <w:right w:w="0" w:type="dxa"/>
          </w:tblCellMar>
        </w:tblPrEx>
        <w:trPr>
          <w:trHeight w:val="903"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3F2A535C">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职</w:t>
            </w:r>
            <w:r>
              <w:rPr>
                <w:color w:val="auto"/>
                <w:highlight w:val="none"/>
              </w:rPr>
              <w:tab/>
            </w:r>
            <w:r>
              <w:rPr>
                <w:rFonts w:hint="eastAsia" w:ascii="宋体" w:hAnsi="宋体"/>
                <w:color w:val="auto"/>
                <w:spacing w:val="1"/>
                <w:kern w:val="0"/>
                <w:szCs w:val="21"/>
                <w:highlight w:val="none"/>
              </w:rPr>
              <w:t>称</w:t>
            </w:r>
          </w:p>
        </w:tc>
        <w:tc>
          <w:tcPr>
            <w:tcW w:w="1109" w:type="dxa"/>
            <w:gridSpan w:val="2"/>
            <w:tcBorders>
              <w:top w:val="single" w:color="000000" w:sz="4" w:space="0"/>
              <w:left w:val="nil"/>
              <w:bottom w:val="single" w:color="000000" w:sz="4" w:space="0"/>
              <w:right w:val="single" w:color="000000" w:sz="4" w:space="0"/>
            </w:tcBorders>
            <w:noWrap w:val="0"/>
            <w:vAlign w:val="center"/>
          </w:tcPr>
          <w:p w14:paraId="3045E383">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950" w:type="dxa"/>
            <w:tcBorders>
              <w:top w:val="single" w:color="000000" w:sz="4" w:space="0"/>
              <w:left w:val="nil"/>
              <w:bottom w:val="single" w:color="000000" w:sz="4" w:space="0"/>
              <w:right w:val="single" w:color="000000" w:sz="4" w:space="0"/>
            </w:tcBorders>
            <w:noWrap w:val="0"/>
            <w:vAlign w:val="center"/>
          </w:tcPr>
          <w:p w14:paraId="1D1973B2">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职  务</w:t>
            </w:r>
          </w:p>
        </w:tc>
        <w:tc>
          <w:tcPr>
            <w:tcW w:w="1094" w:type="dxa"/>
            <w:tcBorders>
              <w:top w:val="single" w:color="000000" w:sz="4" w:space="0"/>
              <w:left w:val="nil"/>
              <w:bottom w:val="single" w:color="000000" w:sz="4" w:space="0"/>
              <w:right w:val="single" w:color="000000" w:sz="4" w:space="0"/>
            </w:tcBorders>
            <w:noWrap w:val="0"/>
            <w:vAlign w:val="center"/>
          </w:tcPr>
          <w:p w14:paraId="34770AA3">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185" w:type="dxa"/>
            <w:gridSpan w:val="3"/>
            <w:tcBorders>
              <w:top w:val="single" w:color="000000" w:sz="4" w:space="0"/>
              <w:left w:val="nil"/>
              <w:bottom w:val="single" w:color="000000" w:sz="4" w:space="0"/>
              <w:right w:val="single" w:color="000000" w:sz="4" w:space="0"/>
            </w:tcBorders>
            <w:noWrap w:val="0"/>
            <w:vAlign w:val="center"/>
          </w:tcPr>
          <w:p w14:paraId="3DF692A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拟在本项目任职</w:t>
            </w:r>
          </w:p>
        </w:tc>
        <w:tc>
          <w:tcPr>
            <w:tcW w:w="2192" w:type="dxa"/>
            <w:tcBorders>
              <w:top w:val="single" w:color="000000" w:sz="4" w:space="0"/>
              <w:left w:val="nil"/>
              <w:bottom w:val="single" w:color="000000" w:sz="4" w:space="0"/>
              <w:right w:val="single" w:color="000000" w:sz="4" w:space="0"/>
            </w:tcBorders>
            <w:noWrap w:val="0"/>
            <w:vAlign w:val="center"/>
          </w:tcPr>
          <w:p w14:paraId="795AD593">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7EDB741D">
        <w:tblPrEx>
          <w:tblCellMar>
            <w:top w:w="0" w:type="dxa"/>
            <w:left w:w="0" w:type="dxa"/>
            <w:bottom w:w="0" w:type="dxa"/>
            <w:right w:w="0" w:type="dxa"/>
          </w:tblCellMar>
        </w:tblPrEx>
        <w:trPr>
          <w:trHeight w:val="903"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002AB74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毕业学校</w:t>
            </w:r>
          </w:p>
        </w:tc>
        <w:tc>
          <w:tcPr>
            <w:tcW w:w="7530" w:type="dxa"/>
            <w:gridSpan w:val="8"/>
            <w:tcBorders>
              <w:top w:val="single" w:color="000000" w:sz="4" w:space="0"/>
              <w:left w:val="nil"/>
              <w:bottom w:val="single" w:color="000000" w:sz="4" w:space="0"/>
              <w:right w:val="single" w:color="000000" w:sz="4" w:space="0"/>
            </w:tcBorders>
            <w:noWrap w:val="0"/>
            <w:vAlign w:val="center"/>
          </w:tcPr>
          <w:p w14:paraId="60CC927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年毕业于</w:t>
            </w:r>
            <w:r>
              <w:rPr>
                <w:color w:val="auto"/>
                <w:highlight w:val="none"/>
              </w:rPr>
              <w:tab/>
            </w:r>
            <w:r>
              <w:rPr>
                <w:rFonts w:hint="eastAsia" w:ascii="宋体" w:hAnsi="宋体"/>
                <w:color w:val="auto"/>
                <w:spacing w:val="1"/>
                <w:kern w:val="0"/>
                <w:szCs w:val="21"/>
                <w:highlight w:val="none"/>
              </w:rPr>
              <w:t>学校</w:t>
            </w:r>
            <w:r>
              <w:rPr>
                <w:color w:val="auto"/>
                <w:highlight w:val="none"/>
              </w:rPr>
              <w:tab/>
            </w:r>
            <w:r>
              <w:rPr>
                <w:rFonts w:hint="eastAsia" w:ascii="宋体" w:hAnsi="宋体"/>
                <w:color w:val="auto"/>
                <w:spacing w:val="1"/>
                <w:kern w:val="0"/>
                <w:szCs w:val="21"/>
                <w:highlight w:val="none"/>
              </w:rPr>
              <w:t>专业</w:t>
            </w:r>
          </w:p>
        </w:tc>
      </w:tr>
      <w:tr w14:paraId="194581A2">
        <w:tblPrEx>
          <w:tblCellMar>
            <w:top w:w="0" w:type="dxa"/>
            <w:left w:w="0" w:type="dxa"/>
            <w:bottom w:w="0" w:type="dxa"/>
            <w:right w:w="0" w:type="dxa"/>
          </w:tblCellMar>
        </w:tblPrEx>
        <w:trPr>
          <w:trHeight w:val="865" w:hRule="atLeast"/>
          <w:jc w:val="center"/>
        </w:trPr>
        <w:tc>
          <w:tcPr>
            <w:tcW w:w="8968" w:type="dxa"/>
            <w:gridSpan w:val="9"/>
            <w:tcBorders>
              <w:top w:val="single" w:color="000000" w:sz="4" w:space="0"/>
              <w:left w:val="single" w:color="000000" w:sz="4" w:space="0"/>
              <w:bottom w:val="single" w:color="000000" w:sz="4" w:space="0"/>
              <w:right w:val="single" w:color="000000" w:sz="4" w:space="0"/>
            </w:tcBorders>
            <w:noWrap w:val="0"/>
            <w:vAlign w:val="center"/>
          </w:tcPr>
          <w:p w14:paraId="48C7A4A3">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主要工作经历</w:t>
            </w:r>
          </w:p>
        </w:tc>
      </w:tr>
      <w:tr w14:paraId="442D49DE">
        <w:tblPrEx>
          <w:tblCellMar>
            <w:top w:w="0" w:type="dxa"/>
            <w:left w:w="0" w:type="dxa"/>
            <w:bottom w:w="0" w:type="dxa"/>
            <w:right w:w="0" w:type="dxa"/>
          </w:tblCellMar>
        </w:tblPrEx>
        <w:trPr>
          <w:trHeight w:val="903" w:hRule="atLeast"/>
          <w:jc w:val="center"/>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04642B9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时</w:t>
            </w:r>
            <w:r>
              <w:rPr>
                <w:color w:val="auto"/>
                <w:highlight w:val="none"/>
              </w:rPr>
              <w:tab/>
            </w:r>
            <w:r>
              <w:rPr>
                <w:rFonts w:hint="eastAsia" w:ascii="宋体" w:hAnsi="宋体"/>
                <w:color w:val="auto"/>
                <w:spacing w:val="1"/>
                <w:kern w:val="0"/>
                <w:szCs w:val="21"/>
                <w:highlight w:val="none"/>
              </w:rPr>
              <w:t>间</w:t>
            </w:r>
          </w:p>
        </w:tc>
        <w:tc>
          <w:tcPr>
            <w:tcW w:w="3509" w:type="dxa"/>
            <w:gridSpan w:val="4"/>
            <w:tcBorders>
              <w:top w:val="single" w:color="000000" w:sz="4" w:space="0"/>
              <w:left w:val="nil"/>
              <w:bottom w:val="single" w:color="000000" w:sz="4" w:space="0"/>
              <w:right w:val="single" w:color="000000" w:sz="4" w:space="0"/>
            </w:tcBorders>
            <w:noWrap w:val="0"/>
            <w:vAlign w:val="center"/>
          </w:tcPr>
          <w:p w14:paraId="351D6DEB">
            <w:pPr>
              <w:autoSpaceDE w:val="0"/>
              <w:autoSpaceDN w:val="0"/>
              <w:adjustRightInd w:val="0"/>
              <w:snapToGrid w:val="0"/>
              <w:spacing w:line="360" w:lineRule="auto"/>
              <w:ind w:firstLine="148" w:firstLineChars="70"/>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参加过的类似项目</w:t>
            </w:r>
          </w:p>
        </w:tc>
        <w:tc>
          <w:tcPr>
            <w:tcW w:w="1293" w:type="dxa"/>
            <w:tcBorders>
              <w:top w:val="single" w:color="000000" w:sz="4" w:space="0"/>
              <w:left w:val="nil"/>
              <w:bottom w:val="single" w:color="000000" w:sz="4" w:space="0"/>
              <w:right w:val="single" w:color="000000" w:sz="4" w:space="0"/>
            </w:tcBorders>
            <w:noWrap w:val="0"/>
            <w:vAlign w:val="center"/>
          </w:tcPr>
          <w:p w14:paraId="5EB9A256">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担任职务</w:t>
            </w:r>
          </w:p>
        </w:tc>
        <w:tc>
          <w:tcPr>
            <w:tcW w:w="2359" w:type="dxa"/>
            <w:gridSpan w:val="2"/>
            <w:tcBorders>
              <w:top w:val="single" w:color="000000" w:sz="4" w:space="0"/>
              <w:left w:val="nil"/>
              <w:bottom w:val="single" w:color="000000" w:sz="4" w:space="0"/>
              <w:right w:val="single" w:color="000000" w:sz="4" w:space="0"/>
            </w:tcBorders>
            <w:noWrap w:val="0"/>
            <w:vAlign w:val="center"/>
          </w:tcPr>
          <w:p w14:paraId="6EF8B62B">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证明人</w:t>
            </w:r>
          </w:p>
        </w:tc>
      </w:tr>
      <w:tr w14:paraId="360572AB">
        <w:tblPrEx>
          <w:tblCellMar>
            <w:top w:w="0" w:type="dxa"/>
            <w:left w:w="0" w:type="dxa"/>
            <w:bottom w:w="0" w:type="dxa"/>
            <w:right w:w="0" w:type="dxa"/>
          </w:tblCellMar>
        </w:tblPrEx>
        <w:trPr>
          <w:trHeight w:val="903" w:hRule="atLeast"/>
          <w:jc w:val="center"/>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5F1253A1">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68A9F0B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6420CF0D">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17E827C4">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18B014DE">
        <w:tblPrEx>
          <w:tblCellMar>
            <w:top w:w="0" w:type="dxa"/>
            <w:left w:w="0" w:type="dxa"/>
            <w:bottom w:w="0" w:type="dxa"/>
            <w:right w:w="0" w:type="dxa"/>
          </w:tblCellMar>
        </w:tblPrEx>
        <w:trPr>
          <w:trHeight w:val="903" w:hRule="atLeast"/>
          <w:jc w:val="center"/>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7EE481C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5454C604">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5E4FEA3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070A23AA">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33BA2DC2">
        <w:tblPrEx>
          <w:tblCellMar>
            <w:top w:w="0" w:type="dxa"/>
            <w:left w:w="0" w:type="dxa"/>
            <w:bottom w:w="0" w:type="dxa"/>
            <w:right w:w="0" w:type="dxa"/>
          </w:tblCellMar>
        </w:tblPrEx>
        <w:trPr>
          <w:trHeight w:val="903" w:hRule="atLeast"/>
          <w:jc w:val="center"/>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65C7520C">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32E5057C">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77ACC43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1F06434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44C6B393">
        <w:tblPrEx>
          <w:tblCellMar>
            <w:top w:w="0" w:type="dxa"/>
            <w:left w:w="0" w:type="dxa"/>
            <w:bottom w:w="0" w:type="dxa"/>
            <w:right w:w="0" w:type="dxa"/>
          </w:tblCellMar>
        </w:tblPrEx>
        <w:trPr>
          <w:trHeight w:val="903" w:hRule="atLeast"/>
          <w:jc w:val="center"/>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11341AF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7BC8E8D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7B78A2CE">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16A58557">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59F78D49">
        <w:tblPrEx>
          <w:tblCellMar>
            <w:top w:w="0" w:type="dxa"/>
            <w:left w:w="0" w:type="dxa"/>
            <w:bottom w:w="0" w:type="dxa"/>
            <w:right w:w="0" w:type="dxa"/>
          </w:tblCellMar>
        </w:tblPrEx>
        <w:trPr>
          <w:trHeight w:val="903" w:hRule="atLeast"/>
          <w:jc w:val="center"/>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43C5F2FD">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0F4C1EAA">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1364BEC7">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4674F1E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70BE8C45">
        <w:tblPrEx>
          <w:tblCellMar>
            <w:top w:w="0" w:type="dxa"/>
            <w:left w:w="0" w:type="dxa"/>
            <w:bottom w:w="0" w:type="dxa"/>
            <w:right w:w="0" w:type="dxa"/>
          </w:tblCellMar>
        </w:tblPrEx>
        <w:trPr>
          <w:trHeight w:val="903" w:hRule="atLeast"/>
          <w:jc w:val="center"/>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2CC4754C">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37E93C82">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7F8DCA8B">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7A66AD8D">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564E8CC1">
        <w:tblPrEx>
          <w:tblCellMar>
            <w:top w:w="0" w:type="dxa"/>
            <w:left w:w="0" w:type="dxa"/>
            <w:bottom w:w="0" w:type="dxa"/>
            <w:right w:w="0" w:type="dxa"/>
          </w:tblCellMar>
        </w:tblPrEx>
        <w:trPr>
          <w:trHeight w:val="903" w:hRule="atLeast"/>
          <w:jc w:val="center"/>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61E77ED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0555D7B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4354AF6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42C39FC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bl>
    <w:p w14:paraId="141AD44C">
      <w:pPr>
        <w:pStyle w:val="19"/>
        <w:numPr>
          <w:ilvl w:val="0"/>
          <w:numId w:val="0"/>
        </w:numPr>
        <w:jc w:val="center"/>
        <w:rPr>
          <w:rFonts w:hint="eastAsia" w:ascii="宋体" w:hAnsi="宋体"/>
          <w:b/>
          <w:bCs/>
          <w:color w:val="auto"/>
          <w:highlight w:val="none"/>
        </w:rPr>
      </w:pPr>
      <w:bookmarkStart w:id="388" w:name="_Toc8890"/>
      <w:bookmarkStart w:id="389" w:name="_Toc5849"/>
      <w:r>
        <w:rPr>
          <w:rFonts w:hint="eastAsia" w:ascii="宋体" w:hAnsi="宋体" w:eastAsia="宋体" w:cs="宋体"/>
          <w:b/>
          <w:bCs/>
          <w:color w:val="auto"/>
          <w:kern w:val="0"/>
          <w:sz w:val="28"/>
          <w:szCs w:val="28"/>
          <w:highlight w:val="none"/>
          <w:lang w:val="en-US" w:eastAsia="zh-CN" w:bidi="zh-CN"/>
        </w:rPr>
        <w:br w:type="page"/>
      </w:r>
      <w:r>
        <w:rPr>
          <w:rFonts w:hint="eastAsia" w:ascii="宋体" w:hAnsi="宋体" w:eastAsia="宋体" w:cs="宋体"/>
          <w:b/>
          <w:bCs/>
          <w:color w:val="auto"/>
          <w:kern w:val="0"/>
          <w:sz w:val="28"/>
          <w:szCs w:val="28"/>
          <w:highlight w:val="none"/>
          <w:lang w:val="en-US" w:eastAsia="zh-CN" w:bidi="zh-CN"/>
        </w:rPr>
        <w:t>九</w:t>
      </w:r>
      <w:r>
        <w:rPr>
          <w:rFonts w:hint="eastAsia" w:ascii="宋体" w:hAnsi="宋体" w:eastAsia="宋体" w:cs="宋体"/>
          <w:b/>
          <w:bCs/>
          <w:color w:val="auto"/>
          <w:kern w:val="0"/>
          <w:sz w:val="28"/>
          <w:szCs w:val="28"/>
          <w:highlight w:val="none"/>
          <w:lang w:val="zh-CN" w:eastAsia="zh-CN" w:bidi="zh-CN"/>
        </w:rPr>
        <w:t>、供应商认为需要提供的其他资料</w:t>
      </w:r>
      <w:bookmarkEnd w:id="388"/>
      <w:bookmarkEnd w:id="389"/>
    </w:p>
    <w:p w14:paraId="61C21A83">
      <w:pPr>
        <w:shd w:val="clear" w:color="auto" w:fill="FFFFFF"/>
        <w:tabs>
          <w:tab w:val="right" w:pos="6077"/>
        </w:tabs>
        <w:autoSpaceDE w:val="0"/>
        <w:autoSpaceDN w:val="0"/>
        <w:spacing w:line="560" w:lineRule="exact"/>
        <w:ind w:firstLine="1606" w:firstLineChars="500"/>
        <w:rPr>
          <w:rFonts w:hint="eastAsia" w:ascii="宋体" w:hAnsi="宋体" w:eastAsia="宋体" w:cs="宋体"/>
          <w:b/>
          <w:bCs/>
          <w:color w:val="auto"/>
          <w:sz w:val="32"/>
          <w:szCs w:val="32"/>
          <w:highlight w:val="none"/>
          <w:lang w:val="en-US" w:eastAsia="zh-CN"/>
        </w:rPr>
      </w:pPr>
    </w:p>
    <w:p w14:paraId="43FAF359">
      <w:pPr>
        <w:shd w:val="clear" w:color="auto" w:fill="FFFFFF"/>
        <w:tabs>
          <w:tab w:val="right" w:pos="6077"/>
        </w:tabs>
        <w:autoSpaceDE w:val="0"/>
        <w:autoSpaceDN w:val="0"/>
        <w:spacing w:line="560" w:lineRule="exact"/>
        <w:ind w:firstLine="1606" w:firstLineChars="500"/>
        <w:rPr>
          <w:rFonts w:hint="eastAsia" w:ascii="宋体" w:hAnsi="宋体" w:eastAsia="宋体" w:cs="宋体"/>
          <w:b/>
          <w:bCs/>
          <w:color w:val="auto"/>
          <w:sz w:val="32"/>
          <w:szCs w:val="32"/>
          <w:highlight w:val="none"/>
          <w:lang w:val="en-US" w:eastAsia="zh-CN"/>
        </w:rPr>
      </w:pPr>
    </w:p>
    <w:p w14:paraId="1335A700">
      <w:pPr>
        <w:shd w:val="clear" w:color="auto" w:fill="FFFFFF"/>
        <w:tabs>
          <w:tab w:val="right" w:pos="6077"/>
        </w:tabs>
        <w:autoSpaceDE w:val="0"/>
        <w:autoSpaceDN w:val="0"/>
        <w:spacing w:line="560" w:lineRule="exact"/>
        <w:ind w:firstLine="1606" w:firstLineChars="500"/>
        <w:rPr>
          <w:rFonts w:hint="eastAsia" w:ascii="宋体" w:hAnsi="宋体" w:eastAsia="宋体" w:cs="宋体"/>
          <w:b/>
          <w:bCs/>
          <w:color w:val="auto"/>
          <w:sz w:val="32"/>
          <w:szCs w:val="32"/>
          <w:highlight w:val="none"/>
          <w:lang w:val="en-US" w:eastAsia="zh-CN"/>
        </w:rPr>
      </w:pPr>
    </w:p>
    <w:p w14:paraId="44E248D4">
      <w:pPr>
        <w:shd w:val="clear" w:color="auto" w:fill="FFFFFF"/>
        <w:tabs>
          <w:tab w:val="right" w:pos="6077"/>
        </w:tabs>
        <w:autoSpaceDE w:val="0"/>
        <w:autoSpaceDN w:val="0"/>
        <w:spacing w:line="560" w:lineRule="exact"/>
        <w:ind w:firstLine="1606" w:firstLineChars="500"/>
        <w:rPr>
          <w:rFonts w:hint="eastAsia" w:ascii="宋体" w:hAnsi="宋体" w:eastAsia="宋体" w:cs="宋体"/>
          <w:b/>
          <w:bCs/>
          <w:color w:val="auto"/>
          <w:sz w:val="32"/>
          <w:szCs w:val="32"/>
          <w:highlight w:val="none"/>
          <w:lang w:val="en-US" w:eastAsia="zh-CN"/>
        </w:rPr>
      </w:pPr>
    </w:p>
    <w:bookmarkEnd w:id="380"/>
    <w:bookmarkEnd w:id="381"/>
    <w:bookmarkEnd w:id="382"/>
    <w:bookmarkEnd w:id="383"/>
    <w:bookmarkEnd w:id="384"/>
    <w:bookmarkEnd w:id="385"/>
    <w:p w14:paraId="3F493263">
      <w:pPr>
        <w:widowControl/>
        <w:spacing w:line="360" w:lineRule="auto"/>
        <w:jc w:val="left"/>
        <w:rPr>
          <w:rFonts w:hint="eastAsia" w:ascii="宋体" w:hAnsi="宋体" w:eastAsia="宋体" w:cs="宋体"/>
          <w:b/>
          <w:bCs/>
          <w:color w:val="auto"/>
          <w:sz w:val="32"/>
          <w:szCs w:val="32"/>
          <w:highlight w:val="none"/>
          <w:lang w:eastAsia="zh-CN"/>
        </w:rPr>
      </w:pPr>
      <w:r>
        <w:rPr>
          <w:rFonts w:hint="eastAsia" w:ascii="宋体" w:hAnsi="宋体" w:eastAsia="宋体" w:cs="宋体"/>
          <w:color w:val="auto"/>
          <w:highlight w:val="none"/>
        </w:rPr>
        <w:br w:type="page"/>
      </w:r>
      <w:bookmarkStart w:id="390" w:name="_Hlk136874878"/>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eastAsia="zh-CN"/>
        </w:rPr>
        <w:t>：</w:t>
      </w:r>
    </w:p>
    <w:p w14:paraId="2A7C18C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满足《中华人民共和国政府采购法》第二十二条规定的承诺书</w:t>
      </w:r>
    </w:p>
    <w:p w14:paraId="16DBC7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致（采购单位）：</w:t>
      </w:r>
    </w:p>
    <w:p w14:paraId="4DDBF4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6336FF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一、我单位全称为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，注册地点为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，统一社会信用代码为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法定代表人（主要负责人）为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联系方式为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7D06E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二、我单位具有独立承担民事责任的能力(如分公司参加投标的，其民事责任由总公司承担)。</w:t>
      </w:r>
    </w:p>
    <w:p w14:paraId="7FA6DB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三、我单位具有良好的商业信誉和健全的财务会计制度。 </w:t>
      </w:r>
    </w:p>
    <w:p w14:paraId="3ACB74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四、我单位具有履行合同所必需的设备和专业技术能力。 </w:t>
      </w:r>
    </w:p>
    <w:p w14:paraId="4A08D1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五、我单位有依法缴纳税收和社会保障资金的良好记录。</w:t>
      </w:r>
    </w:p>
    <w:p w14:paraId="4A54C6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09ACB327">
      <w:pPr>
        <w:spacing w:line="360" w:lineRule="auto"/>
        <w:ind w:firstLine="480" w:firstLineChars="200"/>
        <w:outlineLvl w:val="9"/>
        <w:rPr>
          <w:rFonts w:hint="eastAsia" w:ascii="宋体" w:hAnsi="宋体" w:eastAsia="宋体" w:cs="宋体"/>
          <w:color w:val="auto"/>
          <w:sz w:val="24"/>
          <w:szCs w:val="24"/>
          <w:highlight w:val="none"/>
        </w:rPr>
      </w:pPr>
      <w:bookmarkStart w:id="391" w:name="_Toc12051"/>
      <w:bookmarkStart w:id="392" w:name="_Toc4968"/>
      <w:bookmarkStart w:id="393" w:name="_Toc27798"/>
      <w:r>
        <w:rPr>
          <w:rFonts w:hint="eastAsia" w:ascii="宋体" w:hAnsi="宋体" w:eastAsia="宋体" w:cs="宋体"/>
          <w:color w:val="auto"/>
          <w:sz w:val="24"/>
          <w:szCs w:val="24"/>
          <w:highlight w:val="none"/>
        </w:rPr>
        <w:t>七、我单位具备法律、行政法规规定的其他条件。</w:t>
      </w:r>
      <w:bookmarkEnd w:id="391"/>
      <w:bookmarkEnd w:id="392"/>
      <w:bookmarkEnd w:id="393"/>
    </w:p>
    <w:p w14:paraId="076E10E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5CE8BF4F">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（电子签章）</w:t>
      </w:r>
    </w:p>
    <w:p w14:paraId="2033315A">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rPr>
        <w:t>电子签章或签字</w:t>
      </w:r>
      <w:r>
        <w:rPr>
          <w:rFonts w:hint="eastAsia" w:ascii="宋体" w:hAnsi="宋体" w:eastAsia="宋体" w:cs="宋体"/>
          <w:color w:val="auto"/>
          <w:kern w:val="0"/>
          <w:sz w:val="24"/>
          <w:highlight w:val="none"/>
        </w:rPr>
        <w:t>）</w:t>
      </w:r>
    </w:p>
    <w:p w14:paraId="13A97411">
      <w:pPr>
        <w:autoSpaceDE w:val="0"/>
        <w:autoSpaceDN w:val="0"/>
        <w:adjustRightInd w:val="0"/>
        <w:spacing w:line="360" w:lineRule="auto"/>
        <w:jc w:val="both"/>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none"/>
          <w:lang w:val="en-US" w:eastAsia="zh-CN"/>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04742464">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注：1.供应商须在投标文件中按此模板提供承诺函，未提供视为未实质性响应招标文件要求，按无效投标处理。</w:t>
      </w:r>
    </w:p>
    <w:p w14:paraId="72F8969C">
      <w:pPr>
        <w:numPr>
          <w:ilvl w:val="0"/>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供应商的法定代表人（主要负责人）或者授权代表的签字或盖章应真实、有效。</w:t>
      </w:r>
      <w:bookmarkEnd w:id="390"/>
    </w:p>
    <w:p w14:paraId="11DAD96B">
      <w:pPr>
        <w:spacing w:line="360" w:lineRule="auto"/>
        <w:jc w:val="center"/>
        <w:outlineLvl w:val="9"/>
        <w:rPr>
          <w:rFonts w:hint="eastAsia" w:ascii="宋体" w:hAnsi="宋体" w:eastAsia="宋体" w:cs="宋体"/>
          <w:bCs/>
          <w:color w:val="auto"/>
          <w:kern w:val="0"/>
          <w:sz w:val="18"/>
          <w:szCs w:val="18"/>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kern w:val="0"/>
          <w:sz w:val="24"/>
          <w:szCs w:val="28"/>
          <w:highlight w:val="none"/>
        </w:rPr>
        <w:t>1、中小企业声明函（</w:t>
      </w:r>
      <w:r>
        <w:rPr>
          <w:rFonts w:hint="eastAsia" w:ascii="宋体" w:hAnsi="宋体" w:eastAsia="宋体" w:cs="宋体"/>
          <w:b/>
          <w:color w:val="auto"/>
          <w:kern w:val="0"/>
          <w:sz w:val="24"/>
          <w:szCs w:val="28"/>
          <w:highlight w:val="none"/>
          <w:lang w:val="en-US" w:eastAsia="zh-CN"/>
        </w:rPr>
        <w:t>服务</w:t>
      </w:r>
      <w:r>
        <w:rPr>
          <w:rFonts w:hint="eastAsia" w:ascii="宋体" w:hAnsi="宋体" w:eastAsia="宋体" w:cs="宋体"/>
          <w:b/>
          <w:color w:val="auto"/>
          <w:kern w:val="0"/>
          <w:sz w:val="24"/>
          <w:szCs w:val="28"/>
          <w:highlight w:val="none"/>
        </w:rPr>
        <w:t>）</w:t>
      </w:r>
    </w:p>
    <w:p w14:paraId="18296016">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bCs/>
          <w:color w:val="auto"/>
          <w:kern w:val="0"/>
          <w:sz w:val="24"/>
          <w:szCs w:val="24"/>
          <w:highlight w:val="none"/>
          <w:u w:val="single"/>
        </w:rPr>
        <w:t>（单位名称）</w:t>
      </w:r>
      <w:r>
        <w:rPr>
          <w:rFonts w:hint="eastAsia" w:ascii="宋体" w:hAnsi="宋体" w:eastAsia="宋体" w:cs="宋体"/>
          <w:bCs/>
          <w:color w:val="auto"/>
          <w:kern w:val="0"/>
          <w:sz w:val="24"/>
          <w:szCs w:val="24"/>
          <w:highlight w:val="none"/>
        </w:rPr>
        <w:t>的</w:t>
      </w:r>
      <w:r>
        <w:rPr>
          <w:rFonts w:hint="eastAsia" w:ascii="宋体" w:hAnsi="宋体" w:eastAsia="宋体" w:cs="宋体"/>
          <w:bCs/>
          <w:color w:val="auto"/>
          <w:kern w:val="0"/>
          <w:sz w:val="24"/>
          <w:szCs w:val="24"/>
          <w:highlight w:val="none"/>
          <w:u w:val="single"/>
        </w:rPr>
        <w:t>（项目名称）</w:t>
      </w:r>
      <w:r>
        <w:rPr>
          <w:rFonts w:hint="eastAsia" w:ascii="宋体" w:hAnsi="宋体" w:eastAsia="宋体" w:cs="宋体"/>
          <w:bCs/>
          <w:color w:val="auto"/>
          <w:kern w:val="0"/>
          <w:sz w:val="24"/>
          <w:szCs w:val="24"/>
          <w:highlight w:val="none"/>
        </w:rPr>
        <w:t>采购活动，服务全部由符合政策要求的中小企业承接。相关企业（含联合体中的中小企业、签订分包意向协议的中小企业）的具体情况如下：</w:t>
      </w:r>
    </w:p>
    <w:p w14:paraId="0EEED8F3">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1. </w:t>
      </w:r>
      <w:r>
        <w:rPr>
          <w:rFonts w:hint="eastAsia" w:ascii="宋体" w:hAnsi="宋体" w:eastAsia="宋体" w:cs="宋体"/>
          <w:bCs/>
          <w:color w:val="auto"/>
          <w:kern w:val="0"/>
          <w:sz w:val="24"/>
          <w:szCs w:val="24"/>
          <w:highlight w:val="none"/>
          <w:u w:val="single"/>
        </w:rPr>
        <w:t>（标的名称）</w:t>
      </w:r>
      <w:r>
        <w:rPr>
          <w:rFonts w:hint="eastAsia" w:ascii="宋体" w:hAnsi="宋体" w:eastAsia="宋体" w:cs="宋体"/>
          <w:bCs/>
          <w:color w:val="auto"/>
          <w:kern w:val="0"/>
          <w:sz w:val="24"/>
          <w:szCs w:val="24"/>
          <w:highlight w:val="none"/>
        </w:rPr>
        <w:t xml:space="preserve"> ，属于</w:t>
      </w:r>
      <w:r>
        <w:rPr>
          <w:rFonts w:hint="eastAsia" w:ascii="宋体" w:hAnsi="宋体" w:eastAsia="宋体" w:cs="宋体"/>
          <w:bCs/>
          <w:color w:val="auto"/>
          <w:kern w:val="0"/>
          <w:sz w:val="24"/>
          <w:szCs w:val="24"/>
          <w:highlight w:val="none"/>
          <w:u w:val="single"/>
        </w:rPr>
        <w:t>（采购文件中明确的所属行业）</w:t>
      </w:r>
      <w:r>
        <w:rPr>
          <w:rFonts w:hint="eastAsia" w:ascii="宋体" w:hAnsi="宋体" w:eastAsia="宋体" w:cs="宋体"/>
          <w:bCs/>
          <w:color w:val="auto"/>
          <w:kern w:val="0"/>
          <w:sz w:val="24"/>
          <w:szCs w:val="24"/>
          <w:highlight w:val="none"/>
        </w:rPr>
        <w:t>行业；承建（承接）企业为</w:t>
      </w:r>
      <w:r>
        <w:rPr>
          <w:rFonts w:hint="eastAsia" w:ascii="宋体" w:hAnsi="宋体" w:eastAsia="宋体" w:cs="宋体"/>
          <w:bCs/>
          <w:color w:val="auto"/>
          <w:kern w:val="0"/>
          <w:sz w:val="24"/>
          <w:szCs w:val="24"/>
          <w:highlight w:val="none"/>
          <w:u w:val="single"/>
        </w:rPr>
        <w:t>（企业名称）</w:t>
      </w:r>
      <w:r>
        <w:rPr>
          <w:rFonts w:hint="eastAsia" w:ascii="宋体" w:hAnsi="宋体" w:eastAsia="宋体" w:cs="宋体"/>
          <w:bCs/>
          <w:color w:val="auto"/>
          <w:kern w:val="0"/>
          <w:sz w:val="24"/>
          <w:szCs w:val="24"/>
          <w:highlight w:val="none"/>
        </w:rPr>
        <w:t>，从业人员人，营业收入为万元，资产总额为万元，属于（中型企业、小型企业、微型企业）；</w:t>
      </w:r>
    </w:p>
    <w:p w14:paraId="37639D2E">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2. </w:t>
      </w:r>
      <w:r>
        <w:rPr>
          <w:rFonts w:hint="eastAsia" w:ascii="宋体" w:hAnsi="宋体" w:eastAsia="宋体" w:cs="宋体"/>
          <w:bCs/>
          <w:color w:val="auto"/>
          <w:kern w:val="0"/>
          <w:sz w:val="24"/>
          <w:szCs w:val="24"/>
          <w:highlight w:val="none"/>
          <w:u w:val="single"/>
        </w:rPr>
        <w:t>（标的名称）</w:t>
      </w:r>
      <w:r>
        <w:rPr>
          <w:rFonts w:hint="eastAsia" w:ascii="宋体" w:hAnsi="宋体" w:eastAsia="宋体" w:cs="宋体"/>
          <w:bCs/>
          <w:color w:val="auto"/>
          <w:kern w:val="0"/>
          <w:sz w:val="24"/>
          <w:szCs w:val="24"/>
          <w:highlight w:val="none"/>
        </w:rPr>
        <w:t xml:space="preserve"> ，属于</w:t>
      </w:r>
      <w:r>
        <w:rPr>
          <w:rFonts w:hint="eastAsia" w:ascii="宋体" w:hAnsi="宋体" w:eastAsia="宋体" w:cs="宋体"/>
          <w:bCs/>
          <w:color w:val="auto"/>
          <w:kern w:val="0"/>
          <w:sz w:val="24"/>
          <w:szCs w:val="24"/>
          <w:highlight w:val="none"/>
          <w:u w:val="single"/>
        </w:rPr>
        <w:t>（采购文件中明确的所属行业）</w:t>
      </w:r>
      <w:r>
        <w:rPr>
          <w:rFonts w:hint="eastAsia" w:ascii="宋体" w:hAnsi="宋体" w:eastAsia="宋体" w:cs="宋体"/>
          <w:bCs/>
          <w:color w:val="auto"/>
          <w:kern w:val="0"/>
          <w:sz w:val="24"/>
          <w:szCs w:val="24"/>
          <w:highlight w:val="none"/>
        </w:rPr>
        <w:t>行业；承建（承接）企业为</w:t>
      </w:r>
      <w:r>
        <w:rPr>
          <w:rFonts w:hint="eastAsia" w:ascii="宋体" w:hAnsi="宋体" w:eastAsia="宋体" w:cs="宋体"/>
          <w:bCs/>
          <w:color w:val="auto"/>
          <w:kern w:val="0"/>
          <w:sz w:val="24"/>
          <w:szCs w:val="24"/>
          <w:highlight w:val="none"/>
          <w:u w:val="single"/>
        </w:rPr>
        <w:t>（企业名称）</w:t>
      </w:r>
      <w:r>
        <w:rPr>
          <w:rFonts w:hint="eastAsia" w:ascii="宋体" w:hAnsi="宋体" w:eastAsia="宋体" w:cs="宋体"/>
          <w:bCs/>
          <w:color w:val="auto"/>
          <w:kern w:val="0"/>
          <w:sz w:val="24"/>
          <w:szCs w:val="24"/>
          <w:highlight w:val="none"/>
        </w:rPr>
        <w:t>，从业人员人，营业收入为万元，资产总额为万元，属于（中型企业、小型企业、微型企业）；</w:t>
      </w:r>
    </w:p>
    <w:p w14:paraId="061A2475">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p>
    <w:p w14:paraId="35EE47E4">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以上企业，不属于大企业的分支机构，不存在控股股东为大企业的情形，也不存在与大企业的负责人为同一人的情形。</w:t>
      </w:r>
    </w:p>
    <w:p w14:paraId="24E39371">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本企业对上述声明内容的真实性负责。如有虚假，将依法承担相应责任。</w:t>
      </w:r>
    </w:p>
    <w:p w14:paraId="4FD5D060">
      <w:pPr>
        <w:spacing w:line="360" w:lineRule="auto"/>
        <w:outlineLvl w:val="9"/>
        <w:rPr>
          <w:rFonts w:hint="eastAsia" w:ascii="宋体" w:hAnsi="宋体" w:eastAsia="宋体" w:cs="宋体"/>
          <w:color w:val="auto"/>
          <w:sz w:val="24"/>
          <w:szCs w:val="24"/>
          <w:highlight w:val="none"/>
        </w:rPr>
      </w:pPr>
    </w:p>
    <w:p w14:paraId="7BF44C1F">
      <w:pPr>
        <w:wordWrap w:val="0"/>
        <w:spacing w:line="360" w:lineRule="auto"/>
        <w:ind w:right="210" w:firstLine="360" w:firstLineChars="150"/>
        <w:jc w:val="right"/>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企业名称（盖章）：</w:t>
      </w:r>
    </w:p>
    <w:p w14:paraId="7D6FB302">
      <w:pPr>
        <w:spacing w:line="360" w:lineRule="auto"/>
        <w:ind w:right="1260" w:firstLine="5760" w:firstLineChars="2400"/>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日 期：</w:t>
      </w:r>
    </w:p>
    <w:p w14:paraId="436833DA">
      <w:pPr>
        <w:spacing w:line="360" w:lineRule="auto"/>
        <w:outlineLvl w:val="9"/>
        <w:rPr>
          <w:rFonts w:hint="eastAsia" w:ascii="宋体" w:hAnsi="宋体" w:eastAsia="宋体" w:cs="宋体"/>
          <w:color w:val="auto"/>
          <w:sz w:val="24"/>
          <w:szCs w:val="24"/>
          <w:highlight w:val="none"/>
        </w:rPr>
      </w:pPr>
    </w:p>
    <w:p w14:paraId="552510F9">
      <w:pPr>
        <w:spacing w:line="360" w:lineRule="auto"/>
        <w:ind w:firstLine="361" w:firstLineChars="15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注：1、从业人员、营业收入、资产总额填报上一年度数据，无上一年度数据的新成立企业可不填报。</w:t>
      </w:r>
    </w:p>
    <w:p w14:paraId="7E9FC8B1">
      <w:pPr>
        <w:numPr>
          <w:ilvl w:val="0"/>
          <w:numId w:val="9"/>
        </w:numPr>
        <w:spacing w:line="360" w:lineRule="auto"/>
        <w:ind w:firstLine="361" w:firstLineChars="15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中小企业划分标准见工业和信息化部国家统计局国家发展和改革委员财政部《关于印发中小企业划型标准规定的通知》（工信部联企业【2011】300号）。</w:t>
      </w:r>
    </w:p>
    <w:p w14:paraId="7AD630D0">
      <w:pPr>
        <w:spacing w:line="360" w:lineRule="auto"/>
        <w:jc w:val="center"/>
        <w:outlineLvl w:val="9"/>
        <w:rPr>
          <w:rFonts w:hint="eastAsia" w:ascii="宋体" w:hAnsi="宋体" w:eastAsia="宋体" w:cs="宋体"/>
          <w:b/>
          <w:bCs/>
          <w:color w:val="auto"/>
          <w:sz w:val="24"/>
          <w:szCs w:val="24"/>
          <w:highlight w:val="none"/>
        </w:rPr>
      </w:pPr>
      <w:bookmarkStart w:id="394" w:name="_Toc23107"/>
      <w:bookmarkEnd w:id="394"/>
      <w:bookmarkStart w:id="395" w:name="_Toc14181"/>
      <w:bookmarkEnd w:id="395"/>
      <w:bookmarkStart w:id="396" w:name="_Toc45"/>
      <w:bookmarkEnd w:id="396"/>
      <w:bookmarkStart w:id="397" w:name="_Toc15612"/>
      <w:bookmarkEnd w:id="397"/>
      <w:r>
        <w:rPr>
          <w:rFonts w:hint="eastAsia" w:ascii="宋体" w:hAnsi="宋体" w:eastAsia="宋体" w:cs="宋体"/>
          <w:b/>
          <w:bCs/>
          <w:color w:val="auto"/>
          <w:sz w:val="24"/>
          <w:szCs w:val="24"/>
          <w:highlight w:val="none"/>
        </w:rPr>
        <w:t>未按上述要求提供、填写的，评审时不予以考虑。（属于中小微企业的填写，不属于的无需填写此项内容）</w:t>
      </w:r>
    </w:p>
    <w:p w14:paraId="06B9CD60">
      <w:pPr>
        <w:widowControl/>
        <w:spacing w:before="100" w:beforeAutospacing="1" w:after="100" w:afterAutospacing="1"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color w:val="auto"/>
          <w:kern w:val="2"/>
          <w:sz w:val="28"/>
          <w:szCs w:val="28"/>
          <w:highlight w:val="none"/>
        </w:rPr>
        <w:t>工业和信息化部、国家统计局、国家发展和改革委员会、财政部</w:t>
      </w:r>
    </w:p>
    <w:p w14:paraId="04B3D586">
      <w:pPr>
        <w:widowControl/>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《关于印发中小企业划型标准规定的通知》</w:t>
      </w:r>
    </w:p>
    <w:p w14:paraId="0FAB1C45">
      <w:pPr>
        <w:widowControl/>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工信部联企业〔2011〕300号</w:t>
      </w:r>
    </w:p>
    <w:p w14:paraId="07760FC7">
      <w:pPr>
        <w:widowControl/>
        <w:spacing w:line="360" w:lineRule="auto"/>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各省、自治区、直辖市人民政府，国务院各部委、各直属机构及有关单位： </w:t>
      </w:r>
    </w:p>
    <w:p w14:paraId="1A8F36AB">
      <w:pPr>
        <w:widowControl/>
        <w:spacing w:line="360" w:lineRule="auto"/>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097F2A60">
      <w:pPr>
        <w:widowControl/>
        <w:spacing w:line="360" w:lineRule="auto"/>
        <w:jc w:val="righ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工业和信息化部 国家统计局 国家发展和改革委员会 财政部 </w:t>
      </w:r>
    </w:p>
    <w:p w14:paraId="46AA2631">
      <w:pPr>
        <w:widowControl/>
        <w:spacing w:line="360" w:lineRule="auto"/>
        <w:jc w:val="righ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二○一一年六月十八日 </w:t>
      </w:r>
    </w:p>
    <w:p w14:paraId="58CE4FA8">
      <w:pPr>
        <w:widowControl/>
        <w:spacing w:line="360" w:lineRule="auto"/>
        <w:jc w:val="center"/>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中小企业划型标准规定</w:t>
      </w:r>
    </w:p>
    <w:p w14:paraId="51258D69">
      <w:pPr>
        <w:widowControl/>
        <w:spacing w:line="360" w:lineRule="auto"/>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一、根据《中华人民共和国中小企业促进法》和《国务院关于进一步促进中小企业发展的若干意见》(国发〔2009〕36号)，制定本规定。</w:t>
      </w:r>
    </w:p>
    <w:p w14:paraId="7B1E2593">
      <w:pPr>
        <w:widowControl/>
        <w:spacing w:line="360" w:lineRule="auto"/>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二、中小企业划分为中型、小型、微型三种类型，具体标准根据企业从业人员、营业收入、资产总额等指标，结合行业特点制定。</w:t>
      </w:r>
    </w:p>
    <w:p w14:paraId="10C3A53C">
      <w:pPr>
        <w:widowControl/>
        <w:spacing w:line="360" w:lineRule="auto"/>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740D3F2">
      <w:pPr>
        <w:widowControl/>
        <w:spacing w:line="360" w:lineRule="auto"/>
        <w:ind w:firstLine="480" w:firstLineChars="200"/>
        <w:jc w:val="left"/>
        <w:outlineLvl w:val="1"/>
        <w:rPr>
          <w:rFonts w:hint="eastAsia" w:ascii="宋体" w:hAnsi="宋体" w:eastAsia="宋体" w:cs="宋体"/>
          <w:color w:val="auto"/>
          <w:kern w:val="2"/>
          <w:sz w:val="24"/>
          <w:highlight w:val="none"/>
        </w:rPr>
      </w:pPr>
      <w:bookmarkStart w:id="398" w:name="_Toc6010"/>
      <w:bookmarkStart w:id="399" w:name="_Toc9135"/>
      <w:bookmarkStart w:id="400" w:name="_Toc29921"/>
      <w:bookmarkStart w:id="401" w:name="_Toc17847"/>
      <w:r>
        <w:rPr>
          <w:rFonts w:hint="eastAsia" w:ascii="宋体" w:hAnsi="宋体" w:eastAsia="宋体" w:cs="宋体"/>
          <w:color w:val="auto"/>
          <w:kern w:val="2"/>
          <w:sz w:val="24"/>
          <w:highlight w:val="none"/>
        </w:rPr>
        <w:t>四、各行业划型标准为</w:t>
      </w:r>
      <w:bookmarkEnd w:id="398"/>
      <w:bookmarkEnd w:id="399"/>
      <w:bookmarkEnd w:id="400"/>
      <w:bookmarkEnd w:id="401"/>
    </w:p>
    <w:p w14:paraId="19F1979A">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6FF4ABA2">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F5014D8">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548F632">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DDDA67F">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42B3D26">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DE56178">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095BF2C">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4120968">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104021">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9DE32BE">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14F51B4">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D51C643">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DAC01DA">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2CAAC7B">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02EBE14">
      <w:pPr>
        <w:widowControl/>
        <w:spacing w:line="360" w:lineRule="auto"/>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p>
    <w:p w14:paraId="18358F77">
      <w:pPr>
        <w:widowControl/>
        <w:spacing w:line="360" w:lineRule="auto"/>
        <w:ind w:firstLine="480" w:firstLineChars="200"/>
        <w:jc w:val="left"/>
        <w:outlineLvl w:val="1"/>
        <w:rPr>
          <w:rFonts w:hint="eastAsia" w:ascii="宋体" w:hAnsi="宋体" w:eastAsia="宋体" w:cs="宋体"/>
          <w:color w:val="auto"/>
          <w:kern w:val="2"/>
          <w:sz w:val="24"/>
          <w:highlight w:val="none"/>
        </w:rPr>
      </w:pPr>
      <w:bookmarkStart w:id="402" w:name="_Toc26804"/>
      <w:bookmarkStart w:id="403" w:name="_Toc32632"/>
      <w:bookmarkStart w:id="404" w:name="_Toc4712"/>
      <w:bookmarkStart w:id="405" w:name="_Toc23545"/>
      <w:r>
        <w:rPr>
          <w:rFonts w:hint="eastAsia" w:ascii="宋体" w:hAnsi="宋体" w:eastAsia="宋体" w:cs="宋体"/>
          <w:color w:val="auto"/>
          <w:kern w:val="2"/>
          <w:sz w:val="24"/>
          <w:highlight w:val="none"/>
        </w:rPr>
        <w:t>五、企业类型的划分以统计部门的统计数据为依据。</w:t>
      </w:r>
      <w:bookmarkEnd w:id="402"/>
      <w:bookmarkEnd w:id="403"/>
      <w:bookmarkEnd w:id="404"/>
      <w:bookmarkEnd w:id="405"/>
    </w:p>
    <w:p w14:paraId="3DB0975B">
      <w:pPr>
        <w:widowControl/>
        <w:spacing w:line="360" w:lineRule="auto"/>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六、本规定适用于在中华人民共和国境内依法设立的各类所有制和各种组织形式的企业。个体工商户和本规定以外的行业，参照本规定进行划型。</w:t>
      </w:r>
    </w:p>
    <w:p w14:paraId="43163314">
      <w:pPr>
        <w:widowControl/>
        <w:spacing w:line="360" w:lineRule="auto"/>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794256A2">
      <w:pPr>
        <w:widowControl/>
        <w:spacing w:line="360" w:lineRule="auto"/>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八、本规定由工业和信息化部、国家统计局会同有关部门根据《国民经济行业分类》修订情况和企业发展变化情况适时修订。</w:t>
      </w:r>
    </w:p>
    <w:p w14:paraId="00E4C274">
      <w:pPr>
        <w:widowControl/>
        <w:spacing w:line="360" w:lineRule="auto"/>
        <w:ind w:firstLine="480" w:firstLineChars="200"/>
        <w:jc w:val="left"/>
        <w:rPr>
          <w:rFonts w:hint="eastAsia" w:ascii="宋体" w:hAnsi="宋体" w:eastAsia="宋体" w:cs="宋体"/>
          <w:color w:val="auto"/>
          <w:kern w:val="2"/>
          <w:sz w:val="24"/>
          <w:highlight w:val="none"/>
        </w:rPr>
      </w:pPr>
      <w:bookmarkStart w:id="406" w:name="_Toc22247"/>
      <w:bookmarkStart w:id="407" w:name="_Toc28194"/>
      <w:r>
        <w:rPr>
          <w:rFonts w:hint="eastAsia" w:ascii="宋体" w:hAnsi="宋体" w:eastAsia="宋体" w:cs="宋体"/>
          <w:color w:val="auto"/>
          <w:kern w:val="2"/>
          <w:sz w:val="24"/>
          <w:highlight w:val="none"/>
        </w:rPr>
        <w:t>九、本规定由工业和信息化部、国家统计局会同有关部门负责解释。</w:t>
      </w:r>
      <w:bookmarkEnd w:id="406"/>
      <w:bookmarkEnd w:id="407"/>
    </w:p>
    <w:p w14:paraId="40FB2AF6">
      <w:pPr>
        <w:widowControl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highlight w:val="none"/>
        </w:rPr>
        <w:t>十、本规定自发布之日起执行，原国家经贸委、原国家计委、财政部和国家统计局2003年颁布的《中小企业标准暂行规定》同时废止。</w:t>
      </w:r>
    </w:p>
    <w:p w14:paraId="7BF0D327">
      <w:pPr>
        <w:spacing w:line="360" w:lineRule="auto"/>
        <w:jc w:val="center"/>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br w:type="page"/>
      </w:r>
      <w:r>
        <w:rPr>
          <w:rFonts w:hint="eastAsia" w:ascii="宋体" w:hAnsi="宋体" w:eastAsia="宋体" w:cs="宋体"/>
          <w:b/>
          <w:color w:val="auto"/>
          <w:kern w:val="0"/>
          <w:sz w:val="24"/>
          <w:szCs w:val="28"/>
          <w:highlight w:val="none"/>
        </w:rPr>
        <w:t>2、监狱企业证明文件（非监狱企业可不附此表）</w:t>
      </w:r>
    </w:p>
    <w:p w14:paraId="444D06F4">
      <w:pPr>
        <w:spacing w:line="360" w:lineRule="auto"/>
        <w:jc w:val="center"/>
        <w:outlineLvl w:val="9"/>
        <w:rPr>
          <w:rFonts w:hint="eastAsia" w:ascii="宋体" w:hAnsi="宋体" w:eastAsia="宋体" w:cs="宋体"/>
          <w:color w:val="auto"/>
          <w:sz w:val="28"/>
          <w:szCs w:val="30"/>
          <w:highlight w:val="none"/>
        </w:rPr>
      </w:pPr>
    </w:p>
    <w:p w14:paraId="77C4724D">
      <w:pPr>
        <w:spacing w:line="360" w:lineRule="auto"/>
        <w:jc w:val="center"/>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监狱企业证明文件（参考格式）</w:t>
      </w:r>
    </w:p>
    <w:p w14:paraId="5202E2EE">
      <w:pPr>
        <w:spacing w:line="360" w:lineRule="auto"/>
        <w:outlineLvl w:val="9"/>
        <w:rPr>
          <w:rFonts w:hint="eastAsia" w:ascii="宋体" w:hAnsi="宋体" w:eastAsia="宋体" w:cs="宋体"/>
          <w:color w:val="auto"/>
          <w:sz w:val="30"/>
          <w:szCs w:val="30"/>
          <w:highlight w:val="none"/>
        </w:rPr>
      </w:pPr>
    </w:p>
    <w:p w14:paraId="4D43DD87">
      <w:pPr>
        <w:spacing w:line="360" w:lineRule="auto"/>
        <w:ind w:firstLine="423" w:firstLineChars="168"/>
        <w:outlineLvl w:val="9"/>
        <w:rPr>
          <w:rFonts w:hint="eastAsia" w:ascii="宋体" w:hAnsi="宋体" w:eastAsia="宋体" w:cs="宋体"/>
          <w:color w:val="auto"/>
          <w:spacing w:val="6"/>
          <w:sz w:val="24"/>
          <w:highlight w:val="none"/>
        </w:rPr>
      </w:pPr>
    </w:p>
    <w:p w14:paraId="2BA52928">
      <w:pPr>
        <w:spacing w:line="360" w:lineRule="auto"/>
        <w:ind w:firstLine="423" w:firstLineChars="168"/>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省级以上监狱管理局、戒毒管理局（含新疆生产建设兵团）出具的属于监狱企业的证明文件。</w:t>
      </w:r>
    </w:p>
    <w:p w14:paraId="3B748CC5">
      <w:pPr>
        <w:spacing w:line="360" w:lineRule="auto"/>
        <w:ind w:firstLine="720" w:firstLineChars="3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注：在响应文件中附扫描件。</w:t>
      </w:r>
    </w:p>
    <w:p w14:paraId="469C8890">
      <w:pPr>
        <w:widowControl/>
        <w:spacing w:line="360" w:lineRule="auto"/>
        <w:jc w:val="left"/>
        <w:outlineLvl w:val="9"/>
        <w:rPr>
          <w:rFonts w:hint="eastAsia" w:ascii="宋体" w:hAnsi="宋体" w:eastAsia="宋体" w:cs="宋体"/>
          <w:color w:val="auto"/>
          <w:highlight w:val="none"/>
        </w:rPr>
      </w:pPr>
    </w:p>
    <w:p w14:paraId="476901CA">
      <w:pPr>
        <w:widowControl/>
        <w:spacing w:line="360" w:lineRule="auto"/>
        <w:jc w:val="left"/>
        <w:outlineLvl w:val="9"/>
        <w:rPr>
          <w:rFonts w:hint="eastAsia" w:ascii="宋体" w:hAnsi="宋体" w:eastAsia="宋体" w:cs="宋体"/>
          <w:color w:val="auto"/>
          <w:highlight w:val="none"/>
        </w:rPr>
      </w:pPr>
    </w:p>
    <w:p w14:paraId="13FB3E93">
      <w:pPr>
        <w:widowControl/>
        <w:spacing w:line="360" w:lineRule="auto"/>
        <w:jc w:val="left"/>
        <w:outlineLvl w:val="9"/>
        <w:rPr>
          <w:rFonts w:hint="eastAsia" w:ascii="宋体" w:hAnsi="宋体" w:eastAsia="宋体" w:cs="宋体"/>
          <w:color w:val="auto"/>
          <w:highlight w:val="none"/>
        </w:rPr>
      </w:pPr>
    </w:p>
    <w:p w14:paraId="63597A1D">
      <w:pPr>
        <w:widowControl/>
        <w:spacing w:line="360" w:lineRule="auto"/>
        <w:jc w:val="left"/>
        <w:outlineLvl w:val="9"/>
        <w:rPr>
          <w:rFonts w:hint="eastAsia" w:ascii="宋体" w:hAnsi="宋体" w:eastAsia="宋体" w:cs="宋体"/>
          <w:color w:val="auto"/>
          <w:highlight w:val="none"/>
        </w:rPr>
      </w:pPr>
    </w:p>
    <w:p w14:paraId="7B95F12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4892B03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E4285BB">
      <w:pPr>
        <w:widowControl/>
        <w:spacing w:line="360" w:lineRule="auto"/>
        <w:jc w:val="center"/>
        <w:outlineLvl w:val="9"/>
        <w:rPr>
          <w:rFonts w:hint="eastAsia" w:ascii="宋体" w:hAnsi="宋体" w:eastAsia="宋体" w:cs="宋体"/>
          <w:b/>
          <w:color w:val="auto"/>
          <w:kern w:val="0"/>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kern w:val="0"/>
          <w:sz w:val="24"/>
          <w:szCs w:val="28"/>
          <w:highlight w:val="none"/>
        </w:rPr>
        <w:t>3、残疾人福利性单位声明函（非残疾人福利性单位可不附此表）</w:t>
      </w:r>
    </w:p>
    <w:p w14:paraId="66A40BF9">
      <w:pPr>
        <w:spacing w:line="360" w:lineRule="auto"/>
        <w:outlineLvl w:val="9"/>
        <w:rPr>
          <w:rFonts w:hint="eastAsia" w:ascii="宋体" w:hAnsi="宋体" w:eastAsia="宋体" w:cs="宋体"/>
          <w:b/>
          <w:color w:val="auto"/>
          <w:spacing w:val="6"/>
          <w:sz w:val="32"/>
          <w:szCs w:val="32"/>
          <w:highlight w:val="none"/>
        </w:rPr>
      </w:pPr>
    </w:p>
    <w:p w14:paraId="3FB97C2D">
      <w:pPr>
        <w:spacing w:line="360" w:lineRule="auto"/>
        <w:jc w:val="center"/>
        <w:outlineLvl w:val="9"/>
        <w:rPr>
          <w:rFonts w:hint="eastAsia" w:ascii="宋体" w:hAnsi="宋体" w:eastAsia="宋体" w:cs="宋体"/>
          <w:b/>
          <w:color w:val="auto"/>
          <w:spacing w:val="6"/>
          <w:sz w:val="28"/>
          <w:szCs w:val="32"/>
          <w:highlight w:val="none"/>
        </w:rPr>
      </w:pPr>
      <w:r>
        <w:rPr>
          <w:rFonts w:hint="eastAsia" w:ascii="宋体" w:hAnsi="宋体" w:eastAsia="宋体" w:cs="宋体"/>
          <w:b/>
          <w:color w:val="auto"/>
          <w:spacing w:val="6"/>
          <w:sz w:val="28"/>
          <w:szCs w:val="32"/>
          <w:highlight w:val="none"/>
        </w:rPr>
        <w:t>残疾人福利性单位声明函</w:t>
      </w:r>
    </w:p>
    <w:p w14:paraId="6943A656">
      <w:pPr>
        <w:spacing w:line="360" w:lineRule="auto"/>
        <w:outlineLvl w:val="9"/>
        <w:rPr>
          <w:rFonts w:hint="eastAsia" w:ascii="宋体" w:hAnsi="宋体" w:eastAsia="宋体" w:cs="宋体"/>
          <w:b/>
          <w:color w:val="auto"/>
          <w:spacing w:val="6"/>
          <w:sz w:val="30"/>
          <w:szCs w:val="30"/>
          <w:highlight w:val="none"/>
        </w:rPr>
      </w:pPr>
    </w:p>
    <w:p w14:paraId="2B1E236A">
      <w:pPr>
        <w:snapToGrid w:val="0"/>
        <w:spacing w:line="360" w:lineRule="auto"/>
        <w:ind w:left="1177" w:leftChars="-72" w:right="84" w:rightChars="40" w:hanging="1328" w:hangingChars="415"/>
        <w:jc w:val="center"/>
        <w:outlineLvl w:val="9"/>
        <w:rPr>
          <w:rFonts w:hint="eastAsia" w:ascii="宋体" w:hAnsi="宋体" w:eastAsia="宋体" w:cs="宋体"/>
          <w:color w:val="auto"/>
          <w:sz w:val="32"/>
          <w:szCs w:val="32"/>
          <w:highlight w:val="none"/>
        </w:rPr>
      </w:pPr>
    </w:p>
    <w:p w14:paraId="338AB251">
      <w:pPr>
        <w:adjustRightInd w:val="0"/>
        <w:snapToGrid w:val="0"/>
        <w:spacing w:line="360" w:lineRule="auto"/>
        <w:ind w:firstLine="504" w:firstLineChars="200"/>
        <w:outlineLvl w:val="9"/>
        <w:rPr>
          <w:rFonts w:hint="eastAsia" w:ascii="宋体" w:hAnsi="宋体" w:eastAsia="宋体" w:cs="宋体"/>
          <w:color w:val="auto"/>
          <w:spacing w:val="6"/>
          <w:sz w:val="24"/>
          <w:szCs w:val="24"/>
          <w:highlight w:val="none"/>
          <w:shd w:val="clear" w:color="auto" w:fill="FFFFFF"/>
        </w:rPr>
      </w:pPr>
      <w:r>
        <w:rPr>
          <w:rFonts w:hint="eastAsia" w:ascii="宋体" w:hAnsi="宋体" w:eastAsia="宋体" w:cs="宋体"/>
          <w:color w:val="auto"/>
          <w:spacing w:val="6"/>
          <w:sz w:val="24"/>
          <w:szCs w:val="24"/>
          <w:highlight w:val="none"/>
          <w:shd w:val="clear" w:color="auto" w:fill="FFFFFF"/>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1A937FC">
      <w:pPr>
        <w:spacing w:line="360" w:lineRule="auto"/>
        <w:ind w:firstLine="480" w:firstLineChars="200"/>
        <w:outlineLvl w:val="9"/>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53523346">
      <w:pPr>
        <w:spacing w:line="360" w:lineRule="auto"/>
        <w:jc w:val="center"/>
        <w:outlineLvl w:val="9"/>
        <w:rPr>
          <w:rFonts w:hint="eastAsia" w:ascii="宋体" w:hAnsi="宋体" w:eastAsia="宋体" w:cs="宋体"/>
          <w:b/>
          <w:bCs/>
          <w:color w:val="auto"/>
          <w:sz w:val="32"/>
          <w:szCs w:val="32"/>
          <w:highlight w:val="none"/>
        </w:rPr>
      </w:pPr>
    </w:p>
    <w:p w14:paraId="4D4A241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78EF9E32">
      <w:pP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bookmarkStart w:id="408" w:name="_Toc2193"/>
      <w:bookmarkEnd w:id="408"/>
    </w:p>
    <w:p w14:paraId="395BFEC9"/>
    <w:sectPr>
      <w:footerReference r:id="rId5" w:type="default"/>
      <w:pgSz w:w="11906" w:h="16838"/>
      <w:pgMar w:top="1361" w:right="1134" w:bottom="1247" w:left="1134" w:header="680" w:footer="624"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4EBE1">
    <w:pPr>
      <w:pStyle w:val="11"/>
      <w:ind w:right="360"/>
      <w:rPr>
        <w:rFonts w:hint="eastAsia"/>
      </w:rPr>
    </w:pPr>
  </w:p>
  <w:p w14:paraId="45F31FC7">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5D480">
    <w:pPr>
      <w:pStyle w:val="11"/>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956CE6">
                          <w:pPr>
                            <w:pStyle w:val="11"/>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956CE6">
                    <w:pPr>
                      <w:pStyle w:val="11"/>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822E">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792C9"/>
    <w:multiLevelType w:val="singleLevel"/>
    <w:tmpl w:val="85F792C9"/>
    <w:lvl w:ilvl="0" w:tentative="0">
      <w:start w:val="2"/>
      <w:numFmt w:val="decimal"/>
      <w:suff w:val="nothing"/>
      <w:lvlText w:val="%1、"/>
      <w:lvlJc w:val="left"/>
    </w:lvl>
  </w:abstractNum>
  <w:abstractNum w:abstractNumId="1">
    <w:nsid w:val="B671A952"/>
    <w:multiLevelType w:val="singleLevel"/>
    <w:tmpl w:val="B671A952"/>
    <w:lvl w:ilvl="0" w:tentative="0">
      <w:start w:val="1"/>
      <w:numFmt w:val="decimal"/>
      <w:suff w:val="nothing"/>
      <w:lvlText w:val="%1、"/>
      <w:lvlJc w:val="left"/>
    </w:lvl>
  </w:abstractNum>
  <w:abstractNum w:abstractNumId="2">
    <w:nsid w:val="C96AF910"/>
    <w:multiLevelType w:val="singleLevel"/>
    <w:tmpl w:val="C96AF910"/>
    <w:lvl w:ilvl="0" w:tentative="0">
      <w:start w:val="4"/>
      <w:numFmt w:val="chineseCounting"/>
      <w:suff w:val="nothing"/>
      <w:lvlText w:val="%1、"/>
      <w:lvlJc w:val="left"/>
      <w:rPr>
        <w:rFonts w:hint="eastAsia"/>
      </w:rPr>
    </w:lvl>
  </w:abstractNum>
  <w:abstractNum w:abstractNumId="3">
    <w:nsid w:val="F2D15DB4"/>
    <w:multiLevelType w:val="singleLevel"/>
    <w:tmpl w:val="F2D15DB4"/>
    <w:lvl w:ilvl="0" w:tentative="0">
      <w:start w:val="1"/>
      <w:numFmt w:val="decimal"/>
      <w:suff w:val="nothing"/>
      <w:lvlText w:val="%1、"/>
      <w:lvlJc w:val="left"/>
    </w:lvl>
  </w:abstractNum>
  <w:abstractNum w:abstractNumId="4">
    <w:nsid w:val="FF62D5B0"/>
    <w:multiLevelType w:val="singleLevel"/>
    <w:tmpl w:val="FF62D5B0"/>
    <w:lvl w:ilvl="0" w:tentative="0">
      <w:start w:val="5"/>
      <w:numFmt w:val="decimal"/>
      <w:suff w:val="nothing"/>
      <w:lvlText w:val="%1、"/>
      <w:lvlJc w:val="left"/>
    </w:lvl>
  </w:abstractNum>
  <w:abstractNum w:abstractNumId="5">
    <w:nsid w:val="076C859D"/>
    <w:multiLevelType w:val="singleLevel"/>
    <w:tmpl w:val="076C859D"/>
    <w:lvl w:ilvl="0" w:tentative="0">
      <w:start w:val="4"/>
      <w:numFmt w:val="chineseCounting"/>
      <w:suff w:val="nothing"/>
      <w:lvlText w:val="（%1）"/>
      <w:lvlJc w:val="left"/>
      <w:rPr>
        <w:rFonts w:hint="eastAsia"/>
      </w:rPr>
    </w:lvl>
  </w:abstractNum>
  <w:abstractNum w:abstractNumId="6">
    <w:nsid w:val="1B0115EE"/>
    <w:multiLevelType w:val="singleLevel"/>
    <w:tmpl w:val="1B0115EE"/>
    <w:lvl w:ilvl="0" w:tentative="0">
      <w:start w:val="1"/>
      <w:numFmt w:val="decimal"/>
      <w:lvlText w:val="%1."/>
      <w:lvlJc w:val="left"/>
      <w:pPr>
        <w:ind w:left="425" w:hanging="425"/>
      </w:pPr>
      <w:rPr>
        <w:rFonts w:hint="default"/>
      </w:rPr>
    </w:lvl>
  </w:abstractNum>
  <w:abstractNum w:abstractNumId="7">
    <w:nsid w:val="33337DC9"/>
    <w:multiLevelType w:val="singleLevel"/>
    <w:tmpl w:val="33337DC9"/>
    <w:lvl w:ilvl="0" w:tentative="0">
      <w:start w:val="2"/>
      <w:numFmt w:val="decimal"/>
      <w:lvlText w:val="%1."/>
      <w:lvlJc w:val="left"/>
      <w:pPr>
        <w:tabs>
          <w:tab w:val="left" w:pos="312"/>
        </w:tabs>
      </w:pPr>
    </w:lvl>
  </w:abstractNum>
  <w:abstractNum w:abstractNumId="8">
    <w:nsid w:val="554135D1"/>
    <w:multiLevelType w:val="singleLevel"/>
    <w:tmpl w:val="554135D1"/>
    <w:lvl w:ilvl="0" w:tentative="0">
      <w:start w:val="1"/>
      <w:numFmt w:val="decimal"/>
      <w:suff w:val="nothing"/>
      <w:lvlText w:val="%1、"/>
      <w:lvlJc w:val="left"/>
    </w:lvl>
  </w:abstractNum>
  <w:num w:numId="1">
    <w:abstractNumId w:val="6"/>
  </w:num>
  <w:num w:numId="2">
    <w:abstractNumId w:val="4"/>
  </w:num>
  <w:num w:numId="3">
    <w:abstractNumId w:val="8"/>
  </w:num>
  <w:num w:numId="4">
    <w:abstractNumId w:val="1"/>
  </w:num>
  <w:num w:numId="5">
    <w:abstractNumId w:val="3"/>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15B19"/>
    <w:rsid w:val="02E903CF"/>
    <w:rsid w:val="07560BFA"/>
    <w:rsid w:val="0D044784"/>
    <w:rsid w:val="0F305BDE"/>
    <w:rsid w:val="11AE1162"/>
    <w:rsid w:val="1CA92C52"/>
    <w:rsid w:val="1D383FD6"/>
    <w:rsid w:val="1DAF24EA"/>
    <w:rsid w:val="1FBB33C8"/>
    <w:rsid w:val="30F71D86"/>
    <w:rsid w:val="39B12CEE"/>
    <w:rsid w:val="3B6C15C2"/>
    <w:rsid w:val="3F56036D"/>
    <w:rsid w:val="40ED2B12"/>
    <w:rsid w:val="67DB497D"/>
    <w:rsid w:val="6C5D1008"/>
    <w:rsid w:val="6D94212F"/>
    <w:rsid w:val="73BC5F3C"/>
    <w:rsid w:val="7E1F6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8">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autoSpaceDE/>
      <w:autoSpaceDN/>
      <w:spacing w:before="280" w:after="280"/>
      <w:jc w:val="both"/>
    </w:pPr>
    <w:rPr>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Salutation"/>
    <w:basedOn w:val="1"/>
    <w:next w:val="1"/>
    <w:unhideWhenUsed/>
    <w:qFormat/>
    <w:uiPriority w:val="99"/>
    <w:rPr>
      <w:rFonts w:ascii="宋体" w:hAnsi="宋体" w:eastAsia="仿宋_GB2312" w:cs="Times New Roman"/>
      <w:kern w:val="0"/>
      <w:sz w:val="20"/>
      <w:szCs w:val="21"/>
    </w:rPr>
  </w:style>
  <w:style w:type="paragraph" w:styleId="7">
    <w:name w:val="Body Text Indent"/>
    <w:basedOn w:val="1"/>
    <w:next w:val="8"/>
    <w:unhideWhenUsed/>
    <w:qFormat/>
    <w:uiPriority w:val="99"/>
    <w:pPr>
      <w:spacing w:after="120"/>
      <w:ind w:left="420" w:leftChars="200"/>
    </w:pPr>
  </w:style>
  <w:style w:type="paragraph" w:styleId="8">
    <w:name w:val="envelope return"/>
    <w:basedOn w:val="1"/>
    <w:unhideWhenUsed/>
    <w:qFormat/>
    <w:uiPriority w:val="99"/>
    <w:pPr>
      <w:snapToGrid w:val="0"/>
    </w:pPr>
    <w:rPr>
      <w:rFonts w:ascii="等线 Light" w:hAnsi="等线 Light" w:eastAsia="等线 Light" w:cs="Times New Roman"/>
    </w:rPr>
  </w:style>
  <w:style w:type="paragraph" w:styleId="9">
    <w:name w:val="Plain Text"/>
    <w:basedOn w:val="1"/>
    <w:next w:val="10"/>
    <w:unhideWhenUsed/>
    <w:qFormat/>
    <w:uiPriority w:val="99"/>
    <w:rPr>
      <w:rFonts w:ascii="宋体" w:hAnsi="Courier New" w:eastAsia="华文宋体"/>
      <w:szCs w:val="20"/>
    </w:rPr>
  </w:style>
  <w:style w:type="paragraph" w:styleId="10">
    <w:name w:val="index 9"/>
    <w:basedOn w:val="1"/>
    <w:next w:val="1"/>
    <w:qFormat/>
    <w:uiPriority w:val="99"/>
    <w:pPr>
      <w:ind w:left="3360"/>
    </w:pPr>
    <w:rPr>
      <w:rFonts w:cs="等线"/>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rPr>
      <w:rFonts w:ascii="Times New Roman" w:hAnsi="Times New Roman" w:eastAsia="宋体" w:cs="Times New Roman"/>
    </w:rPr>
  </w:style>
  <w:style w:type="paragraph" w:styleId="14">
    <w:name w:val="Body Text First Indent"/>
    <w:basedOn w:val="2"/>
    <w:next w:val="15"/>
    <w:qFormat/>
    <w:uiPriority w:val="0"/>
    <w:pPr>
      <w:spacing w:line="360" w:lineRule="auto"/>
      <w:ind w:firstLine="420"/>
    </w:pPr>
    <w:rPr>
      <w:rFonts w:eastAsia="Arial Unicode MS"/>
      <w:color w:val="000000"/>
      <w:sz w:val="28"/>
      <w:szCs w:val="28"/>
    </w:rPr>
  </w:style>
  <w:style w:type="paragraph" w:styleId="15">
    <w:name w:val="Body Text First Indent 2"/>
    <w:basedOn w:val="7"/>
    <w:next w:val="1"/>
    <w:qFormat/>
    <w:uiPriority w:val="0"/>
    <w:pPr>
      <w:ind w:firstLine="420" w:firstLineChars="200"/>
    </w:pPr>
    <w:rPr>
      <w:rFonts w:ascii="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22311</Words>
  <Characters>24360</Characters>
  <Lines>0</Lines>
  <Paragraphs>0</Paragraphs>
  <TotalTime>28</TotalTime>
  <ScaleCrop>false</ScaleCrop>
  <LinksUpToDate>false</LinksUpToDate>
  <CharactersWithSpaces>24687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2026-01-15T06:37:00Z</dcterms:created>
  <dc:creator>Administrator</dc:creator>
  <cp:lastModifiedBy>三门峡</cp:lastModifiedBy>
  <dcterms:modified xsi:type="dcterms:W3CDTF">2026-01-23T10:21:56Z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eyJoZGlkIjoiNDcxMzcxMzNkMjI2MDZlYjUwOWVmOGNkY2Q5NjE5ZjMiLCJ1c2VySWQiOiIxOTcyOTQ0NSJ9</vt:lpwstr>
  </property>
  <property fmtid="{D5CDD505-2E9C-101B-9397-08002B2CF9AE}" pid="4" name="ICV">
    <vt:lpwstr>38ABBDB8DE5A4A129F06AEC5A325D3C8_12</vt:lpwstr>
  </property>
</Properties>
</file>