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7F83">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5DA3C882">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458045F3">
      <w:pPr>
        <w:jc w:val="center"/>
        <w:rPr>
          <w:rFonts w:cs="Times New Roman" w:asciiTheme="minorEastAsia" w:hAnsiTheme="minorEastAsia"/>
          <w:bCs/>
          <w:color w:val="000000" w:themeColor="text1"/>
          <w:sz w:val="48"/>
          <w:szCs w:val="48"/>
          <w14:textFill>
            <w14:solidFill>
              <w14:schemeClr w14:val="tx1"/>
            </w14:solidFill>
          </w14:textFill>
        </w:rPr>
      </w:pPr>
      <w:r>
        <w:rPr>
          <w:rFonts w:hint="eastAsia" w:cs="Times New Roman" w:asciiTheme="minorEastAsia" w:hAnsiTheme="minorEastAsia"/>
          <w:bCs/>
          <w:color w:val="000000" w:themeColor="text1"/>
          <w:sz w:val="44"/>
          <w:szCs w:val="44"/>
          <w:lang w:val="en-US" w:eastAsia="zh-CN"/>
          <w14:textFill>
            <w14:solidFill>
              <w14:schemeClr w14:val="tx1"/>
            </w14:solidFill>
          </w14:textFill>
        </w:rPr>
        <w:t>陕州区党建引领基层高效能治理平台项目</w:t>
      </w:r>
    </w:p>
    <w:p w14:paraId="164DEBE8">
      <w:pPr>
        <w:ind w:firstLine="1446" w:firstLineChars="200"/>
        <w:jc w:val="center"/>
        <w:rPr>
          <w:rFonts w:hint="eastAsia" w:cs="Times New Roman" w:asciiTheme="minorEastAsia" w:hAnsiTheme="minorEastAsia"/>
          <w:b/>
          <w:bCs/>
          <w:color w:val="000000" w:themeColor="text1"/>
          <w:sz w:val="72"/>
          <w:szCs w:val="72"/>
          <w14:textFill>
            <w14:solidFill>
              <w14:schemeClr w14:val="tx1"/>
            </w14:solidFill>
          </w14:textFill>
        </w:rPr>
      </w:pPr>
    </w:p>
    <w:p w14:paraId="0C18958D">
      <w:pPr>
        <w:jc w:val="center"/>
        <w:rPr>
          <w:rFonts w:hint="eastAsia" w:cs="Times New Roman" w:asciiTheme="minorEastAsia" w:hAnsiTheme="minorEastAsia"/>
          <w:b/>
          <w:bCs/>
          <w:color w:val="000000" w:themeColor="text1"/>
          <w:sz w:val="72"/>
          <w:szCs w:val="72"/>
          <w14:textFill>
            <w14:solidFill>
              <w14:schemeClr w14:val="tx1"/>
            </w14:solidFill>
          </w14:textFill>
        </w:rPr>
      </w:pPr>
    </w:p>
    <w:p w14:paraId="2E0E2992">
      <w:pPr>
        <w:jc w:val="center"/>
        <w:outlineLvl w:val="0"/>
        <w:rPr>
          <w:rFonts w:cs="Times New Roman" w:asciiTheme="minorEastAsia" w:hAnsiTheme="minorEastAsia"/>
          <w:b/>
          <w:bCs/>
          <w:color w:val="000000" w:themeColor="text1"/>
          <w:sz w:val="72"/>
          <w:szCs w:val="72"/>
          <w14:textFill>
            <w14:solidFill>
              <w14:schemeClr w14:val="tx1"/>
            </w14:solidFill>
          </w14:textFill>
        </w:rPr>
      </w:pPr>
      <w:bookmarkStart w:id="0" w:name="_Toc27226"/>
      <w:r>
        <w:rPr>
          <w:rFonts w:hint="eastAsia" w:cs="Times New Roman" w:asciiTheme="minorEastAsia" w:hAnsiTheme="minorEastAsia"/>
          <w:b/>
          <w:bCs/>
          <w:color w:val="000000" w:themeColor="text1"/>
          <w:sz w:val="72"/>
          <w:szCs w:val="72"/>
          <w14:textFill>
            <w14:solidFill>
              <w14:schemeClr w14:val="tx1"/>
            </w14:solidFill>
          </w14:textFill>
        </w:rPr>
        <w:t>竞争性磋商文件</w:t>
      </w:r>
      <w:bookmarkEnd w:id="0"/>
    </w:p>
    <w:p w14:paraId="0C3A6ADC">
      <w:pPr>
        <w:jc w:val="center"/>
        <w:rPr>
          <w:rFonts w:hint="eastAsia" w:cs="Times New Roman" w:asciiTheme="minorEastAsia" w:hAnsiTheme="minorEastAsia"/>
          <w:color w:val="000000" w:themeColor="text1"/>
          <w:sz w:val="28"/>
          <w:szCs w:val="28"/>
          <w14:textFill>
            <w14:solidFill>
              <w14:schemeClr w14:val="tx1"/>
            </w14:solidFill>
          </w14:textFill>
        </w:rPr>
      </w:pPr>
    </w:p>
    <w:p w14:paraId="00C28C49">
      <w:pPr>
        <w:jc w:val="cente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r>
        <w:rPr>
          <w:rFonts w:hint="eastAsia" w:cs="Times New Roman" w:asciiTheme="minorEastAsia" w:hAnsiTheme="minorEastAsia"/>
          <w:color w:val="000000" w:themeColor="text1"/>
          <w:sz w:val="28"/>
          <w:szCs w:val="28"/>
          <w:lang w:val="en-US" w:eastAsia="zh-CN"/>
          <w14:textFill>
            <w14:solidFill>
              <w14:schemeClr w14:val="tx1"/>
            </w14:solidFill>
          </w14:textFill>
        </w:rPr>
        <w:t>陕州竞磋采购-2026-1、SZGZ[2026]008-ZC006</w:t>
      </w:r>
    </w:p>
    <w:p w14:paraId="6F6F892B">
      <w:pPr>
        <w:jc w:val="center"/>
        <w:rPr>
          <w:rFonts w:hint="eastAsia" w:cs="Times New Roman" w:asciiTheme="minorEastAsia" w:hAnsiTheme="minorEastAsia"/>
          <w:color w:val="000000" w:themeColor="text1"/>
          <w:sz w:val="28"/>
          <w:szCs w:val="28"/>
          <w14:textFill>
            <w14:solidFill>
              <w14:schemeClr w14:val="tx1"/>
            </w14:solidFill>
          </w14:textFill>
        </w:rPr>
      </w:pPr>
    </w:p>
    <w:p w14:paraId="31DADCBC">
      <w:pPr>
        <w:pStyle w:val="6"/>
        <w:rPr>
          <w:rFonts w:hint="eastAsia"/>
          <w:lang w:val="en-US" w:eastAsia="zh-CN"/>
        </w:rPr>
      </w:pPr>
      <w:r>
        <w:drawing>
          <wp:anchor distT="0" distB="0" distL="114300" distR="114300" simplePos="0" relativeHeight="251662336" behindDoc="0" locked="0" layoutInCell="1" allowOverlap="1">
            <wp:simplePos x="0" y="0"/>
            <wp:positionH relativeFrom="column">
              <wp:posOffset>1071245</wp:posOffset>
            </wp:positionH>
            <wp:positionV relativeFrom="paragraph">
              <wp:posOffset>38100</wp:posOffset>
            </wp:positionV>
            <wp:extent cx="2772410" cy="2183765"/>
            <wp:effectExtent l="0" t="0" r="8890" b="698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6"/>
                    <a:srcRect r="48599"/>
                    <a:stretch>
                      <a:fillRect/>
                    </a:stretch>
                  </pic:blipFill>
                  <pic:spPr>
                    <a:xfrm>
                      <a:off x="0" y="0"/>
                      <a:ext cx="2772410" cy="2183765"/>
                    </a:xfrm>
                    <a:prstGeom prst="rect">
                      <a:avLst/>
                    </a:prstGeom>
                    <a:noFill/>
                    <a:ln>
                      <a:noFill/>
                    </a:ln>
                  </pic:spPr>
                </pic:pic>
              </a:graphicData>
            </a:graphic>
          </wp:anchor>
        </w:drawing>
      </w:r>
    </w:p>
    <w:p w14:paraId="68150B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394D8B5C">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1757589">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8B2842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276253B1">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6A128245">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8B36688">
      <w:pPr>
        <w:ind w:leftChars="800"/>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采</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购</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人：</w:t>
      </w:r>
      <w:r>
        <w:rPr>
          <w:rFonts w:hint="eastAsia" w:cs="Times New Roman" w:asciiTheme="minorEastAsia" w:hAnsiTheme="minorEastAsia"/>
          <w:bCs/>
          <w:color w:val="000000" w:themeColor="text1"/>
          <w:sz w:val="28"/>
          <w:szCs w:val="28"/>
          <w:lang w:eastAsia="zh-CN"/>
          <w14:textFill>
            <w14:solidFill>
              <w14:schemeClr w14:val="tx1"/>
            </w14:solidFill>
          </w14:textFill>
        </w:rPr>
        <w:t>三门峡市陕州区住房和城乡建设局</w:t>
      </w:r>
    </w:p>
    <w:p w14:paraId="62321076">
      <w:pPr>
        <w:ind w:leftChars="800"/>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代理机构：河南舒翔工程管理有限公司</w:t>
      </w:r>
    </w:p>
    <w:p w14:paraId="6B01533C">
      <w:pPr>
        <w:ind w:leftChars="800"/>
        <w:jc w:val="both"/>
        <w:rPr>
          <w:rFonts w:hint="eastAsia" w:cs="Times New Roman" w:asciiTheme="minorEastAsia" w:hAnsiTheme="minorEastAsia" w:eastAsiaTheme="minorEastAsia"/>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cs="Times New Roman" w:asciiTheme="minorEastAsia" w:hAnsiTheme="minorEastAsia"/>
          <w:color w:val="000000" w:themeColor="text1"/>
          <w:sz w:val="28"/>
          <w:szCs w:val="28"/>
          <w14:textFill>
            <w14:solidFill>
              <w14:schemeClr w14:val="tx1"/>
            </w14:solidFill>
          </w14:textFill>
        </w:rPr>
        <w:t>日</w:t>
      </w:r>
      <w:r>
        <w:rPr>
          <w:rFonts w:hint="eastAsia" w:cs="Times New Roman" w:asciiTheme="minorEastAsia" w:hAnsiTheme="minorEastAsia"/>
          <w:color w:val="000000" w:themeColor="text1"/>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14:textFill>
            <w14:solidFill>
              <w14:schemeClr w14:val="tx1"/>
            </w14:solidFill>
          </w14:textFill>
        </w:rPr>
        <w:t>期：</w:t>
      </w:r>
      <w:r>
        <w:rPr>
          <w:rFonts w:hint="eastAsia" w:cs="Times New Roman" w:asciiTheme="minorEastAsia" w:hAnsiTheme="minorEastAsia"/>
          <w:color w:val="000000" w:themeColor="text1"/>
          <w:sz w:val="28"/>
          <w:szCs w:val="28"/>
          <w:lang w:eastAsia="zh-CN"/>
          <w14:textFill>
            <w14:solidFill>
              <w14:schemeClr w14:val="tx1"/>
            </w14:solidFill>
          </w14:textFill>
        </w:rPr>
        <w:t>二〇二</w:t>
      </w:r>
      <w:r>
        <w:rPr>
          <w:rFonts w:hint="eastAsia" w:cs="Times New Roman" w:asciiTheme="minorEastAsia" w:hAnsiTheme="minorEastAsia"/>
          <w:color w:val="000000" w:themeColor="text1"/>
          <w:sz w:val="28"/>
          <w:szCs w:val="28"/>
          <w:lang w:val="en-US" w:eastAsia="zh-CN"/>
          <w14:textFill>
            <w14:solidFill>
              <w14:schemeClr w14:val="tx1"/>
            </w14:solidFill>
          </w14:textFill>
        </w:rPr>
        <w:t>六</w:t>
      </w:r>
      <w:r>
        <w:rPr>
          <w:rFonts w:hint="eastAsia" w:cs="Times New Roman" w:asciiTheme="minorEastAsia" w:hAnsiTheme="minorEastAsia"/>
          <w:color w:val="000000" w:themeColor="text1"/>
          <w:sz w:val="28"/>
          <w:szCs w:val="28"/>
          <w:lang w:eastAsia="zh-CN"/>
          <w14:textFill>
            <w14:solidFill>
              <w14:schemeClr w14:val="tx1"/>
            </w14:solidFill>
          </w14:textFill>
        </w:rPr>
        <w:t>年</w:t>
      </w:r>
      <w:r>
        <w:rPr>
          <w:rFonts w:hint="eastAsia" w:cs="Times New Roman" w:asciiTheme="minorEastAsia" w:hAnsiTheme="minorEastAsia"/>
          <w:color w:val="000000" w:themeColor="text1"/>
          <w:sz w:val="28"/>
          <w:szCs w:val="28"/>
          <w:lang w:val="en-US" w:eastAsia="zh-CN"/>
          <w14:textFill>
            <w14:solidFill>
              <w14:schemeClr w14:val="tx1"/>
            </w14:solidFill>
          </w14:textFill>
        </w:rPr>
        <w:t>二</w:t>
      </w:r>
      <w:r>
        <w:rPr>
          <w:rFonts w:hint="eastAsia" w:cs="Times New Roman" w:asciiTheme="minorEastAsia" w:hAnsiTheme="minorEastAsia"/>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6087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0AA9A78D">
          <w:pPr>
            <w:spacing w:before="0" w:beforeLines="0" w:after="0" w:afterLines="0" w:line="480" w:lineRule="auto"/>
            <w:ind w:left="0" w:leftChars="0" w:right="0" w:rightChars="0" w:firstLine="0" w:firstLineChars="0"/>
            <w:jc w:val="center"/>
            <w:rPr>
              <w:sz w:val="36"/>
              <w:szCs w:val="40"/>
            </w:rPr>
          </w:pPr>
          <w:bookmarkStart w:id="1" w:name="_Toc145065050"/>
          <w:bookmarkStart w:id="2" w:name="_Toc109675032"/>
          <w:r>
            <w:rPr>
              <w:rFonts w:ascii="宋体" w:hAnsi="宋体" w:eastAsia="宋体"/>
              <w:sz w:val="36"/>
              <w:szCs w:val="40"/>
            </w:rPr>
            <w:t>目录</w:t>
          </w:r>
        </w:p>
        <w:p w14:paraId="7B05A1BA">
          <w:pPr>
            <w:pStyle w:val="73"/>
            <w:tabs>
              <w:tab w:val="right" w:leader="dot" w:pos="8307"/>
            </w:tabs>
            <w:spacing w:line="48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0945736C">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_Toc12157 </w:instrText>
          </w:r>
          <w:r>
            <w:rPr>
              <w:sz w:val="28"/>
              <w:szCs w:val="28"/>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_Toc12157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71CF09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_Toc3728 </w:instrText>
          </w:r>
          <w:r>
            <w:rPr>
              <w:sz w:val="28"/>
              <w:szCs w:val="28"/>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_Toc3728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6A08610">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_Toc14144 </w:instrText>
          </w:r>
          <w:r>
            <w:rPr>
              <w:sz w:val="28"/>
              <w:szCs w:val="28"/>
            </w:rPr>
            <w:fldChar w:fldCharType="separate"/>
          </w:r>
          <w:r>
            <w:rPr>
              <w:sz w:val="28"/>
              <w:szCs w:val="28"/>
            </w:rPr>
            <w:t>第三章</w:t>
          </w:r>
          <w:r>
            <w:rPr>
              <w:rFonts w:hint="eastAsia"/>
              <w:sz w:val="28"/>
              <w:szCs w:val="28"/>
              <w:lang w:val="en-US" w:eastAsia="zh-CN"/>
            </w:rPr>
            <w:t xml:space="preserve"> </w:t>
          </w:r>
          <w:r>
            <w:rPr>
              <w:sz w:val="28"/>
              <w:szCs w:val="28"/>
            </w:rPr>
            <w:t>评审标准</w:t>
          </w:r>
          <w:r>
            <w:rPr>
              <w:sz w:val="28"/>
              <w:szCs w:val="28"/>
            </w:rPr>
            <w:tab/>
          </w:r>
          <w:r>
            <w:rPr>
              <w:sz w:val="28"/>
              <w:szCs w:val="28"/>
            </w:rPr>
            <w:fldChar w:fldCharType="begin"/>
          </w:r>
          <w:r>
            <w:rPr>
              <w:sz w:val="28"/>
              <w:szCs w:val="28"/>
            </w:rPr>
            <w:instrText xml:space="preserve"> PAGEREF _Toc14144 \h </w:instrText>
          </w:r>
          <w:r>
            <w:rPr>
              <w:sz w:val="28"/>
              <w:szCs w:val="28"/>
            </w:rPr>
            <w:fldChar w:fldCharType="separate"/>
          </w:r>
          <w:r>
            <w:rPr>
              <w:sz w:val="28"/>
              <w:szCs w:val="28"/>
            </w:rPr>
            <w:t>21</w:t>
          </w:r>
          <w:r>
            <w:rPr>
              <w:sz w:val="28"/>
              <w:szCs w:val="28"/>
            </w:rPr>
            <w:fldChar w:fldCharType="end"/>
          </w:r>
          <w:r>
            <w:rPr>
              <w:sz w:val="28"/>
              <w:szCs w:val="28"/>
            </w:rPr>
            <w:fldChar w:fldCharType="end"/>
          </w:r>
        </w:p>
        <w:p w14:paraId="1CB6345E">
          <w:pPr>
            <w:pStyle w:val="73"/>
            <w:tabs>
              <w:tab w:val="right" w:leader="dot" w:pos="8307"/>
            </w:tabs>
            <w:spacing w:line="480" w:lineRule="auto"/>
            <w:rPr>
              <w:sz w:val="28"/>
              <w:szCs w:val="28"/>
            </w:rPr>
          </w:pPr>
          <w:r>
            <w:rPr>
              <w:sz w:val="28"/>
              <w:szCs w:val="28"/>
            </w:rPr>
            <w:fldChar w:fldCharType="begin"/>
          </w:r>
          <w:r>
            <w:rPr>
              <w:sz w:val="28"/>
              <w:szCs w:val="28"/>
            </w:rPr>
            <w:instrText xml:space="preserve"> HYPERLINK \l _Toc5148 </w:instrText>
          </w:r>
          <w:r>
            <w:rPr>
              <w:sz w:val="28"/>
              <w:szCs w:val="28"/>
            </w:rPr>
            <w:fldChar w:fldCharType="separate"/>
          </w:r>
          <w:r>
            <w:rPr>
              <w:rFonts w:hint="eastAsia"/>
              <w:sz w:val="28"/>
              <w:szCs w:val="28"/>
            </w:rPr>
            <w:t>第四章</w:t>
          </w:r>
          <w:r>
            <w:rPr>
              <w:rFonts w:hint="eastAsia"/>
              <w:sz w:val="28"/>
              <w:szCs w:val="28"/>
              <w:lang w:val="en-US" w:eastAsia="zh-CN"/>
            </w:rPr>
            <w:t xml:space="preserve"> </w:t>
          </w:r>
          <w:r>
            <w:rPr>
              <w:rFonts w:hint="eastAsia"/>
              <w:sz w:val="28"/>
              <w:szCs w:val="28"/>
            </w:rPr>
            <w:t>合同条款及合同文件格式</w:t>
          </w:r>
          <w:r>
            <w:rPr>
              <w:sz w:val="28"/>
              <w:szCs w:val="28"/>
            </w:rPr>
            <w:tab/>
          </w:r>
          <w:r>
            <w:rPr>
              <w:sz w:val="28"/>
              <w:szCs w:val="28"/>
            </w:rPr>
            <w:fldChar w:fldCharType="begin"/>
          </w:r>
          <w:r>
            <w:rPr>
              <w:sz w:val="28"/>
              <w:szCs w:val="28"/>
            </w:rPr>
            <w:instrText xml:space="preserve"> PAGEREF _Toc5148 \h </w:instrText>
          </w:r>
          <w:r>
            <w:rPr>
              <w:sz w:val="28"/>
              <w:szCs w:val="28"/>
            </w:rPr>
            <w:fldChar w:fldCharType="separate"/>
          </w:r>
          <w:r>
            <w:rPr>
              <w:sz w:val="28"/>
              <w:szCs w:val="28"/>
            </w:rPr>
            <w:t>30</w:t>
          </w:r>
          <w:r>
            <w:rPr>
              <w:sz w:val="28"/>
              <w:szCs w:val="28"/>
            </w:rPr>
            <w:fldChar w:fldCharType="end"/>
          </w:r>
          <w:r>
            <w:rPr>
              <w:sz w:val="28"/>
              <w:szCs w:val="28"/>
            </w:rPr>
            <w:fldChar w:fldCharType="end"/>
          </w:r>
        </w:p>
        <w:p w14:paraId="45E2A4FC">
          <w:pPr>
            <w:pStyle w:val="73"/>
            <w:tabs>
              <w:tab w:val="right" w:leader="dot" w:pos="8307"/>
            </w:tabs>
            <w:spacing w:line="480" w:lineRule="auto"/>
            <w:rPr>
              <w:sz w:val="28"/>
              <w:szCs w:val="28"/>
            </w:rPr>
          </w:pPr>
          <w:r>
            <w:rPr>
              <w:rFonts w:hint="eastAsia"/>
              <w:sz w:val="28"/>
              <w:szCs w:val="28"/>
              <w:lang w:val="en-US" w:eastAsia="zh-CN"/>
            </w:rPr>
            <w:t>第</w:t>
          </w:r>
          <w:r>
            <w:rPr>
              <w:sz w:val="28"/>
              <w:szCs w:val="28"/>
            </w:rPr>
            <w:fldChar w:fldCharType="begin"/>
          </w:r>
          <w:r>
            <w:rPr>
              <w:sz w:val="28"/>
              <w:szCs w:val="28"/>
            </w:rPr>
            <w:instrText xml:space="preserve"> HYPERLINK \l _Toc8091 </w:instrText>
          </w:r>
          <w:r>
            <w:rPr>
              <w:sz w:val="28"/>
              <w:szCs w:val="28"/>
            </w:rPr>
            <w:fldChar w:fldCharType="separate"/>
          </w:r>
          <w:r>
            <w:rPr>
              <w:sz w:val="28"/>
              <w:szCs w:val="28"/>
            </w:rPr>
            <w:t>五章</w:t>
          </w:r>
          <w:r>
            <w:rPr>
              <w:rFonts w:hint="eastAsia"/>
              <w:sz w:val="28"/>
              <w:szCs w:val="28"/>
              <w:lang w:val="en-US" w:eastAsia="zh-CN"/>
            </w:rPr>
            <w:t xml:space="preserve"> </w:t>
          </w:r>
          <w:r>
            <w:rPr>
              <w:sz w:val="28"/>
              <w:szCs w:val="28"/>
            </w:rPr>
            <w:t>工程量清单</w:t>
          </w:r>
          <w:r>
            <w:rPr>
              <w:sz w:val="28"/>
              <w:szCs w:val="28"/>
            </w:rPr>
            <w:tab/>
          </w:r>
          <w:r>
            <w:rPr>
              <w:sz w:val="28"/>
              <w:szCs w:val="28"/>
            </w:rPr>
            <w:fldChar w:fldCharType="begin"/>
          </w:r>
          <w:r>
            <w:rPr>
              <w:sz w:val="28"/>
              <w:szCs w:val="28"/>
            </w:rPr>
            <w:instrText xml:space="preserve"> PAGEREF _Toc8091 \h </w:instrText>
          </w:r>
          <w:r>
            <w:rPr>
              <w:sz w:val="28"/>
              <w:szCs w:val="28"/>
            </w:rPr>
            <w:fldChar w:fldCharType="separate"/>
          </w:r>
          <w:r>
            <w:rPr>
              <w:sz w:val="28"/>
              <w:szCs w:val="28"/>
            </w:rPr>
            <w:t>55</w:t>
          </w:r>
          <w:r>
            <w:rPr>
              <w:sz w:val="28"/>
              <w:szCs w:val="28"/>
            </w:rPr>
            <w:fldChar w:fldCharType="end"/>
          </w:r>
          <w:r>
            <w:rPr>
              <w:sz w:val="28"/>
              <w:szCs w:val="28"/>
            </w:rPr>
            <w:fldChar w:fldCharType="end"/>
          </w:r>
        </w:p>
        <w:p w14:paraId="38753E5B">
          <w:pPr>
            <w:pStyle w:val="73"/>
            <w:tabs>
              <w:tab w:val="right" w:leader="dot" w:pos="8307"/>
            </w:tabs>
            <w:spacing w:line="480" w:lineRule="auto"/>
            <w:rPr>
              <w:sz w:val="32"/>
              <w:szCs w:val="32"/>
            </w:rPr>
          </w:pPr>
          <w:r>
            <w:rPr>
              <w:sz w:val="28"/>
              <w:szCs w:val="28"/>
            </w:rPr>
            <w:fldChar w:fldCharType="begin"/>
          </w:r>
          <w:r>
            <w:rPr>
              <w:sz w:val="28"/>
              <w:szCs w:val="28"/>
            </w:rPr>
            <w:instrText xml:space="preserve"> HYPERLINK \l _Toc22296 </w:instrText>
          </w:r>
          <w:r>
            <w:rPr>
              <w:sz w:val="28"/>
              <w:szCs w:val="28"/>
            </w:rPr>
            <w:fldChar w:fldCharType="separate"/>
          </w:r>
          <w:r>
            <w:rPr>
              <w:rFonts w:hint="eastAsia"/>
              <w:sz w:val="28"/>
              <w:szCs w:val="28"/>
              <w:lang w:val="en-US" w:eastAsia="zh-CN"/>
            </w:rPr>
            <w:t xml:space="preserve">第六章 </w:t>
          </w:r>
          <w:r>
            <w:rPr>
              <w:sz w:val="28"/>
              <w:szCs w:val="28"/>
            </w:rPr>
            <w:fldChar w:fldCharType="end"/>
          </w:r>
          <w:r>
            <w:rPr>
              <w:sz w:val="28"/>
              <w:szCs w:val="28"/>
            </w:rPr>
            <w:fldChar w:fldCharType="begin"/>
          </w:r>
          <w:r>
            <w:rPr>
              <w:sz w:val="28"/>
              <w:szCs w:val="28"/>
            </w:rPr>
            <w:instrText xml:space="preserve"> HYPERLINK \l _Toc11809 </w:instrText>
          </w:r>
          <w:r>
            <w:rPr>
              <w:sz w:val="28"/>
              <w:szCs w:val="28"/>
            </w:rPr>
            <w:fldChar w:fldCharType="separate"/>
          </w:r>
          <w:r>
            <w:rPr>
              <w:rFonts w:hint="eastAsia"/>
              <w:sz w:val="28"/>
              <w:szCs w:val="28"/>
              <w:lang w:val="en-US" w:eastAsia="zh-CN"/>
            </w:rPr>
            <w:t xml:space="preserve"> </w:t>
          </w:r>
          <w:r>
            <w:rPr>
              <w:sz w:val="28"/>
              <w:szCs w:val="28"/>
            </w:rPr>
            <w:t>响应文件格式</w:t>
          </w:r>
          <w:r>
            <w:rPr>
              <w:sz w:val="28"/>
              <w:szCs w:val="28"/>
            </w:rPr>
            <w:tab/>
          </w:r>
          <w:r>
            <w:rPr>
              <w:sz w:val="28"/>
              <w:szCs w:val="28"/>
            </w:rPr>
            <w:fldChar w:fldCharType="begin"/>
          </w:r>
          <w:r>
            <w:rPr>
              <w:sz w:val="28"/>
              <w:szCs w:val="28"/>
            </w:rPr>
            <w:instrText xml:space="preserve"> PAGEREF _Toc11809 \h </w:instrText>
          </w:r>
          <w:r>
            <w:rPr>
              <w:sz w:val="28"/>
              <w:szCs w:val="28"/>
            </w:rPr>
            <w:fldChar w:fldCharType="separate"/>
          </w:r>
          <w:r>
            <w:rPr>
              <w:sz w:val="28"/>
              <w:szCs w:val="28"/>
            </w:rPr>
            <w:t>56</w:t>
          </w:r>
          <w:r>
            <w:rPr>
              <w:sz w:val="28"/>
              <w:szCs w:val="28"/>
            </w:rPr>
            <w:fldChar w:fldCharType="end"/>
          </w:r>
          <w:r>
            <w:rPr>
              <w:sz w:val="28"/>
              <w:szCs w:val="28"/>
            </w:rPr>
            <w:fldChar w:fldCharType="end"/>
          </w:r>
        </w:p>
        <w:p w14:paraId="075BFEAF">
          <w:pPr>
            <w:pStyle w:val="73"/>
            <w:tabs>
              <w:tab w:val="right" w:leader="dot" w:pos="8307"/>
            </w:tabs>
            <w:spacing w:line="480" w:lineRule="auto"/>
            <w:rPr>
              <w:sz w:val="32"/>
              <w:szCs w:val="32"/>
            </w:rPr>
          </w:pPr>
        </w:p>
        <w:p w14:paraId="6146BA49">
          <w:pPr>
            <w:spacing w:line="480" w:lineRule="auto"/>
          </w:pPr>
          <w:r>
            <w:rPr>
              <w:sz w:val="32"/>
              <w:szCs w:val="32"/>
            </w:rPr>
            <w:fldChar w:fldCharType="end"/>
          </w:r>
        </w:p>
      </w:sdtContent>
    </w:sdt>
    <w:p w14:paraId="67FC3747"/>
    <w:p w14:paraId="2A51688F">
      <w:pPr>
        <w:pStyle w:val="9"/>
        <w:bidi w:val="0"/>
        <w:rPr>
          <w:rFonts w:hint="eastAsia"/>
        </w:rPr>
        <w:sectPr>
          <w:footerReference r:id="rId3" w:type="default"/>
          <w:pgSz w:w="11907" w:h="16839"/>
          <w:pgMar w:top="1440" w:right="1800" w:bottom="1440" w:left="1800" w:header="0" w:footer="991" w:gutter="0"/>
          <w:pgNumType w:start="1"/>
          <w:cols w:space="720" w:num="1"/>
        </w:sectPr>
      </w:pPr>
      <w:bookmarkStart w:id="3" w:name="_Toc12157"/>
    </w:p>
    <w:p w14:paraId="1C1C8D86">
      <w:pPr>
        <w:pStyle w:val="9"/>
        <w:bidi w:val="0"/>
      </w:pPr>
      <w:r>
        <w:rPr>
          <w:rFonts w:hint="eastAsia"/>
        </w:rPr>
        <w:t>第一章</w:t>
      </w:r>
      <w:r>
        <w:rPr>
          <w:rFonts w:hint="eastAsia"/>
          <w:lang w:val="en-US" w:eastAsia="zh-CN"/>
        </w:rPr>
        <w:t xml:space="preserve"> </w:t>
      </w:r>
      <w:r>
        <w:rPr>
          <w:rFonts w:hint="eastAsia"/>
        </w:rPr>
        <w:t>竞争性磋商公告</w:t>
      </w:r>
      <w:bookmarkEnd w:id="1"/>
      <w:bookmarkEnd w:id="2"/>
      <w:bookmarkEnd w:id="3"/>
    </w:p>
    <w:p w14:paraId="3889078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A8FDF4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陕州区党建引领基层高效能治理平台项目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000000" w:themeColor="text1"/>
          <w:sz w:val="24"/>
          <w:szCs w:val="24"/>
          <w14:textFill>
            <w14:solidFill>
              <w14:schemeClr w14:val="tx1"/>
            </w14:solidFill>
          </w14:textFill>
        </w:rPr>
        <w:t>前递交响应文件。</w:t>
      </w:r>
    </w:p>
    <w:p w14:paraId="7402B66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1FDB8210">
      <w:pPr>
        <w:pStyle w:val="2"/>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.项目编号:</w:t>
      </w:r>
      <w:r>
        <w:rPr>
          <w:rFonts w:hint="eastAsia" w:ascii="宋体" w:eastAsia="宋体" w:cs="宋体"/>
          <w:color w:val="000000" w:themeColor="text1"/>
          <w:kern w:val="2"/>
          <w:sz w:val="24"/>
          <w:szCs w:val="24"/>
          <w:lang w:val="en-US" w:eastAsia="zh-CN" w:bidi="ar-SA"/>
          <w14:textFill>
            <w14:solidFill>
              <w14:schemeClr w14:val="tx1"/>
            </w14:solidFill>
          </w14:textFill>
        </w:rPr>
        <w:t xml:space="preserve">  陕州竞磋采购2026-1、SZGZ[2026]008-ZC006</w:t>
      </w:r>
    </w:p>
    <w:p w14:paraId="4B57314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陕州区党建引领基层高效能治理平台项目</w:t>
      </w:r>
    </w:p>
    <w:p w14:paraId="13A19E4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75482AE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Theme="minorEastAsia" w:hAnsiTheme="minorEastAsia" w:cstheme="minorEastAsia"/>
          <w:sz w:val="24"/>
          <w:szCs w:val="24"/>
          <w:highlight w:val="none"/>
          <w:lang w:val="en-US" w:eastAsia="zh-CN"/>
        </w:rPr>
        <w:t>755894.20</w:t>
      </w:r>
      <w:r>
        <w:rPr>
          <w:rFonts w:hint="eastAsia" w:asciiTheme="minorEastAsia" w:hAnsiTheme="minorEastAsia" w:eastAsiaTheme="minorEastAsia" w:cstheme="minorEastAsia"/>
          <w:sz w:val="24"/>
          <w:szCs w:val="24"/>
          <w:highlight w:val="none"/>
          <w:lang w:eastAsia="zh-CN"/>
        </w:rPr>
        <w:t>元</w:t>
      </w:r>
    </w:p>
    <w:p w14:paraId="5F6C2317">
      <w:pPr>
        <w:keepNext w:val="0"/>
        <w:keepLines w:val="0"/>
        <w:pageBreakBefore w:val="0"/>
        <w:kinsoku/>
        <w:wordWrap/>
        <w:overflowPunct/>
        <w:topLinePunct w:val="0"/>
        <w:autoSpaceDN/>
        <w:bidi w:val="0"/>
        <w:adjustRightInd/>
        <w:snapToGrid/>
        <w:spacing w:before="0" w:beforeLines="50" w:after="0" w:afterLines="50" w:line="360" w:lineRule="auto"/>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Theme="minorEastAsia" w:hAnsiTheme="minorEastAsia" w:cstheme="minorEastAsia"/>
          <w:sz w:val="24"/>
          <w:szCs w:val="24"/>
          <w:highlight w:val="none"/>
          <w:lang w:val="en-US" w:eastAsia="zh-CN"/>
        </w:rPr>
        <w:t>755894.20</w:t>
      </w:r>
      <w:r>
        <w:rPr>
          <w:rFonts w:hint="eastAsia" w:asciiTheme="minorEastAsia" w:hAnsiTheme="minorEastAsia" w:eastAsiaTheme="minorEastAsia" w:cstheme="minorEastAsia"/>
          <w:sz w:val="24"/>
          <w:szCs w:val="24"/>
          <w:highlight w:val="none"/>
          <w:lang w:eastAsia="zh-CN"/>
        </w:rPr>
        <w:t>元</w:t>
      </w:r>
    </w:p>
    <w:tbl>
      <w:tblPr>
        <w:tblStyle w:val="26"/>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02B42C21">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SZGZ[2026]008-ZC006-1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陕州区党建引领基层高效能治理平台项目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755894.20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755894.20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cstheme="minorEastAsia"/>
                <w:sz w:val="24"/>
                <w:szCs w:val="24"/>
                <w:highlight w:val="none"/>
                <w:lang w:val="en-US" w:eastAsia="zh-CN"/>
              </w:rPr>
              <w:t>755894.20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bl>
    <w:p w14:paraId="2C0B72E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1CF980D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eastAsia="宋体" w:cs="宋体"/>
          <w:color w:val="000000" w:themeColor="text1"/>
          <w:sz w:val="24"/>
          <w:szCs w:val="24"/>
          <w:lang w:val="en-US" w:eastAsia="zh-CN"/>
          <w14:textFill>
            <w14:solidFill>
              <w14:schemeClr w14:val="tx1"/>
            </w14:solidFill>
          </w14:textFill>
        </w:rPr>
        <w:t>工程概况</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本工程为</w:t>
      </w:r>
      <w:r>
        <w:rPr>
          <w:rFonts w:hint="eastAsia" w:ascii="宋体" w:hAnsi="宋体" w:eastAsia="宋体" w:cs="宋体"/>
          <w:color w:val="000000" w:themeColor="text1"/>
          <w:kern w:val="0"/>
          <w:sz w:val="24"/>
          <w:szCs w:val="24"/>
          <w:lang w:eastAsia="zh-CN"/>
          <w14:textFill>
            <w14:solidFill>
              <w14:schemeClr w14:val="tx1"/>
            </w14:solidFill>
          </w14:textFill>
        </w:rPr>
        <w:t>陕州区党建引领基层高效能治理平台项目</w:t>
      </w:r>
      <w:r>
        <w:rPr>
          <w:rFonts w:hint="eastAsia" w:ascii="宋体" w:hAnsi="宋体" w:eastAsia="宋体" w:cs="宋体"/>
          <w:color w:val="000000" w:themeColor="text1"/>
          <w:sz w:val="24"/>
          <w:szCs w:val="24"/>
          <w:lang w:val="en-US" w:eastAsia="zh-CN"/>
          <w14:textFill>
            <w14:solidFill>
              <w14:schemeClr w14:val="tx1"/>
            </w14:solidFill>
          </w14:textFill>
        </w:rPr>
        <w:t>，项目主要内容包括大厅、办公室、卫生间等房间的装饰装修工程。</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531392A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lang w:val="en-US" w:eastAsia="zh-CN"/>
          <w14:textFill>
            <w14:solidFill>
              <w14:schemeClr w14:val="tx1"/>
            </w14:solidFill>
          </w14:textFill>
        </w:rPr>
        <w:t>磋商范围：竞争性磋商文件、工程量清单所包含的全部内容。</w:t>
      </w:r>
    </w:p>
    <w:p w14:paraId="6EE29A5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计划工期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30日历天</w:t>
      </w:r>
      <w:r>
        <w:rPr>
          <w:rFonts w:hint="eastAsia" w:ascii="宋体" w:hAnsi="宋体" w:eastAsia="宋体" w:cs="宋体"/>
          <w:sz w:val="24"/>
          <w:szCs w:val="24"/>
          <w:highlight w:val="none"/>
          <w:lang w:eastAsia="zh-CN"/>
        </w:rPr>
        <w:t>。</w:t>
      </w:r>
    </w:p>
    <w:p w14:paraId="632FB37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w:t>
      </w:r>
      <w:r>
        <w:rPr>
          <w:rFonts w:hint="eastAsia" w:ascii="宋体" w:hAnsi="宋体" w:eastAsia="宋体" w:cs="宋体"/>
          <w:color w:val="000000" w:themeColor="text1"/>
          <w:sz w:val="24"/>
          <w:szCs w:val="24"/>
          <w:highlight w:val="none"/>
          <w:lang w:eastAsia="zh-CN"/>
          <w14:textFill>
            <w14:solidFill>
              <w14:schemeClr w14:val="tx1"/>
            </w14:solidFill>
          </w14:textFill>
        </w:rPr>
        <w:t>质量</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4B3035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5.5建设地点：三门峡市陕州区。</w:t>
      </w:r>
    </w:p>
    <w:p w14:paraId="77F803B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5.6资金来源：财政资金，已落实。</w:t>
      </w:r>
    </w:p>
    <w:p w14:paraId="6D00595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5.7标段划分：本项目不划分标段。</w:t>
      </w:r>
    </w:p>
    <w:p w14:paraId="441BBD0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6、合同履行期限：按合同约定执行。</w:t>
      </w:r>
    </w:p>
    <w:p w14:paraId="4D6B996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6F16CD5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6914C29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3A764A5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w:t>
      </w:r>
    </w:p>
    <w:p w14:paraId="0090A50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483CAE1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2D0D342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2A1E41F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4612F1B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须具有建筑工程施工总承包三级及以上资质或具备建筑装修装饰工程专业承包二级及以上资质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2910CFF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p w14:paraId="7E95E31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6102048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40972D0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5CD0309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ascii="宋体" w:hAnsi="宋体" w:eastAsia="宋体" w:cs="仿宋_GB2312"/>
          <w:kern w:val="0"/>
          <w:sz w:val="24"/>
          <w:szCs w:val="24"/>
        </w:rPr>
        <w:t>本项目实行资格后审</w:t>
      </w:r>
      <w:r>
        <w:rPr>
          <w:rFonts w:hint="eastAsia" w:ascii="宋体" w:hAnsi="宋体" w:eastAsia="宋体" w:cs="仿宋_GB2312"/>
          <w:kern w:val="0"/>
          <w:sz w:val="24"/>
          <w:szCs w:val="24"/>
          <w:lang w:eastAsia="zh-CN"/>
        </w:rPr>
        <w:t>。</w:t>
      </w:r>
    </w:p>
    <w:p w14:paraId="44C7DF7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0CCA763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日，每天上午00:00至12:00，下午12:00至23:59（北京时间）</w:t>
      </w:r>
    </w:p>
    <w:p w14:paraId="7E34012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37A5D4C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投标人凭CA数字证书通过（网址：http://gzjy.smx.gov.cn/），点击交易平台选择“市场主体登录”，登陆系统后，点击采购业务-业务管理-竞争性磋商文件领取菜单-点击领取按钮-领取.smxzf格式的电子竞争性磋商文件。</w:t>
      </w:r>
    </w:p>
    <w:p w14:paraId="0F5F0A9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1B952B3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http://gzjy.smx.gov.cn/fwzn/004003/20200325/2b5a3a5a-f987-405c-993f-88f43e1d1ac3.html</w:t>
      </w:r>
    </w:p>
    <w:p w14:paraId="5B9E8A9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办理CA证书</w:t>
      </w:r>
      <w:r>
        <w:rPr>
          <w:rFonts w:hint="eastAsia" w:ascii="宋体" w:hAnsi="宋体" w:eastAsia="宋体" w:cs="宋体"/>
          <w:color w:val="000000" w:themeColor="text1"/>
          <w:sz w:val="24"/>
          <w:szCs w:val="24"/>
          <w14:textFill>
            <w14:solidFill>
              <w14:schemeClr w14:val="tx1"/>
            </w14:solidFill>
          </w14:textFill>
        </w:rPr>
        <w:t>：</w:t>
      </w:r>
    </w:p>
    <w:p w14:paraId="0B8412F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711B1AA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0F11F655">
      <w:pPr>
        <w:keepNext w:val="0"/>
        <w:keepLines w:val="0"/>
        <w:pageBreakBefore w:val="0"/>
        <w:numPr>
          <w:ilvl w:val="0"/>
          <w:numId w:val="0"/>
        </w:numPr>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四、响应文件提交</w:t>
      </w:r>
    </w:p>
    <w:p w14:paraId="1E9D6A4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4CE2FDE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2.地点：加密电子竞争性磋商响应文件须在磋商截止时间前通过三门峡市公共资源交易中心电子交易平台加密上传。</w:t>
      </w:r>
    </w:p>
    <w:p w14:paraId="0B60AD1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五、响应文件开启</w:t>
      </w:r>
    </w:p>
    <w:p w14:paraId="38A687B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71CA635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2.地点：三门峡市陕州区公共资源交易中心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四楼</w:t>
      </w:r>
      <w:r>
        <w:rPr>
          <w:rFonts w:hint="eastAsia" w:ascii="宋体" w:hAnsi="宋体" w:eastAsia="宋体" w:cs="宋体"/>
          <w:color w:val="000000" w:themeColor="text1"/>
          <w:sz w:val="24"/>
          <w:szCs w:val="24"/>
          <w14:textFill>
            <w14:solidFill>
              <w14:schemeClr w14:val="tx1"/>
            </w14:solidFill>
          </w14:textFill>
        </w:rPr>
        <w:t>开标</w:t>
      </w:r>
      <w:r>
        <w:rPr>
          <w:rFonts w:hint="eastAsia" w:ascii="宋体" w:hAnsi="宋体" w:eastAsia="宋体" w:cs="宋体"/>
          <w:color w:val="000000" w:themeColor="text1"/>
          <w:sz w:val="24"/>
          <w:szCs w:val="24"/>
          <w:lang w:val="en-US" w:eastAsia="zh-CN"/>
          <w14:textFill>
            <w14:solidFill>
              <w14:schemeClr w14:val="tx1"/>
            </w14:solidFill>
          </w14:textFill>
        </w:rPr>
        <w:t>区。</w:t>
      </w:r>
    </w:p>
    <w:p w14:paraId="7FE05B8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3A266FA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本次公告在《河南省政府采购网》、</w:t>
      </w:r>
      <w:r>
        <w:rPr>
          <w:rFonts w:hint="eastAsia" w:ascii="宋体" w:hAnsi="宋体" w:eastAsia="宋体" w:cs="宋体"/>
          <w:color w:val="000000" w:themeColor="text1"/>
          <w:sz w:val="24"/>
          <w:szCs w:val="24"/>
          <w:lang w:eastAsia="zh-CN"/>
          <w14:textFill>
            <w14:solidFill>
              <w14:schemeClr w14:val="tx1"/>
            </w14:solidFill>
          </w14:textFill>
        </w:rPr>
        <w:t>《中国采购与招标网》</w:t>
      </w:r>
      <w:r>
        <w:rPr>
          <w:rFonts w:hint="eastAsia" w:ascii="宋体" w:hAnsi="宋体" w:eastAsia="宋体" w:cs="宋体"/>
          <w:color w:val="000000" w:themeColor="text1"/>
          <w:sz w:val="24"/>
          <w:szCs w:val="24"/>
          <w14:textFill>
            <w14:solidFill>
              <w14:schemeClr w14:val="tx1"/>
            </w14:solidFill>
          </w14:textFill>
        </w:rPr>
        <w:t>、《三门峡市公共资源交易中心网》上发布。</w:t>
      </w:r>
    </w:p>
    <w:p w14:paraId="5518F0A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35075E7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44BCB46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0114D2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1EF5C4C8">
      <w:pPr>
        <w:keepNext w:val="0"/>
        <w:keepLines w:val="0"/>
        <w:pageBreakBefore w:val="0"/>
        <w:widowControl/>
        <w:kinsoku/>
        <w:wordWrap/>
        <w:overflowPunct/>
        <w:topLinePunct w:val="0"/>
        <w:autoSpaceDE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仿宋_GB2312"/>
          <w:kern w:val="0"/>
          <w:sz w:val="24"/>
          <w:szCs w:val="24"/>
        </w:rPr>
        <w:t>本项目实行资格后审，审查内容以</w:t>
      </w:r>
      <w:r>
        <w:rPr>
          <w:rFonts w:hint="eastAsia" w:ascii="宋体" w:hAnsi="宋体" w:eastAsia="宋体" w:cs="仿宋_GB2312"/>
          <w:kern w:val="0"/>
          <w:sz w:val="24"/>
          <w:szCs w:val="24"/>
          <w:lang w:val="en-US" w:eastAsia="zh-CN"/>
        </w:rPr>
        <w:t>磋商</w:t>
      </w:r>
      <w:r>
        <w:rPr>
          <w:rFonts w:ascii="宋体" w:hAnsi="宋体" w:eastAsia="宋体" w:cs="仿宋_GB2312"/>
          <w:kern w:val="0"/>
          <w:sz w:val="24"/>
          <w:szCs w:val="24"/>
        </w:rPr>
        <w:t>截止时间前在三门峡市公共资源交易平台“</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文件”上传的信息为准。规定时间外上传或更改的信息不作为评标依据。</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文件中上传的信息真实有效，扫描件清晰可辨。否则，由此造成应得分而未得分或资格审查不合格等情况的，由</w:t>
      </w:r>
      <w:r>
        <w:rPr>
          <w:rFonts w:hint="eastAsia" w:ascii="宋体" w:hAnsi="宋体" w:eastAsia="宋体" w:cs="仿宋_GB2312"/>
          <w:kern w:val="0"/>
          <w:sz w:val="24"/>
          <w:szCs w:val="24"/>
          <w:lang w:val="en-US" w:eastAsia="zh-CN"/>
        </w:rPr>
        <w:t>供应商</w:t>
      </w:r>
      <w:r>
        <w:rPr>
          <w:rFonts w:ascii="宋体" w:hAnsi="宋体" w:eastAsia="宋体" w:cs="仿宋_GB2312"/>
          <w:kern w:val="0"/>
          <w:sz w:val="24"/>
          <w:szCs w:val="24"/>
        </w:rPr>
        <w:t>承担责任。</w:t>
      </w:r>
      <w:r>
        <w:rPr>
          <w:rFonts w:hint="eastAsia" w:ascii="宋体" w:hAnsi="宋体" w:eastAsia="宋体" w:cs="宋体"/>
          <w:color w:val="000000" w:themeColor="text1"/>
          <w:sz w:val="24"/>
          <w:szCs w:val="24"/>
          <w14:textFill>
            <w14:solidFill>
              <w14:schemeClr w14:val="tx1"/>
            </w14:solidFill>
          </w14:textFill>
        </w:rPr>
        <w:t>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48876F4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6CC0657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F2F15C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p>
    <w:p w14:paraId="081001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4" w:name="_Toc26450"/>
      <w:r>
        <w:rPr>
          <w:rFonts w:hint="eastAsia" w:ascii="宋体" w:hAnsi="宋体" w:eastAsia="宋体" w:cs="宋体"/>
          <w:color w:val="000000"/>
          <w:kern w:val="0"/>
          <w:sz w:val="24"/>
          <w:szCs w:val="24"/>
          <w:lang w:val="en-US" w:eastAsia="zh-CN" w:bidi="ar-SA"/>
        </w:rPr>
        <w:t>1.监督单位信息</w:t>
      </w:r>
    </w:p>
    <w:p w14:paraId="563BC33F">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名称：三门峡市陕州区财政局政府采购监督管理科</w:t>
      </w:r>
    </w:p>
    <w:p w14:paraId="75F96B8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联系方式：0398-3839210</w:t>
      </w:r>
    </w:p>
    <w:p w14:paraId="64E04202">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4"/>
      <w:r>
        <w:rPr>
          <w:rFonts w:hint="eastAsia" w:ascii="宋体" w:hAnsi="宋体" w:eastAsia="宋体" w:cs="宋体"/>
          <w:color w:val="000000"/>
          <w:kern w:val="0"/>
          <w:sz w:val="24"/>
          <w:szCs w:val="24"/>
          <w:lang w:val="en-US" w:eastAsia="zh-CN" w:bidi="ar-SA"/>
        </w:rPr>
        <w:t xml:space="preserve">三门峡市陕州区住房和城乡建设局 </w:t>
      </w:r>
    </w:p>
    <w:p w14:paraId="245E68B8">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址：三门峡市陕州区陕州大道</w:t>
      </w:r>
    </w:p>
    <w:p w14:paraId="5C8BD43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联系人：马先生 </w:t>
      </w:r>
    </w:p>
    <w:p w14:paraId="05BBD7C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联系方式：13693991165 </w:t>
      </w:r>
    </w:p>
    <w:p w14:paraId="16568600">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bookmarkStart w:id="5" w:name="_Toc28591"/>
      <w:r>
        <w:rPr>
          <w:rFonts w:hint="eastAsia" w:ascii="宋体" w:hAnsi="宋体" w:eastAsia="宋体" w:cs="宋体"/>
          <w:color w:val="000000"/>
          <w:kern w:val="0"/>
          <w:sz w:val="24"/>
          <w:szCs w:val="24"/>
          <w:lang w:val="en-US" w:eastAsia="zh-CN" w:bidi="ar-SA"/>
        </w:rPr>
        <w:t>3.采购代理机构：河南舒翔工程管理有限公司</w:t>
      </w:r>
      <w:bookmarkEnd w:id="5"/>
      <w:r>
        <w:rPr>
          <w:rFonts w:hint="eastAsia" w:ascii="宋体" w:hAnsi="宋体" w:eastAsia="宋体" w:cs="宋体"/>
          <w:color w:val="000000"/>
          <w:kern w:val="0"/>
          <w:sz w:val="24"/>
          <w:szCs w:val="24"/>
          <w:lang w:val="en-US" w:eastAsia="zh-CN" w:bidi="ar-SA"/>
        </w:rPr>
        <w:t xml:space="preserve"> </w:t>
      </w:r>
    </w:p>
    <w:p w14:paraId="5C902133">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地址：河南省郑州市郑东新区永平路与康平路交叉口（郑东商业中心）C区1号楼9层902号</w:t>
      </w:r>
    </w:p>
    <w:p w14:paraId="5CAAB45A">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联系人：张女士</w:t>
      </w:r>
    </w:p>
    <w:p w14:paraId="5DD20339">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sectPr>
          <w:footerReference r:id="rId4" w:type="default"/>
          <w:pgSz w:w="11907" w:h="16839"/>
          <w:pgMar w:top="1440" w:right="1800" w:bottom="1440" w:left="1800" w:header="0" w:footer="991" w:gutter="0"/>
          <w:pgNumType w:fmt="decimal" w:start="1"/>
          <w:cols w:space="720" w:num="1"/>
        </w:sectPr>
      </w:pPr>
      <w:r>
        <w:rPr>
          <w:rFonts w:hint="eastAsia" w:ascii="宋体" w:hAnsi="宋体" w:eastAsia="宋体" w:cs="宋体"/>
          <w:color w:val="000000"/>
          <w:kern w:val="0"/>
          <w:sz w:val="24"/>
          <w:szCs w:val="24"/>
          <w:lang w:val="en-US" w:eastAsia="zh-CN" w:bidi="ar-SA"/>
        </w:rPr>
        <w:t>联系方式：13781008737</w:t>
      </w:r>
    </w:p>
    <w:p w14:paraId="7CB5FE54">
      <w:pPr>
        <w:pStyle w:val="9"/>
        <w:numPr>
          <w:ilvl w:val="0"/>
          <w:numId w:val="1"/>
        </w:numPr>
        <w:bidi w:val="0"/>
        <w:ind w:firstLine="643" w:firstLineChars="200"/>
      </w:pPr>
      <w:bookmarkStart w:id="6" w:name="_Toc3728"/>
      <w:r>
        <w:rPr>
          <w:rFonts w:hint="eastAsia"/>
        </w:rPr>
        <w:t>供应商须知</w:t>
      </w:r>
      <w:bookmarkEnd w:id="6"/>
    </w:p>
    <w:p w14:paraId="7FE79869">
      <w:pPr>
        <w:ind w:firstLine="562" w:firstLineChars="200"/>
        <w:jc w:val="center"/>
        <w:rPr>
          <w:rFonts w:hint="default" w:eastAsiaTheme="minorEastAsia"/>
          <w:b/>
          <w:bCs/>
          <w:sz w:val="28"/>
          <w:szCs w:val="32"/>
          <w:lang w:val="en-US" w:eastAsia="zh-CN"/>
        </w:rPr>
      </w:pPr>
      <w:r>
        <w:rPr>
          <w:rFonts w:hint="eastAsia"/>
          <w:b/>
          <w:bCs/>
          <w:sz w:val="28"/>
          <w:szCs w:val="32"/>
          <w:lang w:val="en-US" w:eastAsia="zh-CN"/>
        </w:rPr>
        <w:t>供应商须知前附表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43"/>
        <w:gridCol w:w="6202"/>
      </w:tblGrid>
      <w:tr w14:paraId="4DE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07609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序号</w:t>
            </w:r>
          </w:p>
        </w:tc>
        <w:tc>
          <w:tcPr>
            <w:tcW w:w="1743" w:type="dxa"/>
            <w:vAlign w:val="center"/>
          </w:tcPr>
          <w:p w14:paraId="02FFAF9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条款名称</w:t>
            </w:r>
          </w:p>
        </w:tc>
        <w:tc>
          <w:tcPr>
            <w:tcW w:w="6202" w:type="dxa"/>
            <w:vAlign w:val="center"/>
          </w:tcPr>
          <w:p w14:paraId="3857FA32">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编列内容</w:t>
            </w:r>
          </w:p>
        </w:tc>
      </w:tr>
      <w:tr w14:paraId="236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FD9B1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vertAlign w:val="baseline"/>
                <w:lang w:val="en-US" w:eastAsia="zh-CN"/>
              </w:rPr>
            </w:pPr>
          </w:p>
        </w:tc>
        <w:tc>
          <w:tcPr>
            <w:tcW w:w="1743" w:type="dxa"/>
            <w:vAlign w:val="center"/>
          </w:tcPr>
          <w:p w14:paraId="37F5AC31">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采购人</w:t>
            </w:r>
          </w:p>
        </w:tc>
        <w:tc>
          <w:tcPr>
            <w:tcW w:w="6202" w:type="dxa"/>
            <w:vAlign w:val="center"/>
          </w:tcPr>
          <w:p w14:paraId="4737442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采购人：</w:t>
            </w:r>
            <w:r>
              <w:rPr>
                <w:rFonts w:hint="eastAsia" w:asciiTheme="minorEastAsia" w:hAnsiTheme="minorEastAsia" w:cstheme="minorEastAsia"/>
                <w:b w:val="0"/>
                <w:bCs w:val="0"/>
                <w:sz w:val="24"/>
                <w:szCs w:val="24"/>
                <w:vertAlign w:val="baseline"/>
                <w:lang w:val="en-US" w:eastAsia="zh-CN"/>
              </w:rPr>
              <w:t>三门峡市陕州区住房和城乡建设局</w:t>
            </w:r>
            <w:r>
              <w:rPr>
                <w:rFonts w:hint="eastAsia" w:asciiTheme="minorEastAsia" w:hAnsiTheme="minorEastAsia" w:eastAsiaTheme="minorEastAsia" w:cstheme="minorEastAsia"/>
                <w:b w:val="0"/>
                <w:bCs w:val="0"/>
                <w:sz w:val="24"/>
                <w:szCs w:val="24"/>
                <w:vertAlign w:val="baseline"/>
                <w:lang w:val="en-US" w:eastAsia="zh-CN"/>
              </w:rPr>
              <w:t xml:space="preserve"> </w:t>
            </w:r>
          </w:p>
          <w:p w14:paraId="713A11B1">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地 址：三门峡市陕州区陕州大道</w:t>
            </w:r>
          </w:p>
          <w:p w14:paraId="66C95E42">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联系人：</w:t>
            </w:r>
            <w:r>
              <w:rPr>
                <w:rFonts w:hint="eastAsia" w:asciiTheme="minorEastAsia" w:hAnsiTheme="minorEastAsia" w:cstheme="minorEastAsia"/>
                <w:b w:val="0"/>
                <w:bCs w:val="0"/>
                <w:sz w:val="24"/>
                <w:szCs w:val="24"/>
                <w:vertAlign w:val="baseline"/>
                <w:lang w:val="en-US" w:eastAsia="zh-CN"/>
              </w:rPr>
              <w:t>马先生</w:t>
            </w:r>
            <w:r>
              <w:rPr>
                <w:rFonts w:hint="eastAsia" w:asciiTheme="minorEastAsia" w:hAnsiTheme="minorEastAsia" w:eastAsiaTheme="minorEastAsia" w:cstheme="minorEastAsia"/>
                <w:b w:val="0"/>
                <w:bCs w:val="0"/>
                <w:sz w:val="24"/>
                <w:szCs w:val="24"/>
                <w:vertAlign w:val="baseline"/>
                <w:lang w:val="en-US" w:eastAsia="zh-CN"/>
              </w:rPr>
              <w:t xml:space="preserve"> </w:t>
            </w:r>
          </w:p>
          <w:p w14:paraId="12802955">
            <w:pPr>
              <w:keepNext w:val="0"/>
              <w:keepLines w:val="0"/>
              <w:pageBreakBefore w:val="0"/>
              <w:widowControl/>
              <w:kinsoku/>
              <w:wordWrap/>
              <w:overflowPunct/>
              <w:topLinePunct w:val="0"/>
              <w:autoSpaceDE/>
              <w:autoSpaceDN/>
              <w:bidi w:val="0"/>
              <w:adjustRightInd/>
              <w:snapToGrid/>
              <w:spacing w:before="40" w:beforeAutospacing="0" w:after="40" w:afterAutospacing="0" w:line="36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val="0"/>
                <w:bCs w:val="0"/>
                <w:sz w:val="24"/>
                <w:szCs w:val="24"/>
                <w:vertAlign w:val="baseline"/>
                <w:lang w:val="en-US" w:eastAsia="zh-CN"/>
              </w:rPr>
              <w:t>联系方式：</w:t>
            </w:r>
            <w:r>
              <w:rPr>
                <w:rFonts w:hint="eastAsia" w:asciiTheme="minorEastAsia" w:hAnsiTheme="minorEastAsia" w:cstheme="minorEastAsia"/>
                <w:b w:val="0"/>
                <w:bCs w:val="0"/>
                <w:sz w:val="24"/>
                <w:szCs w:val="24"/>
                <w:vertAlign w:val="baseline"/>
                <w:lang w:val="en-US" w:eastAsia="zh-CN"/>
              </w:rPr>
              <w:t>13693991165</w:t>
            </w:r>
            <w:r>
              <w:rPr>
                <w:rFonts w:hint="eastAsia" w:asciiTheme="minorEastAsia" w:hAnsiTheme="minorEastAsia" w:eastAsiaTheme="minorEastAsia" w:cstheme="minorEastAsia"/>
                <w:b w:val="0"/>
                <w:bCs w:val="0"/>
                <w:sz w:val="24"/>
                <w:szCs w:val="24"/>
                <w:vertAlign w:val="baseline"/>
                <w:lang w:val="en-US" w:eastAsia="zh-CN"/>
              </w:rPr>
              <w:t xml:space="preserve"> </w:t>
            </w:r>
          </w:p>
        </w:tc>
      </w:tr>
      <w:tr w14:paraId="4D9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43A7A8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1B4F2B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采购代理机构</w:t>
            </w:r>
          </w:p>
        </w:tc>
        <w:tc>
          <w:tcPr>
            <w:tcW w:w="6202" w:type="dxa"/>
            <w:vAlign w:val="center"/>
          </w:tcPr>
          <w:p w14:paraId="1F5BC90C">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代理机构：河南舒翔工程管理有限公司</w:t>
            </w:r>
          </w:p>
          <w:p w14:paraId="1CDF74EE">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地址：河南省郑州市郑东新区永平路与康平路交叉口（郑东商业中心）C区1号楼9层902号</w:t>
            </w:r>
          </w:p>
          <w:p w14:paraId="63CA6829">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张女士</w:t>
            </w:r>
          </w:p>
          <w:p w14:paraId="7F5C2A6A">
            <w:pPr>
              <w:keepNext w:val="0"/>
              <w:keepLines w:val="0"/>
              <w:pageBreakBefore w:val="0"/>
              <w:widowControl w:val="0"/>
              <w:kinsoku/>
              <w:wordWrap/>
              <w:overflowPunct/>
              <w:topLinePunct w:val="0"/>
              <w:autoSpaceDE/>
              <w:autoSpaceDN/>
              <w:bidi w:val="0"/>
              <w:adjustRightInd/>
              <w:snapToGrid/>
              <w:spacing w:before="40" w:after="40"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sz w:val="24"/>
                <w:szCs w:val="24"/>
              </w:rPr>
              <w:t>联系方式：</w:t>
            </w:r>
            <w:r>
              <w:rPr>
                <w:rFonts w:hint="eastAsia" w:asciiTheme="minorEastAsia" w:hAnsiTheme="minorEastAsia" w:eastAsiaTheme="minorEastAsia" w:cstheme="minorEastAsia"/>
                <w:color w:val="000000"/>
                <w:sz w:val="24"/>
                <w:szCs w:val="24"/>
                <w:lang w:val="en-US" w:eastAsia="zh-CN"/>
              </w:rPr>
              <w:t>13781008737</w:t>
            </w:r>
          </w:p>
        </w:tc>
      </w:tr>
      <w:tr w14:paraId="75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6022C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EBCC87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项目名称</w:t>
            </w:r>
          </w:p>
        </w:tc>
        <w:tc>
          <w:tcPr>
            <w:tcW w:w="6202" w:type="dxa"/>
            <w:vAlign w:val="center"/>
          </w:tcPr>
          <w:p w14:paraId="46E45F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vertAlign w:val="baseline"/>
                <w:lang w:eastAsia="zh-CN"/>
              </w:rPr>
              <w:t>陕州区党建引领基层高效能治理平台项目</w:t>
            </w:r>
          </w:p>
        </w:tc>
      </w:tr>
      <w:tr w14:paraId="0F64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3633B3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5D3486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项目编号</w:t>
            </w:r>
          </w:p>
        </w:tc>
        <w:tc>
          <w:tcPr>
            <w:tcW w:w="6202" w:type="dxa"/>
            <w:vAlign w:val="center"/>
          </w:tcPr>
          <w:p w14:paraId="7F65BBA1">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val="en-US" w:eastAsia="zh-CN"/>
              </w:rPr>
              <w:t>陕州竞磋采购2026-1、SZGZ[2026]008-ZC006</w:t>
            </w:r>
          </w:p>
        </w:tc>
      </w:tr>
      <w:tr w14:paraId="506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25F8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2DF1F3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工程概况</w:t>
            </w:r>
          </w:p>
        </w:tc>
        <w:tc>
          <w:tcPr>
            <w:tcW w:w="6202" w:type="dxa"/>
            <w:vAlign w:val="center"/>
          </w:tcPr>
          <w:p w14:paraId="224AC4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Theme="minorEastAsia" w:hAnsiTheme="minorEastAsia" w:eastAsiaTheme="minorEastAsia" w:cstheme="minorEastAsia"/>
                <w:b/>
                <w:bCs/>
                <w:sz w:val="24"/>
                <w:szCs w:val="24"/>
                <w:vertAlign w:val="baseline"/>
                <w:lang w:eastAsia="zh-CN"/>
              </w:rPr>
            </w:pPr>
            <w:r>
              <w:rPr>
                <w:rFonts w:hint="eastAsia" w:ascii="宋体" w:hAnsi="宋体" w:eastAsia="宋体" w:cs="宋体"/>
                <w:color w:val="000000" w:themeColor="text1"/>
                <w:sz w:val="24"/>
                <w:szCs w:val="24"/>
                <w:lang w:eastAsia="zh-CN"/>
                <w14:textFill>
                  <w14:solidFill>
                    <w14:schemeClr w14:val="tx1"/>
                  </w14:solidFill>
                </w14:textFill>
              </w:rPr>
              <w:t>陕州区党建引领基层高效能治理平台项目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项目主要内容包括大厅、办公室、卫生间等房间的装饰装修工程。</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tc>
      </w:tr>
      <w:tr w14:paraId="4AF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DD498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8B13EB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磋商范围</w:t>
            </w:r>
          </w:p>
        </w:tc>
        <w:tc>
          <w:tcPr>
            <w:tcW w:w="6202" w:type="dxa"/>
            <w:vAlign w:val="center"/>
          </w:tcPr>
          <w:p w14:paraId="17031E87">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竞争性磋商文件、工程量清单所包含的全部内容。</w:t>
            </w:r>
          </w:p>
        </w:tc>
      </w:tr>
      <w:tr w14:paraId="2B4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0616BF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4D8AD6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预算金额</w:t>
            </w:r>
          </w:p>
        </w:tc>
        <w:tc>
          <w:tcPr>
            <w:tcW w:w="6202" w:type="dxa"/>
            <w:vAlign w:val="center"/>
          </w:tcPr>
          <w:p w14:paraId="24DBAA9B">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pacing w:val="6"/>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预算金额：</w:t>
            </w:r>
            <w:r>
              <w:rPr>
                <w:rFonts w:hint="eastAsia" w:asciiTheme="minorEastAsia" w:hAnsiTheme="minorEastAsia" w:cstheme="minorEastAsia"/>
                <w:sz w:val="24"/>
                <w:szCs w:val="24"/>
                <w:highlight w:val="none"/>
                <w:lang w:val="en-US" w:eastAsia="zh-CN"/>
              </w:rPr>
              <w:t>755894.20元</w:t>
            </w:r>
          </w:p>
          <w:p w14:paraId="0DADF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供应商磋商报价超出“预算</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”的，该磋商供应商</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按无效处理。</w:t>
            </w:r>
          </w:p>
        </w:tc>
      </w:tr>
      <w:tr w14:paraId="2DC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9A0E9F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6E47EE2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计划工期</w:t>
            </w:r>
          </w:p>
        </w:tc>
        <w:tc>
          <w:tcPr>
            <w:tcW w:w="6202" w:type="dxa"/>
            <w:vAlign w:val="center"/>
          </w:tcPr>
          <w:p w14:paraId="7B504E60">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highlight w:val="none"/>
                <w:vertAlign w:val="baseline"/>
                <w:lang w:val="en-US" w:eastAsia="zh-CN"/>
              </w:rPr>
              <w:t>30日历天</w:t>
            </w:r>
          </w:p>
        </w:tc>
      </w:tr>
      <w:tr w14:paraId="21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3EDEFD">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A3CCB8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要求</w:t>
            </w:r>
          </w:p>
        </w:tc>
        <w:tc>
          <w:tcPr>
            <w:tcW w:w="6202" w:type="dxa"/>
            <w:vAlign w:val="center"/>
          </w:tcPr>
          <w:p w14:paraId="29898D4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8EE4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C3565B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建设地点</w:t>
            </w:r>
          </w:p>
        </w:tc>
        <w:tc>
          <w:tcPr>
            <w:tcW w:w="6202" w:type="dxa"/>
            <w:vAlign w:val="center"/>
          </w:tcPr>
          <w:p w14:paraId="6CB918B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三门峡市陕州区</w:t>
            </w:r>
          </w:p>
        </w:tc>
      </w:tr>
      <w:tr w14:paraId="340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F08BA10">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78382E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资金来源</w:t>
            </w:r>
          </w:p>
        </w:tc>
        <w:tc>
          <w:tcPr>
            <w:tcW w:w="6202" w:type="dxa"/>
            <w:vAlign w:val="center"/>
          </w:tcPr>
          <w:p w14:paraId="3D43D3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财政资金，已落实。</w:t>
            </w:r>
          </w:p>
        </w:tc>
      </w:tr>
      <w:tr w14:paraId="31E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7E9170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C3632C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标段划分</w:t>
            </w:r>
          </w:p>
        </w:tc>
        <w:tc>
          <w:tcPr>
            <w:tcW w:w="6202" w:type="dxa"/>
            <w:vAlign w:val="center"/>
          </w:tcPr>
          <w:p w14:paraId="25CFA6F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本项目不划分标段。</w:t>
            </w:r>
          </w:p>
        </w:tc>
      </w:tr>
      <w:tr w14:paraId="18A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70E32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74BCFF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p>
        </w:tc>
        <w:tc>
          <w:tcPr>
            <w:tcW w:w="6202" w:type="dxa"/>
            <w:vAlign w:val="center"/>
          </w:tcPr>
          <w:p w14:paraId="1E8EDC2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highlight w:val="none"/>
                <w:lang w:eastAsia="zh-CN"/>
              </w:rPr>
              <w:t>按合同约定执行。</w:t>
            </w:r>
          </w:p>
        </w:tc>
      </w:tr>
      <w:tr w14:paraId="58C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4018E7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1B135A0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付款办法</w:t>
            </w:r>
          </w:p>
        </w:tc>
        <w:tc>
          <w:tcPr>
            <w:tcW w:w="6202" w:type="dxa"/>
            <w:vAlign w:val="center"/>
          </w:tcPr>
          <w:p w14:paraId="1EA8C7D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签订合同时双方协商</w:t>
            </w:r>
          </w:p>
        </w:tc>
      </w:tr>
      <w:tr w14:paraId="63D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0ACDBD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ED9093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本项目是否接受联合体投标</w:t>
            </w:r>
          </w:p>
        </w:tc>
        <w:tc>
          <w:tcPr>
            <w:tcW w:w="6202" w:type="dxa"/>
            <w:vAlign w:val="center"/>
          </w:tcPr>
          <w:p w14:paraId="3A7FE8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w:t>
            </w:r>
          </w:p>
        </w:tc>
      </w:tr>
      <w:tr w14:paraId="3E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854CD2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7B8665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供应商资格要求</w:t>
            </w:r>
          </w:p>
        </w:tc>
        <w:tc>
          <w:tcPr>
            <w:tcW w:w="6202" w:type="dxa"/>
            <w:vAlign w:val="center"/>
          </w:tcPr>
          <w:p w14:paraId="60844CD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1.满足《中华人民共和国政府采购法》第二十二条规定；</w:t>
            </w:r>
          </w:p>
          <w:p w14:paraId="7F7F281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2.落实政府采购政策满足的资格要求：本项目专门面向中小企业采购（监狱企业、残疾人福利性企业视同小微企业）；</w:t>
            </w:r>
          </w:p>
          <w:p w14:paraId="2CFC676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3.本项目的特定资格要求</w:t>
            </w:r>
          </w:p>
          <w:p w14:paraId="1A30532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3.1供应商须具有独立法人资格，提供合法有效的营业执照。</w:t>
            </w:r>
          </w:p>
          <w:p w14:paraId="3CE1C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3.2供应商</w:t>
            </w:r>
            <w:r>
              <w:rPr>
                <w:rFonts w:hint="eastAsia" w:asciiTheme="minorEastAsia" w:hAnsiTheme="minorEastAsia" w:cstheme="minorEastAsia"/>
                <w:color w:val="000000" w:themeColor="text1"/>
                <w:sz w:val="24"/>
                <w:szCs w:val="24"/>
                <w:lang w:val="en-US" w:eastAsia="zh-CN"/>
                <w14:textFill>
                  <w14:solidFill>
                    <w14:schemeClr w14:val="tx1"/>
                  </w14:solidFill>
                </w14:textFill>
              </w:rPr>
              <w:t>须具有建筑工程施工总承包三级及以上资质或具备建筑装修装饰工程专业承包二级及以上资质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，具有有效的安全生产许可证，并在人员、设备、资金等方面具有相应的施工能力。</w:t>
            </w:r>
          </w:p>
          <w:p w14:paraId="57AC62A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3.3供应商拟派项目经理须提供建筑工程专业贰级及以上注册建造师证书，</w:t>
            </w:r>
            <w:r>
              <w:rPr>
                <w:rFonts w:hint="eastAsia" w:asciiTheme="minorEastAsia" w:hAnsiTheme="minorEastAsia" w:cstheme="minorEastAsia"/>
                <w:color w:val="000000" w:themeColor="text1"/>
                <w:sz w:val="24"/>
                <w:szCs w:val="24"/>
                <w:lang w:val="en-US" w:eastAsia="zh-CN"/>
                <w14:textFill>
                  <w14:solidFill>
                    <w14:schemeClr w14:val="tx1"/>
                  </w14:solidFill>
                </w14:textFill>
              </w:rPr>
              <w:t>具有有效的安全生产考核合格证书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，已参加社会保险且未在其他在建工程项目中担任项目经理。</w:t>
            </w:r>
          </w:p>
          <w:p w14:paraId="4140BF0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3.4、供应商自行出具本单位无商业贿赂及无不正当竞争行为的承诺书；</w:t>
            </w:r>
          </w:p>
          <w:p w14:paraId="6A7A98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E92857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3.6、本项目不接受联合体投标。提供非联合体承诺，格式自拟。</w:t>
            </w:r>
          </w:p>
          <w:p w14:paraId="0709F17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3.7、本项目实行资格后审。</w:t>
            </w:r>
          </w:p>
        </w:tc>
      </w:tr>
      <w:tr w14:paraId="55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A9693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8CC59E0">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w:t>
            </w:r>
          </w:p>
        </w:tc>
        <w:tc>
          <w:tcPr>
            <w:tcW w:w="6202" w:type="dxa"/>
            <w:vAlign w:val="center"/>
          </w:tcPr>
          <w:p w14:paraId="15F51D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本次磋商应以人民币报价，分两次进行报价。</w:t>
            </w:r>
          </w:p>
        </w:tc>
      </w:tr>
      <w:tr w14:paraId="114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3A84BF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shd w:val="clear" w:color="auto" w:fill="auto"/>
            <w:vAlign w:val="center"/>
          </w:tcPr>
          <w:p w14:paraId="363B6BE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答疑会</w:t>
            </w:r>
          </w:p>
        </w:tc>
        <w:tc>
          <w:tcPr>
            <w:tcW w:w="6202" w:type="dxa"/>
            <w:shd w:val="clear" w:color="auto" w:fill="auto"/>
            <w:vAlign w:val="center"/>
          </w:tcPr>
          <w:p w14:paraId="4C1609C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不召开</w:t>
            </w:r>
          </w:p>
        </w:tc>
      </w:tr>
      <w:tr w14:paraId="7DB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607E7B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B709E5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w:t>
            </w:r>
          </w:p>
        </w:tc>
        <w:tc>
          <w:tcPr>
            <w:tcW w:w="6202" w:type="dxa"/>
            <w:vAlign w:val="center"/>
          </w:tcPr>
          <w:p w14:paraId="389CBC6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不组织，供应商自行前往现场踏勘。</w:t>
            </w:r>
          </w:p>
        </w:tc>
      </w:tr>
      <w:tr w14:paraId="2BD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85E0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56E949A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磋商保证金</w:t>
            </w:r>
          </w:p>
        </w:tc>
        <w:tc>
          <w:tcPr>
            <w:tcW w:w="6202" w:type="dxa"/>
            <w:vAlign w:val="center"/>
          </w:tcPr>
          <w:p w14:paraId="5C158E9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根据《河南省财政厅关于优化政府采购营商环境有关问题的通知》（豫财购【2019】4号）第6条的规定，磋商保证金不再收取。</w:t>
            </w:r>
          </w:p>
        </w:tc>
      </w:tr>
      <w:tr w14:paraId="048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F18DEC">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1F4961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磋商响应文件递交截止时间</w:t>
            </w:r>
          </w:p>
        </w:tc>
        <w:tc>
          <w:tcPr>
            <w:tcW w:w="6202" w:type="dxa"/>
            <w:vAlign w:val="center"/>
          </w:tcPr>
          <w:p w14:paraId="52FB014E">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005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4A2B8">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1C2968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磋商时间及地点</w:t>
            </w:r>
          </w:p>
        </w:tc>
        <w:tc>
          <w:tcPr>
            <w:tcW w:w="6202" w:type="dxa"/>
            <w:vAlign w:val="center"/>
          </w:tcPr>
          <w:p w14:paraId="42D31C3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763A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D1927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1A73BF8">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202" w:type="dxa"/>
            <w:vAlign w:val="center"/>
          </w:tcPr>
          <w:p w14:paraId="163D63B1">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210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4646D72">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19DDED9">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202" w:type="dxa"/>
            <w:vAlign w:val="center"/>
          </w:tcPr>
          <w:p w14:paraId="171D8A9A">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5FCA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238CB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719DB368">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202" w:type="dxa"/>
            <w:vAlign w:val="center"/>
          </w:tcPr>
          <w:p w14:paraId="56E12B17">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w:t>
            </w:r>
            <w:r>
              <w:rPr>
                <w:rFonts w:hint="eastAsia" w:ascii="宋体" w:hAnsi="宋体" w:eastAsia="宋体" w:cs="宋体"/>
                <w:color w:val="000000" w:themeColor="text1"/>
                <w:spacing w:val="6"/>
                <w:sz w:val="24"/>
                <w:szCs w:val="24"/>
                <w14:textFill>
                  <w14:solidFill>
                    <w14:schemeClr w14:val="tx1"/>
                  </w14:solidFill>
                </w14:textFill>
              </w:rPr>
              <w:t>以来</w:t>
            </w:r>
          </w:p>
        </w:tc>
      </w:tr>
      <w:tr w14:paraId="20E1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DBA50F9">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AEF0113">
            <w:pPr>
              <w:adjustRightInd w:val="0"/>
              <w:spacing w:line="324"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202" w:type="dxa"/>
            <w:vAlign w:val="center"/>
          </w:tcPr>
          <w:p w14:paraId="74983904">
            <w:pPr>
              <w:widowControl/>
              <w:spacing w:line="400" w:lineRule="atLeast"/>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w:t>
            </w:r>
            <w:r>
              <w:rPr>
                <w:rFonts w:hint="eastAsia" w:ascii="宋体" w:hAnsi="宋体" w:eastAsia="宋体" w:cs="宋体"/>
                <w:color w:val="000000" w:themeColor="text1"/>
                <w:spacing w:val="6"/>
                <w:sz w:val="24"/>
                <w:szCs w:val="24"/>
                <w14:textFill>
                  <w14:solidFill>
                    <w14:schemeClr w14:val="tx1"/>
                  </w14:solidFill>
                </w14:textFill>
              </w:rPr>
              <w:t>以来</w:t>
            </w:r>
          </w:p>
        </w:tc>
      </w:tr>
      <w:tr w14:paraId="761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2A3AF2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EC6C1D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签字和（或</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盖章要求</w:t>
            </w:r>
          </w:p>
        </w:tc>
        <w:tc>
          <w:tcPr>
            <w:tcW w:w="6202" w:type="dxa"/>
            <w:vAlign w:val="center"/>
          </w:tcPr>
          <w:p w14:paraId="52C01CB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为电子化、无纸化交易项目，响应文件是供应商通过中心投标文件制作系统制作，并经过电子签章和加密后生成的电子化投标文件，未对电子化文件进行签章的视为无效投标。供应商投标时，将不再接受任何纸质文件资料。</w:t>
            </w:r>
          </w:p>
          <w:p w14:paraId="2BDD28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2、供应商在进行电子化响应文件签章时，以签盖法定代表人签章为准。</w:t>
            </w:r>
          </w:p>
        </w:tc>
      </w:tr>
      <w:tr w14:paraId="2DEC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47B4C0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E4795B9">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202" w:type="dxa"/>
            <w:vAlign w:val="center"/>
          </w:tcPr>
          <w:p w14:paraId="23EA2D0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p w14:paraId="3EC63BC3">
            <w:pPr>
              <w:pStyle w:val="2"/>
              <w:ind w:left="0" w:leftChars="0" w:firstLine="0" w:firstLineChars="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eastAsia="宋体" w:cs="宋体"/>
                <w:color w:val="000000" w:themeColor="text1"/>
                <w:spacing w:val="6"/>
                <w:sz w:val="24"/>
                <w:szCs w:val="24"/>
                <w:lang w:val="en-US" w:eastAsia="zh-CN"/>
                <w14:textFill>
                  <w14:solidFill>
                    <w14:schemeClr w14:val="tx1"/>
                  </w14:solidFill>
                </w14:textFill>
              </w:rPr>
              <w:t>注：</w:t>
            </w:r>
            <w:r>
              <w:rPr>
                <w:rFonts w:hint="eastAsia" w:ascii="宋体" w:hAnsi="宋体" w:eastAsia="宋体" w:cs="宋体"/>
                <w:color w:val="000000" w:themeColor="text1"/>
                <w:sz w:val="24"/>
                <w:lang w:val="en-US" w:eastAsia="zh-CN"/>
                <w14:textFill>
                  <w14:solidFill>
                    <w14:schemeClr w14:val="tx1"/>
                  </w14:solidFill>
                </w14:textFill>
              </w:rPr>
              <w:t>成交供应商在与采购人签订合同时应向</w:t>
            </w:r>
            <w:r>
              <w:rPr>
                <w:rFonts w:hint="eastAsia" w:ascii="宋体" w:hAnsi="宋体" w:eastAsia="宋体" w:cs="宋体"/>
                <w:color w:val="000000" w:themeColor="text1"/>
                <w:sz w:val="24"/>
                <w14:textFill>
                  <w14:solidFill>
                    <w14:schemeClr w14:val="tx1"/>
                  </w14:solidFill>
                </w14:textFill>
              </w:rPr>
              <w:t>业主提供纸质版投标文件</w:t>
            </w:r>
            <w:r>
              <w:rPr>
                <w:rFonts w:hint="eastAsia" w:ascii="宋体" w:hAnsi="宋体" w:eastAsia="宋体" w:cs="宋体"/>
                <w:color w:val="000000" w:themeColor="text1"/>
                <w:sz w:val="24"/>
                <w:lang w:val="en-US" w:eastAsia="zh-CN"/>
                <w14:textFill>
                  <w14:solidFill>
                    <w14:schemeClr w14:val="tx1"/>
                  </w14:solidFill>
                </w14:textFill>
              </w:rPr>
              <w:t>贰</w:t>
            </w:r>
            <w:r>
              <w:rPr>
                <w:rFonts w:hint="eastAsia" w:ascii="宋体" w:hAnsi="宋体" w:eastAsia="宋体" w:cs="宋体"/>
                <w:color w:val="000000" w:themeColor="text1"/>
                <w:sz w:val="24"/>
                <w14:textFill>
                  <w14:solidFill>
                    <w14:schemeClr w14:val="tx1"/>
                  </w14:solidFill>
                </w14:textFill>
              </w:rPr>
              <w:t>套。</w:t>
            </w:r>
          </w:p>
        </w:tc>
      </w:tr>
      <w:tr w14:paraId="301E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CF77CC">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93477F1">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202" w:type="dxa"/>
            <w:vAlign w:val="center"/>
          </w:tcPr>
          <w:p w14:paraId="201634F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1C3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117F94">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0EBD3F6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是否允许递交备选响应方案</w:t>
            </w:r>
          </w:p>
        </w:tc>
        <w:tc>
          <w:tcPr>
            <w:tcW w:w="6202" w:type="dxa"/>
            <w:vAlign w:val="center"/>
          </w:tcPr>
          <w:p w14:paraId="0449E34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不允许</w:t>
            </w:r>
          </w:p>
        </w:tc>
      </w:tr>
      <w:tr w14:paraId="1E2A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6EED84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6986710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磋商小组的组建</w:t>
            </w:r>
          </w:p>
        </w:tc>
        <w:tc>
          <w:tcPr>
            <w:tcW w:w="6202" w:type="dxa"/>
            <w:vAlign w:val="center"/>
          </w:tcPr>
          <w:p w14:paraId="019BCD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磋商小组构成：由采购人代表及有关经济、技术等方面的专家共3人组成，采购人代表1人，经济、技术等方面的专家2人。</w:t>
            </w:r>
          </w:p>
          <w:p w14:paraId="49957C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专家确定方式：开标后从相关专家库中随机抽取。</w:t>
            </w:r>
          </w:p>
        </w:tc>
      </w:tr>
      <w:tr w14:paraId="3D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FDA9E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D1AF35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磋商标准及方法</w:t>
            </w:r>
          </w:p>
        </w:tc>
        <w:tc>
          <w:tcPr>
            <w:tcW w:w="6202" w:type="dxa"/>
            <w:vAlign w:val="center"/>
          </w:tcPr>
          <w:p w14:paraId="3B81B95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05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F3D6B8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85FD61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授权评委小组推荐成交候选人</w:t>
            </w:r>
          </w:p>
        </w:tc>
        <w:tc>
          <w:tcPr>
            <w:tcW w:w="6202" w:type="dxa"/>
            <w:vAlign w:val="center"/>
          </w:tcPr>
          <w:p w14:paraId="5AE1BA1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是，推荐的成交候选人数：1-3个</w:t>
            </w:r>
          </w:p>
        </w:tc>
      </w:tr>
      <w:tr w14:paraId="5ED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A031F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0203F62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中标公示</w:t>
            </w:r>
          </w:p>
        </w:tc>
        <w:tc>
          <w:tcPr>
            <w:tcW w:w="6202" w:type="dxa"/>
            <w:vAlign w:val="center"/>
          </w:tcPr>
          <w:p w14:paraId="2632E3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本项目磋商结果公告在磋商公告发布的同一媒介予以公示，公示期为一个工作日。</w:t>
            </w:r>
          </w:p>
        </w:tc>
      </w:tr>
      <w:tr w14:paraId="0D9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D5D534">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5DC684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签订合同时间</w:t>
            </w:r>
          </w:p>
        </w:tc>
        <w:tc>
          <w:tcPr>
            <w:tcW w:w="6202" w:type="dxa"/>
            <w:vAlign w:val="center"/>
          </w:tcPr>
          <w:p w14:paraId="1E3BEC2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成交通知书发出后30日内</w:t>
            </w:r>
          </w:p>
        </w:tc>
      </w:tr>
      <w:tr w14:paraId="28B9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C3D6FD7">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4B00EC88">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响应文件有效期</w:t>
            </w:r>
          </w:p>
        </w:tc>
        <w:tc>
          <w:tcPr>
            <w:tcW w:w="6202" w:type="dxa"/>
            <w:vAlign w:val="center"/>
          </w:tcPr>
          <w:p w14:paraId="4F41361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7DE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C5622A">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20D8EFC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履约保证金</w:t>
            </w:r>
          </w:p>
        </w:tc>
        <w:tc>
          <w:tcPr>
            <w:tcW w:w="6202" w:type="dxa"/>
            <w:vAlign w:val="center"/>
          </w:tcPr>
          <w:p w14:paraId="6491B05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不收取履约保证金</w:t>
            </w:r>
          </w:p>
        </w:tc>
      </w:tr>
      <w:tr w14:paraId="03C6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4C781CB">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74E30079">
            <w:pPr>
              <w:keepNext w:val="0"/>
              <w:keepLines w:val="0"/>
              <w:widowControl/>
              <w:suppressLineNumbers w:val="0"/>
              <w:adjustRightInd w:val="0"/>
              <w:spacing w:line="324" w:lineRule="auto"/>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转包与分包 </w:t>
            </w:r>
          </w:p>
        </w:tc>
        <w:tc>
          <w:tcPr>
            <w:tcW w:w="6202" w:type="dxa"/>
            <w:vAlign w:val="center"/>
          </w:tcPr>
          <w:p w14:paraId="10A936D9">
            <w:pPr>
              <w:keepNext w:val="0"/>
              <w:keepLines w:val="0"/>
              <w:widowControl/>
              <w:suppressLineNumbers w:val="0"/>
              <w:spacing w:line="400" w:lineRule="atLeas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本项目不允许转包与分包(需提供相关声明，格式自拟)。</w:t>
            </w:r>
          </w:p>
        </w:tc>
      </w:tr>
      <w:tr w14:paraId="07C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320812F">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582058A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w:t>
            </w:r>
          </w:p>
        </w:tc>
        <w:tc>
          <w:tcPr>
            <w:tcW w:w="6202" w:type="dxa"/>
            <w:vAlign w:val="center"/>
          </w:tcPr>
          <w:p w14:paraId="36FEC08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代理服务费收费标准</w:t>
            </w:r>
          </w:p>
          <w:p w14:paraId="361278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参考河南省招标代理服务收费指导意见（豫招协[2023]002号）规定的收费标准计算。</w:t>
            </w:r>
          </w:p>
          <w:p w14:paraId="7D9646C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2.收取方式</w:t>
            </w:r>
          </w:p>
          <w:p w14:paraId="4172AFA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w:t>
            </w:r>
            <w:r>
              <w:rPr>
                <w:rFonts w:hint="eastAsia" w:asciiTheme="minorEastAsia" w:hAnsiTheme="minorEastAsia" w:cs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代理服务费由中标人在领取中标通知书时，以现金或转账的方式一次性向代理机构缴纳。</w:t>
            </w:r>
          </w:p>
        </w:tc>
      </w:tr>
      <w:tr w14:paraId="162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CBDA8F5">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179C2D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同义词语</w:t>
            </w:r>
          </w:p>
        </w:tc>
        <w:tc>
          <w:tcPr>
            <w:tcW w:w="6202" w:type="dxa"/>
            <w:vAlign w:val="center"/>
          </w:tcPr>
          <w:p w14:paraId="13648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构成磋商文件组成部分的“通用合同条款”、“专用合同条款”、“技术标准和要求”等章节中出现的措辞“发包人”和“承包人”，在竞争性磋商投标阶段应当分别按“采购人”和“供应商”进行理解。</w:t>
            </w:r>
          </w:p>
        </w:tc>
      </w:tr>
      <w:tr w14:paraId="788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8B2E42B">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1743" w:type="dxa"/>
            <w:vAlign w:val="center"/>
          </w:tcPr>
          <w:p w14:paraId="3EFDE17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解释</w:t>
            </w:r>
          </w:p>
        </w:tc>
        <w:tc>
          <w:tcPr>
            <w:tcW w:w="6202" w:type="dxa"/>
            <w:vAlign w:val="center"/>
          </w:tcPr>
          <w:p w14:paraId="390B3A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竞争性磋商投标阶段的规定，按磋商公告、供应商须知、评标办法、磋商响应文件格式的先后顺序解释；同一组成文件中就同一事项的规定或约定不一致的，以编排顺序在前者为准；同一组成文件不同版本之间有不一致的，以形成时间在前者为准。按本款前述规定仍不能形成结论的，由采购人负责解释。</w:t>
            </w:r>
          </w:p>
        </w:tc>
      </w:tr>
      <w:tr w14:paraId="018F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489CD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11F4B2C3">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202" w:type="dxa"/>
            <w:vAlign w:val="top"/>
          </w:tcPr>
          <w:p w14:paraId="5F59980F">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173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EC44511">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2AAA5E59">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202" w:type="dxa"/>
            <w:vAlign w:val="center"/>
          </w:tcPr>
          <w:p w14:paraId="07B2683B">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364A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227D4A3">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3E20BE78">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202" w:type="dxa"/>
            <w:vAlign w:val="center"/>
          </w:tcPr>
          <w:p w14:paraId="3685807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3BEF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7031FA6">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ECE91AD">
            <w:pPr>
              <w:adjustRightInd w:val="0"/>
              <w:spacing w:line="324"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202" w:type="dxa"/>
            <w:vAlign w:val="center"/>
          </w:tcPr>
          <w:p w14:paraId="2E30582A">
            <w:pPr>
              <w:widowControl/>
              <w:spacing w:line="400" w:lineRule="atLeas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46B8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F7CACC8">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eastAsia" w:asciiTheme="minorEastAsia" w:hAnsiTheme="minorEastAsia" w:cstheme="minorEastAsia"/>
                <w:b w:val="0"/>
                <w:bCs w:val="0"/>
                <w:sz w:val="24"/>
                <w:szCs w:val="24"/>
                <w:vertAlign w:val="baseline"/>
                <w:lang w:val="en-US" w:eastAsia="zh-CN"/>
              </w:rPr>
            </w:pPr>
          </w:p>
        </w:tc>
        <w:tc>
          <w:tcPr>
            <w:tcW w:w="1743" w:type="dxa"/>
            <w:vAlign w:val="center"/>
          </w:tcPr>
          <w:p w14:paraId="676236CC">
            <w:pPr>
              <w:keepNext w:val="0"/>
              <w:keepLines w:val="0"/>
              <w:widowControl/>
              <w:suppressLineNumbers w:val="0"/>
              <w:adjustRightInd w:val="0"/>
              <w:spacing w:line="324" w:lineRule="auto"/>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所属行业</w:t>
            </w:r>
          </w:p>
        </w:tc>
        <w:tc>
          <w:tcPr>
            <w:tcW w:w="6202" w:type="dxa"/>
            <w:vAlign w:val="center"/>
          </w:tcPr>
          <w:p w14:paraId="30C8668C">
            <w:pPr>
              <w:keepNext w:val="0"/>
              <w:keepLines w:val="0"/>
              <w:widowControl/>
              <w:suppressLineNumbers w:val="0"/>
              <w:spacing w:line="400" w:lineRule="atLeas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建筑业</w:t>
            </w:r>
          </w:p>
        </w:tc>
      </w:tr>
      <w:tr w14:paraId="08D4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850DDE">
            <w:pPr>
              <w:keepNext w:val="0"/>
              <w:pageBreakBefore w:val="0"/>
              <w:numPr>
                <w:ilvl w:val="0"/>
                <w:numId w:val="2"/>
              </w:numPr>
              <w:kinsoku/>
              <w:overflowPunct/>
              <w:bidi w:val="0"/>
              <w:spacing w:before="40" w:after="40" w:line="360" w:lineRule="auto"/>
              <w:ind w:left="425" w:leftChars="0" w:hanging="425" w:firstLineChars="0"/>
              <w:jc w:val="both"/>
              <w:textAlignment w:val="auto"/>
              <w:rPr>
                <w:rFonts w:hint="default" w:asciiTheme="minorEastAsia" w:hAnsiTheme="minorEastAsia" w:cstheme="minorEastAsia"/>
                <w:b w:val="0"/>
                <w:bCs w:val="0"/>
                <w:sz w:val="24"/>
                <w:szCs w:val="24"/>
                <w:vertAlign w:val="baseline"/>
                <w:lang w:val="en-US" w:eastAsia="zh-CN"/>
              </w:rPr>
            </w:pPr>
          </w:p>
        </w:tc>
        <w:tc>
          <w:tcPr>
            <w:tcW w:w="7945" w:type="dxa"/>
            <w:gridSpan w:val="2"/>
            <w:vAlign w:val="center"/>
          </w:tcPr>
          <w:p w14:paraId="6630134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电子化投标注意事项</w:t>
            </w:r>
          </w:p>
        </w:tc>
      </w:tr>
      <w:tr w14:paraId="605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DD842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7945" w:type="dxa"/>
            <w:gridSpan w:val="2"/>
            <w:vAlign w:val="center"/>
          </w:tcPr>
          <w:p w14:paraId="31DF1A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本项目为电子化、无纸化交易项目，响应文件是响应人、供应商（以下简称“响应人”）通过中心响应文件制作系统制作，并经过签章和加密后生成的电子版响应文件。</w:t>
            </w:r>
          </w:p>
          <w:p w14:paraId="3C33A66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电子化响应文件具体制作教材请投标人通过CA证书登录三门峡市公共资源电子化交易系统在“交易智库”中下载操作流程。</w:t>
            </w:r>
          </w:p>
          <w:p w14:paraId="0761284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温馨提示：本项目为电子化、无纸化交易项目，为保证您能投标成功，请需仔细阅读以下条款。</w:t>
            </w:r>
          </w:p>
          <w:p w14:paraId="6688B5C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一、电子化投标</w:t>
            </w:r>
          </w:p>
          <w:p w14:paraId="1932653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（一）电子化响应文件的签章</w:t>
            </w:r>
          </w:p>
          <w:p w14:paraId="0DC72E0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1、响应人在生成电子化响应文件后，应对电子化响应文件进行签章，未进行签章的视为无效投标。</w:t>
            </w:r>
          </w:p>
          <w:p w14:paraId="288C72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13FF3C5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（二）电子化响应文件的格式及上传投标</w:t>
            </w:r>
          </w:p>
          <w:p w14:paraId="10BA7F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2585E1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注：响应人投报多个标段的，需要每个标段单独制作电子响应文件。</w:t>
            </w:r>
          </w:p>
          <w:p w14:paraId="5529989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3B728E3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210CA7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技术联系电话：400-998-0000</w:t>
            </w:r>
          </w:p>
          <w:p w14:paraId="4933D7D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主体库咨询电话:0398-3117815</w:t>
            </w:r>
          </w:p>
          <w:p w14:paraId="64EB940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CA证书制发:0398-2181635</w:t>
            </w:r>
          </w:p>
          <w:p w14:paraId="3C9A398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科技信息科:0398-3117095</w:t>
            </w:r>
          </w:p>
          <w:p w14:paraId="6F0F460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（三）电子化项目开标、解密、评标</w:t>
            </w:r>
          </w:p>
          <w:p w14:paraId="7FD3E0A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504A7E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采用一次加密方式。开标时，由响应人使用CA证书，在规定时间内对其电子化响应文件进行解密。每位响应人的解密时间为开标时间起30分钟内，如在规定时间内未完成解密的，其响应文件不予开标。</w:t>
            </w:r>
          </w:p>
          <w:p w14:paraId="040A792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3、电子化响应文件解密异常的处理</w:t>
            </w:r>
          </w:p>
          <w:p w14:paraId="56F73D7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1CB0DB5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（1）首先由技术人员进行问题排查。</w:t>
            </w:r>
          </w:p>
          <w:p w14:paraId="0034AC9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（2）经技术人员排查后，是响应人文件自身问题导致响应文件无法解密的，该响应文件将不予接收、解密。开标会议继续进行。</w:t>
            </w:r>
          </w:p>
          <w:p w14:paraId="12ACEB4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29FF22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4、待所有响应人响应文件解密完成后，由中介服务机构操作，对所有已解密响应文件进行解密。</w:t>
            </w:r>
          </w:p>
          <w:p w14:paraId="119BA1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80B530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0F339B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8AAD8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3190A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二、资格审查资料</w:t>
            </w:r>
          </w:p>
          <w:p w14:paraId="5333823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603786D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4" w:firstLineChars="200"/>
        <w:jc w:val="left"/>
        <w:textAlignment w:val="auto"/>
        <w:rPr>
          <w:rFonts w:hint="eastAsia" w:asciiTheme="minorEastAsia" w:hAnsiTheme="minorEastAsia" w:eastAsiaTheme="minorEastAsia" w:cstheme="minorEastAsia"/>
          <w:sz w:val="24"/>
          <w:szCs w:val="24"/>
        </w:rPr>
      </w:pPr>
      <w:bookmarkStart w:id="7" w:name="_Toc109675040"/>
      <w:bookmarkStart w:id="8" w:name="_Toc145065058"/>
      <w:r>
        <w:rPr>
          <w:rFonts w:hint="eastAsia" w:asciiTheme="minorEastAsia" w:hAnsiTheme="minorEastAsia" w:eastAsiaTheme="minorEastAsia" w:cstheme="minorEastAsia"/>
          <w:b/>
          <w:bCs/>
          <w:spacing w:val="-7"/>
          <w:sz w:val="24"/>
          <w:szCs w:val="24"/>
        </w:rPr>
        <w:t>1.总则</w:t>
      </w:r>
    </w:p>
    <w:p w14:paraId="11FC842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1.1采购方式及定义</w:t>
      </w:r>
    </w:p>
    <w:p w14:paraId="33B0ED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本次招标采用竞争性磋商方式（以下简称磋商</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
          <w:sz w:val="24"/>
          <w:szCs w:val="24"/>
        </w:rPr>
        <w:t>本竞争性磋商文件仅适用于竞争性磋</w:t>
      </w:r>
      <w:r>
        <w:rPr>
          <w:rFonts w:hint="eastAsia" w:asciiTheme="minorEastAsia" w:hAnsiTheme="minorEastAsia" w:eastAsiaTheme="minorEastAsia" w:cstheme="minorEastAsia"/>
          <w:spacing w:val="-5"/>
          <w:sz w:val="24"/>
          <w:szCs w:val="24"/>
        </w:rPr>
        <w:t>商公告中所述项目。</w:t>
      </w:r>
    </w:p>
    <w:p w14:paraId="395064E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采购人指本项目的需方。</w:t>
      </w:r>
    </w:p>
    <w:p w14:paraId="15EA64EA">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招标代理机构指负责组织本次竞争性磋商活动的机构。</w:t>
      </w:r>
    </w:p>
    <w:p w14:paraId="7A5264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合格的供应商</w:t>
      </w:r>
    </w:p>
    <w:p w14:paraId="400E544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1.1.1满足竞争性磋商公告中供应商的资格条件的规定。</w:t>
      </w:r>
    </w:p>
    <w:p w14:paraId="68A9AF2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1.1.2.满足本文件实质性条款的规定。</w:t>
      </w:r>
    </w:p>
    <w:p w14:paraId="5B0D134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1.2适用法律</w:t>
      </w:r>
    </w:p>
    <w:p w14:paraId="0789667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本次竞争性磋商及由此产生的合同受中华人民共和国有关的法</w:t>
      </w:r>
      <w:r>
        <w:rPr>
          <w:rFonts w:hint="eastAsia" w:asciiTheme="minorEastAsia" w:hAnsiTheme="minorEastAsia" w:eastAsiaTheme="minorEastAsia" w:cstheme="minorEastAsia"/>
          <w:spacing w:val="-2"/>
          <w:sz w:val="24"/>
          <w:szCs w:val="24"/>
        </w:rPr>
        <w:t>律法规制约和保护。</w:t>
      </w:r>
    </w:p>
    <w:p w14:paraId="27DCDE7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1.1.3磋商费用</w:t>
      </w:r>
    </w:p>
    <w:p w14:paraId="0211BA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1.供应商应自行承担所有与参加磋商有关的费用，无论磋商过程中的做法和结果</w:t>
      </w:r>
      <w:r>
        <w:rPr>
          <w:rFonts w:hint="eastAsia" w:asciiTheme="minorEastAsia" w:hAnsiTheme="minorEastAsia" w:eastAsiaTheme="minorEastAsia" w:cstheme="minorEastAsia"/>
          <w:spacing w:val="-1"/>
          <w:sz w:val="24"/>
          <w:szCs w:val="24"/>
        </w:rPr>
        <w:t>如何，</w:t>
      </w:r>
      <w:r>
        <w:rPr>
          <w:rFonts w:hint="eastAsia" w:asciiTheme="minorEastAsia" w:hAnsiTheme="minorEastAsia" w:eastAsiaTheme="minorEastAsia" w:cstheme="minorEastAsia"/>
          <w:spacing w:val="-2"/>
          <w:sz w:val="24"/>
          <w:szCs w:val="24"/>
        </w:rPr>
        <w:t>招标代理机构在任何情况下均无义务和责任承担这些费用。</w:t>
      </w:r>
    </w:p>
    <w:p w14:paraId="00F3DC2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2.本次竞争性磋商磋商服务费：招标代理服务收费参照豫招协[2023]002号河南省招标</w:t>
      </w:r>
      <w:r>
        <w:rPr>
          <w:rFonts w:hint="eastAsia" w:asciiTheme="minorEastAsia" w:hAnsiTheme="minorEastAsia" w:eastAsiaTheme="minorEastAsia" w:cstheme="minorEastAsia"/>
          <w:sz w:val="24"/>
          <w:szCs w:val="24"/>
        </w:rPr>
        <w:t>投标协会关于印发《河南省招标代理服务收费指导意见》规</w:t>
      </w:r>
      <w:r>
        <w:rPr>
          <w:rFonts w:hint="eastAsia" w:asciiTheme="minorEastAsia" w:hAnsiTheme="minorEastAsia" w:eastAsiaTheme="minorEastAsia" w:cstheme="minorEastAsia"/>
          <w:spacing w:val="-1"/>
          <w:sz w:val="24"/>
          <w:szCs w:val="24"/>
        </w:rPr>
        <w:t>定的收费标准收取中标服务费。</w:t>
      </w:r>
      <w:r>
        <w:rPr>
          <w:rFonts w:hint="eastAsia" w:asciiTheme="minorEastAsia" w:hAnsiTheme="minorEastAsia" w:eastAsiaTheme="minorEastAsia" w:cstheme="minorEastAsia"/>
          <w:spacing w:val="-3"/>
          <w:sz w:val="24"/>
          <w:szCs w:val="24"/>
        </w:rPr>
        <w:t>招标代理服务收费按差额定率累进法计算。</w:t>
      </w:r>
    </w:p>
    <w:p w14:paraId="037443B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3.供应商购买本竞争性磋商文件并决定参加磋商，即被认为接受了本竞争性磋商文件的</w:t>
      </w:r>
      <w:r>
        <w:rPr>
          <w:rFonts w:hint="eastAsia" w:asciiTheme="minorEastAsia" w:hAnsiTheme="minorEastAsia" w:eastAsiaTheme="minorEastAsia" w:cstheme="minorEastAsia"/>
          <w:spacing w:val="1"/>
          <w:sz w:val="24"/>
          <w:szCs w:val="24"/>
        </w:rPr>
        <w:t>规定和约束，并且视为自竞争性磋商公告期限届</w:t>
      </w:r>
      <w:r>
        <w:rPr>
          <w:rFonts w:hint="eastAsia" w:asciiTheme="minorEastAsia" w:hAnsiTheme="minorEastAsia" w:eastAsiaTheme="minorEastAsia" w:cstheme="minorEastAsia"/>
          <w:sz w:val="24"/>
          <w:szCs w:val="24"/>
        </w:rPr>
        <w:t>满之日起已经知道或应当知道自身权益是否</w:t>
      </w:r>
      <w:r>
        <w:rPr>
          <w:rFonts w:hint="eastAsia" w:asciiTheme="minorEastAsia" w:hAnsiTheme="minorEastAsia" w:eastAsiaTheme="minorEastAsia" w:cstheme="minorEastAsia"/>
          <w:spacing w:val="-7"/>
          <w:sz w:val="24"/>
          <w:szCs w:val="24"/>
        </w:rPr>
        <w:t>受到了损害。</w:t>
      </w:r>
    </w:p>
    <w:p w14:paraId="619EAAA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outlineLvl w:val="0"/>
        <w:rPr>
          <w:rFonts w:hint="eastAsia" w:asciiTheme="minorEastAsia" w:hAnsiTheme="minorEastAsia" w:eastAsiaTheme="minorEastAsia" w:cstheme="minorEastAsia"/>
          <w:sz w:val="24"/>
          <w:szCs w:val="24"/>
        </w:rPr>
      </w:pPr>
      <w:bookmarkStart w:id="9" w:name="_Toc10639"/>
      <w:r>
        <w:rPr>
          <w:rFonts w:hint="eastAsia" w:asciiTheme="minorEastAsia" w:hAnsiTheme="minorEastAsia" w:eastAsiaTheme="minorEastAsia" w:cstheme="minorEastAsia"/>
          <w:b/>
          <w:bCs/>
          <w:spacing w:val="-3"/>
          <w:sz w:val="24"/>
          <w:szCs w:val="24"/>
        </w:rPr>
        <w:t>2.竞争性磋商文件</w:t>
      </w:r>
      <w:bookmarkEnd w:id="9"/>
    </w:p>
    <w:p w14:paraId="5691EA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2.1竞争性磋商文件构成</w:t>
      </w:r>
    </w:p>
    <w:p w14:paraId="3B678D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2.1.1竞争性磋商公告</w:t>
      </w:r>
    </w:p>
    <w:p w14:paraId="617A52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2.1.2供应商须知</w:t>
      </w:r>
    </w:p>
    <w:p w14:paraId="3A9AB9A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2.1.3评审标准</w:t>
      </w:r>
    </w:p>
    <w:p w14:paraId="3557078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2.1.4合同条款及格式</w:t>
      </w:r>
    </w:p>
    <w:p w14:paraId="2096863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2.1.5工程量清单</w:t>
      </w:r>
    </w:p>
    <w:p w14:paraId="405BBAE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2.1.6</w:t>
      </w:r>
      <w:r>
        <w:rPr>
          <w:rFonts w:hint="eastAsia" w:asciiTheme="minorEastAsia" w:hAnsiTheme="minorEastAsia" w:eastAsiaTheme="minorEastAsia" w:cstheme="minorEastAsia"/>
          <w:spacing w:val="-3"/>
          <w:sz w:val="24"/>
          <w:szCs w:val="24"/>
        </w:rPr>
        <w:t>响应文件格式</w:t>
      </w:r>
    </w:p>
    <w:p w14:paraId="205584C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2.2竞争性磋商文件的澄清及修改</w:t>
      </w:r>
    </w:p>
    <w:p w14:paraId="607F6A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2.2.1招标代理机构对已发出的竞争性磋商文件进行必要澄清、修改或补充的，应当在竞争性磋商文件要求提交响应性文件截止时间5个工</w:t>
      </w:r>
      <w:r>
        <w:rPr>
          <w:rFonts w:hint="eastAsia" w:asciiTheme="minorEastAsia" w:hAnsiTheme="minorEastAsia" w:eastAsiaTheme="minorEastAsia" w:cstheme="minorEastAsia"/>
          <w:spacing w:val="-2"/>
          <w:sz w:val="24"/>
          <w:szCs w:val="24"/>
        </w:rPr>
        <w:t>作日（如至原定截止时间不足5个工作</w:t>
      </w:r>
      <w:r>
        <w:rPr>
          <w:rFonts w:hint="eastAsia" w:asciiTheme="minorEastAsia" w:hAnsiTheme="minorEastAsia" w:eastAsiaTheme="minorEastAsia" w:cstheme="minorEastAsia"/>
          <w:spacing w:val="-3"/>
          <w:sz w:val="24"/>
          <w:szCs w:val="24"/>
        </w:rPr>
        <w:t>日，则需延长磋商开始时间）前，在</w:t>
      </w:r>
      <w:r>
        <w:rPr>
          <w:rFonts w:hint="eastAsia" w:asciiTheme="minorEastAsia" w:hAnsiTheme="minorEastAsia" w:cstheme="minorEastAsia"/>
          <w:spacing w:val="-3"/>
          <w:sz w:val="24"/>
          <w:szCs w:val="24"/>
          <w:lang w:val="en-US" w:eastAsia="zh-CN"/>
        </w:rPr>
        <w:t>招标公告发布的</w:t>
      </w:r>
      <w:r>
        <w:rPr>
          <w:rFonts w:hint="eastAsia" w:asciiTheme="minorEastAsia" w:hAnsiTheme="minorEastAsia" w:cstheme="minorEastAsia"/>
          <w:spacing w:val="1"/>
          <w:sz w:val="24"/>
          <w:szCs w:val="24"/>
          <w:lang w:val="en-US" w:eastAsia="zh-CN"/>
        </w:rPr>
        <w:t>同一</w:t>
      </w:r>
      <w:r>
        <w:rPr>
          <w:rFonts w:hint="eastAsia" w:asciiTheme="minorEastAsia" w:hAnsiTheme="minorEastAsia" w:eastAsiaTheme="minorEastAsia" w:cstheme="minorEastAsia"/>
          <w:spacing w:val="1"/>
          <w:sz w:val="24"/>
          <w:szCs w:val="24"/>
        </w:rPr>
        <w:t>媒体</w:t>
      </w:r>
      <w:r>
        <w:rPr>
          <w:rFonts w:hint="eastAsia" w:asciiTheme="minorEastAsia" w:hAnsiTheme="minorEastAsia" w:eastAsiaTheme="minorEastAsia" w:cstheme="minorEastAsia"/>
          <w:sz w:val="24"/>
          <w:szCs w:val="24"/>
        </w:rPr>
        <w:t>上发布更正公告。竞争性磋商文件公示</w:t>
      </w:r>
      <w:r>
        <w:rPr>
          <w:rFonts w:hint="eastAsia" w:asciiTheme="minorEastAsia" w:hAnsiTheme="minorEastAsia" w:eastAsiaTheme="minorEastAsia" w:cstheme="minorEastAsia"/>
          <w:spacing w:val="-2"/>
          <w:sz w:val="24"/>
          <w:szCs w:val="24"/>
        </w:rPr>
        <w:t>期间对竞争性磋商文件进行的澄清、修改或补充不受上述限制。</w:t>
      </w:r>
    </w:p>
    <w:p w14:paraId="782EA15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2.2.2磋商文件的澄清以澄清回复的方式在三门峡市公共资源交易系统中回复所有报名</w:t>
      </w:r>
      <w:r>
        <w:rPr>
          <w:rFonts w:hint="eastAsia" w:asciiTheme="minorEastAsia" w:hAnsiTheme="minorEastAsia" w:eastAsiaTheme="minorEastAsia" w:cstheme="minorEastAsia"/>
          <w:spacing w:val="1"/>
          <w:sz w:val="24"/>
          <w:szCs w:val="24"/>
        </w:rPr>
        <w:t>完成的供应商或发布澄清公告，但不指明澄清问题的</w:t>
      </w:r>
      <w:r>
        <w:rPr>
          <w:rFonts w:hint="eastAsia" w:asciiTheme="minorEastAsia" w:hAnsiTheme="minorEastAsia" w:eastAsiaTheme="minorEastAsia" w:cstheme="minorEastAsia"/>
          <w:sz w:val="24"/>
          <w:szCs w:val="24"/>
        </w:rPr>
        <w:t>来源。澄清磋商文件实质性内容且影响</w:t>
      </w:r>
      <w:r>
        <w:rPr>
          <w:rFonts w:hint="eastAsia" w:asciiTheme="minorEastAsia" w:hAnsiTheme="minorEastAsia" w:eastAsiaTheme="minorEastAsia" w:cstheme="minorEastAsia"/>
          <w:spacing w:val="-2"/>
          <w:sz w:val="24"/>
          <w:szCs w:val="24"/>
        </w:rPr>
        <w:t>投标文件编制的，应当顺延提交首次响应文件截止时间。</w:t>
      </w:r>
    </w:p>
    <w:p w14:paraId="28EAE7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2.2.3提交首次响应文件截止之日前，采购人、招标代理公司可以对已发出的磋商文件</w:t>
      </w:r>
      <w:r>
        <w:rPr>
          <w:rFonts w:hint="eastAsia" w:asciiTheme="minorEastAsia" w:hAnsiTheme="minorEastAsia" w:eastAsiaTheme="minorEastAsia" w:cstheme="minorEastAsia"/>
          <w:spacing w:val="1"/>
          <w:sz w:val="24"/>
          <w:szCs w:val="24"/>
        </w:rPr>
        <w:t>进行必要的澄清或者修改，澄清或者修改的内容作为</w:t>
      </w:r>
      <w:r>
        <w:rPr>
          <w:rFonts w:hint="eastAsia" w:asciiTheme="minorEastAsia" w:hAnsiTheme="minorEastAsia" w:eastAsiaTheme="minorEastAsia" w:cstheme="minorEastAsia"/>
          <w:sz w:val="24"/>
          <w:szCs w:val="24"/>
        </w:rPr>
        <w:t>磋商文件的组成部分。澄清或者修改的</w:t>
      </w:r>
      <w:r>
        <w:rPr>
          <w:rFonts w:hint="eastAsia" w:asciiTheme="minorEastAsia" w:hAnsiTheme="minorEastAsia" w:eastAsiaTheme="minorEastAsia" w:cstheme="minorEastAsia"/>
          <w:spacing w:val="1"/>
          <w:sz w:val="24"/>
          <w:szCs w:val="24"/>
        </w:rPr>
        <w:t>内容可能影响响应文件编制的，采购人、招标代理公</w:t>
      </w:r>
      <w:r>
        <w:rPr>
          <w:rFonts w:hint="eastAsia" w:asciiTheme="minorEastAsia" w:hAnsiTheme="minorEastAsia" w:eastAsiaTheme="minorEastAsia" w:cstheme="minorEastAsia"/>
          <w:sz w:val="24"/>
          <w:szCs w:val="24"/>
        </w:rPr>
        <w:t>司将在提交首次响应文件截止时间至少</w:t>
      </w:r>
      <w:r>
        <w:rPr>
          <w:rFonts w:hint="eastAsia" w:asciiTheme="minorEastAsia" w:hAnsiTheme="minorEastAsia" w:eastAsiaTheme="minorEastAsia" w:cstheme="minorEastAsia"/>
          <w:spacing w:val="-2"/>
          <w:sz w:val="24"/>
          <w:szCs w:val="24"/>
        </w:rPr>
        <w:t>5日前，在相关网上发布变更公告形式通知所有获取磋商文件的供应商。不足5日的</w:t>
      </w:r>
      <w:r>
        <w:rPr>
          <w:rFonts w:hint="eastAsia" w:asciiTheme="minorEastAsia" w:hAnsiTheme="minorEastAsia" w:eastAsiaTheme="minorEastAsia" w:cstheme="minorEastAsia"/>
          <w:spacing w:val="-3"/>
          <w:sz w:val="24"/>
          <w:szCs w:val="24"/>
        </w:rPr>
        <w:t>，应当顺延提交首次响应文件截止时间。</w:t>
      </w:r>
    </w:p>
    <w:p w14:paraId="3C2B46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2.2.4供应商应自行查看澄清或变更信息。</w:t>
      </w:r>
    </w:p>
    <w:p w14:paraId="48E3D2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3.初次报价表</w:t>
      </w:r>
    </w:p>
    <w:p w14:paraId="53012FA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3.1供应商应按照竞争性磋商文件规定格式填报初次报价表。每项费用允许有一个报价，</w:t>
      </w:r>
      <w:r>
        <w:rPr>
          <w:rFonts w:hint="eastAsia" w:asciiTheme="minorEastAsia" w:hAnsiTheme="minorEastAsia" w:eastAsiaTheme="minorEastAsia" w:cstheme="minorEastAsia"/>
          <w:spacing w:val="-3"/>
          <w:sz w:val="24"/>
          <w:szCs w:val="24"/>
        </w:rPr>
        <w:t>任何有选择的报价将不予接受。</w:t>
      </w:r>
    </w:p>
    <w:p w14:paraId="0243FB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3.2有关费用处理</w:t>
      </w:r>
    </w:p>
    <w:p w14:paraId="033FCF3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本项目应以人民币报价，供应商应就该项目</w:t>
      </w:r>
      <w:r>
        <w:rPr>
          <w:rFonts w:hint="eastAsia" w:asciiTheme="minorEastAsia" w:hAnsiTheme="minorEastAsia" w:eastAsiaTheme="minorEastAsia" w:cstheme="minorEastAsia"/>
          <w:spacing w:val="-2"/>
          <w:sz w:val="24"/>
          <w:szCs w:val="24"/>
        </w:rPr>
        <w:t>完整投标（报价、服务、税费、售后服务等</w:t>
      </w:r>
      <w:r>
        <w:rPr>
          <w:rFonts w:hint="eastAsia" w:asciiTheme="minorEastAsia" w:hAnsiTheme="minorEastAsia" w:eastAsiaTheme="minorEastAsia" w:cstheme="minorEastAsia"/>
          <w:spacing w:val="-4"/>
          <w:sz w:val="24"/>
          <w:szCs w:val="24"/>
        </w:rPr>
        <w:t>综合费用</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rPr>
        <w:t>采购人不另外支付其他任何费用；</w:t>
      </w:r>
    </w:p>
    <w:p w14:paraId="7C4DBB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3.3其它费用处理</w:t>
      </w:r>
    </w:p>
    <w:p w14:paraId="6351DE6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竞争性磋商文件未列明，而供应商认为必需的费用也需列入报价。</w:t>
      </w:r>
    </w:p>
    <w:p w14:paraId="67FF17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3.4响应文件货币</w:t>
      </w:r>
    </w:p>
    <w:p w14:paraId="1E8B13F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响应文件中的报价无特殊规定的采用人民币报价，以元为单位标注。竞争性磋商文件中</w:t>
      </w:r>
      <w:r>
        <w:rPr>
          <w:rFonts w:hint="eastAsia" w:asciiTheme="minorEastAsia" w:hAnsiTheme="minorEastAsia" w:eastAsiaTheme="minorEastAsia" w:cstheme="minorEastAsia"/>
          <w:spacing w:val="-5"/>
          <w:sz w:val="24"/>
          <w:szCs w:val="24"/>
        </w:rPr>
        <w:t>另有规定的按规定执行。</w:t>
      </w:r>
    </w:p>
    <w:p w14:paraId="0734682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4.参加竞争性磋商响应书</w:t>
      </w:r>
    </w:p>
    <w:p w14:paraId="232642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4.1供应商应按照竞争性磋商文件中提供的格式完整</w:t>
      </w:r>
      <w:r>
        <w:rPr>
          <w:rFonts w:hint="eastAsia" w:asciiTheme="minorEastAsia" w:hAnsiTheme="minorEastAsia" w:eastAsiaTheme="minorEastAsia" w:cstheme="minorEastAsia"/>
          <w:spacing w:val="-2"/>
          <w:sz w:val="24"/>
          <w:szCs w:val="24"/>
        </w:rPr>
        <w:t>、正确填写竞争性磋商响应书。</w:t>
      </w:r>
    </w:p>
    <w:p w14:paraId="223392C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0"/>
        <w:rPr>
          <w:rFonts w:hint="eastAsia" w:asciiTheme="minorEastAsia" w:hAnsiTheme="minorEastAsia" w:eastAsiaTheme="minorEastAsia" w:cstheme="minorEastAsia"/>
          <w:sz w:val="24"/>
          <w:szCs w:val="24"/>
        </w:rPr>
      </w:pPr>
      <w:bookmarkStart w:id="10" w:name="_Toc9434"/>
      <w:r>
        <w:rPr>
          <w:rFonts w:hint="eastAsia" w:asciiTheme="minorEastAsia" w:hAnsiTheme="minorEastAsia" w:eastAsiaTheme="minorEastAsia" w:cstheme="minorEastAsia"/>
          <w:b/>
          <w:bCs/>
          <w:spacing w:val="-4"/>
          <w:sz w:val="24"/>
          <w:szCs w:val="24"/>
        </w:rPr>
        <w:t>5.磋商与评审</w:t>
      </w:r>
      <w:bookmarkEnd w:id="10"/>
    </w:p>
    <w:p w14:paraId="01D8E106">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0"/>
        <w:rPr>
          <w:rFonts w:hint="eastAsia" w:asciiTheme="minorEastAsia" w:hAnsiTheme="minorEastAsia" w:eastAsiaTheme="minorEastAsia" w:cstheme="minorEastAsia"/>
          <w:sz w:val="24"/>
          <w:szCs w:val="24"/>
        </w:rPr>
      </w:pPr>
      <w:bookmarkStart w:id="11" w:name="_Toc12117"/>
      <w:r>
        <w:rPr>
          <w:rFonts w:hint="eastAsia" w:asciiTheme="minorEastAsia" w:hAnsiTheme="minorEastAsia" w:eastAsiaTheme="minorEastAsia" w:cstheme="minorEastAsia"/>
          <w:spacing w:val="-3"/>
          <w:sz w:val="24"/>
          <w:szCs w:val="24"/>
        </w:rPr>
        <w:t>5.1磋商仪式</w:t>
      </w:r>
      <w:bookmarkEnd w:id="11"/>
    </w:p>
    <w:p w14:paraId="24812A3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5.1.1交易中心将在竞争性磋商公告中规定的时间和地点组织磋商。</w:t>
      </w:r>
    </w:p>
    <w:p w14:paraId="01C7657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5.1.2磋商仪式由代理公司主持，采购人代</w:t>
      </w:r>
      <w:r>
        <w:rPr>
          <w:rFonts w:hint="eastAsia" w:asciiTheme="minorEastAsia" w:hAnsiTheme="minorEastAsia" w:eastAsiaTheme="minorEastAsia" w:cstheme="minorEastAsia"/>
          <w:spacing w:val="-2"/>
          <w:sz w:val="24"/>
          <w:szCs w:val="24"/>
        </w:rPr>
        <w:t>表、监督人代表等有关工作人员参加。</w:t>
      </w:r>
    </w:p>
    <w:p w14:paraId="0420072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6.磋商小组</w:t>
      </w:r>
    </w:p>
    <w:p w14:paraId="1820A99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6.1采购代理机构根据采购项目的特点依</w:t>
      </w:r>
      <w:r>
        <w:rPr>
          <w:rFonts w:hint="eastAsia" w:asciiTheme="minorEastAsia" w:hAnsiTheme="minorEastAsia" w:eastAsiaTheme="minorEastAsia" w:cstheme="minorEastAsia"/>
          <w:spacing w:val="-1"/>
          <w:sz w:val="24"/>
          <w:szCs w:val="24"/>
        </w:rPr>
        <w:t>法组建磋商小组。磋商小组由采购人代表和有关技术、经济等方面的专家组成，成员为3人。其中：技术、经济等</w:t>
      </w:r>
      <w:r>
        <w:rPr>
          <w:rFonts w:hint="eastAsia" w:asciiTheme="minorEastAsia" w:hAnsiTheme="minorEastAsia" w:eastAsiaTheme="minorEastAsia" w:cstheme="minorEastAsia"/>
          <w:spacing w:val="-2"/>
          <w:sz w:val="24"/>
          <w:szCs w:val="24"/>
        </w:rPr>
        <w:t>方面的专家不能少于磋</w:t>
      </w:r>
      <w:r>
        <w:rPr>
          <w:rFonts w:hint="eastAsia" w:asciiTheme="minorEastAsia" w:hAnsiTheme="minorEastAsia" w:eastAsiaTheme="minorEastAsia" w:cstheme="minorEastAsia"/>
          <w:spacing w:val="-3"/>
          <w:sz w:val="24"/>
          <w:szCs w:val="24"/>
        </w:rPr>
        <w:t>商小组成员的2/3。采购人代表不得担任磋商小组组长。2名磋商小组成员确定方式：从相关</w:t>
      </w:r>
      <w:r>
        <w:rPr>
          <w:rFonts w:hint="eastAsia" w:asciiTheme="minorEastAsia" w:hAnsiTheme="minorEastAsia" w:eastAsiaTheme="minorEastAsia" w:cstheme="minorEastAsia"/>
          <w:spacing w:val="-5"/>
          <w:sz w:val="24"/>
          <w:szCs w:val="24"/>
        </w:rPr>
        <w:t>专家库中随机抽取。</w:t>
      </w:r>
    </w:p>
    <w:p w14:paraId="175D0C5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6.2磋商工作纪律及保密</w:t>
      </w:r>
    </w:p>
    <w:p w14:paraId="12B43E0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6.2.1评审专家应当遵守评审工作纪律，不得泄露评</w:t>
      </w:r>
      <w:r>
        <w:rPr>
          <w:rFonts w:hint="eastAsia" w:asciiTheme="minorEastAsia" w:hAnsiTheme="minorEastAsia" w:eastAsiaTheme="minorEastAsia" w:cstheme="minorEastAsia"/>
          <w:spacing w:val="-2"/>
          <w:sz w:val="24"/>
          <w:szCs w:val="24"/>
        </w:rPr>
        <w:t>审情况和评审中获悉的商业秘密。</w:t>
      </w:r>
    </w:p>
    <w:p w14:paraId="250B44C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6.3磋商小组工作原则</w:t>
      </w:r>
    </w:p>
    <w:p w14:paraId="105BC86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6.3.1磋商小组成员应当按照客观、公正、审慎的原则，根据磋商文件规定的</w:t>
      </w:r>
      <w:r>
        <w:rPr>
          <w:rFonts w:hint="eastAsia" w:asciiTheme="minorEastAsia" w:hAnsiTheme="minorEastAsia" w:eastAsiaTheme="minorEastAsia" w:cstheme="minorEastAsia"/>
          <w:spacing w:val="-7"/>
          <w:sz w:val="24"/>
          <w:szCs w:val="24"/>
        </w:rPr>
        <w:t>评审程序、</w:t>
      </w:r>
      <w:r>
        <w:rPr>
          <w:rFonts w:hint="eastAsia" w:asciiTheme="minorEastAsia" w:hAnsiTheme="minorEastAsia" w:eastAsiaTheme="minorEastAsia" w:cstheme="minorEastAsia"/>
          <w:sz w:val="24"/>
          <w:szCs w:val="24"/>
        </w:rPr>
        <w:t>评审方法和评审标准进行独立评审。未实质性响应磋商文件的响应文件按无效响应处理，磋</w:t>
      </w:r>
      <w:r>
        <w:rPr>
          <w:rFonts w:hint="eastAsia" w:asciiTheme="minorEastAsia" w:hAnsiTheme="minorEastAsia" w:eastAsiaTheme="minorEastAsia" w:cstheme="minorEastAsia"/>
          <w:spacing w:val="1"/>
          <w:sz w:val="24"/>
          <w:szCs w:val="24"/>
        </w:rPr>
        <w:t>商小组应当告知提交响应文件的供应商。磋商文件内</w:t>
      </w:r>
      <w:r>
        <w:rPr>
          <w:rFonts w:hint="eastAsia" w:asciiTheme="minorEastAsia" w:hAnsiTheme="minorEastAsia" w:eastAsiaTheme="minorEastAsia" w:cstheme="minorEastAsia"/>
          <w:sz w:val="24"/>
          <w:szCs w:val="24"/>
        </w:rPr>
        <w:t>容违反国家有关强制性规定的，磋商小</w:t>
      </w:r>
      <w:r>
        <w:rPr>
          <w:rFonts w:hint="eastAsia" w:asciiTheme="minorEastAsia" w:hAnsiTheme="minorEastAsia" w:eastAsiaTheme="minorEastAsia" w:cstheme="minorEastAsia"/>
          <w:spacing w:val="-2"/>
          <w:sz w:val="24"/>
          <w:szCs w:val="24"/>
        </w:rPr>
        <w:t>组应当停止评审并向采购人或者采购代理机构说明情况。</w:t>
      </w:r>
    </w:p>
    <w:p w14:paraId="2EB77C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6.4响应文件审查</w:t>
      </w:r>
    </w:p>
    <w:p w14:paraId="132388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6.4.1磋商小组在对响应文件的有效性、</w:t>
      </w:r>
      <w:r>
        <w:rPr>
          <w:rFonts w:hint="eastAsia" w:asciiTheme="minorEastAsia" w:hAnsiTheme="minorEastAsia" w:eastAsiaTheme="minorEastAsia" w:cstheme="minorEastAsia"/>
          <w:spacing w:val="-1"/>
          <w:sz w:val="24"/>
          <w:szCs w:val="24"/>
        </w:rPr>
        <w:t>完整性和响应程度进行审查时，可以要求供应</w:t>
      </w:r>
      <w:r>
        <w:rPr>
          <w:rFonts w:hint="eastAsia" w:asciiTheme="minorEastAsia" w:hAnsiTheme="minorEastAsia" w:eastAsiaTheme="minorEastAsia" w:cstheme="minorEastAsia"/>
          <w:spacing w:val="1"/>
          <w:sz w:val="24"/>
          <w:szCs w:val="24"/>
        </w:rPr>
        <w:t>商对响应文件中含义不明确、同类问题表述不一致</w:t>
      </w:r>
      <w:r>
        <w:rPr>
          <w:rFonts w:hint="eastAsia" w:asciiTheme="minorEastAsia" w:hAnsiTheme="minorEastAsia" w:eastAsiaTheme="minorEastAsia" w:cstheme="minorEastAsia"/>
          <w:sz w:val="24"/>
          <w:szCs w:val="24"/>
        </w:rPr>
        <w:t>或者有明显文字和计算错误的内容等做出</w:t>
      </w:r>
      <w:r>
        <w:rPr>
          <w:rFonts w:hint="eastAsia" w:asciiTheme="minorEastAsia" w:hAnsiTheme="minorEastAsia" w:eastAsiaTheme="minorEastAsia" w:cstheme="minorEastAsia"/>
          <w:spacing w:val="1"/>
          <w:sz w:val="24"/>
          <w:szCs w:val="24"/>
        </w:rPr>
        <w:t>必要的澄清、说明或者更正。供应商的澄清、说明</w:t>
      </w:r>
      <w:r>
        <w:rPr>
          <w:rFonts w:hint="eastAsia" w:asciiTheme="minorEastAsia" w:hAnsiTheme="minorEastAsia" w:eastAsiaTheme="minorEastAsia" w:cstheme="minorEastAsia"/>
          <w:sz w:val="24"/>
          <w:szCs w:val="24"/>
        </w:rPr>
        <w:t>或者更正不得超出响应文件的范围或者改</w:t>
      </w:r>
      <w:r>
        <w:rPr>
          <w:rFonts w:hint="eastAsia" w:asciiTheme="minorEastAsia" w:hAnsiTheme="minorEastAsia" w:eastAsiaTheme="minorEastAsia" w:cstheme="minorEastAsia"/>
          <w:spacing w:val="-4"/>
          <w:sz w:val="24"/>
          <w:szCs w:val="24"/>
        </w:rPr>
        <w:t>变响应文件的实质性内容。</w:t>
      </w:r>
    </w:p>
    <w:p w14:paraId="14CE598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6.5供应商澄清</w:t>
      </w:r>
    </w:p>
    <w:p w14:paraId="711E43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6.5.1磋商小组要求供应商澄清、说明或者更正响应文件的，供应商的回复文件必须以</w:t>
      </w:r>
    </w:p>
    <w:p w14:paraId="3C08640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经过投标供应商和其法定代表人签章的PDF格式文件为准，并通过电子化交易系统提交至磋</w:t>
      </w:r>
      <w:r>
        <w:rPr>
          <w:rFonts w:hint="eastAsia" w:asciiTheme="minorEastAsia" w:hAnsiTheme="minorEastAsia" w:eastAsiaTheme="minorEastAsia" w:cstheme="minorEastAsia"/>
          <w:spacing w:val="-10"/>
          <w:sz w:val="24"/>
          <w:szCs w:val="24"/>
        </w:rPr>
        <w:t>商小组。</w:t>
      </w:r>
    </w:p>
    <w:p w14:paraId="3B2323E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6.6磋商程序、最后报价、综合评分</w:t>
      </w:r>
    </w:p>
    <w:p w14:paraId="70F6831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6.6.1磋商小组所有成员应当集中与供应商</w:t>
      </w:r>
      <w:r>
        <w:rPr>
          <w:rFonts w:hint="eastAsia" w:asciiTheme="minorEastAsia" w:hAnsiTheme="minorEastAsia" w:eastAsiaTheme="minorEastAsia" w:cstheme="minorEastAsia"/>
          <w:sz w:val="24"/>
          <w:szCs w:val="24"/>
        </w:rPr>
        <w:t>分别进行磋商，并给予所有参加磋商的供应</w:t>
      </w:r>
      <w:r>
        <w:rPr>
          <w:rFonts w:hint="eastAsia" w:asciiTheme="minorEastAsia" w:hAnsiTheme="minorEastAsia" w:eastAsiaTheme="minorEastAsia" w:cstheme="minorEastAsia"/>
          <w:spacing w:val="-5"/>
          <w:sz w:val="24"/>
          <w:szCs w:val="24"/>
        </w:rPr>
        <w:t>商平等的磋商机会。</w:t>
      </w:r>
    </w:p>
    <w:p w14:paraId="341E3A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6.6.2在磋商过程中，磋商小组可以根</w:t>
      </w:r>
      <w:r>
        <w:rPr>
          <w:rFonts w:hint="eastAsia" w:asciiTheme="minorEastAsia" w:hAnsiTheme="minorEastAsia" w:eastAsiaTheme="minorEastAsia" w:cstheme="minorEastAsia"/>
          <w:spacing w:val="-1"/>
          <w:sz w:val="24"/>
          <w:szCs w:val="24"/>
        </w:rPr>
        <w:t>据磋商文件和磋商情况实质性变动采购需求中的</w:t>
      </w:r>
      <w:r>
        <w:rPr>
          <w:rFonts w:hint="eastAsia" w:asciiTheme="minorEastAsia" w:hAnsiTheme="minorEastAsia" w:eastAsiaTheme="minorEastAsia" w:cstheme="minorEastAsia"/>
          <w:spacing w:val="1"/>
          <w:sz w:val="24"/>
          <w:szCs w:val="24"/>
        </w:rPr>
        <w:t>技术、服务要求以及合同草案条款，但不得变动</w:t>
      </w:r>
      <w:r>
        <w:rPr>
          <w:rFonts w:hint="eastAsia" w:asciiTheme="minorEastAsia" w:hAnsiTheme="minorEastAsia" w:eastAsiaTheme="minorEastAsia" w:cstheme="minorEastAsia"/>
          <w:sz w:val="24"/>
          <w:szCs w:val="24"/>
        </w:rPr>
        <w:t>磋商文件中的其他内容。对磋商文件做出的</w:t>
      </w:r>
      <w:r>
        <w:rPr>
          <w:rFonts w:hint="eastAsia" w:asciiTheme="minorEastAsia" w:hAnsiTheme="minorEastAsia" w:eastAsiaTheme="minorEastAsia" w:cstheme="minorEastAsia"/>
          <w:spacing w:val="1"/>
          <w:sz w:val="24"/>
          <w:szCs w:val="24"/>
        </w:rPr>
        <w:t>实质性变动是磋商文件的有效组成部分，磋商小</w:t>
      </w:r>
      <w:r>
        <w:rPr>
          <w:rFonts w:hint="eastAsia" w:asciiTheme="minorEastAsia" w:hAnsiTheme="minorEastAsia" w:eastAsiaTheme="minorEastAsia" w:cstheme="minorEastAsia"/>
          <w:sz w:val="24"/>
          <w:szCs w:val="24"/>
        </w:rPr>
        <w:t>组应当及时以书面形式同时通知所有参加磋商的供应商。供应商应当按照磋商文件的变动情况和磋商小组的要求重新提交响应文件，并</w:t>
      </w:r>
      <w:r>
        <w:rPr>
          <w:rFonts w:hint="eastAsia" w:asciiTheme="minorEastAsia" w:hAnsiTheme="minorEastAsia" w:eastAsiaTheme="minorEastAsia" w:cstheme="minorEastAsia"/>
          <w:spacing w:val="-2"/>
          <w:sz w:val="24"/>
          <w:szCs w:val="24"/>
        </w:rPr>
        <w:t>由其法定代表人或授权代表签字或者加盖公</w:t>
      </w:r>
      <w:r>
        <w:rPr>
          <w:rFonts w:hint="eastAsia" w:asciiTheme="minorEastAsia" w:hAnsiTheme="minorEastAsia" w:eastAsiaTheme="minorEastAsia" w:cstheme="minorEastAsia"/>
          <w:spacing w:val="-3"/>
          <w:sz w:val="24"/>
          <w:szCs w:val="24"/>
        </w:rPr>
        <w:t>章。</w:t>
      </w:r>
    </w:p>
    <w:p w14:paraId="414A2FD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6.6.3磋商文件能够详细列明采购标的</w:t>
      </w:r>
      <w:r>
        <w:rPr>
          <w:rFonts w:hint="eastAsia" w:asciiTheme="minorEastAsia" w:hAnsiTheme="minorEastAsia" w:eastAsiaTheme="minorEastAsia" w:cstheme="minorEastAsia"/>
          <w:spacing w:val="-1"/>
          <w:sz w:val="24"/>
          <w:szCs w:val="24"/>
        </w:rPr>
        <w:t>的技术、服务要求的，磋商结束后，磋商小组将</w:t>
      </w:r>
      <w:r>
        <w:rPr>
          <w:rFonts w:hint="eastAsia" w:asciiTheme="minorEastAsia" w:hAnsiTheme="minorEastAsia" w:eastAsiaTheme="minorEastAsia" w:cstheme="minorEastAsia"/>
          <w:spacing w:val="1"/>
          <w:sz w:val="24"/>
          <w:szCs w:val="24"/>
        </w:rPr>
        <w:t>要求所有实质性响应的供应商在规定时间内提交最后报</w:t>
      </w:r>
      <w:r>
        <w:rPr>
          <w:rFonts w:hint="eastAsia" w:asciiTheme="minorEastAsia" w:hAnsiTheme="minorEastAsia" w:eastAsiaTheme="minorEastAsia" w:cstheme="minorEastAsia"/>
          <w:sz w:val="24"/>
          <w:szCs w:val="24"/>
        </w:rPr>
        <w:t>价。最后报价是供应商响应文件的有</w:t>
      </w:r>
      <w:r>
        <w:rPr>
          <w:rFonts w:hint="eastAsia" w:asciiTheme="minorEastAsia" w:hAnsiTheme="minorEastAsia" w:eastAsiaTheme="minorEastAsia" w:cstheme="minorEastAsia"/>
          <w:spacing w:val="-7"/>
          <w:sz w:val="24"/>
          <w:szCs w:val="24"/>
        </w:rPr>
        <w:t>效组成部分。</w:t>
      </w:r>
    </w:p>
    <w:p w14:paraId="4EA95D6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6.6.4经磋商确定最终采购需求和提交最后报价的供应商后，由磋商小组采用综合评分</w:t>
      </w:r>
      <w:r>
        <w:rPr>
          <w:rFonts w:hint="eastAsia" w:asciiTheme="minorEastAsia" w:hAnsiTheme="minorEastAsia" w:eastAsiaTheme="minorEastAsia" w:cstheme="minorEastAsia"/>
          <w:spacing w:val="1"/>
          <w:sz w:val="24"/>
          <w:szCs w:val="24"/>
        </w:rPr>
        <w:t>法对提交最后报价的供应商的响应文件和最后报价进</w:t>
      </w:r>
      <w:r>
        <w:rPr>
          <w:rFonts w:hint="eastAsia" w:asciiTheme="minorEastAsia" w:hAnsiTheme="minorEastAsia" w:eastAsiaTheme="minorEastAsia" w:cstheme="minorEastAsia"/>
          <w:sz w:val="24"/>
          <w:szCs w:val="24"/>
        </w:rPr>
        <w:t>行综合评分。综合评分法，是指响应文</w:t>
      </w:r>
      <w:r>
        <w:rPr>
          <w:rFonts w:hint="eastAsia" w:asciiTheme="minorEastAsia" w:hAnsiTheme="minorEastAsia" w:eastAsiaTheme="minorEastAsia" w:cstheme="minorEastAsia"/>
          <w:spacing w:val="1"/>
          <w:sz w:val="24"/>
          <w:szCs w:val="24"/>
        </w:rPr>
        <w:t>件满足磋商文件全部实质性要求且按评审因素的量化</w:t>
      </w:r>
      <w:r>
        <w:rPr>
          <w:rFonts w:hint="eastAsia" w:asciiTheme="minorEastAsia" w:hAnsiTheme="minorEastAsia" w:eastAsiaTheme="minorEastAsia" w:cstheme="minorEastAsia"/>
          <w:sz w:val="24"/>
          <w:szCs w:val="24"/>
        </w:rPr>
        <w:t>指标评审得分最高的供应商为成交候选</w:t>
      </w:r>
      <w:r>
        <w:rPr>
          <w:rFonts w:hint="eastAsia" w:asciiTheme="minorEastAsia" w:hAnsiTheme="minorEastAsia" w:eastAsiaTheme="minorEastAsia" w:cstheme="minorEastAsia"/>
          <w:spacing w:val="-5"/>
          <w:sz w:val="24"/>
          <w:szCs w:val="24"/>
        </w:rPr>
        <w:t>供应商的评审方法。</w:t>
      </w:r>
    </w:p>
    <w:p w14:paraId="191105A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6.6.5评审时，磋商小组各成员独立对</w:t>
      </w:r>
      <w:r>
        <w:rPr>
          <w:rFonts w:hint="eastAsia" w:asciiTheme="minorEastAsia" w:hAnsiTheme="minorEastAsia" w:eastAsiaTheme="minorEastAsia" w:cstheme="minorEastAsia"/>
          <w:spacing w:val="-1"/>
          <w:sz w:val="24"/>
          <w:szCs w:val="24"/>
        </w:rPr>
        <w:t>每个有效响应的文件进行评价、打分，然后汇总</w:t>
      </w:r>
      <w:r>
        <w:rPr>
          <w:rFonts w:hint="eastAsia" w:asciiTheme="minorEastAsia" w:hAnsiTheme="minorEastAsia" w:eastAsiaTheme="minorEastAsia" w:cstheme="minorEastAsia"/>
          <w:spacing w:val="-3"/>
          <w:sz w:val="24"/>
          <w:szCs w:val="24"/>
        </w:rPr>
        <w:t>每个供应商每项评分因素的得分。</w:t>
      </w:r>
    </w:p>
    <w:p w14:paraId="06E12DE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磋商小组应当根据综合评分情况，按照评审得分由高</w:t>
      </w:r>
      <w:r>
        <w:rPr>
          <w:rFonts w:hint="eastAsia" w:asciiTheme="minorEastAsia" w:hAnsiTheme="minorEastAsia" w:eastAsiaTheme="minorEastAsia" w:cstheme="minorEastAsia"/>
          <w:spacing w:val="-3"/>
          <w:sz w:val="24"/>
          <w:szCs w:val="24"/>
        </w:rPr>
        <w:t>到低顺序推荐1-3名成交候选供应</w:t>
      </w:r>
      <w:r>
        <w:rPr>
          <w:rFonts w:hint="eastAsia" w:asciiTheme="minorEastAsia" w:hAnsiTheme="minorEastAsia" w:eastAsiaTheme="minorEastAsia" w:cstheme="minorEastAsia"/>
          <w:spacing w:val="1"/>
          <w:sz w:val="24"/>
          <w:szCs w:val="24"/>
        </w:rPr>
        <w:t>商，并编写评审报告。评审得分相同的，按照最</w:t>
      </w:r>
      <w:r>
        <w:rPr>
          <w:rFonts w:hint="eastAsia" w:asciiTheme="minorEastAsia" w:hAnsiTheme="minorEastAsia" w:eastAsiaTheme="minorEastAsia" w:cstheme="minorEastAsia"/>
          <w:sz w:val="24"/>
          <w:szCs w:val="24"/>
        </w:rPr>
        <w:t>后报价由低到高的顺序推荐。评审得分且最</w:t>
      </w:r>
      <w:r>
        <w:rPr>
          <w:rFonts w:hint="eastAsia" w:asciiTheme="minorEastAsia" w:hAnsiTheme="minorEastAsia" w:eastAsiaTheme="minorEastAsia" w:cstheme="minorEastAsia"/>
          <w:spacing w:val="-3"/>
          <w:sz w:val="24"/>
          <w:szCs w:val="24"/>
        </w:rPr>
        <w:t>后报价相同的，按照技术指标优劣顺序推荐。</w:t>
      </w:r>
    </w:p>
    <w:p w14:paraId="75D9C3D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6.7响应无效和终止磋商活动条款</w:t>
      </w:r>
    </w:p>
    <w:p w14:paraId="3A116C92">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6.7.1响应无效条款</w:t>
      </w:r>
    </w:p>
    <w:p w14:paraId="0C7DBEF0">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1）未按照竞争性磋商文件规定要求签署、盖章的；</w:t>
      </w:r>
    </w:p>
    <w:p w14:paraId="3C2086A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2）供应商不具备竞争性磋商文件中规定资格条件的；</w:t>
      </w:r>
    </w:p>
    <w:p w14:paraId="50A071E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3）不符合法律、法规和竞争性磋商文件中规定的其</w:t>
      </w:r>
      <w:r>
        <w:rPr>
          <w:rFonts w:hint="eastAsia" w:asciiTheme="minorEastAsia" w:hAnsiTheme="minorEastAsia" w:eastAsiaTheme="minorEastAsia" w:cstheme="minorEastAsia"/>
          <w:spacing w:val="-3"/>
          <w:sz w:val="24"/>
          <w:szCs w:val="24"/>
        </w:rPr>
        <w:t>他实质性要求的；</w:t>
      </w:r>
    </w:p>
    <w:p w14:paraId="0E15CF9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4）其他法律、法规及本竞争性磋商文件规定的属响应无效的情形。</w:t>
      </w:r>
    </w:p>
    <w:p w14:paraId="4EC0526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6.7.2终止竞争性磋商采购活动的条款</w:t>
      </w:r>
    </w:p>
    <w:p w14:paraId="521E9B2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出现下列情形之一的，采购中心将终止竞争性磋商采购活动，发布项目终止公告并说明</w:t>
      </w:r>
      <w:r>
        <w:rPr>
          <w:rFonts w:hint="eastAsia" w:asciiTheme="minorEastAsia" w:hAnsiTheme="minorEastAsia" w:eastAsiaTheme="minorEastAsia" w:cstheme="minorEastAsia"/>
          <w:spacing w:val="-6"/>
          <w:sz w:val="24"/>
          <w:szCs w:val="24"/>
        </w:rPr>
        <w:t>原因，重新开展采购活动：</w:t>
      </w:r>
    </w:p>
    <w:p w14:paraId="61F0BB5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1）因情况变化，不再符合规定的竞争性磋商采购方式适用情形的；</w:t>
      </w:r>
    </w:p>
    <w:p w14:paraId="5747D05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2）出现影响采购公正的违法、违规行为的；</w:t>
      </w:r>
    </w:p>
    <w:p w14:paraId="1AE8AF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3)在采购过程中符合要求的供应商或者报价未超过采购预算的供应商不足3家的。</w:t>
      </w:r>
    </w:p>
    <w:p w14:paraId="018BAD2B">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7.确定成交人</w:t>
      </w:r>
    </w:p>
    <w:p w14:paraId="27C40AF1">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8"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7.1确定成交人</w:t>
      </w:r>
    </w:p>
    <w:p w14:paraId="27F922F4">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7.1.1采购代理机构应当自评审结束之日起2个工作日内将评审报告送</w:t>
      </w:r>
      <w:r>
        <w:rPr>
          <w:rFonts w:hint="eastAsia" w:asciiTheme="minorEastAsia" w:hAnsiTheme="minorEastAsia" w:eastAsiaTheme="minorEastAsia" w:cstheme="minorEastAsia"/>
          <w:spacing w:val="-2"/>
          <w:sz w:val="24"/>
          <w:szCs w:val="24"/>
        </w:rPr>
        <w:t>交采购人。采购</w:t>
      </w:r>
      <w:r>
        <w:rPr>
          <w:rFonts w:hint="eastAsia" w:asciiTheme="minorEastAsia" w:hAnsiTheme="minorEastAsia" w:eastAsiaTheme="minorEastAsia" w:cstheme="minorEastAsia"/>
          <w:spacing w:val="-1"/>
          <w:sz w:val="24"/>
          <w:szCs w:val="24"/>
        </w:rPr>
        <w:t>人应当自收到评审报告之日起5个工作日内在评审报告推荐的成交候选人中按顺序确定成交</w:t>
      </w:r>
      <w:r>
        <w:rPr>
          <w:rFonts w:hint="eastAsia" w:asciiTheme="minorEastAsia" w:hAnsiTheme="minorEastAsia" w:eastAsiaTheme="minorEastAsia" w:cstheme="minorEastAsia"/>
          <w:spacing w:val="-2"/>
          <w:sz w:val="24"/>
          <w:szCs w:val="24"/>
        </w:rPr>
        <w:t>人。成交候选人并列的，由采购人采取随机抽取的方式确定成交人。</w:t>
      </w:r>
    </w:p>
    <w:p w14:paraId="17F07E0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7.1.2采购人也可以书面授权磋商小组直接确定成交人。磋商小组直接确定成交人的应在竞争性磋商文件中写明。</w:t>
      </w:r>
    </w:p>
    <w:p w14:paraId="1DF8A04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8.成交结果公告</w:t>
      </w:r>
    </w:p>
    <w:p w14:paraId="7CE262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8.1.1采购人或者采购代理机构自成交人确定之日起2个工作日内，在公告发布的</w:t>
      </w:r>
      <w:r>
        <w:rPr>
          <w:rFonts w:hint="eastAsia" w:asciiTheme="minorEastAsia" w:hAnsiTheme="minorEastAsia" w:eastAsiaTheme="minorEastAsia" w:cstheme="minorEastAsia"/>
          <w:spacing w:val="-2"/>
          <w:sz w:val="24"/>
          <w:szCs w:val="24"/>
        </w:rPr>
        <w:t>同一</w:t>
      </w:r>
      <w:r>
        <w:rPr>
          <w:rFonts w:hint="eastAsia" w:asciiTheme="minorEastAsia" w:hAnsiTheme="minorEastAsia" w:eastAsiaTheme="minorEastAsia" w:cstheme="minorEastAsia"/>
          <w:spacing w:val="1"/>
          <w:sz w:val="24"/>
          <w:szCs w:val="24"/>
        </w:rPr>
        <w:t>媒介上公告成交结果，同时向成交人发出成交通知</w:t>
      </w:r>
      <w:r>
        <w:rPr>
          <w:rFonts w:hint="eastAsia" w:asciiTheme="minorEastAsia" w:hAnsiTheme="minorEastAsia" w:eastAsiaTheme="minorEastAsia" w:cstheme="minorEastAsia"/>
          <w:sz w:val="24"/>
          <w:szCs w:val="24"/>
        </w:rPr>
        <w:t>书，并将竞争性磋商文件随成交结果同时</w:t>
      </w:r>
      <w:r>
        <w:rPr>
          <w:rFonts w:hint="eastAsia" w:asciiTheme="minorEastAsia" w:hAnsiTheme="minorEastAsia" w:eastAsiaTheme="minorEastAsia" w:cstheme="minorEastAsia"/>
          <w:spacing w:val="-6"/>
          <w:sz w:val="24"/>
          <w:szCs w:val="24"/>
        </w:rPr>
        <w:t>公告，公告期限1个工作日。</w:t>
      </w:r>
    </w:p>
    <w:p w14:paraId="13AD09F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8.1.2成交结果公告内容包括采购人和采购代理机构的名称、地址和联系方式、项目名</w:t>
      </w:r>
      <w:r>
        <w:rPr>
          <w:rFonts w:hint="eastAsia" w:asciiTheme="minorEastAsia" w:hAnsiTheme="minorEastAsia" w:eastAsiaTheme="minorEastAsia" w:cstheme="minorEastAsia"/>
          <w:sz w:val="24"/>
          <w:szCs w:val="24"/>
        </w:rPr>
        <w:t>称和项目编号、成交人名称、地址和成交金额、主要成交标的的名称、规格型号、数量、单</w:t>
      </w:r>
      <w:r>
        <w:rPr>
          <w:rFonts w:hint="eastAsia" w:asciiTheme="minorEastAsia" w:hAnsiTheme="minorEastAsia" w:eastAsiaTheme="minorEastAsia" w:cstheme="minorEastAsia"/>
          <w:spacing w:val="-3"/>
          <w:sz w:val="24"/>
          <w:szCs w:val="24"/>
        </w:rPr>
        <w:t>价、服务要求、磋商小组成员名单。</w:t>
      </w:r>
    </w:p>
    <w:p w14:paraId="1C306AC3">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9.成交通知书</w:t>
      </w:r>
    </w:p>
    <w:p w14:paraId="60C52F3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在公告成交结果的同时，采购人或者采购代理机构向</w:t>
      </w:r>
      <w:r>
        <w:rPr>
          <w:rFonts w:hint="eastAsia" w:asciiTheme="minorEastAsia" w:hAnsiTheme="minorEastAsia" w:eastAsiaTheme="minorEastAsia" w:cstheme="minorEastAsia"/>
          <w:spacing w:val="-2"/>
          <w:sz w:val="24"/>
          <w:szCs w:val="24"/>
        </w:rPr>
        <w:t>成交人发出成交通知书，成交通知</w:t>
      </w:r>
      <w:r>
        <w:rPr>
          <w:rFonts w:hint="eastAsia" w:asciiTheme="minorEastAsia" w:hAnsiTheme="minorEastAsia" w:eastAsiaTheme="minorEastAsia" w:cstheme="minorEastAsia"/>
          <w:spacing w:val="-3"/>
          <w:sz w:val="24"/>
          <w:szCs w:val="24"/>
        </w:rPr>
        <w:t>书将作为进行合同磋商和签订合同的依据。</w:t>
      </w:r>
    </w:p>
    <w:p w14:paraId="4FADEC5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10.授予合同</w:t>
      </w:r>
    </w:p>
    <w:p w14:paraId="723809E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10.1签订合同</w:t>
      </w:r>
    </w:p>
    <w:p w14:paraId="00FC0395">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10.1.1中标人接到《成交通知书》后，30日内按指定地点与招标人签订施工合同。</w:t>
      </w:r>
    </w:p>
    <w:p w14:paraId="096F1B4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10.1.2招标人签发的成交通知书、</w:t>
      </w:r>
      <w:r>
        <w:rPr>
          <w:rFonts w:hint="eastAsia" w:asciiTheme="minorEastAsia" w:hAnsiTheme="minorEastAsia" w:cstheme="minorEastAsia"/>
          <w:spacing w:val="-6"/>
          <w:sz w:val="24"/>
          <w:szCs w:val="24"/>
          <w:lang w:eastAsia="zh-CN"/>
        </w:rPr>
        <w:t>磋商文件</w:t>
      </w:r>
      <w:r>
        <w:rPr>
          <w:rFonts w:hint="eastAsia" w:asciiTheme="minorEastAsia" w:hAnsiTheme="minorEastAsia" w:eastAsiaTheme="minorEastAsia" w:cstheme="minorEastAsia"/>
          <w:spacing w:val="-6"/>
          <w:sz w:val="24"/>
          <w:szCs w:val="24"/>
        </w:rPr>
        <w:t>、中标人的投标文件及其澄清文件等，均为</w:t>
      </w:r>
      <w:r>
        <w:rPr>
          <w:rFonts w:hint="eastAsia" w:asciiTheme="minorEastAsia" w:hAnsiTheme="minorEastAsia" w:eastAsiaTheme="minorEastAsia" w:cstheme="minorEastAsia"/>
          <w:spacing w:val="-5"/>
          <w:sz w:val="24"/>
          <w:szCs w:val="24"/>
        </w:rPr>
        <w:t>签定合同的依据。</w:t>
      </w:r>
    </w:p>
    <w:p w14:paraId="40CB473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10.1.3如中标人拒签合同，则按违约处理，招标人对违约方收取成交金额3%的违约金。</w:t>
      </w:r>
    </w:p>
    <w:p w14:paraId="6D82DDFE">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10.1.4当排名第一的中标候选人放弃中标、因不可抗力提出不能履行合同或存在法律法</w:t>
      </w:r>
      <w:r>
        <w:rPr>
          <w:rFonts w:hint="eastAsia" w:asciiTheme="minorEastAsia" w:hAnsiTheme="minorEastAsia" w:eastAsiaTheme="minorEastAsia" w:cstheme="minorEastAsia"/>
          <w:spacing w:val="-3"/>
          <w:sz w:val="24"/>
          <w:szCs w:val="24"/>
        </w:rPr>
        <w:t>规规定的中标无效情形的，招标人可以重新招标也可以确定排名第二的中标候选</w:t>
      </w:r>
      <w:r>
        <w:rPr>
          <w:rFonts w:hint="eastAsia" w:asciiTheme="minorEastAsia" w:hAnsiTheme="minorEastAsia" w:eastAsiaTheme="minorEastAsia" w:cstheme="minorEastAsia"/>
          <w:spacing w:val="-4"/>
          <w:sz w:val="24"/>
          <w:szCs w:val="24"/>
        </w:rPr>
        <w:t>人为中标人。</w:t>
      </w:r>
      <w:r>
        <w:rPr>
          <w:rFonts w:hint="eastAsia" w:asciiTheme="minorEastAsia" w:hAnsiTheme="minorEastAsia" w:eastAsiaTheme="minorEastAsia" w:cstheme="minorEastAsia"/>
          <w:spacing w:val="1"/>
          <w:sz w:val="24"/>
          <w:szCs w:val="24"/>
        </w:rPr>
        <w:t>当排名第二的中标候选人因上述同样原因不能签订合</w:t>
      </w:r>
      <w:r>
        <w:rPr>
          <w:rFonts w:hint="eastAsia" w:asciiTheme="minorEastAsia" w:hAnsiTheme="minorEastAsia" w:eastAsiaTheme="minorEastAsia" w:cstheme="minorEastAsia"/>
          <w:sz w:val="24"/>
          <w:szCs w:val="24"/>
        </w:rPr>
        <w:t>同的，招标人可以重新招标也可以确定</w:t>
      </w:r>
      <w:r>
        <w:rPr>
          <w:rFonts w:hint="eastAsia" w:asciiTheme="minorEastAsia" w:hAnsiTheme="minorEastAsia" w:eastAsiaTheme="minorEastAsia" w:cstheme="minorEastAsia"/>
          <w:spacing w:val="-4"/>
          <w:sz w:val="24"/>
          <w:szCs w:val="24"/>
        </w:rPr>
        <w:t>排名第三的中标候选人为中标人。当排名第三的中标候选人因上述同样原因不能签订合同的，采购人应依法重新招标。</w:t>
      </w:r>
    </w:p>
    <w:p w14:paraId="2577CE6D">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11.询问、质疑和投诉</w:t>
      </w:r>
    </w:p>
    <w:p w14:paraId="43FE5787">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11.1供应商或有关当事人对磋商过程、成交结果有异议的，可以向采购人或者</w:t>
      </w:r>
      <w:r>
        <w:rPr>
          <w:rFonts w:hint="eastAsia" w:asciiTheme="minorEastAsia" w:hAnsiTheme="minorEastAsia" w:eastAsiaTheme="minorEastAsia" w:cstheme="minorEastAsia"/>
          <w:spacing w:val="-6"/>
          <w:sz w:val="24"/>
          <w:szCs w:val="24"/>
        </w:rPr>
        <w:t>采购代理机构提出询问。</w:t>
      </w:r>
    </w:p>
    <w:p w14:paraId="7AF5ABF9">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11.2采购人或者采购代理机构应当在三个</w:t>
      </w:r>
      <w:r>
        <w:rPr>
          <w:rFonts w:hint="eastAsia" w:asciiTheme="minorEastAsia" w:hAnsiTheme="minorEastAsia" w:eastAsiaTheme="minorEastAsia" w:cstheme="minorEastAsia"/>
          <w:spacing w:val="-2"/>
          <w:sz w:val="24"/>
          <w:szCs w:val="24"/>
        </w:rPr>
        <w:t>工作日内对供应商依法提出的询问作出答复。</w:t>
      </w:r>
    </w:p>
    <w:p w14:paraId="31AF1ED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11.3供应商认为竞争性磋商文件、采购过程使自己的权益受到损害的，可以在</w:t>
      </w:r>
      <w:r>
        <w:rPr>
          <w:rFonts w:hint="eastAsia" w:asciiTheme="minorEastAsia" w:hAnsiTheme="minorEastAsia" w:eastAsiaTheme="minorEastAsia" w:cstheme="minorEastAsia"/>
          <w:spacing w:val="-6"/>
          <w:sz w:val="24"/>
          <w:szCs w:val="24"/>
        </w:rPr>
        <w:t>知道或者</w:t>
      </w:r>
      <w:r>
        <w:rPr>
          <w:rFonts w:hint="eastAsia" w:asciiTheme="minorEastAsia" w:hAnsiTheme="minorEastAsia" w:eastAsiaTheme="minorEastAsia" w:cstheme="minorEastAsia"/>
          <w:spacing w:val="-1"/>
          <w:sz w:val="24"/>
          <w:szCs w:val="24"/>
        </w:rPr>
        <w:t>应知其权益受到损害之日起七个工作日内，以书面</w:t>
      </w:r>
      <w:r>
        <w:rPr>
          <w:rFonts w:hint="eastAsia" w:asciiTheme="minorEastAsia" w:hAnsiTheme="minorEastAsia" w:eastAsiaTheme="minorEastAsia" w:cstheme="minorEastAsia"/>
          <w:spacing w:val="-2"/>
          <w:sz w:val="24"/>
          <w:szCs w:val="24"/>
        </w:rPr>
        <w:t>形式向采购人提出质疑。</w:t>
      </w:r>
    </w:p>
    <w:p w14:paraId="1E4964B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11.4供应商认为成交结果使自己的权益受到损害的，可以在成交结果公告期限届满之日</w:t>
      </w:r>
      <w:r>
        <w:rPr>
          <w:rFonts w:hint="eastAsia" w:asciiTheme="minorEastAsia" w:hAnsiTheme="minorEastAsia" w:eastAsiaTheme="minorEastAsia" w:cstheme="minorEastAsia"/>
          <w:spacing w:val="1"/>
          <w:sz w:val="24"/>
          <w:szCs w:val="24"/>
        </w:rPr>
        <w:t>起七个工作日内，以书面形式向采购人提出质疑</w:t>
      </w:r>
      <w:r>
        <w:rPr>
          <w:rFonts w:hint="eastAsia" w:asciiTheme="minorEastAsia" w:hAnsiTheme="minorEastAsia" w:eastAsiaTheme="minorEastAsia" w:cstheme="minorEastAsia"/>
          <w:sz w:val="24"/>
          <w:szCs w:val="24"/>
        </w:rPr>
        <w:t>，接收质疑函联系部门、电话及地址详见竞</w:t>
      </w:r>
      <w:r>
        <w:rPr>
          <w:rFonts w:hint="eastAsia" w:asciiTheme="minorEastAsia" w:hAnsiTheme="minorEastAsia" w:eastAsiaTheme="minorEastAsia" w:cstheme="minorEastAsia"/>
          <w:spacing w:val="-1"/>
          <w:sz w:val="24"/>
          <w:szCs w:val="24"/>
        </w:rPr>
        <w:t>争性磋商公告。在法定质疑期内供应商针对同一采购程序环节的质疑应当一次性提</w:t>
      </w:r>
      <w:r>
        <w:rPr>
          <w:rFonts w:hint="eastAsia" w:asciiTheme="minorEastAsia" w:hAnsiTheme="minorEastAsia" w:eastAsiaTheme="minorEastAsia" w:cstheme="minorEastAsia"/>
          <w:spacing w:val="-2"/>
          <w:sz w:val="24"/>
          <w:szCs w:val="24"/>
        </w:rPr>
        <w:t>出。</w:t>
      </w:r>
    </w:p>
    <w:p w14:paraId="23366E5F">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7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11.5采购人或者采购代理机构应当在收到供应商的书面质疑后</w:t>
      </w:r>
      <w:r>
        <w:rPr>
          <w:rFonts w:hint="eastAsia" w:asciiTheme="minorEastAsia" w:hAnsiTheme="minorEastAsia" w:eastAsiaTheme="minorEastAsia" w:cstheme="minorEastAsia"/>
          <w:spacing w:val="-3"/>
          <w:sz w:val="24"/>
          <w:szCs w:val="24"/>
        </w:rPr>
        <w:t>七个工作日内作出答复，</w:t>
      </w:r>
      <w:r>
        <w:rPr>
          <w:rFonts w:hint="eastAsia" w:asciiTheme="minorEastAsia" w:hAnsiTheme="minorEastAsia" w:eastAsiaTheme="minorEastAsia" w:cstheme="minorEastAsia"/>
          <w:spacing w:val="-1"/>
          <w:sz w:val="24"/>
          <w:szCs w:val="24"/>
        </w:rPr>
        <w:t>并以书面形式通知质疑供应商和其他有关供应商，但答</w:t>
      </w:r>
      <w:r>
        <w:rPr>
          <w:rFonts w:hint="eastAsia" w:asciiTheme="minorEastAsia" w:hAnsiTheme="minorEastAsia" w:eastAsiaTheme="minorEastAsia" w:cstheme="minorEastAsia"/>
          <w:spacing w:val="-2"/>
          <w:sz w:val="24"/>
          <w:szCs w:val="24"/>
        </w:rPr>
        <w:t>复的内容不得涉及商业秘密。</w:t>
      </w:r>
    </w:p>
    <w:p w14:paraId="31A50038">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11.6质疑单位对采购人、采购代理机构的答复不满意或者采购人、采购代理机构未在规</w:t>
      </w:r>
      <w:r>
        <w:rPr>
          <w:rFonts w:hint="eastAsia" w:asciiTheme="minorEastAsia" w:hAnsiTheme="minorEastAsia" w:eastAsiaTheme="minorEastAsia" w:cstheme="minorEastAsia"/>
          <w:spacing w:val="1"/>
          <w:sz w:val="24"/>
          <w:szCs w:val="24"/>
        </w:rPr>
        <w:t>定的时间内作出答复的，可以在答复期满后十五个工</w:t>
      </w:r>
      <w:r>
        <w:rPr>
          <w:rFonts w:hint="eastAsia" w:asciiTheme="minorEastAsia" w:hAnsiTheme="minorEastAsia" w:eastAsiaTheme="minorEastAsia" w:cstheme="minorEastAsia"/>
          <w:sz w:val="24"/>
          <w:szCs w:val="24"/>
        </w:rPr>
        <w:t>作日内向同级政府采购监督管理部门投</w:t>
      </w:r>
      <w:r>
        <w:rPr>
          <w:rFonts w:hint="eastAsia" w:asciiTheme="minorEastAsia" w:hAnsiTheme="minorEastAsia" w:eastAsiaTheme="minorEastAsia" w:cstheme="minorEastAsia"/>
          <w:spacing w:val="-11"/>
          <w:sz w:val="24"/>
          <w:szCs w:val="24"/>
        </w:rPr>
        <w:t>诉。</w:t>
      </w:r>
    </w:p>
    <w:p w14:paraId="1C1E95BC">
      <w:pPr>
        <w:keepNext w:val="0"/>
        <w:keepLines w:val="0"/>
        <w:pageBreakBefore w:val="0"/>
        <w:widowControl w:val="0"/>
        <w:kinsoku/>
        <w:wordWrap/>
        <w:overflowPunct/>
        <w:topLinePunct w:val="0"/>
        <w:autoSpaceDE/>
        <w:autoSpaceDN/>
        <w:bidi w:val="0"/>
        <w:adjustRightInd/>
        <w:snapToGrid/>
        <w:spacing w:before="40" w:after="40" w:line="360" w:lineRule="auto"/>
        <w:ind w:left="0" w:right="0" w:firstLine="464"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11.7供应商质疑、投诉应当有明确的请求和必要的证明材料。供应商投诉的事项不得超</w:t>
      </w:r>
      <w:r>
        <w:rPr>
          <w:rFonts w:hint="eastAsia" w:asciiTheme="minorEastAsia" w:hAnsiTheme="minorEastAsia" w:eastAsiaTheme="minorEastAsia" w:cstheme="minorEastAsia"/>
          <w:spacing w:val="-6"/>
          <w:sz w:val="24"/>
          <w:szCs w:val="24"/>
        </w:rPr>
        <w:t>出已质疑事项的范围。</w:t>
      </w:r>
    </w:p>
    <w:p w14:paraId="31CC15AA">
      <w:pPr>
        <w:rPr>
          <w:rFonts w:hint="eastAsia"/>
        </w:rPr>
      </w:pPr>
    </w:p>
    <w:bookmarkEnd w:id="7"/>
    <w:bookmarkEnd w:id="8"/>
    <w:p w14:paraId="32F8397C">
      <w:bookmarkStart w:id="12" w:name="_Toc14144"/>
      <w:bookmarkStart w:id="13" w:name="_Toc522547233"/>
      <w:r>
        <w:br w:type="page"/>
      </w:r>
    </w:p>
    <w:p w14:paraId="452BA5B3">
      <w:pPr>
        <w:pStyle w:val="9"/>
        <w:bidi w:val="0"/>
      </w:pPr>
      <w:r>
        <w:t>第三章</w:t>
      </w:r>
      <w:r>
        <w:rPr>
          <w:rFonts w:hint="eastAsia"/>
          <w:lang w:val="en-US" w:eastAsia="zh-CN"/>
        </w:rPr>
        <w:t xml:space="preserve"> </w:t>
      </w:r>
      <w:r>
        <w:t>评审标准</w:t>
      </w:r>
      <w:bookmarkEnd w:id="12"/>
    </w:p>
    <w:p w14:paraId="44D76E14">
      <w:pPr>
        <w:spacing w:before="114" w:line="295" w:lineRule="auto"/>
        <w:ind w:firstLine="452" w:firstLineChars="200"/>
        <w:rPr>
          <w:rFonts w:ascii="宋体" w:hAnsi="宋体" w:eastAsia="宋体" w:cs="宋体"/>
          <w:sz w:val="24"/>
          <w:szCs w:val="24"/>
        </w:rPr>
      </w:pPr>
      <w:r>
        <w:rPr>
          <w:rFonts w:ascii="宋体" w:hAnsi="宋体" w:eastAsia="宋体" w:cs="宋体"/>
          <w:spacing w:val="-7"/>
          <w:sz w:val="24"/>
          <w:szCs w:val="24"/>
        </w:rPr>
        <w:t>本次竞争性磋商的评审分为初步审查和详细审查。详细审查采用综合评分法，总分为100分。</w:t>
      </w:r>
      <w:r>
        <w:rPr>
          <w:rFonts w:ascii="宋体" w:hAnsi="宋体" w:eastAsia="宋体" w:cs="宋体"/>
          <w:spacing w:val="-8"/>
          <w:sz w:val="24"/>
          <w:szCs w:val="24"/>
        </w:rPr>
        <w:t>评审因素如下：</w:t>
      </w:r>
    </w:p>
    <w:p w14:paraId="03C0C093">
      <w:pPr>
        <w:spacing w:before="34" w:line="219" w:lineRule="auto"/>
        <w:ind w:left="3855" w:firstLine="470" w:firstLineChars="200"/>
        <w:rPr>
          <w:rFonts w:ascii="宋体" w:hAnsi="宋体" w:eastAsia="宋体" w:cs="宋体"/>
          <w:sz w:val="24"/>
          <w:szCs w:val="24"/>
        </w:rPr>
      </w:pPr>
      <w:r>
        <w:rPr>
          <w:rFonts w:ascii="宋体" w:hAnsi="宋体" w:eastAsia="宋体" w:cs="宋体"/>
          <w:b/>
          <w:bCs/>
          <w:spacing w:val="-3"/>
          <w:sz w:val="24"/>
          <w:szCs w:val="24"/>
        </w:rPr>
        <w:t>评审办法前附表</w:t>
      </w:r>
    </w:p>
    <w:p w14:paraId="060465C9">
      <w:pPr>
        <w:numPr>
          <w:ilvl w:val="0"/>
          <w:numId w:val="3"/>
        </w:numPr>
        <w:spacing w:before="113" w:line="220" w:lineRule="auto"/>
        <w:ind w:left="4" w:firstLine="454" w:firstLineChars="200"/>
        <w:rPr>
          <w:rFonts w:ascii="宋体" w:hAnsi="宋体" w:eastAsia="宋体" w:cs="宋体"/>
          <w:b/>
          <w:bCs/>
          <w:spacing w:val="-7"/>
          <w:sz w:val="24"/>
          <w:szCs w:val="24"/>
        </w:rPr>
      </w:pPr>
      <w:r>
        <w:rPr>
          <w:rFonts w:ascii="宋体" w:hAnsi="宋体" w:eastAsia="宋体" w:cs="宋体"/>
          <w:b/>
          <w:bCs/>
          <w:spacing w:val="-7"/>
          <w:sz w:val="24"/>
          <w:szCs w:val="24"/>
        </w:rPr>
        <w:t>初步审查</w:t>
      </w:r>
    </w:p>
    <w:tbl>
      <w:tblPr>
        <w:tblStyle w:val="2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59"/>
        <w:gridCol w:w="2164"/>
        <w:gridCol w:w="4947"/>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62"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条款号</w:t>
            </w:r>
          </w:p>
        </w:tc>
        <w:tc>
          <w:tcPr>
            <w:tcW w:w="216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w:t>
            </w:r>
          </w:p>
        </w:tc>
        <w:tc>
          <w:tcPr>
            <w:tcW w:w="4947"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458F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restart"/>
            <w:tcBorders>
              <w:top w:val="single" w:color="auto" w:sz="4" w:space="0"/>
              <w:left w:val="single" w:color="auto" w:sz="4" w:space="0"/>
              <w:right w:val="single" w:color="auto" w:sz="4" w:space="0"/>
            </w:tcBorders>
            <w:vAlign w:val="center"/>
          </w:tcPr>
          <w:p w14:paraId="28315BB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p>
        </w:tc>
        <w:tc>
          <w:tcPr>
            <w:tcW w:w="1059" w:type="dxa"/>
            <w:vMerge w:val="restart"/>
            <w:tcBorders>
              <w:top w:val="single" w:color="auto" w:sz="4" w:space="0"/>
              <w:left w:val="single" w:color="auto" w:sz="4" w:space="0"/>
              <w:right w:val="single" w:color="auto" w:sz="4" w:space="0"/>
            </w:tcBorders>
            <w:vAlign w:val="center"/>
          </w:tcPr>
          <w:p w14:paraId="3DB735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164" w:type="dxa"/>
            <w:tcBorders>
              <w:top w:val="single" w:color="auto" w:sz="4" w:space="0"/>
              <w:left w:val="single" w:color="auto" w:sz="4" w:space="0"/>
              <w:right w:val="single" w:color="auto" w:sz="4" w:space="0"/>
            </w:tcBorders>
            <w:vAlign w:val="center"/>
          </w:tcPr>
          <w:p w14:paraId="338EBB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47" w:type="dxa"/>
            <w:tcBorders>
              <w:top w:val="single" w:color="auto" w:sz="4" w:space="0"/>
              <w:left w:val="single" w:color="auto" w:sz="4" w:space="0"/>
              <w:right w:val="single" w:color="auto" w:sz="4" w:space="0"/>
            </w:tcBorders>
            <w:vAlign w:val="center"/>
          </w:tcPr>
          <w:p w14:paraId="0806A0AD">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47" w:type="dxa"/>
            <w:tcBorders>
              <w:top w:val="single" w:color="auto" w:sz="4" w:space="0"/>
              <w:left w:val="single" w:color="auto" w:sz="4" w:space="0"/>
              <w:right w:val="single" w:color="auto" w:sz="4" w:space="0"/>
            </w:tcBorders>
            <w:vAlign w:val="center"/>
          </w:tcPr>
          <w:p w14:paraId="1BCA3317">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本项目专门面向中小企业采购,投标供应商须提供《中小企业声明函》（监狱企业、残疾人福利性企业视同小微企业）；</w:t>
            </w:r>
          </w:p>
        </w:tc>
      </w:tr>
      <w:tr w14:paraId="3D6A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4C27160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3AD877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3C6498ED">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营业执照</w:t>
            </w:r>
          </w:p>
        </w:tc>
        <w:tc>
          <w:tcPr>
            <w:tcW w:w="4947" w:type="dxa"/>
            <w:tcBorders>
              <w:top w:val="single" w:color="auto" w:sz="4" w:space="0"/>
              <w:left w:val="single" w:color="auto" w:sz="4" w:space="0"/>
              <w:right w:val="single" w:color="auto" w:sz="4" w:space="0"/>
            </w:tcBorders>
            <w:vAlign w:val="center"/>
          </w:tcPr>
          <w:p w14:paraId="277DCC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响应人须具有独立法人资格，提供合法有效的营业执照。</w:t>
            </w:r>
          </w:p>
        </w:tc>
      </w:tr>
      <w:tr w14:paraId="7C50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377B04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DB1E2B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148E644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资质证书</w:t>
            </w:r>
          </w:p>
        </w:tc>
        <w:tc>
          <w:tcPr>
            <w:tcW w:w="4947" w:type="dxa"/>
            <w:tcBorders>
              <w:top w:val="single" w:color="auto" w:sz="4" w:space="0"/>
              <w:left w:val="single" w:color="auto" w:sz="4" w:space="0"/>
              <w:right w:val="single" w:color="auto" w:sz="4" w:space="0"/>
            </w:tcBorders>
            <w:vAlign w:val="center"/>
          </w:tcPr>
          <w:p w14:paraId="18F6B5A2">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须具有建筑工程施工总承包三级及以上资质或具备建筑装修装饰工程专业承包二级及以上资质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w:t>
            </w:r>
            <w:r>
              <w:rPr>
                <w:rFonts w:hint="eastAsia" w:ascii="宋体" w:hAnsi="宋体" w:eastAsia="宋体" w:cs="宋体"/>
                <w:color w:val="000000" w:themeColor="text1"/>
                <w:sz w:val="24"/>
                <w:szCs w:val="24"/>
                <w:lang w:eastAsia="zh-CN"/>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03" w:type="dxa"/>
            <w:vMerge w:val="continue"/>
            <w:tcBorders>
              <w:left w:val="single" w:color="auto" w:sz="4" w:space="0"/>
              <w:right w:val="single" w:color="auto" w:sz="4" w:space="0"/>
            </w:tcBorders>
            <w:vAlign w:val="center"/>
          </w:tcPr>
          <w:p w14:paraId="05C77A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2DD4BFFA">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经理</w:t>
            </w:r>
          </w:p>
        </w:tc>
        <w:tc>
          <w:tcPr>
            <w:tcW w:w="4947" w:type="dxa"/>
            <w:tcBorders>
              <w:top w:val="single" w:color="auto" w:sz="4" w:space="0"/>
              <w:left w:val="single" w:color="auto" w:sz="4" w:space="0"/>
              <w:right w:val="single" w:color="auto" w:sz="4" w:space="0"/>
            </w:tcBorders>
            <w:vAlign w:val="center"/>
          </w:tcPr>
          <w:p w14:paraId="72B2D9C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拟派项目经理须提供</w:t>
            </w:r>
            <w:r>
              <w:rPr>
                <w:rFonts w:hint="eastAsia" w:ascii="宋体" w:hAnsi="宋体" w:eastAsia="宋体" w:cs="宋体"/>
                <w:color w:val="000000" w:themeColor="text1"/>
                <w:sz w:val="24"/>
                <w:szCs w:val="24"/>
                <w:lang w:val="en-US" w:eastAsia="zh-CN"/>
                <w14:textFill>
                  <w14:solidFill>
                    <w14:schemeClr w14:val="tx1"/>
                  </w14:solidFill>
                </w14:textFill>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3"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43111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本企业无商业贿赂和不正当竞争行为</w:t>
            </w:r>
          </w:p>
        </w:tc>
        <w:tc>
          <w:tcPr>
            <w:tcW w:w="4947" w:type="dxa"/>
            <w:tcBorders>
              <w:top w:val="single" w:color="auto" w:sz="4" w:space="0"/>
              <w:left w:val="single" w:color="auto" w:sz="4" w:space="0"/>
              <w:right w:val="single" w:color="auto" w:sz="4" w:space="0"/>
            </w:tcBorders>
            <w:vAlign w:val="center"/>
          </w:tcPr>
          <w:p w14:paraId="0FDF225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r>
              <w:rPr>
                <w:rFonts w:hint="eastAsia" w:ascii="宋体" w:hAnsi="宋体" w:eastAsia="宋体" w:cs="宋体"/>
                <w:color w:val="000000" w:themeColor="text1"/>
                <w:sz w:val="24"/>
                <w:szCs w:val="24"/>
                <w:lang w:eastAsia="zh-CN"/>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3"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8742E5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信用查询</w:t>
            </w:r>
          </w:p>
        </w:tc>
        <w:tc>
          <w:tcPr>
            <w:tcW w:w="4947" w:type="dxa"/>
            <w:tcBorders>
              <w:top w:val="single" w:color="auto" w:sz="4" w:space="0"/>
              <w:left w:val="single" w:color="auto" w:sz="4" w:space="0"/>
              <w:right w:val="single" w:color="auto" w:sz="4" w:space="0"/>
            </w:tcBorders>
            <w:vAlign w:val="center"/>
          </w:tcPr>
          <w:p w14:paraId="66BBD55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right w:val="single" w:color="auto" w:sz="4" w:space="0"/>
            </w:tcBorders>
            <w:vAlign w:val="center"/>
          </w:tcPr>
          <w:p w14:paraId="7F3E44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4947" w:type="dxa"/>
            <w:tcBorders>
              <w:top w:val="single" w:color="auto" w:sz="4" w:space="0"/>
              <w:left w:val="single" w:color="auto" w:sz="4" w:space="0"/>
              <w:right w:val="single" w:color="auto" w:sz="4" w:space="0"/>
            </w:tcBorders>
            <w:vAlign w:val="center"/>
          </w:tcPr>
          <w:p w14:paraId="6F0C211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3" w:type="dxa"/>
            <w:gridSpan w:val="4"/>
            <w:tcBorders>
              <w:left w:val="single" w:color="auto" w:sz="4" w:space="0"/>
              <w:right w:val="single" w:color="auto" w:sz="4" w:space="0"/>
            </w:tcBorders>
            <w:vAlign w:val="center"/>
          </w:tcPr>
          <w:p w14:paraId="4761551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资格评审以响应文件为准，其上传资料真实性由投标人自行承担，同时，投标人要完善主体库。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3"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59"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实质性响应评审</w:t>
            </w:r>
            <w:r>
              <w:rPr>
                <w:rFonts w:hint="eastAsia" w:ascii="宋体" w:hAnsi="宋体" w:eastAsia="宋体" w:cs="宋体"/>
                <w:color w:val="000000" w:themeColor="text1"/>
                <w:sz w:val="24"/>
                <w:szCs w:val="24"/>
                <w14:textFill>
                  <w14:solidFill>
                    <w14:schemeClr w14:val="tx1"/>
                  </w14:solidFill>
                </w14:textFill>
              </w:rPr>
              <w:t>标准</w:t>
            </w:r>
          </w:p>
        </w:tc>
        <w:tc>
          <w:tcPr>
            <w:tcW w:w="2164" w:type="dxa"/>
            <w:tcBorders>
              <w:top w:val="single" w:color="auto" w:sz="4" w:space="0"/>
              <w:left w:val="single" w:color="auto" w:sz="4" w:space="0"/>
              <w:right w:val="single" w:color="auto" w:sz="4" w:space="0"/>
            </w:tcBorders>
            <w:vAlign w:val="center"/>
          </w:tcPr>
          <w:p w14:paraId="54E8BAE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计划工期</w:t>
            </w:r>
          </w:p>
        </w:tc>
        <w:tc>
          <w:tcPr>
            <w:tcW w:w="4947"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1"/>
                <w:sz w:val="24"/>
                <w:szCs w:val="24"/>
                <w:highlight w:val="none"/>
                <w:lang w:val="en-US" w:eastAsia="zh-CN"/>
              </w:rPr>
              <w:t>30日历天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3" w:type="dxa"/>
            <w:vMerge w:val="continue"/>
            <w:tcBorders>
              <w:left w:val="single" w:color="auto" w:sz="4" w:space="0"/>
              <w:right w:val="single" w:color="auto" w:sz="4" w:space="0"/>
            </w:tcBorders>
            <w:vAlign w:val="center"/>
          </w:tcPr>
          <w:p w14:paraId="0B94232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61C788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0C846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质量</w:t>
            </w:r>
            <w:r>
              <w:rPr>
                <w:rFonts w:hint="eastAsia" w:ascii="宋体" w:hAnsi="宋体" w:eastAsia="宋体" w:cs="宋体"/>
                <w:color w:val="000000" w:themeColor="text1"/>
                <w:sz w:val="24"/>
                <w:szCs w:val="24"/>
                <w:lang w:val="en-US" w:eastAsia="zh-CN"/>
                <w14:textFill>
                  <w14:solidFill>
                    <w14:schemeClr w14:val="tx1"/>
                  </w14:solidFill>
                </w14:textFill>
              </w:rPr>
              <w:t>要求</w:t>
            </w:r>
          </w:p>
        </w:tc>
        <w:tc>
          <w:tcPr>
            <w:tcW w:w="4947" w:type="dxa"/>
            <w:tcBorders>
              <w:top w:val="single" w:color="auto" w:sz="4" w:space="0"/>
              <w:left w:val="single" w:color="auto" w:sz="4" w:space="0"/>
              <w:bottom w:val="single" w:color="auto" w:sz="4" w:space="0"/>
              <w:right w:val="single" w:color="auto" w:sz="4" w:space="0"/>
            </w:tcBorders>
            <w:vAlign w:val="center"/>
          </w:tcPr>
          <w:p w14:paraId="3D657C8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达到国家现行建设工程质量验收规范合格标准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03" w:type="dxa"/>
            <w:vMerge w:val="continue"/>
            <w:tcBorders>
              <w:left w:val="single" w:color="auto" w:sz="4" w:space="0"/>
              <w:right w:val="single" w:color="auto" w:sz="4" w:space="0"/>
            </w:tcBorders>
            <w:vAlign w:val="center"/>
          </w:tcPr>
          <w:p w14:paraId="3F83B6D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D6B033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3FDE15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47"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03" w:type="dxa"/>
            <w:vMerge w:val="continue"/>
            <w:tcBorders>
              <w:left w:val="single" w:color="auto" w:sz="4" w:space="0"/>
              <w:right w:val="single" w:color="auto" w:sz="4" w:space="0"/>
            </w:tcBorders>
            <w:vAlign w:val="center"/>
          </w:tcPr>
          <w:p w14:paraId="51EB5F0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1671647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1BDEE5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47"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5BB6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03" w:type="dxa"/>
            <w:vMerge w:val="continue"/>
            <w:tcBorders>
              <w:left w:val="single" w:color="auto" w:sz="4" w:space="0"/>
              <w:right w:val="single" w:color="auto" w:sz="4" w:space="0"/>
            </w:tcBorders>
            <w:vAlign w:val="center"/>
          </w:tcPr>
          <w:p w14:paraId="21DA83EC">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42ED272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CAB691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其他要求</w:t>
            </w:r>
          </w:p>
        </w:tc>
        <w:tc>
          <w:tcPr>
            <w:tcW w:w="4947" w:type="dxa"/>
            <w:tcBorders>
              <w:top w:val="single" w:color="auto" w:sz="4" w:space="0"/>
              <w:left w:val="single" w:color="auto" w:sz="4" w:space="0"/>
              <w:bottom w:val="single" w:color="auto" w:sz="4" w:space="0"/>
              <w:right w:val="single" w:color="auto" w:sz="4" w:space="0"/>
            </w:tcBorders>
            <w:vAlign w:val="center"/>
          </w:tcPr>
          <w:p w14:paraId="512F1FAE">
            <w:pPr>
              <w:keepNext w:val="0"/>
              <w:keepLines w:val="0"/>
              <w:widowControl/>
              <w:suppressLineNumbers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符合磋商文件的规定</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903" w:type="dxa"/>
            <w:vMerge w:val="restart"/>
            <w:tcBorders>
              <w:left w:val="single" w:color="auto" w:sz="4" w:space="0"/>
              <w:right w:val="single" w:color="auto" w:sz="4" w:space="0"/>
            </w:tcBorders>
            <w:vAlign w:val="center"/>
          </w:tcPr>
          <w:p w14:paraId="36B037D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59"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16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47"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903" w:type="dxa"/>
            <w:vMerge w:val="continue"/>
            <w:tcBorders>
              <w:left w:val="single" w:color="auto" w:sz="4" w:space="0"/>
              <w:right w:val="single" w:color="auto" w:sz="4" w:space="0"/>
            </w:tcBorders>
            <w:vAlign w:val="center"/>
          </w:tcPr>
          <w:p w14:paraId="371EAAA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059" w:type="dxa"/>
            <w:vMerge w:val="continue"/>
            <w:tcBorders>
              <w:left w:val="single" w:color="auto" w:sz="4" w:space="0"/>
              <w:right w:val="single" w:color="auto" w:sz="4" w:space="0"/>
            </w:tcBorders>
            <w:vAlign w:val="center"/>
          </w:tcPr>
          <w:p w14:paraId="593ABFD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47"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903" w:type="dxa"/>
            <w:vMerge w:val="continue"/>
            <w:tcBorders>
              <w:left w:val="single" w:color="auto" w:sz="4" w:space="0"/>
              <w:bottom w:val="single" w:color="auto" w:sz="4" w:space="0"/>
              <w:right w:val="single" w:color="auto" w:sz="4" w:space="0"/>
            </w:tcBorders>
            <w:vAlign w:val="center"/>
          </w:tcPr>
          <w:p w14:paraId="712FFBAC">
            <w:pPr>
              <w:spacing w:line="360" w:lineRule="auto"/>
              <w:jc w:val="center"/>
              <w:rPr>
                <w:rFonts w:hint="eastAsia" w:ascii="宋体" w:hAnsi="宋体" w:eastAsia="宋体" w:cs="宋体"/>
                <w:color w:val="000000" w:themeColor="text1"/>
                <w:sz w:val="24"/>
                <w:szCs w:val="24"/>
                <w:lang w:val="en-US"/>
                <w14:textFill>
                  <w14:solidFill>
                    <w14:schemeClr w14:val="tx1"/>
                  </w14:solidFill>
                </w14:textFill>
              </w:rPr>
            </w:pPr>
          </w:p>
        </w:tc>
        <w:tc>
          <w:tcPr>
            <w:tcW w:w="1059" w:type="dxa"/>
            <w:vMerge w:val="continue"/>
            <w:tcBorders>
              <w:left w:val="single" w:color="auto" w:sz="4" w:space="0"/>
              <w:bottom w:val="single" w:color="auto" w:sz="4" w:space="0"/>
              <w:right w:val="single" w:color="auto" w:sz="4" w:space="0"/>
            </w:tcBorders>
            <w:vAlign w:val="center"/>
          </w:tcPr>
          <w:p w14:paraId="24EA5BF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16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47"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.磋商文件的评审、比较和否决</w:t>
      </w:r>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.磋商程序</w:t>
      </w:r>
    </w:p>
    <w:p w14:paraId="26C71824">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2.1资格审查</w:t>
      </w:r>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489EA712">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2.2</w:t>
      </w:r>
      <w:r>
        <w:rPr>
          <w:rFonts w:hint="eastAsia" w:ascii="宋体" w:hAnsi="宋体" w:eastAsia="宋体" w:cs="宋体"/>
          <w:b/>
          <w:color w:val="000000" w:themeColor="text1"/>
          <w:sz w:val="24"/>
          <w:szCs w:val="24"/>
          <w14:textFill>
            <w14:solidFill>
              <w14:schemeClr w14:val="tx1"/>
            </w14:solidFill>
          </w14:textFill>
        </w:rPr>
        <w:t>磋商具体方法和标准</w:t>
      </w:r>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6"/>
        <w:tblpPr w:leftFromText="180" w:rightFromText="180" w:vertAnchor="text" w:horzAnchor="margin" w:tblpXSpec="center" w:tblpY="17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11"/>
        <w:gridCol w:w="6035"/>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051D33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w:t>
            </w:r>
          </w:p>
          <w:p w14:paraId="1A4F7F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因素</w:t>
            </w:r>
          </w:p>
        </w:tc>
        <w:tc>
          <w:tcPr>
            <w:tcW w:w="1911" w:type="dxa"/>
            <w:tcBorders>
              <w:top w:val="single" w:color="auto" w:sz="4" w:space="0"/>
              <w:left w:val="single" w:color="auto" w:sz="4" w:space="0"/>
              <w:bottom w:val="single" w:color="auto" w:sz="4" w:space="0"/>
              <w:right w:val="single" w:color="auto" w:sz="4" w:space="0"/>
            </w:tcBorders>
            <w:vAlign w:val="center"/>
          </w:tcPr>
          <w:p w14:paraId="0CEA650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035" w:type="dxa"/>
            <w:tcBorders>
              <w:top w:val="single" w:color="auto" w:sz="4" w:space="0"/>
              <w:left w:val="single" w:color="auto" w:sz="4" w:space="0"/>
              <w:bottom w:val="single" w:color="auto" w:sz="4" w:space="0"/>
              <w:right w:val="single" w:color="auto" w:sz="4" w:space="0"/>
            </w:tcBorders>
            <w:vAlign w:val="center"/>
          </w:tcPr>
          <w:p w14:paraId="099DC3D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855A5E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投标报价20分</w:t>
            </w:r>
          </w:p>
        </w:tc>
        <w:tc>
          <w:tcPr>
            <w:tcW w:w="1911" w:type="dxa"/>
            <w:tcBorders>
              <w:top w:val="single" w:color="auto" w:sz="4" w:space="0"/>
              <w:left w:val="single" w:color="auto" w:sz="4" w:space="0"/>
              <w:bottom w:val="single" w:color="auto" w:sz="4" w:space="0"/>
              <w:right w:val="single" w:color="auto" w:sz="4" w:space="0"/>
            </w:tcBorders>
            <w:vAlign w:val="center"/>
          </w:tcPr>
          <w:p w14:paraId="557788E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4F4E36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8AAF33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28AE6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3、监狱企业、残疾人福利性单位享受小型、微型企业与的报价给予20%的扣除政策。</w:t>
            </w:r>
          </w:p>
          <w:p w14:paraId="129629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4、监狱企业参加政府采购活动时，应当提供由省级以上监狱管理局、戒毒管理局（含新疆生产建设兵团）出具的属于监狱企业的证明文件，否则不予价格折扣。</w:t>
            </w:r>
          </w:p>
          <w:p w14:paraId="4AB674C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5、残疾人福利性单位应当在响应性文件中提供《残疾人福利性单位声明函》。</w:t>
            </w:r>
          </w:p>
          <w:p w14:paraId="3EFDD56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6、小型和微型企业产品包括货物及其提供的服务与工程。</w:t>
            </w:r>
          </w:p>
          <w:p w14:paraId="36C93A5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7、中小企业、残疾人福利性单位提供其他企业制造的货物的，则该货物的制造商也必须为上述企业，否则不能享受价格优惠。</w:t>
            </w:r>
          </w:p>
          <w:p w14:paraId="2B5BF6D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8、残疾人福利性单位属于小型、微型企业的，不重复享受政策。</w:t>
            </w:r>
          </w:p>
          <w:p w14:paraId="1584D7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9、符合价格折扣的供应商需提供相关资质证明。</w:t>
            </w:r>
          </w:p>
        </w:tc>
      </w:tr>
      <w:tr w14:paraId="0DD3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16E30E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p>
          <w:p w14:paraId="20329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部分</w:t>
            </w:r>
          </w:p>
          <w:p w14:paraId="3753E00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60分</w:t>
            </w:r>
          </w:p>
        </w:tc>
        <w:tc>
          <w:tcPr>
            <w:tcW w:w="1911" w:type="dxa"/>
            <w:tcBorders>
              <w:top w:val="single" w:color="auto" w:sz="4" w:space="0"/>
              <w:left w:val="single" w:color="auto" w:sz="4" w:space="0"/>
              <w:right w:val="single" w:color="auto" w:sz="4" w:space="0"/>
            </w:tcBorders>
            <w:vAlign w:val="center"/>
          </w:tcPr>
          <w:p w14:paraId="6242D9E7">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拟投入资源配备计划（</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301FD68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拟配置的机械设备、劳动力、主要物资及投入计划满足工期、质量、施工工艺需求的，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004E119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资源配置及投入计划与工期、质量、施工工艺不完全适应或者有瑕疵的，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173136F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资源配备计划较差的，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p>
          <w:p w14:paraId="066AE2E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338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9A5E37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7A4814A2">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方案及措施（8分）</w:t>
            </w:r>
          </w:p>
        </w:tc>
        <w:tc>
          <w:tcPr>
            <w:tcW w:w="6035" w:type="dxa"/>
            <w:tcBorders>
              <w:top w:val="single" w:color="auto" w:sz="4" w:space="0"/>
              <w:left w:val="single" w:color="auto" w:sz="4" w:space="0"/>
              <w:bottom w:val="single" w:color="auto" w:sz="4" w:space="0"/>
              <w:right w:val="single" w:color="auto" w:sz="4" w:space="0"/>
            </w:tcBorders>
            <w:vAlign w:val="center"/>
          </w:tcPr>
          <w:p w14:paraId="11CA34F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方案（含</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特点、重点与难点及绿色施工）总体安排合理，运用先进、合理的施工工艺、施工机械，技术措施详细、全面、合理、可行，完全满足项目需求的，8分；</w:t>
            </w:r>
          </w:p>
          <w:p w14:paraId="527E0FB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方案与措施不先进或者不详细、不全面、或者有瑕疵的，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51CFCB4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方案与措施不合理或者不可行或者不能满足项目需求的，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4EC5BF16">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63AD29E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564BD394">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质量管理体系与 </w:t>
            </w:r>
          </w:p>
          <w:p w14:paraId="73C2439E">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30DF77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（8分）</w:t>
            </w:r>
          </w:p>
        </w:tc>
        <w:tc>
          <w:tcPr>
            <w:tcW w:w="6035" w:type="dxa"/>
            <w:tcBorders>
              <w:top w:val="single" w:color="auto" w:sz="4" w:space="0"/>
              <w:left w:val="single" w:color="auto" w:sz="4" w:space="0"/>
              <w:bottom w:val="single" w:color="auto" w:sz="4" w:space="0"/>
              <w:right w:val="single" w:color="auto" w:sz="4" w:space="0"/>
            </w:tcBorders>
            <w:vAlign w:val="center"/>
          </w:tcPr>
          <w:p w14:paraId="03D262F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质量管理体系健全、组织机构形式合理，质量保证措施详细、全面、合理、可行，完全满足项目需求的，8分；</w:t>
            </w:r>
          </w:p>
          <w:p w14:paraId="3E5044D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质量管理体系不健全或者质量保证措施不详细或者不全面、针对性不强、有质量管理漏洞的，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60533AE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质量保证措施不合理或者不可行的，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09E52D5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14:textFill>
                  <w14:solidFill>
                    <w14:schemeClr w14:val="tx1"/>
                  </w14:solidFill>
                </w14:textFill>
              </w:rPr>
              <w:t>不得分。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492C32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3FA1187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w:t>
            </w:r>
          </w:p>
          <w:p w14:paraId="675C91D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0699543B">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工期承诺满足采购文件要求，工期保证措施全面、详细、合理、可行且有针对性，有具体的违约责任承诺，</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p w14:paraId="1B1AAD6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工期保证措施不全面或者不详细或者缺乏针对性的，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p w14:paraId="79A431DC">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工期保证措施不合理或者不可行或者没有违约责任承诺或者不能满足采购文件要求的，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0A90741D">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0A2A60F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79035F78">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施工进度计划表或网络图</w:t>
            </w:r>
          </w:p>
          <w:p w14:paraId="29FCC6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top"/>
          </w:tcPr>
          <w:p w14:paraId="148FEE49">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进度计划编制合理、可行、关键线路清晰、准确、满足项目工期要求的，</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分；</w:t>
            </w:r>
          </w:p>
          <w:p w14:paraId="32565E10">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进度计划逻辑关系不清晰、不明确或者关键线路不清晰、不准确的，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p>
          <w:p w14:paraId="5EB555AF">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进度计划不合理或者不能满足项目需求的，</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分；</w:t>
            </w:r>
          </w:p>
          <w:p w14:paraId="14D6E88A">
            <w:pPr>
              <w:spacing w:line="360" w:lineRule="auto"/>
              <w:jc w:val="left"/>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缺项</w:t>
            </w:r>
            <w:r>
              <w:rPr>
                <w:rFonts w:hint="eastAsia" w:ascii="宋体" w:hAnsi="宋体" w:eastAsia="宋体" w:cs="宋体"/>
                <w:color w:val="000000" w:themeColor="text1"/>
                <w:sz w:val="24"/>
                <w:szCs w:val="24"/>
                <w:lang w:eastAsia="zh-CN"/>
                <w14:textFill>
                  <w14:solidFill>
                    <w14:schemeClr w14:val="tx1"/>
                  </w14:solidFill>
                </w14:textFill>
              </w:rPr>
              <w:t>不得分。</w:t>
            </w:r>
          </w:p>
        </w:tc>
      </w:tr>
      <w:tr w14:paraId="5810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2C6AAA2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19BFDCE9">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安全管理体系与 </w:t>
            </w:r>
          </w:p>
          <w:p w14:paraId="5361923B">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措施</w:t>
            </w:r>
          </w:p>
          <w:p w14:paraId="7DA9F7E1">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4745F6B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安全管理体系和措施合理完整、安全管理制度严谨可行的得 8 分； </w:t>
            </w:r>
          </w:p>
          <w:p w14:paraId="48F49855">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安全管理体系和措施基本合理、安全管理制度基本可行的得 5分； </w:t>
            </w:r>
          </w:p>
          <w:p w14:paraId="7AD5CD83">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安全管理体系和措施简略、一般的得 2 分； </w:t>
            </w:r>
          </w:p>
          <w:p w14:paraId="703D610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35DF463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DA8EDD0">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文明及环保管理 </w:t>
            </w:r>
          </w:p>
          <w:p w14:paraId="3AB24021">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体系与措施</w:t>
            </w:r>
          </w:p>
          <w:p w14:paraId="0ABCFBDA">
            <w:pPr>
              <w:keepNext w:val="0"/>
              <w:keepLines w:val="0"/>
              <w:widowControl/>
              <w:suppressLineNumbers w:val="0"/>
              <w:spacing w:line="360" w:lineRule="auto"/>
              <w:jc w:val="center"/>
              <w:rPr>
                <w:rFonts w:hint="eastAsia" w:eastAsia="仿宋_GB2312"/>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c>
          <w:tcPr>
            <w:tcW w:w="6035" w:type="dxa"/>
            <w:tcBorders>
              <w:top w:val="single" w:color="auto" w:sz="4" w:space="0"/>
              <w:left w:val="single" w:color="auto" w:sz="4" w:space="0"/>
              <w:right w:val="single" w:color="auto" w:sz="4" w:space="0"/>
            </w:tcBorders>
            <w:vAlign w:val="center"/>
          </w:tcPr>
          <w:p w14:paraId="3CB937D7">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确保文明及环保施工的措施合理完整、安全管理制度严谨可行的得 8 分； </w:t>
            </w:r>
          </w:p>
          <w:p w14:paraId="17A9F596">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确保文明及环保施工的基本合理、安全管理制度基本可行的得 5 分； </w:t>
            </w:r>
          </w:p>
          <w:p w14:paraId="799FB1F8">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确保文明及环保施工的简略、一般的得 2 分； </w:t>
            </w:r>
          </w:p>
          <w:p w14:paraId="355E29F7">
            <w:pPr>
              <w:keepNext w:val="0"/>
              <w:keepLines w:val="0"/>
              <w:widowControl/>
              <w:suppressLineNumbers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384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C8205D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4BE39FAE">
            <w:pPr>
              <w:keepNext w:val="0"/>
              <w:keepLines w:val="0"/>
              <w:widowControl/>
              <w:suppressLineNumbers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风险管理措施</w:t>
            </w:r>
          </w:p>
          <w:p w14:paraId="065DC743">
            <w:pPr>
              <w:keepNext w:val="0"/>
              <w:keepLines w:val="0"/>
              <w:widowControl/>
              <w:suppressLineNumbers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4分）</w:t>
            </w:r>
          </w:p>
        </w:tc>
        <w:tc>
          <w:tcPr>
            <w:tcW w:w="6035" w:type="dxa"/>
            <w:tcBorders>
              <w:top w:val="single" w:color="auto" w:sz="4" w:space="0"/>
              <w:left w:val="single" w:color="auto" w:sz="4" w:space="0"/>
              <w:right w:val="single" w:color="auto" w:sz="4" w:space="0"/>
            </w:tcBorders>
            <w:vAlign w:val="center"/>
          </w:tcPr>
          <w:p w14:paraId="2C6AB784">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风险防控管理措施齐全，风险预控符合规范要求，风险控制要点定位准确，各阶段风险控制及应急措施得力的得4分；</w:t>
            </w:r>
          </w:p>
          <w:p w14:paraId="5ADED808">
            <w:pPr>
              <w:keepNext w:val="0"/>
              <w:keepLines w:val="0"/>
              <w:widowControl/>
              <w:suppressLineNumbers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风险防控管理措施基本齐全，风险预控符合规范要求，风险控制要点定位基本准确，有各阶段风险控制及应急措施得2分；</w:t>
            </w:r>
          </w:p>
          <w:p w14:paraId="494880D9">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风险管理措施简略不完整得1分；</w:t>
            </w:r>
          </w:p>
          <w:p w14:paraId="580F873F">
            <w:pPr>
              <w:keepNext w:val="0"/>
              <w:keepLines w:val="0"/>
              <w:widowControl/>
              <w:suppressLineNumbers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缺项不得分。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tcBorders>
              <w:top w:val="single" w:color="auto" w:sz="4" w:space="0"/>
              <w:left w:val="single" w:color="auto" w:sz="4" w:space="0"/>
              <w:right w:val="single" w:color="auto" w:sz="4" w:space="0"/>
            </w:tcBorders>
            <w:vAlign w:val="center"/>
          </w:tcPr>
          <w:p w14:paraId="00FFFBA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部分</w:t>
            </w:r>
          </w:p>
          <w:p w14:paraId="2D3D83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20分</w:t>
            </w:r>
          </w:p>
        </w:tc>
        <w:tc>
          <w:tcPr>
            <w:tcW w:w="1911" w:type="dxa"/>
            <w:tcBorders>
              <w:top w:val="single" w:color="auto" w:sz="4" w:space="0"/>
              <w:left w:val="single" w:color="auto" w:sz="4" w:space="0"/>
              <w:right w:val="single" w:color="auto" w:sz="4" w:space="0"/>
            </w:tcBorders>
            <w:vAlign w:val="center"/>
          </w:tcPr>
          <w:p w14:paraId="0CB0DA6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履职尽责承诺</w:t>
            </w:r>
          </w:p>
          <w:p w14:paraId="7A6A1A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53F75E45">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全面、详实、可行、合法有效的书面保证技术措施落实到位的承诺和落实不到位的处理承诺，其中包括各关键岗位人员（项目经理以及相关技术人员）的在岗、更换等履职尽责承诺，提供投标人履约保证，6分；</w:t>
            </w:r>
          </w:p>
          <w:p w14:paraId="005DDB49">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书面保证技术措施落实到位的承诺和落实不到位的处理承诺基本满足项目需求的，得4分；</w:t>
            </w:r>
          </w:p>
          <w:p w14:paraId="4FFD3AA9">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保证技术措施落实到位的承诺和落实不到位的处理承诺不够全面、详尽、无具体措施、不可行的，得1分；</w:t>
            </w:r>
          </w:p>
          <w:p w14:paraId="79980541">
            <w:pPr>
              <w:spacing w:line="360" w:lineRule="auto"/>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无承诺得0分。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41F25D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top w:val="single" w:color="auto" w:sz="4" w:space="0"/>
              <w:left w:val="single" w:color="auto" w:sz="4" w:space="0"/>
              <w:right w:val="single" w:color="auto" w:sz="4" w:space="0"/>
            </w:tcBorders>
            <w:vAlign w:val="center"/>
          </w:tcPr>
          <w:p w14:paraId="18B78E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企业业绩</w:t>
            </w:r>
          </w:p>
          <w:p w14:paraId="68C08F8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投标人须提供自202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年1月1日以来的类似项目业绩得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分（每项得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分），在投标文件中附</w:t>
            </w:r>
            <w:r>
              <w:rPr>
                <w:rFonts w:hint="eastAsia" w:ascii="宋体" w:hAnsi="宋体" w:eastAsia="宋体" w:cs="宋体"/>
                <w:color w:val="auto"/>
                <w:spacing w:val="-1"/>
                <w:sz w:val="24"/>
                <w:szCs w:val="24"/>
                <w:highlight w:val="none"/>
                <w:lang w:val="en-US" w:eastAsia="zh-CN"/>
              </w:rPr>
              <w:t>中标公示网页截图、</w:t>
            </w:r>
            <w:r>
              <w:rPr>
                <w:rFonts w:hint="eastAsia" w:ascii="宋体" w:hAnsi="宋体" w:eastAsia="宋体" w:cs="宋体"/>
                <w:color w:val="auto"/>
                <w:spacing w:val="-1"/>
                <w:sz w:val="24"/>
                <w:szCs w:val="24"/>
                <w:highlight w:val="none"/>
                <w:lang w:eastAsia="zh-CN"/>
              </w:rPr>
              <w:t>中标通知书</w:t>
            </w:r>
            <w:r>
              <w:rPr>
                <w:rFonts w:hint="eastAsia" w:ascii="宋体" w:hAnsi="宋体" w:eastAsia="宋体" w:cs="宋体"/>
                <w:color w:val="auto"/>
                <w:spacing w:val="-1"/>
                <w:sz w:val="24"/>
                <w:szCs w:val="24"/>
                <w:highlight w:val="none"/>
                <w:lang w:val="en-US" w:eastAsia="zh-CN"/>
              </w:rPr>
              <w:t>及</w:t>
            </w:r>
            <w:r>
              <w:rPr>
                <w:rFonts w:hint="eastAsia" w:ascii="宋体" w:hAnsi="宋体" w:eastAsia="宋体" w:cs="宋体"/>
                <w:color w:val="auto"/>
                <w:spacing w:val="-1"/>
                <w:sz w:val="24"/>
                <w:szCs w:val="24"/>
                <w:highlight w:val="none"/>
                <w:lang w:eastAsia="zh-CN"/>
              </w:rPr>
              <w:t>合同原件扫描件，否则不得分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pacing w:val="-1"/>
                <w:sz w:val="24"/>
                <w:szCs w:val="24"/>
                <w:highlight w:val="none"/>
                <w:lang w:val="en-US" w:eastAsia="zh-CN"/>
              </w:rPr>
              <w:t xml:space="preserve">                                                                                                                                                                                                                                                                                                                                                                                                                                                                                                                                                                                                                                                                                                                                                                                                                                                                                                                                                                                                                                                                                                                                                                                                                                                                                                                                                                                                                                                                                                                                                                                                                                                                                                                                                                                                                                                                                                                                                                                                                                                                                                                                                                                                                                                                                                                                                                                                                                                                                                                                                                                                                                                                                              </w:t>
            </w:r>
          </w:p>
        </w:tc>
      </w:tr>
      <w:tr w14:paraId="20A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tcBorders>
              <w:left w:val="single" w:color="auto" w:sz="4" w:space="0"/>
              <w:right w:val="single" w:color="auto" w:sz="4" w:space="0"/>
            </w:tcBorders>
            <w:vAlign w:val="center"/>
          </w:tcPr>
          <w:p w14:paraId="76729A6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11" w:type="dxa"/>
            <w:tcBorders>
              <w:left w:val="single" w:color="auto" w:sz="4" w:space="0"/>
              <w:right w:val="single" w:color="auto" w:sz="4" w:space="0"/>
            </w:tcBorders>
            <w:vAlign w:val="center"/>
          </w:tcPr>
          <w:p w14:paraId="66E43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服务承诺</w:t>
            </w:r>
          </w:p>
          <w:p w14:paraId="258C76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035" w:type="dxa"/>
            <w:tcBorders>
              <w:top w:val="single" w:color="auto" w:sz="4" w:space="0"/>
              <w:left w:val="single" w:color="auto" w:sz="4" w:space="0"/>
              <w:bottom w:val="single" w:color="auto" w:sz="4" w:space="0"/>
              <w:right w:val="single" w:color="auto" w:sz="4" w:space="0"/>
            </w:tcBorders>
            <w:vAlign w:val="center"/>
          </w:tcPr>
          <w:p w14:paraId="2DE49B72">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1.提供详细的后期服务保障，措施有针对性，并作出相关实质性承诺，优的得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分，良的得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分，差的得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p w14:paraId="7A0EBF14">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2.在工作开展过程中积极推进项目进度，并及时配合调整相关修改内容；优的得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分，良的得</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分，差的得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tc>
      </w:tr>
    </w:tbl>
    <w:p w14:paraId="3C37573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注：评标过程中涉及到资格审查、企业荣誉、人员业绩、企业业绩等计分部分时，以投标单位自行上传到响应文件中的相应内容为准。</w:t>
      </w:r>
    </w:p>
    <w:p w14:paraId="7D352CF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三、本次评审采用综合评分法。磋商小组会对满足磋商文件实质性要求和提交最后报价的响应文件，按本章节规定的评审标准进行综合评分，并按得分由高到低顺序推荐1-3名成交候选人。</w:t>
      </w:r>
    </w:p>
    <w:p w14:paraId="73B1D770">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四、评审标准</w:t>
      </w:r>
    </w:p>
    <w:p w14:paraId="08CBA63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4.1初步评审标准</w:t>
      </w:r>
    </w:p>
    <w:p w14:paraId="363C0A8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4.1.1形式评审标准：见评审办法前附表。</w:t>
      </w:r>
    </w:p>
    <w:p w14:paraId="7F78FED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4.1.2资格评审标准：见评审办法前附表。</w:t>
      </w:r>
    </w:p>
    <w:p w14:paraId="2E51984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4.1.3响应性评审标准：见评审办法前附表。</w:t>
      </w:r>
    </w:p>
    <w:p w14:paraId="49CAC7F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4.2分值构成与评分标准</w:t>
      </w:r>
    </w:p>
    <w:p w14:paraId="01B907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4.2.1分值构成</w:t>
      </w:r>
    </w:p>
    <w:p w14:paraId="565466F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（1）报价标的权重占20%</w:t>
      </w:r>
    </w:p>
    <w:p w14:paraId="3512C96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（2）技术标的权重占60%</w:t>
      </w:r>
    </w:p>
    <w:p w14:paraId="48775BC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（3）综合标的权重占20%</w:t>
      </w:r>
    </w:p>
    <w:p w14:paraId="2DEAE3F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4.2.2评分标准：见评审办法前附表（详细评审标准）。</w:t>
      </w:r>
    </w:p>
    <w:p w14:paraId="28F4B6C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五.评标程序</w:t>
      </w:r>
    </w:p>
    <w:p w14:paraId="009FDFD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5.1初步评审</w:t>
      </w:r>
    </w:p>
    <w:p w14:paraId="04524CF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5.1.1磋商小组应该以评审中资格审查、评审打分以投标文件为准，其上传资料真实性由供应商自行承担。</w:t>
      </w:r>
    </w:p>
    <w:p w14:paraId="113BE19C">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5.1.2磋商小组依据本章第1项、第2项、第3项规定的评审标准对响应文件进行初步评审。有一项不符合评审标准的，其响应将被否决。</w:t>
      </w:r>
    </w:p>
    <w:p w14:paraId="75CF57D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5.1.3供应商有以下情形之一的，其响应作无效标处理：</w:t>
      </w:r>
    </w:p>
    <w:p w14:paraId="6D7E6DA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（1）串通响应或弄虚作假或有其他违法行为的；</w:t>
      </w:r>
    </w:p>
    <w:p w14:paraId="05FA10A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4" w:name="bookmark14"/>
      <w:bookmarkEnd w:id="14"/>
      <w:r>
        <w:rPr>
          <w:rFonts w:hint="eastAsia" w:ascii="宋体" w:hAnsi="宋体" w:eastAsia="宋体" w:cs="宋体"/>
          <w:color w:val="000000" w:themeColor="text1"/>
          <w:sz w:val="24"/>
          <w:szCs w:val="24"/>
          <w:lang w:val="en-US" w:eastAsia="zh-CN"/>
          <w14:textFill>
            <w14:solidFill>
              <w14:schemeClr w14:val="tx1"/>
            </w14:solidFill>
          </w14:textFill>
        </w:rPr>
        <w:t>（2）不按磋商小组要求澄清、说明或补正的。</w:t>
      </w:r>
    </w:p>
    <w:p w14:paraId="72F1A15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5.1.4响应报价有算术错误的，磋商小组按以下原则对响应报价进行修正，修正的价格经供应商书面确认后具有约束力。供应商不接受修正价格的，其响应将被否决。</w:t>
      </w:r>
    </w:p>
    <w:p w14:paraId="59BD59F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（1）响应文件中的大写金额与小写金额不一致的，以大写金额为准；</w:t>
      </w:r>
    </w:p>
    <w:p w14:paraId="62526AD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（2）总价金额与依据单价计算出的结果不一致的，以单价金额为准修正总价，但单价金额小数点有明显错误的除外。</w:t>
      </w:r>
    </w:p>
    <w:p w14:paraId="3A0AF50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5.2详细评审</w:t>
      </w:r>
    </w:p>
    <w:p w14:paraId="1B5C542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5.2.1磋商小组按本章第2.2款规定的量化因素和分值进行打分，并计算出综合得分。</w:t>
      </w:r>
    </w:p>
    <w:p w14:paraId="3519B098">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5.2.2磋商小组发现供应商最终提交的报价明显低于其他响应报价，或者在设有标底时明显低于标底，使得其响应报价可能低于其个别成本的，应当要求该供应商作出书面说明并提供相应的证明材料。供应商不能合理说明或者不能提供相应证明材料的，由磋商小组认定该供应商以低于成本报价竞标，其响应作无效标处理。</w:t>
      </w:r>
    </w:p>
    <w:p w14:paraId="44691B3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5.3响应文件的澄清和补正</w:t>
      </w:r>
    </w:p>
    <w:p w14:paraId="3679BE6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5.3.1在评审过程中，磋商小组可以书面形式要求供应商对所提交响应文件中不明确的内容进行书面澄清或说明，或者对细微偏差进行补正。磋商小组不接受供应商主动提出的澄清、说明或补正。</w:t>
      </w:r>
    </w:p>
    <w:p w14:paraId="06BF95F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5.3.2澄清、说明和补正不得改变响应文件的实质性内容（算术性错误修正的除外）。供应商的书面澄清、说明和补正属于响应文件的组成部分。</w:t>
      </w:r>
    </w:p>
    <w:p w14:paraId="17A18972">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5.3.3磋商小组对供应商提交的澄清、说明或补正有疑问的，可以要求供应商进一步澄清、说明或补正，直至满足磋商小组的要求。</w:t>
      </w:r>
    </w:p>
    <w:p w14:paraId="0C12835B">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5.4供应商的最终得分</w:t>
      </w:r>
    </w:p>
    <w:p w14:paraId="410E0779">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（1）磋商小组按本章评审方法规定的量化因素和分值进行打分，并计算出综合得分。</w:t>
      </w:r>
    </w:p>
    <w:p w14:paraId="15035643">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（2）计算分值均保留两位小数。</w:t>
      </w:r>
    </w:p>
    <w:p w14:paraId="5FAFAFD1">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5.5评审结果</w:t>
      </w:r>
    </w:p>
    <w:p w14:paraId="735C083A">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5.5.1磋商小组按照得分由高到低的顺序推荐1-3名成交候选人。</w:t>
      </w:r>
    </w:p>
    <w:p w14:paraId="699CE604">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5.5.2磋商小组完成评审后，应当向采购人提交书面评审报告</w:t>
      </w:r>
      <w:r>
        <w:rPr>
          <w:rFonts w:hint="eastAsia" w:ascii="宋体" w:hAnsi="宋体" w:eastAsia="宋体" w:cs="宋体"/>
          <w:spacing w:val="-2"/>
          <w:sz w:val="24"/>
          <w:szCs w:val="24"/>
        </w:rPr>
        <w:t>。</w:t>
      </w:r>
    </w:p>
    <w:p w14:paraId="09670EA5">
      <w:pPr>
        <w:keepNext w:val="0"/>
        <w:keepLines w:val="0"/>
        <w:pageBreakBefore w:val="0"/>
        <w:widowControl w:val="0"/>
        <w:kinsoku/>
        <w:wordWrap/>
        <w:overflowPunct/>
        <w:topLinePunct w:val="0"/>
        <w:autoSpaceDE/>
        <w:autoSpaceDN/>
        <w:bidi w:val="0"/>
        <w:adjustRightInd/>
        <w:snapToGrid/>
        <w:spacing w:before="0" w:beforeLines="50" w:after="0" w:afterLines="50" w:line="218" w:lineRule="auto"/>
        <w:ind w:firstLine="480" w:firstLineChars="200"/>
        <w:textAlignment w:val="auto"/>
        <w:rPr>
          <w:rFonts w:hint="eastAsia" w:ascii="宋体" w:hAnsi="宋体" w:eastAsia="宋体" w:cs="宋体"/>
          <w:sz w:val="24"/>
          <w:szCs w:val="24"/>
        </w:rPr>
        <w:sectPr>
          <w:footerReference r:id="rId5" w:type="default"/>
          <w:pgSz w:w="11907" w:h="16839"/>
          <w:pgMar w:top="1440" w:right="1800" w:bottom="1440" w:left="1800" w:header="0" w:footer="719" w:gutter="0"/>
          <w:pgNumType w:fmt="decimal"/>
          <w:cols w:space="720" w:num="1"/>
        </w:sectPr>
      </w:pPr>
    </w:p>
    <w:p w14:paraId="0FE05430">
      <w:pPr>
        <w:pStyle w:val="9"/>
        <w:bidi w:val="0"/>
      </w:pPr>
      <w:bookmarkStart w:id="15" w:name="_Toc5148"/>
      <w:r>
        <w:rPr>
          <w:rFonts w:hint="eastAsia"/>
        </w:rPr>
        <w:t>第四章</w:t>
      </w:r>
      <w:r>
        <w:rPr>
          <w:rFonts w:hint="eastAsia"/>
          <w:lang w:val="en-US" w:eastAsia="zh-CN"/>
        </w:rPr>
        <w:t xml:space="preserve"> </w:t>
      </w:r>
      <w:r>
        <w:rPr>
          <w:rFonts w:hint="eastAsia"/>
        </w:rPr>
        <w:t>合同条款及合同文件格式</w:t>
      </w:r>
      <w:bookmarkEnd w:id="13"/>
      <w:bookmarkEnd w:id="15"/>
    </w:p>
    <w:p w14:paraId="4CCBCE64">
      <w:pPr>
        <w:ind w:firstLine="600" w:firstLineChars="200"/>
        <w:jc w:val="center"/>
        <w:rPr>
          <w:rFonts w:ascii="宋体" w:hAnsi="宋体"/>
          <w:color w:val="auto"/>
          <w:sz w:val="30"/>
          <w:szCs w:val="30"/>
          <w:highlight w:val="none"/>
        </w:rPr>
      </w:pPr>
      <w:r>
        <w:rPr>
          <w:rFonts w:hint="eastAsia" w:ascii="宋体" w:hAnsi="宋体"/>
          <w:color w:val="auto"/>
          <w:sz w:val="30"/>
          <w:szCs w:val="30"/>
          <w:highlight w:val="none"/>
        </w:rPr>
        <w:t>（仅供参考，以实际签订合同为准）</w:t>
      </w:r>
    </w:p>
    <w:p w14:paraId="4506493B">
      <w:pPr>
        <w:ind w:firstLine="640" w:firstLineChars="200"/>
        <w:jc w:val="center"/>
        <w:rPr>
          <w:rFonts w:ascii="宋体" w:hAnsi="宋体"/>
          <w:bCs/>
          <w:color w:val="auto"/>
          <w:sz w:val="32"/>
          <w:szCs w:val="32"/>
          <w:highlight w:val="none"/>
        </w:rPr>
      </w:pPr>
    </w:p>
    <w:p w14:paraId="359A30FD">
      <w:pPr>
        <w:ind w:firstLine="640" w:firstLineChars="200"/>
        <w:jc w:val="center"/>
        <w:rPr>
          <w:rFonts w:ascii="宋体" w:hAnsi="宋体"/>
          <w:bCs/>
          <w:color w:val="auto"/>
          <w:sz w:val="32"/>
          <w:szCs w:val="32"/>
          <w:highlight w:val="none"/>
        </w:rPr>
      </w:pPr>
    </w:p>
    <w:p w14:paraId="73A501FA">
      <w:pPr>
        <w:ind w:firstLine="640" w:firstLineChars="200"/>
        <w:jc w:val="center"/>
        <w:rPr>
          <w:rFonts w:ascii="宋体" w:hAnsi="宋体"/>
          <w:bCs/>
          <w:color w:val="auto"/>
          <w:sz w:val="32"/>
          <w:szCs w:val="32"/>
          <w:highlight w:val="none"/>
        </w:rPr>
      </w:pPr>
      <w:r>
        <w:rPr>
          <w:rFonts w:ascii="宋体" w:hAnsi="宋体"/>
          <w:bCs/>
          <w:color w:val="auto"/>
          <w:sz w:val="32"/>
          <w:szCs w:val="32"/>
          <w:highlight w:val="none"/>
        </w:rPr>
        <w:t>（GF—201</w:t>
      </w:r>
      <w:r>
        <w:rPr>
          <w:rFonts w:hint="eastAsia" w:ascii="宋体" w:hAnsi="宋体"/>
          <w:bCs/>
          <w:color w:val="auto"/>
          <w:sz w:val="32"/>
          <w:szCs w:val="32"/>
          <w:highlight w:val="none"/>
          <w:lang w:val="en-US" w:eastAsia="zh-CN"/>
        </w:rPr>
        <w:t>7</w:t>
      </w:r>
      <w:r>
        <w:rPr>
          <w:rFonts w:ascii="宋体" w:hAnsi="宋体"/>
          <w:bCs/>
          <w:color w:val="auto"/>
          <w:sz w:val="32"/>
          <w:szCs w:val="32"/>
          <w:highlight w:val="none"/>
        </w:rPr>
        <w:t>—</w:t>
      </w:r>
      <w:r>
        <w:rPr>
          <w:rFonts w:hint="eastAsia" w:ascii="宋体" w:hAnsi="宋体"/>
          <w:bCs/>
          <w:color w:val="auto"/>
          <w:sz w:val="32"/>
          <w:szCs w:val="32"/>
          <w:highlight w:val="none"/>
        </w:rPr>
        <w:t>0201）</w:t>
      </w:r>
    </w:p>
    <w:p w14:paraId="6AC8605C">
      <w:pPr>
        <w:spacing w:line="360" w:lineRule="auto"/>
        <w:ind w:firstLine="720" w:firstLineChars="200"/>
        <w:jc w:val="center"/>
        <w:rPr>
          <w:rFonts w:ascii="宋体" w:hAnsi="宋体"/>
          <w:color w:val="auto"/>
          <w:sz w:val="36"/>
          <w:szCs w:val="36"/>
          <w:highlight w:val="none"/>
        </w:rPr>
      </w:pPr>
    </w:p>
    <w:p w14:paraId="01D91A96">
      <w:pPr>
        <w:spacing w:line="360" w:lineRule="auto"/>
        <w:ind w:firstLine="720" w:firstLineChars="200"/>
        <w:jc w:val="center"/>
        <w:rPr>
          <w:rFonts w:ascii="宋体" w:hAnsi="宋体"/>
          <w:color w:val="auto"/>
          <w:sz w:val="36"/>
          <w:szCs w:val="36"/>
          <w:highlight w:val="none"/>
        </w:rPr>
      </w:pPr>
    </w:p>
    <w:p w14:paraId="1A90A944">
      <w:pPr>
        <w:spacing w:line="360" w:lineRule="auto"/>
        <w:ind w:firstLine="720" w:firstLineChars="200"/>
        <w:jc w:val="center"/>
        <w:rPr>
          <w:rFonts w:ascii="宋体" w:hAnsi="宋体"/>
          <w:color w:val="auto"/>
          <w:sz w:val="36"/>
          <w:szCs w:val="36"/>
          <w:highlight w:val="none"/>
        </w:rPr>
      </w:pPr>
    </w:p>
    <w:p w14:paraId="7585D0E9">
      <w:pPr>
        <w:spacing w:line="360" w:lineRule="auto"/>
        <w:ind w:firstLine="720" w:firstLineChars="200"/>
        <w:jc w:val="center"/>
        <w:rPr>
          <w:rFonts w:ascii="宋体" w:hAnsi="宋体"/>
          <w:color w:val="auto"/>
          <w:sz w:val="36"/>
          <w:szCs w:val="36"/>
          <w:highlight w:val="none"/>
        </w:rPr>
      </w:pPr>
    </w:p>
    <w:p w14:paraId="08496C5D">
      <w:pPr>
        <w:spacing w:line="360" w:lineRule="auto"/>
        <w:ind w:firstLine="720" w:firstLineChars="200"/>
        <w:jc w:val="center"/>
        <w:rPr>
          <w:rFonts w:ascii="宋体" w:hAnsi="宋体"/>
          <w:color w:val="auto"/>
          <w:sz w:val="36"/>
          <w:szCs w:val="36"/>
          <w:highlight w:val="none"/>
        </w:rPr>
      </w:pPr>
    </w:p>
    <w:p w14:paraId="2DE41D53">
      <w:pPr>
        <w:spacing w:line="360" w:lineRule="auto"/>
        <w:ind w:firstLine="720" w:firstLineChars="200"/>
        <w:jc w:val="center"/>
        <w:rPr>
          <w:rFonts w:hint="eastAsia" w:ascii="宋体" w:hAnsi="宋体" w:eastAsia="宋体"/>
          <w:color w:val="auto"/>
          <w:sz w:val="36"/>
          <w:szCs w:val="36"/>
          <w:highlight w:val="none"/>
          <w:lang w:eastAsia="zh-CN"/>
        </w:rPr>
      </w:pPr>
      <w:r>
        <w:rPr>
          <w:rFonts w:ascii="宋体" w:hAnsi="宋体"/>
          <w:color w:val="auto"/>
          <w:sz w:val="36"/>
          <w:szCs w:val="36"/>
          <w:highlight w:val="none"/>
        </w:rPr>
        <w:t>建设工程施工合同</w:t>
      </w:r>
    </w:p>
    <w:p w14:paraId="3AFB93FA">
      <w:pPr>
        <w:spacing w:line="360" w:lineRule="auto"/>
        <w:ind w:firstLine="560" w:firstLineChars="200"/>
        <w:jc w:val="center"/>
        <w:rPr>
          <w:rFonts w:ascii="宋体" w:hAnsi="宋体"/>
          <w:color w:val="auto"/>
          <w:sz w:val="48"/>
          <w:szCs w:val="48"/>
          <w:highlight w:val="none"/>
        </w:rPr>
      </w:pPr>
      <w:r>
        <w:rPr>
          <w:rFonts w:ascii="宋体" w:hAnsi="宋体"/>
          <w:color w:val="auto"/>
          <w:sz w:val="28"/>
          <w:szCs w:val="28"/>
          <w:highlight w:val="none"/>
        </w:rPr>
        <w:t>（示范文本）</w:t>
      </w:r>
    </w:p>
    <w:p w14:paraId="06915103">
      <w:pPr>
        <w:spacing w:line="360" w:lineRule="auto"/>
        <w:ind w:right="3112" w:rightChars="1482" w:firstLine="640" w:firstLineChars="200"/>
        <w:jc w:val="center"/>
        <w:rPr>
          <w:rFonts w:ascii="宋体" w:hAnsi="宋体"/>
          <w:color w:val="auto"/>
          <w:sz w:val="32"/>
          <w:szCs w:val="28"/>
          <w:highlight w:val="none"/>
        </w:rPr>
      </w:pPr>
    </w:p>
    <w:p w14:paraId="6BD19620">
      <w:pPr>
        <w:spacing w:line="360" w:lineRule="auto"/>
        <w:ind w:right="3112" w:rightChars="1482" w:firstLine="640" w:firstLineChars="200"/>
        <w:jc w:val="center"/>
        <w:rPr>
          <w:rFonts w:ascii="宋体" w:hAnsi="宋体"/>
          <w:color w:val="auto"/>
          <w:sz w:val="32"/>
          <w:szCs w:val="28"/>
          <w:highlight w:val="none"/>
        </w:rPr>
      </w:pPr>
    </w:p>
    <w:p w14:paraId="1EC77492">
      <w:pPr>
        <w:spacing w:line="360" w:lineRule="auto"/>
        <w:ind w:right="3112" w:rightChars="1482" w:firstLine="640" w:firstLineChars="200"/>
        <w:jc w:val="center"/>
        <w:rPr>
          <w:rFonts w:ascii="宋体" w:hAnsi="宋体"/>
          <w:color w:val="auto"/>
          <w:sz w:val="32"/>
          <w:szCs w:val="28"/>
          <w:highlight w:val="none"/>
        </w:rPr>
      </w:pPr>
    </w:p>
    <w:p w14:paraId="1434894B">
      <w:pPr>
        <w:spacing w:line="360" w:lineRule="auto"/>
        <w:ind w:right="3112" w:rightChars="1482" w:firstLine="640" w:firstLineChars="200"/>
        <w:jc w:val="center"/>
        <w:rPr>
          <w:rFonts w:ascii="宋体" w:hAnsi="宋体"/>
          <w:color w:val="auto"/>
          <w:sz w:val="32"/>
          <w:szCs w:val="28"/>
          <w:highlight w:val="none"/>
        </w:rPr>
      </w:pPr>
    </w:p>
    <w:p w14:paraId="7A880290">
      <w:pPr>
        <w:spacing w:line="360" w:lineRule="auto"/>
        <w:ind w:right="3112" w:rightChars="1482" w:firstLine="640" w:firstLineChars="200"/>
        <w:jc w:val="center"/>
        <w:rPr>
          <w:rFonts w:ascii="宋体" w:hAnsi="宋体"/>
          <w:color w:val="auto"/>
          <w:sz w:val="32"/>
          <w:szCs w:val="28"/>
          <w:highlight w:val="none"/>
        </w:rPr>
      </w:pPr>
    </w:p>
    <w:p w14:paraId="0FFDC531">
      <w:pPr>
        <w:spacing w:line="360" w:lineRule="auto"/>
        <w:ind w:right="3112" w:rightChars="1482" w:firstLine="640" w:firstLineChars="200"/>
        <w:jc w:val="center"/>
        <w:rPr>
          <w:rFonts w:ascii="宋体" w:hAnsi="宋体"/>
          <w:color w:val="auto"/>
          <w:sz w:val="32"/>
          <w:szCs w:val="28"/>
          <w:highlight w:val="none"/>
        </w:rPr>
      </w:pPr>
    </w:p>
    <w:p w14:paraId="68972FD8">
      <w:pPr>
        <w:spacing w:line="360" w:lineRule="auto"/>
        <w:ind w:right="3112" w:rightChars="1482" w:firstLine="640" w:firstLineChars="200"/>
        <w:jc w:val="center"/>
        <w:rPr>
          <w:rFonts w:ascii="宋体" w:hAnsi="宋体"/>
          <w:color w:val="auto"/>
          <w:sz w:val="32"/>
          <w:szCs w:val="28"/>
          <w:highlight w:val="none"/>
        </w:rPr>
      </w:pPr>
    </w:p>
    <w:p w14:paraId="057B37C3">
      <w:pPr>
        <w:spacing w:line="360" w:lineRule="auto"/>
        <w:ind w:right="3112" w:rightChars="1482" w:firstLine="420" w:firstLineChars="200"/>
        <w:jc w:val="center"/>
        <w:rPr>
          <w:rFonts w:ascii="宋体" w:hAnsi="宋体"/>
          <w:color w:val="auto"/>
          <w:sz w:val="32"/>
          <w:szCs w:val="28"/>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4023360</wp:posOffset>
                </wp:positionH>
                <wp:positionV relativeFrom="paragraph">
                  <wp:posOffset>168910</wp:posOffset>
                </wp:positionV>
                <wp:extent cx="781050" cy="457200"/>
                <wp:effectExtent l="4445" t="4445" r="14605" b="8255"/>
                <wp:wrapNone/>
                <wp:docPr id="5" name="文本框 5"/>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37A2E71">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6.8pt;margin-top:13.3pt;height:36pt;width:61.5pt;z-index:251660288;mso-width-relative:page;mso-height-relative:page;" filled="f" stroked="t" coordsize="21600,21600" o:gfxdata="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euM99gAAAAJAQAADwAAAAAAAAABACAAAAAiAAAAZHJz&#10;L2Rvd25yZXYueG1sUEsBAhQAFAAAAAgAh07iQFiENHEEAgAADAQAAA4AAAAAAAAAAQAgAAAAJwEA&#10;AGRycy9lMm9Eb2MueG1sUEsFBgAAAAAGAAYAWQEAAJ0FAAAAAA==&#10;">
                <v:fill on="f" focussize="0,0"/>
                <v:stroke color="#FFFFFF" joinstyle="miter"/>
                <v:imagedata o:title=""/>
                <o:lock v:ext="edit" aspectratio="f"/>
                <v:textbox>
                  <w:txbxContent>
                    <w:p w14:paraId="037A2E71">
                      <w:pPr>
                        <w:rPr>
                          <w:b/>
                          <w:bCs/>
                          <w:sz w:val="32"/>
                        </w:rPr>
                      </w:pPr>
                      <w:r>
                        <w:rPr>
                          <w:rFonts w:hint="eastAsia"/>
                          <w:b/>
                          <w:bCs/>
                          <w:sz w:val="32"/>
                        </w:rPr>
                        <w:t>制定</w:t>
                      </w:r>
                    </w:p>
                  </w:txbxContent>
                </v:textbox>
              </v:shape>
            </w:pict>
          </mc:Fallback>
        </mc:AlternateContent>
      </w:r>
      <w:r>
        <w:rPr>
          <w:rFonts w:ascii="宋体" w:hAnsi="宋体"/>
          <w:color w:val="auto"/>
          <w:sz w:val="32"/>
          <w:szCs w:val="28"/>
          <w:highlight w:val="none"/>
        </w:rPr>
        <w:t>住房和城乡建设部</w:t>
      </w:r>
    </w:p>
    <w:p w14:paraId="1EC1A744">
      <w:pPr>
        <w:spacing w:line="360" w:lineRule="auto"/>
        <w:ind w:right="3112" w:rightChars="1482" w:firstLine="736" w:firstLineChars="200"/>
        <w:jc w:val="center"/>
        <w:rPr>
          <w:rFonts w:ascii="宋体" w:hAnsi="宋体"/>
          <w:color w:val="auto"/>
          <w:spacing w:val="24"/>
          <w:sz w:val="32"/>
          <w:szCs w:val="28"/>
          <w:highlight w:val="none"/>
        </w:rPr>
      </w:pPr>
      <w:r>
        <w:rPr>
          <w:rFonts w:ascii="宋体" w:hAnsi="宋体"/>
          <w:color w:val="auto"/>
          <w:spacing w:val="24"/>
          <w:sz w:val="32"/>
          <w:szCs w:val="28"/>
          <w:highlight w:val="none"/>
        </w:rPr>
        <w:t>国家工商行政管理总局</w:t>
      </w:r>
    </w:p>
    <w:p w14:paraId="7FE70ACC">
      <w:pPr>
        <w:ind w:firstLine="640" w:firstLineChars="200"/>
        <w:rPr>
          <w:rFonts w:ascii="宋体" w:hAnsi="宋体"/>
          <w:bCs/>
          <w:color w:val="auto"/>
          <w:sz w:val="32"/>
          <w:szCs w:val="32"/>
          <w:highlight w:val="none"/>
        </w:rPr>
      </w:pPr>
      <w:bookmarkStart w:id="16" w:name="_Toc529438828"/>
      <w:bookmarkStart w:id="17" w:name="_Toc500423701"/>
      <w:bookmarkStart w:id="18" w:name="_Toc58684691"/>
      <w:bookmarkStart w:id="19" w:name="_Toc14975637"/>
      <w:r>
        <w:rPr>
          <w:rFonts w:hint="eastAsia" w:ascii="宋体" w:hAnsi="宋体"/>
          <w:bCs/>
          <w:color w:val="auto"/>
          <w:sz w:val="32"/>
          <w:szCs w:val="32"/>
          <w:highlight w:val="none"/>
        </w:rPr>
        <w:br w:type="page"/>
      </w:r>
    </w:p>
    <w:p w14:paraId="51DDFA00">
      <w:pPr>
        <w:spacing w:line="360" w:lineRule="auto"/>
        <w:ind w:firstLine="640" w:firstLineChars="200"/>
        <w:jc w:val="center"/>
        <w:outlineLvl w:val="1"/>
        <w:rPr>
          <w:rFonts w:ascii="宋体" w:hAnsi="宋体"/>
          <w:bCs/>
          <w:color w:val="auto"/>
          <w:sz w:val="32"/>
          <w:szCs w:val="32"/>
          <w:highlight w:val="none"/>
        </w:rPr>
      </w:pPr>
      <w:r>
        <w:rPr>
          <w:rFonts w:hint="eastAsia" w:ascii="宋体" w:hAnsi="宋体"/>
          <w:bCs/>
          <w:color w:val="auto"/>
          <w:sz w:val="32"/>
          <w:szCs w:val="32"/>
          <w:highlight w:val="none"/>
        </w:rPr>
        <w:t>一、</w:t>
      </w:r>
      <w:r>
        <w:rPr>
          <w:rFonts w:ascii="宋体" w:hAnsi="宋体"/>
          <w:bCs/>
          <w:color w:val="auto"/>
          <w:sz w:val="32"/>
          <w:szCs w:val="32"/>
          <w:highlight w:val="none"/>
        </w:rPr>
        <w:t>合同协议书</w:t>
      </w:r>
      <w:bookmarkEnd w:id="16"/>
      <w:bookmarkEnd w:id="17"/>
      <w:bookmarkEnd w:id="18"/>
      <w:bookmarkEnd w:id="19"/>
    </w:p>
    <w:p w14:paraId="02297633">
      <w:pPr>
        <w:tabs>
          <w:tab w:val="left" w:pos="5835"/>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发包人（全称）：</w:t>
      </w:r>
    </w:p>
    <w:p w14:paraId="5E5598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承包人（全称）：</w:t>
      </w:r>
    </w:p>
    <w:p w14:paraId="68153D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cs="宋体"/>
          <w:color w:val="auto"/>
          <w:sz w:val="24"/>
          <w:szCs w:val="24"/>
          <w:highlight w:val="none"/>
        </w:rPr>
        <w:t>》、《中华人民共和国建筑法》及有关法律规定，遵循平等、自愿、公平和诚实信用的原则，双方就施工及有关事项协商一致，共同达成如下协议：</w:t>
      </w:r>
    </w:p>
    <w:p w14:paraId="71996A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一、工程概况</w:t>
      </w:r>
    </w:p>
    <w:p w14:paraId="0D5847A6">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1.工程名称：</w:t>
      </w:r>
    </w:p>
    <w:p w14:paraId="58804DA0">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2.工程地点：</w:t>
      </w:r>
    </w:p>
    <w:p w14:paraId="6A014508">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3.工程立项批准文号：</w:t>
      </w:r>
      <w:r>
        <w:rPr>
          <w:rFonts w:hint="eastAsia" w:ascii="宋体" w:hAnsi="宋体" w:cs="宋体"/>
          <w:color w:val="auto"/>
          <w:sz w:val="24"/>
          <w:szCs w:val="24"/>
          <w:highlight w:val="none"/>
          <w:u w:val="single"/>
        </w:rPr>
        <w:t>/</w:t>
      </w:r>
    </w:p>
    <w:p w14:paraId="6B9599BC">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sz w:val="24"/>
          <w:szCs w:val="24"/>
          <w:highlight w:val="none"/>
        </w:rPr>
        <w:t>4.资金来源：</w:t>
      </w:r>
    </w:p>
    <w:p w14:paraId="77859392">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5.工程内容：。</w:t>
      </w:r>
    </w:p>
    <w:p w14:paraId="70876B25">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群体工程应附《承包人承揽工程项目一览表》（附件1）。</w:t>
      </w:r>
    </w:p>
    <w:p w14:paraId="6C818B51">
      <w:pPr>
        <w:widowControl/>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6.工程承包范围：</w:t>
      </w:r>
    </w:p>
    <w:p w14:paraId="342B54F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二、合同工期</w:t>
      </w:r>
    </w:p>
    <w:p w14:paraId="63DA0E0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计划开工日期：年月日。</w:t>
      </w:r>
    </w:p>
    <w:p w14:paraId="62711A3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计划竣工日期：年月日。</w:t>
      </w:r>
    </w:p>
    <w:p w14:paraId="658A56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工期总日历天数：日历天。工期总日历天数与根据前述计划开竣工日期计算的工期天数不一致的，以工期总日历天数为准。</w:t>
      </w:r>
    </w:p>
    <w:p w14:paraId="36D98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三、质量标准</w:t>
      </w:r>
    </w:p>
    <w:p w14:paraId="04C43AC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工程质量符合标准。</w:t>
      </w:r>
    </w:p>
    <w:p w14:paraId="7ABC8EC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四、签约合同价与合同价格形式</w:t>
      </w:r>
    </w:p>
    <w:p w14:paraId="710ADB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1.签约合同价为：人民币（大写）(¥：元)；</w:t>
      </w:r>
    </w:p>
    <w:p w14:paraId="3E9975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其中：</w:t>
      </w:r>
    </w:p>
    <w:p w14:paraId="4B4781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（1）安全文明施工费：人民币（大写）(¥：元)；</w:t>
      </w:r>
    </w:p>
    <w:p w14:paraId="0F35AC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（2）材料和工程设备暂估价金额：人民币（大写）(¥：元)；</w:t>
      </w:r>
    </w:p>
    <w:p w14:paraId="234081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（3）专业工程暂估价金额：人民币（大写）(¥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元)；</w:t>
      </w:r>
    </w:p>
    <w:p w14:paraId="16CEFC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（4）暂列金额：人民币（大写）(¥：元)。</w:t>
      </w:r>
    </w:p>
    <w:p w14:paraId="600308B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2.合同价格形式：</w:t>
      </w:r>
      <w:r>
        <w:rPr>
          <w:rFonts w:hint="eastAsia" w:ascii="宋体" w:hAnsi="宋体" w:cs="宋体"/>
          <w:color w:val="auto"/>
          <w:sz w:val="24"/>
          <w:szCs w:val="24"/>
          <w:highlight w:val="none"/>
          <w:u w:val="single"/>
        </w:rPr>
        <w:t>固定单价合同。</w:t>
      </w:r>
    </w:p>
    <w:p w14:paraId="2A87EA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五、项目经理</w:t>
      </w:r>
    </w:p>
    <w:p w14:paraId="644935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承包人项目经理：。</w:t>
      </w:r>
    </w:p>
    <w:p w14:paraId="35CCE8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六、合同文件构成</w:t>
      </w:r>
    </w:p>
    <w:p w14:paraId="117711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w:t>
      </w:r>
    </w:p>
    <w:p w14:paraId="4FE610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（1）中标通知书（如果有）；</w:t>
      </w:r>
    </w:p>
    <w:p w14:paraId="0B0D7A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（2）投标函及其附录（如果有）；</w:t>
      </w:r>
    </w:p>
    <w:p w14:paraId="08A83B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（3）专用合同条款及其附件；</w:t>
      </w:r>
    </w:p>
    <w:p w14:paraId="786AF0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（4）通用合同条款；</w:t>
      </w:r>
    </w:p>
    <w:p w14:paraId="6FC482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（5）技术标准和要求；</w:t>
      </w:r>
    </w:p>
    <w:p w14:paraId="517AE5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（6）图纸；</w:t>
      </w:r>
    </w:p>
    <w:p w14:paraId="238E88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（7）已标价工程量清单或预算书；</w:t>
      </w:r>
    </w:p>
    <w:p w14:paraId="357F37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（8）其他合同文件。</w:t>
      </w:r>
    </w:p>
    <w:p w14:paraId="12B385D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w:t>
      </w:r>
    </w:p>
    <w:p w14:paraId="46F3CF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4178E2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七、承诺</w:t>
      </w:r>
    </w:p>
    <w:p w14:paraId="55BB97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1.发包人承诺按照法律规定履行项目审批手续、筹集工程建设资金并按照合同约定的期限和方式支付合同价款。</w:t>
      </w:r>
    </w:p>
    <w:p w14:paraId="339B5F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54991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3.发包人和承包人通过招投标形式签订合同的，双方理解并承诺不再就同一工程另行签订与合同实质性内容相背离的协议。</w:t>
      </w:r>
    </w:p>
    <w:p w14:paraId="6D17D3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八、词语含义</w:t>
      </w:r>
    </w:p>
    <w:p w14:paraId="2778EB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本协议书中词语含义与第二部分通用合同条款中赋予的含义相同。</w:t>
      </w:r>
    </w:p>
    <w:p w14:paraId="41B72A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九、签订时间</w:t>
      </w:r>
    </w:p>
    <w:p w14:paraId="68ED9A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本合同于年月日签订。</w:t>
      </w:r>
    </w:p>
    <w:p w14:paraId="3A1B19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十、签订地点</w:t>
      </w:r>
    </w:p>
    <w:p w14:paraId="3B359A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本合同在签订。</w:t>
      </w:r>
    </w:p>
    <w:p w14:paraId="437ABC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十一、补充协议</w:t>
      </w:r>
    </w:p>
    <w:p w14:paraId="242D30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合同未尽事宜，合同当事人另行签订补充协议，补充协议是合同的组成部分。</w:t>
      </w:r>
    </w:p>
    <w:p w14:paraId="3A652A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十二、合同生效</w:t>
      </w:r>
    </w:p>
    <w:p w14:paraId="07B8D9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本合同自生效。</w:t>
      </w:r>
    </w:p>
    <w:p w14:paraId="272517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十三、合同份数</w:t>
      </w:r>
    </w:p>
    <w:p w14:paraId="254C1DFC">
      <w:pPr>
        <w:spacing w:line="360" w:lineRule="auto"/>
        <w:ind w:firstLine="480" w:firstLineChars="200"/>
        <w:rPr>
          <w:rFonts w:ascii="宋体" w:hAnsi="宋体"/>
          <w:bCs/>
          <w:color w:val="auto"/>
          <w:sz w:val="24"/>
          <w:szCs w:val="24"/>
          <w:highlight w:val="none"/>
        </w:rPr>
      </w:pPr>
      <w:bookmarkStart w:id="20" w:name="OLE_LINK5"/>
      <w:bookmarkStart w:id="21" w:name="OLE_LINK4"/>
      <w:r>
        <w:rPr>
          <w:rFonts w:ascii="宋体" w:hAnsi="宋体"/>
          <w:bCs/>
          <w:color w:val="auto"/>
          <w:sz w:val="24"/>
          <w:szCs w:val="24"/>
          <w:highlight w:val="none"/>
        </w:rPr>
        <w:t>本合同一式份</w:t>
      </w:r>
      <w:r>
        <w:rPr>
          <w:rFonts w:hint="eastAsia" w:ascii="宋体" w:hAnsi="宋体"/>
          <w:bCs/>
          <w:color w:val="auto"/>
          <w:sz w:val="24"/>
          <w:szCs w:val="24"/>
          <w:highlight w:val="none"/>
        </w:rPr>
        <w:t>（</w:t>
      </w:r>
      <w:r>
        <w:rPr>
          <w:rFonts w:hint="eastAsia" w:ascii="宋体" w:hAnsi="宋体" w:cs="宋体"/>
          <w:color w:val="auto"/>
          <w:sz w:val="24"/>
          <w:szCs w:val="24"/>
          <w:highlight w:val="none"/>
          <w:u w:val="single"/>
        </w:rPr>
        <w:t>其中正本份，副本份</w:t>
      </w:r>
      <w:r>
        <w:rPr>
          <w:rFonts w:hint="eastAsia" w:ascii="宋体" w:hAnsi="宋体"/>
          <w:bCs/>
          <w:color w:val="auto"/>
          <w:sz w:val="24"/>
          <w:szCs w:val="24"/>
          <w:highlight w:val="none"/>
        </w:rPr>
        <w:t>）</w:t>
      </w:r>
      <w:r>
        <w:rPr>
          <w:rFonts w:ascii="宋体" w:hAnsi="宋体"/>
          <w:bCs/>
          <w:color w:val="auto"/>
          <w:sz w:val="24"/>
          <w:szCs w:val="24"/>
          <w:highlight w:val="none"/>
        </w:rPr>
        <w:t>，均具有同等法律效力，发包人执份，承包人执份。</w:t>
      </w:r>
    </w:p>
    <w:bookmarkEnd w:id="20"/>
    <w:bookmarkEnd w:id="21"/>
    <w:p w14:paraId="2E3C5C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发包人：(公章)承包人：(公章)</w:t>
      </w:r>
    </w:p>
    <w:p w14:paraId="3FF557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法定代表人或其委托代理人：法定代表人或其委托代理人：</w:t>
      </w:r>
    </w:p>
    <w:p w14:paraId="5C8E04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（签字）（签字）</w:t>
      </w:r>
    </w:p>
    <w:p w14:paraId="4F05A41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地址：</w:t>
      </w:r>
    </w:p>
    <w:p w14:paraId="13E54DE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邮政编码：</w:t>
      </w:r>
    </w:p>
    <w:p w14:paraId="67C336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法定代表人：</w:t>
      </w:r>
    </w:p>
    <w:p w14:paraId="1FE477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或委托代理人：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或委托代理人：</w:t>
      </w:r>
    </w:p>
    <w:p w14:paraId="783AD3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p>
    <w:p w14:paraId="2FCAB1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传真：</w:t>
      </w:r>
    </w:p>
    <w:p w14:paraId="58F811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电子信箱：</w:t>
      </w:r>
    </w:p>
    <w:p w14:paraId="1A4982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开户银行：</w:t>
      </w:r>
    </w:p>
    <w:p w14:paraId="7580FE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账号：</w:t>
      </w:r>
    </w:p>
    <w:p w14:paraId="5B18D3B5">
      <w:pPr>
        <w:rPr>
          <w:rFonts w:ascii="宋体" w:hAnsi="宋体"/>
          <w:bCs/>
          <w:color w:val="auto"/>
          <w:kern w:val="0"/>
          <w:sz w:val="36"/>
          <w:szCs w:val="36"/>
          <w:highlight w:val="none"/>
        </w:rPr>
      </w:pPr>
      <w:bookmarkStart w:id="22" w:name="_Toc14975638"/>
      <w:bookmarkStart w:id="23" w:name="_Toc58684692"/>
      <w:bookmarkStart w:id="24" w:name="_Toc351203494"/>
      <w:bookmarkStart w:id="25" w:name="_Toc374731479"/>
      <w:bookmarkStart w:id="26" w:name="_Toc14997"/>
      <w:bookmarkStart w:id="27" w:name="_Toc402950277"/>
      <w:bookmarkStart w:id="28" w:name="_Toc389632252"/>
      <w:bookmarkStart w:id="29" w:name="_Toc369702838"/>
      <w:bookmarkStart w:id="30" w:name="_Toc363126442"/>
      <w:r>
        <w:rPr>
          <w:rFonts w:ascii="宋体" w:hAnsi="宋体"/>
          <w:bCs/>
          <w:color w:val="auto"/>
          <w:kern w:val="0"/>
          <w:sz w:val="36"/>
          <w:szCs w:val="36"/>
          <w:highlight w:val="none"/>
        </w:rPr>
        <w:br w:type="page"/>
      </w:r>
    </w:p>
    <w:p w14:paraId="1AB57F1F">
      <w:pPr>
        <w:keepNext/>
        <w:keepLines/>
        <w:spacing w:before="260" w:after="260" w:line="415" w:lineRule="auto"/>
        <w:ind w:firstLine="720" w:firstLineChars="200"/>
        <w:jc w:val="center"/>
        <w:outlineLvl w:val="2"/>
        <w:rPr>
          <w:rFonts w:ascii="宋体" w:hAnsi="宋体"/>
          <w:bCs/>
          <w:color w:val="auto"/>
          <w:kern w:val="0"/>
          <w:sz w:val="44"/>
          <w:szCs w:val="44"/>
          <w:highlight w:val="none"/>
        </w:rPr>
      </w:pPr>
      <w:r>
        <w:rPr>
          <w:rFonts w:ascii="宋体" w:hAnsi="宋体"/>
          <w:bCs/>
          <w:color w:val="auto"/>
          <w:kern w:val="0"/>
          <w:sz w:val="36"/>
          <w:szCs w:val="36"/>
          <w:highlight w:val="none"/>
        </w:rPr>
        <w:t>第二部分通用合同条款</w:t>
      </w:r>
      <w:bookmarkEnd w:id="22"/>
      <w:bookmarkEnd w:id="23"/>
      <w:bookmarkEnd w:id="24"/>
      <w:bookmarkStart w:id="31" w:name="_Toc337558727"/>
    </w:p>
    <w:bookmarkEnd w:id="25"/>
    <w:bookmarkEnd w:id="26"/>
    <w:bookmarkEnd w:id="27"/>
    <w:bookmarkEnd w:id="28"/>
    <w:bookmarkEnd w:id="29"/>
    <w:bookmarkEnd w:id="30"/>
    <w:bookmarkEnd w:id="31"/>
    <w:p w14:paraId="5208FFEA">
      <w:pPr>
        <w:spacing w:line="360" w:lineRule="auto"/>
        <w:ind w:firstLine="480" w:firstLineChars="200"/>
        <w:jc w:val="center"/>
        <w:rPr>
          <w:rFonts w:ascii="宋体" w:hAnsi="宋体"/>
          <w:color w:val="auto"/>
          <w:sz w:val="24"/>
          <w:szCs w:val="24"/>
          <w:highlight w:val="none"/>
        </w:rPr>
      </w:pPr>
      <w:bookmarkStart w:id="32" w:name="_Toc500423703"/>
      <w:bookmarkStart w:id="33" w:name="_Toc395798699"/>
      <w:bookmarkStart w:id="34" w:name="_Toc529438830"/>
      <w:bookmarkStart w:id="35" w:name="_Toc366231650"/>
      <w:r>
        <w:rPr>
          <w:rFonts w:hint="eastAsia" w:ascii="宋体" w:hAnsi="宋体"/>
          <w:color w:val="auto"/>
          <w:sz w:val="24"/>
          <w:szCs w:val="24"/>
          <w:highlight w:val="none"/>
        </w:rPr>
        <w:t>本通用条款执行《</w:t>
      </w:r>
      <w:r>
        <w:rPr>
          <w:rFonts w:ascii="宋体" w:hAnsi="宋体"/>
          <w:color w:val="auto"/>
          <w:sz w:val="24"/>
          <w:szCs w:val="24"/>
          <w:highlight w:val="none"/>
        </w:rPr>
        <w:t>建设工程施工合同（示范文本）</w:t>
      </w:r>
      <w:r>
        <w:rPr>
          <w:rFonts w:hint="eastAsia" w:ascii="宋体" w:hAnsi="宋体"/>
          <w:color w:val="auto"/>
          <w:sz w:val="24"/>
          <w:szCs w:val="24"/>
          <w:highlight w:val="none"/>
        </w:rPr>
        <w:t>》</w:t>
      </w:r>
      <w:r>
        <w:rPr>
          <w:rFonts w:ascii="宋体" w:hAnsi="宋体"/>
          <w:bCs/>
          <w:color w:val="auto"/>
          <w:sz w:val="24"/>
          <w:szCs w:val="24"/>
          <w:highlight w:val="none"/>
        </w:rPr>
        <w:t>（GF—2018—</w:t>
      </w:r>
      <w:r>
        <w:rPr>
          <w:rFonts w:hint="eastAsia" w:ascii="宋体" w:hAnsi="宋体"/>
          <w:bCs/>
          <w:color w:val="auto"/>
          <w:sz w:val="24"/>
          <w:szCs w:val="24"/>
          <w:highlight w:val="none"/>
        </w:rPr>
        <w:t>0201）</w:t>
      </w:r>
      <w:r>
        <w:rPr>
          <w:rFonts w:hint="eastAsia" w:ascii="宋体" w:hAnsi="宋体"/>
          <w:color w:val="auto"/>
          <w:sz w:val="24"/>
          <w:szCs w:val="24"/>
          <w:highlight w:val="none"/>
        </w:rPr>
        <w:t>的“通用合同条款”。</w:t>
      </w:r>
    </w:p>
    <w:p w14:paraId="22BBC244">
      <w:pPr>
        <w:rPr>
          <w:rFonts w:hint="eastAsia" w:ascii="宋体" w:hAnsi="宋体"/>
          <w:bCs/>
          <w:color w:val="auto"/>
          <w:sz w:val="32"/>
          <w:szCs w:val="32"/>
          <w:highlight w:val="none"/>
        </w:rPr>
      </w:pPr>
      <w:bookmarkStart w:id="36" w:name="_Toc14975639"/>
      <w:bookmarkStart w:id="37" w:name="_Toc58684693"/>
      <w:r>
        <w:rPr>
          <w:rFonts w:hint="eastAsia" w:ascii="宋体" w:hAnsi="宋体"/>
          <w:bCs/>
          <w:color w:val="auto"/>
          <w:sz w:val="32"/>
          <w:szCs w:val="32"/>
          <w:highlight w:val="none"/>
        </w:rPr>
        <w:br w:type="page"/>
      </w:r>
    </w:p>
    <w:p w14:paraId="5501304F">
      <w:pPr>
        <w:spacing w:line="360" w:lineRule="auto"/>
        <w:ind w:firstLine="640" w:firstLineChars="200"/>
        <w:jc w:val="center"/>
        <w:outlineLvl w:val="1"/>
        <w:rPr>
          <w:rFonts w:ascii="宋体" w:hAnsi="宋体"/>
          <w:bCs/>
          <w:color w:val="auto"/>
          <w:sz w:val="32"/>
          <w:szCs w:val="32"/>
          <w:highlight w:val="none"/>
        </w:rPr>
      </w:pPr>
      <w:r>
        <w:rPr>
          <w:rFonts w:hint="eastAsia" w:ascii="宋体" w:hAnsi="宋体"/>
          <w:bCs/>
          <w:color w:val="auto"/>
          <w:sz w:val="32"/>
          <w:szCs w:val="32"/>
          <w:highlight w:val="none"/>
        </w:rPr>
        <w:t>三、专用合同条款</w:t>
      </w:r>
      <w:bookmarkEnd w:id="32"/>
      <w:bookmarkEnd w:id="33"/>
      <w:bookmarkEnd w:id="34"/>
      <w:bookmarkEnd w:id="35"/>
      <w:bookmarkEnd w:id="36"/>
      <w:bookmarkEnd w:id="37"/>
    </w:p>
    <w:p w14:paraId="167A2936">
      <w:pPr>
        <w:keepNext/>
        <w:keepLines/>
        <w:spacing w:line="360" w:lineRule="auto"/>
        <w:ind w:firstLine="480" w:firstLineChars="200"/>
        <w:jc w:val="center"/>
        <w:outlineLvl w:val="3"/>
        <w:rPr>
          <w:rFonts w:ascii="宋体" w:hAnsi="宋体" w:cs="宋体"/>
          <w:color w:val="auto"/>
          <w:kern w:val="0"/>
          <w:sz w:val="24"/>
          <w:szCs w:val="24"/>
          <w:highlight w:val="none"/>
        </w:rPr>
      </w:pPr>
      <w:bookmarkStart w:id="38" w:name="_Toc58684694"/>
      <w:bookmarkStart w:id="39" w:name="_Toc529438831"/>
      <w:bookmarkStart w:id="40" w:name="_Toc417659703"/>
      <w:bookmarkStart w:id="41" w:name="_Toc14975640"/>
      <w:bookmarkStart w:id="42" w:name="_Toc500423704"/>
      <w:r>
        <w:rPr>
          <w:rFonts w:hint="eastAsia" w:ascii="宋体" w:hAnsi="宋体" w:cs="宋体"/>
          <w:color w:val="auto"/>
          <w:kern w:val="0"/>
          <w:sz w:val="24"/>
          <w:szCs w:val="24"/>
          <w:highlight w:val="none"/>
        </w:rPr>
        <w:t>1.一般约定</w:t>
      </w:r>
      <w:bookmarkEnd w:id="38"/>
      <w:bookmarkEnd w:id="39"/>
      <w:bookmarkEnd w:id="40"/>
      <w:bookmarkEnd w:id="41"/>
      <w:bookmarkEnd w:id="42"/>
    </w:p>
    <w:p w14:paraId="0953220F">
      <w:pPr>
        <w:keepNext/>
        <w:keepLines/>
        <w:spacing w:line="360" w:lineRule="auto"/>
        <w:ind w:firstLine="480" w:firstLineChars="200"/>
        <w:outlineLvl w:val="4"/>
        <w:rPr>
          <w:rFonts w:ascii="宋体" w:hAnsi="宋体"/>
          <w:bCs/>
          <w:color w:val="auto"/>
          <w:kern w:val="0"/>
          <w:sz w:val="24"/>
          <w:szCs w:val="24"/>
          <w:highlight w:val="none"/>
        </w:rPr>
      </w:pPr>
      <w:bookmarkStart w:id="43" w:name="_Toc417659704"/>
      <w:r>
        <w:rPr>
          <w:rFonts w:hint="eastAsia" w:ascii="宋体" w:hAnsi="宋体"/>
          <w:bCs/>
          <w:color w:val="auto"/>
          <w:kern w:val="0"/>
          <w:sz w:val="24"/>
          <w:szCs w:val="24"/>
          <w:highlight w:val="none"/>
        </w:rPr>
        <w:t>1.1词语定义</w:t>
      </w:r>
      <w:bookmarkEnd w:id="43"/>
    </w:p>
    <w:p w14:paraId="2FAA008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1.1.1合同</w:t>
      </w:r>
    </w:p>
    <w:p w14:paraId="1453E0D1">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1.1.1.10</w:t>
      </w:r>
      <w:r>
        <w:rPr>
          <w:rFonts w:hint="eastAsia" w:ascii="宋体" w:hAnsi="宋体" w:cs="宋体"/>
          <w:color w:val="auto"/>
          <w:sz w:val="24"/>
          <w:szCs w:val="24"/>
          <w:highlight w:val="none"/>
        </w:rPr>
        <w:t>其他合同文件包括：</w:t>
      </w:r>
      <w:bookmarkStart w:id="44" w:name="_Hlk17448451"/>
      <w:r>
        <w:rPr>
          <w:rFonts w:hint="eastAsia" w:ascii="宋体" w:hAnsi="宋体" w:cs="宋体"/>
          <w:color w:val="auto"/>
          <w:sz w:val="24"/>
          <w:szCs w:val="24"/>
          <w:highlight w:val="none"/>
          <w:u w:val="single"/>
          <w:lang w:eastAsia="zh-CN"/>
        </w:rPr>
        <w:t>磋商文件</w:t>
      </w:r>
      <w:r>
        <w:rPr>
          <w:rFonts w:hint="eastAsia" w:ascii="宋体" w:hAnsi="宋体" w:cs="宋体"/>
          <w:color w:val="auto"/>
          <w:sz w:val="24"/>
          <w:szCs w:val="24"/>
          <w:highlight w:val="none"/>
          <w:u w:val="single"/>
        </w:rPr>
        <w:t>、投标文件、中标通知书、工程量清单、合同补充协议、履行合同过程中双方书面确认的对合同内容有实质性影响的的会议纪要、签证、设计变更等。</w:t>
      </w:r>
      <w:bookmarkEnd w:id="44"/>
    </w:p>
    <w:p w14:paraId="3D7FC8E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合同当事人及其他相关方</w:t>
      </w:r>
    </w:p>
    <w:p w14:paraId="5F1632B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1.1.2.4</w:t>
      </w:r>
      <w:r>
        <w:rPr>
          <w:rFonts w:hint="eastAsia" w:ascii="宋体" w:hAnsi="宋体" w:cs="宋体"/>
          <w:color w:val="auto"/>
          <w:sz w:val="24"/>
          <w:szCs w:val="24"/>
          <w:highlight w:val="none"/>
        </w:rPr>
        <w:t>监理人：</w:t>
      </w:r>
    </w:p>
    <w:p w14:paraId="511B03C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w:t>
      </w:r>
    </w:p>
    <w:p w14:paraId="7C0CDD3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资质类别和等级：；</w:t>
      </w:r>
    </w:p>
    <w:p w14:paraId="3835A19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02D1840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1012E99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185922F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1.1.2.5</w:t>
      </w:r>
      <w:r>
        <w:rPr>
          <w:rFonts w:hint="eastAsia" w:ascii="宋体" w:hAnsi="宋体" w:cs="宋体"/>
          <w:color w:val="auto"/>
          <w:sz w:val="24"/>
          <w:szCs w:val="24"/>
          <w:highlight w:val="none"/>
        </w:rPr>
        <w:t>设计人：</w:t>
      </w:r>
    </w:p>
    <w:p w14:paraId="34CC483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716633F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资质类别和等级：</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97180E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09E3AE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779590B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F2A6D2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工程和设备</w:t>
      </w:r>
    </w:p>
    <w:p w14:paraId="6B4E308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1.1.3.7</w:t>
      </w:r>
      <w:r>
        <w:rPr>
          <w:rFonts w:hint="eastAsia" w:ascii="宋体" w:hAnsi="宋体" w:cs="宋体"/>
          <w:color w:val="auto"/>
          <w:sz w:val="24"/>
          <w:szCs w:val="24"/>
          <w:highlight w:val="none"/>
        </w:rPr>
        <w:t>作为施工现场组成部分的其他场所包括：</w:t>
      </w:r>
      <w:bookmarkStart w:id="45" w:name="_Hlk17448469"/>
      <w:r>
        <w:rPr>
          <w:rFonts w:hint="eastAsia" w:ascii="宋体" w:hAnsi="宋体" w:cs="宋体"/>
          <w:color w:val="auto"/>
          <w:sz w:val="24"/>
          <w:szCs w:val="24"/>
          <w:highlight w:val="none"/>
          <w:u w:val="single"/>
        </w:rPr>
        <w:t>无</w:t>
      </w:r>
      <w:bookmarkEnd w:id="45"/>
      <w:r>
        <w:rPr>
          <w:rFonts w:hint="eastAsia" w:ascii="宋体" w:hAnsi="宋体" w:cs="宋体"/>
          <w:color w:val="auto"/>
          <w:sz w:val="24"/>
          <w:szCs w:val="24"/>
          <w:highlight w:val="none"/>
        </w:rPr>
        <w:t>。</w:t>
      </w:r>
    </w:p>
    <w:p w14:paraId="0E65EFB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1.1.3.9</w:t>
      </w:r>
      <w:r>
        <w:rPr>
          <w:rFonts w:hint="eastAsia" w:ascii="宋体" w:hAnsi="宋体" w:cs="宋体"/>
          <w:color w:val="auto"/>
          <w:sz w:val="24"/>
          <w:szCs w:val="24"/>
          <w:highlight w:val="none"/>
        </w:rPr>
        <w:t>永久占地包括：</w:t>
      </w:r>
      <w:bookmarkStart w:id="46" w:name="_Hlk17448498"/>
      <w:r>
        <w:rPr>
          <w:rFonts w:hint="eastAsia" w:ascii="宋体" w:hAnsi="宋体" w:cs="宋体"/>
          <w:color w:val="auto"/>
          <w:sz w:val="24"/>
          <w:szCs w:val="24"/>
          <w:highlight w:val="none"/>
          <w:u w:val="single"/>
        </w:rPr>
        <w:t>依据设计图纸确定</w:t>
      </w:r>
      <w:bookmarkEnd w:id="46"/>
      <w:r>
        <w:rPr>
          <w:rFonts w:hint="eastAsia" w:ascii="宋体" w:hAnsi="宋体" w:cs="宋体"/>
          <w:color w:val="auto"/>
          <w:sz w:val="24"/>
          <w:szCs w:val="24"/>
          <w:highlight w:val="none"/>
        </w:rPr>
        <w:t>。</w:t>
      </w:r>
    </w:p>
    <w:p w14:paraId="4DF2E5E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1.1.3.10</w:t>
      </w:r>
      <w:r>
        <w:rPr>
          <w:rFonts w:hint="eastAsia" w:ascii="宋体" w:hAnsi="宋体" w:cs="宋体"/>
          <w:color w:val="auto"/>
          <w:sz w:val="24"/>
          <w:szCs w:val="24"/>
          <w:highlight w:val="none"/>
        </w:rPr>
        <w:t>临时占地包括：</w:t>
      </w:r>
      <w:bookmarkStart w:id="47" w:name="_Hlk17448507"/>
      <w:r>
        <w:rPr>
          <w:rFonts w:hint="eastAsia" w:ascii="宋体" w:hAnsi="宋体" w:cs="宋体"/>
          <w:color w:val="auto"/>
          <w:sz w:val="24"/>
          <w:szCs w:val="24"/>
          <w:highlight w:val="none"/>
          <w:u w:val="single"/>
        </w:rPr>
        <w:t>双方在合同履行过程中确定</w:t>
      </w:r>
      <w:bookmarkEnd w:id="47"/>
      <w:r>
        <w:rPr>
          <w:rFonts w:hint="eastAsia" w:ascii="宋体" w:hAnsi="宋体" w:cs="宋体"/>
          <w:color w:val="auto"/>
          <w:sz w:val="24"/>
          <w:szCs w:val="24"/>
          <w:highlight w:val="none"/>
        </w:rPr>
        <w:t>。</w:t>
      </w:r>
    </w:p>
    <w:p w14:paraId="1A29791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rPr>
        <w:t>法律</w:t>
      </w:r>
    </w:p>
    <w:p w14:paraId="0BEEE23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适用于合同的其他规范性文件：</w:t>
      </w:r>
      <w:bookmarkStart w:id="48" w:name="_Hlk17448516"/>
      <w:r>
        <w:rPr>
          <w:rFonts w:hint="eastAsia" w:ascii="宋体" w:hAnsi="宋体" w:cs="宋体"/>
          <w:color w:val="auto"/>
          <w:sz w:val="24"/>
          <w:szCs w:val="24"/>
          <w:highlight w:val="none"/>
          <w:u w:val="single"/>
        </w:rPr>
        <w:t>执行通用条款</w:t>
      </w:r>
      <w:bookmarkEnd w:id="48"/>
      <w:r>
        <w:rPr>
          <w:rFonts w:hint="eastAsia" w:ascii="宋体" w:hAnsi="宋体" w:cs="宋体"/>
          <w:color w:val="auto"/>
          <w:sz w:val="24"/>
          <w:szCs w:val="24"/>
          <w:highlight w:val="none"/>
        </w:rPr>
        <w:t>。</w:t>
      </w:r>
    </w:p>
    <w:p w14:paraId="38BBA0A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rPr>
        <w:t>标准和规范</w:t>
      </w:r>
    </w:p>
    <w:p w14:paraId="2BBF0FE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1.4.1</w:t>
      </w:r>
      <w:r>
        <w:rPr>
          <w:rFonts w:hint="eastAsia" w:ascii="宋体" w:hAnsi="宋体" w:cs="宋体"/>
          <w:color w:val="auto"/>
          <w:sz w:val="24"/>
          <w:szCs w:val="24"/>
          <w:highlight w:val="none"/>
        </w:rPr>
        <w:t>适用于工程的标准规范包括：</w:t>
      </w:r>
      <w:bookmarkStart w:id="49" w:name="_Hlk17448528"/>
      <w:r>
        <w:rPr>
          <w:rFonts w:hint="eastAsia" w:ascii="宋体" w:hAnsi="宋体" w:cs="宋体"/>
          <w:color w:val="auto"/>
          <w:sz w:val="24"/>
          <w:szCs w:val="24"/>
          <w:highlight w:val="none"/>
          <w:u w:val="single"/>
        </w:rPr>
        <w:t>适用于工程的现行强制性国家标准、现行强制性行业标准、工程所在地的现行地方性标准以及工程设计施工图中明确说明的规范规程（包含推荐性标准）。除此之外，特别分项施工质量标准不低于工程设计中有明确质量技术参数要求的分项质量标准</w:t>
      </w:r>
      <w:bookmarkEnd w:id="49"/>
      <w:r>
        <w:rPr>
          <w:rFonts w:hint="eastAsia" w:ascii="宋体" w:hAnsi="宋体" w:cs="宋体"/>
          <w:color w:val="auto"/>
          <w:sz w:val="24"/>
          <w:szCs w:val="24"/>
          <w:highlight w:val="none"/>
        </w:rPr>
        <w:t>。</w:t>
      </w:r>
    </w:p>
    <w:p w14:paraId="5F0CE48A">
      <w:pPr>
        <w:autoSpaceDN w:val="0"/>
        <w:spacing w:line="360" w:lineRule="auto"/>
        <w:ind w:firstLine="480" w:firstLineChars="200"/>
        <w:rPr>
          <w:rFonts w:ascii="宋体" w:hAnsi="宋体" w:cs="宋体"/>
          <w:color w:val="auto"/>
          <w:sz w:val="24"/>
          <w:szCs w:val="24"/>
          <w:highlight w:val="none"/>
        </w:rPr>
      </w:pPr>
      <w:bookmarkStart w:id="50" w:name="_Toc54777938"/>
      <w:r>
        <w:rPr>
          <w:rFonts w:ascii="宋体" w:hAnsi="宋体" w:cs="宋体"/>
          <w:color w:val="auto"/>
          <w:sz w:val="24"/>
          <w:szCs w:val="24"/>
          <w:highlight w:val="none"/>
        </w:rPr>
        <w:t>1.4.2</w:t>
      </w:r>
      <w:r>
        <w:rPr>
          <w:rFonts w:hint="eastAsia" w:ascii="宋体" w:hAnsi="宋体" w:cs="宋体"/>
          <w:color w:val="auto"/>
          <w:sz w:val="24"/>
          <w:szCs w:val="24"/>
          <w:highlight w:val="none"/>
        </w:rPr>
        <w:t>发包人提供国外标准、规范的名称：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bookmarkEnd w:id="50"/>
    </w:p>
    <w:p w14:paraId="7C97301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发包人提供国外标准、规范的份数：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04F4F7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发包人提供国外标准、规范的名称：</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6C63057">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1.4.3</w:t>
      </w:r>
      <w:r>
        <w:rPr>
          <w:rFonts w:hint="eastAsia" w:ascii="宋体" w:hAnsi="宋体" w:cs="宋体"/>
          <w:color w:val="auto"/>
          <w:sz w:val="24"/>
          <w:szCs w:val="24"/>
          <w:highlight w:val="none"/>
        </w:rPr>
        <w:t>发包人对工程的技术标准和功能要求的特殊要求：</w:t>
      </w:r>
      <w:bookmarkStart w:id="51" w:name="_Hlk17448572"/>
      <w:r>
        <w:rPr>
          <w:rFonts w:hint="eastAsia" w:ascii="宋体" w:hAnsi="宋体" w:cs="宋体"/>
          <w:color w:val="auto"/>
          <w:sz w:val="24"/>
          <w:szCs w:val="24"/>
          <w:highlight w:val="none"/>
          <w:u w:val="single"/>
        </w:rPr>
        <w:t>按工程设计中的专项设计技术要求执行</w:t>
      </w:r>
      <w:bookmarkEnd w:id="51"/>
      <w:r>
        <w:rPr>
          <w:rFonts w:hint="eastAsia" w:ascii="宋体" w:hAnsi="宋体" w:cs="宋体"/>
          <w:color w:val="auto"/>
          <w:sz w:val="24"/>
          <w:szCs w:val="24"/>
          <w:highlight w:val="none"/>
          <w:u w:val="single"/>
        </w:rPr>
        <w:t>。</w:t>
      </w:r>
    </w:p>
    <w:p w14:paraId="5D631D46">
      <w:pPr>
        <w:autoSpaceDN w:val="0"/>
        <w:spacing w:line="360" w:lineRule="auto"/>
        <w:ind w:firstLine="480" w:firstLineChars="200"/>
        <w:rPr>
          <w:rFonts w:ascii="宋体" w:hAnsi="宋体" w:cs="宋体"/>
          <w:color w:val="auto"/>
          <w:sz w:val="24"/>
          <w:szCs w:val="24"/>
          <w:highlight w:val="none"/>
        </w:rPr>
      </w:pPr>
      <w:bookmarkStart w:id="52" w:name="_Toc54777939"/>
      <w:r>
        <w:rPr>
          <w:rFonts w:ascii="宋体" w:hAnsi="宋体" w:cs="宋体"/>
          <w:color w:val="auto"/>
          <w:sz w:val="24"/>
          <w:szCs w:val="24"/>
          <w:highlight w:val="none"/>
        </w:rPr>
        <w:t>1.5</w:t>
      </w:r>
      <w:r>
        <w:rPr>
          <w:rFonts w:hint="eastAsia" w:ascii="宋体" w:hAnsi="宋体" w:cs="宋体"/>
          <w:color w:val="auto"/>
          <w:sz w:val="24"/>
          <w:szCs w:val="24"/>
          <w:highlight w:val="none"/>
        </w:rPr>
        <w:t>合同文件的优先顺序</w:t>
      </w:r>
      <w:bookmarkEnd w:id="52"/>
    </w:p>
    <w:p w14:paraId="1CBA698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合同文件组成及优先顺序为：</w:t>
      </w:r>
      <w:bookmarkStart w:id="53" w:name="_Hlk17448581"/>
      <w:r>
        <w:rPr>
          <w:rFonts w:hint="eastAsia" w:ascii="宋体" w:hAnsi="宋体" w:cs="宋体"/>
          <w:color w:val="auto"/>
          <w:sz w:val="24"/>
          <w:szCs w:val="24"/>
          <w:highlight w:val="none"/>
          <w:u w:val="single"/>
        </w:rPr>
        <w:t>执行通用条款</w:t>
      </w:r>
      <w:bookmarkEnd w:id="53"/>
      <w:r>
        <w:rPr>
          <w:rFonts w:hint="eastAsia" w:ascii="宋体" w:hAnsi="宋体" w:cs="宋体"/>
          <w:color w:val="auto"/>
          <w:sz w:val="24"/>
          <w:szCs w:val="24"/>
          <w:highlight w:val="none"/>
        </w:rPr>
        <w:t>。</w:t>
      </w:r>
    </w:p>
    <w:p w14:paraId="2E40CBDE">
      <w:pPr>
        <w:autoSpaceDN w:val="0"/>
        <w:spacing w:line="360" w:lineRule="auto"/>
        <w:ind w:firstLine="480" w:firstLineChars="200"/>
        <w:rPr>
          <w:rFonts w:ascii="宋体" w:hAnsi="宋体" w:cs="宋体"/>
          <w:color w:val="auto"/>
          <w:sz w:val="24"/>
          <w:szCs w:val="24"/>
          <w:highlight w:val="none"/>
        </w:rPr>
      </w:pPr>
      <w:bookmarkStart w:id="54" w:name="_Toc54777940"/>
      <w:r>
        <w:rPr>
          <w:rFonts w:ascii="宋体" w:hAnsi="宋体" w:cs="宋体"/>
          <w:color w:val="auto"/>
          <w:sz w:val="24"/>
          <w:szCs w:val="24"/>
          <w:highlight w:val="none"/>
        </w:rPr>
        <w:t>1.6</w:t>
      </w:r>
      <w:r>
        <w:rPr>
          <w:rFonts w:hint="eastAsia" w:ascii="宋体" w:hAnsi="宋体" w:cs="宋体"/>
          <w:color w:val="auto"/>
          <w:sz w:val="24"/>
          <w:szCs w:val="24"/>
          <w:highlight w:val="none"/>
        </w:rPr>
        <w:t>图纸和承包人文件</w:t>
      </w:r>
      <w:bookmarkEnd w:id="54"/>
      <w:r>
        <w:rPr>
          <w:rFonts w:ascii="宋体" w:hAnsi="宋体" w:cs="宋体"/>
          <w:color w:val="auto"/>
          <w:sz w:val="24"/>
          <w:szCs w:val="24"/>
          <w:highlight w:val="none"/>
        </w:rPr>
        <w:tab/>
      </w:r>
    </w:p>
    <w:p w14:paraId="2E92960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w:t>
      </w:r>
      <w:r>
        <w:rPr>
          <w:rFonts w:hint="eastAsia" w:ascii="宋体" w:hAnsi="宋体" w:cs="宋体"/>
          <w:color w:val="auto"/>
          <w:sz w:val="24"/>
          <w:szCs w:val="24"/>
          <w:highlight w:val="none"/>
        </w:rPr>
        <w:t>图纸的提供</w:t>
      </w:r>
    </w:p>
    <w:p w14:paraId="4FF3297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发包人向承包人提供图纸的期限：</w:t>
      </w:r>
      <w:bookmarkStart w:id="55" w:name="_Hlk17448594"/>
      <w:r>
        <w:rPr>
          <w:rFonts w:hint="eastAsia" w:ascii="宋体" w:hAnsi="宋体" w:cs="宋体"/>
          <w:color w:val="auto"/>
          <w:sz w:val="24"/>
          <w:szCs w:val="24"/>
          <w:highlight w:val="none"/>
          <w:u w:val="single"/>
        </w:rPr>
        <w:t>施工图审查合格后3天内</w:t>
      </w:r>
      <w:bookmarkEnd w:id="55"/>
      <w:r>
        <w:rPr>
          <w:rFonts w:hint="eastAsia" w:ascii="宋体" w:hAnsi="宋体" w:cs="宋体"/>
          <w:color w:val="auto"/>
          <w:sz w:val="24"/>
          <w:szCs w:val="24"/>
          <w:highlight w:val="none"/>
        </w:rPr>
        <w:t>；</w:t>
      </w:r>
    </w:p>
    <w:p w14:paraId="5C22952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发包人向承包人提供图纸的数量：</w:t>
      </w:r>
      <w:r>
        <w:rPr>
          <w:rFonts w:hint="eastAsia" w:ascii="宋体" w:hAnsi="宋体" w:cs="宋体"/>
          <w:bCs/>
          <w:color w:val="auto"/>
          <w:sz w:val="24"/>
          <w:szCs w:val="24"/>
          <w:highlight w:val="none"/>
          <w:u w:val="single"/>
        </w:rPr>
        <w:t>2套</w:t>
      </w:r>
      <w:r>
        <w:rPr>
          <w:rFonts w:hint="eastAsia" w:ascii="宋体" w:hAnsi="宋体" w:cs="宋体"/>
          <w:color w:val="auto"/>
          <w:sz w:val="24"/>
          <w:szCs w:val="24"/>
          <w:highlight w:val="none"/>
        </w:rPr>
        <w:t>；</w:t>
      </w:r>
    </w:p>
    <w:p w14:paraId="153508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发包人向承包人提供图纸的内容：</w:t>
      </w:r>
      <w:bookmarkStart w:id="56" w:name="_Hlk17448608"/>
      <w:r>
        <w:rPr>
          <w:rFonts w:hint="eastAsia" w:ascii="宋体" w:hAnsi="宋体" w:cs="宋体"/>
          <w:color w:val="auto"/>
          <w:sz w:val="24"/>
          <w:szCs w:val="24"/>
          <w:highlight w:val="none"/>
          <w:u w:val="single"/>
        </w:rPr>
        <w:t>包括承包人施工范围全部内容的施工图。</w:t>
      </w:r>
      <w:bookmarkEnd w:id="56"/>
    </w:p>
    <w:p w14:paraId="715AD16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1.6.4</w:t>
      </w:r>
      <w:r>
        <w:rPr>
          <w:rFonts w:hint="eastAsia" w:ascii="宋体" w:hAnsi="宋体" w:cs="宋体"/>
          <w:color w:val="auto"/>
          <w:sz w:val="24"/>
          <w:szCs w:val="24"/>
          <w:highlight w:val="none"/>
        </w:rPr>
        <w:t>承包人文件</w:t>
      </w:r>
    </w:p>
    <w:p w14:paraId="4DE5810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需要由承包人提供的文件，包括：</w:t>
      </w:r>
      <w:bookmarkStart w:id="57" w:name="_Hlk17448621"/>
      <w:r>
        <w:rPr>
          <w:rFonts w:hint="eastAsia" w:ascii="宋体" w:hAnsi="宋体" w:cs="宋体"/>
          <w:color w:val="auto"/>
          <w:sz w:val="24"/>
          <w:szCs w:val="24"/>
          <w:highlight w:val="none"/>
          <w:u w:val="single"/>
        </w:rPr>
        <w:t>主管部门规定的文件、本项目需要的施工文件、所必需的专项施工文件以及行业上各类检查应提交的施工文件资料等。包括但不限于施工组织设计、施工总进度计划、专项施工方案、专项安全防护方案等</w:t>
      </w:r>
      <w:bookmarkEnd w:id="57"/>
      <w:r>
        <w:rPr>
          <w:rFonts w:hint="eastAsia" w:ascii="宋体" w:hAnsi="宋体" w:cs="宋体"/>
          <w:color w:val="auto"/>
          <w:sz w:val="24"/>
          <w:szCs w:val="24"/>
          <w:highlight w:val="none"/>
          <w:u w:val="single"/>
        </w:rPr>
        <w:t>；</w:t>
      </w:r>
    </w:p>
    <w:p w14:paraId="5345689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承包人提供的文件的期限为：</w:t>
      </w:r>
      <w:bookmarkStart w:id="58" w:name="_Hlk17448633"/>
      <w:r>
        <w:rPr>
          <w:rFonts w:hint="eastAsia" w:ascii="宋体" w:hAnsi="宋体" w:cs="宋体"/>
          <w:color w:val="auto"/>
          <w:sz w:val="24"/>
          <w:szCs w:val="24"/>
          <w:highlight w:val="none"/>
          <w:u w:val="single"/>
        </w:rPr>
        <w:t>开工前7天</w:t>
      </w:r>
      <w:bookmarkEnd w:id="58"/>
      <w:r>
        <w:rPr>
          <w:rFonts w:hint="eastAsia" w:ascii="宋体" w:hAnsi="宋体" w:cs="宋体"/>
          <w:color w:val="auto"/>
          <w:sz w:val="24"/>
          <w:szCs w:val="24"/>
          <w:highlight w:val="none"/>
        </w:rPr>
        <w:t>；</w:t>
      </w:r>
    </w:p>
    <w:p w14:paraId="5F54B78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承包人提供的文件的数量为：</w:t>
      </w:r>
      <w:r>
        <w:rPr>
          <w:rFonts w:hint="eastAsia" w:ascii="宋体" w:hAnsi="宋体" w:cs="宋体"/>
          <w:color w:val="auto"/>
          <w:sz w:val="24"/>
          <w:szCs w:val="24"/>
          <w:highlight w:val="none"/>
          <w:u w:val="single"/>
        </w:rPr>
        <w:t>3套</w:t>
      </w:r>
      <w:r>
        <w:rPr>
          <w:rFonts w:hint="eastAsia" w:ascii="宋体" w:hAnsi="宋体" w:cs="宋体"/>
          <w:color w:val="auto"/>
          <w:sz w:val="24"/>
          <w:szCs w:val="24"/>
          <w:highlight w:val="none"/>
        </w:rPr>
        <w:t>；</w:t>
      </w:r>
    </w:p>
    <w:p w14:paraId="2FAC1BB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承包人提供的文件的形式为：</w:t>
      </w:r>
      <w:bookmarkStart w:id="59" w:name="_Hlk17448653"/>
      <w:r>
        <w:rPr>
          <w:rFonts w:hint="eastAsia" w:ascii="宋体" w:hAnsi="宋体" w:cs="宋体"/>
          <w:color w:val="auto"/>
          <w:sz w:val="24"/>
          <w:szCs w:val="24"/>
          <w:highlight w:val="none"/>
          <w:u w:val="single"/>
        </w:rPr>
        <w:t>书面纸质及电子文档</w:t>
      </w:r>
      <w:bookmarkEnd w:id="59"/>
      <w:r>
        <w:rPr>
          <w:rFonts w:hint="eastAsia" w:ascii="宋体" w:hAnsi="宋体" w:cs="宋体"/>
          <w:color w:val="auto"/>
          <w:sz w:val="24"/>
          <w:szCs w:val="24"/>
          <w:highlight w:val="none"/>
        </w:rPr>
        <w:t>；</w:t>
      </w:r>
    </w:p>
    <w:p w14:paraId="52AE7B7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发包人审批承包人文件的期限：</w:t>
      </w:r>
      <w:bookmarkStart w:id="60" w:name="_Hlk17448662"/>
      <w:r>
        <w:rPr>
          <w:rFonts w:hint="eastAsia" w:ascii="宋体" w:hAnsi="宋体" w:cs="宋体"/>
          <w:color w:val="auto"/>
          <w:sz w:val="24"/>
          <w:szCs w:val="24"/>
          <w:highlight w:val="none"/>
          <w:u w:val="single"/>
        </w:rPr>
        <w:t>执行通用条款</w:t>
      </w:r>
      <w:bookmarkEnd w:id="60"/>
      <w:r>
        <w:rPr>
          <w:rFonts w:hint="eastAsia" w:ascii="宋体" w:hAnsi="宋体" w:cs="宋体"/>
          <w:color w:val="auto"/>
          <w:sz w:val="24"/>
          <w:szCs w:val="24"/>
          <w:highlight w:val="none"/>
        </w:rPr>
        <w:t>。</w:t>
      </w:r>
    </w:p>
    <w:p w14:paraId="3F4398A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1.6.5</w:t>
      </w:r>
      <w:r>
        <w:rPr>
          <w:rFonts w:hint="eastAsia" w:ascii="宋体" w:hAnsi="宋体" w:cs="宋体"/>
          <w:color w:val="auto"/>
          <w:sz w:val="24"/>
          <w:szCs w:val="24"/>
          <w:highlight w:val="none"/>
        </w:rPr>
        <w:t>现场图纸准备</w:t>
      </w:r>
    </w:p>
    <w:p w14:paraId="5FE10A2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关于现场图纸准备的约定：</w:t>
      </w:r>
      <w:bookmarkStart w:id="61" w:name="_Hlk17448672"/>
      <w:r>
        <w:rPr>
          <w:rFonts w:hint="eastAsia" w:ascii="宋体" w:hAnsi="宋体" w:cs="宋体"/>
          <w:color w:val="auto"/>
          <w:sz w:val="24"/>
          <w:szCs w:val="24"/>
          <w:highlight w:val="none"/>
          <w:u w:val="single"/>
        </w:rPr>
        <w:t>执行通用条款</w:t>
      </w:r>
      <w:bookmarkEnd w:id="61"/>
      <w:r>
        <w:rPr>
          <w:rFonts w:hint="eastAsia" w:ascii="宋体" w:hAnsi="宋体" w:cs="宋体"/>
          <w:color w:val="auto"/>
          <w:sz w:val="24"/>
          <w:szCs w:val="24"/>
          <w:highlight w:val="none"/>
        </w:rPr>
        <w:t>。</w:t>
      </w:r>
    </w:p>
    <w:p w14:paraId="36A346FD">
      <w:pPr>
        <w:autoSpaceDN w:val="0"/>
        <w:spacing w:line="360" w:lineRule="auto"/>
        <w:ind w:firstLine="480" w:firstLineChars="200"/>
        <w:rPr>
          <w:rFonts w:ascii="宋体" w:hAnsi="宋体" w:cs="宋体"/>
          <w:color w:val="auto"/>
          <w:sz w:val="24"/>
          <w:szCs w:val="24"/>
          <w:highlight w:val="none"/>
        </w:rPr>
      </w:pPr>
      <w:bookmarkStart w:id="62" w:name="_Toc54777941"/>
      <w:r>
        <w:rPr>
          <w:rFonts w:ascii="宋体" w:hAnsi="宋体" w:cs="宋体"/>
          <w:color w:val="auto"/>
          <w:sz w:val="24"/>
          <w:szCs w:val="24"/>
          <w:highlight w:val="none"/>
        </w:rPr>
        <w:t>1.7</w:t>
      </w:r>
      <w:r>
        <w:rPr>
          <w:rFonts w:hint="eastAsia" w:ascii="宋体" w:hAnsi="宋体" w:cs="宋体"/>
          <w:color w:val="auto"/>
          <w:sz w:val="24"/>
          <w:szCs w:val="24"/>
          <w:highlight w:val="none"/>
        </w:rPr>
        <w:t>联络</w:t>
      </w:r>
      <w:bookmarkEnd w:id="62"/>
    </w:p>
    <w:p w14:paraId="6878C95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s="宋体"/>
          <w:color w:val="auto"/>
          <w:sz w:val="24"/>
          <w:szCs w:val="24"/>
          <w:highlight w:val="none"/>
        </w:rPr>
        <w:t>发包人和承包人应当在</w:t>
      </w:r>
      <w:r>
        <w:rPr>
          <w:rFonts w:ascii="宋体" w:hAnsi="宋体" w:cs="宋体"/>
          <w:color w:val="auto"/>
          <w:sz w:val="24"/>
          <w:szCs w:val="24"/>
          <w:highlight w:val="none"/>
          <w:u w:val="single"/>
        </w:rPr>
        <w:t>7</w:t>
      </w:r>
      <w:r>
        <w:rPr>
          <w:rFonts w:hint="eastAsia" w:ascii="宋体" w:hAnsi="宋体" w:cs="宋体"/>
          <w:color w:val="auto"/>
          <w:sz w:val="24"/>
          <w:szCs w:val="24"/>
          <w:highlight w:val="none"/>
        </w:rPr>
        <w:t>天内将与合同有关的通知、批准、证明、证书、指示、指令、要求、请求、同意、意见、确定和决定等书面函件送达对方当事人。</w:t>
      </w:r>
    </w:p>
    <w:p w14:paraId="4F741C1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rPr>
        <w:t>发包人接收文件的地点：</w:t>
      </w:r>
      <w:bookmarkStart w:id="63" w:name="_Hlk17448691"/>
      <w:r>
        <w:rPr>
          <w:rFonts w:hint="eastAsia" w:ascii="宋体" w:hAnsi="宋体" w:cs="宋体"/>
          <w:color w:val="auto"/>
          <w:sz w:val="24"/>
          <w:szCs w:val="24"/>
          <w:highlight w:val="none"/>
          <w:u w:val="single"/>
        </w:rPr>
        <w:t>发包人施工现场办公室</w:t>
      </w:r>
      <w:bookmarkEnd w:id="63"/>
      <w:r>
        <w:rPr>
          <w:rFonts w:hint="eastAsia" w:ascii="宋体" w:hAnsi="宋体" w:cs="宋体"/>
          <w:color w:val="auto"/>
          <w:sz w:val="24"/>
          <w:szCs w:val="24"/>
          <w:highlight w:val="none"/>
        </w:rPr>
        <w:t>；</w:t>
      </w:r>
    </w:p>
    <w:p w14:paraId="0A362BF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发包人指定的接收人为：</w:t>
      </w:r>
      <w:bookmarkStart w:id="64" w:name="_Hlk17448698"/>
      <w:r>
        <w:rPr>
          <w:rFonts w:hint="eastAsia" w:ascii="宋体" w:hAnsi="宋体" w:cs="宋体"/>
          <w:color w:val="auto"/>
          <w:sz w:val="24"/>
          <w:szCs w:val="24"/>
          <w:highlight w:val="none"/>
          <w:u w:val="single"/>
        </w:rPr>
        <w:t>发包人现场负责人</w:t>
      </w:r>
      <w:bookmarkEnd w:id="64"/>
      <w:r>
        <w:rPr>
          <w:rFonts w:hint="eastAsia" w:ascii="宋体" w:hAnsi="宋体" w:cs="宋体"/>
          <w:color w:val="auto"/>
          <w:sz w:val="24"/>
          <w:szCs w:val="24"/>
          <w:highlight w:val="none"/>
        </w:rPr>
        <w:t>。</w:t>
      </w:r>
    </w:p>
    <w:p w14:paraId="0AC884A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承包人接收文件的地点：</w:t>
      </w:r>
      <w:bookmarkStart w:id="65" w:name="_Hlk17448743"/>
      <w:r>
        <w:rPr>
          <w:rFonts w:hint="eastAsia" w:ascii="宋体" w:hAnsi="宋体" w:cs="宋体"/>
          <w:color w:val="auto"/>
          <w:sz w:val="24"/>
          <w:szCs w:val="24"/>
          <w:highlight w:val="none"/>
          <w:u w:val="single"/>
        </w:rPr>
        <w:t>承包人施工现场办公室</w:t>
      </w:r>
      <w:bookmarkEnd w:id="65"/>
      <w:r>
        <w:rPr>
          <w:rFonts w:hint="eastAsia" w:ascii="宋体" w:hAnsi="宋体" w:cs="宋体"/>
          <w:color w:val="auto"/>
          <w:sz w:val="24"/>
          <w:szCs w:val="24"/>
          <w:highlight w:val="none"/>
        </w:rPr>
        <w:t>；</w:t>
      </w:r>
    </w:p>
    <w:p w14:paraId="0CA273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承包人指定的接收人为：</w:t>
      </w:r>
      <w:bookmarkStart w:id="66" w:name="_Hlk17448711"/>
      <w:r>
        <w:rPr>
          <w:rFonts w:hint="eastAsia" w:ascii="宋体" w:hAnsi="宋体" w:cs="宋体"/>
          <w:color w:val="auto"/>
          <w:sz w:val="24"/>
          <w:szCs w:val="24"/>
          <w:highlight w:val="none"/>
          <w:u w:val="single"/>
        </w:rPr>
        <w:t>承包方项目经理</w:t>
      </w:r>
      <w:bookmarkEnd w:id="66"/>
      <w:r>
        <w:rPr>
          <w:rFonts w:hint="eastAsia" w:ascii="宋体" w:hAnsi="宋体" w:cs="宋体"/>
          <w:color w:val="auto"/>
          <w:sz w:val="24"/>
          <w:szCs w:val="24"/>
          <w:highlight w:val="none"/>
        </w:rPr>
        <w:t>。</w:t>
      </w:r>
    </w:p>
    <w:p w14:paraId="202B2F5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监理人接收文件的地点：</w:t>
      </w:r>
      <w:bookmarkStart w:id="67" w:name="_Hlk17448723"/>
      <w:r>
        <w:rPr>
          <w:rFonts w:hint="eastAsia" w:ascii="宋体" w:hAnsi="宋体" w:cs="宋体"/>
          <w:color w:val="auto"/>
          <w:sz w:val="24"/>
          <w:szCs w:val="24"/>
          <w:highlight w:val="none"/>
          <w:u w:val="single"/>
        </w:rPr>
        <w:t>监理人施工现场办公室</w:t>
      </w:r>
      <w:bookmarkEnd w:id="67"/>
      <w:r>
        <w:rPr>
          <w:rFonts w:hint="eastAsia" w:ascii="宋体" w:hAnsi="宋体" w:cs="宋体"/>
          <w:color w:val="auto"/>
          <w:sz w:val="24"/>
          <w:szCs w:val="24"/>
          <w:highlight w:val="none"/>
        </w:rPr>
        <w:t>；</w:t>
      </w:r>
    </w:p>
    <w:p w14:paraId="42D1059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监理人指定的接收人为：</w:t>
      </w:r>
      <w:bookmarkStart w:id="68" w:name="_Hlk17448754"/>
      <w:r>
        <w:rPr>
          <w:rFonts w:hint="eastAsia" w:ascii="宋体" w:hAnsi="宋体" w:cs="宋体"/>
          <w:color w:val="auto"/>
          <w:sz w:val="24"/>
          <w:szCs w:val="24"/>
          <w:highlight w:val="none"/>
          <w:u w:val="single"/>
        </w:rPr>
        <w:t>总监理工程师</w:t>
      </w:r>
      <w:bookmarkEnd w:id="68"/>
      <w:r>
        <w:rPr>
          <w:rFonts w:hint="eastAsia" w:ascii="宋体" w:hAnsi="宋体" w:cs="宋体"/>
          <w:color w:val="auto"/>
          <w:sz w:val="24"/>
          <w:szCs w:val="24"/>
          <w:highlight w:val="none"/>
        </w:rPr>
        <w:t>。</w:t>
      </w:r>
    </w:p>
    <w:p w14:paraId="62F949B6">
      <w:pPr>
        <w:autoSpaceDN w:val="0"/>
        <w:spacing w:line="360" w:lineRule="auto"/>
        <w:ind w:firstLine="480" w:firstLineChars="200"/>
        <w:rPr>
          <w:rFonts w:ascii="宋体" w:hAnsi="宋体" w:cs="宋体"/>
          <w:color w:val="auto"/>
          <w:sz w:val="24"/>
          <w:szCs w:val="24"/>
          <w:highlight w:val="none"/>
        </w:rPr>
      </w:pPr>
      <w:bookmarkStart w:id="69" w:name="_Toc54777942"/>
      <w:r>
        <w:rPr>
          <w:rFonts w:ascii="宋体" w:hAnsi="宋体" w:cs="宋体"/>
          <w:color w:val="auto"/>
          <w:sz w:val="24"/>
          <w:szCs w:val="24"/>
          <w:highlight w:val="none"/>
        </w:rPr>
        <w:t>1.10</w:t>
      </w:r>
      <w:r>
        <w:rPr>
          <w:rFonts w:hint="eastAsia" w:ascii="宋体" w:hAnsi="宋体" w:cs="宋体"/>
          <w:color w:val="auto"/>
          <w:sz w:val="24"/>
          <w:szCs w:val="24"/>
          <w:highlight w:val="none"/>
        </w:rPr>
        <w:t>交通运输</w:t>
      </w:r>
      <w:bookmarkEnd w:id="69"/>
    </w:p>
    <w:p w14:paraId="16E28E56">
      <w:pPr>
        <w:autoSpaceDN w:val="0"/>
        <w:spacing w:line="360" w:lineRule="auto"/>
        <w:ind w:firstLine="480" w:firstLineChars="200"/>
        <w:rPr>
          <w:rFonts w:ascii="宋体" w:hAnsi="宋体" w:cs="宋体"/>
          <w:color w:val="auto"/>
          <w:sz w:val="24"/>
          <w:szCs w:val="24"/>
          <w:highlight w:val="none"/>
        </w:rPr>
      </w:pPr>
      <w:bookmarkStart w:id="70" w:name="_Toc54777943"/>
      <w:r>
        <w:rPr>
          <w:rFonts w:ascii="宋体" w:hAnsi="宋体" w:cs="宋体"/>
          <w:color w:val="auto"/>
          <w:sz w:val="24"/>
          <w:szCs w:val="24"/>
          <w:highlight w:val="none"/>
        </w:rPr>
        <w:t>1</w:t>
      </w:r>
      <w:bookmarkStart w:id="71" w:name="_Toc303539100"/>
      <w:bookmarkStart w:id="72" w:name="_Toc304295521"/>
      <w:bookmarkStart w:id="73" w:name="_Toc300934943"/>
      <w:bookmarkStart w:id="74" w:name="_Toc312677986"/>
      <w:bookmarkStart w:id="75" w:name="_Toc318581155"/>
      <w:r>
        <w:rPr>
          <w:rFonts w:ascii="宋体" w:hAnsi="宋体" w:cs="宋体"/>
          <w:color w:val="auto"/>
          <w:sz w:val="24"/>
          <w:szCs w:val="24"/>
          <w:highlight w:val="none"/>
        </w:rPr>
        <w:t>.10.1</w:t>
      </w:r>
      <w:r>
        <w:rPr>
          <w:rFonts w:hint="eastAsia" w:ascii="宋体" w:hAnsi="宋体" w:cs="宋体"/>
          <w:color w:val="auto"/>
          <w:sz w:val="24"/>
          <w:szCs w:val="24"/>
          <w:highlight w:val="none"/>
        </w:rPr>
        <w:t>出入现场的权利</w:t>
      </w:r>
      <w:bookmarkEnd w:id="70"/>
    </w:p>
    <w:p w14:paraId="06D043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关于出入现场的权利的约定：</w:t>
      </w:r>
      <w:bookmarkStart w:id="76" w:name="_Hlk17448903"/>
      <w:r>
        <w:rPr>
          <w:rFonts w:hint="eastAsia" w:ascii="宋体" w:hAnsi="宋体" w:cs="宋体"/>
          <w:bCs/>
          <w:color w:val="auto"/>
          <w:sz w:val="24"/>
          <w:szCs w:val="24"/>
          <w:highlight w:val="none"/>
          <w:u w:val="single"/>
        </w:rPr>
        <w:t>由承包人负责办理出入施工现场的相关许可并承担全部费用</w:t>
      </w:r>
      <w:bookmarkEnd w:id="76"/>
      <w:r>
        <w:rPr>
          <w:rFonts w:hint="eastAsia" w:ascii="宋体" w:hAnsi="宋体" w:cs="宋体"/>
          <w:bCs/>
          <w:color w:val="auto"/>
          <w:sz w:val="24"/>
          <w:szCs w:val="24"/>
          <w:highlight w:val="none"/>
          <w:u w:val="single"/>
        </w:rPr>
        <w:t>。</w:t>
      </w:r>
    </w:p>
    <w:bookmarkEnd w:id="71"/>
    <w:bookmarkEnd w:id="72"/>
    <w:bookmarkEnd w:id="73"/>
    <w:bookmarkEnd w:id="74"/>
    <w:bookmarkEnd w:id="75"/>
    <w:p w14:paraId="5579F2A4">
      <w:pPr>
        <w:autoSpaceDN w:val="0"/>
        <w:spacing w:line="360" w:lineRule="auto"/>
        <w:ind w:firstLine="480" w:firstLineChars="200"/>
        <w:rPr>
          <w:rFonts w:ascii="宋体" w:hAnsi="宋体" w:cs="宋体"/>
          <w:color w:val="auto"/>
          <w:sz w:val="24"/>
          <w:szCs w:val="24"/>
          <w:highlight w:val="none"/>
        </w:rPr>
      </w:pPr>
      <w:bookmarkStart w:id="77" w:name="_Toc54777944"/>
      <w:r>
        <w:rPr>
          <w:rFonts w:ascii="宋体" w:hAnsi="宋体" w:cs="宋体"/>
          <w:color w:val="auto"/>
          <w:sz w:val="24"/>
          <w:szCs w:val="24"/>
          <w:highlight w:val="none"/>
        </w:rPr>
        <w:t>1</w:t>
      </w:r>
      <w:bookmarkStart w:id="78" w:name="_Toc312677987"/>
      <w:bookmarkStart w:id="79" w:name="_Toc304295522"/>
      <w:bookmarkStart w:id="80" w:name="_Toc303539101"/>
      <w:bookmarkStart w:id="81" w:name="_Toc318581156"/>
      <w:bookmarkStart w:id="82" w:name="_Toc300934944"/>
      <w:r>
        <w:rPr>
          <w:rFonts w:ascii="宋体" w:hAnsi="宋体" w:cs="宋体"/>
          <w:color w:val="auto"/>
          <w:sz w:val="24"/>
          <w:szCs w:val="24"/>
          <w:highlight w:val="none"/>
        </w:rPr>
        <w:t>.10.3</w:t>
      </w:r>
      <w:r>
        <w:rPr>
          <w:rFonts w:hint="eastAsia" w:ascii="宋体" w:hAnsi="宋体" w:cs="宋体"/>
          <w:color w:val="auto"/>
          <w:sz w:val="24"/>
          <w:szCs w:val="24"/>
          <w:highlight w:val="none"/>
        </w:rPr>
        <w:t>场内交通</w:t>
      </w:r>
      <w:bookmarkEnd w:id="77"/>
    </w:p>
    <w:p w14:paraId="1CED82FC">
      <w:pPr>
        <w:autoSpaceDN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关于场外交通和场内交通的边界的约定：</w:t>
      </w:r>
      <w:bookmarkStart w:id="83" w:name="_Hlk17448920"/>
      <w:r>
        <w:rPr>
          <w:rFonts w:hint="eastAsia" w:ascii="宋体" w:hAnsi="宋体" w:cs="宋体"/>
          <w:bCs/>
          <w:color w:val="auto"/>
          <w:sz w:val="24"/>
          <w:szCs w:val="24"/>
          <w:highlight w:val="none"/>
          <w:u w:val="single"/>
        </w:rPr>
        <w:t>承包人负责场外、场内道路和交通设施并承担全部费用</w:t>
      </w:r>
      <w:bookmarkEnd w:id="83"/>
      <w:r>
        <w:rPr>
          <w:rFonts w:hint="eastAsia" w:ascii="宋体" w:hAnsi="宋体" w:cs="宋体"/>
          <w:bCs/>
          <w:color w:val="auto"/>
          <w:sz w:val="24"/>
          <w:szCs w:val="24"/>
          <w:highlight w:val="none"/>
          <w:u w:val="single"/>
        </w:rPr>
        <w:t>。</w:t>
      </w:r>
    </w:p>
    <w:p w14:paraId="3AA21A5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关于发包人向承包人免费提供满足工程施工需要的场内道路和交通设施的约定：</w:t>
      </w:r>
      <w:bookmarkStart w:id="84" w:name="_Hlk17448930"/>
      <w:r>
        <w:rPr>
          <w:rFonts w:hint="eastAsia" w:ascii="宋体" w:hAnsi="宋体" w:cs="宋体"/>
          <w:bCs/>
          <w:color w:val="auto"/>
          <w:sz w:val="24"/>
          <w:szCs w:val="24"/>
          <w:highlight w:val="none"/>
          <w:u w:val="single"/>
        </w:rPr>
        <w:t>承包人负责并承担全部费用</w:t>
      </w:r>
      <w:bookmarkEnd w:id="84"/>
      <w:r>
        <w:rPr>
          <w:rFonts w:hint="eastAsia" w:ascii="宋体" w:hAnsi="宋体" w:cs="宋体"/>
          <w:bCs/>
          <w:color w:val="auto"/>
          <w:sz w:val="24"/>
          <w:szCs w:val="24"/>
          <w:highlight w:val="none"/>
          <w:u w:val="single"/>
        </w:rPr>
        <w:t>。</w:t>
      </w:r>
      <w:bookmarkEnd w:id="78"/>
      <w:bookmarkEnd w:id="79"/>
      <w:bookmarkEnd w:id="80"/>
      <w:bookmarkEnd w:id="81"/>
      <w:bookmarkEnd w:id="82"/>
      <w:bookmarkStart w:id="85" w:name="_Toc318581157"/>
    </w:p>
    <w:p w14:paraId="222DBE8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1.10.4</w:t>
      </w:r>
      <w:r>
        <w:rPr>
          <w:rFonts w:hint="eastAsia" w:ascii="宋体" w:hAnsi="宋体" w:cs="宋体"/>
          <w:color w:val="auto"/>
          <w:sz w:val="24"/>
          <w:szCs w:val="24"/>
          <w:highlight w:val="none"/>
        </w:rPr>
        <w:t>超大件和超重件的运输</w:t>
      </w:r>
    </w:p>
    <w:p w14:paraId="762E35A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运输超大件或超重件所需的道路和桥梁临时加固改造费用和其他有关费用由</w:t>
      </w:r>
      <w:bookmarkStart w:id="86" w:name="_Hlk17449339"/>
      <w:r>
        <w:rPr>
          <w:rFonts w:hint="eastAsia" w:ascii="宋体" w:hAnsi="宋体" w:cs="宋体"/>
          <w:color w:val="auto"/>
          <w:sz w:val="24"/>
          <w:szCs w:val="24"/>
          <w:highlight w:val="none"/>
          <w:u w:val="single"/>
        </w:rPr>
        <w:t>承包人</w:t>
      </w:r>
      <w:bookmarkEnd w:id="86"/>
      <w:r>
        <w:rPr>
          <w:rFonts w:hint="eastAsia" w:ascii="宋体" w:hAnsi="宋体" w:cs="宋体"/>
          <w:color w:val="auto"/>
          <w:sz w:val="24"/>
          <w:szCs w:val="24"/>
          <w:highlight w:val="none"/>
        </w:rPr>
        <w:t>承担。</w:t>
      </w:r>
    </w:p>
    <w:bookmarkEnd w:id="85"/>
    <w:p w14:paraId="12923AA9">
      <w:pPr>
        <w:autoSpaceDN w:val="0"/>
        <w:spacing w:line="360" w:lineRule="auto"/>
        <w:ind w:firstLine="480" w:firstLineChars="200"/>
        <w:rPr>
          <w:rFonts w:ascii="宋体" w:hAnsi="宋体" w:cs="宋体"/>
          <w:color w:val="auto"/>
          <w:sz w:val="24"/>
          <w:szCs w:val="24"/>
          <w:highlight w:val="none"/>
        </w:rPr>
      </w:pPr>
      <w:bookmarkStart w:id="87" w:name="_Toc54777945"/>
      <w:r>
        <w:rPr>
          <w:rFonts w:ascii="宋体" w:hAnsi="宋体" w:cs="宋体"/>
          <w:color w:val="auto"/>
          <w:sz w:val="24"/>
          <w:szCs w:val="24"/>
          <w:highlight w:val="none"/>
        </w:rPr>
        <w:t>1.11</w:t>
      </w:r>
      <w:r>
        <w:rPr>
          <w:rFonts w:hint="eastAsia" w:ascii="宋体" w:hAnsi="宋体" w:cs="宋体"/>
          <w:color w:val="auto"/>
          <w:sz w:val="24"/>
          <w:szCs w:val="24"/>
          <w:highlight w:val="none"/>
        </w:rPr>
        <w:t>知识产权</w:t>
      </w:r>
      <w:bookmarkEnd w:id="87"/>
    </w:p>
    <w:p w14:paraId="70EA2A1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1.11.1</w:t>
      </w:r>
      <w:r>
        <w:rPr>
          <w:rFonts w:hint="eastAsia" w:ascii="宋体" w:hAnsi="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bookmarkStart w:id="88" w:name="_Hlk17449348"/>
      <w:r>
        <w:rPr>
          <w:rFonts w:hint="eastAsia" w:ascii="宋体" w:hAnsi="宋体" w:cs="宋体"/>
          <w:color w:val="auto"/>
          <w:sz w:val="24"/>
          <w:szCs w:val="24"/>
          <w:highlight w:val="none"/>
          <w:u w:val="single"/>
        </w:rPr>
        <w:t>执行通用条款</w:t>
      </w:r>
      <w:bookmarkEnd w:id="88"/>
      <w:r>
        <w:rPr>
          <w:rFonts w:hint="eastAsia" w:ascii="宋体" w:hAnsi="宋体" w:cs="宋体"/>
          <w:color w:val="auto"/>
          <w:sz w:val="24"/>
          <w:szCs w:val="24"/>
          <w:highlight w:val="none"/>
        </w:rPr>
        <w:t>。</w:t>
      </w:r>
    </w:p>
    <w:p w14:paraId="38778BB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关于发包人提供的上述文件的使用限制的要求：</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3CF03DA2">
      <w:pPr>
        <w:autoSpaceDN w:val="0"/>
        <w:spacing w:line="360" w:lineRule="auto"/>
        <w:ind w:firstLine="480" w:firstLineChars="200"/>
        <w:rPr>
          <w:rFonts w:ascii="宋体" w:hAnsi="宋体" w:cs="宋体"/>
          <w:color w:val="auto"/>
          <w:sz w:val="24"/>
          <w:szCs w:val="24"/>
          <w:highlight w:val="none"/>
          <w:u w:val="single"/>
        </w:rPr>
      </w:pPr>
      <w:bookmarkStart w:id="89" w:name="_Toc54777946"/>
      <w:r>
        <w:rPr>
          <w:rFonts w:ascii="宋体" w:hAnsi="宋体" w:cs="宋体"/>
          <w:color w:val="auto"/>
          <w:sz w:val="24"/>
          <w:szCs w:val="24"/>
          <w:highlight w:val="none"/>
        </w:rPr>
        <w:t>1.11.2</w:t>
      </w:r>
      <w:r>
        <w:rPr>
          <w:rFonts w:hint="eastAsia" w:ascii="宋体" w:hAnsi="宋体" w:cs="宋体"/>
          <w:color w:val="auto"/>
          <w:sz w:val="24"/>
          <w:szCs w:val="24"/>
          <w:highlight w:val="none"/>
        </w:rPr>
        <w:t>关于承包人为实施工程所编制文件的著作权的归属：</w:t>
      </w:r>
      <w:r>
        <w:rPr>
          <w:rFonts w:hint="eastAsia" w:ascii="宋体" w:hAnsi="宋体" w:cs="宋体"/>
          <w:color w:val="auto"/>
          <w:sz w:val="24"/>
          <w:szCs w:val="24"/>
          <w:highlight w:val="none"/>
          <w:u w:val="single"/>
        </w:rPr>
        <w:t>执行通用条款。</w:t>
      </w:r>
      <w:bookmarkEnd w:id="89"/>
    </w:p>
    <w:p w14:paraId="4D91179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关于承包人提供的上述文件的使用限制的要求：</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BEA236F">
      <w:pPr>
        <w:autoSpaceDN w:val="0"/>
        <w:spacing w:line="360" w:lineRule="auto"/>
        <w:ind w:firstLine="480" w:firstLineChars="200"/>
        <w:rPr>
          <w:rFonts w:ascii="宋体" w:hAnsi="宋体" w:cs="宋体"/>
          <w:color w:val="auto"/>
          <w:sz w:val="24"/>
          <w:szCs w:val="24"/>
          <w:highlight w:val="none"/>
        </w:rPr>
      </w:pPr>
      <w:bookmarkStart w:id="90" w:name="_Toc54777947"/>
      <w:r>
        <w:rPr>
          <w:rFonts w:ascii="宋体" w:hAnsi="宋体" w:cs="宋体"/>
          <w:color w:val="auto"/>
          <w:sz w:val="24"/>
          <w:szCs w:val="24"/>
          <w:highlight w:val="none"/>
        </w:rPr>
        <w:t>1.11.4</w:t>
      </w:r>
      <w:r>
        <w:rPr>
          <w:rFonts w:hint="eastAsia" w:ascii="宋体" w:hAnsi="宋体" w:cs="宋体"/>
          <w:color w:val="auto"/>
          <w:sz w:val="24"/>
          <w:szCs w:val="24"/>
          <w:highlight w:val="none"/>
        </w:rPr>
        <w:t>承包人在施工过程中所采用的专利、专有技术、技术秘密的使用费的承担方式：</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bookmarkEnd w:id="90"/>
    </w:p>
    <w:p w14:paraId="5DD9385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工程量清单错误的修正</w:t>
      </w:r>
    </w:p>
    <w:p w14:paraId="36F9764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出现工程量清单错误时，是否调整合同价格：。</w:t>
      </w:r>
    </w:p>
    <w:p w14:paraId="1563197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允许调整合同价格的工程量偏差范围：。</w:t>
      </w:r>
    </w:p>
    <w:p w14:paraId="7602CAB3">
      <w:pPr>
        <w:autoSpaceDN w:val="0"/>
        <w:spacing w:line="360" w:lineRule="auto"/>
        <w:ind w:firstLine="480" w:firstLineChars="200"/>
        <w:rPr>
          <w:rFonts w:ascii="宋体" w:hAnsi="宋体" w:cs="宋体"/>
          <w:bCs/>
          <w:color w:val="auto"/>
          <w:sz w:val="24"/>
          <w:szCs w:val="24"/>
          <w:highlight w:val="none"/>
        </w:rPr>
      </w:pPr>
      <w:bookmarkStart w:id="91" w:name="_Toc351203634"/>
      <w:r>
        <w:rPr>
          <w:rFonts w:ascii="宋体" w:hAnsi="宋体" w:cs="宋体"/>
          <w:bCs/>
          <w:color w:val="auto"/>
          <w:sz w:val="24"/>
          <w:szCs w:val="24"/>
          <w:highlight w:val="none"/>
        </w:rPr>
        <w:t>2</w:t>
      </w:r>
      <w:bookmarkStart w:id="92" w:name="_Toc292559362"/>
      <w:bookmarkStart w:id="93" w:name="_Toc296346658"/>
      <w:bookmarkStart w:id="94" w:name="_Toc296503157"/>
      <w:bookmarkStart w:id="95" w:name="_Toc297048343"/>
      <w:bookmarkStart w:id="96" w:name="_Toc296347156"/>
      <w:bookmarkStart w:id="97" w:name="_Toc296944496"/>
      <w:bookmarkStart w:id="98" w:name="_Toc297120457"/>
      <w:bookmarkStart w:id="99" w:name="_Toc296890985"/>
      <w:bookmarkStart w:id="100" w:name="_Toc296891197"/>
      <w:bookmarkStart w:id="101" w:name="_Toc292559867"/>
      <w:r>
        <w:rPr>
          <w:rFonts w:ascii="宋体" w:hAnsi="宋体" w:cs="宋体"/>
          <w:bCs/>
          <w:color w:val="auto"/>
          <w:sz w:val="24"/>
          <w:szCs w:val="24"/>
          <w:highlight w:val="none"/>
        </w:rPr>
        <w:t>.</w:t>
      </w:r>
      <w:r>
        <w:rPr>
          <w:rFonts w:hint="eastAsia" w:ascii="宋体" w:hAnsi="宋体" w:cs="宋体"/>
          <w:bCs/>
          <w:color w:val="auto"/>
          <w:sz w:val="24"/>
          <w:szCs w:val="24"/>
          <w:highlight w:val="none"/>
        </w:rPr>
        <w:t>发包人</w:t>
      </w:r>
      <w:bookmarkEnd w:id="91"/>
    </w:p>
    <w:bookmarkEnd w:id="92"/>
    <w:bookmarkEnd w:id="93"/>
    <w:bookmarkEnd w:id="94"/>
    <w:bookmarkEnd w:id="95"/>
    <w:bookmarkEnd w:id="96"/>
    <w:bookmarkEnd w:id="97"/>
    <w:bookmarkEnd w:id="98"/>
    <w:bookmarkEnd w:id="99"/>
    <w:bookmarkEnd w:id="100"/>
    <w:bookmarkEnd w:id="101"/>
    <w:p w14:paraId="1464F355">
      <w:pPr>
        <w:autoSpaceDN w:val="0"/>
        <w:spacing w:line="360" w:lineRule="auto"/>
        <w:ind w:firstLine="480" w:firstLineChars="200"/>
        <w:rPr>
          <w:rFonts w:ascii="宋体" w:hAnsi="宋体" w:cs="宋体"/>
          <w:color w:val="auto"/>
          <w:sz w:val="24"/>
          <w:szCs w:val="24"/>
          <w:highlight w:val="none"/>
        </w:rPr>
      </w:pPr>
      <w:bookmarkStart w:id="102" w:name="_Toc54777948"/>
      <w:r>
        <w:rPr>
          <w:rFonts w:ascii="宋体" w:hAnsi="宋体" w:cs="宋体"/>
          <w:color w:val="auto"/>
          <w:sz w:val="24"/>
          <w:szCs w:val="24"/>
          <w:highlight w:val="none"/>
        </w:rPr>
        <w:t>2.2</w:t>
      </w:r>
      <w:r>
        <w:rPr>
          <w:rFonts w:hint="eastAsia" w:ascii="宋体" w:hAnsi="宋体" w:cs="宋体"/>
          <w:color w:val="auto"/>
          <w:sz w:val="24"/>
          <w:szCs w:val="24"/>
          <w:highlight w:val="none"/>
        </w:rPr>
        <w:t>发包人代表</w:t>
      </w:r>
      <w:bookmarkEnd w:id="102"/>
    </w:p>
    <w:p w14:paraId="5E1EFD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发包人代表：</w:t>
      </w:r>
    </w:p>
    <w:p w14:paraId="3342260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711AE40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2F65FA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职务：</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E3725B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联系电话：电子信箱：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04B763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555BA5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发包人对发包人代表的授权范围如下：</w:t>
      </w:r>
      <w:bookmarkStart w:id="103" w:name="_Hlk17449421"/>
      <w:r>
        <w:rPr>
          <w:rFonts w:hint="eastAsia" w:ascii="宋体" w:hAnsi="宋体" w:cs="宋体"/>
          <w:color w:val="auto"/>
          <w:sz w:val="24"/>
          <w:szCs w:val="24"/>
          <w:highlight w:val="none"/>
          <w:u w:val="single"/>
        </w:rPr>
        <w:t>检查工程质量、进度和安全文明施工中存在的问题，督促监理工程师行使职权，协调施工现场各方面的关系，审核工程进度报表等。凡涉及合同变更、工期延长、工程量签证、结算等事项的，必须经发包人书面确认并盖章后方能生效。</w:t>
      </w:r>
      <w:bookmarkEnd w:id="103"/>
    </w:p>
    <w:p w14:paraId="4112D980">
      <w:pPr>
        <w:autoSpaceDN w:val="0"/>
        <w:spacing w:line="360" w:lineRule="auto"/>
        <w:ind w:firstLine="480" w:firstLineChars="200"/>
        <w:rPr>
          <w:rFonts w:ascii="宋体" w:hAnsi="宋体" w:cs="宋体"/>
          <w:color w:val="auto"/>
          <w:sz w:val="24"/>
          <w:szCs w:val="24"/>
          <w:highlight w:val="none"/>
        </w:rPr>
      </w:pPr>
      <w:bookmarkStart w:id="104" w:name="_Toc54777949"/>
      <w:r>
        <w:rPr>
          <w:rFonts w:ascii="宋体" w:hAnsi="宋体" w:cs="宋体"/>
          <w:color w:val="auto"/>
          <w:sz w:val="24"/>
          <w:szCs w:val="24"/>
          <w:highlight w:val="none"/>
        </w:rPr>
        <w:t>2.4</w:t>
      </w:r>
      <w:r>
        <w:rPr>
          <w:rFonts w:hint="eastAsia" w:ascii="宋体" w:hAnsi="宋体" w:cs="宋体"/>
          <w:color w:val="auto"/>
          <w:sz w:val="24"/>
          <w:szCs w:val="24"/>
          <w:highlight w:val="none"/>
        </w:rPr>
        <w:t>施工现场、施工条件和基础资料的提供</w:t>
      </w:r>
      <w:bookmarkEnd w:id="104"/>
    </w:p>
    <w:p w14:paraId="1A71119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2.4.1</w:t>
      </w:r>
      <w:r>
        <w:rPr>
          <w:rFonts w:hint="eastAsia" w:ascii="宋体" w:hAnsi="宋体" w:cs="宋体"/>
          <w:color w:val="auto"/>
          <w:sz w:val="24"/>
          <w:szCs w:val="24"/>
          <w:highlight w:val="none"/>
        </w:rPr>
        <w:t>提供施工现场</w:t>
      </w:r>
    </w:p>
    <w:p w14:paraId="53938C8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关于发包人移交施工现场的期限要求：</w:t>
      </w:r>
      <w:bookmarkStart w:id="105" w:name="_Hlk17449433"/>
      <w:r>
        <w:rPr>
          <w:rFonts w:hint="eastAsia" w:ascii="宋体" w:hAnsi="宋体" w:cs="宋体"/>
          <w:color w:val="auto"/>
          <w:sz w:val="24"/>
          <w:szCs w:val="24"/>
          <w:highlight w:val="none"/>
          <w:u w:val="single"/>
        </w:rPr>
        <w:t>开工日期2天前</w:t>
      </w:r>
      <w:bookmarkEnd w:id="105"/>
      <w:r>
        <w:rPr>
          <w:rFonts w:hint="eastAsia" w:ascii="宋体" w:hAnsi="宋体" w:cs="宋体"/>
          <w:color w:val="auto"/>
          <w:sz w:val="24"/>
          <w:szCs w:val="24"/>
          <w:highlight w:val="none"/>
        </w:rPr>
        <w:t>。</w:t>
      </w:r>
    </w:p>
    <w:p w14:paraId="266EEBA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2.4.2</w:t>
      </w:r>
      <w:r>
        <w:rPr>
          <w:rFonts w:hint="eastAsia" w:ascii="宋体" w:hAnsi="宋体" w:cs="宋体"/>
          <w:color w:val="auto"/>
          <w:sz w:val="24"/>
          <w:szCs w:val="24"/>
          <w:highlight w:val="none"/>
        </w:rPr>
        <w:t>提供施工条件</w:t>
      </w:r>
    </w:p>
    <w:p w14:paraId="26C6023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关于发包人应负责提供施工所需要的条件，包括：</w:t>
      </w:r>
      <w:bookmarkStart w:id="106" w:name="_Hlk17449446"/>
      <w:r>
        <w:rPr>
          <w:rFonts w:hint="eastAsia" w:ascii="宋体" w:hAnsi="宋体" w:cs="宋体"/>
          <w:color w:val="auto"/>
          <w:sz w:val="24"/>
          <w:szCs w:val="24"/>
          <w:highlight w:val="none"/>
          <w:u w:val="single"/>
        </w:rPr>
        <w:t>施工道路、施工用水源、电源由承包人自行解决，施工水电费及水电的线路损耗由承包人支付，费用已包括在合同价格中。</w:t>
      </w:r>
      <w:bookmarkEnd w:id="106"/>
    </w:p>
    <w:p w14:paraId="1F1B982C">
      <w:pPr>
        <w:autoSpaceDN w:val="0"/>
        <w:spacing w:line="360" w:lineRule="auto"/>
        <w:ind w:firstLine="480" w:firstLineChars="200"/>
        <w:rPr>
          <w:rFonts w:ascii="宋体" w:hAnsi="宋体" w:cs="宋体"/>
          <w:color w:val="auto"/>
          <w:sz w:val="24"/>
          <w:szCs w:val="24"/>
          <w:highlight w:val="none"/>
        </w:rPr>
      </w:pPr>
      <w:bookmarkStart w:id="107" w:name="_Toc54777950"/>
      <w:r>
        <w:rPr>
          <w:rFonts w:ascii="宋体" w:hAnsi="宋体" w:cs="宋体"/>
          <w:color w:val="auto"/>
          <w:sz w:val="24"/>
          <w:szCs w:val="24"/>
          <w:highlight w:val="none"/>
        </w:rPr>
        <w:t>2.5</w:t>
      </w:r>
      <w:r>
        <w:rPr>
          <w:rFonts w:hint="eastAsia" w:ascii="宋体" w:hAnsi="宋体" w:cs="宋体"/>
          <w:color w:val="auto"/>
          <w:sz w:val="24"/>
          <w:szCs w:val="24"/>
          <w:highlight w:val="none"/>
        </w:rPr>
        <w:t>资金来源证明及支付担保</w:t>
      </w:r>
      <w:bookmarkEnd w:id="107"/>
    </w:p>
    <w:p w14:paraId="550EBB1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发包人提供资金来源证明的期限要求：</w:t>
      </w:r>
      <w:bookmarkStart w:id="108" w:name="_Hlk17449475"/>
      <w:r>
        <w:rPr>
          <w:rFonts w:hint="eastAsia" w:ascii="宋体" w:hAnsi="宋体" w:cs="宋体"/>
          <w:color w:val="auto"/>
          <w:sz w:val="24"/>
          <w:szCs w:val="24"/>
          <w:highlight w:val="none"/>
          <w:u w:val="single"/>
        </w:rPr>
        <w:t>无</w:t>
      </w:r>
      <w:bookmarkEnd w:id="108"/>
      <w:r>
        <w:rPr>
          <w:rFonts w:hint="eastAsia" w:ascii="宋体" w:hAnsi="宋体" w:cs="宋体"/>
          <w:color w:val="auto"/>
          <w:sz w:val="24"/>
          <w:szCs w:val="24"/>
          <w:highlight w:val="none"/>
        </w:rPr>
        <w:t>。</w:t>
      </w:r>
    </w:p>
    <w:p w14:paraId="5454EA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发包人是否提供支付担保：</w:t>
      </w:r>
      <w:bookmarkStart w:id="109" w:name="_Hlk17449482"/>
      <w:r>
        <w:rPr>
          <w:rFonts w:hint="eastAsia" w:ascii="宋体" w:hAnsi="宋体" w:cs="宋体"/>
          <w:color w:val="auto"/>
          <w:sz w:val="24"/>
          <w:szCs w:val="24"/>
          <w:highlight w:val="none"/>
          <w:u w:val="single"/>
        </w:rPr>
        <w:t>否</w:t>
      </w:r>
      <w:bookmarkEnd w:id="109"/>
      <w:r>
        <w:rPr>
          <w:rFonts w:hint="eastAsia" w:ascii="宋体" w:hAnsi="宋体" w:cs="宋体"/>
          <w:color w:val="auto"/>
          <w:sz w:val="24"/>
          <w:szCs w:val="24"/>
          <w:highlight w:val="none"/>
        </w:rPr>
        <w:t>。</w:t>
      </w:r>
    </w:p>
    <w:p w14:paraId="75DE22F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发包人提供支付担保的形式：</w:t>
      </w:r>
      <w:bookmarkStart w:id="110" w:name="_Hlk17449490"/>
      <w:r>
        <w:rPr>
          <w:rFonts w:hint="eastAsia" w:ascii="宋体" w:hAnsi="宋体" w:cs="宋体"/>
          <w:color w:val="auto"/>
          <w:sz w:val="24"/>
          <w:szCs w:val="24"/>
          <w:highlight w:val="none"/>
          <w:u w:val="single"/>
        </w:rPr>
        <w:t>不提供</w:t>
      </w:r>
      <w:bookmarkEnd w:id="110"/>
      <w:r>
        <w:rPr>
          <w:rFonts w:hint="eastAsia" w:ascii="宋体" w:hAnsi="宋体" w:cs="宋体"/>
          <w:color w:val="auto"/>
          <w:sz w:val="24"/>
          <w:szCs w:val="24"/>
          <w:highlight w:val="none"/>
        </w:rPr>
        <w:t>。</w:t>
      </w:r>
    </w:p>
    <w:p w14:paraId="73B7E743">
      <w:pPr>
        <w:autoSpaceDN w:val="0"/>
        <w:spacing w:line="360" w:lineRule="auto"/>
        <w:ind w:firstLine="480" w:firstLineChars="200"/>
        <w:rPr>
          <w:rFonts w:ascii="宋体" w:hAnsi="宋体" w:cs="宋体"/>
          <w:bCs/>
          <w:color w:val="auto"/>
          <w:sz w:val="24"/>
          <w:szCs w:val="24"/>
          <w:highlight w:val="none"/>
        </w:rPr>
      </w:pPr>
      <w:bookmarkStart w:id="111" w:name="_Toc351203635"/>
      <w:r>
        <w:rPr>
          <w:rFonts w:ascii="宋体" w:hAnsi="宋体" w:cs="宋体"/>
          <w:bCs/>
          <w:color w:val="auto"/>
          <w:sz w:val="24"/>
          <w:szCs w:val="24"/>
          <w:highlight w:val="none"/>
        </w:rPr>
        <w:t>3</w:t>
      </w:r>
      <w:bookmarkStart w:id="112" w:name="_Toc297120458"/>
      <w:bookmarkStart w:id="113" w:name="_Toc296503158"/>
      <w:bookmarkStart w:id="114" w:name="_Toc292559363"/>
      <w:bookmarkStart w:id="115" w:name="_Toc296890986"/>
      <w:bookmarkStart w:id="116" w:name="_Toc296347157"/>
      <w:bookmarkStart w:id="117" w:name="_Toc296891198"/>
      <w:bookmarkStart w:id="118" w:name="_Toc296346659"/>
      <w:bookmarkStart w:id="119" w:name="_Toc296944497"/>
      <w:bookmarkStart w:id="120" w:name="_Toc292559868"/>
      <w:bookmarkStart w:id="121" w:name="_Toc297048344"/>
      <w:r>
        <w:rPr>
          <w:rFonts w:ascii="宋体" w:hAnsi="宋体" w:cs="宋体"/>
          <w:bCs/>
          <w:color w:val="auto"/>
          <w:sz w:val="24"/>
          <w:szCs w:val="24"/>
          <w:highlight w:val="none"/>
        </w:rPr>
        <w:t>.</w:t>
      </w:r>
      <w:r>
        <w:rPr>
          <w:rFonts w:hint="eastAsia" w:ascii="宋体" w:hAnsi="宋体" w:cs="宋体"/>
          <w:bCs/>
          <w:color w:val="auto"/>
          <w:sz w:val="24"/>
          <w:szCs w:val="24"/>
          <w:highlight w:val="none"/>
        </w:rPr>
        <w:t>承包人</w:t>
      </w:r>
      <w:bookmarkEnd w:id="111"/>
    </w:p>
    <w:bookmarkEnd w:id="112"/>
    <w:bookmarkEnd w:id="113"/>
    <w:bookmarkEnd w:id="114"/>
    <w:bookmarkEnd w:id="115"/>
    <w:bookmarkEnd w:id="116"/>
    <w:bookmarkEnd w:id="117"/>
    <w:bookmarkEnd w:id="118"/>
    <w:bookmarkEnd w:id="119"/>
    <w:bookmarkEnd w:id="120"/>
    <w:bookmarkEnd w:id="121"/>
    <w:p w14:paraId="69B280B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rPr>
        <w:t>承包人的一般义务</w:t>
      </w:r>
    </w:p>
    <w:p w14:paraId="256757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9</w:t>
      </w:r>
      <w:r>
        <w:rPr>
          <w:rFonts w:hint="eastAsia" w:ascii="宋体" w:hAnsi="宋体" w:cs="宋体"/>
          <w:color w:val="auto"/>
          <w:sz w:val="24"/>
          <w:szCs w:val="24"/>
          <w:highlight w:val="none"/>
        </w:rPr>
        <w:t>）承包人提交的竣工资料的内容：</w:t>
      </w:r>
      <w:bookmarkStart w:id="122" w:name="_Hlk17449519"/>
      <w:r>
        <w:rPr>
          <w:rFonts w:hint="eastAsia" w:ascii="宋体" w:hAnsi="宋体" w:cs="宋体"/>
          <w:color w:val="auto"/>
          <w:sz w:val="24"/>
          <w:szCs w:val="24"/>
          <w:highlight w:val="none"/>
          <w:u w:val="single"/>
        </w:rPr>
        <w:t>提供符合档案馆和行政管理及质量监督部门要求的竣工图及竣工资料、竣工结算资料等</w:t>
      </w:r>
      <w:bookmarkEnd w:id="122"/>
      <w:r>
        <w:rPr>
          <w:rFonts w:hint="eastAsia" w:ascii="宋体" w:hAnsi="宋体" w:cs="宋体"/>
          <w:color w:val="auto"/>
          <w:sz w:val="24"/>
          <w:szCs w:val="24"/>
          <w:highlight w:val="none"/>
        </w:rPr>
        <w:t>。</w:t>
      </w:r>
    </w:p>
    <w:p w14:paraId="04A54B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承包人需要提交的竣工资料套数：</w:t>
      </w:r>
      <w:bookmarkStart w:id="123" w:name="_Hlk17449528"/>
      <w:r>
        <w:rPr>
          <w:rFonts w:hint="eastAsia" w:ascii="宋体" w:hAnsi="宋体" w:cs="宋体"/>
          <w:color w:val="auto"/>
          <w:sz w:val="24"/>
          <w:szCs w:val="24"/>
          <w:highlight w:val="none"/>
          <w:u w:val="single"/>
        </w:rPr>
        <w:t>4套</w:t>
      </w:r>
      <w:bookmarkEnd w:id="123"/>
      <w:r>
        <w:rPr>
          <w:rFonts w:hint="eastAsia" w:ascii="宋体" w:hAnsi="宋体" w:cs="宋体"/>
          <w:color w:val="auto"/>
          <w:sz w:val="24"/>
          <w:szCs w:val="24"/>
          <w:highlight w:val="none"/>
        </w:rPr>
        <w:t>。</w:t>
      </w:r>
    </w:p>
    <w:p w14:paraId="50E847C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承包人提交的竣工资料的费用承担：</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p w14:paraId="3C751C6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承包人提交的竣工资料移交时间：</w:t>
      </w:r>
      <w:bookmarkStart w:id="124" w:name="_Hlk17449537"/>
      <w:r>
        <w:rPr>
          <w:rFonts w:hint="eastAsia" w:ascii="宋体" w:hAnsi="宋体" w:cs="宋体"/>
          <w:color w:val="auto"/>
          <w:sz w:val="24"/>
          <w:szCs w:val="24"/>
          <w:highlight w:val="none"/>
          <w:u w:val="single"/>
        </w:rPr>
        <w:t>工程竣工验收合格后7天内</w:t>
      </w:r>
      <w:bookmarkEnd w:id="124"/>
      <w:r>
        <w:rPr>
          <w:rFonts w:hint="eastAsia" w:ascii="宋体" w:hAnsi="宋体" w:cs="宋体"/>
          <w:color w:val="auto"/>
          <w:sz w:val="24"/>
          <w:szCs w:val="24"/>
          <w:highlight w:val="none"/>
        </w:rPr>
        <w:t>。</w:t>
      </w:r>
    </w:p>
    <w:p w14:paraId="271C29D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承包人提交的竣工资料形式要求：</w:t>
      </w:r>
      <w:bookmarkStart w:id="125" w:name="_Hlk17449549"/>
      <w:r>
        <w:rPr>
          <w:rFonts w:hint="eastAsia" w:ascii="宋体" w:hAnsi="宋体" w:cs="宋体"/>
          <w:color w:val="auto"/>
          <w:sz w:val="24"/>
          <w:szCs w:val="24"/>
          <w:highlight w:val="none"/>
          <w:u w:val="single"/>
        </w:rPr>
        <w:t>书面纸质及电子文档</w:t>
      </w:r>
      <w:bookmarkEnd w:id="125"/>
      <w:r>
        <w:rPr>
          <w:rFonts w:hint="eastAsia" w:ascii="宋体" w:hAnsi="宋体" w:cs="宋体"/>
          <w:color w:val="auto"/>
          <w:sz w:val="24"/>
          <w:szCs w:val="24"/>
          <w:highlight w:val="none"/>
        </w:rPr>
        <w:t>。</w:t>
      </w:r>
    </w:p>
    <w:p w14:paraId="4EBC235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w:t>
      </w:r>
      <w:r>
        <w:rPr>
          <w:rFonts w:hint="eastAsia" w:ascii="宋体" w:hAnsi="宋体" w:cs="宋体"/>
          <w:color w:val="auto"/>
          <w:sz w:val="24"/>
          <w:szCs w:val="24"/>
          <w:highlight w:val="none"/>
        </w:rPr>
        <w:t>）承包人应履行的其他义务：</w:t>
      </w:r>
    </w:p>
    <w:p w14:paraId="5B51A9A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1）承包人不得以任何理由拖欠农民工工资，必须确保农民工工资足额发放，如造成农民工到有关部门上访，每发生一次处合同总价1%违约金。</w:t>
      </w:r>
    </w:p>
    <w:p w14:paraId="426859F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2）在施工中必须严格按照规范操作，并针对邻近建筑物实际情况，采取相应防护措施，对不按规范要求施工或未采取防护措施的，造成的损失由承包人承担。</w:t>
      </w:r>
    </w:p>
    <w:p w14:paraId="00FF07B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3）本工程施工安全由承包人负总责。承包人应按照规范要求做好各项安全措施，本工程施工安全的措施费用已经包括在合同价格中。如发生施工安全事故，由承包人负责并承担全部事故赔偿费用</w:t>
      </w:r>
    </w:p>
    <w:p w14:paraId="4BADDEFC">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4）由承包人负责按照三门峡市有关行政管理部门要求，办理有关施工场地交通、环卫和施工噪音管理等手续。</w:t>
      </w:r>
    </w:p>
    <w:p w14:paraId="0987225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5）协调周边及地方关系。</w:t>
      </w:r>
    </w:p>
    <w:p w14:paraId="08D03C5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6）施工现场发包人、监理人办公室及必要的办公家具由承包人免费提供。</w:t>
      </w:r>
    </w:p>
    <w:p w14:paraId="727BA9B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项目经理</w:t>
      </w:r>
    </w:p>
    <w:p w14:paraId="6BBDF3C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3.2.1</w:t>
      </w:r>
      <w:r>
        <w:rPr>
          <w:rFonts w:hint="eastAsia" w:ascii="宋体" w:hAnsi="宋体" w:cs="宋体"/>
          <w:color w:val="auto"/>
          <w:sz w:val="24"/>
          <w:szCs w:val="24"/>
          <w:highlight w:val="none"/>
        </w:rPr>
        <w:t>项目经理：</w:t>
      </w:r>
    </w:p>
    <w:p w14:paraId="5D3811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07A6799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p>
    <w:p w14:paraId="593A910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p>
    <w:p w14:paraId="453B83C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p>
    <w:p w14:paraId="682B89D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建造师执业印章号：；</w:t>
      </w:r>
    </w:p>
    <w:p w14:paraId="7B1E9E0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安全生产考核合格证书号：；</w:t>
      </w:r>
    </w:p>
    <w:p w14:paraId="02A7580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2400DF6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36A731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7DEAE75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承包人对项目经理的授权范围如下：</w:t>
      </w:r>
    </w:p>
    <w:p w14:paraId="435835A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关于项目经理每月在施工现场的时间要求：</w:t>
      </w:r>
      <w:r>
        <w:rPr>
          <w:rFonts w:hint="eastAsia" w:ascii="宋体" w:hAnsi="宋体" w:cs="宋体"/>
          <w:color w:val="auto"/>
          <w:sz w:val="24"/>
          <w:szCs w:val="24"/>
          <w:highlight w:val="none"/>
          <w:u w:val="single"/>
        </w:rPr>
        <w:t>每周在场6天，每少一天支付违约金1000元。</w:t>
      </w:r>
    </w:p>
    <w:p w14:paraId="50011E9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承包人未提交劳动合同，以及没有为项目经理缴纳社会保险证明的违约责任：</w:t>
      </w:r>
      <w:r>
        <w:rPr>
          <w:rFonts w:hint="eastAsia" w:ascii="宋体" w:hAnsi="宋体" w:cs="宋体"/>
          <w:color w:val="auto"/>
          <w:sz w:val="24"/>
          <w:szCs w:val="24"/>
          <w:highlight w:val="none"/>
          <w:u w:val="single"/>
        </w:rPr>
        <w:t>承包人应支付给发包人10万元违约金，责令限期提交劳动合同并补缴社会保险，且发包人有权要求更换项目经理，由此增加的费用和延误的工期由承包人承担。</w:t>
      </w:r>
    </w:p>
    <w:p w14:paraId="12ED2FD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项目经理未经批准，擅自离开施工现场的违约责任：</w:t>
      </w:r>
      <w:r>
        <w:rPr>
          <w:rFonts w:hint="eastAsia" w:ascii="宋体" w:hAnsi="宋体" w:cs="宋体"/>
          <w:color w:val="auto"/>
          <w:sz w:val="24"/>
          <w:szCs w:val="24"/>
          <w:highlight w:val="none"/>
          <w:u w:val="single"/>
        </w:rPr>
        <w:t>处以1000元/天违约金，擅自离开施工现场累计达到</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天的，发包人有权要求承包人更换不低于原项目经理资质的人员并处以5万元违约金。同时，承包人承担上述违约给发包人造成的一切损失。</w:t>
      </w:r>
    </w:p>
    <w:p w14:paraId="5BA10C1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3.2.3</w:t>
      </w:r>
      <w:r>
        <w:rPr>
          <w:rFonts w:hint="eastAsia" w:ascii="宋体" w:hAnsi="宋体" w:cs="宋体"/>
          <w:color w:val="auto"/>
          <w:sz w:val="24"/>
          <w:szCs w:val="24"/>
          <w:highlight w:val="none"/>
        </w:rPr>
        <w:t>承包人擅自更换项目经理的违约责任：</w:t>
      </w:r>
      <w:r>
        <w:rPr>
          <w:rFonts w:hint="eastAsia" w:ascii="宋体" w:hAnsi="宋体" w:cs="宋体"/>
          <w:color w:val="auto"/>
          <w:sz w:val="24"/>
          <w:szCs w:val="24"/>
          <w:highlight w:val="none"/>
          <w:u w:val="single"/>
        </w:rPr>
        <w:t>处以5万元违约金，同时承包人承担上述违约给发包人造成的一切损失。</w:t>
      </w:r>
    </w:p>
    <w:p w14:paraId="3AA8E553">
      <w:pPr>
        <w:autoSpaceDN w:val="0"/>
        <w:spacing w:line="360" w:lineRule="auto"/>
        <w:ind w:firstLine="480" w:firstLineChars="200"/>
        <w:rPr>
          <w:rFonts w:ascii="宋体" w:hAnsi="宋体" w:cs="宋体"/>
          <w:color w:val="auto"/>
          <w:sz w:val="24"/>
          <w:szCs w:val="24"/>
          <w:highlight w:val="none"/>
          <w:u w:val="single"/>
        </w:rPr>
      </w:pPr>
      <w:bookmarkStart w:id="126" w:name="_Toc54777951"/>
      <w:r>
        <w:rPr>
          <w:rFonts w:ascii="宋体" w:hAnsi="宋体" w:cs="宋体"/>
          <w:color w:val="auto"/>
          <w:sz w:val="24"/>
          <w:szCs w:val="24"/>
          <w:highlight w:val="none"/>
        </w:rPr>
        <w:t>3.2.4</w:t>
      </w:r>
      <w:r>
        <w:rPr>
          <w:rFonts w:hint="eastAsia" w:ascii="宋体" w:hAnsi="宋体" w:cs="宋体"/>
          <w:color w:val="auto"/>
          <w:sz w:val="24"/>
          <w:szCs w:val="24"/>
          <w:highlight w:val="none"/>
        </w:rPr>
        <w:t>承包人无正当理由拒绝更换项目经理的违约责任：</w:t>
      </w:r>
      <w:r>
        <w:rPr>
          <w:rFonts w:hint="eastAsia" w:ascii="宋体" w:hAnsi="宋体" w:cs="宋体"/>
          <w:color w:val="auto"/>
          <w:sz w:val="24"/>
          <w:szCs w:val="24"/>
          <w:highlight w:val="none"/>
          <w:u w:val="single"/>
        </w:rPr>
        <w:t>处以5万元违约金，同时承包人承担上述违约给发包人造成的一切损失。</w:t>
      </w:r>
      <w:bookmarkEnd w:id="126"/>
    </w:p>
    <w:p w14:paraId="393F733C">
      <w:pPr>
        <w:autoSpaceDN w:val="0"/>
        <w:spacing w:line="360" w:lineRule="auto"/>
        <w:ind w:firstLine="480" w:firstLineChars="200"/>
        <w:rPr>
          <w:rFonts w:ascii="宋体" w:hAnsi="宋体" w:cs="宋体"/>
          <w:color w:val="auto"/>
          <w:sz w:val="24"/>
          <w:szCs w:val="24"/>
          <w:highlight w:val="none"/>
        </w:rPr>
      </w:pPr>
      <w:bookmarkStart w:id="127" w:name="_Toc54777952"/>
      <w:r>
        <w:rPr>
          <w:rFonts w:ascii="宋体" w:hAnsi="宋体" w:cs="宋体"/>
          <w:color w:val="auto"/>
          <w:sz w:val="24"/>
          <w:szCs w:val="24"/>
          <w:highlight w:val="none"/>
        </w:rPr>
        <w:t>3.3</w:t>
      </w:r>
      <w:r>
        <w:rPr>
          <w:rFonts w:hint="eastAsia" w:ascii="宋体" w:hAnsi="宋体" w:cs="宋体"/>
          <w:color w:val="auto"/>
          <w:sz w:val="24"/>
          <w:szCs w:val="24"/>
          <w:highlight w:val="none"/>
        </w:rPr>
        <w:t>承包人人员</w:t>
      </w:r>
      <w:bookmarkEnd w:id="127"/>
    </w:p>
    <w:p w14:paraId="408D762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3.3.1</w:t>
      </w:r>
      <w:r>
        <w:rPr>
          <w:rFonts w:hint="eastAsia" w:ascii="宋体" w:hAnsi="宋体" w:cs="宋体"/>
          <w:color w:val="auto"/>
          <w:sz w:val="24"/>
          <w:szCs w:val="24"/>
          <w:highlight w:val="none"/>
        </w:rPr>
        <w:t>承包人提交项目管理机构及施工现场管理人员安排报告的期限：</w:t>
      </w:r>
      <w:r>
        <w:rPr>
          <w:rFonts w:hint="eastAsia" w:ascii="宋体" w:hAnsi="宋体" w:cs="宋体"/>
          <w:color w:val="auto"/>
          <w:sz w:val="24"/>
          <w:szCs w:val="24"/>
          <w:highlight w:val="none"/>
          <w:u w:val="single"/>
        </w:rPr>
        <w:t>工程开工前2天</w:t>
      </w:r>
      <w:r>
        <w:rPr>
          <w:rFonts w:hint="eastAsia" w:ascii="宋体" w:hAnsi="宋体" w:cs="宋体"/>
          <w:color w:val="auto"/>
          <w:sz w:val="24"/>
          <w:szCs w:val="24"/>
          <w:highlight w:val="none"/>
        </w:rPr>
        <w:t>。。</w:t>
      </w:r>
    </w:p>
    <w:p w14:paraId="14A7DCF6">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3.3.3</w:t>
      </w:r>
      <w:r>
        <w:rPr>
          <w:rFonts w:hint="eastAsia" w:ascii="宋体" w:hAnsi="宋体" w:cs="宋体"/>
          <w:color w:val="auto"/>
          <w:sz w:val="24"/>
          <w:szCs w:val="24"/>
          <w:highlight w:val="none"/>
        </w:rPr>
        <w:t>承包人无正当理由拒绝撤换主要施工管理人员的违约责任：</w:t>
      </w:r>
      <w:r>
        <w:rPr>
          <w:rFonts w:hint="eastAsia" w:ascii="宋体" w:hAnsi="宋体" w:cs="宋体"/>
          <w:color w:val="auto"/>
          <w:sz w:val="24"/>
          <w:szCs w:val="24"/>
          <w:highlight w:val="none"/>
          <w:u w:val="single"/>
        </w:rPr>
        <w:t>处以每人1万元违约金，同时承包人承担上述违约给发包人造成的一切损失。</w:t>
      </w:r>
    </w:p>
    <w:p w14:paraId="7DA6B7D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3.3.4</w:t>
      </w:r>
      <w:r>
        <w:rPr>
          <w:rFonts w:hint="eastAsia" w:ascii="宋体" w:hAnsi="宋体" w:cs="宋体"/>
          <w:color w:val="auto"/>
          <w:sz w:val="24"/>
          <w:szCs w:val="24"/>
          <w:highlight w:val="none"/>
        </w:rPr>
        <w:t>承包人主要施工管理人员离开施工现场的批准要求：</w:t>
      </w:r>
      <w:bookmarkStart w:id="128" w:name="_Hlk17213454"/>
      <w:r>
        <w:rPr>
          <w:rFonts w:hint="eastAsia" w:ascii="宋体" w:hAnsi="宋体" w:cs="宋体"/>
          <w:color w:val="auto"/>
          <w:sz w:val="24"/>
          <w:szCs w:val="24"/>
          <w:highlight w:val="none"/>
          <w:u w:val="single"/>
        </w:rPr>
        <w:t>由发包人代表、总监理工程师共同书面批准后方可离开。</w:t>
      </w:r>
    </w:p>
    <w:bookmarkEnd w:id="128"/>
    <w:p w14:paraId="20A77C90">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3.3.5</w:t>
      </w:r>
      <w:r>
        <w:rPr>
          <w:rFonts w:hint="eastAsia" w:ascii="宋体" w:hAnsi="宋体" w:cs="宋体"/>
          <w:color w:val="auto"/>
          <w:sz w:val="24"/>
          <w:szCs w:val="24"/>
          <w:highlight w:val="none"/>
        </w:rPr>
        <w:t>承包人擅自更换主要施工管理人员的违约责任：</w:t>
      </w:r>
      <w:bookmarkStart w:id="129" w:name="_Hlk17213475"/>
      <w:r>
        <w:rPr>
          <w:rFonts w:hint="eastAsia" w:ascii="宋体" w:hAnsi="宋体" w:cs="宋体"/>
          <w:color w:val="auto"/>
          <w:sz w:val="24"/>
          <w:szCs w:val="24"/>
          <w:highlight w:val="none"/>
          <w:u w:val="single"/>
        </w:rPr>
        <w:t>处以每人1万元违约金，同时承包人承担上述违约给发包人造成的一切损失。</w:t>
      </w:r>
    </w:p>
    <w:p w14:paraId="3AC3606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承包人主要施工管理人员擅自离开施工现场的违约责任</w:t>
      </w:r>
      <w:r>
        <w:rPr>
          <w:rFonts w:hint="eastAsia" w:ascii="宋体" w:hAnsi="宋体" w:cs="宋体"/>
          <w:color w:val="auto"/>
          <w:sz w:val="24"/>
          <w:szCs w:val="24"/>
          <w:highlight w:val="none"/>
          <w:u w:val="single"/>
        </w:rPr>
        <w:t>：处以每人500元/天违约金，同时承包人承担上述违约给发包人造成的一切损失。</w:t>
      </w:r>
    </w:p>
    <w:bookmarkEnd w:id="129"/>
    <w:p w14:paraId="7449E64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30" w:name="_Toc297120459"/>
      <w:bookmarkStart w:id="131" w:name="_Toc292559364"/>
      <w:bookmarkStart w:id="132" w:name="_Toc304295523"/>
      <w:bookmarkStart w:id="133" w:name="_Toc296503159"/>
      <w:bookmarkStart w:id="134" w:name="_Toc296891199"/>
      <w:bookmarkStart w:id="135" w:name="_Toc292559869"/>
      <w:bookmarkStart w:id="136" w:name="_Toc296890987"/>
      <w:bookmarkStart w:id="137" w:name="_Toc297216151"/>
      <w:bookmarkStart w:id="138" w:name="_Toc300934945"/>
      <w:bookmarkStart w:id="139" w:name="_Toc297123492"/>
      <w:bookmarkStart w:id="140" w:name="_Toc296347158"/>
      <w:bookmarkStart w:id="141" w:name="_Toc312677988"/>
      <w:bookmarkStart w:id="142" w:name="_Toc296346660"/>
      <w:bookmarkStart w:id="143" w:name="_Toc303539102"/>
      <w:bookmarkStart w:id="144" w:name="_Toc297048345"/>
      <w:bookmarkStart w:id="145" w:name="_Toc296944498"/>
      <w:r>
        <w:rPr>
          <w:rFonts w:ascii="宋体" w:hAnsi="宋体" w:cs="宋体"/>
          <w:color w:val="auto"/>
          <w:sz w:val="24"/>
          <w:szCs w:val="24"/>
          <w:highlight w:val="none"/>
        </w:rPr>
        <w:t>.5</w:t>
      </w:r>
      <w:r>
        <w:rPr>
          <w:rFonts w:hint="eastAsia" w:ascii="宋体" w:hAnsi="宋体" w:cs="宋体"/>
          <w:color w:val="auto"/>
          <w:sz w:val="24"/>
          <w:szCs w:val="24"/>
          <w:highlight w:val="none"/>
        </w:rPr>
        <w:t>分包</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38B8B6A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46" w:name="_Toc303539103"/>
      <w:bookmarkStart w:id="147" w:name="_Toc297120460"/>
      <w:bookmarkStart w:id="148" w:name="_Toc297123493"/>
      <w:bookmarkStart w:id="149" w:name="_Toc296347159"/>
      <w:bookmarkStart w:id="150" w:name="_Toc296346661"/>
      <w:bookmarkStart w:id="151" w:name="_Toc296890988"/>
      <w:bookmarkStart w:id="152" w:name="_Toc296503160"/>
      <w:bookmarkStart w:id="153" w:name="_Toc296944499"/>
      <w:bookmarkStart w:id="154" w:name="_Toc292559870"/>
      <w:bookmarkStart w:id="155" w:name="_Toc300934946"/>
      <w:bookmarkStart w:id="156" w:name="_Toc292559365"/>
      <w:bookmarkStart w:id="157" w:name="_Toc296891200"/>
      <w:bookmarkStart w:id="158" w:name="_Toc304295524"/>
      <w:bookmarkStart w:id="159" w:name="_Toc297216152"/>
      <w:bookmarkStart w:id="160" w:name="_Toc297048346"/>
      <w:bookmarkStart w:id="161" w:name="_Toc318581158"/>
      <w:bookmarkStart w:id="162" w:name="_Toc312677989"/>
      <w:r>
        <w:rPr>
          <w:rFonts w:ascii="宋体" w:hAnsi="宋体" w:cs="宋体"/>
          <w:color w:val="auto"/>
          <w:sz w:val="24"/>
          <w:szCs w:val="24"/>
          <w:highlight w:val="none"/>
        </w:rPr>
        <w:t>.5.1</w:t>
      </w:r>
      <w:r>
        <w:rPr>
          <w:rFonts w:hint="eastAsia" w:ascii="宋体" w:hAnsi="宋体" w:cs="宋体"/>
          <w:color w:val="auto"/>
          <w:sz w:val="24"/>
          <w:szCs w:val="24"/>
          <w:highlight w:val="none"/>
        </w:rPr>
        <w:t>分包的一般约定</w:t>
      </w:r>
    </w:p>
    <w:p w14:paraId="63D8667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禁止分包的工程包括：。</w:t>
      </w:r>
    </w:p>
    <w:p w14:paraId="6B5EFB5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主体结构、关键性工作的范围：。</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Start w:id="163" w:name="_Toc304295525"/>
      <w:bookmarkStart w:id="164" w:name="_Toc297216153"/>
      <w:bookmarkStart w:id="165" w:name="_Toc296503161"/>
      <w:bookmarkStart w:id="166" w:name="_Toc297123494"/>
      <w:bookmarkStart w:id="167" w:name="_Toc297048347"/>
      <w:bookmarkStart w:id="168" w:name="_Toc303539104"/>
      <w:bookmarkStart w:id="169" w:name="_Toc296891201"/>
      <w:bookmarkStart w:id="170" w:name="_Toc296890989"/>
      <w:bookmarkStart w:id="171" w:name="_Toc296347160"/>
      <w:bookmarkStart w:id="172" w:name="_Toc297120461"/>
      <w:bookmarkStart w:id="173" w:name="_Toc296346662"/>
      <w:bookmarkStart w:id="174" w:name="_Toc300934947"/>
      <w:bookmarkStart w:id="175" w:name="_Toc296944500"/>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384A6D5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bookmarkStart w:id="176" w:name="_Toc318581159"/>
      <w:bookmarkStart w:id="177" w:name="_Toc312677990"/>
      <w:r>
        <w:rPr>
          <w:rFonts w:ascii="宋体" w:hAnsi="宋体" w:cs="宋体"/>
          <w:color w:val="auto"/>
          <w:sz w:val="24"/>
          <w:szCs w:val="24"/>
          <w:highlight w:val="none"/>
        </w:rPr>
        <w:t>.5.2</w:t>
      </w:r>
      <w:r>
        <w:rPr>
          <w:rFonts w:hint="eastAsia" w:ascii="宋体" w:hAnsi="宋体" w:cs="宋体"/>
          <w:color w:val="auto"/>
          <w:sz w:val="24"/>
          <w:szCs w:val="24"/>
          <w:highlight w:val="none"/>
        </w:rPr>
        <w:t>分包的确定</w:t>
      </w:r>
    </w:p>
    <w:p w14:paraId="1D41500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允许分包的专业工程包括：</w:t>
      </w:r>
      <w:r>
        <w:rPr>
          <w:rFonts w:hint="eastAsia" w:ascii="宋体" w:hAnsi="宋体" w:cs="宋体"/>
          <w:color w:val="auto"/>
          <w:sz w:val="24"/>
          <w:szCs w:val="24"/>
          <w:highlight w:val="none"/>
          <w:u w:val="single"/>
        </w:rPr>
        <w:t>。</w:t>
      </w:r>
    </w:p>
    <w:p w14:paraId="66F731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其他关于分包的约定：。</w:t>
      </w:r>
    </w:p>
    <w:p w14:paraId="312AD73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3.5.4</w:t>
      </w:r>
      <w:r>
        <w:rPr>
          <w:rFonts w:hint="eastAsia" w:ascii="宋体" w:hAnsi="宋体" w:cs="宋体"/>
          <w:color w:val="auto"/>
          <w:sz w:val="24"/>
          <w:szCs w:val="24"/>
          <w:highlight w:val="none"/>
        </w:rPr>
        <w:t>分包合同价款</w:t>
      </w:r>
    </w:p>
    <w:p w14:paraId="7058172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关于分包合同价款支付的约定：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bookmarkEnd w:id="176"/>
    <w:bookmarkEnd w:id="177"/>
    <w:p w14:paraId="5581A4D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3.6</w:t>
      </w:r>
      <w:r>
        <w:rPr>
          <w:rFonts w:hint="eastAsia" w:ascii="宋体" w:hAnsi="宋体" w:cs="宋体"/>
          <w:color w:val="auto"/>
          <w:sz w:val="24"/>
          <w:szCs w:val="24"/>
          <w:highlight w:val="none"/>
        </w:rPr>
        <w:t>工程照管与成品、半成品保护</w:t>
      </w:r>
    </w:p>
    <w:p w14:paraId="7992299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承包人负责照管工程及工程相关的材料、工程设备的起始时间：</w:t>
      </w:r>
      <w:r>
        <w:rPr>
          <w:rFonts w:hint="eastAsia" w:ascii="宋体" w:hAnsi="宋体" w:cs="宋体"/>
          <w:color w:val="auto"/>
          <w:sz w:val="24"/>
          <w:szCs w:val="24"/>
          <w:highlight w:val="none"/>
          <w:u w:val="single"/>
        </w:rPr>
        <w:t>承包人施工人员进场开始至验收合格并移交给使用单位期间由承包人负责，费用由承包人承担。</w:t>
      </w:r>
    </w:p>
    <w:p w14:paraId="57FCBB9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3.7</w:t>
      </w:r>
      <w:r>
        <w:rPr>
          <w:rFonts w:hint="eastAsia" w:ascii="宋体" w:hAnsi="宋体" w:cs="宋体"/>
          <w:color w:val="auto"/>
          <w:sz w:val="24"/>
          <w:szCs w:val="24"/>
          <w:highlight w:val="none"/>
        </w:rPr>
        <w:t>履约担保</w:t>
      </w:r>
    </w:p>
    <w:p w14:paraId="3EF09A5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承包人是否提供履约担保：</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637D996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承包人提供履约担保的形式、金额及期限的：</w:t>
      </w:r>
    </w:p>
    <w:p w14:paraId="1275EA8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履约保证金的金额：。</w:t>
      </w:r>
    </w:p>
    <w:p w14:paraId="75A9EA5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履约保证金的形式：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p>
    <w:p w14:paraId="02DB15C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履约担保提供期限：。</w:t>
      </w:r>
    </w:p>
    <w:p w14:paraId="4C9F699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履约保函格式应当无条件采用《建设工程施工合同（示范文本）（G</w:t>
      </w:r>
      <w:r>
        <w:rPr>
          <w:rFonts w:ascii="宋体" w:hAnsi="宋体" w:cs="宋体"/>
          <w:color w:val="auto"/>
          <w:sz w:val="24"/>
          <w:szCs w:val="24"/>
          <w:highlight w:val="none"/>
          <w:u w:val="single"/>
        </w:rPr>
        <w:t>F</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2018</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0201</w:t>
      </w:r>
      <w:r>
        <w:rPr>
          <w:rFonts w:hint="eastAsia" w:ascii="宋体" w:hAnsi="宋体" w:cs="宋体"/>
          <w:color w:val="auto"/>
          <w:sz w:val="24"/>
          <w:szCs w:val="24"/>
          <w:highlight w:val="none"/>
          <w:u w:val="single"/>
        </w:rPr>
        <w:t>）》附件八履约担保格式，承包人开具履约保函的银行必须是在中国大陆注册的全国性商业银行且为地市级及以上，出具的银行保函应为不可撤销见索即付无条件保函。银行履约保函有效期必须在全部建筑工程竣工验收合格之后。</w:t>
      </w:r>
    </w:p>
    <w:p w14:paraId="45A285E0">
      <w:pPr>
        <w:autoSpaceDN w:val="0"/>
        <w:spacing w:line="360" w:lineRule="auto"/>
        <w:ind w:firstLine="480" w:firstLineChars="200"/>
        <w:rPr>
          <w:rFonts w:ascii="宋体" w:hAnsi="宋体" w:cs="宋体"/>
          <w:bCs/>
          <w:color w:val="auto"/>
          <w:sz w:val="24"/>
          <w:szCs w:val="24"/>
          <w:highlight w:val="none"/>
        </w:rPr>
      </w:pPr>
      <w:bookmarkStart w:id="178" w:name="_Toc351203636"/>
      <w:r>
        <w:rPr>
          <w:rFonts w:ascii="宋体" w:hAnsi="宋体" w:cs="宋体"/>
          <w:bCs/>
          <w:color w:val="auto"/>
          <w:sz w:val="24"/>
          <w:szCs w:val="24"/>
          <w:highlight w:val="none"/>
        </w:rPr>
        <w:t>4</w:t>
      </w:r>
      <w:bookmarkStart w:id="179" w:name="_Toc296890990"/>
      <w:bookmarkStart w:id="180" w:name="_Toc267251413"/>
      <w:bookmarkStart w:id="181" w:name="_Toc296346663"/>
      <w:bookmarkStart w:id="182" w:name="_Toc296503162"/>
      <w:bookmarkStart w:id="183" w:name="_Toc297120462"/>
      <w:bookmarkStart w:id="184" w:name="_Toc292559871"/>
      <w:bookmarkStart w:id="185" w:name="_Toc297048348"/>
      <w:bookmarkStart w:id="186" w:name="_Toc296347161"/>
      <w:bookmarkStart w:id="187" w:name="_Toc292559366"/>
      <w:bookmarkStart w:id="188" w:name="_Toc296891202"/>
      <w:bookmarkStart w:id="189" w:name="_Toc296944501"/>
      <w:r>
        <w:rPr>
          <w:rFonts w:ascii="宋体" w:hAnsi="宋体" w:cs="宋体"/>
          <w:bCs/>
          <w:color w:val="auto"/>
          <w:sz w:val="24"/>
          <w:szCs w:val="24"/>
          <w:highlight w:val="none"/>
        </w:rPr>
        <w:t>.</w:t>
      </w:r>
      <w:r>
        <w:rPr>
          <w:rFonts w:hint="eastAsia" w:ascii="宋体" w:hAnsi="宋体" w:cs="宋体"/>
          <w:bCs/>
          <w:color w:val="auto"/>
          <w:sz w:val="24"/>
          <w:szCs w:val="24"/>
          <w:highlight w:val="none"/>
        </w:rPr>
        <w:t>监</w:t>
      </w:r>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bCs/>
          <w:color w:val="auto"/>
          <w:sz w:val="24"/>
          <w:szCs w:val="24"/>
          <w:highlight w:val="none"/>
        </w:rPr>
        <w:t>理人</w:t>
      </w:r>
      <w:bookmarkEnd w:id="178"/>
    </w:p>
    <w:p w14:paraId="2685543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4.1</w:t>
      </w:r>
      <w:r>
        <w:rPr>
          <w:rFonts w:hint="eastAsia" w:ascii="宋体" w:hAnsi="宋体" w:cs="宋体"/>
          <w:color w:val="auto"/>
          <w:sz w:val="24"/>
          <w:szCs w:val="24"/>
          <w:highlight w:val="none"/>
        </w:rPr>
        <w:t>监理人的一般规定</w:t>
      </w:r>
    </w:p>
    <w:p w14:paraId="16147C1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关于监理人的监理内容：</w:t>
      </w:r>
      <w:r>
        <w:rPr>
          <w:rFonts w:hint="eastAsia" w:ascii="宋体" w:hAnsi="宋体" w:cs="宋体"/>
          <w:color w:val="auto"/>
          <w:sz w:val="24"/>
          <w:szCs w:val="24"/>
          <w:highlight w:val="none"/>
          <w:u w:val="single"/>
        </w:rPr>
        <w:t>以发包人与监理人签署的《监理合同》为准。</w:t>
      </w:r>
    </w:p>
    <w:p w14:paraId="63A13C0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关于监理人的监理权限：</w:t>
      </w:r>
      <w:r>
        <w:rPr>
          <w:rFonts w:ascii="宋体" w:hAnsi="宋体" w:cs="宋体"/>
          <w:color w:val="auto"/>
          <w:sz w:val="24"/>
          <w:szCs w:val="24"/>
          <w:highlight w:val="none"/>
          <w:u w:val="single"/>
        </w:rPr>
        <w:t>按照《建设工程监理规范》和《建设工程委托监理合同》的有关规定对工程施工行使监理职权。主要包括工程质量、安全文明施工、工程进度及工程投资等方面控制。</w:t>
      </w:r>
    </w:p>
    <w:p w14:paraId="52D39AE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工程开工、停工及工期变更、设计变更、工程量签证、工程量审核等需要取得发包人批准，经发包人书面确认并盖章后生效。</w:t>
      </w:r>
    </w:p>
    <w:p w14:paraId="69C12BB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关于监理人在施工现场的办公场所、生活场所的提供和费用承担的约定：</w:t>
      </w:r>
      <w:r>
        <w:rPr>
          <w:rFonts w:hint="eastAsia" w:ascii="宋体" w:hAnsi="宋体" w:cs="宋体"/>
          <w:color w:val="auto"/>
          <w:sz w:val="24"/>
          <w:szCs w:val="24"/>
          <w:highlight w:val="none"/>
          <w:u w:val="single"/>
        </w:rPr>
        <w:t>承包人负责免费提供办公场所</w:t>
      </w:r>
      <w:r>
        <w:rPr>
          <w:rFonts w:hint="eastAsia" w:ascii="宋体" w:hAnsi="宋体" w:cs="宋体"/>
          <w:color w:val="auto"/>
          <w:sz w:val="24"/>
          <w:szCs w:val="24"/>
          <w:highlight w:val="none"/>
        </w:rPr>
        <w:t>。</w:t>
      </w:r>
    </w:p>
    <w:p w14:paraId="6BDEF4D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4.2</w:t>
      </w:r>
      <w:r>
        <w:rPr>
          <w:rFonts w:hint="eastAsia" w:ascii="宋体" w:hAnsi="宋体" w:cs="宋体"/>
          <w:color w:val="auto"/>
          <w:sz w:val="24"/>
          <w:szCs w:val="24"/>
          <w:highlight w:val="none"/>
        </w:rPr>
        <w:t>监理人员</w:t>
      </w:r>
    </w:p>
    <w:p w14:paraId="5F4D88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p w14:paraId="542D74C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姓名：；</w:t>
      </w:r>
    </w:p>
    <w:p w14:paraId="7290AD2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职务：；</w:t>
      </w:r>
    </w:p>
    <w:p w14:paraId="309B379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监理工程师执业资格证书号：；</w:t>
      </w:r>
    </w:p>
    <w:p w14:paraId="5C5B261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34C193A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p>
    <w:p w14:paraId="056D775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p>
    <w:p w14:paraId="58C7000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关于监理人的其他约定：。</w:t>
      </w:r>
    </w:p>
    <w:p w14:paraId="6F38B72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4.4</w:t>
      </w:r>
      <w:r>
        <w:rPr>
          <w:rFonts w:hint="eastAsia" w:ascii="宋体" w:hAnsi="宋体" w:cs="宋体"/>
          <w:color w:val="auto"/>
          <w:sz w:val="24"/>
          <w:szCs w:val="24"/>
          <w:highlight w:val="none"/>
        </w:rPr>
        <w:t>商定或确定</w:t>
      </w:r>
    </w:p>
    <w:p w14:paraId="27CD8920">
      <w:pPr>
        <w:autoSpaceDN w:val="0"/>
        <w:spacing w:line="360" w:lineRule="auto"/>
        <w:ind w:firstLine="480" w:firstLineChars="200"/>
        <w:rPr>
          <w:rFonts w:ascii="宋体" w:hAnsi="宋体" w:cs="宋体"/>
          <w:color w:val="auto"/>
          <w:sz w:val="24"/>
          <w:szCs w:val="24"/>
          <w:highlight w:val="none"/>
        </w:rPr>
      </w:pPr>
      <w:bookmarkStart w:id="190" w:name="_Toc267251418"/>
      <w:r>
        <w:rPr>
          <w:rFonts w:hint="eastAsia" w:ascii="宋体" w:hAnsi="宋体" w:cs="宋体"/>
          <w:color w:val="auto"/>
          <w:sz w:val="24"/>
          <w:szCs w:val="24"/>
          <w:highlight w:val="none"/>
        </w:rPr>
        <w:t>在发包人和承包人不能通过协商达成一致意见时，发包人授权监理人对以下事项进行确定：</w:t>
      </w:r>
    </w:p>
    <w:p w14:paraId="3B08411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A6C6C5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A16A48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183CC4E">
      <w:pPr>
        <w:autoSpaceDN w:val="0"/>
        <w:spacing w:line="360" w:lineRule="auto"/>
        <w:ind w:firstLine="480" w:firstLineChars="200"/>
        <w:rPr>
          <w:rFonts w:ascii="宋体" w:hAnsi="宋体" w:cs="宋体"/>
          <w:bCs/>
          <w:color w:val="auto"/>
          <w:sz w:val="24"/>
          <w:szCs w:val="24"/>
          <w:highlight w:val="none"/>
        </w:rPr>
      </w:pPr>
      <w:bookmarkStart w:id="191" w:name="_Toc351203637"/>
      <w:r>
        <w:rPr>
          <w:rFonts w:ascii="宋体" w:hAnsi="宋体" w:cs="宋体"/>
          <w:bCs/>
          <w:color w:val="auto"/>
          <w:sz w:val="24"/>
          <w:szCs w:val="24"/>
          <w:highlight w:val="none"/>
        </w:rPr>
        <w:t>5</w:t>
      </w:r>
      <w:bookmarkEnd w:id="190"/>
      <w:bookmarkStart w:id="192" w:name="_Toc297120463"/>
      <w:bookmarkStart w:id="193" w:name="_Toc296347162"/>
      <w:bookmarkStart w:id="194" w:name="_Toc292559367"/>
      <w:bookmarkStart w:id="195" w:name="_Toc296891203"/>
      <w:bookmarkStart w:id="196" w:name="_Toc297048349"/>
      <w:bookmarkStart w:id="197" w:name="_Toc296890991"/>
      <w:bookmarkStart w:id="198" w:name="_Toc296346664"/>
      <w:bookmarkStart w:id="199" w:name="_Toc292559872"/>
      <w:bookmarkStart w:id="200" w:name="_Toc296944502"/>
      <w:bookmarkStart w:id="201" w:name="_Toc296503163"/>
      <w:r>
        <w:rPr>
          <w:rFonts w:ascii="宋体" w:hAnsi="宋体" w:cs="宋体"/>
          <w:bCs/>
          <w:color w:val="auto"/>
          <w:sz w:val="24"/>
          <w:szCs w:val="24"/>
          <w:highlight w:val="none"/>
        </w:rPr>
        <w:t>.</w:t>
      </w:r>
      <w:r>
        <w:rPr>
          <w:rFonts w:hint="eastAsia" w:ascii="宋体" w:hAnsi="宋体" w:cs="宋体"/>
          <w:bCs/>
          <w:color w:val="auto"/>
          <w:sz w:val="24"/>
          <w:szCs w:val="24"/>
          <w:highlight w:val="none"/>
        </w:rPr>
        <w:t>工程质量</w:t>
      </w:r>
      <w:bookmarkEnd w:id="191"/>
    </w:p>
    <w:p w14:paraId="26B8835F">
      <w:pPr>
        <w:autoSpaceDN w:val="0"/>
        <w:spacing w:line="360" w:lineRule="auto"/>
        <w:ind w:firstLine="480" w:firstLineChars="200"/>
        <w:rPr>
          <w:rFonts w:ascii="宋体" w:hAnsi="宋体" w:cs="宋体"/>
          <w:color w:val="auto"/>
          <w:sz w:val="24"/>
          <w:szCs w:val="24"/>
          <w:highlight w:val="none"/>
        </w:rPr>
      </w:pPr>
      <w:bookmarkStart w:id="202" w:name="_Toc54777953"/>
      <w:r>
        <w:rPr>
          <w:rFonts w:ascii="宋体" w:hAnsi="宋体" w:cs="宋体"/>
          <w:color w:val="auto"/>
          <w:sz w:val="24"/>
          <w:szCs w:val="24"/>
          <w:highlight w:val="none"/>
        </w:rPr>
        <w:t>5.1</w:t>
      </w:r>
      <w:r>
        <w:rPr>
          <w:rFonts w:hint="eastAsia" w:ascii="宋体" w:hAnsi="宋体" w:cs="宋体"/>
          <w:color w:val="auto"/>
          <w:sz w:val="24"/>
          <w:szCs w:val="24"/>
          <w:highlight w:val="none"/>
        </w:rPr>
        <w:t>质量要求</w:t>
      </w:r>
      <w:bookmarkEnd w:id="202"/>
    </w:p>
    <w:p w14:paraId="33EEFEAD">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bookmarkStart w:id="203" w:name="_Toc318581164"/>
      <w:bookmarkStart w:id="204" w:name="_Toc300934949"/>
      <w:bookmarkStart w:id="205" w:name="_Toc312677997"/>
      <w:bookmarkStart w:id="206" w:name="_Toc303539106"/>
      <w:bookmarkStart w:id="207" w:name="_Toc297123496"/>
      <w:bookmarkStart w:id="208" w:name="_Toc297216155"/>
      <w:bookmarkStart w:id="209" w:name="_Toc304295527"/>
      <w:r>
        <w:rPr>
          <w:rFonts w:ascii="宋体" w:hAnsi="宋体" w:cs="宋体"/>
          <w:color w:val="auto"/>
          <w:sz w:val="24"/>
          <w:szCs w:val="24"/>
          <w:highlight w:val="none"/>
        </w:rPr>
        <w:t>.1.1</w:t>
      </w:r>
      <w:r>
        <w:rPr>
          <w:rFonts w:hint="eastAsia" w:ascii="宋体" w:hAnsi="宋体" w:cs="宋体"/>
          <w:color w:val="auto"/>
          <w:sz w:val="24"/>
          <w:szCs w:val="24"/>
          <w:highlight w:val="none"/>
        </w:rPr>
        <w:t>特殊质量标准和要求：</w:t>
      </w:r>
      <w:r>
        <w:rPr>
          <w:rFonts w:hint="eastAsia" w:ascii="宋体" w:hAnsi="宋体" w:cs="宋体"/>
          <w:color w:val="auto"/>
          <w:sz w:val="24"/>
          <w:szCs w:val="24"/>
          <w:highlight w:val="none"/>
          <w:u w:val="single"/>
        </w:rPr>
        <w:t>工程质量除必须符合现行国家有关工程施工质量验收规范和标准的要求外，还应满足工程施工设计图专项设计中相关特别要求的规定。</w:t>
      </w:r>
    </w:p>
    <w:p w14:paraId="0CBB502D">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关于工程奖项的约定：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A4ACD99">
      <w:pPr>
        <w:autoSpaceDN w:val="0"/>
        <w:spacing w:line="360" w:lineRule="auto"/>
        <w:ind w:firstLine="480" w:firstLineChars="200"/>
        <w:rPr>
          <w:rFonts w:ascii="宋体" w:hAnsi="宋体" w:cs="宋体"/>
          <w:color w:val="auto"/>
          <w:sz w:val="24"/>
          <w:szCs w:val="24"/>
          <w:highlight w:val="none"/>
        </w:rPr>
      </w:pPr>
      <w:bookmarkStart w:id="210" w:name="_Toc54777954"/>
      <w:r>
        <w:rPr>
          <w:rFonts w:ascii="宋体" w:hAnsi="宋体" w:cs="宋体"/>
          <w:color w:val="auto"/>
          <w:sz w:val="24"/>
          <w:szCs w:val="24"/>
          <w:highlight w:val="none"/>
        </w:rPr>
        <w:t>5.3</w:t>
      </w:r>
      <w:r>
        <w:rPr>
          <w:rFonts w:hint="eastAsia" w:ascii="宋体" w:hAnsi="宋体" w:cs="宋体"/>
          <w:color w:val="auto"/>
          <w:sz w:val="24"/>
          <w:szCs w:val="24"/>
          <w:highlight w:val="none"/>
        </w:rPr>
        <w:t>隐蔽工程检查</w:t>
      </w:r>
      <w:bookmarkEnd w:id="210"/>
    </w:p>
    <w:p w14:paraId="3DE7E39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承包人提前通知监理人隐蔽工程检查的期限的约定：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D181DB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监理人不能按时进行检查时，应提前</w:t>
      </w:r>
      <w:r>
        <w:rPr>
          <w:rFonts w:hint="eastAsia" w:ascii="宋体" w:hAnsi="宋体" w:cs="宋体"/>
          <w:color w:val="auto"/>
          <w:sz w:val="24"/>
          <w:szCs w:val="24"/>
          <w:highlight w:val="none"/>
          <w:u w:val="single"/>
        </w:rPr>
        <w:t>24</w:t>
      </w:r>
      <w:r>
        <w:rPr>
          <w:rFonts w:hint="eastAsia" w:ascii="宋体" w:hAnsi="宋体" w:cs="宋体"/>
          <w:color w:val="auto"/>
          <w:sz w:val="24"/>
          <w:szCs w:val="24"/>
          <w:highlight w:val="none"/>
        </w:rPr>
        <w:t>小时提交书面延期要求。</w:t>
      </w:r>
    </w:p>
    <w:p w14:paraId="51313E0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关于延期最长不得超过：</w:t>
      </w:r>
      <w:r>
        <w:rPr>
          <w:rFonts w:hint="eastAsia" w:ascii="宋体" w:hAnsi="宋体" w:cs="宋体"/>
          <w:color w:val="auto"/>
          <w:sz w:val="24"/>
          <w:szCs w:val="24"/>
          <w:highlight w:val="none"/>
          <w:u w:val="single"/>
        </w:rPr>
        <w:t>48</w:t>
      </w:r>
      <w:r>
        <w:rPr>
          <w:rFonts w:hint="eastAsia" w:ascii="宋体" w:hAnsi="宋体" w:cs="宋体"/>
          <w:color w:val="auto"/>
          <w:sz w:val="24"/>
          <w:szCs w:val="24"/>
          <w:highlight w:val="none"/>
        </w:rPr>
        <w:t>小时。</w:t>
      </w:r>
    </w:p>
    <w:p w14:paraId="70A33059">
      <w:pPr>
        <w:autoSpaceDN w:val="0"/>
        <w:spacing w:line="360" w:lineRule="auto"/>
        <w:ind w:firstLine="480" w:firstLineChars="200"/>
        <w:rPr>
          <w:rFonts w:ascii="宋体" w:hAnsi="宋体" w:cs="宋体"/>
          <w:bCs/>
          <w:color w:val="auto"/>
          <w:sz w:val="24"/>
          <w:szCs w:val="24"/>
          <w:highlight w:val="none"/>
        </w:rPr>
      </w:pPr>
      <w:bookmarkStart w:id="211" w:name="_Toc351203638"/>
      <w:r>
        <w:rPr>
          <w:rFonts w:ascii="宋体" w:hAnsi="宋体" w:cs="宋体"/>
          <w:bCs/>
          <w:color w:val="auto"/>
          <w:sz w:val="24"/>
          <w:szCs w:val="24"/>
          <w:highlight w:val="none"/>
        </w:rPr>
        <w:t>6.</w:t>
      </w:r>
      <w:r>
        <w:rPr>
          <w:rFonts w:hint="eastAsia" w:ascii="宋体" w:hAnsi="宋体" w:cs="宋体"/>
          <w:bCs/>
          <w:color w:val="auto"/>
          <w:sz w:val="24"/>
          <w:szCs w:val="24"/>
          <w:highlight w:val="none"/>
        </w:rPr>
        <w:t>安全文明施工与环境保护</w:t>
      </w:r>
      <w:bookmarkEnd w:id="211"/>
    </w:p>
    <w:p w14:paraId="163E4B8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安全文明施工</w:t>
      </w:r>
    </w:p>
    <w:p w14:paraId="249AF3B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6.1.1</w:t>
      </w:r>
      <w:r>
        <w:rPr>
          <w:rFonts w:hint="eastAsia" w:ascii="宋体" w:hAnsi="宋体" w:cs="宋体"/>
          <w:color w:val="auto"/>
          <w:sz w:val="24"/>
          <w:szCs w:val="24"/>
          <w:highlight w:val="none"/>
        </w:rPr>
        <w:t>项目安全生产的达标目标及相应事项的约定：</w:t>
      </w:r>
      <w:r>
        <w:rPr>
          <w:rFonts w:hint="eastAsia" w:ascii="宋体" w:hAnsi="宋体" w:cs="宋体"/>
          <w:color w:val="auto"/>
          <w:sz w:val="24"/>
          <w:szCs w:val="24"/>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本工程在整个施工期间杜绝一切人身伤亡和重大安全事故，如发生上述事故，则视为承包人违约；在施工期间每发生一起人身损害（不包括死亡）事故，承包人除了接受政府相关部门处罚外，承包人须向发包人支付违约金1-5万元；每发生一起人身死亡事故承包人除接受相关部门处罚外，承包人须向发包支付违约金5万元。</w:t>
      </w:r>
    </w:p>
    <w:p w14:paraId="47F0551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6.1.4</w:t>
      </w:r>
      <w:r>
        <w:rPr>
          <w:rFonts w:hint="eastAsia" w:ascii="宋体" w:hAnsi="宋体" w:cs="宋体"/>
          <w:color w:val="auto"/>
          <w:sz w:val="24"/>
          <w:szCs w:val="24"/>
          <w:highlight w:val="none"/>
        </w:rPr>
        <w:t>关于治安保卫的特别约定：</w:t>
      </w:r>
      <w:r>
        <w:rPr>
          <w:rFonts w:hint="eastAsia" w:ascii="宋体" w:hAnsi="宋体" w:cs="宋体"/>
          <w:color w:val="auto"/>
          <w:sz w:val="24"/>
          <w:szCs w:val="24"/>
          <w:highlight w:val="none"/>
          <w:u w:val="single"/>
        </w:rPr>
        <w:t>由承包人负责治安保卫工作，承担全部费用</w:t>
      </w:r>
      <w:r>
        <w:rPr>
          <w:rFonts w:hint="eastAsia" w:ascii="宋体" w:hAnsi="宋体" w:cs="宋体"/>
          <w:color w:val="auto"/>
          <w:sz w:val="24"/>
          <w:szCs w:val="24"/>
          <w:highlight w:val="none"/>
        </w:rPr>
        <w:t>。</w:t>
      </w:r>
    </w:p>
    <w:p w14:paraId="0E58B40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关于编制施工场地治安管理计划的约定：</w:t>
      </w:r>
      <w:r>
        <w:rPr>
          <w:rFonts w:hint="eastAsia" w:ascii="宋体" w:hAnsi="宋体" w:cs="宋体"/>
          <w:color w:val="auto"/>
          <w:sz w:val="24"/>
          <w:szCs w:val="24"/>
          <w:highlight w:val="none"/>
          <w:u w:val="single"/>
        </w:rPr>
        <w:t>由承包人开工前编制，并报监理人、发包人监督执行</w:t>
      </w:r>
      <w:r>
        <w:rPr>
          <w:rFonts w:hint="eastAsia" w:ascii="宋体" w:hAnsi="宋体" w:cs="宋体"/>
          <w:color w:val="auto"/>
          <w:sz w:val="24"/>
          <w:szCs w:val="24"/>
          <w:highlight w:val="none"/>
        </w:rPr>
        <w:t>。</w:t>
      </w:r>
    </w:p>
    <w:p w14:paraId="02A39C7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6.1.5</w:t>
      </w:r>
      <w:r>
        <w:rPr>
          <w:rFonts w:hint="eastAsia" w:ascii="宋体" w:hAnsi="宋体" w:cs="宋体"/>
          <w:color w:val="auto"/>
          <w:sz w:val="24"/>
          <w:szCs w:val="24"/>
          <w:highlight w:val="none"/>
        </w:rPr>
        <w:t>文明施工</w:t>
      </w:r>
    </w:p>
    <w:p w14:paraId="6DE89F6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合同当事人对文明施工的要求：</w:t>
      </w:r>
      <w:r>
        <w:rPr>
          <w:rFonts w:hint="eastAsia" w:ascii="宋体" w:hAnsi="宋体" w:cs="宋体"/>
          <w:color w:val="auto"/>
          <w:sz w:val="24"/>
          <w:szCs w:val="24"/>
          <w:highlight w:val="none"/>
          <w:u w:val="single"/>
        </w:rPr>
        <w:t>达到三门峡市安全文明施工工地的标准要求（并且符合三环委【2016】1号及三公办【2016】58号文要求）</w:t>
      </w:r>
      <w:r>
        <w:rPr>
          <w:rFonts w:hint="eastAsia" w:ascii="宋体" w:hAnsi="宋体" w:cs="宋体"/>
          <w:color w:val="auto"/>
          <w:sz w:val="24"/>
          <w:szCs w:val="24"/>
          <w:highlight w:val="none"/>
        </w:rPr>
        <w:t>。</w:t>
      </w:r>
    </w:p>
    <w:p w14:paraId="2C21C7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6.1.6</w:t>
      </w:r>
      <w:r>
        <w:rPr>
          <w:rFonts w:hint="eastAsia" w:ascii="宋体" w:hAnsi="宋体" w:cs="宋体"/>
          <w:color w:val="auto"/>
          <w:sz w:val="24"/>
          <w:szCs w:val="24"/>
          <w:highlight w:val="none"/>
        </w:rPr>
        <w:t>关于安全文明施工费支付比例和支付期限的约定：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14B0B78">
      <w:pPr>
        <w:autoSpaceDN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ascii="宋体" w:hAnsi="宋体" w:cs="宋体"/>
          <w:b/>
          <w:color w:val="auto"/>
          <w:sz w:val="24"/>
          <w:szCs w:val="24"/>
          <w:highlight w:val="none"/>
        </w:rPr>
        <w:t>3</w:t>
      </w:r>
      <w:r>
        <w:rPr>
          <w:rFonts w:hint="eastAsia" w:ascii="宋体" w:hAnsi="宋体" w:cs="宋体"/>
          <w:b/>
          <w:color w:val="auto"/>
          <w:sz w:val="24"/>
          <w:szCs w:val="24"/>
          <w:highlight w:val="none"/>
        </w:rPr>
        <w:t>环境保护</w:t>
      </w:r>
    </w:p>
    <w:p w14:paraId="5553FA0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承包人应严格遵守环境保护及“6个百分之百”的相关规定，落实各项环境保护措施，费用已包含在合同价款中，由承包人自行承担。</w:t>
      </w:r>
    </w:p>
    <w:bookmarkEnd w:id="203"/>
    <w:bookmarkEnd w:id="204"/>
    <w:bookmarkEnd w:id="205"/>
    <w:bookmarkEnd w:id="206"/>
    <w:bookmarkEnd w:id="207"/>
    <w:bookmarkEnd w:id="208"/>
    <w:bookmarkEnd w:id="209"/>
    <w:p w14:paraId="64E35DF4">
      <w:pPr>
        <w:autoSpaceDN w:val="0"/>
        <w:spacing w:line="360" w:lineRule="auto"/>
        <w:ind w:firstLine="480" w:firstLineChars="200"/>
        <w:rPr>
          <w:rFonts w:ascii="宋体" w:hAnsi="宋体" w:cs="宋体"/>
          <w:bCs/>
          <w:color w:val="auto"/>
          <w:sz w:val="24"/>
          <w:szCs w:val="24"/>
          <w:highlight w:val="none"/>
        </w:rPr>
      </w:pPr>
      <w:bookmarkStart w:id="212" w:name="_Toc351203639"/>
      <w:r>
        <w:rPr>
          <w:rFonts w:ascii="宋体" w:hAnsi="宋体" w:cs="宋体"/>
          <w:bCs/>
          <w:color w:val="auto"/>
          <w:sz w:val="24"/>
          <w:szCs w:val="24"/>
          <w:highlight w:val="none"/>
        </w:rPr>
        <w:t>7.</w:t>
      </w:r>
      <w:r>
        <w:rPr>
          <w:rFonts w:hint="eastAsia" w:ascii="宋体" w:hAnsi="宋体" w:cs="宋体"/>
          <w:bCs/>
          <w:color w:val="auto"/>
          <w:sz w:val="24"/>
          <w:szCs w:val="24"/>
          <w:highlight w:val="none"/>
        </w:rPr>
        <w:t>工期和进度</w:t>
      </w:r>
      <w:bookmarkEnd w:id="212"/>
    </w:p>
    <w:p w14:paraId="5040690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7.1</w:t>
      </w:r>
      <w:r>
        <w:rPr>
          <w:rFonts w:hint="eastAsia" w:ascii="宋体" w:hAnsi="宋体" w:cs="宋体"/>
          <w:color w:val="auto"/>
          <w:sz w:val="24"/>
          <w:szCs w:val="24"/>
          <w:highlight w:val="none"/>
        </w:rPr>
        <w:t>施工组织设计</w:t>
      </w:r>
    </w:p>
    <w:p w14:paraId="525FBF5C">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7.1.1</w:t>
      </w:r>
      <w:r>
        <w:rPr>
          <w:rFonts w:hint="eastAsia" w:ascii="宋体" w:hAnsi="宋体" w:cs="宋体"/>
          <w:color w:val="auto"/>
          <w:sz w:val="24"/>
          <w:szCs w:val="24"/>
          <w:highlight w:val="none"/>
        </w:rPr>
        <w:t>合同当事人约定的施工组织设计应包括的其他内容：</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92FDF3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7.1.2</w:t>
      </w:r>
      <w:r>
        <w:rPr>
          <w:rFonts w:hint="eastAsia" w:ascii="宋体" w:hAnsi="宋体" w:cs="宋体"/>
          <w:color w:val="auto"/>
          <w:sz w:val="24"/>
          <w:szCs w:val="24"/>
          <w:highlight w:val="none"/>
        </w:rPr>
        <w:t>施工组织设计的提交和修改</w:t>
      </w:r>
    </w:p>
    <w:p w14:paraId="736088A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承包人提交详细施工组织设计的期限的约定：</w:t>
      </w:r>
      <w:r>
        <w:rPr>
          <w:rFonts w:hint="eastAsia" w:ascii="宋体" w:hAnsi="宋体" w:cs="宋体"/>
          <w:color w:val="auto"/>
          <w:sz w:val="24"/>
          <w:szCs w:val="24"/>
          <w:highlight w:val="none"/>
          <w:u w:val="single"/>
        </w:rPr>
        <w:t>开工前7天</w:t>
      </w:r>
      <w:r>
        <w:rPr>
          <w:rFonts w:hint="eastAsia" w:ascii="宋体" w:hAnsi="宋体" w:cs="宋体"/>
          <w:color w:val="auto"/>
          <w:sz w:val="24"/>
          <w:szCs w:val="24"/>
          <w:highlight w:val="none"/>
        </w:rPr>
        <w:t>。</w:t>
      </w:r>
    </w:p>
    <w:p w14:paraId="154C9A2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发包人和监理人在收到详细的施工组织设计后确认或提出修改意见的期限：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18B573B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13" w:name="_Toc304295541"/>
      <w:bookmarkStart w:id="214" w:name="_Toc312678005"/>
      <w:bookmarkStart w:id="215" w:name="_Toc297216173"/>
      <w:bookmarkStart w:id="216" w:name="_Toc312677479"/>
      <w:bookmarkStart w:id="217" w:name="_Toc297123514"/>
      <w:bookmarkStart w:id="218" w:name="_Toc303539123"/>
      <w:bookmarkStart w:id="219" w:name="_Toc300934966"/>
      <w:r>
        <w:rPr>
          <w:rFonts w:ascii="宋体" w:hAnsi="宋体" w:cs="宋体"/>
          <w:color w:val="auto"/>
          <w:sz w:val="24"/>
          <w:szCs w:val="24"/>
          <w:highlight w:val="none"/>
        </w:rPr>
        <w:t>.2</w:t>
      </w:r>
      <w:r>
        <w:rPr>
          <w:rFonts w:hint="eastAsia" w:ascii="宋体" w:hAnsi="宋体" w:cs="宋体"/>
          <w:color w:val="auto"/>
          <w:sz w:val="24"/>
          <w:szCs w:val="24"/>
          <w:highlight w:val="none"/>
        </w:rPr>
        <w:t>施工进度计划</w:t>
      </w:r>
    </w:p>
    <w:p w14:paraId="5288F92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7.2.2</w:t>
      </w:r>
      <w:r>
        <w:rPr>
          <w:rFonts w:hint="eastAsia" w:ascii="宋体" w:hAnsi="宋体" w:cs="宋体"/>
          <w:color w:val="auto"/>
          <w:sz w:val="24"/>
          <w:szCs w:val="24"/>
          <w:highlight w:val="none"/>
        </w:rPr>
        <w:t>施工进度计划的修订</w:t>
      </w:r>
    </w:p>
    <w:p w14:paraId="2A7ADB7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发包人和监理人在收到修订的施工进度计划后确认或提出修改意见的期限：</w:t>
      </w:r>
      <w:r>
        <w:rPr>
          <w:rFonts w:hint="eastAsia" w:ascii="宋体" w:hAnsi="宋体" w:cs="宋体"/>
          <w:color w:val="auto"/>
          <w:sz w:val="24"/>
          <w:szCs w:val="24"/>
          <w:highlight w:val="none"/>
          <w:u w:val="single"/>
        </w:rPr>
        <w:t>收到后7天内</w:t>
      </w:r>
    </w:p>
    <w:p w14:paraId="63243DF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在履行合同过程中，发包人或监理人对承包人上报的施工进度计划的认可及在履行合同过程中形成的会议纪要、补充协议、双方往来函件等文件对完工日期、竣工日期的描述及约定，均不视为发包人放弃合同约定的权利，并有权从合同约定的计划竣工日期或者经过工期顺延后的竣工日期次日起追究承包人逾期竣工的违约责任。发包人出具加盖公章的书面文件明示放弃上述权利的除外。</w:t>
      </w:r>
    </w:p>
    <w:p w14:paraId="28CD767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w:t>
      </w:r>
      <w:r>
        <w:rPr>
          <w:rFonts w:hint="eastAsia" w:ascii="宋体" w:hAnsi="宋体" w:cs="宋体"/>
          <w:color w:val="auto"/>
          <w:sz w:val="24"/>
          <w:szCs w:val="24"/>
          <w:highlight w:val="none"/>
        </w:rPr>
        <w:t>开工</w:t>
      </w:r>
    </w:p>
    <w:p w14:paraId="3670BE6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7.3.1</w:t>
      </w:r>
      <w:r>
        <w:rPr>
          <w:rFonts w:hint="eastAsia" w:ascii="宋体" w:hAnsi="宋体" w:cs="宋体"/>
          <w:color w:val="auto"/>
          <w:sz w:val="24"/>
          <w:szCs w:val="24"/>
          <w:highlight w:val="none"/>
        </w:rPr>
        <w:t>开工准备</w:t>
      </w:r>
    </w:p>
    <w:p w14:paraId="5BD09F6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关于承包人提交工程开工报审表的期限：</w:t>
      </w:r>
      <w:r>
        <w:rPr>
          <w:rFonts w:hint="eastAsia" w:ascii="宋体" w:hAnsi="宋体" w:cs="宋体"/>
          <w:color w:val="auto"/>
          <w:sz w:val="24"/>
          <w:szCs w:val="24"/>
          <w:highlight w:val="none"/>
          <w:u w:val="single"/>
        </w:rPr>
        <w:t>开工前5天</w:t>
      </w:r>
      <w:r>
        <w:rPr>
          <w:rFonts w:hint="eastAsia" w:ascii="宋体" w:hAnsi="宋体" w:cs="宋体"/>
          <w:color w:val="auto"/>
          <w:sz w:val="24"/>
          <w:szCs w:val="24"/>
          <w:highlight w:val="none"/>
        </w:rPr>
        <w:t>。</w:t>
      </w:r>
    </w:p>
    <w:p w14:paraId="6BACAE3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关于发包人应完成的其他开工准备工作及期限：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70165F2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关于承包人应完成的其他开工准备工作及期限：</w:t>
      </w:r>
      <w:r>
        <w:rPr>
          <w:rFonts w:hint="eastAsia" w:ascii="宋体" w:hAnsi="宋体" w:cs="宋体"/>
          <w:color w:val="auto"/>
          <w:sz w:val="24"/>
          <w:szCs w:val="24"/>
          <w:highlight w:val="none"/>
          <w:u w:val="single"/>
        </w:rPr>
        <w:t>其他准备工作包括（1）编制施工组织设计；（2）进行施工图审查及深化；（3）签订材料采购合同；（4）签订工程设备和（或）租赁合同；（5）拟定劳动力、材料、工程设备的进场计划；（6）修建工程所需的临时设施、施工道路等。准备工作应在开工前2天完成。</w:t>
      </w:r>
    </w:p>
    <w:p w14:paraId="7F0B14C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7.3.2</w:t>
      </w:r>
      <w:r>
        <w:rPr>
          <w:rFonts w:hint="eastAsia" w:ascii="宋体" w:hAnsi="宋体" w:cs="宋体"/>
          <w:color w:val="auto"/>
          <w:sz w:val="24"/>
          <w:szCs w:val="24"/>
          <w:highlight w:val="none"/>
        </w:rPr>
        <w:t>开工通知</w:t>
      </w:r>
    </w:p>
    <w:p w14:paraId="489C0A8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因发包人原因造成监理人未能在计划开工日期之日起</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天内发出开工通知的，承包人有权提出价格调整要求，或者解除合同。</w:t>
      </w:r>
    </w:p>
    <w:bookmarkEnd w:id="213"/>
    <w:bookmarkEnd w:id="214"/>
    <w:bookmarkEnd w:id="215"/>
    <w:bookmarkEnd w:id="216"/>
    <w:bookmarkEnd w:id="217"/>
    <w:bookmarkEnd w:id="218"/>
    <w:bookmarkEnd w:id="219"/>
    <w:p w14:paraId="2E982E8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7.4</w:t>
      </w:r>
      <w:r>
        <w:rPr>
          <w:rFonts w:hint="eastAsia" w:ascii="宋体" w:hAnsi="宋体" w:cs="宋体"/>
          <w:color w:val="auto"/>
          <w:sz w:val="24"/>
          <w:szCs w:val="24"/>
          <w:highlight w:val="none"/>
        </w:rPr>
        <w:t>测量放线</w:t>
      </w:r>
    </w:p>
    <w:p w14:paraId="03537016">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7.4.1</w:t>
      </w:r>
      <w:r>
        <w:rPr>
          <w:rFonts w:hint="eastAsia" w:ascii="宋体" w:hAnsi="宋体" w:cs="宋体"/>
          <w:color w:val="auto"/>
          <w:sz w:val="24"/>
          <w:szCs w:val="24"/>
          <w:highlight w:val="none"/>
        </w:rPr>
        <w:t>发包人通过监理人向承包人提供测量基准点、基准线和水准点及其书面资料的期限：</w:t>
      </w:r>
      <w:r>
        <w:rPr>
          <w:rFonts w:hint="eastAsia" w:ascii="宋体" w:hAnsi="宋体" w:cs="宋体"/>
          <w:color w:val="auto"/>
          <w:sz w:val="24"/>
          <w:szCs w:val="24"/>
          <w:highlight w:val="none"/>
          <w:u w:val="single"/>
        </w:rPr>
        <w:t>开工前2天</w:t>
      </w:r>
      <w:r>
        <w:rPr>
          <w:rFonts w:hint="eastAsia" w:ascii="宋体" w:hAnsi="宋体" w:cs="宋体"/>
          <w:color w:val="auto"/>
          <w:sz w:val="24"/>
          <w:szCs w:val="24"/>
          <w:highlight w:val="none"/>
        </w:rPr>
        <w:t>。</w:t>
      </w:r>
    </w:p>
    <w:p w14:paraId="099F412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20" w:name="_Toc297216175"/>
      <w:bookmarkStart w:id="221" w:name="_Toc300934968"/>
      <w:bookmarkStart w:id="222" w:name="_Toc297123516"/>
      <w:bookmarkStart w:id="223" w:name="_Toc303539125"/>
      <w:bookmarkStart w:id="224" w:name="_Toc312677484"/>
      <w:bookmarkStart w:id="225" w:name="_Toc304295546"/>
      <w:bookmarkStart w:id="226" w:name="_Toc312678010"/>
      <w:r>
        <w:rPr>
          <w:rFonts w:ascii="宋体" w:hAnsi="宋体" w:cs="宋体"/>
          <w:color w:val="auto"/>
          <w:sz w:val="24"/>
          <w:szCs w:val="24"/>
          <w:highlight w:val="none"/>
        </w:rPr>
        <w:t>.5</w:t>
      </w:r>
      <w:r>
        <w:rPr>
          <w:rFonts w:hint="eastAsia" w:ascii="宋体" w:hAnsi="宋体" w:cs="宋体"/>
          <w:color w:val="auto"/>
          <w:sz w:val="24"/>
          <w:szCs w:val="24"/>
          <w:highlight w:val="none"/>
        </w:rPr>
        <w:t>工期延误</w:t>
      </w:r>
    </w:p>
    <w:bookmarkEnd w:id="220"/>
    <w:bookmarkEnd w:id="221"/>
    <w:bookmarkEnd w:id="222"/>
    <w:bookmarkEnd w:id="223"/>
    <w:bookmarkEnd w:id="224"/>
    <w:bookmarkEnd w:id="225"/>
    <w:bookmarkEnd w:id="226"/>
    <w:p w14:paraId="4440CF4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7.5.1</w:t>
      </w:r>
      <w:r>
        <w:rPr>
          <w:rFonts w:hint="eastAsia" w:ascii="宋体" w:hAnsi="宋体" w:cs="宋体"/>
          <w:color w:val="auto"/>
          <w:sz w:val="24"/>
          <w:szCs w:val="24"/>
          <w:highlight w:val="none"/>
        </w:rPr>
        <w:t>因发包人原因导致工期延误</w:t>
      </w:r>
    </w:p>
    <w:p w14:paraId="418E85E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）因发包人原因导致工期延误的其他情形：</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614B74C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27" w:name="_Toc312677486"/>
      <w:bookmarkStart w:id="228" w:name="_Toc318581169"/>
      <w:bookmarkStart w:id="229" w:name="_Toc312678012"/>
      <w:bookmarkStart w:id="230" w:name="_Toc300934970"/>
      <w:bookmarkStart w:id="231" w:name="_Toc303539127"/>
      <w:bookmarkStart w:id="232" w:name="_Toc304295548"/>
      <w:bookmarkStart w:id="233" w:name="_Toc297216177"/>
      <w:bookmarkStart w:id="234" w:name="_Toc297123518"/>
      <w:r>
        <w:rPr>
          <w:rFonts w:ascii="宋体" w:hAnsi="宋体" w:cs="宋体"/>
          <w:color w:val="auto"/>
          <w:sz w:val="24"/>
          <w:szCs w:val="24"/>
          <w:highlight w:val="none"/>
        </w:rPr>
        <w:t>.5.2</w:t>
      </w:r>
      <w:r>
        <w:rPr>
          <w:rFonts w:hint="eastAsia" w:ascii="宋体" w:hAnsi="宋体" w:cs="宋体"/>
          <w:color w:val="auto"/>
          <w:sz w:val="24"/>
          <w:szCs w:val="24"/>
          <w:highlight w:val="none"/>
        </w:rPr>
        <w:t>因承包人原因导致工期延误</w:t>
      </w:r>
    </w:p>
    <w:bookmarkEnd w:id="227"/>
    <w:bookmarkEnd w:id="228"/>
    <w:bookmarkEnd w:id="229"/>
    <w:p w14:paraId="4C0DE4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因</w:t>
      </w:r>
      <w:bookmarkStart w:id="235" w:name="_Toc312677487"/>
      <w:bookmarkStart w:id="236" w:name="_Toc312678013"/>
      <w:bookmarkStart w:id="237" w:name="_Toc318581170"/>
      <w:r>
        <w:rPr>
          <w:rFonts w:hint="eastAsia" w:ascii="宋体" w:hAnsi="宋体" w:cs="宋体"/>
          <w:color w:val="auto"/>
          <w:sz w:val="24"/>
          <w:szCs w:val="24"/>
          <w:highlight w:val="none"/>
        </w:rPr>
        <w:t>承包人原因造成工期延误，逾期竣工违约金的计算方法为：</w:t>
      </w:r>
    </w:p>
    <w:p w14:paraId="6D0C8BB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每延误一天承包人向发包人支付违约金人民币5000元</w:t>
      </w:r>
      <w:r>
        <w:rPr>
          <w:rFonts w:hint="eastAsia" w:ascii="宋体" w:hAnsi="宋体" w:cs="宋体"/>
          <w:color w:val="auto"/>
          <w:sz w:val="24"/>
          <w:szCs w:val="24"/>
          <w:highlight w:val="none"/>
        </w:rPr>
        <w:t>。</w:t>
      </w:r>
      <w:bookmarkEnd w:id="230"/>
      <w:bookmarkEnd w:id="231"/>
      <w:bookmarkEnd w:id="232"/>
      <w:bookmarkEnd w:id="233"/>
      <w:bookmarkEnd w:id="234"/>
      <w:bookmarkEnd w:id="235"/>
      <w:bookmarkEnd w:id="236"/>
    </w:p>
    <w:bookmarkEnd w:id="237"/>
    <w:p w14:paraId="65C99B0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因承包人原因造成工期延误，逾</w:t>
      </w:r>
      <w:bookmarkStart w:id="238" w:name="_Toc318581171"/>
      <w:bookmarkStart w:id="239" w:name="_Toc312678014"/>
      <w:r>
        <w:rPr>
          <w:rFonts w:hint="eastAsia" w:ascii="宋体" w:hAnsi="宋体" w:cs="宋体"/>
          <w:color w:val="auto"/>
          <w:sz w:val="24"/>
          <w:szCs w:val="24"/>
          <w:highlight w:val="none"/>
        </w:rPr>
        <w:t>期竣工违约金的上限：</w:t>
      </w:r>
      <w:r>
        <w:rPr>
          <w:rFonts w:hint="eastAsia" w:ascii="宋体" w:hAnsi="宋体" w:cs="宋体"/>
          <w:color w:val="auto"/>
          <w:sz w:val="24"/>
          <w:szCs w:val="24"/>
          <w:highlight w:val="none"/>
          <w:u w:val="single"/>
        </w:rPr>
        <w:t>工程合同价的10%</w:t>
      </w:r>
      <w:r>
        <w:rPr>
          <w:rFonts w:hint="eastAsia" w:ascii="宋体" w:hAnsi="宋体" w:cs="宋体"/>
          <w:color w:val="auto"/>
          <w:sz w:val="24"/>
          <w:szCs w:val="24"/>
          <w:highlight w:val="none"/>
        </w:rPr>
        <w:t>。</w:t>
      </w:r>
    </w:p>
    <w:bookmarkEnd w:id="238"/>
    <w:bookmarkEnd w:id="239"/>
    <w:p w14:paraId="144E6BC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40" w:name="_Toc303539128"/>
      <w:bookmarkStart w:id="241" w:name="_Toc297216178"/>
      <w:bookmarkStart w:id="242" w:name="_Toc297123519"/>
      <w:bookmarkStart w:id="243" w:name="_Toc312678015"/>
      <w:bookmarkStart w:id="244" w:name="_Toc300934971"/>
      <w:bookmarkStart w:id="245" w:name="_Toc304295549"/>
      <w:r>
        <w:rPr>
          <w:rFonts w:ascii="宋体" w:hAnsi="宋体" w:cs="宋体"/>
          <w:color w:val="auto"/>
          <w:sz w:val="24"/>
          <w:szCs w:val="24"/>
          <w:highlight w:val="none"/>
        </w:rPr>
        <w:t>.6</w:t>
      </w:r>
      <w:r>
        <w:rPr>
          <w:rFonts w:hint="eastAsia" w:ascii="宋体" w:hAnsi="宋体" w:cs="宋体"/>
          <w:color w:val="auto"/>
          <w:sz w:val="24"/>
          <w:szCs w:val="24"/>
          <w:highlight w:val="none"/>
        </w:rPr>
        <w:t>不</w:t>
      </w:r>
      <w:bookmarkEnd w:id="240"/>
      <w:bookmarkEnd w:id="241"/>
      <w:bookmarkEnd w:id="242"/>
      <w:bookmarkEnd w:id="243"/>
      <w:bookmarkEnd w:id="244"/>
      <w:bookmarkEnd w:id="245"/>
      <w:r>
        <w:rPr>
          <w:rFonts w:hint="eastAsia" w:ascii="宋体" w:hAnsi="宋体" w:cs="宋体"/>
          <w:color w:val="auto"/>
          <w:sz w:val="24"/>
          <w:szCs w:val="24"/>
          <w:highlight w:val="none"/>
        </w:rPr>
        <w:t>利物质条件</w:t>
      </w:r>
    </w:p>
    <w:p w14:paraId="6D352967">
      <w:pPr>
        <w:autoSpaceDN w:val="0"/>
        <w:spacing w:line="360" w:lineRule="auto"/>
        <w:ind w:firstLine="480" w:firstLineChars="200"/>
        <w:rPr>
          <w:rFonts w:ascii="宋体" w:hAnsi="宋体" w:cs="宋体"/>
          <w:color w:val="auto"/>
          <w:sz w:val="24"/>
          <w:szCs w:val="24"/>
          <w:highlight w:val="none"/>
          <w:u w:val="single"/>
        </w:rPr>
      </w:pPr>
      <w:bookmarkStart w:id="246" w:name="_Toc297123520"/>
      <w:bookmarkStart w:id="247" w:name="_Toc304295550"/>
      <w:bookmarkStart w:id="248" w:name="_Toc303539129"/>
      <w:bookmarkStart w:id="249" w:name="_Toc312678016"/>
      <w:bookmarkStart w:id="250" w:name="_Toc318581172"/>
      <w:bookmarkStart w:id="251" w:name="_Toc300934972"/>
      <w:bookmarkStart w:id="252" w:name="_Toc297216179"/>
      <w:r>
        <w:rPr>
          <w:rFonts w:hint="eastAsia" w:ascii="宋体" w:hAnsi="宋体" w:cs="宋体"/>
          <w:color w:val="auto"/>
          <w:sz w:val="24"/>
          <w:szCs w:val="24"/>
          <w:highlight w:val="none"/>
        </w:rPr>
        <w:t>不利物质条件的其他情形和有关约定：</w:t>
      </w:r>
      <w:r>
        <w:rPr>
          <w:rFonts w:hint="eastAsia" w:ascii="宋体" w:hAnsi="宋体" w:cs="宋体"/>
          <w:color w:val="auto"/>
          <w:sz w:val="24"/>
          <w:szCs w:val="24"/>
          <w:highlight w:val="none"/>
          <w:u w:val="single"/>
        </w:rPr>
        <w:t>施工过程中发现地质情况与施工图设计不符的，由设计人进行设计变更，按照设计变更结算办法进行结算。</w:t>
      </w:r>
    </w:p>
    <w:bookmarkEnd w:id="246"/>
    <w:bookmarkEnd w:id="247"/>
    <w:bookmarkEnd w:id="248"/>
    <w:bookmarkEnd w:id="249"/>
    <w:bookmarkEnd w:id="250"/>
    <w:bookmarkEnd w:id="251"/>
    <w:bookmarkEnd w:id="252"/>
    <w:p w14:paraId="38412BF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bookmarkStart w:id="253" w:name="_Toc312678017"/>
      <w:bookmarkStart w:id="254" w:name="_Toc300934973"/>
      <w:bookmarkStart w:id="255" w:name="_Toc303539130"/>
      <w:bookmarkStart w:id="256" w:name="_Toc297123521"/>
      <w:bookmarkStart w:id="257" w:name="_Toc304295551"/>
      <w:bookmarkStart w:id="258" w:name="_Toc297216180"/>
      <w:r>
        <w:rPr>
          <w:rFonts w:ascii="宋体" w:hAnsi="宋体" w:cs="宋体"/>
          <w:color w:val="auto"/>
          <w:sz w:val="24"/>
          <w:szCs w:val="24"/>
          <w:highlight w:val="none"/>
        </w:rPr>
        <w:t>.7</w:t>
      </w:r>
      <w:r>
        <w:rPr>
          <w:rFonts w:hint="eastAsia" w:ascii="宋体" w:hAnsi="宋体" w:cs="宋体"/>
          <w:color w:val="auto"/>
          <w:sz w:val="24"/>
          <w:szCs w:val="24"/>
          <w:highlight w:val="none"/>
        </w:rPr>
        <w:t>异常恶劣的气候条件</w:t>
      </w:r>
    </w:p>
    <w:bookmarkEnd w:id="253"/>
    <w:bookmarkEnd w:id="254"/>
    <w:bookmarkEnd w:id="255"/>
    <w:bookmarkEnd w:id="256"/>
    <w:bookmarkEnd w:id="257"/>
    <w:bookmarkEnd w:id="258"/>
    <w:p w14:paraId="6CD8B2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发包人和承包人同意以下情形视为异常恶劣的气候条件：</w:t>
      </w:r>
    </w:p>
    <w:p w14:paraId="6892245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55346F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2197792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711D2E34">
      <w:pPr>
        <w:autoSpaceDN w:val="0"/>
        <w:spacing w:line="360" w:lineRule="auto"/>
        <w:ind w:firstLine="480" w:firstLineChars="200"/>
        <w:rPr>
          <w:rFonts w:ascii="宋体" w:hAnsi="宋体" w:cs="宋体"/>
          <w:color w:val="auto"/>
          <w:sz w:val="24"/>
          <w:szCs w:val="24"/>
          <w:highlight w:val="none"/>
        </w:rPr>
      </w:pPr>
      <w:bookmarkStart w:id="259" w:name="_Toc54777955"/>
      <w:r>
        <w:rPr>
          <w:rFonts w:ascii="宋体" w:hAnsi="宋体" w:cs="宋体"/>
          <w:color w:val="auto"/>
          <w:sz w:val="24"/>
          <w:szCs w:val="24"/>
          <w:highlight w:val="none"/>
        </w:rPr>
        <w:t>7.9</w:t>
      </w:r>
      <w:r>
        <w:rPr>
          <w:rFonts w:hint="eastAsia" w:ascii="宋体" w:hAnsi="宋体" w:cs="宋体"/>
          <w:color w:val="auto"/>
          <w:sz w:val="24"/>
          <w:szCs w:val="24"/>
          <w:highlight w:val="none"/>
        </w:rPr>
        <w:t>提前竣工的奖励</w:t>
      </w:r>
      <w:bookmarkEnd w:id="259"/>
    </w:p>
    <w:p w14:paraId="51BAE2A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7.9.2</w:t>
      </w:r>
      <w:r>
        <w:rPr>
          <w:rFonts w:hint="eastAsia" w:ascii="宋体" w:hAnsi="宋体" w:cs="宋体"/>
          <w:color w:val="auto"/>
          <w:sz w:val="24"/>
          <w:szCs w:val="24"/>
          <w:highlight w:val="none"/>
        </w:rPr>
        <w:t>提前竣工的奖励：</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31716D84">
      <w:pPr>
        <w:autoSpaceDN w:val="0"/>
        <w:spacing w:line="360" w:lineRule="auto"/>
        <w:ind w:firstLine="480" w:firstLineChars="200"/>
        <w:rPr>
          <w:rFonts w:ascii="宋体" w:hAnsi="宋体" w:cs="宋体"/>
          <w:bCs/>
          <w:color w:val="auto"/>
          <w:sz w:val="24"/>
          <w:szCs w:val="24"/>
          <w:highlight w:val="none"/>
        </w:rPr>
      </w:pPr>
      <w:bookmarkStart w:id="260" w:name="_Toc351203640"/>
      <w:r>
        <w:rPr>
          <w:rFonts w:ascii="宋体" w:hAnsi="宋体" w:cs="宋体"/>
          <w:bCs/>
          <w:color w:val="auto"/>
          <w:sz w:val="24"/>
          <w:szCs w:val="24"/>
          <w:highlight w:val="none"/>
        </w:rPr>
        <w:t>8.</w:t>
      </w:r>
      <w:r>
        <w:rPr>
          <w:rFonts w:hint="eastAsia" w:ascii="宋体" w:hAnsi="宋体" w:cs="宋体"/>
          <w:bCs/>
          <w:color w:val="auto"/>
          <w:sz w:val="24"/>
          <w:szCs w:val="24"/>
          <w:highlight w:val="none"/>
        </w:rPr>
        <w:t>材料与设备</w:t>
      </w:r>
      <w:bookmarkEnd w:id="260"/>
    </w:p>
    <w:bookmarkEnd w:id="192"/>
    <w:bookmarkEnd w:id="193"/>
    <w:bookmarkEnd w:id="194"/>
    <w:bookmarkEnd w:id="195"/>
    <w:bookmarkEnd w:id="196"/>
    <w:bookmarkEnd w:id="197"/>
    <w:bookmarkEnd w:id="198"/>
    <w:bookmarkEnd w:id="199"/>
    <w:bookmarkEnd w:id="200"/>
    <w:bookmarkEnd w:id="201"/>
    <w:p w14:paraId="00CFCD9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w:t>
      </w:r>
      <w:bookmarkStart w:id="261" w:name="_Toc296944506"/>
      <w:bookmarkStart w:id="262" w:name="_Toc304295556"/>
      <w:bookmarkStart w:id="263" w:name="_Toc303539136"/>
      <w:bookmarkStart w:id="264" w:name="_Toc292559877"/>
      <w:bookmarkStart w:id="265" w:name="_Toc312678019"/>
      <w:bookmarkStart w:id="266" w:name="_Toc297123527"/>
      <w:bookmarkStart w:id="267" w:name="_Toc297120467"/>
      <w:bookmarkStart w:id="268" w:name="_Toc292559372"/>
      <w:bookmarkStart w:id="269" w:name="_Toc296346668"/>
      <w:bookmarkStart w:id="270" w:name="_Toc312677493"/>
      <w:bookmarkStart w:id="271" w:name="_Toc297216186"/>
      <w:bookmarkStart w:id="272" w:name="_Toc280868654"/>
      <w:bookmarkStart w:id="273" w:name="_Toc296347166"/>
      <w:bookmarkStart w:id="274" w:name="_Toc296891207"/>
      <w:bookmarkStart w:id="275" w:name="_Toc300934979"/>
      <w:bookmarkStart w:id="276" w:name="_Toc296890995"/>
      <w:bookmarkStart w:id="277" w:name="_Toc297048353"/>
      <w:bookmarkStart w:id="278" w:name="_Toc296503167"/>
      <w:bookmarkStart w:id="279" w:name="_Toc280868655"/>
      <w:bookmarkStart w:id="280" w:name="_Toc280868656"/>
      <w:bookmarkStart w:id="281" w:name="_Toc267251424"/>
      <w:r>
        <w:rPr>
          <w:rFonts w:ascii="宋体" w:hAnsi="宋体" w:cs="宋体"/>
          <w:color w:val="auto"/>
          <w:sz w:val="24"/>
          <w:szCs w:val="24"/>
          <w:highlight w:val="none"/>
        </w:rPr>
        <w:t>.4</w:t>
      </w:r>
      <w:r>
        <w:rPr>
          <w:rFonts w:hint="eastAsia" w:ascii="宋体" w:hAnsi="宋体" w:cs="宋体"/>
          <w:color w:val="auto"/>
          <w:sz w:val="24"/>
          <w:szCs w:val="24"/>
          <w:highlight w:val="none"/>
        </w:rPr>
        <w:t>材料与工程设备的保管与使用</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4BB81ED2">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bookmarkStart w:id="282" w:name="_Toc292559373"/>
      <w:bookmarkStart w:id="283" w:name="_Toc292559878"/>
      <w:bookmarkStart w:id="284" w:name="_Toc318581173"/>
      <w:bookmarkStart w:id="285" w:name="_Toc296347167"/>
      <w:bookmarkStart w:id="286" w:name="_Toc296891208"/>
      <w:bookmarkStart w:id="287" w:name="_Toc312678020"/>
      <w:bookmarkStart w:id="288" w:name="_Toc296503168"/>
      <w:bookmarkStart w:id="289" w:name="_Toc312677494"/>
      <w:bookmarkStart w:id="290" w:name="_Toc304295557"/>
      <w:bookmarkStart w:id="291" w:name="_Toc300934980"/>
      <w:bookmarkStart w:id="292" w:name="_Toc296890996"/>
      <w:bookmarkStart w:id="293" w:name="_Toc296944507"/>
      <w:bookmarkStart w:id="294" w:name="_Toc297216187"/>
      <w:bookmarkStart w:id="295" w:name="_Toc296346669"/>
      <w:bookmarkStart w:id="296" w:name="_Toc297048354"/>
      <w:bookmarkStart w:id="297" w:name="_Toc297123528"/>
      <w:bookmarkStart w:id="298" w:name="_Toc297120468"/>
      <w:bookmarkStart w:id="299" w:name="_Toc303539137"/>
      <w:r>
        <w:rPr>
          <w:rFonts w:ascii="宋体" w:hAnsi="宋体" w:cs="宋体"/>
          <w:color w:val="auto"/>
          <w:sz w:val="24"/>
          <w:szCs w:val="24"/>
          <w:highlight w:val="none"/>
        </w:rPr>
        <w:t>.4.1</w:t>
      </w:r>
      <w:r>
        <w:rPr>
          <w:rFonts w:hint="eastAsia" w:ascii="宋体" w:hAnsi="宋体" w:cs="宋体"/>
          <w:color w:val="auto"/>
          <w:sz w:val="24"/>
          <w:szCs w:val="24"/>
          <w:highlight w:val="none"/>
        </w:rPr>
        <w:t>发包人供应的材料设备的保管费用的承担：</w:t>
      </w:r>
      <w:r>
        <w:rPr>
          <w:rFonts w:hint="eastAsia" w:ascii="宋体" w:hAnsi="宋体" w:cs="宋体"/>
          <w:color w:val="auto"/>
          <w:sz w:val="24"/>
          <w:szCs w:val="24"/>
          <w:highlight w:val="none"/>
          <w:u w:val="single"/>
        </w:rPr>
        <w:t>由承包人承担</w:t>
      </w:r>
      <w:r>
        <w:rPr>
          <w:rFonts w:hint="eastAsia" w:ascii="宋体" w:hAnsi="宋体" w:cs="宋体"/>
          <w:color w:val="auto"/>
          <w:sz w:val="24"/>
          <w:szCs w:val="24"/>
          <w:highlight w:val="none"/>
        </w:rPr>
        <w:t>。</w:t>
      </w:r>
      <w:bookmarkEnd w:id="282"/>
      <w:bookmarkEnd w:id="283"/>
    </w:p>
    <w:p w14:paraId="774A0829">
      <w:pPr>
        <w:autoSpaceDN w:val="0"/>
        <w:spacing w:line="360" w:lineRule="auto"/>
        <w:ind w:firstLine="480" w:firstLineChars="200"/>
        <w:rPr>
          <w:rFonts w:ascii="宋体" w:hAnsi="宋体" w:cs="宋体"/>
          <w:color w:val="auto"/>
          <w:sz w:val="24"/>
          <w:szCs w:val="24"/>
          <w:highlight w:val="none"/>
        </w:rPr>
      </w:pPr>
      <w:bookmarkStart w:id="300" w:name="_Toc54777956"/>
      <w:r>
        <w:rPr>
          <w:rFonts w:ascii="宋体" w:hAnsi="宋体" w:cs="宋体"/>
          <w:color w:val="auto"/>
          <w:sz w:val="24"/>
          <w:szCs w:val="24"/>
          <w:highlight w:val="none"/>
        </w:rPr>
        <w:t>8.6</w:t>
      </w:r>
      <w:r>
        <w:rPr>
          <w:rFonts w:hint="eastAsia" w:ascii="宋体" w:hAnsi="宋体" w:cs="宋体"/>
          <w:color w:val="auto"/>
          <w:sz w:val="24"/>
          <w:szCs w:val="24"/>
          <w:highlight w:val="none"/>
        </w:rPr>
        <w:t>样品</w:t>
      </w:r>
      <w:bookmarkEnd w:id="300"/>
    </w:p>
    <w:p w14:paraId="7541A52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8.6.1</w:t>
      </w:r>
      <w:r>
        <w:rPr>
          <w:rFonts w:ascii="宋体" w:hAnsi="宋体" w:cs="宋体"/>
          <w:color w:val="auto"/>
          <w:sz w:val="24"/>
          <w:szCs w:val="24"/>
          <w:highlight w:val="none"/>
        </w:rPr>
        <w:tab/>
      </w:r>
      <w:r>
        <w:rPr>
          <w:rFonts w:hint="eastAsia" w:ascii="宋体" w:hAnsi="宋体" w:cs="宋体"/>
          <w:color w:val="auto"/>
          <w:sz w:val="24"/>
          <w:szCs w:val="24"/>
          <w:highlight w:val="none"/>
        </w:rPr>
        <w:t>样品的报送与封存</w:t>
      </w:r>
    </w:p>
    <w:p w14:paraId="6DBF3D2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需要承包人报送样品的材料或工程设备，样品的种类、名称、规格、数量要求：</w:t>
      </w:r>
      <w:r>
        <w:rPr>
          <w:rFonts w:hint="eastAsia" w:ascii="宋体" w:hAnsi="宋体" w:cs="宋体"/>
          <w:color w:val="auto"/>
          <w:sz w:val="24"/>
          <w:szCs w:val="24"/>
          <w:highlight w:val="none"/>
          <w:u w:val="single"/>
        </w:rPr>
        <w:t>工程重要材料及设备均须报送样品，具体按发包人、监理人要求执行</w:t>
      </w:r>
      <w:r>
        <w:rPr>
          <w:rFonts w:hint="eastAsia" w:ascii="宋体" w:hAnsi="宋体" w:cs="宋体"/>
          <w:color w:val="auto"/>
          <w:sz w:val="24"/>
          <w:szCs w:val="24"/>
          <w:highlight w:val="none"/>
        </w:rPr>
        <w:t>。</w:t>
      </w:r>
    </w:p>
    <w:p w14:paraId="656AFBEF">
      <w:pPr>
        <w:autoSpaceDN w:val="0"/>
        <w:spacing w:line="360" w:lineRule="auto"/>
        <w:ind w:firstLine="480" w:firstLineChars="200"/>
        <w:rPr>
          <w:rFonts w:ascii="宋体" w:hAnsi="宋体" w:cs="宋体"/>
          <w:color w:val="auto"/>
          <w:sz w:val="24"/>
          <w:szCs w:val="24"/>
          <w:highlight w:val="none"/>
        </w:rPr>
      </w:pPr>
      <w:bookmarkStart w:id="301" w:name="_Toc54777957"/>
      <w:r>
        <w:rPr>
          <w:rFonts w:ascii="宋体" w:hAnsi="宋体" w:cs="宋体"/>
          <w:color w:val="auto"/>
          <w:sz w:val="24"/>
          <w:szCs w:val="24"/>
          <w:highlight w:val="none"/>
        </w:rPr>
        <w:t>8.8</w:t>
      </w:r>
      <w:r>
        <w:rPr>
          <w:rFonts w:hint="eastAsia" w:ascii="宋体" w:hAnsi="宋体" w:cs="宋体"/>
          <w:color w:val="auto"/>
          <w:sz w:val="24"/>
          <w:szCs w:val="24"/>
          <w:highlight w:val="none"/>
        </w:rPr>
        <w:t>施工设备和临时设施</w:t>
      </w:r>
      <w:bookmarkEnd w:id="301"/>
    </w:p>
    <w:p w14:paraId="13F1A9B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8.8.1</w:t>
      </w:r>
      <w:r>
        <w:rPr>
          <w:rFonts w:hint="eastAsia" w:ascii="宋体" w:hAnsi="宋体" w:cs="宋体"/>
          <w:color w:val="auto"/>
          <w:sz w:val="24"/>
          <w:szCs w:val="24"/>
          <w:highlight w:val="none"/>
        </w:rPr>
        <w:t>承包人提供的施工设备和临时设施</w:t>
      </w:r>
    </w:p>
    <w:p w14:paraId="73EB1B80">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关于修建临时设施费用承担的约定：</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03397269">
      <w:pPr>
        <w:autoSpaceDN w:val="0"/>
        <w:spacing w:line="360" w:lineRule="auto"/>
        <w:ind w:firstLine="480" w:firstLineChars="200"/>
        <w:rPr>
          <w:rFonts w:ascii="宋体" w:hAnsi="宋体" w:cs="宋体"/>
          <w:bCs/>
          <w:color w:val="auto"/>
          <w:sz w:val="24"/>
          <w:szCs w:val="24"/>
          <w:highlight w:val="none"/>
        </w:rPr>
      </w:pPr>
      <w:bookmarkStart w:id="302" w:name="_Toc351203641"/>
      <w:r>
        <w:rPr>
          <w:rFonts w:ascii="宋体" w:hAnsi="宋体" w:cs="宋体"/>
          <w:bCs/>
          <w:color w:val="auto"/>
          <w:sz w:val="24"/>
          <w:szCs w:val="24"/>
          <w:highlight w:val="none"/>
        </w:rPr>
        <w:t>9</w:t>
      </w:r>
      <w:bookmarkEnd w:id="279"/>
      <w:bookmarkEnd w:id="280"/>
      <w:bookmarkEnd w:id="281"/>
      <w:bookmarkStart w:id="303" w:name="_Toc303539139"/>
      <w:bookmarkStart w:id="304" w:name="_Toc312677495"/>
      <w:bookmarkStart w:id="305" w:name="_Toc312678021"/>
      <w:bookmarkStart w:id="306" w:name="_Toc300934982"/>
      <w:bookmarkStart w:id="307" w:name="_Toc297123533"/>
      <w:bookmarkStart w:id="308" w:name="_Toc297216192"/>
      <w:bookmarkStart w:id="309" w:name="_Toc304295559"/>
      <w:bookmarkStart w:id="310" w:name="_Toc296346674"/>
      <w:bookmarkStart w:id="311" w:name="_Toc267251428"/>
      <w:bookmarkStart w:id="312" w:name="_Toc267251427"/>
      <w:bookmarkStart w:id="313" w:name="_Toc296891213"/>
      <w:bookmarkStart w:id="314" w:name="_Toc296347172"/>
      <w:bookmarkStart w:id="315" w:name="_Toc296503173"/>
      <w:bookmarkStart w:id="316" w:name="_Toc296891001"/>
      <w:bookmarkStart w:id="317" w:name="_Toc297048359"/>
      <w:bookmarkStart w:id="318" w:name="_Toc296944512"/>
      <w:bookmarkStart w:id="319" w:name="_Toc292559378"/>
      <w:bookmarkStart w:id="320" w:name="_Toc297120473"/>
      <w:bookmarkStart w:id="321" w:name="_Toc292559883"/>
      <w:r>
        <w:rPr>
          <w:rFonts w:ascii="宋体" w:hAnsi="宋体" w:cs="宋体"/>
          <w:bCs/>
          <w:color w:val="auto"/>
          <w:sz w:val="24"/>
          <w:szCs w:val="24"/>
          <w:highlight w:val="none"/>
        </w:rPr>
        <w:t>.</w:t>
      </w:r>
      <w:r>
        <w:rPr>
          <w:rFonts w:hint="eastAsia" w:ascii="宋体" w:hAnsi="宋体" w:cs="宋体"/>
          <w:bCs/>
          <w:color w:val="auto"/>
          <w:sz w:val="24"/>
          <w:szCs w:val="24"/>
          <w:highlight w:val="none"/>
        </w:rPr>
        <w:t>试验与检验</w:t>
      </w:r>
      <w:bookmarkEnd w:id="302"/>
    </w:p>
    <w:bookmarkEnd w:id="303"/>
    <w:bookmarkEnd w:id="304"/>
    <w:bookmarkEnd w:id="305"/>
    <w:bookmarkEnd w:id="306"/>
    <w:bookmarkEnd w:id="307"/>
    <w:bookmarkEnd w:id="308"/>
    <w:bookmarkEnd w:id="309"/>
    <w:p w14:paraId="1CB9691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9</w:t>
      </w:r>
      <w:bookmarkStart w:id="322" w:name="_Toc297123534"/>
      <w:bookmarkStart w:id="323" w:name="_Toc312677496"/>
      <w:bookmarkStart w:id="324" w:name="_Toc303539140"/>
      <w:bookmarkStart w:id="325" w:name="_Toc312678022"/>
      <w:bookmarkStart w:id="326" w:name="_Toc300934983"/>
      <w:bookmarkStart w:id="327" w:name="_Toc297216193"/>
      <w:bookmarkStart w:id="328" w:name="_Toc304295560"/>
      <w:r>
        <w:rPr>
          <w:rFonts w:ascii="宋体" w:hAnsi="宋体" w:cs="宋体"/>
          <w:color w:val="auto"/>
          <w:sz w:val="24"/>
          <w:szCs w:val="24"/>
          <w:highlight w:val="none"/>
        </w:rPr>
        <w:t>.1</w:t>
      </w:r>
      <w:r>
        <w:rPr>
          <w:rFonts w:hint="eastAsia" w:ascii="宋体" w:hAnsi="宋体" w:cs="宋体"/>
          <w:color w:val="auto"/>
          <w:sz w:val="24"/>
          <w:szCs w:val="24"/>
          <w:highlight w:val="none"/>
        </w:rPr>
        <w:t>试验设备与试验人员</w:t>
      </w:r>
    </w:p>
    <w:bookmarkEnd w:id="322"/>
    <w:bookmarkEnd w:id="323"/>
    <w:bookmarkEnd w:id="324"/>
    <w:bookmarkEnd w:id="325"/>
    <w:bookmarkEnd w:id="326"/>
    <w:bookmarkEnd w:id="327"/>
    <w:bookmarkEnd w:id="328"/>
    <w:p w14:paraId="2E3B000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9</w:t>
      </w:r>
      <w:bookmarkStart w:id="329" w:name="_Toc304295561"/>
      <w:bookmarkStart w:id="330" w:name="_Toc303539141"/>
      <w:bookmarkStart w:id="331" w:name="_Toc312677497"/>
      <w:bookmarkStart w:id="332" w:name="_Toc297123535"/>
      <w:bookmarkStart w:id="333" w:name="_Toc297216194"/>
      <w:bookmarkStart w:id="334" w:name="_Toc312678023"/>
      <w:bookmarkStart w:id="335" w:name="_Toc300934984"/>
      <w:bookmarkStart w:id="336" w:name="_Toc318581174"/>
      <w:r>
        <w:rPr>
          <w:rFonts w:ascii="宋体" w:hAnsi="宋体" w:cs="宋体"/>
          <w:color w:val="auto"/>
          <w:sz w:val="24"/>
          <w:szCs w:val="24"/>
          <w:highlight w:val="none"/>
        </w:rPr>
        <w:t>.1.2</w:t>
      </w:r>
      <w:r>
        <w:rPr>
          <w:rFonts w:hint="eastAsia" w:ascii="宋体" w:hAnsi="宋体" w:cs="宋体"/>
          <w:color w:val="auto"/>
          <w:sz w:val="24"/>
          <w:szCs w:val="24"/>
          <w:highlight w:val="none"/>
        </w:rPr>
        <w:t>试验设备</w:t>
      </w:r>
    </w:p>
    <w:p w14:paraId="7D94901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施工现场需要配置的试验场所：</w:t>
      </w:r>
      <w:bookmarkEnd w:id="329"/>
      <w:bookmarkEnd w:id="330"/>
      <w:bookmarkEnd w:id="331"/>
      <w:bookmarkEnd w:id="332"/>
      <w:bookmarkEnd w:id="333"/>
      <w:bookmarkEnd w:id="334"/>
      <w:bookmarkEnd w:id="335"/>
      <w:bookmarkStart w:id="337" w:name="_Toc300934985"/>
      <w:bookmarkStart w:id="338" w:name="_Toc304295562"/>
      <w:bookmarkStart w:id="339" w:name="_Toc312678024"/>
      <w:bookmarkStart w:id="340" w:name="_Toc312677498"/>
      <w:bookmarkStart w:id="341" w:name="_Toc297123536"/>
      <w:bookmarkStart w:id="342" w:name="_Toc303539142"/>
      <w:bookmarkStart w:id="343" w:name="_Toc297216195"/>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460134E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施工现场需要配备的试验设备：</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3A37423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施工现场需要具备的其他试验条件：</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p w14:paraId="34F4BCC2">
      <w:pPr>
        <w:autoSpaceDN w:val="0"/>
        <w:spacing w:line="360" w:lineRule="auto"/>
        <w:ind w:firstLine="480" w:firstLineChars="200"/>
        <w:rPr>
          <w:rFonts w:ascii="宋体" w:hAnsi="宋体" w:cs="宋体"/>
          <w:color w:val="auto"/>
          <w:sz w:val="24"/>
          <w:szCs w:val="24"/>
          <w:highlight w:val="none"/>
        </w:rPr>
      </w:pPr>
      <w:bookmarkStart w:id="344" w:name="_Toc54777958"/>
      <w:r>
        <w:rPr>
          <w:rFonts w:ascii="宋体" w:hAnsi="宋体" w:cs="宋体"/>
          <w:color w:val="auto"/>
          <w:sz w:val="24"/>
          <w:szCs w:val="24"/>
          <w:highlight w:val="none"/>
        </w:rPr>
        <w:t>9.4</w:t>
      </w:r>
      <w:r>
        <w:rPr>
          <w:rFonts w:hint="eastAsia" w:ascii="宋体" w:hAnsi="宋体" w:cs="宋体"/>
          <w:color w:val="auto"/>
          <w:sz w:val="24"/>
          <w:szCs w:val="24"/>
          <w:highlight w:val="none"/>
        </w:rPr>
        <w:t>现场工艺试验</w:t>
      </w:r>
      <w:bookmarkEnd w:id="344"/>
    </w:p>
    <w:p w14:paraId="3827FBEB">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现场工艺试验的有关约定：</w:t>
      </w:r>
      <w:r>
        <w:rPr>
          <w:rFonts w:hint="eastAsia" w:ascii="宋体" w:hAnsi="宋体" w:cs="宋体"/>
          <w:color w:val="auto"/>
          <w:sz w:val="24"/>
          <w:szCs w:val="24"/>
          <w:highlight w:val="none"/>
          <w:u w:val="single"/>
        </w:rPr>
        <w:t>按照质量监督部门及监理单位要求</w:t>
      </w:r>
      <w:r>
        <w:rPr>
          <w:rFonts w:hint="eastAsia" w:ascii="宋体" w:hAnsi="宋体" w:cs="宋体"/>
          <w:color w:val="auto"/>
          <w:sz w:val="24"/>
          <w:szCs w:val="24"/>
          <w:highlight w:val="none"/>
        </w:rPr>
        <w:t>。</w:t>
      </w:r>
    </w:p>
    <w:bookmarkEnd w:id="336"/>
    <w:bookmarkEnd w:id="337"/>
    <w:bookmarkEnd w:id="338"/>
    <w:bookmarkEnd w:id="339"/>
    <w:bookmarkEnd w:id="340"/>
    <w:bookmarkEnd w:id="341"/>
    <w:bookmarkEnd w:id="342"/>
    <w:bookmarkEnd w:id="343"/>
    <w:p w14:paraId="2AEFD523">
      <w:pPr>
        <w:autoSpaceDN w:val="0"/>
        <w:spacing w:line="360" w:lineRule="auto"/>
        <w:ind w:firstLine="480" w:firstLineChars="200"/>
        <w:rPr>
          <w:rFonts w:ascii="宋体" w:hAnsi="宋体" w:cs="宋体"/>
          <w:bCs/>
          <w:color w:val="auto"/>
          <w:sz w:val="24"/>
          <w:szCs w:val="24"/>
          <w:highlight w:val="none"/>
        </w:rPr>
      </w:pPr>
      <w:bookmarkStart w:id="345" w:name="_Toc351203642"/>
      <w:r>
        <w:rPr>
          <w:rFonts w:ascii="宋体" w:hAnsi="宋体" w:cs="宋体"/>
          <w:bCs/>
          <w:color w:val="auto"/>
          <w:sz w:val="24"/>
          <w:szCs w:val="24"/>
          <w:highlight w:val="none"/>
        </w:rPr>
        <w:t>1</w:t>
      </w:r>
      <w:bookmarkEnd w:id="310"/>
      <w:bookmarkEnd w:id="311"/>
      <w:bookmarkEnd w:id="312"/>
      <w:bookmarkEnd w:id="313"/>
      <w:bookmarkEnd w:id="314"/>
      <w:bookmarkEnd w:id="315"/>
      <w:bookmarkEnd w:id="316"/>
      <w:bookmarkEnd w:id="317"/>
      <w:bookmarkEnd w:id="318"/>
      <w:bookmarkEnd w:id="319"/>
      <w:bookmarkEnd w:id="320"/>
      <w:bookmarkEnd w:id="321"/>
      <w:bookmarkStart w:id="346" w:name="_Toc296891233"/>
      <w:bookmarkStart w:id="347" w:name="_Toc303539146"/>
      <w:bookmarkStart w:id="348" w:name="_Toc297120493"/>
      <w:bookmarkStart w:id="349" w:name="_Toc296944532"/>
      <w:bookmarkStart w:id="350" w:name="_Toc304295566"/>
      <w:bookmarkStart w:id="351" w:name="_Toc292559398"/>
      <w:bookmarkStart w:id="352" w:name="_Toc296891021"/>
      <w:bookmarkStart w:id="353" w:name="_Toc297216199"/>
      <w:bookmarkStart w:id="354" w:name="_Toc296346694"/>
      <w:bookmarkStart w:id="355" w:name="_Toc292559903"/>
      <w:bookmarkStart w:id="356" w:name="_Toc297123540"/>
      <w:bookmarkStart w:id="357" w:name="_Toc296503193"/>
      <w:bookmarkStart w:id="358" w:name="_Toc300934989"/>
      <w:bookmarkStart w:id="359" w:name="_Toc296347192"/>
      <w:bookmarkStart w:id="360" w:name="_Toc297048379"/>
      <w:bookmarkStart w:id="361" w:name="_Toc312678025"/>
      <w:bookmarkStart w:id="362" w:name="_Toc312677499"/>
      <w:bookmarkStart w:id="363" w:name="_Toc267251435"/>
      <w:bookmarkStart w:id="364" w:name="_Toc267251441"/>
      <w:bookmarkStart w:id="365" w:name="_Toc267251433"/>
      <w:bookmarkStart w:id="366" w:name="_Toc267251437"/>
      <w:bookmarkStart w:id="367" w:name="_Toc267251440"/>
      <w:bookmarkStart w:id="368" w:name="_Toc267251439"/>
      <w:bookmarkStart w:id="369" w:name="_Toc267251442"/>
      <w:r>
        <w:rPr>
          <w:rFonts w:ascii="宋体" w:hAnsi="宋体" w:cs="宋体"/>
          <w:bCs/>
          <w:color w:val="auto"/>
          <w:sz w:val="24"/>
          <w:szCs w:val="24"/>
          <w:highlight w:val="none"/>
        </w:rPr>
        <w:t>0.</w:t>
      </w:r>
      <w:r>
        <w:rPr>
          <w:rFonts w:hint="eastAsia" w:ascii="宋体" w:hAnsi="宋体" w:cs="宋体"/>
          <w:bCs/>
          <w:color w:val="auto"/>
          <w:sz w:val="24"/>
          <w:szCs w:val="24"/>
          <w:highlight w:val="none"/>
        </w:rPr>
        <w:t>变更</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End w:id="361"/>
    <w:bookmarkEnd w:id="362"/>
    <w:p w14:paraId="1B53909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Start w:id="370" w:name="_Toc297120494"/>
      <w:bookmarkStart w:id="371" w:name="_Toc303539147"/>
      <w:bookmarkStart w:id="372" w:name="_Toc297048380"/>
      <w:bookmarkStart w:id="373" w:name="_Toc292559399"/>
      <w:bookmarkStart w:id="374" w:name="_Toc312678026"/>
      <w:bookmarkStart w:id="375" w:name="_Toc304295567"/>
      <w:bookmarkStart w:id="376" w:name="_Toc296891234"/>
      <w:bookmarkStart w:id="377" w:name="_Toc296944533"/>
      <w:bookmarkStart w:id="378" w:name="_Toc300934990"/>
      <w:bookmarkStart w:id="379" w:name="_Toc292559904"/>
      <w:bookmarkStart w:id="380" w:name="_Toc296346695"/>
      <w:bookmarkStart w:id="381" w:name="_Toc296503194"/>
      <w:bookmarkStart w:id="382" w:name="_Toc296891022"/>
      <w:bookmarkStart w:id="383" w:name="_Toc312677500"/>
      <w:bookmarkStart w:id="384" w:name="_Toc297216200"/>
      <w:bookmarkStart w:id="385" w:name="_Toc297123541"/>
      <w:bookmarkStart w:id="386" w:name="_Toc296347193"/>
      <w:r>
        <w:rPr>
          <w:rFonts w:ascii="宋体" w:hAnsi="宋体" w:cs="宋体"/>
          <w:color w:val="auto"/>
          <w:sz w:val="24"/>
          <w:szCs w:val="24"/>
          <w:highlight w:val="none"/>
        </w:rPr>
        <w:t>0.1</w:t>
      </w:r>
      <w:r>
        <w:rPr>
          <w:rFonts w:hint="eastAsia" w:ascii="宋体" w:hAnsi="宋体" w:cs="宋体"/>
          <w:color w:val="auto"/>
          <w:sz w:val="24"/>
          <w:szCs w:val="24"/>
          <w:highlight w:val="none"/>
        </w:rPr>
        <w:t>变更的范围</w:t>
      </w:r>
    </w:p>
    <w:p w14:paraId="3F30D0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关于变更的范围的约定：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018F594">
      <w:pPr>
        <w:autoSpaceDN w:val="0"/>
        <w:spacing w:line="360" w:lineRule="auto"/>
        <w:ind w:firstLine="480" w:firstLineChars="200"/>
        <w:rPr>
          <w:rFonts w:ascii="宋体" w:hAnsi="宋体" w:cs="宋体"/>
          <w:color w:val="auto"/>
          <w:sz w:val="24"/>
          <w:szCs w:val="24"/>
          <w:highlight w:val="none"/>
        </w:rPr>
      </w:pPr>
      <w:bookmarkStart w:id="387" w:name="_Toc54777959"/>
      <w:r>
        <w:rPr>
          <w:rFonts w:ascii="宋体" w:hAnsi="宋体" w:cs="宋体"/>
          <w:color w:val="auto"/>
          <w:sz w:val="24"/>
          <w:szCs w:val="24"/>
          <w:highlight w:val="none"/>
        </w:rPr>
        <w:t>10.4</w:t>
      </w:r>
      <w:r>
        <w:rPr>
          <w:rFonts w:hint="eastAsia" w:ascii="宋体" w:hAnsi="宋体" w:cs="宋体"/>
          <w:color w:val="auto"/>
          <w:sz w:val="24"/>
          <w:szCs w:val="24"/>
          <w:highlight w:val="none"/>
        </w:rPr>
        <w:t>变更估价</w:t>
      </w:r>
      <w:bookmarkEnd w:id="387"/>
    </w:p>
    <w:p w14:paraId="77A8164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10.4.1</w:t>
      </w:r>
      <w:r>
        <w:rPr>
          <w:rFonts w:hint="eastAsia" w:ascii="宋体" w:hAnsi="宋体" w:cs="宋体"/>
          <w:color w:val="auto"/>
          <w:sz w:val="24"/>
          <w:szCs w:val="24"/>
          <w:highlight w:val="none"/>
        </w:rPr>
        <w:t>变更估价原则</w:t>
      </w:r>
    </w:p>
    <w:p w14:paraId="1381536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关于变更估价的约定</w:t>
      </w:r>
      <w:r>
        <w:rPr>
          <w:rFonts w:ascii="宋体" w:hAnsi="宋体" w:cs="宋体"/>
          <w:color w:val="auto"/>
          <w:sz w:val="24"/>
          <w:szCs w:val="24"/>
          <w:highlight w:val="none"/>
        </w:rPr>
        <w:t>:</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51A98EE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Start w:id="388" w:name="_Toc296346698"/>
      <w:bookmarkStart w:id="389" w:name="_Toc296347196"/>
      <w:bookmarkStart w:id="390" w:name="_Toc296891025"/>
      <w:bookmarkStart w:id="391" w:name="_Toc296891237"/>
      <w:bookmarkStart w:id="392" w:name="_Toc297120497"/>
      <w:bookmarkStart w:id="393" w:name="_Toc292559907"/>
      <w:bookmarkStart w:id="394" w:name="_Toc297123544"/>
      <w:bookmarkStart w:id="395" w:name="_Toc292559402"/>
      <w:bookmarkStart w:id="396" w:name="_Toc296944536"/>
      <w:bookmarkStart w:id="397" w:name="_Toc303539150"/>
      <w:bookmarkStart w:id="398" w:name="_Toc297048383"/>
      <w:bookmarkStart w:id="399" w:name="_Toc297216203"/>
      <w:bookmarkStart w:id="400" w:name="_Toc300934993"/>
      <w:bookmarkStart w:id="401" w:name="_Toc296503197"/>
      <w:bookmarkStart w:id="402" w:name="_Toc312678029"/>
      <w:bookmarkStart w:id="403" w:name="_Toc312677503"/>
      <w:bookmarkStart w:id="404" w:name="_Toc304295570"/>
      <w:r>
        <w:rPr>
          <w:rFonts w:ascii="宋体" w:hAnsi="宋体" w:cs="宋体"/>
          <w:color w:val="auto"/>
          <w:sz w:val="24"/>
          <w:szCs w:val="24"/>
          <w:highlight w:val="none"/>
        </w:rPr>
        <w:t>0.5</w:t>
      </w:r>
      <w:r>
        <w:rPr>
          <w:rFonts w:hint="eastAsia" w:ascii="宋体" w:hAnsi="宋体" w:cs="宋体"/>
          <w:color w:val="auto"/>
          <w:sz w:val="24"/>
          <w:szCs w:val="24"/>
          <w:highlight w:val="none"/>
        </w:rPr>
        <w:t>承</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Start w:id="405" w:name="_Toc296891031"/>
      <w:bookmarkStart w:id="406" w:name="_Toc297123545"/>
      <w:bookmarkStart w:id="407" w:name="_Toc296346704"/>
      <w:bookmarkStart w:id="408" w:name="_Toc303539151"/>
      <w:bookmarkStart w:id="409" w:name="_Toc297048389"/>
      <w:bookmarkStart w:id="410" w:name="_Toc300934994"/>
      <w:bookmarkStart w:id="411" w:name="_Toc296891243"/>
      <w:bookmarkStart w:id="412" w:name="_Toc292559408"/>
      <w:bookmarkStart w:id="413" w:name="_Toc296944542"/>
      <w:bookmarkStart w:id="414" w:name="_Toc297216204"/>
      <w:bookmarkStart w:id="415" w:name="_Toc296503203"/>
      <w:bookmarkStart w:id="416" w:name="_Toc292559913"/>
      <w:bookmarkStart w:id="417" w:name="_Toc296347202"/>
      <w:bookmarkStart w:id="418" w:name="_Toc297120503"/>
      <w:r>
        <w:rPr>
          <w:rFonts w:hint="eastAsia" w:ascii="宋体" w:hAnsi="宋体" w:cs="宋体"/>
          <w:color w:val="auto"/>
          <w:sz w:val="24"/>
          <w:szCs w:val="24"/>
          <w:highlight w:val="none"/>
        </w:rPr>
        <w:t>包人的合理化建议</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5B8DFFF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监理人审查承包人合理化建议的期限：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381BDCB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发包人审批承包人合理化建议的期限：</w:t>
      </w:r>
      <w:r>
        <w:rPr>
          <w:rFonts w:hint="eastAsia" w:ascii="宋体" w:hAnsi="宋体" w:cs="宋体"/>
          <w:color w:val="auto"/>
          <w:sz w:val="24"/>
          <w:szCs w:val="24"/>
          <w:highlight w:val="none"/>
          <w:u w:val="single"/>
        </w:rPr>
        <w:t>收到后7天内</w:t>
      </w:r>
      <w:r>
        <w:rPr>
          <w:rFonts w:hint="eastAsia" w:ascii="宋体" w:hAnsi="宋体" w:cs="宋体"/>
          <w:color w:val="auto"/>
          <w:sz w:val="24"/>
          <w:szCs w:val="24"/>
          <w:highlight w:val="none"/>
        </w:rPr>
        <w:t>。</w:t>
      </w:r>
    </w:p>
    <w:p w14:paraId="62442AD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w:t>
      </w:r>
      <w:bookmarkStart w:id="419" w:name="_Toc292559409"/>
      <w:bookmarkStart w:id="420" w:name="_Toc304295571"/>
      <w:bookmarkStart w:id="421" w:name="_Toc312677504"/>
      <w:bookmarkStart w:id="422" w:name="_Toc296503204"/>
      <w:bookmarkStart w:id="423" w:name="_Toc292559914"/>
      <w:bookmarkStart w:id="424" w:name="_Toc296891032"/>
      <w:bookmarkStart w:id="425" w:name="_Toc303539152"/>
      <w:bookmarkStart w:id="426" w:name="_Toc296346705"/>
      <w:bookmarkStart w:id="427" w:name="_Toc296891244"/>
      <w:bookmarkStart w:id="428" w:name="_Toc296347203"/>
      <w:bookmarkStart w:id="429" w:name="_Toc297216205"/>
      <w:bookmarkStart w:id="430" w:name="_Toc297123546"/>
      <w:bookmarkStart w:id="431" w:name="_Toc297120504"/>
      <w:bookmarkStart w:id="432" w:name="_Toc297048390"/>
      <w:bookmarkStart w:id="433" w:name="_Toc300934995"/>
      <w:bookmarkStart w:id="434" w:name="_Toc296944543"/>
      <w:bookmarkStart w:id="435" w:name="_Toc318581175"/>
      <w:bookmarkStart w:id="436" w:name="_Toc312678030"/>
      <w:r>
        <w:rPr>
          <w:rFonts w:hint="eastAsia" w:ascii="宋体" w:hAnsi="宋体" w:cs="宋体"/>
          <w:color w:val="auto"/>
          <w:sz w:val="24"/>
          <w:szCs w:val="24"/>
          <w:highlight w:val="none"/>
        </w:rPr>
        <w:t>包人提出的合理化建议降低了合同价格或者提高了工程经济效益的奖励的方法和金额为：</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5044B53A">
      <w:pPr>
        <w:autoSpaceDN w:val="0"/>
        <w:spacing w:line="360" w:lineRule="auto"/>
        <w:ind w:firstLine="480" w:firstLineChars="200"/>
        <w:rPr>
          <w:rFonts w:ascii="宋体" w:hAnsi="宋体" w:cs="宋体"/>
          <w:color w:val="auto"/>
          <w:sz w:val="24"/>
          <w:szCs w:val="24"/>
          <w:highlight w:val="none"/>
        </w:rPr>
      </w:pPr>
      <w:bookmarkStart w:id="437" w:name="_Toc54777960"/>
      <w:r>
        <w:rPr>
          <w:rFonts w:ascii="宋体" w:hAnsi="宋体" w:cs="宋体"/>
          <w:color w:val="auto"/>
          <w:sz w:val="24"/>
          <w:szCs w:val="24"/>
          <w:highlight w:val="none"/>
        </w:rPr>
        <w:t>1</w:t>
      </w:r>
      <w:bookmarkStart w:id="438" w:name="_Toc303539154"/>
      <w:bookmarkStart w:id="439" w:name="_Toc296347198"/>
      <w:bookmarkStart w:id="440" w:name="_Toc312677507"/>
      <w:bookmarkStart w:id="441" w:name="_Toc297216207"/>
      <w:bookmarkStart w:id="442" w:name="_Toc297120499"/>
      <w:bookmarkStart w:id="443" w:name="_Toc296944538"/>
      <w:bookmarkStart w:id="444" w:name="_Toc304295574"/>
      <w:bookmarkStart w:id="445" w:name="_Toc297048385"/>
      <w:bookmarkStart w:id="446" w:name="_Toc292559909"/>
      <w:bookmarkStart w:id="447" w:name="_Toc312678033"/>
      <w:bookmarkStart w:id="448" w:name="_Toc296346700"/>
      <w:bookmarkStart w:id="449" w:name="_Toc300934997"/>
      <w:bookmarkStart w:id="450" w:name="_Toc296891027"/>
      <w:bookmarkStart w:id="451" w:name="_Toc296503199"/>
      <w:bookmarkStart w:id="452" w:name="_Toc296891239"/>
      <w:bookmarkStart w:id="453" w:name="_Toc292559404"/>
      <w:bookmarkStart w:id="454" w:name="_Toc297123548"/>
      <w:r>
        <w:rPr>
          <w:rFonts w:ascii="宋体" w:hAnsi="宋体" w:cs="宋体"/>
          <w:color w:val="auto"/>
          <w:sz w:val="24"/>
          <w:szCs w:val="24"/>
          <w:highlight w:val="none"/>
        </w:rPr>
        <w:t>0.7</w:t>
      </w:r>
      <w:r>
        <w:rPr>
          <w:rFonts w:hint="eastAsia" w:ascii="宋体" w:hAnsi="宋体" w:cs="宋体"/>
          <w:color w:val="auto"/>
          <w:sz w:val="24"/>
          <w:szCs w:val="24"/>
          <w:highlight w:val="none"/>
        </w:rPr>
        <w:t>暂估价</w:t>
      </w:r>
      <w:bookmarkEnd w:id="437"/>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08CE9FD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暂</w:t>
      </w:r>
      <w:bookmarkStart w:id="455" w:name="_Toc312678034"/>
      <w:bookmarkStart w:id="456" w:name="_Toc318581176"/>
      <w:bookmarkStart w:id="457" w:name="_Toc312677508"/>
      <w:r>
        <w:rPr>
          <w:rFonts w:hint="eastAsia" w:ascii="宋体" w:hAnsi="宋体" w:cs="宋体"/>
          <w:color w:val="auto"/>
          <w:sz w:val="24"/>
          <w:szCs w:val="24"/>
          <w:highlight w:val="none"/>
        </w:rPr>
        <w:t>估价材料和工程设备的明细详见附件</w:t>
      </w:r>
      <w:r>
        <w:rPr>
          <w:rFonts w:ascii="宋体" w:hAnsi="宋体" w:cs="宋体"/>
          <w:color w:val="auto"/>
          <w:sz w:val="24"/>
          <w:szCs w:val="24"/>
          <w:highlight w:val="none"/>
        </w:rPr>
        <w:t>11</w:t>
      </w:r>
      <w:r>
        <w:rPr>
          <w:rFonts w:hint="eastAsia" w:ascii="宋体" w:hAnsi="宋体" w:cs="宋体"/>
          <w:color w:val="auto"/>
          <w:sz w:val="24"/>
          <w:szCs w:val="24"/>
          <w:highlight w:val="none"/>
        </w:rPr>
        <w:t>：《暂估价一览表》。</w:t>
      </w:r>
      <w:r>
        <w:rPr>
          <w:rFonts w:hint="eastAsia" w:ascii="宋体" w:hAnsi="宋体" w:cs="宋体"/>
          <w:color w:val="auto"/>
          <w:sz w:val="24"/>
          <w:szCs w:val="24"/>
          <w:highlight w:val="none"/>
          <w:u w:val="single"/>
        </w:rPr>
        <w:t>。</w:t>
      </w:r>
    </w:p>
    <w:bookmarkEnd w:id="455"/>
    <w:bookmarkEnd w:id="456"/>
    <w:bookmarkEnd w:id="457"/>
    <w:p w14:paraId="67C1ACB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Start w:id="458" w:name="_Toc312677509"/>
      <w:bookmarkStart w:id="459" w:name="_Toc318581177"/>
      <w:bookmarkStart w:id="460" w:name="_Toc312678035"/>
      <w:r>
        <w:rPr>
          <w:rFonts w:ascii="宋体" w:hAnsi="宋体" w:cs="宋体"/>
          <w:color w:val="auto"/>
          <w:sz w:val="24"/>
          <w:szCs w:val="24"/>
          <w:highlight w:val="none"/>
        </w:rPr>
        <w:t>0.7.1</w:t>
      </w:r>
      <w:r>
        <w:rPr>
          <w:rFonts w:hint="eastAsia" w:ascii="宋体" w:hAnsi="宋体" w:cs="宋体"/>
          <w:color w:val="auto"/>
          <w:sz w:val="24"/>
          <w:szCs w:val="24"/>
          <w:highlight w:val="none"/>
        </w:rPr>
        <w:t>依法必须招标的暂估价项目</w:t>
      </w:r>
    </w:p>
    <w:bookmarkEnd w:id="458"/>
    <w:bookmarkEnd w:id="459"/>
    <w:bookmarkEnd w:id="460"/>
    <w:p w14:paraId="72AE68E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对于依法必须招标的暂估价项目的确认和批准采取第</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种方式确定。</w:t>
      </w:r>
    </w:p>
    <w:p w14:paraId="308230D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10.7.2</w:t>
      </w:r>
      <w:r>
        <w:rPr>
          <w:rFonts w:hint="eastAsia" w:ascii="宋体" w:hAnsi="宋体" w:cs="宋体"/>
          <w:color w:val="auto"/>
          <w:sz w:val="24"/>
          <w:szCs w:val="24"/>
          <w:highlight w:val="none"/>
        </w:rPr>
        <w:t>不属于依法必须招标的暂估价项目</w:t>
      </w:r>
    </w:p>
    <w:p w14:paraId="6F69A6E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对于不属于依法必须招标的暂估价项目的确认和批准采取</w:t>
      </w:r>
      <w:r>
        <w:rPr>
          <w:rFonts w:hint="eastAsia" w:ascii="宋体" w:hAnsi="宋体" w:cs="宋体"/>
          <w:color w:val="auto"/>
          <w:sz w:val="24"/>
          <w:szCs w:val="24"/>
          <w:highlight w:val="none"/>
          <w:u w:val="single"/>
        </w:rPr>
        <w:t>第1种或第3种</w:t>
      </w:r>
      <w:r>
        <w:rPr>
          <w:rFonts w:hint="eastAsia" w:ascii="宋体" w:hAnsi="宋体" w:cs="宋体"/>
          <w:color w:val="auto"/>
          <w:sz w:val="24"/>
          <w:szCs w:val="24"/>
          <w:highlight w:val="none"/>
        </w:rPr>
        <w:t>方式确定。</w:t>
      </w:r>
    </w:p>
    <w:p w14:paraId="123F160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3</w:t>
      </w:r>
      <w:r>
        <w:rPr>
          <w:rFonts w:hint="eastAsia" w:ascii="宋体" w:hAnsi="宋体" w:cs="宋体"/>
          <w:color w:val="auto"/>
          <w:sz w:val="24"/>
          <w:szCs w:val="24"/>
          <w:highlight w:val="none"/>
        </w:rPr>
        <w:t>种方式：承包人直接实施的暂估价项目</w:t>
      </w:r>
    </w:p>
    <w:p w14:paraId="129801E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承包人直接实施的暂估价项目的约定：</w:t>
      </w:r>
      <w:r>
        <w:rPr>
          <w:rFonts w:hint="eastAsia" w:ascii="宋体" w:hAnsi="宋体" w:cs="宋体"/>
          <w:color w:val="auto"/>
          <w:sz w:val="24"/>
          <w:szCs w:val="24"/>
          <w:highlight w:val="none"/>
          <w:u w:val="single"/>
        </w:rPr>
        <w:t>除依法必须招标的暂估价项目外，承包人具备实施暂估价项目的资格和条件的，</w:t>
      </w:r>
      <w:r>
        <w:rPr>
          <w:rFonts w:ascii="宋体" w:hAnsi="宋体" w:cs="宋体"/>
          <w:color w:val="auto"/>
          <w:sz w:val="24"/>
          <w:szCs w:val="24"/>
          <w:highlight w:val="none"/>
          <w:u w:val="single"/>
        </w:rPr>
        <w:t>承包人</w:t>
      </w:r>
      <w:r>
        <w:rPr>
          <w:rFonts w:hint="eastAsia" w:ascii="宋体" w:hAnsi="宋体" w:cs="宋体"/>
          <w:color w:val="auto"/>
          <w:sz w:val="24"/>
          <w:szCs w:val="24"/>
          <w:highlight w:val="none"/>
          <w:u w:val="single"/>
        </w:rPr>
        <w:t>在取得监理人和发包人同意后可</w:t>
      </w:r>
      <w:r>
        <w:rPr>
          <w:rFonts w:ascii="宋体" w:hAnsi="宋体" w:cs="宋体"/>
          <w:color w:val="auto"/>
          <w:sz w:val="24"/>
          <w:szCs w:val="24"/>
          <w:highlight w:val="none"/>
          <w:u w:val="single"/>
        </w:rPr>
        <w:t>自行实施暂估价项目</w:t>
      </w:r>
      <w:r>
        <w:rPr>
          <w:rFonts w:hint="eastAsia" w:ascii="宋体" w:hAnsi="宋体" w:cs="宋体"/>
          <w:color w:val="auto"/>
          <w:sz w:val="24"/>
          <w:szCs w:val="24"/>
          <w:highlight w:val="none"/>
        </w:rPr>
        <w:t>。</w:t>
      </w:r>
    </w:p>
    <w:p w14:paraId="1A2A614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10.8</w:t>
      </w:r>
      <w:r>
        <w:rPr>
          <w:rFonts w:hint="eastAsia" w:ascii="宋体" w:hAnsi="宋体" w:cs="宋体"/>
          <w:color w:val="auto"/>
          <w:sz w:val="24"/>
          <w:szCs w:val="24"/>
          <w:highlight w:val="none"/>
        </w:rPr>
        <w:t>暂列金额</w:t>
      </w:r>
    </w:p>
    <w:p w14:paraId="51BFD9A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合同当事人关于暂列金额使用的约定：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90094D7">
      <w:pPr>
        <w:autoSpaceDN w:val="0"/>
        <w:spacing w:line="360" w:lineRule="auto"/>
        <w:ind w:firstLine="480" w:firstLineChars="200"/>
        <w:rPr>
          <w:rFonts w:ascii="宋体" w:hAnsi="宋体" w:cs="宋体"/>
          <w:bCs/>
          <w:color w:val="auto"/>
          <w:sz w:val="24"/>
          <w:szCs w:val="24"/>
          <w:highlight w:val="none"/>
        </w:rPr>
      </w:pPr>
      <w:bookmarkStart w:id="461" w:name="_Toc351203643"/>
      <w:r>
        <w:rPr>
          <w:rFonts w:ascii="宋体" w:hAnsi="宋体" w:cs="宋体"/>
          <w:bCs/>
          <w:color w:val="auto"/>
          <w:sz w:val="24"/>
          <w:szCs w:val="24"/>
          <w:highlight w:val="none"/>
        </w:rPr>
        <w:t>11.</w:t>
      </w:r>
      <w:r>
        <w:rPr>
          <w:rFonts w:hint="eastAsia" w:ascii="宋体" w:hAnsi="宋体" w:cs="宋体"/>
          <w:bCs/>
          <w:color w:val="auto"/>
          <w:sz w:val="24"/>
          <w:szCs w:val="24"/>
          <w:highlight w:val="none"/>
        </w:rPr>
        <w:t>价格调整</w:t>
      </w:r>
      <w:bookmarkEnd w:id="461"/>
    </w:p>
    <w:p w14:paraId="45B97312">
      <w:pPr>
        <w:autoSpaceDN w:val="0"/>
        <w:spacing w:line="360" w:lineRule="auto"/>
        <w:ind w:firstLine="480" w:firstLineChars="200"/>
        <w:rPr>
          <w:rFonts w:ascii="宋体" w:hAnsi="宋体" w:cs="宋体"/>
          <w:color w:val="auto"/>
          <w:sz w:val="24"/>
          <w:szCs w:val="24"/>
          <w:highlight w:val="none"/>
        </w:rPr>
      </w:pPr>
      <w:bookmarkStart w:id="462" w:name="_Toc312678039"/>
      <w:bookmarkStart w:id="463" w:name="_Toc300935000"/>
      <w:bookmarkStart w:id="464" w:name="_Toc297123550"/>
      <w:bookmarkStart w:id="465" w:name="_Toc296891029"/>
      <w:bookmarkStart w:id="466" w:name="_Toc304295577"/>
      <w:bookmarkStart w:id="467" w:name="_Toc297216209"/>
      <w:bookmarkStart w:id="468" w:name="_Toc297120501"/>
      <w:bookmarkStart w:id="469" w:name="_Toc296347200"/>
      <w:bookmarkStart w:id="470" w:name="_Toc296891241"/>
      <w:bookmarkStart w:id="471" w:name="_Toc303539157"/>
      <w:bookmarkStart w:id="472" w:name="_Toc292559911"/>
      <w:bookmarkStart w:id="473" w:name="_Toc292559406"/>
      <w:bookmarkStart w:id="474" w:name="_Toc297048387"/>
      <w:bookmarkStart w:id="475" w:name="_Toc296944540"/>
      <w:bookmarkStart w:id="476" w:name="_Toc296346702"/>
      <w:bookmarkStart w:id="477" w:name="_Toc296503201"/>
      <w:r>
        <w:rPr>
          <w:rFonts w:ascii="宋体" w:hAnsi="宋体" w:cs="宋体"/>
          <w:color w:val="auto"/>
          <w:sz w:val="24"/>
          <w:szCs w:val="24"/>
          <w:highlight w:val="none"/>
        </w:rPr>
        <w:t>11.1</w:t>
      </w:r>
      <w:r>
        <w:rPr>
          <w:rFonts w:hint="eastAsia" w:ascii="宋体" w:hAnsi="宋体" w:cs="宋体"/>
          <w:color w:val="auto"/>
          <w:sz w:val="24"/>
          <w:szCs w:val="24"/>
          <w:highlight w:val="none"/>
        </w:rPr>
        <w:t>市场价格波动引起的调整</w:t>
      </w:r>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0EC46E2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市场价格波动是否调整合同价格的约定：</w:t>
      </w:r>
      <w:r>
        <w:rPr>
          <w:rFonts w:hint="eastAsia" w:ascii="宋体" w:hAnsi="宋体" w:cs="宋体"/>
          <w:color w:val="auto"/>
          <w:sz w:val="24"/>
          <w:szCs w:val="24"/>
          <w:highlight w:val="none"/>
          <w:u w:val="single"/>
        </w:rPr>
        <w:t>调整</w:t>
      </w:r>
      <w:r>
        <w:rPr>
          <w:rFonts w:hint="eastAsia" w:ascii="宋体" w:hAnsi="宋体" w:cs="宋体"/>
          <w:color w:val="auto"/>
          <w:sz w:val="24"/>
          <w:szCs w:val="24"/>
          <w:highlight w:val="none"/>
        </w:rPr>
        <w:t>。</w:t>
      </w:r>
    </w:p>
    <w:p w14:paraId="4A1AEE2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因市场价格波动调整合同价格，采用以下第</w:t>
      </w:r>
      <w:r>
        <w:rPr>
          <w:rFonts w:ascii="宋体" w:hAnsi="宋体" w:cs="宋体"/>
          <w:color w:val="auto"/>
          <w:sz w:val="24"/>
          <w:szCs w:val="24"/>
          <w:highlight w:val="none"/>
          <w:u w:val="single"/>
        </w:rPr>
        <w:t>2</w:t>
      </w:r>
      <w:r>
        <w:rPr>
          <w:rFonts w:hint="eastAsia" w:ascii="宋体" w:hAnsi="宋体" w:cs="宋体"/>
          <w:color w:val="auto"/>
          <w:sz w:val="24"/>
          <w:szCs w:val="24"/>
          <w:highlight w:val="none"/>
        </w:rPr>
        <w:t>种方式对合同价格进行调整：</w:t>
      </w:r>
    </w:p>
    <w:p w14:paraId="317A199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1</w:t>
      </w:r>
      <w:r>
        <w:rPr>
          <w:rFonts w:hint="eastAsia" w:ascii="宋体" w:hAnsi="宋体" w:cs="宋体"/>
          <w:color w:val="auto"/>
          <w:sz w:val="24"/>
          <w:szCs w:val="24"/>
          <w:highlight w:val="none"/>
        </w:rPr>
        <w:t>种方式：采用价格指数进行价格调整。</w:t>
      </w:r>
    </w:p>
    <w:p w14:paraId="673A2D1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关于各可调因子、定值和变值权重，以及基本价格指数及其来源的约定：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420C283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w:t>
      </w:r>
      <w:r>
        <w:rPr>
          <w:rFonts w:ascii="宋体" w:hAnsi="宋体" w:cs="宋体"/>
          <w:color w:val="auto"/>
          <w:sz w:val="24"/>
          <w:szCs w:val="24"/>
          <w:highlight w:val="none"/>
        </w:rPr>
        <w:t>2</w:t>
      </w:r>
      <w:r>
        <w:rPr>
          <w:rFonts w:hint="eastAsia" w:ascii="宋体" w:hAnsi="宋体" w:cs="宋体"/>
          <w:color w:val="auto"/>
          <w:sz w:val="24"/>
          <w:szCs w:val="24"/>
          <w:highlight w:val="none"/>
        </w:rPr>
        <w:t>种方式：采用造价信息进行价格调整。</w:t>
      </w:r>
    </w:p>
    <w:p w14:paraId="37CB77D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）关于基准价格的约定：</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15C2E26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时，或材料单价跌幅以已标价工程量清单或预算书中载明材料单价为基础超过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1B7A4D0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时，材料单价涨幅以已标价工程量清单或预算书中载明材料单价为基础超过</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4AB28A9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ascii="宋体" w:hAnsi="宋体" w:cs="宋体"/>
          <w:color w:val="auto"/>
          <w:sz w:val="24"/>
          <w:szCs w:val="24"/>
          <w:highlight w:val="none"/>
        </w:rPr>
        <w:t>±</w:t>
      </w:r>
      <w:r>
        <w:rPr>
          <w:rFonts w:hint="eastAsia" w:ascii="宋体" w:hAnsi="宋体" w:cs="宋体"/>
          <w:color w:val="auto"/>
          <w:sz w:val="24"/>
          <w:szCs w:val="24"/>
          <w:highlight w:val="none"/>
          <w:u w:val="single"/>
        </w:rPr>
        <w:t>10</w:t>
      </w:r>
      <w:r>
        <w:rPr>
          <w:rFonts w:ascii="宋体" w:hAnsi="宋体" w:cs="宋体"/>
          <w:color w:val="auto"/>
          <w:sz w:val="24"/>
          <w:szCs w:val="24"/>
          <w:highlight w:val="none"/>
        </w:rPr>
        <w:t>%</w:t>
      </w:r>
      <w:r>
        <w:rPr>
          <w:rFonts w:hint="eastAsia" w:ascii="宋体" w:hAnsi="宋体" w:cs="宋体"/>
          <w:color w:val="auto"/>
          <w:sz w:val="24"/>
          <w:szCs w:val="24"/>
          <w:highlight w:val="none"/>
        </w:rPr>
        <w:t>时，其超过部分据实调整。</w:t>
      </w:r>
    </w:p>
    <w:p w14:paraId="3026D51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第</w:t>
      </w:r>
      <w:r>
        <w:rPr>
          <w:rFonts w:ascii="宋体" w:hAnsi="宋体" w:cs="宋体"/>
          <w:color w:val="auto"/>
          <w:sz w:val="24"/>
          <w:szCs w:val="24"/>
          <w:highlight w:val="none"/>
        </w:rPr>
        <w:t>3</w:t>
      </w:r>
      <w:r>
        <w:rPr>
          <w:rFonts w:hint="eastAsia" w:ascii="宋体" w:hAnsi="宋体" w:cs="宋体"/>
          <w:color w:val="auto"/>
          <w:sz w:val="24"/>
          <w:szCs w:val="24"/>
          <w:highlight w:val="none"/>
        </w:rPr>
        <w:t>种方式：其他价格调整方式：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363"/>
    <w:bookmarkEnd w:id="364"/>
    <w:bookmarkEnd w:id="365"/>
    <w:bookmarkEnd w:id="366"/>
    <w:bookmarkEnd w:id="367"/>
    <w:bookmarkEnd w:id="368"/>
    <w:p w14:paraId="4FFDF92C">
      <w:pPr>
        <w:autoSpaceDN w:val="0"/>
        <w:spacing w:line="360" w:lineRule="auto"/>
        <w:ind w:firstLine="480" w:firstLineChars="200"/>
        <w:rPr>
          <w:rFonts w:ascii="宋体" w:hAnsi="宋体" w:cs="宋体"/>
          <w:bCs/>
          <w:color w:val="auto"/>
          <w:sz w:val="24"/>
          <w:szCs w:val="24"/>
          <w:highlight w:val="none"/>
        </w:rPr>
      </w:pPr>
      <w:bookmarkStart w:id="478" w:name="_Toc297048391"/>
      <w:bookmarkStart w:id="479" w:name="_Toc296347204"/>
      <w:bookmarkStart w:id="480" w:name="_Toc297120505"/>
      <w:bookmarkStart w:id="481" w:name="_Toc292559410"/>
      <w:bookmarkStart w:id="482" w:name="_Toc296503205"/>
      <w:bookmarkStart w:id="483" w:name="_Toc296891245"/>
      <w:bookmarkStart w:id="484" w:name="_Toc296944544"/>
      <w:bookmarkStart w:id="485" w:name="_Toc296346706"/>
      <w:bookmarkStart w:id="486" w:name="_Toc292559915"/>
      <w:bookmarkStart w:id="487" w:name="_Toc296891033"/>
      <w:bookmarkStart w:id="488" w:name="_Toc351203644"/>
      <w:bookmarkStart w:id="489" w:name="_Toc304295579"/>
      <w:bookmarkStart w:id="490" w:name="_Toc297123552"/>
      <w:bookmarkStart w:id="491" w:name="_Toc300935002"/>
      <w:bookmarkStart w:id="492" w:name="_Toc303539159"/>
      <w:bookmarkStart w:id="493" w:name="_Toc297216211"/>
      <w:bookmarkStart w:id="494" w:name="_Toc312678040"/>
      <w:r>
        <w:rPr>
          <w:rFonts w:ascii="宋体" w:hAnsi="宋体" w:cs="宋体"/>
          <w:bCs/>
          <w:color w:val="auto"/>
          <w:sz w:val="24"/>
          <w:szCs w:val="24"/>
          <w:highlight w:val="none"/>
        </w:rPr>
        <w:t>12.</w:t>
      </w:r>
      <w:bookmarkEnd w:id="478"/>
      <w:bookmarkEnd w:id="479"/>
      <w:bookmarkEnd w:id="480"/>
      <w:bookmarkEnd w:id="481"/>
      <w:bookmarkEnd w:id="482"/>
      <w:bookmarkEnd w:id="483"/>
      <w:bookmarkEnd w:id="484"/>
      <w:bookmarkEnd w:id="485"/>
      <w:bookmarkEnd w:id="486"/>
      <w:bookmarkEnd w:id="487"/>
      <w:r>
        <w:rPr>
          <w:rFonts w:hint="eastAsia" w:ascii="宋体" w:hAnsi="宋体" w:cs="宋体"/>
          <w:bCs/>
          <w:color w:val="auto"/>
          <w:sz w:val="24"/>
          <w:szCs w:val="24"/>
          <w:highlight w:val="none"/>
        </w:rPr>
        <w:t>合同价格、计量与支付</w:t>
      </w:r>
      <w:bookmarkEnd w:id="488"/>
    </w:p>
    <w:bookmarkEnd w:id="489"/>
    <w:bookmarkEnd w:id="490"/>
    <w:bookmarkEnd w:id="491"/>
    <w:bookmarkEnd w:id="492"/>
    <w:bookmarkEnd w:id="493"/>
    <w:bookmarkEnd w:id="494"/>
    <w:p w14:paraId="4CDA1B07">
      <w:pPr>
        <w:autoSpaceDN w:val="0"/>
        <w:spacing w:line="360" w:lineRule="auto"/>
        <w:ind w:firstLine="480" w:firstLineChars="200"/>
        <w:rPr>
          <w:rFonts w:ascii="宋体" w:hAnsi="宋体" w:cs="宋体"/>
          <w:color w:val="auto"/>
          <w:sz w:val="24"/>
          <w:szCs w:val="24"/>
          <w:highlight w:val="none"/>
        </w:rPr>
      </w:pPr>
      <w:bookmarkStart w:id="495" w:name="_Toc292559916"/>
      <w:bookmarkStart w:id="496" w:name="_Toc292559411"/>
      <w:bookmarkStart w:id="497" w:name="_Toc267251461"/>
      <w:bookmarkStart w:id="498" w:name="_Toc296347205"/>
      <w:bookmarkStart w:id="499" w:name="_Toc296346707"/>
      <w:bookmarkStart w:id="500" w:name="_Toc296503206"/>
      <w:bookmarkStart w:id="501" w:name="_Toc297048392"/>
      <w:bookmarkStart w:id="502" w:name="_Toc296891034"/>
      <w:bookmarkStart w:id="503" w:name="_Toc297120506"/>
      <w:bookmarkStart w:id="504" w:name="_Toc296944545"/>
      <w:bookmarkStart w:id="505" w:name="_Toc296891246"/>
      <w:bookmarkStart w:id="506" w:name="_Toc297216212"/>
      <w:bookmarkStart w:id="507" w:name="_Toc300935003"/>
      <w:bookmarkStart w:id="508" w:name="_Toc303539160"/>
      <w:bookmarkStart w:id="509" w:name="_Toc312678041"/>
      <w:bookmarkStart w:id="510" w:name="_Toc297123553"/>
      <w:bookmarkStart w:id="511" w:name="_Toc304295580"/>
      <w:r>
        <w:rPr>
          <w:rFonts w:ascii="宋体" w:hAnsi="宋体" w:cs="宋体"/>
          <w:color w:val="auto"/>
          <w:sz w:val="24"/>
          <w:szCs w:val="24"/>
          <w:highlight w:val="none"/>
        </w:rPr>
        <w:t>12.1</w:t>
      </w:r>
      <w:r>
        <w:rPr>
          <w:rFonts w:hint="eastAsia" w:ascii="宋体" w:hAnsi="宋体" w:cs="宋体"/>
          <w:color w:val="auto"/>
          <w:sz w:val="24"/>
          <w:szCs w:val="24"/>
          <w:highlight w:val="none"/>
        </w:rPr>
        <w:t>合</w:t>
      </w:r>
      <w:bookmarkEnd w:id="495"/>
      <w:bookmarkEnd w:id="496"/>
      <w:bookmarkEnd w:id="497"/>
      <w:r>
        <w:rPr>
          <w:rFonts w:hint="eastAsia" w:ascii="宋体" w:hAnsi="宋体" w:cs="宋体"/>
          <w:color w:val="auto"/>
          <w:sz w:val="24"/>
          <w:szCs w:val="24"/>
          <w:highlight w:val="none"/>
        </w:rPr>
        <w:t>同价</w:t>
      </w:r>
      <w:bookmarkEnd w:id="498"/>
      <w:bookmarkEnd w:id="499"/>
      <w:bookmarkEnd w:id="500"/>
      <w:bookmarkEnd w:id="501"/>
      <w:bookmarkEnd w:id="502"/>
      <w:bookmarkEnd w:id="503"/>
      <w:bookmarkEnd w:id="504"/>
      <w:bookmarkEnd w:id="505"/>
      <w:r>
        <w:rPr>
          <w:rFonts w:hint="eastAsia" w:ascii="宋体" w:hAnsi="宋体" w:cs="宋体"/>
          <w:color w:val="auto"/>
          <w:sz w:val="24"/>
          <w:szCs w:val="24"/>
          <w:highlight w:val="none"/>
        </w:rPr>
        <w:t>格形式</w:t>
      </w:r>
    </w:p>
    <w:bookmarkEnd w:id="506"/>
    <w:bookmarkEnd w:id="507"/>
    <w:bookmarkEnd w:id="508"/>
    <w:bookmarkEnd w:id="509"/>
    <w:bookmarkEnd w:id="510"/>
    <w:bookmarkEnd w:id="511"/>
    <w:p w14:paraId="341BD768">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、单价合同。</w:t>
      </w:r>
    </w:p>
    <w:p w14:paraId="0CA6888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综合单价包含的风险范围：</w:t>
      </w:r>
      <w:r>
        <w:rPr>
          <w:rFonts w:hint="eastAsia" w:ascii="宋体" w:hAnsi="宋体" w:cs="宋体"/>
          <w:color w:val="auto"/>
          <w:sz w:val="24"/>
          <w:szCs w:val="24"/>
          <w:highlight w:val="none"/>
          <w:u w:val="single"/>
        </w:rPr>
        <w:t>本合同约定的可调价范围外的一切可能引起工程费用增加的风险因素。</w:t>
      </w:r>
    </w:p>
    <w:p w14:paraId="48D9CE9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风险费用的计算方法：</w:t>
      </w:r>
      <w:r>
        <w:rPr>
          <w:rFonts w:hint="eastAsia" w:ascii="宋体" w:hAnsi="宋体" w:cs="宋体"/>
          <w:color w:val="auto"/>
          <w:sz w:val="24"/>
          <w:szCs w:val="24"/>
          <w:highlight w:val="none"/>
          <w:u w:val="single"/>
        </w:rPr>
        <w:t>不计算</w:t>
      </w:r>
      <w:r>
        <w:rPr>
          <w:rFonts w:hint="eastAsia" w:ascii="宋体" w:hAnsi="宋体" w:cs="宋体"/>
          <w:color w:val="auto"/>
          <w:sz w:val="24"/>
          <w:szCs w:val="24"/>
          <w:highlight w:val="none"/>
        </w:rPr>
        <w:t>。</w:t>
      </w:r>
    </w:p>
    <w:p w14:paraId="0C0401F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风险范围以外合同价格的调整方法：</w:t>
      </w:r>
      <w:r>
        <w:rPr>
          <w:rFonts w:hint="eastAsia" w:ascii="宋体" w:hAnsi="宋体" w:cs="宋体"/>
          <w:color w:val="auto"/>
          <w:sz w:val="24"/>
          <w:szCs w:val="24"/>
          <w:highlight w:val="none"/>
          <w:u w:val="single"/>
        </w:rPr>
        <w:t>按照合同约定调整</w:t>
      </w:r>
      <w:r>
        <w:rPr>
          <w:rFonts w:hint="eastAsia" w:ascii="宋体" w:hAnsi="宋体" w:cs="宋体"/>
          <w:color w:val="auto"/>
          <w:sz w:val="24"/>
          <w:szCs w:val="24"/>
          <w:highlight w:val="none"/>
        </w:rPr>
        <w:t>。</w:t>
      </w:r>
    </w:p>
    <w:p w14:paraId="056855E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、总价合同。</w:t>
      </w:r>
    </w:p>
    <w:p w14:paraId="29DAFA3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总价包含的风险范围：</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7033B2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风险费用的计算方法：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19D1B1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风险范围以外合同价格的调整方法：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089F5FF3">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、其他价格方式：</w:t>
      </w:r>
      <w:r>
        <w:rPr>
          <w:rFonts w:hint="eastAsia" w:ascii="宋体" w:hAnsi="宋体" w:cs="宋体"/>
          <w:color w:val="auto"/>
          <w:sz w:val="24"/>
          <w:szCs w:val="24"/>
          <w:highlight w:val="none"/>
          <w:u w:val="single"/>
        </w:rPr>
        <w:t>本合同不采用其他价格方式</w:t>
      </w:r>
      <w:r>
        <w:rPr>
          <w:rFonts w:hint="eastAsia" w:ascii="宋体" w:hAnsi="宋体" w:cs="宋体"/>
          <w:color w:val="auto"/>
          <w:sz w:val="24"/>
          <w:szCs w:val="24"/>
          <w:highlight w:val="none"/>
        </w:rPr>
        <w:t>。</w:t>
      </w:r>
    </w:p>
    <w:p w14:paraId="039BC8E1">
      <w:pPr>
        <w:autoSpaceDN w:val="0"/>
        <w:spacing w:line="360" w:lineRule="auto"/>
        <w:ind w:firstLine="480" w:firstLineChars="200"/>
        <w:rPr>
          <w:rFonts w:ascii="宋体" w:hAnsi="宋体" w:cs="宋体"/>
          <w:color w:val="auto"/>
          <w:sz w:val="24"/>
          <w:szCs w:val="24"/>
          <w:highlight w:val="none"/>
        </w:rPr>
      </w:pPr>
      <w:bookmarkStart w:id="512" w:name="_Toc312678042"/>
      <w:bookmarkStart w:id="513" w:name="_Toc297216213"/>
      <w:bookmarkStart w:id="514" w:name="_Toc297123554"/>
      <w:bookmarkStart w:id="515" w:name="_Toc300935004"/>
      <w:bookmarkStart w:id="516" w:name="_Toc304295581"/>
      <w:bookmarkStart w:id="517" w:name="_Toc303539161"/>
      <w:bookmarkStart w:id="518" w:name="_Toc296891247"/>
      <w:bookmarkStart w:id="519" w:name="_Toc297120507"/>
      <w:bookmarkStart w:id="520" w:name="_Toc296347206"/>
      <w:bookmarkStart w:id="521" w:name="_Toc297048393"/>
      <w:bookmarkStart w:id="522" w:name="_Toc296944546"/>
      <w:bookmarkStart w:id="523" w:name="_Toc296346708"/>
      <w:bookmarkStart w:id="524" w:name="_Toc292559412"/>
      <w:bookmarkStart w:id="525" w:name="_Toc296891035"/>
      <w:bookmarkStart w:id="526" w:name="_Toc292559917"/>
      <w:bookmarkStart w:id="527" w:name="_Toc296503207"/>
      <w:r>
        <w:rPr>
          <w:rFonts w:ascii="宋体" w:hAnsi="宋体" w:cs="宋体"/>
          <w:color w:val="auto"/>
          <w:sz w:val="24"/>
          <w:szCs w:val="24"/>
          <w:highlight w:val="none"/>
        </w:rPr>
        <w:t>12.2</w:t>
      </w:r>
      <w:r>
        <w:rPr>
          <w:rFonts w:hint="eastAsia" w:ascii="宋体" w:hAnsi="宋体" w:cs="宋体"/>
          <w:color w:val="auto"/>
          <w:sz w:val="24"/>
          <w:szCs w:val="24"/>
          <w:highlight w:val="none"/>
        </w:rPr>
        <w:t>预付款</w:t>
      </w:r>
    </w:p>
    <w:bookmarkEnd w:id="512"/>
    <w:bookmarkEnd w:id="513"/>
    <w:bookmarkEnd w:id="514"/>
    <w:bookmarkEnd w:id="515"/>
    <w:bookmarkEnd w:id="516"/>
    <w:bookmarkEnd w:id="517"/>
    <w:p w14:paraId="278C922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12.2.1</w:t>
      </w:r>
      <w:r>
        <w:rPr>
          <w:rFonts w:hint="eastAsia" w:ascii="宋体" w:hAnsi="宋体" w:cs="宋体"/>
          <w:color w:val="auto"/>
          <w:sz w:val="24"/>
          <w:szCs w:val="24"/>
          <w:highlight w:val="none"/>
        </w:rPr>
        <w:t>预付款的支付</w:t>
      </w:r>
    </w:p>
    <w:p w14:paraId="514A8FA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预付款支付比例或金额：</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7C5BE0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预付款支付期限：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126DCB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预付款扣回的方式：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2A24B6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12.2.2</w:t>
      </w:r>
      <w:r>
        <w:rPr>
          <w:rFonts w:hint="eastAsia" w:ascii="宋体" w:hAnsi="宋体" w:cs="宋体"/>
          <w:color w:val="auto"/>
          <w:sz w:val="24"/>
          <w:szCs w:val="24"/>
          <w:highlight w:val="none"/>
        </w:rPr>
        <w:t>预付款担保</w:t>
      </w:r>
    </w:p>
    <w:p w14:paraId="11DB985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承包人提交预付款担保的期限：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B1B39D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预付款担保的形式为：</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18"/>
    <w:bookmarkEnd w:id="519"/>
    <w:bookmarkEnd w:id="520"/>
    <w:bookmarkEnd w:id="521"/>
    <w:bookmarkEnd w:id="522"/>
    <w:bookmarkEnd w:id="523"/>
    <w:bookmarkEnd w:id="524"/>
    <w:bookmarkEnd w:id="525"/>
    <w:bookmarkEnd w:id="526"/>
    <w:bookmarkEnd w:id="527"/>
    <w:p w14:paraId="31777EB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w:t>
      </w:r>
      <w:r>
        <w:rPr>
          <w:rFonts w:hint="eastAsia" w:ascii="宋体" w:hAnsi="宋体" w:cs="宋体"/>
          <w:color w:val="auto"/>
          <w:sz w:val="24"/>
          <w:szCs w:val="24"/>
          <w:highlight w:val="none"/>
        </w:rPr>
        <w:t>计量</w:t>
      </w:r>
    </w:p>
    <w:p w14:paraId="60C434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12.3.1</w:t>
      </w:r>
      <w:r>
        <w:rPr>
          <w:rFonts w:hint="eastAsia" w:ascii="宋体" w:hAnsi="宋体" w:cs="宋体"/>
          <w:color w:val="auto"/>
          <w:sz w:val="24"/>
          <w:szCs w:val="24"/>
          <w:highlight w:val="none"/>
        </w:rPr>
        <w:t>计量原则</w:t>
      </w:r>
    </w:p>
    <w:p w14:paraId="19D4A931">
      <w:pPr>
        <w:autoSpaceDN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工程量计算规则：</w:t>
      </w:r>
      <w:r>
        <w:rPr>
          <w:rFonts w:hint="eastAsia" w:ascii="宋体" w:hAnsi="宋体" w:cs="宋体"/>
          <w:color w:val="auto"/>
          <w:sz w:val="24"/>
          <w:szCs w:val="24"/>
          <w:highlight w:val="none"/>
          <w:u w:val="single"/>
        </w:rPr>
        <w:t>。</w:t>
      </w:r>
    </w:p>
    <w:p w14:paraId="58DD04D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12.3.2</w:t>
      </w:r>
      <w:r>
        <w:rPr>
          <w:rFonts w:hint="eastAsia" w:ascii="宋体" w:hAnsi="宋体" w:cs="宋体"/>
          <w:color w:val="auto"/>
          <w:sz w:val="24"/>
          <w:szCs w:val="24"/>
          <w:highlight w:val="none"/>
        </w:rPr>
        <w:t>计量周期</w:t>
      </w:r>
    </w:p>
    <w:p w14:paraId="0882648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关于计量周期的约定：</w:t>
      </w:r>
      <w:r>
        <w:rPr>
          <w:rFonts w:hint="eastAsia" w:ascii="宋体" w:hAnsi="宋体" w:cs="宋体"/>
          <w:color w:val="auto"/>
          <w:sz w:val="24"/>
          <w:szCs w:val="24"/>
          <w:highlight w:val="none"/>
          <w:u w:val="single"/>
        </w:rPr>
        <w:t>本工程根据形象进度计量，计量的结果仅作为拨付进度款的依据，不作为最终结算的依据。工程量最终以工程完工后，审计局认定的工程量为准。</w:t>
      </w:r>
    </w:p>
    <w:p w14:paraId="0944F7C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12.3.3</w:t>
      </w:r>
      <w:r>
        <w:rPr>
          <w:rFonts w:hint="eastAsia" w:ascii="宋体" w:hAnsi="宋体" w:cs="宋体"/>
          <w:color w:val="auto"/>
          <w:sz w:val="24"/>
          <w:szCs w:val="24"/>
          <w:highlight w:val="none"/>
        </w:rPr>
        <w:t>单价合同的计量</w:t>
      </w:r>
    </w:p>
    <w:p w14:paraId="67DCC44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关于单价合同计量的约定：</w:t>
      </w:r>
      <w:r>
        <w:rPr>
          <w:rFonts w:hint="eastAsia" w:ascii="宋体" w:hAnsi="宋体" w:cs="宋体"/>
          <w:color w:val="auto"/>
          <w:sz w:val="24"/>
          <w:szCs w:val="24"/>
          <w:highlight w:val="none"/>
          <w:u w:val="single"/>
        </w:rPr>
        <w:t>。</w:t>
      </w:r>
    </w:p>
    <w:p w14:paraId="29DC910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12.3.4</w:t>
      </w:r>
      <w:r>
        <w:rPr>
          <w:rFonts w:hint="eastAsia" w:ascii="宋体" w:hAnsi="宋体" w:cs="宋体"/>
          <w:color w:val="auto"/>
          <w:sz w:val="24"/>
          <w:szCs w:val="24"/>
          <w:highlight w:val="none"/>
        </w:rPr>
        <w:t>总价合同的计量</w:t>
      </w:r>
    </w:p>
    <w:p w14:paraId="47BADC7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关于总价合同计量的约定：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2E923F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12.3.5</w:t>
      </w:r>
      <w:r>
        <w:rPr>
          <w:rFonts w:hint="eastAsia" w:ascii="宋体" w:hAnsi="宋体" w:cs="宋体"/>
          <w:color w:val="auto"/>
          <w:sz w:val="24"/>
          <w:szCs w:val="24"/>
          <w:highlight w:val="none"/>
        </w:rPr>
        <w:t>总价合同采用支付分解表计量支付的，是否适用第</w:t>
      </w:r>
      <w:r>
        <w:rPr>
          <w:rFonts w:ascii="宋体" w:hAnsi="宋体" w:cs="宋体"/>
          <w:color w:val="auto"/>
          <w:sz w:val="24"/>
          <w:szCs w:val="24"/>
          <w:highlight w:val="none"/>
        </w:rPr>
        <w:t>12.3.4</w:t>
      </w:r>
      <w:r>
        <w:rPr>
          <w:rFonts w:hint="eastAsia" w:ascii="宋体" w:hAnsi="宋体" w:cs="宋体"/>
          <w:color w:val="auto"/>
          <w:sz w:val="24"/>
          <w:szCs w:val="24"/>
          <w:highlight w:val="none"/>
        </w:rPr>
        <w:t>项〔总价合同的计量〕约定进行计量：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19693B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12.3.6</w:t>
      </w:r>
      <w:r>
        <w:rPr>
          <w:rFonts w:hint="eastAsia" w:ascii="宋体" w:hAnsi="宋体" w:cs="宋体"/>
          <w:color w:val="auto"/>
          <w:sz w:val="24"/>
          <w:szCs w:val="24"/>
          <w:highlight w:val="none"/>
        </w:rPr>
        <w:t>其他价格形式合同的计量</w:t>
      </w:r>
    </w:p>
    <w:p w14:paraId="7992E67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其他价格形式的计量方式和程序：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B4B22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w:t>
      </w:r>
      <w:r>
        <w:rPr>
          <w:rFonts w:hint="eastAsia" w:ascii="宋体" w:hAnsi="宋体" w:cs="宋体"/>
          <w:color w:val="auto"/>
          <w:sz w:val="24"/>
          <w:szCs w:val="24"/>
          <w:highlight w:val="none"/>
        </w:rPr>
        <w:t>工程进度款支付</w:t>
      </w:r>
    </w:p>
    <w:p w14:paraId="1F4D7749">
      <w:pPr>
        <w:autoSpaceDN w:val="0"/>
        <w:spacing w:line="360" w:lineRule="auto"/>
        <w:ind w:firstLine="480" w:firstLineChars="200"/>
        <w:rPr>
          <w:rFonts w:ascii="宋体" w:hAnsi="宋体" w:cs="宋体"/>
          <w:color w:val="auto"/>
          <w:sz w:val="24"/>
          <w:szCs w:val="24"/>
          <w:highlight w:val="none"/>
        </w:rPr>
      </w:pPr>
      <w:bookmarkStart w:id="528" w:name="_Toc296503211"/>
      <w:bookmarkStart w:id="529" w:name="_Toc292559921"/>
      <w:bookmarkStart w:id="530" w:name="_Toc297120511"/>
      <w:bookmarkStart w:id="531" w:name="_Toc303539163"/>
      <w:bookmarkStart w:id="532" w:name="_Toc300935006"/>
      <w:bookmarkStart w:id="533" w:name="_Toc297048397"/>
      <w:bookmarkStart w:id="534" w:name="_Toc296347210"/>
      <w:bookmarkStart w:id="535" w:name="_Toc296891039"/>
      <w:bookmarkStart w:id="536" w:name="_Toc296346712"/>
      <w:bookmarkStart w:id="537" w:name="_Toc296891251"/>
      <w:bookmarkStart w:id="538" w:name="_Toc297216215"/>
      <w:bookmarkStart w:id="539" w:name="_Toc296944550"/>
      <w:bookmarkStart w:id="540" w:name="_Toc297123556"/>
      <w:bookmarkStart w:id="541" w:name="_Toc292559416"/>
      <w:r>
        <w:rPr>
          <w:rFonts w:ascii="宋体" w:hAnsi="宋体" w:cs="宋体"/>
          <w:color w:val="auto"/>
          <w:sz w:val="24"/>
          <w:szCs w:val="24"/>
          <w:highlight w:val="none"/>
        </w:rPr>
        <w:t>12.4.1</w:t>
      </w:r>
      <w:r>
        <w:rPr>
          <w:rFonts w:hint="eastAsia" w:ascii="宋体" w:hAnsi="宋体" w:cs="宋体"/>
          <w:color w:val="auto"/>
          <w:sz w:val="24"/>
          <w:szCs w:val="24"/>
          <w:highlight w:val="none"/>
        </w:rPr>
        <w:t>付款周期</w:t>
      </w:r>
    </w:p>
    <w:p w14:paraId="5BF1559C">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关于付款周期的约定：</w:t>
      </w:r>
      <w:r>
        <w:rPr>
          <w:rFonts w:hint="eastAsia" w:ascii="宋体" w:hAnsi="宋体" w:cs="宋体"/>
          <w:color w:val="auto"/>
          <w:sz w:val="24"/>
          <w:szCs w:val="24"/>
          <w:highlight w:val="none"/>
          <w:u w:val="single"/>
        </w:rPr>
        <w:t>按工程进度付款：。</w:t>
      </w:r>
    </w:p>
    <w:p w14:paraId="49B0E3D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12.4.2</w:t>
      </w:r>
      <w:r>
        <w:rPr>
          <w:rFonts w:hint="eastAsia" w:ascii="宋体" w:hAnsi="宋体" w:cs="宋体"/>
          <w:color w:val="auto"/>
          <w:sz w:val="24"/>
          <w:szCs w:val="24"/>
          <w:highlight w:val="none"/>
        </w:rPr>
        <w:t>进度付款申请单的编制</w:t>
      </w:r>
    </w:p>
    <w:p w14:paraId="453CF847">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关于进度付款申请单编制的约定：</w:t>
      </w:r>
      <w:r>
        <w:rPr>
          <w:rFonts w:hint="eastAsia" w:ascii="宋体" w:hAnsi="宋体" w:cs="宋体"/>
          <w:color w:val="auto"/>
          <w:sz w:val="24"/>
          <w:szCs w:val="24"/>
          <w:highlight w:val="none"/>
          <w:u w:val="single"/>
        </w:rPr>
        <w:t>支付申请的内容除通用条款外包括但不限于：</w:t>
      </w:r>
    </w:p>
    <w:p w14:paraId="7C9989BE">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支付申请表；</w:t>
      </w:r>
    </w:p>
    <w:p w14:paraId="00BF144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2.工程进度款预算书;</w:t>
      </w:r>
    </w:p>
    <w:p w14:paraId="160118F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资金申请审批表。</w:t>
      </w:r>
    </w:p>
    <w:p w14:paraId="0054B21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ascii="宋体" w:hAnsi="宋体" w:cs="宋体"/>
          <w:color w:val="auto"/>
          <w:sz w:val="24"/>
          <w:szCs w:val="24"/>
          <w:highlight w:val="none"/>
        </w:rPr>
        <w:t>2.4.3</w:t>
      </w:r>
      <w:r>
        <w:rPr>
          <w:rFonts w:hint="eastAsia" w:ascii="宋体" w:hAnsi="宋体" w:cs="宋体"/>
          <w:color w:val="auto"/>
          <w:sz w:val="24"/>
          <w:szCs w:val="24"/>
          <w:highlight w:val="none"/>
        </w:rPr>
        <w:t>进度付款申请单的提交</w:t>
      </w:r>
    </w:p>
    <w:p w14:paraId="7C40F20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）单价合同进度付款申请单提交的约定：</w:t>
      </w:r>
      <w:r>
        <w:rPr>
          <w:rFonts w:hint="eastAsia" w:ascii="宋体" w:hAnsi="宋体" w:cs="宋体"/>
          <w:color w:val="auto"/>
          <w:sz w:val="24"/>
          <w:szCs w:val="24"/>
          <w:highlight w:val="none"/>
          <w:u w:val="single"/>
        </w:rPr>
        <w:t>。</w:t>
      </w:r>
    </w:p>
    <w:p w14:paraId="655344A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）总价合同进度付款申请单提交的约定：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256F916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）其他价格形式合同进度付款申请单提交的约定：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406E249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12.4.4</w:t>
      </w:r>
      <w:r>
        <w:rPr>
          <w:rFonts w:hint="eastAsia" w:ascii="宋体" w:hAnsi="宋体" w:cs="宋体"/>
          <w:color w:val="auto"/>
          <w:sz w:val="24"/>
          <w:szCs w:val="24"/>
          <w:highlight w:val="none"/>
        </w:rPr>
        <w:t>进度款审核和支付</w:t>
      </w:r>
    </w:p>
    <w:p w14:paraId="6CEDD362">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）监理人审查并报送发包人的期限：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0001E6C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发包人完成审批并签发进度款支付证书的期限：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D2CE22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）发包人支付进度款的期限：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2732A97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发包人逾期支付进度款的违约金的计算方式：</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16EDC7AC">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12.4.6</w:t>
      </w:r>
      <w:r>
        <w:rPr>
          <w:rFonts w:hint="eastAsia" w:ascii="宋体" w:hAnsi="宋体" w:cs="宋体"/>
          <w:color w:val="auto"/>
          <w:sz w:val="24"/>
          <w:szCs w:val="24"/>
          <w:highlight w:val="none"/>
        </w:rPr>
        <w:t>支付分解表的编制</w:t>
      </w:r>
    </w:p>
    <w:p w14:paraId="5FA22B8F">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、总价合同支付分解表的编制与审批：</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58ABE767">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rPr>
        <w:t>、单价合同的总价项目支付分解表的编制与审批：</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bookmarkEnd w:id="369"/>
    <w:p w14:paraId="54BD661F">
      <w:pPr>
        <w:autoSpaceDN w:val="0"/>
        <w:spacing w:line="360" w:lineRule="auto"/>
        <w:ind w:firstLine="480" w:firstLineChars="200"/>
        <w:rPr>
          <w:rFonts w:ascii="宋体" w:hAnsi="宋体" w:cs="宋体"/>
          <w:bCs/>
          <w:color w:val="auto"/>
          <w:sz w:val="24"/>
          <w:szCs w:val="24"/>
          <w:highlight w:val="none"/>
        </w:rPr>
      </w:pPr>
      <w:bookmarkStart w:id="542" w:name="_Toc351203645"/>
      <w:bookmarkStart w:id="543" w:name="_Toc292559424"/>
      <w:bookmarkStart w:id="544" w:name="_Toc296503219"/>
      <w:bookmarkStart w:id="545" w:name="_Toc296346720"/>
      <w:bookmarkStart w:id="546" w:name="_Toc296347218"/>
      <w:bookmarkStart w:id="547" w:name="_Toc297123564"/>
      <w:bookmarkStart w:id="548" w:name="_Toc303539172"/>
      <w:bookmarkStart w:id="549" w:name="_Toc292559929"/>
      <w:bookmarkStart w:id="550" w:name="_Toc312678053"/>
      <w:bookmarkStart w:id="551" w:name="_Toc297216223"/>
      <w:bookmarkStart w:id="552" w:name="_Toc297120519"/>
      <w:bookmarkStart w:id="553" w:name="_Toc296944558"/>
      <w:bookmarkStart w:id="554" w:name="_Toc304295593"/>
      <w:bookmarkStart w:id="555" w:name="_Toc300935015"/>
      <w:bookmarkStart w:id="556" w:name="_Toc296891047"/>
      <w:bookmarkStart w:id="557" w:name="_Toc297048405"/>
      <w:bookmarkStart w:id="558" w:name="_Toc296891259"/>
      <w:r>
        <w:rPr>
          <w:rFonts w:ascii="宋体" w:hAnsi="宋体" w:cs="宋体"/>
          <w:bCs/>
          <w:color w:val="auto"/>
          <w:sz w:val="24"/>
          <w:szCs w:val="24"/>
          <w:highlight w:val="none"/>
        </w:rPr>
        <w:t>13.</w:t>
      </w:r>
      <w:r>
        <w:rPr>
          <w:rFonts w:hint="eastAsia" w:ascii="宋体" w:hAnsi="宋体" w:cs="宋体"/>
          <w:bCs/>
          <w:color w:val="auto"/>
          <w:sz w:val="24"/>
          <w:szCs w:val="24"/>
          <w:highlight w:val="none"/>
        </w:rPr>
        <w:t>验收和工程试车</w:t>
      </w:r>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4BB7D88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分部分项工程验收</w:t>
      </w:r>
    </w:p>
    <w:p w14:paraId="3959803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13.1.2</w:t>
      </w:r>
      <w:r>
        <w:rPr>
          <w:rFonts w:hint="eastAsia" w:ascii="宋体" w:hAnsi="宋体" w:cs="宋体"/>
          <w:color w:val="auto"/>
          <w:sz w:val="24"/>
          <w:szCs w:val="24"/>
          <w:highlight w:val="none"/>
        </w:rPr>
        <w:t>监理人不能按时进行验收时，应提前</w:t>
      </w:r>
      <w:r>
        <w:rPr>
          <w:rFonts w:ascii="宋体" w:hAnsi="宋体" w:cs="宋体"/>
          <w:color w:val="auto"/>
          <w:sz w:val="24"/>
          <w:szCs w:val="24"/>
          <w:highlight w:val="none"/>
          <w:u w:val="single"/>
        </w:rPr>
        <w:t>24</w:t>
      </w:r>
      <w:r>
        <w:rPr>
          <w:rFonts w:hint="eastAsia" w:ascii="宋体" w:hAnsi="宋体" w:cs="宋体"/>
          <w:color w:val="auto"/>
          <w:sz w:val="24"/>
          <w:szCs w:val="24"/>
          <w:highlight w:val="none"/>
        </w:rPr>
        <w:t>小时提交书面延期要求。</w:t>
      </w:r>
    </w:p>
    <w:p w14:paraId="5523BE03">
      <w:pPr>
        <w:autoSpaceDN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关于延期最长不得超过：</w:t>
      </w:r>
      <w:r>
        <w:rPr>
          <w:rFonts w:ascii="宋体" w:hAnsi="宋体" w:cs="宋体"/>
          <w:color w:val="auto"/>
          <w:sz w:val="24"/>
          <w:szCs w:val="24"/>
          <w:highlight w:val="none"/>
          <w:u w:val="single"/>
        </w:rPr>
        <w:t>48</w:t>
      </w:r>
      <w:r>
        <w:rPr>
          <w:rFonts w:hint="eastAsia" w:ascii="宋体" w:hAnsi="宋体" w:cs="宋体"/>
          <w:color w:val="auto"/>
          <w:sz w:val="24"/>
          <w:szCs w:val="24"/>
          <w:highlight w:val="none"/>
        </w:rPr>
        <w:t>小时。</w:t>
      </w:r>
    </w:p>
    <w:p w14:paraId="08F82388">
      <w:pPr>
        <w:autoSpaceDN w:val="0"/>
        <w:spacing w:line="360" w:lineRule="auto"/>
        <w:ind w:firstLine="480" w:firstLineChars="200"/>
        <w:rPr>
          <w:rFonts w:ascii="宋体" w:hAnsi="宋体" w:cs="宋体"/>
          <w:color w:val="auto"/>
          <w:sz w:val="24"/>
          <w:szCs w:val="24"/>
          <w:highlight w:val="none"/>
        </w:rPr>
      </w:pPr>
      <w:bookmarkStart w:id="559" w:name="_Toc297216224"/>
      <w:bookmarkStart w:id="560" w:name="_Toc296503223"/>
      <w:bookmarkStart w:id="561" w:name="_Toc297048409"/>
      <w:bookmarkStart w:id="562" w:name="_Toc297123565"/>
      <w:bookmarkStart w:id="563" w:name="_Toc292559428"/>
      <w:bookmarkStart w:id="564" w:name="_Toc303539173"/>
      <w:bookmarkStart w:id="565" w:name="_Toc296347222"/>
      <w:bookmarkStart w:id="566" w:name="_Toc304295596"/>
      <w:bookmarkStart w:id="567" w:name="_Toc300935016"/>
      <w:bookmarkStart w:id="568" w:name="_Toc296891051"/>
      <w:bookmarkStart w:id="569" w:name="_Toc296346724"/>
      <w:bookmarkStart w:id="570" w:name="_Toc296891263"/>
      <w:bookmarkStart w:id="571" w:name="_Toc296944562"/>
      <w:bookmarkStart w:id="572" w:name="_Toc312678056"/>
      <w:bookmarkStart w:id="573" w:name="_Toc292559933"/>
      <w:bookmarkStart w:id="574" w:name="_Toc297120523"/>
      <w:bookmarkStart w:id="575" w:name="_Toc267251470"/>
      <w:bookmarkStart w:id="576" w:name="_Toc267251473"/>
      <w:bookmarkStart w:id="577" w:name="_Toc267251475"/>
      <w:bookmarkStart w:id="578" w:name="_Toc267251474"/>
      <w:bookmarkStart w:id="579" w:name="_Toc267251476"/>
      <w:bookmarkStart w:id="580" w:name="_Toc267251471"/>
      <w:bookmarkStart w:id="581" w:name="_Toc267251472"/>
      <w:r>
        <w:rPr>
          <w:rFonts w:ascii="宋体" w:hAnsi="宋体" w:cs="宋体"/>
          <w:color w:val="auto"/>
          <w:sz w:val="24"/>
          <w:szCs w:val="24"/>
          <w:highlight w:val="none"/>
        </w:rPr>
        <w:t>13.2</w:t>
      </w:r>
      <w:r>
        <w:rPr>
          <w:rFonts w:hint="eastAsia" w:ascii="宋体" w:hAnsi="宋体" w:cs="宋体"/>
          <w:color w:val="auto"/>
          <w:sz w:val="24"/>
          <w:szCs w:val="24"/>
          <w:highlight w:val="none"/>
        </w:rPr>
        <w:t>竣工验收</w:t>
      </w:r>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533BCBDB">
      <w:pPr>
        <w:autoSpaceDN w:val="0"/>
        <w:spacing w:line="360" w:lineRule="auto"/>
        <w:ind w:firstLine="480" w:firstLineChars="200"/>
        <w:rPr>
          <w:rFonts w:ascii="宋体" w:hAnsi="宋体" w:cs="宋体"/>
          <w:color w:val="auto"/>
          <w:sz w:val="24"/>
          <w:szCs w:val="24"/>
          <w:highlight w:val="none"/>
        </w:rPr>
      </w:pPr>
      <w:bookmarkStart w:id="582" w:name="_Toc280868704"/>
      <w:bookmarkStart w:id="583" w:name="_Toc280868705"/>
      <w:bookmarkStart w:id="584" w:name="_Toc280868706"/>
      <w:bookmarkStart w:id="585" w:name="_Toc280868707"/>
      <w:bookmarkStart w:id="586" w:name="_Toc280868708"/>
      <w:bookmarkStart w:id="587" w:name="_Toc280868709"/>
      <w:r>
        <w:rPr>
          <w:rFonts w:ascii="宋体" w:hAnsi="宋体" w:cs="宋体"/>
          <w:color w:val="auto"/>
          <w:sz w:val="24"/>
          <w:szCs w:val="24"/>
          <w:highlight w:val="none"/>
        </w:rPr>
        <w:t>13.2.2</w:t>
      </w:r>
      <w:r>
        <w:rPr>
          <w:rFonts w:hint="eastAsia" w:ascii="宋体" w:hAnsi="宋体" w:cs="宋体"/>
          <w:color w:val="auto"/>
          <w:sz w:val="24"/>
          <w:szCs w:val="24"/>
          <w:highlight w:val="none"/>
        </w:rPr>
        <w:t>竣工验收程序</w:t>
      </w:r>
    </w:p>
    <w:bookmarkEnd w:id="582"/>
    <w:p w14:paraId="72F8373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关于竣工验收程序的约定：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391F0EB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发包人不按照本项约定组织竣工验收、颁发工程接收证书的违约金的计算方法：</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83"/>
    <w:p w14:paraId="36B5813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13.2.5</w:t>
      </w:r>
      <w:r>
        <w:rPr>
          <w:rFonts w:hint="eastAsia" w:ascii="宋体" w:hAnsi="宋体" w:cs="宋体"/>
          <w:color w:val="auto"/>
          <w:sz w:val="24"/>
          <w:szCs w:val="24"/>
          <w:highlight w:val="none"/>
        </w:rPr>
        <w:t>移交、接收全部与部分工程</w:t>
      </w:r>
    </w:p>
    <w:bookmarkEnd w:id="584"/>
    <w:p w14:paraId="694D52B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承包人向发包人移交工程的期限：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43E4BE9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发包人未按本合同约定接收全部或部分工程的，违约金的计算方法为：</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bookmarkEnd w:id="585"/>
    <w:p w14:paraId="53D294F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承包人未按时移交工程的，违约金的计算方法为：</w:t>
      </w:r>
      <w:r>
        <w:rPr>
          <w:rFonts w:hint="eastAsia" w:ascii="宋体" w:hAnsi="宋体" w:cs="宋体"/>
          <w:color w:val="auto"/>
          <w:sz w:val="24"/>
          <w:szCs w:val="24"/>
          <w:highlight w:val="none"/>
          <w:u w:val="single"/>
        </w:rPr>
        <w:t>每逾期移交工程</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天，处违约金5</w:t>
      </w:r>
      <w:r>
        <w:rPr>
          <w:rFonts w:ascii="宋体" w:hAnsi="宋体" w:cs="宋体"/>
          <w:color w:val="auto"/>
          <w:sz w:val="24"/>
          <w:szCs w:val="24"/>
          <w:highlight w:val="none"/>
          <w:u w:val="single"/>
        </w:rPr>
        <w:t>000</w:t>
      </w:r>
      <w:r>
        <w:rPr>
          <w:rFonts w:hint="eastAsia" w:ascii="宋体" w:hAnsi="宋体" w:cs="宋体"/>
          <w:color w:val="auto"/>
          <w:sz w:val="24"/>
          <w:szCs w:val="24"/>
          <w:highlight w:val="none"/>
          <w:u w:val="single"/>
        </w:rPr>
        <w:t>元，并赔偿发包人由此造成的全部损失。</w:t>
      </w:r>
    </w:p>
    <w:p w14:paraId="3F32A03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w:t>
      </w:r>
      <w:r>
        <w:rPr>
          <w:rFonts w:hint="eastAsia" w:ascii="宋体" w:hAnsi="宋体" w:cs="宋体"/>
          <w:color w:val="auto"/>
          <w:sz w:val="24"/>
          <w:szCs w:val="24"/>
          <w:highlight w:val="none"/>
        </w:rPr>
        <w:t>工程试车</w:t>
      </w:r>
    </w:p>
    <w:bookmarkEnd w:id="586"/>
    <w:p w14:paraId="6CBC5D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13.3.1</w:t>
      </w:r>
      <w:r>
        <w:rPr>
          <w:rFonts w:hint="eastAsia" w:ascii="宋体" w:hAnsi="宋体" w:cs="宋体"/>
          <w:color w:val="auto"/>
          <w:sz w:val="24"/>
          <w:szCs w:val="24"/>
          <w:highlight w:val="none"/>
        </w:rPr>
        <w:t>试车程序</w:t>
      </w:r>
    </w:p>
    <w:p w14:paraId="2658655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工程试车内容：</w:t>
      </w:r>
      <w:r>
        <w:rPr>
          <w:rFonts w:hint="eastAsia" w:ascii="宋体" w:hAnsi="宋体" w:cs="宋体"/>
          <w:color w:val="auto"/>
          <w:sz w:val="24"/>
          <w:szCs w:val="24"/>
          <w:highlight w:val="none"/>
          <w:u w:val="single"/>
        </w:rPr>
        <w:t>合同内全部安装的设备设施。</w:t>
      </w:r>
    </w:p>
    <w:p w14:paraId="56127C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）单机无负荷试车费用由</w:t>
      </w:r>
      <w:r>
        <w:rPr>
          <w:rFonts w:hint="eastAsia" w:ascii="宋体" w:hAnsi="宋体" w:cs="宋体"/>
          <w:color w:val="auto"/>
          <w:sz w:val="24"/>
          <w:szCs w:val="24"/>
          <w:highlight w:val="none"/>
          <w:u w:val="single"/>
        </w:rPr>
        <w:t>承包人</w:t>
      </w:r>
      <w:r>
        <w:rPr>
          <w:rFonts w:hint="eastAsia" w:ascii="宋体" w:hAnsi="宋体" w:cs="宋体"/>
          <w:color w:val="auto"/>
          <w:sz w:val="24"/>
          <w:szCs w:val="24"/>
          <w:highlight w:val="none"/>
        </w:rPr>
        <w:t>承担；</w:t>
      </w:r>
    </w:p>
    <w:p w14:paraId="6411A5D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）无负荷联动试车费用由</w:t>
      </w:r>
      <w:r>
        <w:rPr>
          <w:rFonts w:hint="eastAsia" w:ascii="宋体" w:hAnsi="宋体" w:cs="宋体"/>
          <w:color w:val="auto"/>
          <w:sz w:val="24"/>
          <w:szCs w:val="24"/>
          <w:highlight w:val="none"/>
          <w:u w:val="single"/>
        </w:rPr>
        <w:t>承包人</w:t>
      </w:r>
      <w:r>
        <w:rPr>
          <w:rFonts w:hint="eastAsia" w:ascii="宋体" w:hAnsi="宋体" w:cs="宋体"/>
          <w:color w:val="auto"/>
          <w:sz w:val="24"/>
          <w:szCs w:val="24"/>
          <w:highlight w:val="none"/>
        </w:rPr>
        <w:t>承担。</w:t>
      </w:r>
    </w:p>
    <w:p w14:paraId="67EFB35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13.3.3</w:t>
      </w:r>
      <w:r>
        <w:rPr>
          <w:rFonts w:hint="eastAsia" w:ascii="宋体" w:hAnsi="宋体" w:cs="宋体"/>
          <w:color w:val="auto"/>
          <w:sz w:val="24"/>
          <w:szCs w:val="24"/>
          <w:highlight w:val="none"/>
        </w:rPr>
        <w:t>投料试车</w:t>
      </w:r>
    </w:p>
    <w:p w14:paraId="0066AF9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关于投料试车相关事项的约定：</w:t>
      </w:r>
      <w:r>
        <w:rPr>
          <w:rFonts w:hint="eastAsia" w:ascii="宋体" w:hAnsi="宋体" w:cs="宋体"/>
          <w:color w:val="auto"/>
          <w:sz w:val="24"/>
          <w:szCs w:val="24"/>
          <w:highlight w:val="none"/>
          <w:u w:val="single"/>
        </w:rPr>
        <w:t>工程验收前必须完成全部安装的设备的试运行，承包人承担全部费用</w:t>
      </w:r>
      <w:r>
        <w:rPr>
          <w:rFonts w:hint="eastAsia" w:ascii="宋体" w:hAnsi="宋体" w:cs="宋体"/>
          <w:color w:val="auto"/>
          <w:sz w:val="24"/>
          <w:szCs w:val="24"/>
          <w:highlight w:val="none"/>
        </w:rPr>
        <w:t>。</w:t>
      </w:r>
    </w:p>
    <w:p w14:paraId="5C36968C">
      <w:pPr>
        <w:autoSpaceDN w:val="0"/>
        <w:spacing w:line="360" w:lineRule="auto"/>
        <w:ind w:firstLine="480" w:firstLineChars="200"/>
        <w:rPr>
          <w:rFonts w:ascii="宋体" w:hAnsi="宋体" w:cs="宋体"/>
          <w:color w:val="auto"/>
          <w:sz w:val="24"/>
          <w:szCs w:val="24"/>
          <w:highlight w:val="none"/>
        </w:rPr>
      </w:pPr>
      <w:bookmarkStart w:id="588" w:name="_Toc54777961"/>
      <w:r>
        <w:rPr>
          <w:rFonts w:ascii="宋体" w:hAnsi="宋体" w:cs="宋体"/>
          <w:color w:val="auto"/>
          <w:sz w:val="24"/>
          <w:szCs w:val="24"/>
          <w:highlight w:val="none"/>
        </w:rPr>
        <w:t>13.6</w:t>
      </w:r>
      <w:r>
        <w:rPr>
          <w:rFonts w:hint="eastAsia" w:ascii="宋体" w:hAnsi="宋体" w:cs="宋体"/>
          <w:color w:val="auto"/>
          <w:sz w:val="24"/>
          <w:szCs w:val="24"/>
          <w:highlight w:val="none"/>
        </w:rPr>
        <w:t>竣工退场</w:t>
      </w:r>
      <w:bookmarkEnd w:id="588"/>
    </w:p>
    <w:p w14:paraId="4CBD5280">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13.6.1</w:t>
      </w:r>
      <w:r>
        <w:rPr>
          <w:rFonts w:hint="eastAsia" w:ascii="宋体" w:hAnsi="宋体" w:cs="宋体"/>
          <w:color w:val="auto"/>
          <w:sz w:val="24"/>
          <w:szCs w:val="24"/>
          <w:highlight w:val="none"/>
        </w:rPr>
        <w:t>竣工退场</w:t>
      </w:r>
    </w:p>
    <w:p w14:paraId="05679B0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承包人完成竣工退场的期限：</w:t>
      </w:r>
      <w:r>
        <w:rPr>
          <w:rFonts w:hint="eastAsia" w:ascii="宋体" w:hAnsi="宋体" w:cs="宋体"/>
          <w:color w:val="auto"/>
          <w:sz w:val="24"/>
          <w:szCs w:val="24"/>
          <w:highlight w:val="none"/>
          <w:u w:val="single"/>
        </w:rPr>
        <w:t>工程移交后7天内</w:t>
      </w:r>
      <w:r>
        <w:rPr>
          <w:rFonts w:hint="eastAsia" w:ascii="宋体" w:hAnsi="宋体" w:cs="宋体"/>
          <w:color w:val="auto"/>
          <w:sz w:val="24"/>
          <w:szCs w:val="24"/>
          <w:highlight w:val="none"/>
        </w:rPr>
        <w:t>。</w:t>
      </w:r>
    </w:p>
    <w:p w14:paraId="4244927D">
      <w:pPr>
        <w:autoSpaceDN w:val="0"/>
        <w:spacing w:line="360" w:lineRule="auto"/>
        <w:ind w:firstLine="480" w:firstLineChars="200"/>
        <w:rPr>
          <w:rFonts w:ascii="宋体" w:hAnsi="宋体" w:cs="宋体"/>
          <w:bCs/>
          <w:color w:val="auto"/>
          <w:sz w:val="24"/>
          <w:szCs w:val="24"/>
          <w:highlight w:val="none"/>
        </w:rPr>
      </w:pPr>
      <w:bookmarkStart w:id="589" w:name="_Toc351203646"/>
      <w:r>
        <w:rPr>
          <w:rFonts w:ascii="宋体" w:hAnsi="宋体" w:cs="宋体"/>
          <w:bCs/>
          <w:color w:val="auto"/>
          <w:sz w:val="24"/>
          <w:szCs w:val="24"/>
          <w:highlight w:val="none"/>
        </w:rPr>
        <w:t>14.</w:t>
      </w:r>
      <w:r>
        <w:rPr>
          <w:rFonts w:hint="eastAsia" w:ascii="宋体" w:hAnsi="宋体" w:cs="宋体"/>
          <w:bCs/>
          <w:color w:val="auto"/>
          <w:sz w:val="24"/>
          <w:szCs w:val="24"/>
          <w:highlight w:val="none"/>
        </w:rPr>
        <w:t>竣工结算</w:t>
      </w:r>
      <w:bookmarkEnd w:id="589"/>
    </w:p>
    <w:p w14:paraId="72CE3F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14.1</w:t>
      </w:r>
      <w:r>
        <w:rPr>
          <w:rFonts w:hint="eastAsia" w:ascii="宋体" w:hAnsi="宋体" w:cs="宋体"/>
          <w:color w:val="auto"/>
          <w:sz w:val="24"/>
          <w:szCs w:val="24"/>
          <w:highlight w:val="none"/>
        </w:rPr>
        <w:t>竣工结算申请</w:t>
      </w:r>
    </w:p>
    <w:p w14:paraId="79B7765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承包人提交竣工结算申请单的期限：</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67FBE3D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竣工结算申请单应包括的内容：</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C8E3BDE">
      <w:pPr>
        <w:autoSpaceDN w:val="0"/>
        <w:spacing w:line="360" w:lineRule="auto"/>
        <w:ind w:firstLine="480" w:firstLineChars="200"/>
        <w:rPr>
          <w:rFonts w:ascii="宋体" w:hAnsi="宋体" w:cs="宋体"/>
          <w:color w:val="auto"/>
          <w:sz w:val="24"/>
          <w:szCs w:val="24"/>
          <w:highlight w:val="none"/>
        </w:rPr>
      </w:pPr>
      <w:bookmarkStart w:id="590" w:name="_Toc54777962"/>
      <w:r>
        <w:rPr>
          <w:rFonts w:ascii="宋体" w:hAnsi="宋体" w:cs="宋体"/>
          <w:color w:val="auto"/>
          <w:sz w:val="24"/>
          <w:szCs w:val="24"/>
          <w:highlight w:val="none"/>
        </w:rPr>
        <w:t>14.2</w:t>
      </w:r>
      <w:r>
        <w:rPr>
          <w:rFonts w:hint="eastAsia" w:ascii="宋体" w:hAnsi="宋体" w:cs="宋体"/>
          <w:color w:val="auto"/>
          <w:sz w:val="24"/>
          <w:szCs w:val="24"/>
          <w:highlight w:val="none"/>
        </w:rPr>
        <w:t>竣工结算审核</w:t>
      </w:r>
      <w:bookmarkEnd w:id="590"/>
    </w:p>
    <w:p w14:paraId="769B83C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发包人审批竣工付款申请单的期限：</w:t>
      </w:r>
      <w:r>
        <w:rPr>
          <w:rFonts w:hint="eastAsia" w:ascii="宋体" w:hAnsi="宋体" w:cs="宋体"/>
          <w:color w:val="auto"/>
          <w:sz w:val="24"/>
          <w:szCs w:val="24"/>
          <w:highlight w:val="none"/>
          <w:u w:val="single"/>
        </w:rPr>
        <w:t>工程竣工验收合格后，在收到承包人合格的结算清单之后的28天内，发包人应完成初步审核并提交审计局进行审计，审计完成后发包人应送给承包人一份最终付款证书，并交给承包人一份副本。</w:t>
      </w:r>
    </w:p>
    <w:p w14:paraId="3734261D">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发包人完成竣工付款的期限：</w:t>
      </w:r>
      <w:r>
        <w:rPr>
          <w:rFonts w:hint="eastAsia" w:ascii="宋体" w:hAnsi="宋体" w:cs="宋体"/>
          <w:color w:val="auto"/>
          <w:sz w:val="24"/>
          <w:szCs w:val="24"/>
          <w:highlight w:val="none"/>
          <w:u w:val="single"/>
        </w:rPr>
        <w:t>审计完成后30天内</w:t>
      </w:r>
      <w:r>
        <w:rPr>
          <w:rFonts w:hint="eastAsia" w:ascii="宋体" w:hAnsi="宋体" w:cs="宋体"/>
          <w:color w:val="auto"/>
          <w:sz w:val="24"/>
          <w:szCs w:val="24"/>
          <w:highlight w:val="none"/>
        </w:rPr>
        <w:t>。</w:t>
      </w:r>
    </w:p>
    <w:p w14:paraId="59190B33">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关于竣工付款证书异议部分复核的方式和程序：</w:t>
      </w:r>
      <w:r>
        <w:rPr>
          <w:rFonts w:hint="eastAsia" w:ascii="宋体" w:hAnsi="宋体" w:cs="宋体"/>
          <w:color w:val="auto"/>
          <w:sz w:val="24"/>
          <w:szCs w:val="24"/>
          <w:highlight w:val="none"/>
          <w:u w:val="single"/>
        </w:rPr>
        <w:t>本工程最终结算价按审计局结算审计结果执行。</w:t>
      </w:r>
    </w:p>
    <w:p w14:paraId="5F7DFDB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w:t>
      </w:r>
      <w:r>
        <w:rPr>
          <w:rFonts w:hint="eastAsia" w:ascii="宋体" w:hAnsi="宋体" w:cs="宋体"/>
          <w:color w:val="auto"/>
          <w:sz w:val="24"/>
          <w:szCs w:val="24"/>
          <w:highlight w:val="none"/>
        </w:rPr>
        <w:t>最终结清</w:t>
      </w:r>
    </w:p>
    <w:p w14:paraId="281C54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14.4.1</w:t>
      </w:r>
      <w:r>
        <w:rPr>
          <w:rFonts w:hint="eastAsia" w:ascii="宋体" w:hAnsi="宋体" w:cs="宋体"/>
          <w:color w:val="auto"/>
          <w:sz w:val="24"/>
          <w:szCs w:val="24"/>
          <w:highlight w:val="none"/>
        </w:rPr>
        <w:t>最终结清申请单</w:t>
      </w:r>
    </w:p>
    <w:p w14:paraId="32A221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承包人提交最终结清申请单的份数：</w:t>
      </w:r>
      <w:r>
        <w:rPr>
          <w:rFonts w:hint="eastAsia" w:ascii="宋体" w:hAnsi="宋体" w:cs="宋体"/>
          <w:color w:val="auto"/>
          <w:sz w:val="24"/>
          <w:szCs w:val="24"/>
          <w:highlight w:val="none"/>
          <w:u w:val="single"/>
        </w:rPr>
        <w:t>4份</w:t>
      </w:r>
      <w:r>
        <w:rPr>
          <w:rFonts w:hint="eastAsia" w:ascii="宋体" w:hAnsi="宋体" w:cs="宋体"/>
          <w:color w:val="auto"/>
          <w:sz w:val="24"/>
          <w:szCs w:val="24"/>
          <w:highlight w:val="none"/>
        </w:rPr>
        <w:t>。</w:t>
      </w:r>
    </w:p>
    <w:p w14:paraId="453AF7C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承包人提交最终结算申请单的期限：</w:t>
      </w:r>
      <w:r>
        <w:rPr>
          <w:rFonts w:hint="eastAsia" w:ascii="宋体" w:hAnsi="宋体" w:cs="宋体"/>
          <w:color w:val="auto"/>
          <w:sz w:val="24"/>
          <w:szCs w:val="24"/>
          <w:highlight w:val="none"/>
          <w:u w:val="single"/>
        </w:rPr>
        <w:t>缺陷责任期终止证书颁发后7天内</w:t>
      </w:r>
      <w:r>
        <w:rPr>
          <w:rFonts w:hint="eastAsia" w:ascii="宋体" w:hAnsi="宋体" w:cs="宋体"/>
          <w:color w:val="auto"/>
          <w:sz w:val="24"/>
          <w:szCs w:val="24"/>
          <w:highlight w:val="none"/>
        </w:rPr>
        <w:t>。。</w:t>
      </w:r>
    </w:p>
    <w:p w14:paraId="60D4324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14.4.2</w:t>
      </w:r>
      <w:r>
        <w:rPr>
          <w:rFonts w:hint="eastAsia" w:ascii="宋体" w:hAnsi="宋体" w:cs="宋体"/>
          <w:color w:val="auto"/>
          <w:sz w:val="24"/>
          <w:szCs w:val="24"/>
          <w:highlight w:val="none"/>
        </w:rPr>
        <w:t>最终结清证书和支付</w:t>
      </w:r>
    </w:p>
    <w:p w14:paraId="3F2A1CD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）发包人完成最终结清申请单的审批并颁发最终结清证书的期限：</w:t>
      </w:r>
      <w:r>
        <w:rPr>
          <w:rFonts w:hint="eastAsia" w:ascii="宋体" w:hAnsi="宋体" w:cs="宋体"/>
          <w:color w:val="auto"/>
          <w:sz w:val="24"/>
          <w:szCs w:val="24"/>
          <w:highlight w:val="none"/>
          <w:u w:val="single"/>
        </w:rPr>
        <w:t>收到后14天内</w:t>
      </w:r>
      <w:r>
        <w:rPr>
          <w:rFonts w:hint="eastAsia" w:ascii="宋体" w:hAnsi="宋体" w:cs="宋体"/>
          <w:color w:val="auto"/>
          <w:sz w:val="24"/>
          <w:szCs w:val="24"/>
          <w:highlight w:val="none"/>
        </w:rPr>
        <w:t>。</w:t>
      </w:r>
    </w:p>
    <w:p w14:paraId="4CBE4D2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）发包人完成支付的期限：</w:t>
      </w:r>
    </w:p>
    <w:bookmarkEnd w:id="575"/>
    <w:bookmarkEnd w:id="576"/>
    <w:bookmarkEnd w:id="577"/>
    <w:bookmarkEnd w:id="578"/>
    <w:bookmarkEnd w:id="579"/>
    <w:bookmarkEnd w:id="580"/>
    <w:bookmarkEnd w:id="581"/>
    <w:bookmarkEnd w:id="587"/>
    <w:p w14:paraId="16F481AA">
      <w:pPr>
        <w:autoSpaceDN w:val="0"/>
        <w:spacing w:line="360" w:lineRule="auto"/>
        <w:ind w:firstLine="480" w:firstLineChars="200"/>
        <w:rPr>
          <w:rFonts w:ascii="宋体" w:hAnsi="宋体" w:cs="宋体"/>
          <w:bCs/>
          <w:color w:val="auto"/>
          <w:sz w:val="24"/>
          <w:szCs w:val="24"/>
          <w:highlight w:val="none"/>
        </w:rPr>
      </w:pPr>
      <w:bookmarkStart w:id="591" w:name="_Toc351203647"/>
      <w:bookmarkStart w:id="592" w:name="_Toc267251483"/>
      <w:bookmarkStart w:id="593" w:name="_Toc267251484"/>
      <w:bookmarkStart w:id="594" w:name="_Toc267251482"/>
      <w:bookmarkStart w:id="595" w:name="_Toc267251485"/>
      <w:bookmarkStart w:id="596" w:name="_Toc267251489"/>
      <w:bookmarkStart w:id="597" w:name="_Toc267251488"/>
      <w:bookmarkStart w:id="598" w:name="_Toc267251490"/>
      <w:bookmarkStart w:id="599" w:name="_Toc267251486"/>
      <w:bookmarkStart w:id="600" w:name="_Toc267251492"/>
      <w:bookmarkStart w:id="601" w:name="_Toc267251495"/>
      <w:bookmarkStart w:id="602" w:name="_Toc267251501"/>
      <w:bookmarkStart w:id="603" w:name="_Toc267251502"/>
      <w:bookmarkStart w:id="604" w:name="_Toc267251496"/>
      <w:bookmarkStart w:id="605" w:name="_Toc267251494"/>
      <w:bookmarkStart w:id="606" w:name="_Toc267251493"/>
      <w:bookmarkStart w:id="607" w:name="_Toc267251503"/>
      <w:bookmarkStart w:id="608" w:name="_Toc267251491"/>
      <w:bookmarkStart w:id="609" w:name="_Toc267251498"/>
      <w:bookmarkStart w:id="610" w:name="_Toc267251499"/>
      <w:bookmarkStart w:id="611" w:name="_Toc267251497"/>
      <w:bookmarkStart w:id="612" w:name="_Toc267251504"/>
      <w:bookmarkStart w:id="613" w:name="_Toc267251506"/>
      <w:bookmarkStart w:id="614" w:name="_Toc267251507"/>
      <w:bookmarkStart w:id="615" w:name="_Toc267251508"/>
      <w:r>
        <w:rPr>
          <w:rFonts w:ascii="宋体" w:hAnsi="宋体" w:cs="宋体"/>
          <w:bCs/>
          <w:color w:val="auto"/>
          <w:sz w:val="24"/>
          <w:szCs w:val="24"/>
          <w:highlight w:val="none"/>
        </w:rPr>
        <w:t>15.</w:t>
      </w:r>
      <w:r>
        <w:rPr>
          <w:rFonts w:hint="eastAsia" w:ascii="宋体" w:hAnsi="宋体" w:cs="宋体"/>
          <w:bCs/>
          <w:color w:val="auto"/>
          <w:sz w:val="24"/>
          <w:szCs w:val="24"/>
          <w:highlight w:val="none"/>
        </w:rPr>
        <w:t>缺陷责任期与保修</w:t>
      </w:r>
      <w:bookmarkEnd w:id="591"/>
    </w:p>
    <w:p w14:paraId="64C8CD0A">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缺陷责任期</w:t>
      </w:r>
      <w:bookmarkEnd w:id="592"/>
    </w:p>
    <w:p w14:paraId="0751C94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缺陷责任期的具体期限：</w:t>
      </w:r>
      <w:r>
        <w:rPr>
          <w:rFonts w:hint="eastAsia" w:ascii="宋体" w:hAnsi="宋体" w:cs="宋体"/>
          <w:color w:val="auto"/>
          <w:sz w:val="24"/>
          <w:szCs w:val="24"/>
          <w:highlight w:val="none"/>
          <w:u w:val="single"/>
        </w:rPr>
        <w:t>自竣工验收合格之日起24个月</w:t>
      </w:r>
      <w:r>
        <w:rPr>
          <w:rFonts w:hint="eastAsia" w:ascii="宋体" w:hAnsi="宋体" w:cs="宋体"/>
          <w:color w:val="auto"/>
          <w:sz w:val="24"/>
          <w:szCs w:val="24"/>
          <w:highlight w:val="none"/>
        </w:rPr>
        <w:t>。</w:t>
      </w:r>
    </w:p>
    <w:p w14:paraId="45074517">
      <w:pPr>
        <w:autoSpaceDN w:val="0"/>
        <w:spacing w:line="360" w:lineRule="auto"/>
        <w:ind w:firstLine="480" w:firstLineChars="200"/>
        <w:rPr>
          <w:rFonts w:ascii="宋体" w:hAnsi="宋体" w:cs="宋体"/>
          <w:color w:val="auto"/>
          <w:sz w:val="24"/>
          <w:szCs w:val="24"/>
          <w:highlight w:val="none"/>
        </w:rPr>
      </w:pPr>
      <w:bookmarkStart w:id="616" w:name="_Toc54777963"/>
      <w:r>
        <w:rPr>
          <w:rFonts w:ascii="宋体" w:hAnsi="宋体" w:cs="宋体"/>
          <w:color w:val="auto"/>
          <w:sz w:val="24"/>
          <w:szCs w:val="24"/>
          <w:highlight w:val="none"/>
        </w:rPr>
        <w:t>15.3</w:t>
      </w:r>
      <w:r>
        <w:rPr>
          <w:rFonts w:hint="eastAsia" w:ascii="宋体" w:hAnsi="宋体" w:cs="宋体"/>
          <w:color w:val="auto"/>
          <w:sz w:val="24"/>
          <w:szCs w:val="24"/>
          <w:highlight w:val="none"/>
        </w:rPr>
        <w:t>质量保证金</w:t>
      </w:r>
      <w:bookmarkEnd w:id="616"/>
    </w:p>
    <w:p w14:paraId="5E31C1A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关于是否扣留质量保证金的约定：</w:t>
      </w:r>
      <w:r>
        <w:rPr>
          <w:rFonts w:hint="eastAsia" w:ascii="宋体" w:hAnsi="宋体" w:cs="宋体"/>
          <w:color w:val="auto"/>
          <w:sz w:val="24"/>
          <w:szCs w:val="24"/>
          <w:highlight w:val="none"/>
          <w:u w:val="single"/>
        </w:rPr>
        <w:t>是</w:t>
      </w:r>
      <w:r>
        <w:rPr>
          <w:rFonts w:hint="eastAsia" w:ascii="宋体" w:hAnsi="宋体" w:cs="宋体"/>
          <w:color w:val="auto"/>
          <w:sz w:val="24"/>
          <w:szCs w:val="24"/>
          <w:highlight w:val="none"/>
        </w:rPr>
        <w:t>。在工程项目竣工前，承包人按专用合同条款第</w:t>
      </w:r>
      <w:r>
        <w:rPr>
          <w:rFonts w:ascii="宋体" w:hAnsi="宋体" w:cs="宋体"/>
          <w:color w:val="auto"/>
          <w:sz w:val="24"/>
          <w:szCs w:val="24"/>
          <w:highlight w:val="none"/>
        </w:rPr>
        <w:t>3.7</w:t>
      </w:r>
      <w:r>
        <w:rPr>
          <w:rFonts w:hint="eastAsia" w:ascii="宋体" w:hAnsi="宋体" w:cs="宋体"/>
          <w:color w:val="auto"/>
          <w:sz w:val="24"/>
          <w:szCs w:val="24"/>
          <w:highlight w:val="none"/>
        </w:rPr>
        <w:t>条提供履约担保的，发包人不得同时预留工程质量保证金。</w:t>
      </w:r>
    </w:p>
    <w:p w14:paraId="06D7A24E">
      <w:pPr>
        <w:autoSpaceDN w:val="0"/>
        <w:spacing w:line="360" w:lineRule="auto"/>
        <w:ind w:firstLine="480" w:firstLineChars="200"/>
        <w:rPr>
          <w:rFonts w:ascii="宋体" w:hAnsi="宋体" w:cs="宋体"/>
          <w:color w:val="auto"/>
          <w:sz w:val="24"/>
          <w:szCs w:val="24"/>
          <w:highlight w:val="none"/>
        </w:rPr>
      </w:pPr>
      <w:bookmarkStart w:id="617" w:name="_Toc54777964"/>
      <w:r>
        <w:rPr>
          <w:rFonts w:ascii="宋体" w:hAnsi="宋体" w:cs="宋体"/>
          <w:color w:val="auto"/>
          <w:sz w:val="24"/>
          <w:szCs w:val="24"/>
          <w:highlight w:val="none"/>
        </w:rPr>
        <w:t>15.3.1</w:t>
      </w:r>
      <w:r>
        <w:rPr>
          <w:rFonts w:hint="eastAsia" w:ascii="宋体" w:hAnsi="宋体" w:cs="宋体"/>
          <w:color w:val="auto"/>
          <w:sz w:val="24"/>
          <w:szCs w:val="24"/>
          <w:highlight w:val="none"/>
        </w:rPr>
        <w:t>承包人提供质量保证金的方式</w:t>
      </w:r>
      <w:bookmarkEnd w:id="617"/>
    </w:p>
    <w:p w14:paraId="2B5E636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质量保证金采用以下第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w:t>
      </w:r>
    </w:p>
    <w:p w14:paraId="7A1ED77C">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）质量保证金保函，保证金额为：</w:t>
      </w:r>
      <w:r>
        <w:rPr>
          <w:rFonts w:ascii="宋体" w:hAnsi="宋体" w:cs="宋体"/>
          <w:color w:val="auto"/>
          <w:sz w:val="24"/>
          <w:szCs w:val="24"/>
          <w:highlight w:val="none"/>
          <w:u w:val="single"/>
        </w:rPr>
        <w:t>/</w:t>
      </w:r>
      <w:r>
        <w:rPr>
          <w:rFonts w:hint="eastAsia" w:ascii="宋体" w:hAnsi="宋体" w:cs="宋体"/>
          <w:color w:val="auto"/>
          <w:sz w:val="24"/>
          <w:szCs w:val="24"/>
          <w:highlight w:val="none"/>
        </w:rPr>
        <w:t>；</w:t>
      </w:r>
    </w:p>
    <w:p w14:paraId="61164F2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3</w:t>
      </w:r>
      <w:r>
        <w:rPr>
          <w:rFonts w:ascii="宋体" w:hAnsi="宋体" w:cs="宋体"/>
          <w:color w:val="auto"/>
          <w:sz w:val="24"/>
          <w:szCs w:val="24"/>
          <w:highlight w:val="none"/>
        </w:rPr>
        <w:t>%</w:t>
      </w:r>
      <w:r>
        <w:rPr>
          <w:rFonts w:hint="eastAsia" w:ascii="宋体" w:hAnsi="宋体" w:cs="宋体"/>
          <w:color w:val="auto"/>
          <w:sz w:val="24"/>
          <w:szCs w:val="24"/>
          <w:highlight w:val="none"/>
        </w:rPr>
        <w:t>的工程款；</w:t>
      </w:r>
    </w:p>
    <w:p w14:paraId="1E350AC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）其他方式</w:t>
      </w:r>
      <w:r>
        <w:rPr>
          <w:rFonts w:ascii="宋体" w:hAnsi="宋体" w:cs="宋体"/>
          <w:color w:val="auto"/>
          <w:sz w:val="24"/>
          <w:szCs w:val="24"/>
          <w:highlight w:val="none"/>
        </w:rPr>
        <w:t>:</w:t>
      </w:r>
      <w:r>
        <w:rPr>
          <w:rFonts w:hint="eastAsia" w:ascii="宋体" w:hAnsi="宋体" w:cs="宋体"/>
          <w:color w:val="auto"/>
          <w:sz w:val="24"/>
          <w:szCs w:val="24"/>
          <w:highlight w:val="none"/>
          <w:u w:val="single"/>
        </w:rPr>
        <w:t>不采用</w:t>
      </w:r>
      <w:r>
        <w:rPr>
          <w:rFonts w:hint="eastAsia" w:ascii="宋体" w:hAnsi="宋体" w:cs="宋体"/>
          <w:color w:val="auto"/>
          <w:sz w:val="24"/>
          <w:szCs w:val="24"/>
          <w:highlight w:val="none"/>
        </w:rPr>
        <w:t>。</w:t>
      </w:r>
    </w:p>
    <w:p w14:paraId="14271C2E">
      <w:pPr>
        <w:autoSpaceDN w:val="0"/>
        <w:spacing w:line="360" w:lineRule="auto"/>
        <w:ind w:firstLine="480" w:firstLineChars="200"/>
        <w:rPr>
          <w:rFonts w:ascii="宋体" w:hAnsi="宋体" w:cs="宋体"/>
          <w:color w:val="auto"/>
          <w:sz w:val="24"/>
          <w:szCs w:val="24"/>
          <w:highlight w:val="none"/>
        </w:rPr>
      </w:pPr>
      <w:bookmarkStart w:id="618" w:name="_Toc54777965"/>
      <w:r>
        <w:rPr>
          <w:rFonts w:ascii="宋体" w:hAnsi="宋体" w:cs="宋体"/>
          <w:color w:val="auto"/>
          <w:sz w:val="24"/>
          <w:szCs w:val="24"/>
          <w:highlight w:val="none"/>
        </w:rPr>
        <w:t>15.3.2</w:t>
      </w:r>
      <w:r>
        <w:rPr>
          <w:rFonts w:hint="eastAsia" w:ascii="宋体" w:hAnsi="宋体" w:cs="宋体"/>
          <w:color w:val="auto"/>
          <w:sz w:val="24"/>
          <w:szCs w:val="24"/>
          <w:highlight w:val="none"/>
        </w:rPr>
        <w:t>质量保证金的扣留</w:t>
      </w:r>
      <w:bookmarkEnd w:id="618"/>
    </w:p>
    <w:p w14:paraId="04655A21">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质量保证金的扣留采取以下第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w:t>
      </w:r>
    </w:p>
    <w:p w14:paraId="0B6916F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）在支付工程进度款时逐次扣留，在此情形下，质量保证金的计算基数不包括预付款的支付、扣回以及价格调整的金额；</w:t>
      </w:r>
    </w:p>
    <w:p w14:paraId="18C8F2E1">
      <w:pPr>
        <w:autoSpaceDN w:val="0"/>
        <w:spacing w:line="360" w:lineRule="auto"/>
        <w:ind w:firstLine="480" w:firstLineChars="200"/>
        <w:rPr>
          <w:rFonts w:ascii="宋体" w:hAnsi="宋体" w:cs="宋体"/>
          <w:color w:val="auto"/>
          <w:sz w:val="24"/>
          <w:szCs w:val="24"/>
          <w:highlight w:val="none"/>
        </w:rPr>
      </w:pPr>
      <w:bookmarkStart w:id="619" w:name="_Toc54777966"/>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）工程竣工结算时一次性扣留质量保证金；</w:t>
      </w:r>
      <w:bookmarkEnd w:id="619"/>
    </w:p>
    <w:p w14:paraId="6A2251D7">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）其他扣留方式</w:t>
      </w:r>
      <w:r>
        <w:rPr>
          <w:rFonts w:ascii="宋体" w:hAnsi="宋体" w:cs="宋体"/>
          <w:color w:val="auto"/>
          <w:sz w:val="24"/>
          <w:szCs w:val="24"/>
          <w:highlight w:val="none"/>
        </w:rPr>
        <w:t>:</w:t>
      </w:r>
      <w:r>
        <w:rPr>
          <w:rFonts w:hint="eastAsia" w:ascii="宋体" w:hAnsi="宋体" w:cs="宋体"/>
          <w:color w:val="auto"/>
          <w:sz w:val="24"/>
          <w:szCs w:val="24"/>
          <w:highlight w:val="none"/>
          <w:u w:val="single"/>
        </w:rPr>
        <w:t>不采用</w:t>
      </w:r>
      <w:r>
        <w:rPr>
          <w:rFonts w:hint="eastAsia" w:ascii="宋体" w:hAnsi="宋体" w:cs="宋体"/>
          <w:color w:val="auto"/>
          <w:sz w:val="24"/>
          <w:szCs w:val="24"/>
          <w:highlight w:val="none"/>
        </w:rPr>
        <w:t>。</w:t>
      </w:r>
    </w:p>
    <w:p w14:paraId="79E21F19">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关于质量保证金的补充约定：</w:t>
      </w:r>
      <w:r>
        <w:rPr>
          <w:rFonts w:hint="eastAsia" w:ascii="宋体" w:hAnsi="宋体" w:cs="宋体"/>
          <w:color w:val="auto"/>
          <w:sz w:val="24"/>
          <w:szCs w:val="24"/>
          <w:highlight w:val="none"/>
          <w:u w:val="single"/>
        </w:rPr>
        <w:t>质量保证金不计算利息</w:t>
      </w:r>
      <w:r>
        <w:rPr>
          <w:rFonts w:hint="eastAsia" w:ascii="宋体" w:hAnsi="宋体" w:cs="宋体"/>
          <w:color w:val="auto"/>
          <w:sz w:val="24"/>
          <w:szCs w:val="24"/>
          <w:highlight w:val="none"/>
        </w:rPr>
        <w:t>。</w:t>
      </w:r>
    </w:p>
    <w:bookmarkEnd w:id="593"/>
    <w:bookmarkEnd w:id="594"/>
    <w:p w14:paraId="434A3C9B">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保修</w:t>
      </w:r>
    </w:p>
    <w:bookmarkEnd w:id="595"/>
    <w:p w14:paraId="7CE5865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15.4.1</w:t>
      </w:r>
      <w:r>
        <w:rPr>
          <w:rFonts w:hint="eastAsia" w:ascii="宋体" w:hAnsi="宋体" w:cs="宋体"/>
          <w:color w:val="auto"/>
          <w:sz w:val="24"/>
          <w:szCs w:val="24"/>
          <w:highlight w:val="none"/>
        </w:rPr>
        <w:t>保修责任</w:t>
      </w:r>
    </w:p>
    <w:p w14:paraId="1FBE357E">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工程保修期为：</w:t>
      </w:r>
      <w:r>
        <w:rPr>
          <w:rFonts w:hint="eastAsia" w:ascii="宋体" w:hAnsi="宋体" w:cs="宋体"/>
          <w:color w:val="auto"/>
          <w:sz w:val="24"/>
          <w:szCs w:val="24"/>
          <w:highlight w:val="none"/>
          <w:u w:val="single"/>
        </w:rPr>
        <w:t>执行《建设工程质量管理条例》中保修期的规定</w:t>
      </w:r>
      <w:r>
        <w:rPr>
          <w:rFonts w:hint="eastAsia" w:ascii="宋体" w:hAnsi="宋体" w:cs="宋体"/>
          <w:color w:val="auto"/>
          <w:sz w:val="24"/>
          <w:szCs w:val="24"/>
          <w:highlight w:val="none"/>
        </w:rPr>
        <w:t>。。</w:t>
      </w:r>
    </w:p>
    <w:p w14:paraId="319145F6">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15.4.3</w:t>
      </w:r>
      <w:r>
        <w:rPr>
          <w:rFonts w:hint="eastAsia" w:ascii="宋体" w:hAnsi="宋体" w:cs="宋体"/>
          <w:color w:val="auto"/>
          <w:sz w:val="24"/>
          <w:szCs w:val="24"/>
          <w:highlight w:val="none"/>
        </w:rPr>
        <w:t>修复通知</w:t>
      </w:r>
    </w:p>
    <w:p w14:paraId="099B50F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承包人收到保修通知并到达工程现场的合理时间：</w:t>
      </w:r>
      <w:bookmarkEnd w:id="596"/>
      <w:bookmarkEnd w:id="597"/>
      <w:bookmarkEnd w:id="598"/>
      <w:bookmarkEnd w:id="599"/>
      <w:bookmarkStart w:id="620" w:name="_Toc351203648"/>
      <w:bookmarkStart w:id="621" w:name="_Toc280868717"/>
      <w:bookmarkStart w:id="622" w:name="_Toc280868718"/>
      <w:r>
        <w:rPr>
          <w:rFonts w:hint="eastAsia" w:ascii="宋体" w:hAnsi="宋体" w:cs="宋体"/>
          <w:color w:val="auto"/>
          <w:sz w:val="24"/>
          <w:szCs w:val="24"/>
          <w:highlight w:val="none"/>
          <w:u w:val="single"/>
        </w:rPr>
        <w:t>承包人应当在接到保修通知起24小时内到达现场进行保修。承包人不在约定期限内派人保修的，发包人可以委托他人修理，费用由承包人承担。</w:t>
      </w:r>
    </w:p>
    <w:p w14:paraId="075CA945">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rPr>
        <w:t>违约</w:t>
      </w:r>
      <w:bookmarkEnd w:id="620"/>
    </w:p>
    <w:p w14:paraId="141ED01D">
      <w:pPr>
        <w:autoSpaceDN w:val="0"/>
        <w:spacing w:line="360" w:lineRule="auto"/>
        <w:ind w:firstLine="480" w:firstLineChars="200"/>
        <w:rPr>
          <w:rFonts w:ascii="宋体" w:hAnsi="宋体" w:cs="宋体"/>
          <w:color w:val="auto"/>
          <w:sz w:val="24"/>
          <w:szCs w:val="24"/>
          <w:highlight w:val="none"/>
        </w:rPr>
      </w:pPr>
      <w:bookmarkStart w:id="623" w:name="_Toc54777967"/>
      <w:r>
        <w:rPr>
          <w:rFonts w:ascii="宋体" w:hAnsi="宋体" w:cs="宋体"/>
          <w:color w:val="auto"/>
          <w:sz w:val="24"/>
          <w:szCs w:val="24"/>
          <w:highlight w:val="none"/>
        </w:rPr>
        <w:t>16.1</w:t>
      </w:r>
      <w:r>
        <w:rPr>
          <w:rFonts w:hint="eastAsia" w:ascii="宋体" w:hAnsi="宋体" w:cs="宋体"/>
          <w:color w:val="auto"/>
          <w:sz w:val="24"/>
          <w:szCs w:val="24"/>
          <w:highlight w:val="none"/>
        </w:rPr>
        <w:t>发包人违约</w:t>
      </w:r>
      <w:bookmarkEnd w:id="623"/>
    </w:p>
    <w:p w14:paraId="72FA6B62">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16.1.1</w:t>
      </w:r>
      <w:r>
        <w:rPr>
          <w:rFonts w:hint="eastAsia" w:ascii="宋体" w:hAnsi="宋体" w:cs="宋体"/>
          <w:color w:val="auto"/>
          <w:sz w:val="24"/>
          <w:szCs w:val="24"/>
          <w:highlight w:val="none"/>
        </w:rPr>
        <w:t>发包人违约的情形</w:t>
      </w:r>
    </w:p>
    <w:p w14:paraId="5A5571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发包人违约的其他情形：</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04156C41">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16.1.2</w:t>
      </w:r>
      <w:r>
        <w:rPr>
          <w:rFonts w:hint="eastAsia" w:ascii="宋体" w:hAnsi="宋体" w:cs="宋体"/>
          <w:color w:val="auto"/>
          <w:sz w:val="24"/>
          <w:szCs w:val="24"/>
          <w:highlight w:val="none"/>
        </w:rPr>
        <w:t>发包人违约的责任</w:t>
      </w:r>
    </w:p>
    <w:p w14:paraId="1AA536A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发包人违约责任的承担方式和计算方法：</w:t>
      </w:r>
    </w:p>
    <w:p w14:paraId="39C1DB6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）因发包人原因未能在计划开工日期前</w:t>
      </w:r>
      <w:r>
        <w:rPr>
          <w:rFonts w:ascii="宋体" w:hAnsi="宋体" w:cs="宋体"/>
          <w:color w:val="auto"/>
          <w:sz w:val="24"/>
          <w:szCs w:val="24"/>
          <w:highlight w:val="none"/>
        </w:rPr>
        <w:t>7</w:t>
      </w:r>
      <w:r>
        <w:rPr>
          <w:rFonts w:hint="eastAsia" w:ascii="宋体" w:hAnsi="宋体" w:cs="宋体"/>
          <w:color w:val="auto"/>
          <w:sz w:val="24"/>
          <w:szCs w:val="24"/>
          <w:highlight w:val="none"/>
        </w:rPr>
        <w:t>天内下达开工通知的违约责任：</w:t>
      </w:r>
      <w:r>
        <w:rPr>
          <w:rFonts w:hint="eastAsia" w:ascii="宋体" w:hAnsi="宋体" w:cs="宋体"/>
          <w:color w:val="auto"/>
          <w:sz w:val="24"/>
          <w:szCs w:val="24"/>
          <w:highlight w:val="none"/>
          <w:u w:val="single"/>
        </w:rPr>
        <w:t>仅相应顺延工期，发包人不承担其他任何责任</w:t>
      </w:r>
      <w:r>
        <w:rPr>
          <w:rFonts w:hint="eastAsia" w:ascii="宋体" w:hAnsi="宋体" w:cs="宋体"/>
          <w:color w:val="auto"/>
          <w:sz w:val="24"/>
          <w:szCs w:val="24"/>
          <w:highlight w:val="none"/>
        </w:rPr>
        <w:t>。</w:t>
      </w:r>
    </w:p>
    <w:p w14:paraId="2A993EC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）因发包人原因未能按合同约定支付合同价款的违约责任：</w:t>
      </w:r>
      <w:r>
        <w:rPr>
          <w:rFonts w:hint="eastAsia" w:ascii="宋体" w:hAnsi="宋体" w:cs="宋体"/>
          <w:color w:val="auto"/>
          <w:sz w:val="24"/>
          <w:szCs w:val="24"/>
          <w:highlight w:val="none"/>
          <w:u w:val="single"/>
        </w:rPr>
        <w:t>按本合同专用合同条款第12.4.4条款执行</w:t>
      </w:r>
      <w:r>
        <w:rPr>
          <w:rFonts w:hint="eastAsia" w:ascii="宋体" w:hAnsi="宋体" w:cs="宋体"/>
          <w:color w:val="auto"/>
          <w:sz w:val="24"/>
          <w:szCs w:val="24"/>
          <w:highlight w:val="none"/>
        </w:rPr>
        <w:t>。</w:t>
      </w:r>
    </w:p>
    <w:p w14:paraId="15EFD70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）发包人违反第</w:t>
      </w:r>
      <w:r>
        <w:rPr>
          <w:rFonts w:ascii="宋体" w:hAnsi="宋体" w:cs="宋体"/>
          <w:color w:val="auto"/>
          <w:sz w:val="24"/>
          <w:szCs w:val="24"/>
          <w:highlight w:val="none"/>
        </w:rPr>
        <w:t>10.1</w:t>
      </w:r>
      <w:r>
        <w:rPr>
          <w:rFonts w:hint="eastAsia" w:ascii="宋体" w:hAnsi="宋体" w:cs="宋体"/>
          <w:color w:val="auto"/>
          <w:sz w:val="24"/>
          <w:szCs w:val="24"/>
          <w:highlight w:val="none"/>
        </w:rPr>
        <w:t>款〔变更的范围〕第（</w:t>
      </w:r>
      <w:r>
        <w:rPr>
          <w:rFonts w:ascii="宋体" w:hAnsi="宋体" w:cs="宋体"/>
          <w:color w:val="auto"/>
          <w:sz w:val="24"/>
          <w:szCs w:val="24"/>
          <w:highlight w:val="none"/>
        </w:rPr>
        <w:t>2</w:t>
      </w:r>
      <w:r>
        <w:rPr>
          <w:rFonts w:hint="eastAsia" w:ascii="宋体" w:hAnsi="宋体" w:cs="宋体"/>
          <w:color w:val="auto"/>
          <w:sz w:val="24"/>
          <w:szCs w:val="24"/>
          <w:highlight w:val="none"/>
        </w:rPr>
        <w:t>）项约定，自行实施被取消的工作或转由他人实施的违约责任：</w:t>
      </w:r>
      <w:r>
        <w:rPr>
          <w:rFonts w:hint="eastAsia" w:ascii="宋体" w:hAnsi="宋体" w:cs="宋体"/>
          <w:color w:val="auto"/>
          <w:sz w:val="24"/>
          <w:szCs w:val="24"/>
          <w:highlight w:val="none"/>
          <w:u w:val="single"/>
        </w:rPr>
        <w:t>发包人不承担违约责任，不支付该部分工作的合理利润</w:t>
      </w:r>
      <w:r>
        <w:rPr>
          <w:rFonts w:hint="eastAsia" w:ascii="宋体" w:hAnsi="宋体" w:cs="宋体"/>
          <w:color w:val="auto"/>
          <w:sz w:val="24"/>
          <w:szCs w:val="24"/>
          <w:highlight w:val="none"/>
        </w:rPr>
        <w:t>。</w:t>
      </w:r>
    </w:p>
    <w:p w14:paraId="3E8753C5">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highlight w:val="none"/>
          <w:u w:val="single"/>
        </w:rPr>
        <w:t>工期顺延，发包人不支付违约金，发包人不承担承包人的相应损失，不支付合理利润</w:t>
      </w:r>
      <w:r>
        <w:rPr>
          <w:rFonts w:hint="eastAsia" w:ascii="宋体" w:hAnsi="宋体" w:cs="宋体"/>
          <w:color w:val="auto"/>
          <w:sz w:val="24"/>
          <w:szCs w:val="24"/>
          <w:highlight w:val="none"/>
        </w:rPr>
        <w:t>。</w:t>
      </w:r>
    </w:p>
    <w:p w14:paraId="048331BA">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）因发包人违反合同约定造成暂停施工的违约责任：</w:t>
      </w:r>
      <w:r>
        <w:rPr>
          <w:rFonts w:hint="eastAsia" w:ascii="宋体" w:hAnsi="宋体" w:cs="宋体"/>
          <w:color w:val="auto"/>
          <w:sz w:val="24"/>
          <w:szCs w:val="24"/>
          <w:highlight w:val="none"/>
          <w:u w:val="single"/>
        </w:rPr>
        <w:t>工期顺延，发包人不支付违约金，发包人不承担承包人的相应损失，不支付合理利润。</w:t>
      </w:r>
    </w:p>
    <w:p w14:paraId="76207094">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）发包人无正当理由没有在约定期限内发出复工指示，导致承包人无法复工的违约责任：</w:t>
      </w:r>
      <w:r>
        <w:rPr>
          <w:rFonts w:hint="eastAsia" w:ascii="宋体" w:hAnsi="宋体" w:cs="宋体"/>
          <w:color w:val="auto"/>
          <w:sz w:val="24"/>
          <w:szCs w:val="24"/>
          <w:highlight w:val="none"/>
          <w:u w:val="single"/>
        </w:rPr>
        <w:t>仅相应顺延工期，发包人不承担其他任何责任。</w:t>
      </w:r>
    </w:p>
    <w:p w14:paraId="2147E97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D1F80B4">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16.1.3</w:t>
      </w:r>
      <w:r>
        <w:rPr>
          <w:rFonts w:hint="eastAsia" w:ascii="宋体" w:hAnsi="宋体" w:cs="宋体"/>
          <w:color w:val="auto"/>
          <w:sz w:val="24"/>
          <w:szCs w:val="24"/>
          <w:highlight w:val="none"/>
        </w:rPr>
        <w:t>因发包人违约解除合同</w:t>
      </w:r>
    </w:p>
    <w:p w14:paraId="2CA5292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承包人按</w:t>
      </w:r>
      <w:r>
        <w:rPr>
          <w:rFonts w:ascii="宋体" w:hAnsi="宋体" w:cs="宋体"/>
          <w:color w:val="auto"/>
          <w:sz w:val="24"/>
          <w:szCs w:val="24"/>
          <w:highlight w:val="none"/>
        </w:rPr>
        <w:t>16.1.1</w:t>
      </w:r>
      <w:r>
        <w:rPr>
          <w:rFonts w:hint="eastAsia" w:ascii="宋体" w:hAnsi="宋体" w:cs="宋体"/>
          <w:color w:val="auto"/>
          <w:sz w:val="24"/>
          <w:szCs w:val="24"/>
          <w:highlight w:val="none"/>
        </w:rPr>
        <w:t>项〔发包人违约的情形〕约定暂停施工满</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天后发包人仍不纠正其违约行为并致使合同目的不能实现的，承包人有权解除合同。</w:t>
      </w:r>
    </w:p>
    <w:p w14:paraId="3402D9C3">
      <w:pPr>
        <w:autoSpaceDN w:val="0"/>
        <w:spacing w:line="360" w:lineRule="auto"/>
        <w:ind w:firstLine="480" w:firstLineChars="200"/>
        <w:rPr>
          <w:rFonts w:ascii="宋体" w:hAnsi="宋体" w:cs="宋体"/>
          <w:color w:val="auto"/>
          <w:sz w:val="24"/>
          <w:szCs w:val="24"/>
          <w:highlight w:val="none"/>
        </w:rPr>
      </w:pPr>
      <w:bookmarkStart w:id="624" w:name="_Toc54777968"/>
      <w:r>
        <w:rPr>
          <w:rFonts w:ascii="宋体" w:hAnsi="宋体" w:cs="宋体"/>
          <w:color w:val="auto"/>
          <w:sz w:val="24"/>
          <w:szCs w:val="24"/>
          <w:highlight w:val="none"/>
        </w:rPr>
        <w:t>16.2</w:t>
      </w:r>
      <w:r>
        <w:rPr>
          <w:rFonts w:hint="eastAsia" w:ascii="宋体" w:hAnsi="宋体" w:cs="宋体"/>
          <w:color w:val="auto"/>
          <w:sz w:val="24"/>
          <w:szCs w:val="24"/>
          <w:highlight w:val="none"/>
        </w:rPr>
        <w:t>承包人违约</w:t>
      </w:r>
      <w:bookmarkEnd w:id="624"/>
    </w:p>
    <w:p w14:paraId="56EA617F">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16.2.1</w:t>
      </w:r>
      <w:r>
        <w:rPr>
          <w:rFonts w:hint="eastAsia" w:ascii="宋体" w:hAnsi="宋体" w:cs="宋体"/>
          <w:color w:val="auto"/>
          <w:sz w:val="24"/>
          <w:szCs w:val="24"/>
          <w:highlight w:val="none"/>
        </w:rPr>
        <w:t>承包人违约的情形</w:t>
      </w:r>
    </w:p>
    <w:p w14:paraId="1F9EE336">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承包人违约的其他情形：</w:t>
      </w:r>
    </w:p>
    <w:p w14:paraId="6CC92F71">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应保证执行三门峡市建委三建字（2006）48号文件，在进行劳务作业分包时，必须使用有相应资质的劳务分包企业，禁止将劳务作业分包给包工头。若分包给没有资质的劳务分包企业，发包人有权终止合同。</w:t>
      </w:r>
    </w:p>
    <w:p w14:paraId="6EA2E6E5">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2、因承包人原因，质量监督单位、监理单位下达停工通知的，承包人须按规定时间整改完成。</w:t>
      </w:r>
    </w:p>
    <w:p w14:paraId="593DBE18">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承包人未按照经发包人确认的施工进度计划完成相应施工任务，承包人应承担如下违约责任：除支付违约金外，发包人有权暂停支付进度款；同时，承包人应当采取相应的赶工措施确保工程按时完工，因赶工产生的相应费用由承包人自行承担。若采取赶工措施后，承包人能够在本合同约定的总工期日历天数内按时完工，则发包人返还承包人已支付的前述违约金；若承包人未能按照合同约定的总工期日历天数完工，应当按照专用合同</w:t>
      </w:r>
      <w:r>
        <w:rPr>
          <w:rFonts w:ascii="宋体" w:hAnsi="宋体" w:cs="宋体"/>
          <w:color w:val="auto"/>
          <w:sz w:val="24"/>
          <w:szCs w:val="24"/>
          <w:highlight w:val="none"/>
          <w:u w:val="single"/>
        </w:rPr>
        <w:t>7.5.2</w:t>
      </w:r>
      <w:r>
        <w:rPr>
          <w:rFonts w:hint="eastAsia" w:ascii="宋体" w:hAnsi="宋体" w:cs="宋体"/>
          <w:color w:val="auto"/>
          <w:sz w:val="24"/>
          <w:szCs w:val="24"/>
          <w:highlight w:val="none"/>
          <w:u w:val="single"/>
        </w:rPr>
        <w:t>条款约定的向发包人支付违约金，前述施工进度的违约金可冲抵逾期完工的违约金。</w:t>
      </w:r>
    </w:p>
    <w:p w14:paraId="637A8A9D">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16.2.2</w:t>
      </w:r>
      <w:r>
        <w:rPr>
          <w:rFonts w:hint="eastAsia" w:ascii="宋体" w:hAnsi="宋体" w:cs="宋体"/>
          <w:color w:val="auto"/>
          <w:sz w:val="24"/>
          <w:szCs w:val="24"/>
          <w:highlight w:val="none"/>
        </w:rPr>
        <w:t>承包人违约的责任</w:t>
      </w:r>
    </w:p>
    <w:p w14:paraId="3A875DB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承包人违约责任的承担方式和计算方法：</w:t>
      </w:r>
    </w:p>
    <w:p w14:paraId="026F965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1、承包人不得以任何形式将工程分包、转包，投标文件中载明的项目经理及主要管理人员未经发包人同意不得更换或缺席。</w:t>
      </w:r>
      <w:r>
        <w:rPr>
          <w:rFonts w:ascii="宋体" w:hAnsi="宋体" w:cs="宋体"/>
          <w:color w:val="auto"/>
          <w:sz w:val="24"/>
          <w:szCs w:val="24"/>
          <w:highlight w:val="none"/>
          <w:u w:val="single"/>
        </w:rPr>
        <w:t>发包人发现承包人违反本条规定转包或者违法分包，有权立即解除</w:t>
      </w:r>
      <w:r>
        <w:rPr>
          <w:rFonts w:hint="eastAsia" w:ascii="宋体" w:hAnsi="宋体" w:cs="宋体"/>
          <w:color w:val="auto"/>
          <w:sz w:val="24"/>
          <w:szCs w:val="24"/>
          <w:highlight w:val="none"/>
          <w:u w:val="single"/>
        </w:rPr>
        <w:t>合同。</w:t>
      </w:r>
      <w:r>
        <w:rPr>
          <w:rFonts w:ascii="宋体" w:hAnsi="宋体" w:cs="宋体"/>
          <w:color w:val="auto"/>
          <w:sz w:val="24"/>
          <w:szCs w:val="24"/>
          <w:highlight w:val="none"/>
          <w:u w:val="single"/>
        </w:rPr>
        <w:t>造成发包人损失的，承包人还应承担</w:t>
      </w:r>
      <w:r>
        <w:rPr>
          <w:rFonts w:hint="eastAsia" w:ascii="宋体" w:hAnsi="宋体" w:cs="宋体"/>
          <w:color w:val="auto"/>
          <w:sz w:val="24"/>
          <w:szCs w:val="24"/>
          <w:highlight w:val="none"/>
          <w:u w:val="single"/>
        </w:rPr>
        <w:t>给发包人带来的</w:t>
      </w:r>
      <w:r>
        <w:rPr>
          <w:rFonts w:ascii="宋体" w:hAnsi="宋体" w:cs="宋体"/>
          <w:color w:val="auto"/>
          <w:sz w:val="24"/>
          <w:szCs w:val="24"/>
          <w:highlight w:val="none"/>
          <w:u w:val="single"/>
        </w:rPr>
        <w:t>直接、间接经济</w:t>
      </w:r>
      <w:r>
        <w:rPr>
          <w:rFonts w:hint="eastAsia" w:ascii="宋体" w:hAnsi="宋体" w:cs="宋体"/>
          <w:color w:val="auto"/>
          <w:sz w:val="24"/>
          <w:szCs w:val="24"/>
          <w:highlight w:val="none"/>
          <w:u w:val="single"/>
        </w:rPr>
        <w:t>损失</w:t>
      </w:r>
      <w:r>
        <w:rPr>
          <w:rFonts w:ascii="宋体" w:hAnsi="宋体" w:cs="宋体"/>
          <w:color w:val="auto"/>
          <w:sz w:val="24"/>
          <w:szCs w:val="24"/>
          <w:highlight w:val="none"/>
          <w:u w:val="single"/>
        </w:rPr>
        <w:t>。</w:t>
      </w:r>
    </w:p>
    <w:p w14:paraId="45B82A6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2、承包人未执行本合同约定的技术标准，为解决质量及安全不确定性问题，而进行的安全技术鉴定，由此引发的费用及施工延误由承包人承担。</w:t>
      </w:r>
    </w:p>
    <w:p w14:paraId="55ACA10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若承包人承建的工程达不到现行建设工程施工及验收规范合格标准，无偿返工直至达到工程质量合格标准，并赔偿由此给发包人造成的一切经济损失。同时支付不合格部分工程造价的10％的违约金。由此造成的工期延误，按专用合同7.5条款规定处罚。</w:t>
      </w:r>
    </w:p>
    <w:p w14:paraId="4EF796AA">
      <w:pPr>
        <w:autoSpaceDN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、承包人违反合同约定采购和使用不合格的材料和工程设备的，除更换合格材料设备外，每次支付违约金1-5万元；</w:t>
      </w:r>
    </w:p>
    <w:p w14:paraId="7C28A49F">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5、承包人在缺陷责任期及保修期内，未能在本合同规定期限内对工程缺陷进行修复，或拒绝按发包人要求进行修复的，承包人未能按照合同约定履行其他义务的，由承包人承担全部费用并赔偿发包人全部损失。</w:t>
      </w:r>
    </w:p>
    <w:p w14:paraId="58DBFBFE">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16.2.3</w:t>
      </w:r>
      <w:r>
        <w:rPr>
          <w:rFonts w:hint="eastAsia" w:ascii="宋体" w:hAnsi="宋体" w:cs="宋体"/>
          <w:color w:val="auto"/>
          <w:sz w:val="24"/>
          <w:szCs w:val="24"/>
          <w:highlight w:val="none"/>
        </w:rPr>
        <w:t>因承包人违约解除合同</w:t>
      </w:r>
    </w:p>
    <w:p w14:paraId="4DC9B64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关于承包人违约解除合同的特别约定：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73E739E3">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highlight w:val="none"/>
          <w:u w:val="single"/>
        </w:rPr>
        <w:t>承包人承担</w:t>
      </w:r>
      <w:r>
        <w:rPr>
          <w:rFonts w:hint="eastAsia" w:ascii="宋体" w:hAnsi="宋体" w:cs="宋体"/>
          <w:color w:val="auto"/>
          <w:sz w:val="24"/>
          <w:szCs w:val="24"/>
          <w:highlight w:val="none"/>
        </w:rPr>
        <w:t>。</w:t>
      </w:r>
    </w:p>
    <w:p w14:paraId="3B035D59">
      <w:pPr>
        <w:autoSpaceDN w:val="0"/>
        <w:spacing w:line="360" w:lineRule="auto"/>
        <w:ind w:firstLine="480" w:firstLineChars="200"/>
        <w:rPr>
          <w:rFonts w:ascii="宋体" w:hAnsi="宋体" w:cs="宋体"/>
          <w:bCs/>
          <w:color w:val="auto"/>
          <w:sz w:val="24"/>
          <w:szCs w:val="24"/>
          <w:highlight w:val="none"/>
        </w:rPr>
      </w:pPr>
      <w:bookmarkStart w:id="625" w:name="_Toc351203649"/>
      <w:r>
        <w:rPr>
          <w:rFonts w:ascii="宋体" w:hAnsi="宋体" w:cs="宋体"/>
          <w:bCs/>
          <w:color w:val="auto"/>
          <w:sz w:val="24"/>
          <w:szCs w:val="24"/>
          <w:highlight w:val="none"/>
        </w:rPr>
        <w:t>17.</w:t>
      </w:r>
      <w:r>
        <w:rPr>
          <w:rFonts w:hint="eastAsia" w:ascii="宋体" w:hAnsi="宋体" w:cs="宋体"/>
          <w:bCs/>
          <w:color w:val="auto"/>
          <w:sz w:val="24"/>
          <w:szCs w:val="24"/>
          <w:highlight w:val="none"/>
        </w:rPr>
        <w:t>不可抗力</w:t>
      </w:r>
      <w:bookmarkEnd w:id="621"/>
      <w:bookmarkEnd w:id="625"/>
    </w:p>
    <w:p w14:paraId="48574E97">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s="宋体"/>
          <w:color w:val="auto"/>
          <w:sz w:val="24"/>
          <w:szCs w:val="24"/>
          <w:highlight w:val="none"/>
        </w:rPr>
        <w:t>不可抗力的确认</w:t>
      </w:r>
    </w:p>
    <w:p w14:paraId="5DEC5FE9">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除通用合同条款约定的不可抗力事件之外，视为不可抗力的其他情形：</w:t>
      </w:r>
      <w:r>
        <w:rPr>
          <w:rFonts w:hint="eastAsia" w:ascii="宋体" w:hAnsi="宋体" w:cs="宋体"/>
          <w:color w:val="auto"/>
          <w:sz w:val="24"/>
          <w:szCs w:val="24"/>
          <w:highlight w:val="none"/>
          <w:u w:val="single"/>
        </w:rPr>
        <w:t>与工程相关的政府重大政策变化</w:t>
      </w:r>
      <w:r>
        <w:rPr>
          <w:rFonts w:hint="eastAsia" w:ascii="宋体" w:hAnsi="宋体" w:cs="宋体"/>
          <w:color w:val="auto"/>
          <w:sz w:val="24"/>
          <w:szCs w:val="24"/>
          <w:highlight w:val="none"/>
        </w:rPr>
        <w:t>。</w:t>
      </w:r>
    </w:p>
    <w:p w14:paraId="0E98B503">
      <w:pPr>
        <w:autoSpaceDN w:val="0"/>
        <w:spacing w:line="360" w:lineRule="auto"/>
        <w:ind w:firstLine="480" w:firstLineChars="200"/>
        <w:rPr>
          <w:rFonts w:ascii="宋体" w:hAnsi="宋体" w:cs="宋体"/>
          <w:color w:val="auto"/>
          <w:sz w:val="24"/>
          <w:szCs w:val="24"/>
          <w:highlight w:val="none"/>
        </w:rPr>
      </w:pPr>
      <w:bookmarkStart w:id="626" w:name="_Toc54777969"/>
      <w:r>
        <w:rPr>
          <w:rFonts w:ascii="宋体" w:hAnsi="宋体" w:cs="宋体"/>
          <w:color w:val="auto"/>
          <w:sz w:val="24"/>
          <w:szCs w:val="24"/>
          <w:highlight w:val="none"/>
        </w:rPr>
        <w:t>17.4</w:t>
      </w:r>
      <w:r>
        <w:rPr>
          <w:rFonts w:hint="eastAsia" w:ascii="宋体" w:hAnsi="宋体" w:cs="宋体"/>
          <w:color w:val="auto"/>
          <w:sz w:val="24"/>
          <w:szCs w:val="24"/>
          <w:highlight w:val="none"/>
        </w:rPr>
        <w:t>因不可抗力解除合同</w:t>
      </w:r>
      <w:bookmarkEnd w:id="626"/>
    </w:p>
    <w:p w14:paraId="5C074E6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合同解除后，发包人应在商定或确定发包人应支付款项后</w:t>
      </w:r>
      <w:r>
        <w:rPr>
          <w:rFonts w:hint="eastAsia" w:ascii="宋体" w:hAnsi="宋体" w:cs="宋体"/>
          <w:color w:val="auto"/>
          <w:sz w:val="24"/>
          <w:szCs w:val="24"/>
          <w:highlight w:val="none"/>
          <w:u w:val="single"/>
        </w:rPr>
        <w:t>180</w:t>
      </w:r>
      <w:r>
        <w:rPr>
          <w:rFonts w:hint="eastAsia" w:ascii="宋体" w:hAnsi="宋体" w:cs="宋体"/>
          <w:color w:val="auto"/>
          <w:sz w:val="24"/>
          <w:szCs w:val="24"/>
          <w:highlight w:val="none"/>
        </w:rPr>
        <w:t>天内完成款项的支付。</w:t>
      </w:r>
    </w:p>
    <w:p w14:paraId="677E17C7">
      <w:pPr>
        <w:autoSpaceDN w:val="0"/>
        <w:spacing w:line="360" w:lineRule="auto"/>
        <w:ind w:firstLine="480" w:firstLineChars="200"/>
        <w:rPr>
          <w:rFonts w:ascii="宋体" w:hAnsi="宋体" w:cs="宋体"/>
          <w:bCs/>
          <w:color w:val="auto"/>
          <w:sz w:val="24"/>
          <w:szCs w:val="24"/>
          <w:highlight w:val="none"/>
        </w:rPr>
      </w:pPr>
      <w:bookmarkStart w:id="627" w:name="_Toc351203650"/>
      <w:r>
        <w:rPr>
          <w:rFonts w:ascii="宋体" w:hAnsi="宋体" w:cs="宋体"/>
          <w:bCs/>
          <w:color w:val="auto"/>
          <w:sz w:val="24"/>
          <w:szCs w:val="24"/>
          <w:highlight w:val="none"/>
        </w:rPr>
        <w:t>18.</w:t>
      </w:r>
      <w:r>
        <w:rPr>
          <w:rFonts w:hint="eastAsia" w:ascii="宋体" w:hAnsi="宋体" w:cs="宋体"/>
          <w:bCs/>
          <w:color w:val="auto"/>
          <w:sz w:val="24"/>
          <w:szCs w:val="24"/>
          <w:highlight w:val="none"/>
        </w:rPr>
        <w:t>保险</w:t>
      </w:r>
      <w:bookmarkEnd w:id="627"/>
    </w:p>
    <w:bookmarkEnd w:id="622"/>
    <w:p w14:paraId="317DD5B9">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18.1</w:t>
      </w:r>
      <w:r>
        <w:rPr>
          <w:rFonts w:hint="eastAsia" w:ascii="宋体" w:hAnsi="宋体" w:cs="宋体"/>
          <w:color w:val="auto"/>
          <w:sz w:val="24"/>
          <w:szCs w:val="24"/>
          <w:highlight w:val="none"/>
        </w:rPr>
        <w:t>工程保险</w:t>
      </w:r>
    </w:p>
    <w:p w14:paraId="4CBB1E5A">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关于工程保险的特别约定：</w:t>
      </w:r>
      <w:r>
        <w:rPr>
          <w:rFonts w:hint="eastAsia" w:ascii="宋体" w:hAnsi="宋体" w:cs="宋体"/>
          <w:color w:val="auto"/>
          <w:sz w:val="24"/>
          <w:szCs w:val="24"/>
          <w:highlight w:val="none"/>
          <w:u w:val="single"/>
        </w:rPr>
        <w:t>本项目发包人不投保建筑工程一切险及安装工程一切险，承包人应投保本项目建筑工程一切险及安装工程一切险，费用已经包括在本工程合同价格中。</w:t>
      </w:r>
    </w:p>
    <w:p w14:paraId="2CD73900">
      <w:pPr>
        <w:autoSpaceDN w:val="0"/>
        <w:spacing w:line="360" w:lineRule="auto"/>
        <w:ind w:firstLine="480" w:firstLineChars="200"/>
        <w:rPr>
          <w:rFonts w:ascii="宋体" w:hAnsi="宋体" w:cs="宋体"/>
          <w:color w:val="auto"/>
          <w:sz w:val="24"/>
          <w:szCs w:val="24"/>
          <w:highlight w:val="none"/>
        </w:rPr>
      </w:pPr>
      <w:bookmarkStart w:id="628" w:name="_Toc54777970"/>
      <w:r>
        <w:rPr>
          <w:rFonts w:ascii="宋体" w:hAnsi="宋体" w:cs="宋体"/>
          <w:color w:val="auto"/>
          <w:sz w:val="24"/>
          <w:szCs w:val="24"/>
          <w:highlight w:val="none"/>
        </w:rPr>
        <w:t>18.3</w:t>
      </w:r>
      <w:r>
        <w:rPr>
          <w:rFonts w:hint="eastAsia" w:ascii="宋体" w:hAnsi="宋体" w:cs="宋体"/>
          <w:color w:val="auto"/>
          <w:sz w:val="24"/>
          <w:szCs w:val="24"/>
          <w:highlight w:val="none"/>
        </w:rPr>
        <w:t>其他保险</w:t>
      </w:r>
      <w:bookmarkEnd w:id="628"/>
    </w:p>
    <w:p w14:paraId="229F8798">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关于其他保险的约定：</w:t>
      </w:r>
      <w:r>
        <w:rPr>
          <w:rFonts w:hint="eastAsia" w:ascii="宋体" w:hAnsi="宋体" w:cs="宋体"/>
          <w:color w:val="auto"/>
          <w:sz w:val="24"/>
          <w:szCs w:val="24"/>
          <w:highlight w:val="none"/>
          <w:u w:val="single"/>
        </w:rPr>
        <w:t>承包人应为施工现场的全部人员（包括发包人派驻人员及第三方人员）办理意外伤害保险，费用由承包人承担</w:t>
      </w:r>
      <w:r>
        <w:rPr>
          <w:rFonts w:hint="eastAsia" w:ascii="宋体" w:hAnsi="宋体" w:cs="宋体"/>
          <w:color w:val="auto"/>
          <w:sz w:val="24"/>
          <w:szCs w:val="24"/>
          <w:highlight w:val="none"/>
        </w:rPr>
        <w:t>。</w:t>
      </w:r>
    </w:p>
    <w:p w14:paraId="35D81DA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承包人是否应为其施工设备等办理财产保险：</w:t>
      </w:r>
      <w:r>
        <w:rPr>
          <w:rFonts w:hint="eastAsia" w:ascii="宋体" w:hAnsi="宋体" w:cs="宋体"/>
          <w:color w:val="auto"/>
          <w:sz w:val="24"/>
          <w:szCs w:val="24"/>
          <w:highlight w:val="none"/>
          <w:u w:val="single"/>
        </w:rPr>
        <w:t>承包人应该为施工设备等办理财产保险</w:t>
      </w:r>
      <w:r>
        <w:rPr>
          <w:rFonts w:hint="eastAsia" w:ascii="宋体" w:hAnsi="宋体" w:cs="宋体"/>
          <w:color w:val="auto"/>
          <w:sz w:val="24"/>
          <w:szCs w:val="24"/>
          <w:highlight w:val="none"/>
        </w:rPr>
        <w:t>。</w:t>
      </w:r>
    </w:p>
    <w:p w14:paraId="73F81DA3">
      <w:pPr>
        <w:autoSpaceDN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18.7</w:t>
      </w:r>
      <w:r>
        <w:rPr>
          <w:rFonts w:hint="eastAsia" w:ascii="宋体" w:hAnsi="宋体" w:cs="宋体"/>
          <w:color w:val="auto"/>
          <w:sz w:val="24"/>
          <w:szCs w:val="24"/>
          <w:highlight w:val="none"/>
        </w:rPr>
        <w:t>通知义务</w:t>
      </w:r>
    </w:p>
    <w:p w14:paraId="09E0608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关于变更保险合同时的通知义务的约定：</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bookmarkEnd w:id="600"/>
    <w:bookmarkEnd w:id="601"/>
    <w:bookmarkEnd w:id="602"/>
    <w:bookmarkEnd w:id="603"/>
    <w:bookmarkEnd w:id="604"/>
    <w:bookmarkEnd w:id="605"/>
    <w:bookmarkEnd w:id="606"/>
    <w:bookmarkEnd w:id="607"/>
    <w:bookmarkEnd w:id="608"/>
    <w:bookmarkEnd w:id="609"/>
    <w:bookmarkEnd w:id="610"/>
    <w:bookmarkEnd w:id="611"/>
    <w:p w14:paraId="2AACCA5D">
      <w:pPr>
        <w:autoSpaceDN w:val="0"/>
        <w:spacing w:line="360" w:lineRule="auto"/>
        <w:ind w:firstLine="480" w:firstLineChars="200"/>
        <w:rPr>
          <w:rFonts w:ascii="宋体" w:hAnsi="宋体" w:cs="宋体"/>
          <w:bCs/>
          <w:color w:val="auto"/>
          <w:sz w:val="24"/>
          <w:szCs w:val="24"/>
          <w:highlight w:val="none"/>
        </w:rPr>
      </w:pPr>
      <w:bookmarkStart w:id="629" w:name="_Toc351203651"/>
      <w:r>
        <w:rPr>
          <w:rFonts w:ascii="宋体" w:hAnsi="宋体" w:cs="宋体"/>
          <w:bCs/>
          <w:color w:val="auto"/>
          <w:sz w:val="24"/>
          <w:szCs w:val="24"/>
          <w:highlight w:val="none"/>
        </w:rPr>
        <w:t>20.</w:t>
      </w:r>
      <w:r>
        <w:rPr>
          <w:rFonts w:hint="eastAsia" w:ascii="宋体" w:hAnsi="宋体" w:cs="宋体"/>
          <w:bCs/>
          <w:color w:val="auto"/>
          <w:sz w:val="24"/>
          <w:szCs w:val="24"/>
          <w:highlight w:val="none"/>
        </w:rPr>
        <w:t>争议解决</w:t>
      </w:r>
      <w:bookmarkEnd w:id="629"/>
    </w:p>
    <w:bookmarkEnd w:id="612"/>
    <w:bookmarkEnd w:id="613"/>
    <w:p w14:paraId="77AF9A31">
      <w:pPr>
        <w:autoSpaceDN w:val="0"/>
        <w:spacing w:line="360" w:lineRule="auto"/>
        <w:ind w:firstLine="480" w:firstLineChars="200"/>
        <w:rPr>
          <w:rFonts w:ascii="宋体" w:hAnsi="宋体" w:cs="宋体"/>
          <w:color w:val="auto"/>
          <w:sz w:val="24"/>
          <w:szCs w:val="24"/>
          <w:highlight w:val="none"/>
        </w:rPr>
      </w:pPr>
      <w:bookmarkStart w:id="630" w:name="_Toc54777971"/>
      <w:r>
        <w:rPr>
          <w:rFonts w:ascii="宋体" w:hAnsi="宋体" w:cs="宋体"/>
          <w:color w:val="auto"/>
          <w:sz w:val="24"/>
          <w:szCs w:val="24"/>
          <w:highlight w:val="none"/>
        </w:rPr>
        <w:t>20.3</w:t>
      </w:r>
      <w:r>
        <w:rPr>
          <w:rFonts w:hint="eastAsia" w:ascii="宋体" w:hAnsi="宋体" w:cs="宋体"/>
          <w:color w:val="auto"/>
          <w:sz w:val="24"/>
          <w:szCs w:val="24"/>
          <w:highlight w:val="none"/>
        </w:rPr>
        <w:t>争</w:t>
      </w:r>
      <w:bookmarkEnd w:id="614"/>
      <w:r>
        <w:rPr>
          <w:rFonts w:hint="eastAsia" w:ascii="宋体" w:hAnsi="宋体" w:cs="宋体"/>
          <w:color w:val="auto"/>
          <w:sz w:val="24"/>
          <w:szCs w:val="24"/>
          <w:highlight w:val="none"/>
        </w:rPr>
        <w:t>议评审</w:t>
      </w:r>
      <w:bookmarkEnd w:id="630"/>
    </w:p>
    <w:p w14:paraId="19F3741B">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合同当事人是否同意将工程争议提交争议评审小组决定：</w:t>
      </w:r>
      <w:r>
        <w:rPr>
          <w:rFonts w:hint="eastAsia" w:ascii="宋体" w:hAnsi="宋体" w:cs="宋体"/>
          <w:color w:val="auto"/>
          <w:sz w:val="24"/>
          <w:szCs w:val="24"/>
          <w:highlight w:val="none"/>
          <w:u w:val="single"/>
        </w:rPr>
        <w:t>否</w:t>
      </w:r>
      <w:r>
        <w:rPr>
          <w:rFonts w:hint="eastAsia" w:ascii="宋体" w:hAnsi="宋体" w:cs="宋体"/>
          <w:color w:val="auto"/>
          <w:sz w:val="24"/>
          <w:szCs w:val="24"/>
          <w:highlight w:val="none"/>
        </w:rPr>
        <w:t>。</w:t>
      </w:r>
    </w:p>
    <w:p w14:paraId="216E9258">
      <w:pPr>
        <w:autoSpaceDN w:val="0"/>
        <w:spacing w:line="360" w:lineRule="auto"/>
        <w:ind w:firstLine="480" w:firstLineChars="200"/>
        <w:rPr>
          <w:rFonts w:ascii="宋体" w:hAnsi="宋体" w:cs="宋体"/>
          <w:color w:val="auto"/>
          <w:sz w:val="24"/>
          <w:szCs w:val="24"/>
          <w:highlight w:val="none"/>
        </w:rPr>
      </w:pPr>
      <w:bookmarkStart w:id="631" w:name="_Toc54777972"/>
      <w:r>
        <w:rPr>
          <w:rFonts w:ascii="宋体" w:hAnsi="宋体" w:cs="宋体"/>
          <w:color w:val="auto"/>
          <w:sz w:val="24"/>
          <w:szCs w:val="24"/>
          <w:highlight w:val="none"/>
        </w:rPr>
        <w:t>20.3.1</w:t>
      </w:r>
      <w:r>
        <w:rPr>
          <w:rFonts w:hint="eastAsia" w:ascii="宋体" w:hAnsi="宋体" w:cs="宋体"/>
          <w:color w:val="auto"/>
          <w:sz w:val="24"/>
          <w:szCs w:val="24"/>
          <w:highlight w:val="none"/>
        </w:rPr>
        <w:t>争议评审小组的确定</w:t>
      </w:r>
      <w:bookmarkEnd w:id="631"/>
    </w:p>
    <w:p w14:paraId="083A938E">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争议评审小组成员的确定：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6EE015F">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选定争议评审员的期限：</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771E6C8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争议评审小组成员的报酬承担方式：</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5C806156">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其他事项的约定：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9A545ED">
      <w:pPr>
        <w:autoSpaceDN w:val="0"/>
        <w:spacing w:line="360" w:lineRule="auto"/>
        <w:ind w:firstLine="480" w:firstLineChars="200"/>
        <w:rPr>
          <w:rFonts w:ascii="宋体" w:hAnsi="宋体" w:cs="宋体"/>
          <w:color w:val="auto"/>
          <w:sz w:val="24"/>
          <w:szCs w:val="24"/>
          <w:highlight w:val="none"/>
        </w:rPr>
      </w:pPr>
      <w:bookmarkStart w:id="632" w:name="_Toc54777973"/>
      <w:r>
        <w:rPr>
          <w:rFonts w:ascii="宋体" w:hAnsi="宋体" w:cs="宋体"/>
          <w:color w:val="auto"/>
          <w:sz w:val="24"/>
          <w:szCs w:val="24"/>
          <w:highlight w:val="none"/>
        </w:rPr>
        <w:t>20.3.2</w:t>
      </w:r>
      <w:r>
        <w:rPr>
          <w:rFonts w:hint="eastAsia" w:ascii="宋体" w:hAnsi="宋体" w:cs="宋体"/>
          <w:color w:val="auto"/>
          <w:sz w:val="24"/>
          <w:szCs w:val="24"/>
          <w:highlight w:val="none"/>
        </w:rPr>
        <w:t>争议评审小组的决定</w:t>
      </w:r>
      <w:bookmarkEnd w:id="632"/>
    </w:p>
    <w:p w14:paraId="24A0D8C0">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合同当事人关于本项的约定：</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8B47317">
      <w:pPr>
        <w:autoSpaceDN w:val="0"/>
        <w:spacing w:line="360" w:lineRule="auto"/>
        <w:ind w:firstLine="480" w:firstLineChars="200"/>
        <w:rPr>
          <w:rFonts w:ascii="宋体" w:hAnsi="宋体" w:cs="宋体"/>
          <w:color w:val="auto"/>
          <w:sz w:val="24"/>
          <w:szCs w:val="24"/>
          <w:highlight w:val="none"/>
        </w:rPr>
      </w:pPr>
      <w:bookmarkStart w:id="633" w:name="_Toc54777974"/>
      <w:r>
        <w:rPr>
          <w:rFonts w:ascii="宋体" w:hAnsi="宋体" w:cs="宋体"/>
          <w:color w:val="auto"/>
          <w:sz w:val="24"/>
          <w:szCs w:val="24"/>
          <w:highlight w:val="none"/>
        </w:rPr>
        <w:t>20.4</w:t>
      </w:r>
      <w:r>
        <w:rPr>
          <w:rFonts w:hint="eastAsia" w:ascii="宋体" w:hAnsi="宋体" w:cs="宋体"/>
          <w:color w:val="auto"/>
          <w:sz w:val="24"/>
          <w:szCs w:val="24"/>
          <w:highlight w:val="none"/>
        </w:rPr>
        <w:t>仲裁或诉讼</w:t>
      </w:r>
      <w:bookmarkEnd w:id="615"/>
      <w:bookmarkEnd w:id="633"/>
    </w:p>
    <w:p w14:paraId="43761092">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因合同及合同有关事项发生的争议，按下列第</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种方式解决：</w:t>
      </w:r>
    </w:p>
    <w:p w14:paraId="2C80A8A4">
      <w:pPr>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向/</w:t>
      </w:r>
      <w:r>
        <w:rPr>
          <w:rFonts w:hint="eastAsia" w:ascii="宋体" w:hAnsi="宋体" w:cs="宋体"/>
          <w:color w:val="auto"/>
          <w:sz w:val="24"/>
          <w:szCs w:val="24"/>
          <w:highlight w:val="none"/>
        </w:rPr>
        <w:t>仲裁委员会申请仲裁；</w:t>
      </w:r>
    </w:p>
    <w:p w14:paraId="6A4A26C5">
      <w:pPr>
        <w:widowControl/>
        <w:adjustRightInd w:val="0"/>
        <w:snapToGrid w:val="0"/>
        <w:spacing w:after="200"/>
        <w:ind w:firstLine="480" w:firstLineChars="200"/>
        <w:jc w:val="left"/>
        <w:rPr>
          <w:rFonts w:ascii="宋体" w:hAnsi="宋体" w:cs="仿宋"/>
          <w:color w:val="auto"/>
          <w:kern w:val="0"/>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rPr>
        <w:t>项目所在地有管辖权的</w:t>
      </w:r>
      <w:r>
        <w:rPr>
          <w:rFonts w:hint="eastAsia" w:ascii="宋体" w:hAnsi="宋体" w:cs="宋体"/>
          <w:color w:val="auto"/>
          <w:sz w:val="24"/>
          <w:szCs w:val="24"/>
          <w:highlight w:val="none"/>
        </w:rPr>
        <w:t>人民法院起诉。</w:t>
      </w:r>
    </w:p>
    <w:p w14:paraId="7EE49864">
      <w:pPr>
        <w:rPr>
          <w:rStyle w:val="66"/>
          <w:rFonts w:hint="eastAsia"/>
          <w:lang w:val="en-US" w:eastAsia="zh-CN"/>
        </w:rPr>
      </w:pPr>
      <w:bookmarkStart w:id="634" w:name="_Toc8091"/>
      <w:r>
        <w:rPr>
          <w:rStyle w:val="66"/>
          <w:rFonts w:hint="eastAsia"/>
          <w:lang w:val="en-US" w:eastAsia="zh-CN"/>
        </w:rPr>
        <w:br w:type="page"/>
      </w:r>
    </w:p>
    <w:p w14:paraId="5DD0CC09">
      <w:pPr>
        <w:pStyle w:val="9"/>
        <w:bidi w:val="0"/>
      </w:pPr>
      <w:r>
        <w:rPr>
          <w:rFonts w:hint="eastAsia"/>
          <w:lang w:val="en-US" w:eastAsia="zh-CN"/>
        </w:rPr>
        <w:t>第</w:t>
      </w:r>
      <w:r>
        <w:t>五章工程量清单</w:t>
      </w:r>
      <w:bookmarkEnd w:id="634"/>
    </w:p>
    <w:p w14:paraId="1298A72A">
      <w:pPr>
        <w:spacing w:before="195"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（另附）</w:t>
      </w:r>
    </w:p>
    <w:p w14:paraId="73104C09">
      <w:pPr>
        <w:ind w:firstLine="480" w:firstLineChars="200"/>
        <w:rPr>
          <w:rFonts w:ascii="宋体" w:hAnsi="宋体" w:eastAsia="宋体" w:cs="宋体"/>
          <w:sz w:val="24"/>
          <w:szCs w:val="24"/>
        </w:rPr>
      </w:pPr>
      <w:r>
        <w:rPr>
          <w:rFonts w:ascii="宋体" w:hAnsi="宋体" w:eastAsia="宋体" w:cs="宋体"/>
          <w:sz w:val="24"/>
          <w:szCs w:val="24"/>
        </w:rPr>
        <w:br w:type="page"/>
      </w:r>
    </w:p>
    <w:p w14:paraId="7305823B">
      <w:pPr>
        <w:pStyle w:val="9"/>
        <w:bidi w:val="0"/>
        <w:ind w:firstLine="643" w:firstLineChars="200"/>
      </w:pPr>
      <w:bookmarkStart w:id="635" w:name="_Toc8741"/>
      <w:r>
        <w:rPr>
          <w:rFonts w:hint="eastAsia"/>
          <w:lang w:val="en-US" w:eastAsia="zh-CN"/>
        </w:rPr>
        <w:t xml:space="preserve">第六章 </w:t>
      </w:r>
      <w:bookmarkEnd w:id="635"/>
      <w:bookmarkStart w:id="636" w:name="_Toc11809"/>
      <w:r>
        <w:rPr>
          <w:rFonts w:hint="eastAsia"/>
          <w:lang w:val="en-US" w:eastAsia="zh-CN"/>
        </w:rPr>
        <w:t xml:space="preserve"> </w:t>
      </w:r>
      <w:r>
        <w:t>响应文件格式</w:t>
      </w:r>
      <w:bookmarkEnd w:id="636"/>
    </w:p>
    <w:p w14:paraId="20573F1A">
      <w:pPr>
        <w:spacing w:before="78" w:line="220" w:lineRule="auto"/>
        <w:ind w:left="2886" w:firstLine="460" w:firstLineChars="200"/>
        <w:rPr>
          <w:rFonts w:ascii="宋体" w:hAnsi="宋体" w:eastAsia="宋体" w:cs="宋体"/>
          <w:spacing w:val="-5"/>
          <w:sz w:val="24"/>
          <w:szCs w:val="24"/>
        </w:rPr>
      </w:pPr>
    </w:p>
    <w:p w14:paraId="49CF6583">
      <w:pPr>
        <w:spacing w:before="78" w:line="220" w:lineRule="auto"/>
        <w:jc w:val="center"/>
        <w:rPr>
          <w:rFonts w:ascii="宋体" w:hAnsi="宋体" w:eastAsia="宋体" w:cs="宋体"/>
          <w:sz w:val="44"/>
          <w:szCs w:val="44"/>
        </w:rPr>
      </w:pPr>
      <w:r>
        <w:rPr>
          <w:rFonts w:ascii="宋体" w:hAnsi="宋体" w:eastAsia="宋体" w:cs="宋体"/>
          <w:spacing w:val="-5"/>
          <w:sz w:val="44"/>
          <w:szCs w:val="44"/>
        </w:rPr>
        <w:t>（项目名称）</w:t>
      </w:r>
    </w:p>
    <w:p w14:paraId="2D6DA45F">
      <w:pPr>
        <w:spacing w:line="240" w:lineRule="auto"/>
        <w:ind w:right="0"/>
        <w:jc w:val="center"/>
        <w:rPr>
          <w:rFonts w:ascii="宋体" w:hAnsi="宋体" w:eastAsia="宋体" w:cs="宋体"/>
          <w:spacing w:val="-13"/>
          <w:sz w:val="96"/>
          <w:szCs w:val="96"/>
        </w:rPr>
      </w:pPr>
    </w:p>
    <w:p w14:paraId="55A1D7AF">
      <w:pPr>
        <w:spacing w:line="240" w:lineRule="auto"/>
        <w:ind w:right="0"/>
        <w:jc w:val="center"/>
        <w:rPr>
          <w:rFonts w:ascii="宋体" w:hAnsi="宋体" w:eastAsia="宋体" w:cs="宋体"/>
          <w:spacing w:val="-13"/>
          <w:sz w:val="96"/>
          <w:szCs w:val="96"/>
        </w:rPr>
      </w:pPr>
    </w:p>
    <w:p w14:paraId="5090F672">
      <w:pPr>
        <w:spacing w:line="240" w:lineRule="auto"/>
        <w:ind w:right="0"/>
        <w:jc w:val="center"/>
        <w:rPr>
          <w:rFonts w:ascii="宋体" w:hAnsi="宋体" w:eastAsia="宋体" w:cs="宋体"/>
          <w:spacing w:val="-13"/>
          <w:sz w:val="96"/>
          <w:szCs w:val="96"/>
        </w:rPr>
      </w:pPr>
      <w:r>
        <w:rPr>
          <w:rFonts w:ascii="宋体" w:hAnsi="宋体" w:eastAsia="宋体" w:cs="宋体"/>
          <w:spacing w:val="-13"/>
          <w:sz w:val="96"/>
          <w:szCs w:val="96"/>
        </w:rPr>
        <w:t>响应文件</w:t>
      </w:r>
    </w:p>
    <w:p w14:paraId="76093271">
      <w:pPr>
        <w:spacing w:line="240" w:lineRule="auto"/>
        <w:ind w:right="0"/>
        <w:jc w:val="center"/>
        <w:rPr>
          <w:rFonts w:ascii="宋体" w:hAnsi="宋体" w:eastAsia="宋体" w:cs="宋体"/>
          <w:spacing w:val="-11"/>
          <w:sz w:val="24"/>
          <w:szCs w:val="24"/>
        </w:rPr>
      </w:pPr>
    </w:p>
    <w:p w14:paraId="1BC137CD">
      <w:pPr>
        <w:spacing w:line="240" w:lineRule="auto"/>
        <w:ind w:right="0"/>
        <w:jc w:val="center"/>
        <w:rPr>
          <w:rFonts w:ascii="宋体" w:hAnsi="宋体" w:eastAsia="宋体" w:cs="宋体"/>
          <w:spacing w:val="-11"/>
          <w:sz w:val="24"/>
          <w:szCs w:val="24"/>
        </w:rPr>
      </w:pPr>
    </w:p>
    <w:p w14:paraId="4DD86B46">
      <w:pPr>
        <w:spacing w:line="240" w:lineRule="auto"/>
        <w:ind w:right="0"/>
        <w:jc w:val="center"/>
        <w:rPr>
          <w:rFonts w:ascii="宋体" w:hAnsi="宋体" w:eastAsia="宋体" w:cs="宋体"/>
          <w:sz w:val="28"/>
          <w:szCs w:val="28"/>
        </w:rPr>
      </w:pPr>
      <w:r>
        <w:rPr>
          <w:rFonts w:ascii="宋体" w:hAnsi="宋体" w:eastAsia="宋体" w:cs="宋体"/>
          <w:spacing w:val="-11"/>
          <w:sz w:val="28"/>
          <w:szCs w:val="28"/>
        </w:rPr>
        <w:t>项目编号：</w:t>
      </w:r>
    </w:p>
    <w:p w14:paraId="63A76073">
      <w:pPr>
        <w:spacing w:before="78" w:line="219" w:lineRule="auto"/>
        <w:ind w:left="2479" w:firstLine="468" w:firstLineChars="200"/>
        <w:rPr>
          <w:rFonts w:ascii="宋体" w:hAnsi="宋体" w:eastAsia="宋体" w:cs="宋体"/>
          <w:spacing w:val="-3"/>
          <w:sz w:val="24"/>
          <w:szCs w:val="24"/>
        </w:rPr>
      </w:pPr>
    </w:p>
    <w:p w14:paraId="4DBE1207">
      <w:pPr>
        <w:spacing w:before="78" w:line="219" w:lineRule="auto"/>
        <w:ind w:left="2479" w:firstLine="468" w:firstLineChars="200"/>
        <w:rPr>
          <w:rFonts w:ascii="宋体" w:hAnsi="宋体" w:eastAsia="宋体" w:cs="宋体"/>
          <w:spacing w:val="-3"/>
          <w:sz w:val="24"/>
          <w:szCs w:val="24"/>
        </w:rPr>
      </w:pPr>
    </w:p>
    <w:p w14:paraId="60101DBE">
      <w:pPr>
        <w:spacing w:before="78" w:line="219" w:lineRule="auto"/>
        <w:ind w:left="2479" w:firstLine="468" w:firstLineChars="200"/>
        <w:rPr>
          <w:rFonts w:ascii="宋体" w:hAnsi="宋体" w:eastAsia="宋体" w:cs="宋体"/>
          <w:spacing w:val="-3"/>
          <w:sz w:val="24"/>
          <w:szCs w:val="24"/>
        </w:rPr>
      </w:pPr>
    </w:p>
    <w:p w14:paraId="21181CCC">
      <w:pPr>
        <w:spacing w:before="78" w:line="219" w:lineRule="auto"/>
        <w:ind w:left="2479" w:firstLine="468" w:firstLineChars="200"/>
        <w:rPr>
          <w:rFonts w:ascii="宋体" w:hAnsi="宋体" w:eastAsia="宋体" w:cs="宋体"/>
          <w:spacing w:val="-3"/>
          <w:sz w:val="24"/>
          <w:szCs w:val="24"/>
        </w:rPr>
      </w:pPr>
    </w:p>
    <w:p w14:paraId="49C1E037">
      <w:pPr>
        <w:spacing w:before="78" w:line="219" w:lineRule="auto"/>
        <w:ind w:left="2479" w:firstLine="468" w:firstLineChars="200"/>
        <w:rPr>
          <w:rFonts w:ascii="宋体" w:hAnsi="宋体" w:eastAsia="宋体" w:cs="宋体"/>
          <w:spacing w:val="-3"/>
          <w:sz w:val="24"/>
          <w:szCs w:val="24"/>
        </w:rPr>
      </w:pPr>
    </w:p>
    <w:p w14:paraId="370EB2BD">
      <w:pPr>
        <w:spacing w:before="78" w:line="219" w:lineRule="auto"/>
        <w:ind w:left="2479" w:firstLine="468" w:firstLineChars="200"/>
        <w:rPr>
          <w:rFonts w:ascii="宋体" w:hAnsi="宋体" w:eastAsia="宋体" w:cs="宋体"/>
          <w:spacing w:val="-3"/>
          <w:sz w:val="24"/>
          <w:szCs w:val="24"/>
        </w:rPr>
      </w:pPr>
    </w:p>
    <w:p w14:paraId="1FA18594">
      <w:pPr>
        <w:spacing w:before="78" w:line="219" w:lineRule="auto"/>
        <w:ind w:left="2479" w:firstLine="468" w:firstLineChars="200"/>
        <w:rPr>
          <w:rFonts w:ascii="宋体" w:hAnsi="宋体" w:eastAsia="宋体" w:cs="宋体"/>
          <w:spacing w:val="-3"/>
          <w:sz w:val="24"/>
          <w:szCs w:val="24"/>
        </w:rPr>
      </w:pPr>
    </w:p>
    <w:p w14:paraId="26A5BDA5">
      <w:pPr>
        <w:spacing w:before="78" w:line="219" w:lineRule="auto"/>
        <w:ind w:left="2479" w:firstLine="468" w:firstLineChars="200"/>
        <w:rPr>
          <w:rFonts w:ascii="宋体" w:hAnsi="宋体" w:eastAsia="宋体" w:cs="宋体"/>
          <w:spacing w:val="-3"/>
          <w:sz w:val="24"/>
          <w:szCs w:val="24"/>
        </w:rPr>
      </w:pPr>
    </w:p>
    <w:p w14:paraId="46DB1B50">
      <w:pPr>
        <w:spacing w:before="78" w:line="219" w:lineRule="auto"/>
        <w:ind w:left="2479" w:firstLine="468" w:firstLineChars="200"/>
        <w:rPr>
          <w:rFonts w:ascii="宋体" w:hAnsi="宋体" w:eastAsia="宋体" w:cs="宋体"/>
          <w:spacing w:val="-3"/>
          <w:sz w:val="24"/>
          <w:szCs w:val="24"/>
        </w:rPr>
      </w:pPr>
    </w:p>
    <w:p w14:paraId="4E28823D">
      <w:pPr>
        <w:spacing w:before="78" w:line="480" w:lineRule="auto"/>
        <w:ind w:leftChars="800"/>
        <w:rPr>
          <w:rFonts w:ascii="宋体" w:hAnsi="宋体" w:eastAsia="宋体" w:cs="宋体"/>
          <w:sz w:val="28"/>
          <w:szCs w:val="28"/>
        </w:rPr>
      </w:pPr>
      <w:r>
        <w:rPr>
          <w:rFonts w:ascii="宋体" w:hAnsi="宋体" w:eastAsia="宋体" w:cs="宋体"/>
          <w:spacing w:val="-3"/>
          <w:sz w:val="28"/>
          <w:szCs w:val="28"/>
        </w:rPr>
        <w:t>供应商</w:t>
      </w:r>
      <w:r>
        <w:rPr>
          <w:rFonts w:ascii="宋体" w:hAnsi="宋体" w:eastAsia="宋体" w:cs="宋体"/>
          <w:spacing w:val="-2"/>
          <w:sz w:val="28"/>
          <w:szCs w:val="28"/>
        </w:rPr>
        <w:t>：（</w:t>
      </w:r>
      <w:r>
        <w:rPr>
          <w:rFonts w:ascii="宋体" w:hAnsi="宋体" w:eastAsia="宋体" w:cs="宋体"/>
          <w:spacing w:val="-3"/>
          <w:sz w:val="28"/>
          <w:szCs w:val="28"/>
        </w:rPr>
        <w:t>盖公章）</w:t>
      </w:r>
    </w:p>
    <w:p w14:paraId="21EB8F07">
      <w:pPr>
        <w:spacing w:before="78" w:line="480" w:lineRule="auto"/>
        <w:ind w:leftChars="800"/>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3"/>
          <w:sz w:val="28"/>
          <w:szCs w:val="28"/>
        </w:rPr>
        <w:t>：（</w:t>
      </w:r>
      <w:r>
        <w:rPr>
          <w:rFonts w:ascii="宋体" w:hAnsi="宋体" w:eastAsia="宋体" w:cs="宋体"/>
          <w:spacing w:val="-2"/>
          <w:sz w:val="28"/>
          <w:szCs w:val="28"/>
        </w:rPr>
        <w:t>法人盖章）</w:t>
      </w:r>
    </w:p>
    <w:p w14:paraId="65E4D271">
      <w:pPr>
        <w:spacing w:before="78" w:line="480" w:lineRule="auto"/>
        <w:ind w:leftChars="800" w:firstLine="786" w:firstLineChars="300"/>
        <w:rPr>
          <w:rFonts w:ascii="宋体" w:hAnsi="宋体" w:eastAsia="宋体" w:cs="宋体"/>
          <w:sz w:val="28"/>
          <w:szCs w:val="28"/>
        </w:rPr>
      </w:pPr>
      <w:r>
        <w:rPr>
          <w:rFonts w:ascii="宋体" w:hAnsi="宋体" w:eastAsia="宋体" w:cs="宋体"/>
          <w:spacing w:val="-9"/>
          <w:sz w:val="28"/>
          <w:szCs w:val="28"/>
        </w:rPr>
        <w:t>年</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月</w:t>
      </w:r>
      <w:r>
        <w:rPr>
          <w:rFonts w:hint="eastAsia" w:ascii="宋体" w:hAnsi="宋体" w:eastAsia="宋体" w:cs="宋体"/>
          <w:spacing w:val="-9"/>
          <w:sz w:val="28"/>
          <w:szCs w:val="28"/>
          <w:lang w:val="en-US" w:eastAsia="zh-CN"/>
        </w:rPr>
        <w:t xml:space="preserve">     </w:t>
      </w:r>
      <w:r>
        <w:rPr>
          <w:rFonts w:ascii="宋体" w:hAnsi="宋体" w:eastAsia="宋体" w:cs="宋体"/>
          <w:spacing w:val="-9"/>
          <w:sz w:val="28"/>
          <w:szCs w:val="28"/>
        </w:rPr>
        <w:t>日</w:t>
      </w:r>
    </w:p>
    <w:p w14:paraId="50EA6449">
      <w:pPr>
        <w:spacing w:line="480" w:lineRule="auto"/>
        <w:ind w:leftChars="800"/>
        <w:rPr>
          <w:rFonts w:ascii="宋体" w:hAnsi="宋体" w:eastAsia="宋体" w:cs="宋体"/>
          <w:sz w:val="28"/>
          <w:szCs w:val="28"/>
        </w:rPr>
        <w:sectPr>
          <w:footerReference r:id="rId6" w:type="default"/>
          <w:pgSz w:w="11907" w:h="16839"/>
          <w:pgMar w:top="1440" w:right="1800" w:bottom="1440" w:left="1800" w:header="0" w:footer="719" w:gutter="0"/>
          <w:pgNumType w:fmt="decimal"/>
          <w:cols w:space="720" w:num="1"/>
        </w:sectPr>
      </w:pPr>
    </w:p>
    <w:p w14:paraId="7C00CD0E">
      <w:pPr>
        <w:spacing w:before="78" w:line="222" w:lineRule="auto"/>
        <w:ind w:left="3420" w:firstLine="519" w:firstLineChars="200"/>
        <w:rPr>
          <w:rFonts w:ascii="宋体" w:hAnsi="宋体" w:eastAsia="宋体" w:cs="宋体"/>
          <w:sz w:val="32"/>
          <w:szCs w:val="32"/>
        </w:rPr>
      </w:pPr>
      <w:r>
        <w:rPr>
          <w:rFonts w:ascii="宋体" w:hAnsi="宋体" w:eastAsia="宋体" w:cs="宋体"/>
          <w:b/>
          <w:bCs/>
          <w:spacing w:val="-31"/>
          <w:sz w:val="32"/>
          <w:szCs w:val="32"/>
        </w:rPr>
        <w:t>目录</w:t>
      </w:r>
    </w:p>
    <w:p w14:paraId="25012D5B">
      <w:pPr>
        <w:spacing w:before="191" w:line="219" w:lineRule="auto"/>
        <w:ind w:left="3366" w:firstLine="456" w:firstLineChars="200"/>
        <w:rPr>
          <w:rFonts w:ascii="宋体" w:hAnsi="宋体" w:eastAsia="宋体" w:cs="宋体"/>
          <w:sz w:val="24"/>
          <w:szCs w:val="24"/>
        </w:rPr>
      </w:pPr>
      <w:r>
        <w:rPr>
          <w:rFonts w:ascii="宋体" w:hAnsi="宋体" w:eastAsia="宋体" w:cs="宋体"/>
          <w:spacing w:val="-6"/>
          <w:sz w:val="24"/>
          <w:szCs w:val="24"/>
        </w:rPr>
        <w:t>（自拟）</w:t>
      </w:r>
    </w:p>
    <w:p w14:paraId="38AEDB1E">
      <w:pPr>
        <w:spacing w:line="219" w:lineRule="auto"/>
        <w:rPr>
          <w:rFonts w:ascii="宋体" w:hAnsi="宋体" w:eastAsia="宋体" w:cs="宋体"/>
          <w:sz w:val="24"/>
          <w:szCs w:val="24"/>
        </w:rPr>
        <w:sectPr>
          <w:footerReference r:id="rId7" w:type="default"/>
          <w:pgSz w:w="11907" w:h="16839"/>
          <w:pgMar w:top="1440" w:right="1800" w:bottom="1440" w:left="1800" w:header="0" w:footer="719" w:gutter="0"/>
          <w:pgNumType w:fmt="decimal"/>
          <w:cols w:space="720" w:num="1"/>
        </w:sectPr>
      </w:pPr>
    </w:p>
    <w:p w14:paraId="28D9AB55">
      <w:pPr>
        <w:pStyle w:val="1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pPr>
      <w:r>
        <w:t>一、磋商响应书及第一轮报价表</w:t>
      </w:r>
    </w:p>
    <w:p w14:paraId="58923997">
      <w:pPr>
        <w:pageBreakBefore w:val="0"/>
        <w:widowControl w:val="0"/>
        <w:kinsoku/>
        <w:wordWrap/>
        <w:overflowPunct/>
        <w:topLinePunct w:val="0"/>
        <w:autoSpaceDE/>
        <w:autoSpaceDN/>
        <w:bidi w:val="0"/>
        <w:adjustRightInd/>
        <w:snapToGrid/>
        <w:spacing w:line="480" w:lineRule="auto"/>
        <w:ind w:left="0" w:right="0" w:firstLine="462" w:firstLineChars="200"/>
        <w:textAlignment w:val="auto"/>
        <w:rPr>
          <w:rFonts w:ascii="宋体" w:hAnsi="宋体" w:eastAsia="宋体" w:cs="宋体"/>
          <w:sz w:val="24"/>
          <w:szCs w:val="24"/>
        </w:rPr>
      </w:pPr>
      <w:r>
        <w:rPr>
          <w:rFonts w:ascii="宋体" w:hAnsi="宋体" w:eastAsia="宋体" w:cs="宋体"/>
          <w:b/>
          <w:bCs/>
          <w:spacing w:val="-5"/>
          <w:sz w:val="24"/>
          <w:szCs w:val="24"/>
        </w:rPr>
        <w:t>（一）磋商响应书</w:t>
      </w:r>
    </w:p>
    <w:p w14:paraId="66AB267D">
      <w:pPr>
        <w:pageBreakBefore w:val="0"/>
        <w:widowControl w:val="0"/>
        <w:kinsoku/>
        <w:wordWrap/>
        <w:overflowPunct/>
        <w:topLinePunct w:val="0"/>
        <w:autoSpaceDE/>
        <w:autoSpaceDN/>
        <w:bidi w:val="0"/>
        <w:adjustRightInd/>
        <w:snapToGrid/>
        <w:spacing w:line="480" w:lineRule="auto"/>
        <w:ind w:right="0" w:firstLine="444" w:firstLineChars="200"/>
        <w:textAlignment w:val="auto"/>
        <w:rPr>
          <w:rFonts w:ascii="宋体" w:hAnsi="宋体" w:eastAsia="宋体" w:cs="宋体"/>
          <w:sz w:val="24"/>
          <w:szCs w:val="24"/>
        </w:rPr>
      </w:pPr>
      <w:r>
        <w:rPr>
          <w:rFonts w:ascii="宋体" w:hAnsi="宋体" w:eastAsia="宋体" w:cs="宋体"/>
          <w:spacing w:val="-9"/>
          <w:sz w:val="24"/>
          <w:szCs w:val="24"/>
          <w:u w:val="single"/>
        </w:rPr>
        <w:t>（采购人名称</w:t>
      </w:r>
      <w:r>
        <w:rPr>
          <w:rFonts w:ascii="宋体" w:hAnsi="宋体" w:eastAsia="宋体" w:cs="宋体"/>
          <w:spacing w:val="-5"/>
          <w:sz w:val="24"/>
          <w:szCs w:val="24"/>
          <w:u w:val="single"/>
        </w:rPr>
        <w:t>）</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w:t>
      </w:r>
    </w:p>
    <w:p w14:paraId="5549D244">
      <w:pPr>
        <w:pageBreakBefore w:val="0"/>
        <w:widowControl w:val="0"/>
        <w:kinsoku/>
        <w:wordWrap/>
        <w:overflowPunct/>
        <w:topLinePunct w:val="0"/>
        <w:autoSpaceDE/>
        <w:autoSpaceDN/>
        <w:bidi w:val="0"/>
        <w:adjustRightInd/>
        <w:snapToGrid/>
        <w:spacing w:line="480" w:lineRule="auto"/>
        <w:ind w:left="0" w:right="0" w:firstLine="464" w:firstLineChars="200"/>
        <w:textAlignment w:val="auto"/>
        <w:rPr>
          <w:rFonts w:ascii="宋体" w:hAnsi="宋体" w:eastAsia="宋体" w:cs="宋体"/>
          <w:sz w:val="24"/>
          <w:szCs w:val="24"/>
        </w:rPr>
      </w:pPr>
      <w:r>
        <w:rPr>
          <w:rFonts w:ascii="宋体" w:hAnsi="宋体" w:eastAsia="宋体" w:cs="宋体"/>
          <w:spacing w:val="-4"/>
          <w:sz w:val="24"/>
          <w:szCs w:val="24"/>
        </w:rPr>
        <w:t>1．我方已仔细研究了</w:t>
      </w:r>
      <w:r>
        <w:rPr>
          <w:rFonts w:ascii="宋体" w:hAnsi="宋体" w:eastAsia="宋体" w:cs="宋体"/>
          <w:spacing w:val="-4"/>
          <w:sz w:val="24"/>
          <w:szCs w:val="24"/>
          <w:u w:val="single"/>
        </w:rPr>
        <w:t>（项目名称）</w:t>
      </w:r>
      <w:r>
        <w:rPr>
          <w:rFonts w:ascii="宋体" w:hAnsi="宋体" w:eastAsia="宋体" w:cs="宋体"/>
          <w:spacing w:val="-4"/>
          <w:sz w:val="24"/>
          <w:szCs w:val="24"/>
        </w:rPr>
        <w:t>磋商文件的全部内容</w:t>
      </w:r>
      <w:r>
        <w:rPr>
          <w:rFonts w:ascii="宋体" w:hAnsi="宋体" w:eastAsia="宋体" w:cs="宋体"/>
          <w:spacing w:val="-5"/>
          <w:sz w:val="24"/>
          <w:szCs w:val="24"/>
        </w:rPr>
        <w:t>，质量要求</w:t>
      </w:r>
      <w:r>
        <w:rPr>
          <w:rFonts w:ascii="宋体" w:hAnsi="宋体" w:eastAsia="宋体" w:cs="宋体"/>
          <w:spacing w:val="10"/>
          <w:sz w:val="24"/>
          <w:szCs w:val="24"/>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u w:val="none"/>
        </w:rPr>
        <w:t>，</w:t>
      </w:r>
      <w:r>
        <w:rPr>
          <w:rFonts w:ascii="宋体" w:hAnsi="宋体" w:eastAsia="宋体" w:cs="宋体"/>
          <w:spacing w:val="-5"/>
          <w:sz w:val="24"/>
          <w:szCs w:val="24"/>
        </w:rPr>
        <w:t>以人民币（大</w:t>
      </w:r>
      <w:r>
        <w:rPr>
          <w:rFonts w:ascii="宋体" w:hAnsi="宋体" w:eastAsia="宋体" w:cs="宋体"/>
          <w:spacing w:val="-1"/>
          <w:sz w:val="24"/>
          <w:szCs w:val="24"/>
        </w:rPr>
        <w:t>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r>
        <w:rPr>
          <w:rFonts w:ascii="宋体" w:hAnsi="宋体" w:eastAsia="宋体" w:cs="宋体"/>
          <w:spacing w:val="-1"/>
          <w:sz w:val="24"/>
          <w:szCs w:val="24"/>
        </w:rPr>
        <w:t>小写</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pacing w:val="-1"/>
          <w:sz w:val="24"/>
          <w:szCs w:val="24"/>
        </w:rPr>
        <w:t>元的磋商总报价完成项目，工期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w:t>
      </w:r>
    </w:p>
    <w:p w14:paraId="3F799475">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2．我方承诺在</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规定的投标有效期内不修改、撤销响应文件。</w:t>
      </w:r>
    </w:p>
    <w:p w14:paraId="0EE8D46C">
      <w:pPr>
        <w:pageBreakBefore w:val="0"/>
        <w:widowControl w:val="0"/>
        <w:kinsoku/>
        <w:wordWrap/>
        <w:overflowPunct/>
        <w:topLinePunct w:val="0"/>
        <w:autoSpaceDE/>
        <w:autoSpaceDN/>
        <w:bidi w:val="0"/>
        <w:adjustRightInd/>
        <w:snapToGrid/>
        <w:spacing w:line="480" w:lineRule="auto"/>
        <w:ind w:left="0" w:right="0" w:firstLine="448" w:firstLineChars="200"/>
        <w:textAlignment w:val="auto"/>
        <w:rPr>
          <w:rFonts w:ascii="宋体" w:hAnsi="宋体" w:eastAsia="宋体" w:cs="宋体"/>
          <w:sz w:val="24"/>
          <w:szCs w:val="24"/>
        </w:rPr>
      </w:pPr>
      <w:r>
        <w:rPr>
          <w:rFonts w:ascii="宋体" w:hAnsi="宋体" w:eastAsia="宋体" w:cs="宋体"/>
          <w:spacing w:val="-8"/>
          <w:sz w:val="24"/>
          <w:szCs w:val="24"/>
        </w:rPr>
        <w:t>3．如我方成交：</w:t>
      </w:r>
    </w:p>
    <w:p w14:paraId="067AB91A">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（1）我方承诺在收到成交通知书后，在成交通知书</w:t>
      </w:r>
      <w:r>
        <w:rPr>
          <w:rFonts w:ascii="宋体" w:hAnsi="宋体" w:eastAsia="宋体" w:cs="宋体"/>
          <w:spacing w:val="-2"/>
          <w:sz w:val="24"/>
          <w:szCs w:val="24"/>
        </w:rPr>
        <w:t>规定的期限内与你方签订合同。</w:t>
      </w:r>
    </w:p>
    <w:p w14:paraId="6FC48D1C">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（2）随同本投标函递交的投标函附录属于合同文件的组成部分。</w:t>
      </w:r>
    </w:p>
    <w:p w14:paraId="3D04A981">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（3）我方承诺在合同约定的期限内完成并移交全部合同工程。</w:t>
      </w:r>
    </w:p>
    <w:p w14:paraId="3F501510">
      <w:pPr>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4．我方在此声明，所递交的投标文件及有关资料内</w:t>
      </w:r>
      <w:r>
        <w:rPr>
          <w:rFonts w:ascii="宋体" w:hAnsi="宋体" w:eastAsia="宋体" w:cs="宋体"/>
          <w:spacing w:val="-2"/>
          <w:sz w:val="24"/>
          <w:szCs w:val="24"/>
        </w:rPr>
        <w:t>容完整、真实和准确。</w:t>
      </w:r>
    </w:p>
    <w:p w14:paraId="4C74FD38">
      <w:pPr>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pacing w:val="-2"/>
          <w:sz w:val="24"/>
          <w:szCs w:val="24"/>
        </w:rPr>
      </w:pPr>
      <w:r>
        <w:rPr>
          <w:rFonts w:ascii="宋体" w:hAnsi="宋体" w:eastAsia="宋体" w:cs="宋体"/>
          <w:spacing w:val="-2"/>
          <w:sz w:val="24"/>
          <w:szCs w:val="24"/>
        </w:rPr>
        <w:t>5</w:t>
      </w:r>
      <w:r>
        <w:rPr>
          <w:rFonts w:ascii="宋体" w:hAnsi="宋体" w:eastAsia="宋体" w:cs="宋体"/>
          <w:spacing w:val="-16"/>
          <w:sz w:val="24"/>
          <w:szCs w:val="24"/>
        </w:rPr>
        <w:t>．（</w:t>
      </w:r>
      <w:r>
        <w:rPr>
          <w:rFonts w:ascii="宋体" w:hAnsi="宋体" w:eastAsia="宋体" w:cs="宋体"/>
          <w:spacing w:val="-2"/>
          <w:sz w:val="24"/>
          <w:szCs w:val="24"/>
        </w:rPr>
        <w:t>其他补充说明）。</w:t>
      </w:r>
    </w:p>
    <w:p w14:paraId="41FC338E">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1D9E713">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p>
    <w:p w14:paraId="4AB175A1">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96271E2">
      <w:pPr>
        <w:pageBreakBefore w:val="0"/>
        <w:widowControl w:val="0"/>
        <w:kinsoku/>
        <w:wordWrap/>
        <w:overflowPunct/>
        <w:topLinePunct w:val="0"/>
        <w:autoSpaceDE/>
        <w:autoSpaceDN/>
        <w:bidi w:val="0"/>
        <w:adjustRightInd/>
        <w:snapToGrid/>
        <w:spacing w:line="480" w:lineRule="auto"/>
        <w:ind w:left="4620" w:leftChars="2200" w:right="0" w:firstLine="468" w:firstLineChars="200"/>
        <w:textAlignment w:val="auto"/>
        <w:rPr>
          <w:rFonts w:ascii="宋体" w:hAnsi="宋体" w:eastAsia="宋体" w:cs="宋体"/>
          <w:spacing w:val="-3"/>
          <w:sz w:val="24"/>
          <w:szCs w:val="24"/>
        </w:rPr>
      </w:pPr>
      <w:r>
        <w:rPr>
          <w:rFonts w:ascii="宋体" w:hAnsi="宋体" w:eastAsia="宋体" w:cs="宋体"/>
          <w:spacing w:val="-3"/>
          <w:sz w:val="24"/>
          <w:szCs w:val="24"/>
        </w:rPr>
        <w:t>法定代表人</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23D94674">
      <w:pPr>
        <w:pageBreakBefore w:val="0"/>
        <w:widowControl w:val="0"/>
        <w:kinsoku/>
        <w:wordWrap/>
        <w:overflowPunct/>
        <w:topLinePunct w:val="0"/>
        <w:autoSpaceDE/>
        <w:autoSpaceDN/>
        <w:bidi w:val="0"/>
        <w:adjustRightInd/>
        <w:snapToGrid/>
        <w:spacing w:line="480" w:lineRule="auto"/>
        <w:ind w:left="4620" w:leftChars="2200" w:right="0" w:firstLine="1170" w:firstLineChars="500"/>
        <w:textAlignment w:val="auto"/>
        <w:rPr>
          <w:rFonts w:ascii="宋体" w:hAnsi="宋体" w:eastAsia="宋体" w:cs="宋体"/>
          <w:sz w:val="24"/>
          <w:szCs w:val="24"/>
        </w:rPr>
      </w:pPr>
      <w:r>
        <w:rPr>
          <w:rFonts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p w14:paraId="32B8F003">
      <w:pPr>
        <w:pageBreakBefore w:val="0"/>
        <w:widowControl w:val="0"/>
        <w:kinsoku/>
        <w:wordWrap/>
        <w:overflowPunct/>
        <w:topLinePunct w:val="0"/>
        <w:autoSpaceDE/>
        <w:autoSpaceDN/>
        <w:bidi w:val="0"/>
        <w:adjustRightInd/>
        <w:snapToGrid/>
        <w:spacing w:line="480" w:lineRule="auto"/>
        <w:ind w:left="4620" w:leftChars="2200" w:right="0" w:firstLine="480" w:firstLineChars="200"/>
        <w:textAlignment w:val="auto"/>
        <w:rPr>
          <w:rFonts w:ascii="宋体" w:hAnsi="宋体" w:eastAsia="宋体" w:cs="宋体"/>
          <w:sz w:val="24"/>
          <w:szCs w:val="24"/>
        </w:rPr>
        <w:sectPr>
          <w:footerReference r:id="rId8" w:type="default"/>
          <w:pgSz w:w="11907" w:h="16839"/>
          <w:pgMar w:top="1440" w:right="1800" w:bottom="1440" w:left="1800" w:header="0" w:footer="719" w:gutter="0"/>
          <w:pgNumType w:fmt="decimal"/>
          <w:cols w:space="720" w:num="1"/>
        </w:sectPr>
      </w:pPr>
    </w:p>
    <w:p w14:paraId="216887AA">
      <w:pPr>
        <w:spacing w:before="78" w:line="218" w:lineRule="auto"/>
        <w:ind w:left="2798" w:firstLine="454" w:firstLineChars="200"/>
        <w:rPr>
          <w:rFonts w:ascii="宋体" w:hAnsi="宋体" w:eastAsia="宋体" w:cs="宋体"/>
          <w:sz w:val="24"/>
          <w:szCs w:val="24"/>
        </w:rPr>
      </w:pPr>
      <w:r>
        <w:rPr>
          <w:rFonts w:ascii="宋体" w:hAnsi="宋体" w:eastAsia="宋体" w:cs="宋体"/>
          <w:b/>
          <w:bCs/>
          <w:spacing w:val="-7"/>
          <w:sz w:val="24"/>
          <w:szCs w:val="24"/>
        </w:rPr>
        <w:t>(二)投标函附录（第一轮报价表）</w:t>
      </w:r>
    </w:p>
    <w:tbl>
      <w:tblPr>
        <w:tblStyle w:val="71"/>
        <w:tblW w:w="83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767"/>
        <w:gridCol w:w="1033"/>
        <w:gridCol w:w="1522"/>
        <w:gridCol w:w="1034"/>
        <w:gridCol w:w="1722"/>
      </w:tblGrid>
      <w:tr w14:paraId="7293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275" w:type="dxa"/>
            <w:vAlign w:val="center"/>
          </w:tcPr>
          <w:p w14:paraId="43B56CCE">
            <w:pPr>
              <w:pStyle w:val="72"/>
              <w:spacing w:before="78" w:line="220" w:lineRule="auto"/>
              <w:jc w:val="center"/>
              <w:rPr>
                <w:rFonts w:ascii="宋体" w:hAnsi="宋体" w:eastAsia="宋体" w:cs="宋体"/>
                <w:spacing w:val="-3"/>
              </w:rPr>
            </w:pPr>
            <w:r>
              <w:rPr>
                <w:rFonts w:ascii="宋体" w:hAnsi="宋体" w:eastAsia="宋体" w:cs="宋体"/>
                <w:spacing w:val="-3"/>
              </w:rPr>
              <w:t>项目名称</w:t>
            </w:r>
          </w:p>
        </w:tc>
        <w:tc>
          <w:tcPr>
            <w:tcW w:w="7078" w:type="dxa"/>
            <w:gridSpan w:val="5"/>
            <w:vAlign w:val="center"/>
          </w:tcPr>
          <w:p w14:paraId="0B7BD4AD">
            <w:pPr>
              <w:pStyle w:val="72"/>
              <w:spacing w:before="78" w:line="220" w:lineRule="auto"/>
              <w:jc w:val="center"/>
              <w:rPr>
                <w:rFonts w:ascii="宋体" w:hAnsi="宋体" w:eastAsia="宋体" w:cs="宋体"/>
                <w:spacing w:val="-3"/>
              </w:rPr>
            </w:pPr>
          </w:p>
        </w:tc>
      </w:tr>
      <w:tr w14:paraId="6107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1E4A20E7">
            <w:pPr>
              <w:pStyle w:val="72"/>
              <w:spacing w:before="78" w:line="220" w:lineRule="auto"/>
              <w:jc w:val="center"/>
              <w:rPr>
                <w:rFonts w:ascii="宋体" w:hAnsi="宋体" w:eastAsia="宋体" w:cs="宋体"/>
                <w:spacing w:val="-3"/>
              </w:rPr>
            </w:pPr>
            <w:r>
              <w:rPr>
                <w:rFonts w:ascii="宋体" w:hAnsi="宋体" w:eastAsia="宋体" w:cs="宋体"/>
                <w:spacing w:val="-3"/>
              </w:rPr>
              <w:t>供应商</w:t>
            </w:r>
          </w:p>
        </w:tc>
        <w:tc>
          <w:tcPr>
            <w:tcW w:w="7078" w:type="dxa"/>
            <w:gridSpan w:val="5"/>
            <w:vAlign w:val="center"/>
          </w:tcPr>
          <w:p w14:paraId="0EB84320">
            <w:pPr>
              <w:pStyle w:val="72"/>
              <w:spacing w:before="78" w:line="220" w:lineRule="auto"/>
              <w:jc w:val="center"/>
              <w:rPr>
                <w:rFonts w:ascii="宋体" w:hAnsi="宋体" w:eastAsia="宋体" w:cs="宋体"/>
                <w:spacing w:val="-3"/>
              </w:rPr>
            </w:pPr>
          </w:p>
        </w:tc>
      </w:tr>
      <w:tr w14:paraId="399D0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275" w:type="dxa"/>
            <w:vAlign w:val="center"/>
          </w:tcPr>
          <w:p w14:paraId="013D2D00">
            <w:pPr>
              <w:pStyle w:val="72"/>
              <w:spacing w:before="78" w:line="220" w:lineRule="auto"/>
              <w:jc w:val="center"/>
              <w:rPr>
                <w:rFonts w:ascii="宋体" w:hAnsi="宋体" w:eastAsia="宋体" w:cs="宋体"/>
                <w:spacing w:val="-3"/>
              </w:rPr>
            </w:pPr>
            <w:r>
              <w:rPr>
                <w:rFonts w:ascii="宋体" w:hAnsi="宋体" w:eastAsia="宋体" w:cs="宋体"/>
                <w:spacing w:val="-3"/>
              </w:rPr>
              <w:t>项目经理</w:t>
            </w:r>
          </w:p>
        </w:tc>
        <w:tc>
          <w:tcPr>
            <w:tcW w:w="1767" w:type="dxa"/>
            <w:vAlign w:val="center"/>
          </w:tcPr>
          <w:p w14:paraId="1736C52A">
            <w:pPr>
              <w:pStyle w:val="72"/>
              <w:spacing w:before="78" w:line="220" w:lineRule="auto"/>
              <w:jc w:val="center"/>
              <w:rPr>
                <w:rFonts w:ascii="宋体" w:hAnsi="宋体" w:eastAsia="宋体" w:cs="宋体"/>
                <w:spacing w:val="-3"/>
              </w:rPr>
            </w:pPr>
          </w:p>
        </w:tc>
        <w:tc>
          <w:tcPr>
            <w:tcW w:w="1033" w:type="dxa"/>
            <w:vAlign w:val="center"/>
          </w:tcPr>
          <w:p w14:paraId="650467E1">
            <w:pPr>
              <w:pStyle w:val="72"/>
              <w:spacing w:before="78" w:line="220" w:lineRule="auto"/>
              <w:jc w:val="center"/>
              <w:rPr>
                <w:rFonts w:ascii="宋体" w:hAnsi="宋体" w:eastAsia="宋体" w:cs="宋体"/>
                <w:spacing w:val="-3"/>
              </w:rPr>
            </w:pPr>
            <w:r>
              <w:rPr>
                <w:rFonts w:ascii="宋体" w:hAnsi="宋体" w:eastAsia="宋体" w:cs="宋体"/>
                <w:spacing w:val="-3"/>
              </w:rPr>
              <w:t>级别</w:t>
            </w:r>
          </w:p>
        </w:tc>
        <w:tc>
          <w:tcPr>
            <w:tcW w:w="1522" w:type="dxa"/>
            <w:vAlign w:val="center"/>
          </w:tcPr>
          <w:p w14:paraId="17207032">
            <w:pPr>
              <w:pStyle w:val="72"/>
              <w:spacing w:before="78" w:line="220" w:lineRule="auto"/>
              <w:jc w:val="center"/>
              <w:rPr>
                <w:rFonts w:ascii="宋体" w:hAnsi="宋体" w:eastAsia="宋体" w:cs="宋体"/>
                <w:spacing w:val="-3"/>
              </w:rPr>
            </w:pPr>
          </w:p>
        </w:tc>
        <w:tc>
          <w:tcPr>
            <w:tcW w:w="1034" w:type="dxa"/>
            <w:vAlign w:val="center"/>
          </w:tcPr>
          <w:p w14:paraId="7BE34B22">
            <w:pPr>
              <w:pStyle w:val="72"/>
              <w:spacing w:before="78" w:line="220" w:lineRule="auto"/>
              <w:jc w:val="center"/>
              <w:rPr>
                <w:rFonts w:ascii="宋体" w:hAnsi="宋体" w:eastAsia="宋体" w:cs="宋体"/>
                <w:spacing w:val="-3"/>
              </w:rPr>
            </w:pPr>
            <w:r>
              <w:rPr>
                <w:rFonts w:ascii="宋体" w:hAnsi="宋体" w:eastAsia="宋体" w:cs="宋体"/>
                <w:spacing w:val="-3"/>
              </w:rPr>
              <w:t>证号编号</w:t>
            </w:r>
          </w:p>
        </w:tc>
        <w:tc>
          <w:tcPr>
            <w:tcW w:w="1722" w:type="dxa"/>
            <w:vAlign w:val="center"/>
          </w:tcPr>
          <w:p w14:paraId="3C1B5BD1">
            <w:pPr>
              <w:pStyle w:val="72"/>
              <w:spacing w:before="78" w:line="220" w:lineRule="auto"/>
              <w:jc w:val="center"/>
              <w:rPr>
                <w:rFonts w:ascii="宋体" w:hAnsi="宋体" w:eastAsia="宋体" w:cs="宋体"/>
                <w:spacing w:val="-3"/>
              </w:rPr>
            </w:pPr>
          </w:p>
        </w:tc>
      </w:tr>
      <w:tr w14:paraId="7A5D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1275" w:type="dxa"/>
            <w:vAlign w:val="center"/>
          </w:tcPr>
          <w:p w14:paraId="7D6AE48D">
            <w:pPr>
              <w:pStyle w:val="72"/>
              <w:spacing w:before="78" w:line="220" w:lineRule="auto"/>
              <w:jc w:val="center"/>
              <w:rPr>
                <w:rFonts w:ascii="宋体" w:hAnsi="宋体" w:eastAsia="宋体" w:cs="宋体"/>
                <w:spacing w:val="-3"/>
              </w:rPr>
            </w:pPr>
            <w:r>
              <w:rPr>
                <w:rFonts w:ascii="宋体" w:hAnsi="宋体" w:eastAsia="宋体" w:cs="宋体"/>
                <w:spacing w:val="-3"/>
              </w:rPr>
              <w:t>磋商报价</w:t>
            </w:r>
          </w:p>
        </w:tc>
        <w:tc>
          <w:tcPr>
            <w:tcW w:w="7078" w:type="dxa"/>
            <w:gridSpan w:val="5"/>
            <w:vAlign w:val="center"/>
          </w:tcPr>
          <w:p w14:paraId="28AA8C89">
            <w:pPr>
              <w:pStyle w:val="72"/>
              <w:spacing w:before="78" w:line="220" w:lineRule="auto"/>
              <w:jc w:val="both"/>
              <w:rPr>
                <w:rFonts w:ascii="宋体" w:hAnsi="宋体" w:eastAsia="宋体" w:cs="宋体"/>
                <w:spacing w:val="-3"/>
              </w:rPr>
            </w:pPr>
            <w:r>
              <w:rPr>
                <w:rFonts w:ascii="宋体" w:hAnsi="宋体" w:eastAsia="宋体" w:cs="宋体"/>
                <w:spacing w:val="-3"/>
              </w:rPr>
              <w:t>大写：</w:t>
            </w:r>
          </w:p>
          <w:p w14:paraId="3C254AF4">
            <w:pPr>
              <w:pStyle w:val="72"/>
              <w:spacing w:before="78" w:line="220" w:lineRule="auto"/>
              <w:jc w:val="both"/>
              <w:rPr>
                <w:rFonts w:ascii="宋体" w:hAnsi="宋体" w:eastAsia="宋体" w:cs="宋体"/>
                <w:spacing w:val="-3"/>
              </w:rPr>
            </w:pPr>
            <w:r>
              <w:rPr>
                <w:rFonts w:ascii="宋体" w:hAnsi="宋体" w:eastAsia="宋体" w:cs="宋体"/>
                <w:spacing w:val="-3"/>
              </w:rPr>
              <w:t>小写：</w:t>
            </w:r>
            <w:r>
              <w:rPr>
                <w:rFonts w:hint="eastAsia" w:ascii="宋体" w:hAnsi="宋体" w:eastAsia="宋体" w:cs="宋体"/>
                <w:spacing w:val="-3"/>
                <w:lang w:val="en-US" w:eastAsia="zh-CN"/>
              </w:rPr>
              <w:t xml:space="preserve">      </w:t>
            </w:r>
            <w:r>
              <w:rPr>
                <w:rFonts w:ascii="宋体" w:hAnsi="宋体" w:eastAsia="宋体" w:cs="宋体"/>
                <w:spacing w:val="-3"/>
              </w:rPr>
              <w:t>元</w:t>
            </w:r>
          </w:p>
        </w:tc>
      </w:tr>
      <w:tr w14:paraId="385C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0321FB98">
            <w:pPr>
              <w:pStyle w:val="72"/>
              <w:spacing w:before="78" w:line="220" w:lineRule="auto"/>
              <w:jc w:val="center"/>
              <w:rPr>
                <w:rFonts w:ascii="宋体" w:hAnsi="宋体" w:eastAsia="宋体" w:cs="宋体"/>
                <w:spacing w:val="-3"/>
              </w:rPr>
            </w:pPr>
            <w:r>
              <w:rPr>
                <w:rFonts w:ascii="宋体" w:hAnsi="宋体" w:eastAsia="宋体" w:cs="宋体"/>
                <w:spacing w:val="-3"/>
              </w:rPr>
              <w:t>质量要求</w:t>
            </w:r>
          </w:p>
        </w:tc>
        <w:tc>
          <w:tcPr>
            <w:tcW w:w="7078" w:type="dxa"/>
            <w:gridSpan w:val="5"/>
            <w:vAlign w:val="center"/>
          </w:tcPr>
          <w:p w14:paraId="1C6DAFC8">
            <w:pPr>
              <w:pStyle w:val="72"/>
              <w:spacing w:before="78" w:line="220" w:lineRule="auto"/>
              <w:jc w:val="center"/>
              <w:rPr>
                <w:rFonts w:ascii="宋体" w:hAnsi="宋体" w:eastAsia="宋体" w:cs="宋体"/>
                <w:spacing w:val="-3"/>
              </w:rPr>
            </w:pPr>
          </w:p>
        </w:tc>
      </w:tr>
      <w:tr w14:paraId="5D9C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275" w:type="dxa"/>
            <w:vAlign w:val="center"/>
          </w:tcPr>
          <w:p w14:paraId="3E07C0E5">
            <w:pPr>
              <w:pStyle w:val="72"/>
              <w:spacing w:before="78" w:line="220" w:lineRule="auto"/>
              <w:jc w:val="center"/>
              <w:rPr>
                <w:rFonts w:ascii="宋体" w:hAnsi="宋体" w:eastAsia="宋体" w:cs="宋体"/>
                <w:spacing w:val="-3"/>
              </w:rPr>
            </w:pPr>
            <w:r>
              <w:rPr>
                <w:rFonts w:ascii="宋体" w:hAnsi="宋体" w:eastAsia="宋体" w:cs="宋体"/>
                <w:spacing w:val="-3"/>
              </w:rPr>
              <w:t>工期</w:t>
            </w:r>
          </w:p>
        </w:tc>
        <w:tc>
          <w:tcPr>
            <w:tcW w:w="7078" w:type="dxa"/>
            <w:gridSpan w:val="5"/>
            <w:vAlign w:val="center"/>
          </w:tcPr>
          <w:p w14:paraId="380E5575">
            <w:pPr>
              <w:pStyle w:val="72"/>
              <w:spacing w:before="78" w:line="220" w:lineRule="auto"/>
              <w:jc w:val="center"/>
              <w:rPr>
                <w:rFonts w:ascii="宋体" w:hAnsi="宋体" w:eastAsia="宋体" w:cs="宋体"/>
                <w:spacing w:val="-3"/>
              </w:rPr>
            </w:pPr>
          </w:p>
        </w:tc>
      </w:tr>
      <w:tr w14:paraId="19CF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75" w:type="dxa"/>
            <w:vAlign w:val="center"/>
          </w:tcPr>
          <w:p w14:paraId="7DB34BC9">
            <w:pPr>
              <w:pStyle w:val="72"/>
              <w:spacing w:before="78" w:line="220" w:lineRule="auto"/>
              <w:jc w:val="center"/>
              <w:rPr>
                <w:rFonts w:ascii="宋体" w:hAnsi="宋体" w:eastAsia="宋体" w:cs="宋体"/>
                <w:spacing w:val="-3"/>
              </w:rPr>
            </w:pPr>
            <w:r>
              <w:rPr>
                <w:rFonts w:ascii="宋体" w:hAnsi="宋体" w:eastAsia="宋体" w:cs="宋体"/>
                <w:spacing w:val="-3"/>
              </w:rPr>
              <w:t>磋商有效期</w:t>
            </w:r>
          </w:p>
        </w:tc>
        <w:tc>
          <w:tcPr>
            <w:tcW w:w="7078" w:type="dxa"/>
            <w:gridSpan w:val="5"/>
            <w:vAlign w:val="center"/>
          </w:tcPr>
          <w:p w14:paraId="4DA9DDBF">
            <w:pPr>
              <w:pStyle w:val="72"/>
              <w:spacing w:before="78" w:line="220" w:lineRule="auto"/>
              <w:jc w:val="center"/>
              <w:rPr>
                <w:rFonts w:ascii="宋体" w:hAnsi="宋体" w:eastAsia="宋体" w:cs="宋体"/>
                <w:spacing w:val="-3"/>
              </w:rPr>
            </w:pPr>
          </w:p>
        </w:tc>
      </w:tr>
      <w:tr w14:paraId="1021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275" w:type="dxa"/>
            <w:vAlign w:val="center"/>
          </w:tcPr>
          <w:p w14:paraId="4A4F5386">
            <w:pPr>
              <w:pStyle w:val="72"/>
              <w:spacing w:before="78" w:line="220" w:lineRule="auto"/>
              <w:jc w:val="center"/>
              <w:rPr>
                <w:rFonts w:hint="eastAsia" w:ascii="宋体" w:hAnsi="宋体" w:eastAsia="宋体" w:cs="宋体"/>
                <w:spacing w:val="-3"/>
                <w:lang w:eastAsia="zh-CN"/>
              </w:rPr>
            </w:pPr>
            <w:r>
              <w:rPr>
                <w:rFonts w:hint="eastAsia" w:cs="宋体"/>
                <w:spacing w:val="-3"/>
                <w:lang w:val="en-US" w:eastAsia="zh-CN"/>
              </w:rPr>
              <w:t>备注</w:t>
            </w:r>
          </w:p>
        </w:tc>
        <w:tc>
          <w:tcPr>
            <w:tcW w:w="7078" w:type="dxa"/>
            <w:gridSpan w:val="5"/>
            <w:vAlign w:val="center"/>
          </w:tcPr>
          <w:p w14:paraId="46E47C35">
            <w:pPr>
              <w:pStyle w:val="72"/>
              <w:spacing w:before="78" w:line="220" w:lineRule="auto"/>
              <w:jc w:val="center"/>
              <w:rPr>
                <w:rFonts w:ascii="宋体" w:hAnsi="宋体" w:eastAsia="宋体" w:cs="宋体"/>
                <w:spacing w:val="-3"/>
              </w:rPr>
            </w:pPr>
          </w:p>
        </w:tc>
      </w:tr>
    </w:tbl>
    <w:p w14:paraId="6D02C39E">
      <w:pPr>
        <w:spacing w:line="240" w:lineRule="auto"/>
        <w:ind w:left="0" w:right="0" w:firstLine="0" w:firstLineChars="0"/>
        <w:rPr>
          <w:rFonts w:ascii="宋体" w:hAnsi="宋体" w:eastAsia="宋体" w:cs="宋体"/>
          <w:spacing w:val="-3"/>
          <w:sz w:val="24"/>
          <w:szCs w:val="24"/>
        </w:rPr>
      </w:pPr>
    </w:p>
    <w:p w14:paraId="0358DAAB">
      <w:pPr>
        <w:spacing w:line="240" w:lineRule="auto"/>
        <w:ind w:left="0" w:right="0" w:firstLine="0" w:firstLineChars="0"/>
        <w:rPr>
          <w:rFonts w:ascii="宋体" w:hAnsi="宋体" w:eastAsia="宋体" w:cs="宋体"/>
          <w:spacing w:val="-3"/>
          <w:sz w:val="24"/>
          <w:szCs w:val="24"/>
        </w:rPr>
      </w:pPr>
    </w:p>
    <w:p w14:paraId="0AFC6AFE">
      <w:pPr>
        <w:spacing w:line="480" w:lineRule="auto"/>
        <w:ind w:left="4830" w:leftChars="2300" w:right="0" w:firstLine="0" w:firstLineChars="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9ABFA2">
      <w:pPr>
        <w:spacing w:before="35" w:line="480" w:lineRule="auto"/>
        <w:ind w:leftChars="23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ED7025">
      <w:pPr>
        <w:spacing w:line="480" w:lineRule="auto"/>
        <w:ind w:left="4830" w:leftChars="230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F7495F9">
      <w:pPr>
        <w:spacing w:line="480" w:lineRule="auto"/>
        <w:ind w:left="4830" w:leftChars="2300" w:firstLine="0" w:firstLineChars="0"/>
        <w:rPr>
          <w:rFonts w:ascii="宋体" w:hAnsi="宋体" w:eastAsia="宋体" w:cs="宋体"/>
          <w:sz w:val="24"/>
          <w:szCs w:val="24"/>
        </w:rPr>
        <w:sectPr>
          <w:footerReference r:id="rId9" w:type="default"/>
          <w:pgSz w:w="11907" w:h="16839"/>
          <w:pgMar w:top="1440" w:right="1800" w:bottom="1440" w:left="1800" w:header="0" w:footer="719" w:gutter="0"/>
          <w:pgNumType w:fmt="decimal"/>
          <w:cols w:space="720" w:num="1"/>
        </w:sectPr>
      </w:pPr>
    </w:p>
    <w:p w14:paraId="377663C5">
      <w:pPr>
        <w:pStyle w:val="1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eastAsia="宋体" w:cs="Times New Roman"/>
        </w:rPr>
      </w:pPr>
      <w:r>
        <w:rPr>
          <w:rFonts w:hint="eastAsia" w:eastAsia="宋体" w:cs="Times New Roman"/>
          <w:lang w:val="en-US" w:eastAsia="zh-CN"/>
        </w:rPr>
        <w:t>二、</w:t>
      </w:r>
      <w:r>
        <w:rPr>
          <w:rFonts w:eastAsia="宋体" w:cs="Times New Roman"/>
        </w:rPr>
        <w:t>法定代表人身份证明</w:t>
      </w:r>
    </w:p>
    <w:p w14:paraId="39345E73">
      <w:pPr>
        <w:numPr>
          <w:ilvl w:val="0"/>
          <w:numId w:val="0"/>
        </w:numPr>
        <w:spacing w:line="240" w:lineRule="auto"/>
        <w:ind w:leftChars="200" w:right="0" w:rightChars="0"/>
        <w:jc w:val="both"/>
        <w:rPr>
          <w:rFonts w:ascii="宋体" w:hAnsi="宋体" w:eastAsia="宋体" w:cs="宋体"/>
          <w:b/>
          <w:bCs/>
          <w:spacing w:val="-3"/>
          <w:sz w:val="24"/>
          <w:szCs w:val="24"/>
        </w:rPr>
      </w:pPr>
    </w:p>
    <w:p w14:paraId="4F247306">
      <w:pPr>
        <w:numPr>
          <w:ilvl w:val="0"/>
          <w:numId w:val="0"/>
        </w:numPr>
        <w:spacing w:line="240" w:lineRule="auto"/>
        <w:ind w:leftChars="200" w:right="0" w:rightChars="0"/>
        <w:jc w:val="both"/>
        <w:rPr>
          <w:rFonts w:ascii="宋体" w:hAnsi="宋体" w:eastAsia="宋体" w:cs="宋体"/>
          <w:b/>
          <w:bCs/>
          <w:spacing w:val="-3"/>
          <w:sz w:val="24"/>
          <w:szCs w:val="24"/>
        </w:rPr>
      </w:pPr>
    </w:p>
    <w:p w14:paraId="2EEB5F2D">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供应商：</w:t>
      </w:r>
    </w:p>
    <w:p w14:paraId="01AFE896">
      <w:pPr>
        <w:spacing w:line="480" w:lineRule="auto"/>
        <w:ind w:left="0" w:right="0" w:firstLine="0" w:firstLineChars="0"/>
        <w:rPr>
          <w:rFonts w:ascii="宋体" w:hAnsi="宋体" w:eastAsia="宋体" w:cs="宋体"/>
          <w:spacing w:val="-14"/>
          <w:sz w:val="24"/>
          <w:szCs w:val="24"/>
        </w:rPr>
      </w:pPr>
      <w:r>
        <w:rPr>
          <w:rFonts w:ascii="宋体" w:hAnsi="宋体" w:eastAsia="宋体" w:cs="宋体"/>
          <w:spacing w:val="-14"/>
          <w:sz w:val="24"/>
          <w:szCs w:val="24"/>
        </w:rPr>
        <w:t>单位性质：</w:t>
      </w:r>
    </w:p>
    <w:p w14:paraId="495FDDF7">
      <w:pPr>
        <w:spacing w:line="480" w:lineRule="auto"/>
        <w:ind w:left="0" w:right="0" w:firstLine="0" w:firstLineChars="0"/>
        <w:rPr>
          <w:rFonts w:ascii="宋体" w:hAnsi="宋体" w:eastAsia="宋体" w:cs="宋体"/>
          <w:sz w:val="24"/>
          <w:szCs w:val="24"/>
        </w:rPr>
      </w:pPr>
      <w:r>
        <w:rPr>
          <w:rFonts w:ascii="宋体" w:hAnsi="宋体" w:eastAsia="宋体" w:cs="宋体"/>
          <w:spacing w:val="-15"/>
          <w:sz w:val="24"/>
          <w:szCs w:val="24"/>
        </w:rPr>
        <w:t>地址：</w:t>
      </w:r>
    </w:p>
    <w:p w14:paraId="6F730993">
      <w:pPr>
        <w:spacing w:line="48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成立时间：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日</w:t>
      </w:r>
    </w:p>
    <w:p w14:paraId="576F8C2A">
      <w:pPr>
        <w:spacing w:line="480" w:lineRule="auto"/>
        <w:ind w:left="0" w:right="0" w:firstLine="0" w:firstLineChars="0"/>
        <w:rPr>
          <w:rFonts w:ascii="宋体" w:hAnsi="宋体" w:eastAsia="宋体" w:cs="宋体"/>
          <w:sz w:val="24"/>
          <w:szCs w:val="24"/>
        </w:rPr>
      </w:pPr>
      <w:r>
        <w:rPr>
          <w:rFonts w:ascii="宋体" w:hAnsi="宋体" w:eastAsia="宋体" w:cs="宋体"/>
          <w:spacing w:val="-11"/>
          <w:sz w:val="24"/>
          <w:szCs w:val="24"/>
        </w:rPr>
        <w:t>经营期限：</w:t>
      </w:r>
    </w:p>
    <w:p w14:paraId="08ACC230">
      <w:pPr>
        <w:spacing w:line="480" w:lineRule="auto"/>
        <w:ind w:left="0" w:right="0" w:firstLine="0" w:firstLineChars="0"/>
        <w:rPr>
          <w:rFonts w:ascii="宋体" w:hAnsi="宋体" w:eastAsia="宋体" w:cs="宋体"/>
          <w:sz w:val="24"/>
          <w:szCs w:val="24"/>
        </w:rPr>
      </w:pPr>
      <w:r>
        <w:rPr>
          <w:rFonts w:ascii="宋体" w:hAnsi="宋体" w:eastAsia="宋体" w:cs="宋体"/>
          <w:spacing w:val="-13"/>
          <w:sz w:val="24"/>
          <w:szCs w:val="24"/>
        </w:rPr>
        <w:t>姓名：</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性别：</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年龄：</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职务：</w:t>
      </w:r>
    </w:p>
    <w:p w14:paraId="6167BD9B">
      <w:pPr>
        <w:spacing w:line="480" w:lineRule="auto"/>
        <w:ind w:left="0" w:right="0" w:firstLine="0" w:firstLineChars="0"/>
        <w:rPr>
          <w:rFonts w:ascii="宋体" w:hAnsi="宋体" w:eastAsia="宋体" w:cs="宋体"/>
          <w:sz w:val="24"/>
          <w:szCs w:val="24"/>
        </w:rPr>
      </w:pPr>
      <w:r>
        <w:rPr>
          <w:rFonts w:ascii="宋体" w:hAnsi="宋体" w:eastAsia="宋体" w:cs="宋体"/>
          <w:spacing w:val="-4"/>
          <w:sz w:val="24"/>
          <w:szCs w:val="24"/>
        </w:rPr>
        <w:t>系</w:t>
      </w:r>
      <w:r>
        <w:rPr>
          <w:rFonts w:ascii="宋体" w:hAnsi="宋体" w:eastAsia="宋体" w:cs="宋体"/>
          <w:spacing w:val="-4"/>
          <w:sz w:val="24"/>
          <w:szCs w:val="24"/>
          <w:u w:val="single"/>
        </w:rPr>
        <w:t>（供应商名称）</w:t>
      </w:r>
      <w:r>
        <w:rPr>
          <w:rFonts w:ascii="宋体" w:hAnsi="宋体" w:eastAsia="宋体" w:cs="宋体"/>
          <w:spacing w:val="-4"/>
          <w:sz w:val="24"/>
          <w:szCs w:val="24"/>
        </w:rPr>
        <w:t>的法定代表人。</w:t>
      </w:r>
      <w:r>
        <w:rPr>
          <w:rFonts w:ascii="宋体" w:hAnsi="宋体" w:eastAsia="宋体" w:cs="宋体"/>
          <w:spacing w:val="-8"/>
          <w:sz w:val="24"/>
          <w:szCs w:val="24"/>
        </w:rPr>
        <w:t>特此证明。</w:t>
      </w:r>
    </w:p>
    <w:p w14:paraId="49DA350A">
      <w:pPr>
        <w:spacing w:line="480" w:lineRule="auto"/>
        <w:ind w:right="0"/>
        <w:jc w:val="left"/>
        <w:rPr>
          <w:rFonts w:ascii="宋体" w:hAnsi="宋体" w:eastAsia="宋体" w:cs="宋体"/>
          <w:spacing w:val="-3"/>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p>
    <w:p w14:paraId="47715920">
      <w:pPr>
        <w:spacing w:line="480" w:lineRule="auto"/>
        <w:ind w:left="4830" w:leftChars="2300" w:right="0" w:firstLine="0" w:firstLineChars="0"/>
        <w:rPr>
          <w:rFonts w:ascii="宋体" w:hAnsi="宋体" w:eastAsia="宋体" w:cs="宋体"/>
          <w:spacing w:val="-3"/>
          <w:sz w:val="24"/>
          <w:szCs w:val="24"/>
        </w:rPr>
      </w:pPr>
    </w:p>
    <w:p w14:paraId="231CC543">
      <w:pPr>
        <w:spacing w:line="480" w:lineRule="auto"/>
        <w:ind w:left="4830" w:leftChars="2300" w:right="0" w:firstLine="0" w:firstLineChars="0"/>
        <w:rPr>
          <w:rFonts w:ascii="宋体" w:hAnsi="宋体" w:eastAsia="宋体" w:cs="宋体"/>
          <w:spacing w:val="-3"/>
          <w:sz w:val="24"/>
          <w:szCs w:val="24"/>
        </w:rPr>
      </w:pPr>
      <w:r>
        <w:rPr>
          <w:rFonts w:ascii="宋体" w:hAnsi="宋体" w:eastAsia="宋体" w:cs="宋体"/>
          <w:spacing w:val="-3"/>
          <w:sz w:val="24"/>
          <w:szCs w:val="24"/>
        </w:rPr>
        <w:t>供应商</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4A781C4">
      <w:pPr>
        <w:spacing w:line="480" w:lineRule="auto"/>
        <w:ind w:left="4830" w:leftChars="2300" w:right="0" w:firstLine="444" w:firstLineChars="200"/>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7AEF5DB1">
      <w:pPr>
        <w:spacing w:line="480" w:lineRule="auto"/>
        <w:ind w:left="4830" w:leftChars="2300" w:right="0" w:firstLine="0" w:firstLineChars="0"/>
        <w:rPr>
          <w:rFonts w:ascii="宋体" w:hAnsi="宋体" w:eastAsia="宋体" w:cs="宋体"/>
          <w:sz w:val="24"/>
          <w:szCs w:val="24"/>
        </w:rPr>
        <w:sectPr>
          <w:footerReference r:id="rId10" w:type="default"/>
          <w:pgSz w:w="11907" w:h="16839"/>
          <w:pgMar w:top="1440" w:right="1800" w:bottom="1440" w:left="1800" w:header="0" w:footer="719" w:gutter="0"/>
          <w:pgNumType w:fmt="decimal"/>
          <w:cols w:space="720" w:num="1"/>
        </w:sectPr>
      </w:pPr>
    </w:p>
    <w:p w14:paraId="5464F15D">
      <w:pPr>
        <w:pStyle w:val="10"/>
        <w:bidi w:val="0"/>
        <w:ind w:left="0" w:leftChars="0" w:firstLine="0" w:firstLineChars="0"/>
        <w:jc w:val="center"/>
      </w:pPr>
      <w:r>
        <w:t>三、授权委托书</w:t>
      </w:r>
    </w:p>
    <w:p w14:paraId="4D775498">
      <w:pPr>
        <w:keepNext w:val="0"/>
        <w:keepLines w:val="0"/>
        <w:pageBreakBefore w:val="0"/>
        <w:widowControl w:val="0"/>
        <w:kinsoku/>
        <w:wordWrap/>
        <w:overflowPunct/>
        <w:topLinePunct w:val="0"/>
        <w:autoSpaceDE/>
        <w:autoSpaceDN/>
        <w:bidi w:val="0"/>
        <w:adjustRightInd/>
        <w:snapToGrid/>
        <w:spacing w:line="480" w:lineRule="auto"/>
        <w:ind w:left="0" w:right="0" w:firstLine="476" w:firstLineChars="200"/>
        <w:textAlignment w:val="auto"/>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rPr>
        <w:t>（姓名）</w:t>
      </w:r>
      <w:r>
        <w:rPr>
          <w:rFonts w:ascii="宋体" w:hAnsi="宋体" w:eastAsia="宋体" w:cs="宋体"/>
          <w:spacing w:val="-1"/>
          <w:sz w:val="24"/>
          <w:szCs w:val="24"/>
        </w:rPr>
        <w:t>系</w:t>
      </w:r>
      <w:r>
        <w:rPr>
          <w:rFonts w:ascii="宋体" w:hAnsi="宋体" w:eastAsia="宋体" w:cs="宋体"/>
          <w:spacing w:val="-1"/>
          <w:sz w:val="24"/>
          <w:szCs w:val="24"/>
          <w:u w:val="single"/>
        </w:rPr>
        <w:t>（供应商名称）</w:t>
      </w:r>
      <w:r>
        <w:rPr>
          <w:rFonts w:ascii="宋体" w:hAnsi="宋体" w:eastAsia="宋体" w:cs="宋体"/>
          <w:spacing w:val="-1"/>
          <w:sz w:val="24"/>
          <w:szCs w:val="24"/>
        </w:rPr>
        <w:t>的法定代表人，</w:t>
      </w:r>
      <w:r>
        <w:rPr>
          <w:rFonts w:ascii="宋体" w:hAnsi="宋体" w:eastAsia="宋体" w:cs="宋体"/>
          <w:spacing w:val="-2"/>
          <w:sz w:val="24"/>
          <w:szCs w:val="24"/>
        </w:rPr>
        <w:t>现委托</w:t>
      </w:r>
      <w:r>
        <w:rPr>
          <w:rFonts w:ascii="宋体" w:hAnsi="宋体" w:eastAsia="宋体" w:cs="宋体"/>
          <w:spacing w:val="-2"/>
          <w:sz w:val="24"/>
          <w:szCs w:val="24"/>
          <w:u w:val="single"/>
        </w:rPr>
        <w:t>（姓名）</w:t>
      </w:r>
      <w:r>
        <w:rPr>
          <w:rFonts w:ascii="宋体" w:hAnsi="宋体" w:eastAsia="宋体" w:cs="宋体"/>
          <w:spacing w:val="-2"/>
          <w:sz w:val="24"/>
          <w:szCs w:val="24"/>
        </w:rPr>
        <w:t>为我方代理人。代理人</w:t>
      </w:r>
      <w:r>
        <w:rPr>
          <w:rFonts w:ascii="宋体" w:hAnsi="宋体" w:eastAsia="宋体" w:cs="宋体"/>
          <w:spacing w:val="-5"/>
          <w:sz w:val="24"/>
          <w:szCs w:val="24"/>
        </w:rPr>
        <w:t>根据授权，以我方名义签署、澄清、说明、补正、递交、撤回、修改</w:t>
      </w:r>
      <w:r>
        <w:rPr>
          <w:rFonts w:ascii="宋体" w:hAnsi="宋体" w:eastAsia="宋体" w:cs="宋体"/>
          <w:spacing w:val="-5"/>
          <w:sz w:val="24"/>
          <w:szCs w:val="24"/>
          <w:u w:val="single"/>
        </w:rPr>
        <w:t>（项目名</w:t>
      </w:r>
      <w:r>
        <w:rPr>
          <w:rFonts w:ascii="宋体" w:hAnsi="宋体" w:eastAsia="宋体" w:cs="宋体"/>
          <w:spacing w:val="-6"/>
          <w:sz w:val="24"/>
          <w:szCs w:val="24"/>
          <w:u w:val="single"/>
        </w:rPr>
        <w:t>称）</w:t>
      </w:r>
      <w:r>
        <w:rPr>
          <w:rFonts w:ascii="宋体" w:hAnsi="宋体" w:eastAsia="宋体" w:cs="宋体"/>
          <w:spacing w:val="-6"/>
          <w:sz w:val="24"/>
          <w:szCs w:val="24"/>
        </w:rPr>
        <w:t>响应文件、</w:t>
      </w:r>
      <w:r>
        <w:rPr>
          <w:rFonts w:ascii="宋体" w:hAnsi="宋体" w:eastAsia="宋体" w:cs="宋体"/>
          <w:spacing w:val="-2"/>
          <w:sz w:val="24"/>
          <w:szCs w:val="24"/>
        </w:rPr>
        <w:t>签订合同和处理有关事宜，其法律后果由我方承担。</w:t>
      </w:r>
    </w:p>
    <w:p w14:paraId="240A13F8">
      <w:pPr>
        <w:keepNext w:val="0"/>
        <w:keepLines w:val="0"/>
        <w:pageBreakBefore w:val="0"/>
        <w:widowControl w:val="0"/>
        <w:kinsoku/>
        <w:wordWrap/>
        <w:overflowPunct/>
        <w:topLinePunct w:val="0"/>
        <w:autoSpaceDE/>
        <w:autoSpaceDN/>
        <w:bidi w:val="0"/>
        <w:adjustRightInd/>
        <w:snapToGrid/>
        <w:spacing w:line="480" w:lineRule="auto"/>
        <w:ind w:left="0" w:right="0" w:firstLine="436" w:firstLineChars="200"/>
        <w:textAlignment w:val="auto"/>
        <w:rPr>
          <w:rFonts w:ascii="宋体" w:hAnsi="宋体" w:eastAsia="宋体" w:cs="宋体"/>
          <w:sz w:val="24"/>
          <w:szCs w:val="24"/>
        </w:rPr>
      </w:pPr>
      <w:r>
        <w:rPr>
          <w:rFonts w:ascii="宋体" w:hAnsi="宋体" w:eastAsia="宋体" w:cs="宋体"/>
          <w:spacing w:val="-11"/>
          <w:sz w:val="24"/>
          <w:szCs w:val="24"/>
        </w:rPr>
        <w:t>委托期限：</w:t>
      </w:r>
    </w:p>
    <w:p w14:paraId="12178F52">
      <w:pPr>
        <w:keepNext w:val="0"/>
        <w:keepLines w:val="0"/>
        <w:pageBreakBefore w:val="0"/>
        <w:widowControl w:val="0"/>
        <w:kinsoku/>
        <w:wordWrap/>
        <w:overflowPunct/>
        <w:topLinePunct w:val="0"/>
        <w:autoSpaceDE/>
        <w:autoSpaceDN/>
        <w:bidi w:val="0"/>
        <w:adjustRightInd/>
        <w:snapToGrid/>
        <w:spacing w:line="480" w:lineRule="auto"/>
        <w:ind w:left="0" w:right="0" w:firstLine="460" w:firstLineChars="200"/>
        <w:textAlignment w:val="auto"/>
        <w:rPr>
          <w:rFonts w:ascii="宋体" w:hAnsi="宋体" w:eastAsia="宋体" w:cs="宋体"/>
          <w:sz w:val="24"/>
          <w:szCs w:val="24"/>
        </w:rPr>
      </w:pPr>
      <w:r>
        <w:rPr>
          <w:rFonts w:ascii="宋体" w:hAnsi="宋体" w:eastAsia="宋体" w:cs="宋体"/>
          <w:spacing w:val="-5"/>
          <w:sz w:val="24"/>
          <w:szCs w:val="24"/>
        </w:rPr>
        <w:t>代理人无转委托权。</w:t>
      </w:r>
    </w:p>
    <w:p w14:paraId="6501297A">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附：法定代表人身份证</w:t>
      </w:r>
      <w:r>
        <w:rPr>
          <w:rFonts w:hint="eastAsia" w:ascii="宋体" w:hAnsi="宋体" w:eastAsia="宋体" w:cs="宋体"/>
          <w:spacing w:val="-2"/>
          <w:sz w:val="24"/>
          <w:szCs w:val="24"/>
          <w:lang w:val="en-US" w:eastAsia="zh-CN"/>
        </w:rPr>
        <w:t>扫描件</w:t>
      </w:r>
      <w:r>
        <w:rPr>
          <w:rFonts w:ascii="宋体" w:hAnsi="宋体" w:eastAsia="宋体" w:cs="宋体"/>
          <w:spacing w:val="-2"/>
          <w:sz w:val="24"/>
          <w:szCs w:val="24"/>
        </w:rPr>
        <w:t>及授权代理人身份证</w:t>
      </w:r>
      <w:r>
        <w:rPr>
          <w:rFonts w:hint="eastAsia" w:ascii="宋体" w:hAnsi="宋体" w:eastAsia="宋体" w:cs="宋体"/>
          <w:spacing w:val="-2"/>
          <w:sz w:val="24"/>
          <w:szCs w:val="24"/>
          <w:lang w:val="en-US" w:eastAsia="zh-CN"/>
        </w:rPr>
        <w:t>扫描件</w:t>
      </w:r>
    </w:p>
    <w:p w14:paraId="71F9BC31">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51B86E04">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1D53703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3E219889">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4B163A7F">
      <w:pPr>
        <w:keepNext w:val="0"/>
        <w:keepLines w:val="0"/>
        <w:pageBreakBefore w:val="0"/>
        <w:widowControl w:val="0"/>
        <w:kinsoku/>
        <w:wordWrap/>
        <w:overflowPunct/>
        <w:topLinePunct w:val="0"/>
        <w:autoSpaceDE/>
        <w:autoSpaceDN/>
        <w:bidi w:val="0"/>
        <w:adjustRightInd/>
        <w:snapToGrid/>
        <w:spacing w:line="480" w:lineRule="auto"/>
        <w:ind w:left="0" w:right="0" w:firstLine="468" w:firstLineChars="200"/>
        <w:textAlignment w:val="auto"/>
        <w:rPr>
          <w:rFonts w:ascii="宋体" w:hAnsi="宋体" w:eastAsia="宋体" w:cs="宋体"/>
          <w:spacing w:val="-3"/>
          <w:sz w:val="24"/>
          <w:szCs w:val="24"/>
        </w:rPr>
      </w:pPr>
    </w:p>
    <w:p w14:paraId="0C620723">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pacing w:val="-3"/>
          <w:sz w:val="24"/>
          <w:szCs w:val="24"/>
        </w:rPr>
      </w:pPr>
    </w:p>
    <w:p w14:paraId="3C38798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A7B6009">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68" w:firstLineChars="200"/>
        <w:textAlignment w:val="auto"/>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0D6D8E9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747DF76">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3"/>
          <w:sz w:val="24"/>
          <w:szCs w:val="24"/>
        </w:rPr>
        <w:t>：（</w:t>
      </w:r>
      <w:r>
        <w:rPr>
          <w:rFonts w:ascii="宋体" w:hAnsi="宋体" w:eastAsia="宋体" w:cs="宋体"/>
          <w:spacing w:val="-2"/>
          <w:sz w:val="24"/>
          <w:szCs w:val="24"/>
        </w:rPr>
        <w:t>签字）</w:t>
      </w:r>
    </w:p>
    <w:p w14:paraId="1205E3EA">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440" w:firstLineChars="200"/>
        <w:textAlignment w:val="auto"/>
        <w:rPr>
          <w:rFonts w:ascii="宋体" w:hAnsi="宋体" w:eastAsia="宋体" w:cs="宋体"/>
          <w:sz w:val="24"/>
          <w:szCs w:val="24"/>
        </w:rPr>
      </w:pPr>
      <w:r>
        <w:rPr>
          <w:rFonts w:ascii="宋体" w:hAnsi="宋体" w:eastAsia="宋体" w:cs="宋体"/>
          <w:spacing w:val="-10"/>
          <w:sz w:val="24"/>
          <w:szCs w:val="24"/>
        </w:rPr>
        <w:t>身份证号码：</w:t>
      </w:r>
    </w:p>
    <w:p w14:paraId="5A48EA3C">
      <w:pPr>
        <w:keepNext w:val="0"/>
        <w:keepLines w:val="0"/>
        <w:pageBreakBefore w:val="0"/>
        <w:widowControl w:val="0"/>
        <w:kinsoku/>
        <w:wordWrap/>
        <w:overflowPunct/>
        <w:topLinePunct w:val="0"/>
        <w:autoSpaceDE/>
        <w:autoSpaceDN/>
        <w:bidi w:val="0"/>
        <w:adjustRightInd/>
        <w:snapToGrid/>
        <w:spacing w:line="480" w:lineRule="auto"/>
        <w:ind w:left="4410" w:leftChars="2100" w:right="0" w:firstLine="1110" w:firstLineChars="500"/>
        <w:textAlignment w:val="auto"/>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4D0EB376">
      <w:pPr>
        <w:keepNext w:val="0"/>
        <w:keepLines w:val="0"/>
        <w:pageBreakBefore w:val="0"/>
        <w:widowControl w:val="0"/>
        <w:kinsoku/>
        <w:wordWrap/>
        <w:overflowPunct/>
        <w:topLinePunct w:val="0"/>
        <w:autoSpaceDE/>
        <w:autoSpaceDN/>
        <w:bidi w:val="0"/>
        <w:adjustRightInd/>
        <w:snapToGrid/>
        <w:spacing w:line="480" w:lineRule="auto"/>
        <w:ind w:left="0" w:right="0" w:firstLine="472" w:firstLineChars="200"/>
        <w:textAlignment w:val="auto"/>
        <w:rPr>
          <w:rFonts w:ascii="宋体" w:hAnsi="宋体" w:eastAsia="宋体" w:cs="宋体"/>
          <w:sz w:val="24"/>
          <w:szCs w:val="24"/>
        </w:rPr>
      </w:pPr>
      <w:r>
        <w:rPr>
          <w:rFonts w:ascii="宋体" w:hAnsi="宋体" w:eastAsia="宋体" w:cs="宋体"/>
          <w:spacing w:val="-2"/>
          <w:sz w:val="24"/>
          <w:szCs w:val="24"/>
        </w:rPr>
        <w:t>注：因投标文件中授权委托书授权代理人无法手写签字，</w:t>
      </w:r>
      <w:r>
        <w:rPr>
          <w:rFonts w:hint="eastAsia" w:ascii="宋体" w:hAnsi="宋体" w:eastAsia="宋体" w:cs="宋体"/>
          <w:spacing w:val="-2"/>
          <w:sz w:val="24"/>
          <w:szCs w:val="24"/>
          <w:lang w:val="en-US" w:eastAsia="zh-CN"/>
        </w:rPr>
        <w:t>也</w:t>
      </w:r>
      <w:bookmarkStart w:id="654" w:name="_GoBack"/>
      <w:bookmarkEnd w:id="654"/>
      <w:r>
        <w:rPr>
          <w:rFonts w:ascii="宋体" w:hAnsi="宋体" w:eastAsia="宋体" w:cs="宋体"/>
          <w:spacing w:val="-2"/>
          <w:sz w:val="24"/>
          <w:szCs w:val="24"/>
        </w:rPr>
        <w:t>可以印刷体代替（印刷体为</w:t>
      </w:r>
      <w:r>
        <w:rPr>
          <w:rFonts w:ascii="宋体" w:hAnsi="宋体" w:eastAsia="宋体" w:cs="宋体"/>
          <w:spacing w:val="-8"/>
          <w:sz w:val="24"/>
          <w:szCs w:val="24"/>
        </w:rPr>
        <w:t>电脑打出的字体）。</w:t>
      </w:r>
    </w:p>
    <w:p w14:paraId="58A4468F">
      <w:pPr>
        <w:keepNext w:val="0"/>
        <w:keepLines w:val="0"/>
        <w:pageBreakBefore w:val="0"/>
        <w:widowControl w:val="0"/>
        <w:kinsoku/>
        <w:wordWrap/>
        <w:overflowPunct/>
        <w:topLinePunct w:val="0"/>
        <w:autoSpaceDE/>
        <w:autoSpaceDN/>
        <w:bidi w:val="0"/>
        <w:adjustRightInd/>
        <w:snapToGrid/>
        <w:spacing w:line="480" w:lineRule="auto"/>
        <w:ind w:left="0" w:right="0" w:firstLine="480" w:firstLineChars="200"/>
        <w:textAlignment w:val="auto"/>
        <w:rPr>
          <w:rFonts w:ascii="宋体" w:hAnsi="宋体" w:eastAsia="宋体" w:cs="宋体"/>
          <w:sz w:val="24"/>
          <w:szCs w:val="24"/>
        </w:rPr>
        <w:sectPr>
          <w:footerReference r:id="rId11" w:type="default"/>
          <w:pgSz w:w="11907" w:h="16839"/>
          <w:pgMar w:top="1440" w:right="1800" w:bottom="1440" w:left="1800" w:header="0" w:footer="719" w:gutter="0"/>
          <w:pgNumType w:fmt="decimal"/>
          <w:cols w:space="720" w:num="1"/>
        </w:sectPr>
      </w:pPr>
    </w:p>
    <w:p w14:paraId="4981ADAE">
      <w:pPr>
        <w:pStyle w:val="10"/>
        <w:bidi w:val="0"/>
        <w:ind w:left="0" w:leftChars="0" w:firstLine="0" w:firstLineChars="0"/>
        <w:jc w:val="center"/>
        <w:rPr>
          <w:rFonts w:eastAsia="宋体" w:cs="Times New Roman"/>
        </w:rPr>
      </w:pPr>
      <w:r>
        <w:rPr>
          <w:rFonts w:eastAsia="宋体" w:cs="Times New Roman"/>
        </w:rPr>
        <w:t>四、投标承诺函</w:t>
      </w:r>
    </w:p>
    <w:p w14:paraId="0DBA91A1">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致（采购人及采购代理机构</w:t>
      </w:r>
      <w:r>
        <w:rPr>
          <w:rFonts w:ascii="宋体" w:hAnsi="宋体" w:eastAsia="宋体" w:cs="宋体"/>
          <w:spacing w:val="-1"/>
          <w:sz w:val="24"/>
          <w:szCs w:val="24"/>
        </w:rPr>
        <w:t>）：</w:t>
      </w:r>
    </w:p>
    <w:p w14:paraId="3E6B64E9">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我公司作为本次采购项目的供应商，根据</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要求，现郑重承诺如下：</w:t>
      </w:r>
    </w:p>
    <w:p w14:paraId="079B6A80">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一、具备《中华人民共和国政府采购法》第二十二条第一款和本项目规定的条件：</w:t>
      </w:r>
    </w:p>
    <w:p w14:paraId="2833B60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（一）具有独立承担民事责任的能力；</w:t>
      </w:r>
    </w:p>
    <w:p w14:paraId="11810625">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B0CB872">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04BC2CDA">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13D4D2A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（五）参加政府采购活动前三年内，在经营活动中</w:t>
      </w:r>
      <w:r>
        <w:rPr>
          <w:rFonts w:ascii="宋体" w:hAnsi="宋体" w:eastAsia="宋体" w:cs="宋体"/>
          <w:spacing w:val="-3"/>
          <w:sz w:val="24"/>
          <w:szCs w:val="24"/>
        </w:rPr>
        <w:t>没有重大违法记录；</w:t>
      </w:r>
    </w:p>
    <w:p w14:paraId="0135A615">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（六）法律、行政法规规定的其他条件；</w:t>
      </w:r>
    </w:p>
    <w:p w14:paraId="2E72D35B">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（七）根据采购项目提出的特殊条件。</w:t>
      </w:r>
    </w:p>
    <w:p w14:paraId="01CF50B6">
      <w:pPr>
        <w:spacing w:line="360" w:lineRule="auto"/>
        <w:ind w:left="0" w:right="0" w:firstLine="0" w:firstLineChars="0"/>
        <w:jc w:val="both"/>
        <w:rPr>
          <w:rFonts w:ascii="宋体" w:hAnsi="宋体" w:eastAsia="宋体" w:cs="宋体"/>
          <w:sz w:val="24"/>
          <w:szCs w:val="24"/>
        </w:rPr>
      </w:pPr>
      <w:r>
        <w:rPr>
          <w:rFonts w:ascii="宋体" w:hAnsi="宋体" w:eastAsia="宋体" w:cs="宋体"/>
          <w:spacing w:val="-6"/>
          <w:sz w:val="24"/>
          <w:szCs w:val="24"/>
        </w:rPr>
        <w:t>二、完全接受和满足本项目</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中规定的实质性要求，如对</w:t>
      </w:r>
      <w:r>
        <w:rPr>
          <w:rFonts w:hint="eastAsia" w:ascii="宋体" w:hAnsi="宋体" w:eastAsia="宋体" w:cs="宋体"/>
          <w:spacing w:val="-6"/>
          <w:sz w:val="24"/>
          <w:szCs w:val="24"/>
          <w:lang w:eastAsia="zh-CN"/>
        </w:rPr>
        <w:t>磋商文件</w:t>
      </w:r>
      <w:r>
        <w:rPr>
          <w:rFonts w:ascii="宋体" w:hAnsi="宋体" w:eastAsia="宋体" w:cs="宋体"/>
          <w:spacing w:val="-6"/>
          <w:sz w:val="24"/>
          <w:szCs w:val="24"/>
        </w:rPr>
        <w:t>有异议，</w:t>
      </w:r>
      <w:r>
        <w:rPr>
          <w:rFonts w:ascii="宋体" w:hAnsi="宋体" w:eastAsia="宋体" w:cs="宋体"/>
          <w:spacing w:val="-7"/>
          <w:sz w:val="24"/>
          <w:szCs w:val="24"/>
        </w:rPr>
        <w:t>已经</w:t>
      </w:r>
      <w:r>
        <w:rPr>
          <w:rFonts w:ascii="宋体" w:hAnsi="宋体" w:eastAsia="宋体" w:cs="宋体"/>
          <w:spacing w:val="1"/>
          <w:sz w:val="24"/>
          <w:szCs w:val="24"/>
        </w:rPr>
        <w:t>在投标截止时间届满前依法进行维权救济，不存在对</w:t>
      </w:r>
      <w:r>
        <w:rPr>
          <w:rFonts w:hint="eastAsia" w:ascii="宋体" w:hAnsi="宋体" w:eastAsia="宋体" w:cs="宋体"/>
          <w:sz w:val="24"/>
          <w:szCs w:val="24"/>
          <w:lang w:eastAsia="zh-CN"/>
        </w:rPr>
        <w:t>磋商文件</w:t>
      </w:r>
      <w:r>
        <w:rPr>
          <w:rFonts w:ascii="宋体" w:hAnsi="宋体" w:eastAsia="宋体" w:cs="宋体"/>
          <w:sz w:val="24"/>
          <w:szCs w:val="24"/>
        </w:rPr>
        <w:t>有异议的同时又参加投标以求</w:t>
      </w:r>
      <w:r>
        <w:rPr>
          <w:rFonts w:ascii="宋体" w:hAnsi="宋体" w:eastAsia="宋体" w:cs="宋体"/>
          <w:spacing w:val="-3"/>
          <w:sz w:val="24"/>
          <w:szCs w:val="24"/>
        </w:rPr>
        <w:t>侥幸中标或者为实现其他非法目的的行为。</w:t>
      </w:r>
    </w:p>
    <w:p w14:paraId="70875E35">
      <w:pPr>
        <w:spacing w:line="360" w:lineRule="auto"/>
        <w:ind w:left="0" w:right="0" w:firstLine="0" w:firstLineChars="0"/>
        <w:rPr>
          <w:rFonts w:ascii="宋体" w:hAnsi="宋体" w:eastAsia="宋体" w:cs="宋体"/>
          <w:sz w:val="24"/>
          <w:szCs w:val="24"/>
        </w:rPr>
      </w:pPr>
      <w:r>
        <w:rPr>
          <w:rFonts w:ascii="宋体" w:hAnsi="宋体" w:eastAsia="宋体" w:cs="宋体"/>
          <w:spacing w:val="-6"/>
          <w:sz w:val="24"/>
          <w:szCs w:val="24"/>
        </w:rPr>
        <w:t>三、参加本次招标采购活动，不存在与单位负责人为同一人或者存在直接控股、管理关</w:t>
      </w:r>
      <w:r>
        <w:rPr>
          <w:rFonts w:ascii="宋体" w:hAnsi="宋体" w:eastAsia="宋体" w:cs="宋体"/>
          <w:spacing w:val="-2"/>
          <w:sz w:val="24"/>
          <w:szCs w:val="24"/>
        </w:rPr>
        <w:t>系的其他供应商参与同一合同项下的政府采购活动的行为。</w:t>
      </w:r>
    </w:p>
    <w:p w14:paraId="3A27AB16">
      <w:pPr>
        <w:spacing w:line="360" w:lineRule="auto"/>
        <w:ind w:left="0" w:right="0" w:firstLine="0" w:firstLineChars="0"/>
        <w:rPr>
          <w:rFonts w:ascii="宋体" w:hAnsi="宋体" w:eastAsia="宋体" w:cs="宋体"/>
          <w:sz w:val="24"/>
          <w:szCs w:val="24"/>
        </w:rPr>
      </w:pPr>
      <w:r>
        <w:rPr>
          <w:rFonts w:ascii="宋体" w:hAnsi="宋体" w:eastAsia="宋体" w:cs="宋体"/>
          <w:spacing w:val="-9"/>
          <w:sz w:val="24"/>
          <w:szCs w:val="24"/>
        </w:rPr>
        <w:t>四、参加本次招标采购活动，不存在为采购项目提供整体设计、规范编制或者</w:t>
      </w:r>
      <w:r>
        <w:rPr>
          <w:rFonts w:ascii="宋体" w:hAnsi="宋体" w:eastAsia="宋体" w:cs="宋体"/>
          <w:spacing w:val="-10"/>
          <w:sz w:val="24"/>
          <w:szCs w:val="24"/>
        </w:rPr>
        <w:t>项目管理、</w:t>
      </w:r>
      <w:r>
        <w:rPr>
          <w:rFonts w:ascii="宋体" w:hAnsi="宋体" w:eastAsia="宋体" w:cs="宋体"/>
          <w:spacing w:val="-4"/>
          <w:sz w:val="24"/>
          <w:szCs w:val="24"/>
        </w:rPr>
        <w:t>监理、检测等服务的行为。</w:t>
      </w:r>
    </w:p>
    <w:p w14:paraId="4CFF2DB1">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五、参加本次招标采购活动，不存在和其他供应商在同一合同项下的采购项目中，同时</w:t>
      </w:r>
      <w:r>
        <w:rPr>
          <w:rFonts w:ascii="宋体" w:hAnsi="宋体" w:eastAsia="宋体" w:cs="宋体"/>
          <w:spacing w:val="-1"/>
          <w:sz w:val="24"/>
          <w:szCs w:val="24"/>
        </w:rPr>
        <w:t>委托同一个自然人、同一家庭的人员、同一单位的人员</w:t>
      </w:r>
      <w:r>
        <w:rPr>
          <w:rFonts w:ascii="宋体" w:hAnsi="宋体" w:eastAsia="宋体" w:cs="宋体"/>
          <w:spacing w:val="-2"/>
          <w:sz w:val="24"/>
          <w:szCs w:val="24"/>
        </w:rPr>
        <w:t>作为代理人的行为。</w:t>
      </w:r>
    </w:p>
    <w:p w14:paraId="1CF8F2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六、供应商参加本次政府采购活动要求在近三年内供应商和其法定代表人没有行贿犯罪</w:t>
      </w:r>
      <w:r>
        <w:rPr>
          <w:rFonts w:ascii="宋体" w:hAnsi="宋体" w:eastAsia="宋体" w:cs="宋体"/>
          <w:spacing w:val="-11"/>
          <w:sz w:val="24"/>
          <w:szCs w:val="24"/>
        </w:rPr>
        <w:t>行为。</w:t>
      </w:r>
    </w:p>
    <w:p w14:paraId="21DC242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七、参加本次招标采购活动，不存在联合体投标。</w:t>
      </w:r>
    </w:p>
    <w:p w14:paraId="38820658">
      <w:pPr>
        <w:spacing w:line="360" w:lineRule="auto"/>
        <w:ind w:left="0" w:right="0" w:firstLine="0" w:firstLineChars="0"/>
        <w:rPr>
          <w:rFonts w:ascii="宋体" w:hAnsi="宋体" w:eastAsia="宋体" w:cs="宋体"/>
          <w:sz w:val="24"/>
          <w:szCs w:val="24"/>
        </w:rPr>
      </w:pPr>
      <w:r>
        <w:rPr>
          <w:rFonts w:ascii="宋体" w:hAnsi="宋体" w:eastAsia="宋体" w:cs="宋体"/>
          <w:spacing w:val="1"/>
          <w:sz w:val="24"/>
          <w:szCs w:val="24"/>
        </w:rPr>
        <w:t>八、投标文件中提供的能够给予我公司带来优惠、好处的任何材料资</w:t>
      </w:r>
      <w:r>
        <w:rPr>
          <w:rFonts w:ascii="宋体" w:hAnsi="宋体" w:eastAsia="宋体" w:cs="宋体"/>
          <w:sz w:val="24"/>
          <w:szCs w:val="24"/>
        </w:rPr>
        <w:t>料和技术、服务、</w:t>
      </w:r>
      <w:r>
        <w:rPr>
          <w:rFonts w:ascii="宋体" w:hAnsi="宋体" w:eastAsia="宋体" w:cs="宋体"/>
          <w:spacing w:val="-2"/>
          <w:sz w:val="24"/>
          <w:szCs w:val="24"/>
        </w:rPr>
        <w:t>商务等响应承诺情况都是真实的、有效的、合法</w:t>
      </w:r>
      <w:r>
        <w:rPr>
          <w:rFonts w:ascii="宋体" w:hAnsi="宋体" w:eastAsia="宋体" w:cs="宋体"/>
          <w:spacing w:val="-3"/>
          <w:sz w:val="24"/>
          <w:szCs w:val="24"/>
        </w:rPr>
        <w:t>的。</w:t>
      </w:r>
    </w:p>
    <w:p w14:paraId="578A5DA5">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九、如本项目评标过程中需要提供样品，则我公司提供的样品即为中标后将要提供的中</w:t>
      </w:r>
      <w:r>
        <w:rPr>
          <w:rFonts w:ascii="宋体" w:hAnsi="宋体" w:eastAsia="宋体" w:cs="宋体"/>
          <w:spacing w:val="1"/>
          <w:sz w:val="24"/>
          <w:szCs w:val="24"/>
        </w:rPr>
        <w:t>标产品，我公司对提供样品的性能和质量负责，因样品存</w:t>
      </w:r>
      <w:r>
        <w:rPr>
          <w:rFonts w:ascii="宋体" w:hAnsi="宋体" w:eastAsia="宋体" w:cs="宋体"/>
          <w:sz w:val="24"/>
          <w:szCs w:val="24"/>
        </w:rPr>
        <w:t>在缺陷或者不符合</w:t>
      </w:r>
      <w:r>
        <w:rPr>
          <w:rFonts w:hint="eastAsia" w:ascii="宋体" w:hAnsi="宋体" w:eastAsia="宋体" w:cs="宋体"/>
          <w:sz w:val="24"/>
          <w:szCs w:val="24"/>
          <w:lang w:eastAsia="zh-CN"/>
        </w:rPr>
        <w:t>磋商文件</w:t>
      </w:r>
      <w:r>
        <w:rPr>
          <w:rFonts w:ascii="宋体" w:hAnsi="宋体" w:eastAsia="宋体" w:cs="宋体"/>
          <w:sz w:val="24"/>
          <w:szCs w:val="24"/>
        </w:rPr>
        <w:t>要求导</w:t>
      </w:r>
      <w:r>
        <w:rPr>
          <w:rFonts w:ascii="宋体" w:hAnsi="宋体" w:eastAsia="宋体" w:cs="宋体"/>
          <w:spacing w:val="-1"/>
          <w:sz w:val="24"/>
          <w:szCs w:val="24"/>
        </w:rPr>
        <w:t>致未能中标的，我公司愿意承担相应不利后果。（如提供样品）</w:t>
      </w:r>
    </w:p>
    <w:p w14:paraId="75CA5251">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十、存在以下行为之一的愿意接受相关部门的处理：</w:t>
      </w:r>
    </w:p>
    <w:p w14:paraId="014AD344">
      <w:pPr>
        <w:spacing w:line="360" w:lineRule="auto"/>
        <w:ind w:left="0" w:right="0" w:firstLine="0" w:firstLineChars="0"/>
        <w:rPr>
          <w:rFonts w:ascii="宋体" w:hAnsi="宋体" w:eastAsia="宋体" w:cs="宋体"/>
          <w:sz w:val="24"/>
          <w:szCs w:val="24"/>
        </w:rPr>
      </w:pPr>
      <w:r>
        <w:rPr>
          <w:rFonts w:ascii="宋体" w:hAnsi="宋体" w:eastAsia="宋体" w:cs="宋体"/>
          <w:spacing w:val="-5"/>
          <w:sz w:val="24"/>
          <w:szCs w:val="24"/>
        </w:rPr>
        <w:t>（一）投标有效期内撤销投标文件的；</w:t>
      </w:r>
    </w:p>
    <w:p w14:paraId="51A8EE20">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（二）在采购人确定中标人以前放弃中标候选资格的；</w:t>
      </w:r>
    </w:p>
    <w:p w14:paraId="58DEF6F7">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（三）由于中标人的原因未能按照</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的规定</w:t>
      </w:r>
      <w:r>
        <w:rPr>
          <w:rFonts w:ascii="宋体" w:hAnsi="宋体" w:eastAsia="宋体" w:cs="宋体"/>
          <w:spacing w:val="-3"/>
          <w:sz w:val="24"/>
          <w:szCs w:val="24"/>
        </w:rPr>
        <w:t>与采购人签订合同；</w:t>
      </w:r>
    </w:p>
    <w:p w14:paraId="5D45BE2C">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（四）在投标文件中提供虚假材料谋取中标；</w:t>
      </w:r>
    </w:p>
    <w:p w14:paraId="3C9D8248">
      <w:pPr>
        <w:spacing w:line="360" w:lineRule="auto"/>
        <w:ind w:left="0" w:right="0" w:firstLine="0" w:firstLineChars="0"/>
        <w:rPr>
          <w:rFonts w:ascii="宋体" w:hAnsi="宋体" w:eastAsia="宋体" w:cs="宋体"/>
          <w:sz w:val="24"/>
          <w:szCs w:val="24"/>
        </w:rPr>
      </w:pPr>
      <w:r>
        <w:rPr>
          <w:rFonts w:ascii="宋体" w:hAnsi="宋体" w:eastAsia="宋体" w:cs="宋体"/>
          <w:spacing w:val="-3"/>
          <w:sz w:val="24"/>
          <w:szCs w:val="24"/>
        </w:rPr>
        <w:t>（五）与采购人、其他供应商或者采购代理机构恶意串通的；</w:t>
      </w:r>
    </w:p>
    <w:p w14:paraId="4ACDE44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（六）投标有效期内，供应商在政府采购活动中有违法、违规、违纪行为。</w:t>
      </w:r>
    </w:p>
    <w:p w14:paraId="10A39DCD">
      <w:pPr>
        <w:spacing w:line="360" w:lineRule="auto"/>
        <w:ind w:left="0" w:right="0" w:firstLine="0" w:firstLineChars="0"/>
        <w:rPr>
          <w:rFonts w:ascii="宋体" w:hAnsi="宋体" w:eastAsia="宋体" w:cs="宋体"/>
          <w:sz w:val="24"/>
          <w:szCs w:val="24"/>
        </w:rPr>
      </w:pPr>
      <w:r>
        <w:rPr>
          <w:rFonts w:ascii="宋体" w:hAnsi="宋体" w:eastAsia="宋体" w:cs="宋体"/>
          <w:spacing w:val="-2"/>
          <w:sz w:val="24"/>
          <w:szCs w:val="24"/>
        </w:rPr>
        <w:t>由此产生的一切法律后果和责任由我公司承担。我公司声明放弃对</w:t>
      </w:r>
      <w:r>
        <w:rPr>
          <w:rFonts w:ascii="宋体" w:hAnsi="宋体" w:eastAsia="宋体" w:cs="宋体"/>
          <w:spacing w:val="-3"/>
          <w:sz w:val="24"/>
          <w:szCs w:val="24"/>
        </w:rPr>
        <w:t>此提出任何异议和追</w:t>
      </w:r>
      <w:r>
        <w:rPr>
          <w:rFonts w:ascii="宋体" w:hAnsi="宋体" w:eastAsia="宋体" w:cs="宋体"/>
          <w:spacing w:val="-8"/>
          <w:sz w:val="24"/>
          <w:szCs w:val="24"/>
        </w:rPr>
        <w:t>索的权利。</w:t>
      </w:r>
    </w:p>
    <w:p w14:paraId="3574BF03">
      <w:pPr>
        <w:spacing w:line="360" w:lineRule="auto"/>
        <w:ind w:left="0" w:right="0" w:firstLine="0" w:firstLineChars="0"/>
        <w:rPr>
          <w:rFonts w:ascii="宋体" w:hAnsi="宋体" w:eastAsia="宋体" w:cs="宋体"/>
          <w:sz w:val="24"/>
          <w:szCs w:val="24"/>
        </w:rPr>
      </w:pPr>
      <w:r>
        <w:rPr>
          <w:rFonts w:ascii="宋体" w:hAnsi="宋体" w:eastAsia="宋体" w:cs="宋体"/>
          <w:spacing w:val="-4"/>
          <w:sz w:val="24"/>
          <w:szCs w:val="24"/>
        </w:rPr>
        <w:t>本公司对上述承诺的内容事项真实性负责。如</w:t>
      </w:r>
      <w:r>
        <w:rPr>
          <w:rFonts w:ascii="宋体" w:hAnsi="宋体" w:eastAsia="宋体" w:cs="宋体"/>
          <w:spacing w:val="-5"/>
          <w:sz w:val="24"/>
          <w:szCs w:val="24"/>
        </w:rPr>
        <w:t>经查实上述承诺的内容事项存在虚假，我</w:t>
      </w:r>
      <w:r>
        <w:rPr>
          <w:rFonts w:ascii="宋体" w:hAnsi="宋体" w:eastAsia="宋体" w:cs="宋体"/>
          <w:spacing w:val="-2"/>
          <w:sz w:val="24"/>
          <w:szCs w:val="24"/>
        </w:rPr>
        <w:t>公司愿意接受以提供虚假材料谋取中标追究法律</w:t>
      </w:r>
      <w:r>
        <w:rPr>
          <w:rFonts w:ascii="宋体" w:hAnsi="宋体" w:eastAsia="宋体" w:cs="宋体"/>
          <w:spacing w:val="-3"/>
          <w:sz w:val="24"/>
          <w:szCs w:val="24"/>
        </w:rPr>
        <w:t>责任。</w:t>
      </w:r>
    </w:p>
    <w:p w14:paraId="07E56088">
      <w:pPr>
        <w:spacing w:line="360" w:lineRule="auto"/>
        <w:ind w:left="0" w:right="0" w:firstLine="0" w:firstLineChars="0"/>
        <w:rPr>
          <w:rFonts w:ascii="宋体" w:hAnsi="宋体" w:eastAsia="宋体" w:cs="宋体"/>
          <w:spacing w:val="-3"/>
          <w:sz w:val="24"/>
          <w:szCs w:val="24"/>
        </w:rPr>
      </w:pPr>
    </w:p>
    <w:p w14:paraId="569572C1">
      <w:pPr>
        <w:spacing w:line="360" w:lineRule="auto"/>
        <w:ind w:left="0" w:right="0" w:firstLine="0" w:firstLineChars="0"/>
        <w:rPr>
          <w:rFonts w:ascii="宋体" w:hAnsi="宋体" w:eastAsia="宋体" w:cs="宋体"/>
          <w:spacing w:val="-3"/>
          <w:sz w:val="24"/>
          <w:szCs w:val="24"/>
        </w:rPr>
      </w:pPr>
    </w:p>
    <w:p w14:paraId="30611C61">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54B40D6E">
      <w:pPr>
        <w:spacing w:line="480" w:lineRule="auto"/>
        <w:ind w:left="3570" w:leftChars="1700" w:right="0" w:firstLine="0" w:firstLineChars="0"/>
        <w:rPr>
          <w:rFonts w:ascii="宋体" w:hAnsi="宋体" w:eastAsia="宋体" w:cs="宋体"/>
          <w:spacing w:val="-2"/>
          <w:sz w:val="24"/>
          <w:szCs w:val="24"/>
        </w:rPr>
      </w:pPr>
      <w:r>
        <w:rPr>
          <w:rFonts w:ascii="宋体" w:hAnsi="宋体" w:eastAsia="宋体" w:cs="宋体"/>
          <w:spacing w:val="-2"/>
          <w:sz w:val="24"/>
          <w:szCs w:val="24"/>
        </w:rPr>
        <w:t>法定代表人或授权代表</w:t>
      </w:r>
      <w:r>
        <w:rPr>
          <w:rFonts w:ascii="宋体" w:hAnsi="宋体" w:eastAsia="宋体" w:cs="宋体"/>
          <w:spacing w:val="2"/>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2"/>
          <w:sz w:val="24"/>
          <w:szCs w:val="24"/>
        </w:rPr>
        <w:t>）</w:t>
      </w:r>
    </w:p>
    <w:p w14:paraId="58F02E7E">
      <w:pPr>
        <w:spacing w:line="480" w:lineRule="auto"/>
        <w:ind w:left="3570" w:leftChars="1700" w:right="0" w:firstLine="0" w:firstLineChars="0"/>
        <w:rPr>
          <w:rFonts w:ascii="宋体" w:hAnsi="宋体" w:eastAsia="宋体" w:cs="宋体"/>
          <w:sz w:val="24"/>
          <w:szCs w:val="24"/>
        </w:rPr>
      </w:pPr>
      <w:r>
        <w:rPr>
          <w:rFonts w:ascii="宋体" w:hAnsi="宋体" w:eastAsia="宋体" w:cs="宋体"/>
          <w:spacing w:val="-24"/>
          <w:sz w:val="24"/>
          <w:szCs w:val="24"/>
        </w:rPr>
        <w:t>日期：</w:t>
      </w:r>
    </w:p>
    <w:p w14:paraId="7C897ABF">
      <w:pPr>
        <w:spacing w:line="480" w:lineRule="auto"/>
        <w:ind w:left="3570" w:leftChars="1700" w:right="0" w:firstLine="0" w:firstLineChars="0"/>
        <w:rPr>
          <w:rFonts w:ascii="宋体" w:hAnsi="宋体" w:eastAsia="宋体" w:cs="宋体"/>
          <w:sz w:val="24"/>
          <w:szCs w:val="24"/>
        </w:rPr>
        <w:sectPr>
          <w:footerReference r:id="rId12" w:type="default"/>
          <w:pgSz w:w="11907" w:h="16839"/>
          <w:pgMar w:top="1440" w:right="1800" w:bottom="1440" w:left="1800" w:header="0" w:footer="719" w:gutter="0"/>
          <w:pgNumType w:fmt="decimal"/>
          <w:cols w:space="720" w:num="1"/>
        </w:sectPr>
      </w:pPr>
    </w:p>
    <w:p w14:paraId="09A1FD2F">
      <w:pPr>
        <w:pStyle w:val="10"/>
        <w:bidi w:val="0"/>
        <w:ind w:left="0" w:leftChars="0" w:firstLine="0" w:firstLineChars="0"/>
        <w:jc w:val="center"/>
        <w:rPr>
          <w:rFonts w:hint="default" w:eastAsia="宋体" w:cs="Times New Roman"/>
          <w:lang w:val="en-US" w:eastAsia="zh-CN"/>
        </w:rPr>
      </w:pPr>
      <w:r>
        <w:rPr>
          <w:rFonts w:eastAsia="宋体" w:cs="Times New Roman"/>
        </w:rPr>
        <w:t>五、</w:t>
      </w:r>
      <w:r>
        <w:rPr>
          <w:rFonts w:hint="eastAsia" w:cs="Times New Roman"/>
          <w:lang w:val="en-US" w:eastAsia="zh-CN"/>
        </w:rPr>
        <w:t>技术部分</w:t>
      </w:r>
    </w:p>
    <w:p w14:paraId="27EB5067">
      <w:pPr>
        <w:pStyle w:val="11"/>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4CC20650">
      <w:pPr>
        <w:spacing w:line="480" w:lineRule="auto"/>
        <w:jc w:val="center"/>
        <w:rPr>
          <w:rFonts w:ascii="宋体" w:hAnsi="宋体" w:eastAsia="宋体" w:cs="宋体"/>
          <w:sz w:val="24"/>
          <w:szCs w:val="24"/>
        </w:rPr>
        <w:sectPr>
          <w:footerReference r:id="rId13" w:type="default"/>
          <w:pgSz w:w="11907" w:h="16841"/>
          <w:pgMar w:top="1440" w:right="1800" w:bottom="1440" w:left="1800" w:header="0" w:footer="719" w:gutter="0"/>
          <w:pgNumType w:fmt="decimal"/>
          <w:cols w:space="720" w:num="1"/>
        </w:sectPr>
      </w:pPr>
    </w:p>
    <w:p w14:paraId="5417CB21">
      <w:pPr>
        <w:pStyle w:val="10"/>
        <w:bidi w:val="0"/>
      </w:pPr>
      <w:r>
        <w:t>六、项目管理机构</w:t>
      </w:r>
    </w:p>
    <w:p w14:paraId="49139EFA">
      <w:pPr>
        <w:spacing w:before="195" w:line="219" w:lineRule="auto"/>
        <w:ind w:left="447" w:firstLine="468" w:firstLineChars="200"/>
        <w:rPr>
          <w:rFonts w:ascii="宋体" w:hAnsi="宋体" w:eastAsia="宋体" w:cs="宋体"/>
          <w:sz w:val="24"/>
          <w:szCs w:val="24"/>
        </w:rPr>
      </w:pPr>
      <w:r>
        <w:rPr>
          <w:rFonts w:ascii="宋体" w:hAnsi="宋体" w:eastAsia="宋体" w:cs="宋体"/>
          <w:spacing w:val="-3"/>
          <w:sz w:val="24"/>
          <w:szCs w:val="24"/>
        </w:rPr>
        <w:t>（一）项目管理机构组成表</w:t>
      </w:r>
    </w:p>
    <w:tbl>
      <w:tblPr>
        <w:tblStyle w:val="71"/>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859"/>
        <w:gridCol w:w="907"/>
        <w:gridCol w:w="1362"/>
        <w:gridCol w:w="854"/>
        <w:gridCol w:w="993"/>
        <w:gridCol w:w="1533"/>
        <w:gridCol w:w="1867"/>
      </w:tblGrid>
      <w:tr w14:paraId="1FB4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91" w:type="dxa"/>
            <w:vMerge w:val="restart"/>
            <w:tcBorders>
              <w:bottom w:val="nil"/>
            </w:tcBorders>
            <w:vAlign w:val="center"/>
          </w:tcPr>
          <w:p w14:paraId="5C44730C">
            <w:pPr>
              <w:pStyle w:val="72"/>
              <w:spacing w:before="78" w:line="220" w:lineRule="auto"/>
              <w:ind w:left="118"/>
              <w:jc w:val="center"/>
            </w:pPr>
            <w:r>
              <w:rPr>
                <w:spacing w:val="-3"/>
              </w:rPr>
              <w:t>职务</w:t>
            </w:r>
          </w:p>
        </w:tc>
        <w:tc>
          <w:tcPr>
            <w:tcW w:w="859" w:type="dxa"/>
            <w:vMerge w:val="restart"/>
            <w:tcBorders>
              <w:bottom w:val="nil"/>
            </w:tcBorders>
            <w:vAlign w:val="center"/>
          </w:tcPr>
          <w:p w14:paraId="33F3E043">
            <w:pPr>
              <w:pStyle w:val="72"/>
              <w:spacing w:before="78" w:line="220" w:lineRule="auto"/>
              <w:ind w:left="113"/>
              <w:jc w:val="center"/>
            </w:pPr>
            <w:r>
              <w:rPr>
                <w:spacing w:val="-3"/>
              </w:rPr>
              <w:t>姓名</w:t>
            </w:r>
          </w:p>
        </w:tc>
        <w:tc>
          <w:tcPr>
            <w:tcW w:w="907" w:type="dxa"/>
            <w:vMerge w:val="restart"/>
            <w:tcBorders>
              <w:bottom w:val="nil"/>
            </w:tcBorders>
            <w:vAlign w:val="center"/>
          </w:tcPr>
          <w:p w14:paraId="71DFE311">
            <w:pPr>
              <w:pStyle w:val="72"/>
              <w:spacing w:before="78" w:line="222" w:lineRule="auto"/>
              <w:ind w:left="112"/>
              <w:jc w:val="center"/>
            </w:pPr>
            <w:r>
              <w:rPr>
                <w:spacing w:val="-3"/>
              </w:rPr>
              <w:t>职称</w:t>
            </w:r>
          </w:p>
        </w:tc>
        <w:tc>
          <w:tcPr>
            <w:tcW w:w="4742" w:type="dxa"/>
            <w:gridSpan w:val="4"/>
            <w:vAlign w:val="center"/>
          </w:tcPr>
          <w:p w14:paraId="64050425">
            <w:pPr>
              <w:pStyle w:val="72"/>
              <w:spacing w:before="237" w:line="220" w:lineRule="auto"/>
              <w:ind w:left="995"/>
              <w:jc w:val="center"/>
            </w:pPr>
            <w:r>
              <w:rPr>
                <w:spacing w:val="-1"/>
              </w:rPr>
              <w:t>执业或职业资格证明</w:t>
            </w:r>
          </w:p>
        </w:tc>
        <w:tc>
          <w:tcPr>
            <w:tcW w:w="1867" w:type="dxa"/>
            <w:vMerge w:val="restart"/>
            <w:tcBorders>
              <w:bottom w:val="nil"/>
            </w:tcBorders>
            <w:vAlign w:val="center"/>
          </w:tcPr>
          <w:p w14:paraId="5038A632">
            <w:pPr>
              <w:pStyle w:val="72"/>
              <w:spacing w:before="78" w:line="221" w:lineRule="auto"/>
              <w:ind w:left="680"/>
              <w:jc w:val="center"/>
            </w:pPr>
            <w:r>
              <w:rPr>
                <w:spacing w:val="-4"/>
              </w:rPr>
              <w:t>备注</w:t>
            </w:r>
          </w:p>
        </w:tc>
      </w:tr>
      <w:tr w14:paraId="1B23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1" w:type="dxa"/>
            <w:vMerge w:val="continue"/>
            <w:tcBorders>
              <w:top w:val="nil"/>
            </w:tcBorders>
            <w:vAlign w:val="center"/>
          </w:tcPr>
          <w:p w14:paraId="4906623C">
            <w:pPr>
              <w:jc w:val="center"/>
              <w:rPr>
                <w:rFonts w:ascii="Arial"/>
                <w:sz w:val="21"/>
              </w:rPr>
            </w:pPr>
          </w:p>
        </w:tc>
        <w:tc>
          <w:tcPr>
            <w:tcW w:w="859" w:type="dxa"/>
            <w:vMerge w:val="continue"/>
            <w:tcBorders>
              <w:top w:val="nil"/>
            </w:tcBorders>
            <w:vAlign w:val="center"/>
          </w:tcPr>
          <w:p w14:paraId="227203DA">
            <w:pPr>
              <w:jc w:val="center"/>
              <w:rPr>
                <w:rFonts w:ascii="Arial"/>
                <w:sz w:val="21"/>
              </w:rPr>
            </w:pPr>
          </w:p>
        </w:tc>
        <w:tc>
          <w:tcPr>
            <w:tcW w:w="907" w:type="dxa"/>
            <w:vMerge w:val="continue"/>
            <w:tcBorders>
              <w:top w:val="nil"/>
            </w:tcBorders>
            <w:vAlign w:val="center"/>
          </w:tcPr>
          <w:p w14:paraId="5A34CF9C">
            <w:pPr>
              <w:jc w:val="center"/>
              <w:rPr>
                <w:rFonts w:ascii="Arial"/>
                <w:sz w:val="21"/>
              </w:rPr>
            </w:pPr>
          </w:p>
        </w:tc>
        <w:tc>
          <w:tcPr>
            <w:tcW w:w="1362" w:type="dxa"/>
            <w:vAlign w:val="center"/>
          </w:tcPr>
          <w:p w14:paraId="06B1D4F4">
            <w:pPr>
              <w:pStyle w:val="72"/>
              <w:spacing w:before="179" w:line="298" w:lineRule="auto"/>
              <w:ind w:left="356" w:right="532" w:hanging="2"/>
              <w:jc w:val="center"/>
            </w:pPr>
            <w:r>
              <w:rPr>
                <w:spacing w:val="-5"/>
              </w:rPr>
              <w:t>证书</w:t>
            </w:r>
            <w:r>
              <w:rPr>
                <w:spacing w:val="-7"/>
              </w:rPr>
              <w:t>名称</w:t>
            </w:r>
          </w:p>
        </w:tc>
        <w:tc>
          <w:tcPr>
            <w:tcW w:w="854" w:type="dxa"/>
            <w:vAlign w:val="center"/>
          </w:tcPr>
          <w:p w14:paraId="0A774C57">
            <w:pPr>
              <w:pStyle w:val="72"/>
              <w:spacing w:before="78" w:line="220" w:lineRule="auto"/>
              <w:ind w:left="119"/>
              <w:jc w:val="center"/>
            </w:pPr>
            <w:r>
              <w:rPr>
                <w:spacing w:val="-4"/>
              </w:rPr>
              <w:t>级别</w:t>
            </w:r>
          </w:p>
        </w:tc>
        <w:tc>
          <w:tcPr>
            <w:tcW w:w="993" w:type="dxa"/>
            <w:vAlign w:val="center"/>
          </w:tcPr>
          <w:p w14:paraId="2BBF40D5">
            <w:pPr>
              <w:pStyle w:val="72"/>
              <w:spacing w:before="78" w:line="221" w:lineRule="auto"/>
              <w:ind w:left="115"/>
              <w:jc w:val="center"/>
            </w:pPr>
            <w:r>
              <w:rPr>
                <w:spacing w:val="-3"/>
              </w:rPr>
              <w:t>证号</w:t>
            </w:r>
          </w:p>
        </w:tc>
        <w:tc>
          <w:tcPr>
            <w:tcW w:w="1533" w:type="dxa"/>
            <w:vAlign w:val="center"/>
          </w:tcPr>
          <w:p w14:paraId="46B92F00">
            <w:pPr>
              <w:pStyle w:val="72"/>
              <w:spacing w:before="78" w:line="220" w:lineRule="auto"/>
              <w:jc w:val="center"/>
            </w:pPr>
            <w:r>
              <w:rPr>
                <w:spacing w:val="-3"/>
              </w:rPr>
              <w:t>专业</w:t>
            </w:r>
          </w:p>
        </w:tc>
        <w:tc>
          <w:tcPr>
            <w:tcW w:w="1867" w:type="dxa"/>
            <w:vMerge w:val="continue"/>
            <w:tcBorders>
              <w:top w:val="nil"/>
            </w:tcBorders>
            <w:vAlign w:val="center"/>
          </w:tcPr>
          <w:p w14:paraId="341E62A6">
            <w:pPr>
              <w:jc w:val="center"/>
              <w:rPr>
                <w:rFonts w:ascii="Arial"/>
                <w:sz w:val="21"/>
              </w:rPr>
            </w:pPr>
          </w:p>
        </w:tc>
      </w:tr>
      <w:tr w14:paraId="0638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center"/>
          </w:tcPr>
          <w:p w14:paraId="296CDD77">
            <w:pPr>
              <w:jc w:val="center"/>
              <w:rPr>
                <w:rFonts w:ascii="Arial"/>
                <w:sz w:val="21"/>
              </w:rPr>
            </w:pPr>
          </w:p>
        </w:tc>
        <w:tc>
          <w:tcPr>
            <w:tcW w:w="859" w:type="dxa"/>
            <w:vAlign w:val="center"/>
          </w:tcPr>
          <w:p w14:paraId="4BE9E373">
            <w:pPr>
              <w:jc w:val="center"/>
              <w:rPr>
                <w:rFonts w:ascii="Arial"/>
                <w:sz w:val="21"/>
              </w:rPr>
            </w:pPr>
          </w:p>
        </w:tc>
        <w:tc>
          <w:tcPr>
            <w:tcW w:w="907" w:type="dxa"/>
            <w:vAlign w:val="center"/>
          </w:tcPr>
          <w:p w14:paraId="7C5392F1">
            <w:pPr>
              <w:jc w:val="center"/>
              <w:rPr>
                <w:rFonts w:ascii="Arial"/>
                <w:sz w:val="21"/>
              </w:rPr>
            </w:pPr>
          </w:p>
        </w:tc>
        <w:tc>
          <w:tcPr>
            <w:tcW w:w="1362" w:type="dxa"/>
            <w:vAlign w:val="center"/>
          </w:tcPr>
          <w:p w14:paraId="257D44E2">
            <w:pPr>
              <w:jc w:val="center"/>
              <w:rPr>
                <w:rFonts w:ascii="Arial"/>
                <w:sz w:val="21"/>
              </w:rPr>
            </w:pPr>
          </w:p>
        </w:tc>
        <w:tc>
          <w:tcPr>
            <w:tcW w:w="854" w:type="dxa"/>
            <w:vAlign w:val="center"/>
          </w:tcPr>
          <w:p w14:paraId="7A746A81">
            <w:pPr>
              <w:jc w:val="center"/>
              <w:rPr>
                <w:rFonts w:ascii="Arial"/>
                <w:sz w:val="21"/>
              </w:rPr>
            </w:pPr>
          </w:p>
        </w:tc>
        <w:tc>
          <w:tcPr>
            <w:tcW w:w="993" w:type="dxa"/>
            <w:vAlign w:val="center"/>
          </w:tcPr>
          <w:p w14:paraId="658F5C3B">
            <w:pPr>
              <w:jc w:val="center"/>
              <w:rPr>
                <w:rFonts w:ascii="Arial"/>
                <w:sz w:val="21"/>
              </w:rPr>
            </w:pPr>
          </w:p>
        </w:tc>
        <w:tc>
          <w:tcPr>
            <w:tcW w:w="1533" w:type="dxa"/>
            <w:vAlign w:val="center"/>
          </w:tcPr>
          <w:p w14:paraId="2FA07492">
            <w:pPr>
              <w:jc w:val="center"/>
              <w:rPr>
                <w:rFonts w:ascii="Arial"/>
                <w:sz w:val="21"/>
              </w:rPr>
            </w:pPr>
          </w:p>
        </w:tc>
        <w:tc>
          <w:tcPr>
            <w:tcW w:w="1867" w:type="dxa"/>
            <w:vAlign w:val="center"/>
          </w:tcPr>
          <w:p w14:paraId="0467AB34">
            <w:pPr>
              <w:jc w:val="center"/>
              <w:rPr>
                <w:rFonts w:ascii="Arial"/>
                <w:sz w:val="21"/>
              </w:rPr>
            </w:pPr>
          </w:p>
        </w:tc>
      </w:tr>
      <w:tr w14:paraId="3753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1FC11BAE">
            <w:pPr>
              <w:rPr>
                <w:rFonts w:ascii="Arial"/>
                <w:sz w:val="21"/>
              </w:rPr>
            </w:pPr>
          </w:p>
        </w:tc>
        <w:tc>
          <w:tcPr>
            <w:tcW w:w="859" w:type="dxa"/>
            <w:vAlign w:val="top"/>
          </w:tcPr>
          <w:p w14:paraId="66ED74A8">
            <w:pPr>
              <w:rPr>
                <w:rFonts w:ascii="Arial"/>
                <w:sz w:val="21"/>
              </w:rPr>
            </w:pPr>
          </w:p>
        </w:tc>
        <w:tc>
          <w:tcPr>
            <w:tcW w:w="907" w:type="dxa"/>
            <w:vAlign w:val="top"/>
          </w:tcPr>
          <w:p w14:paraId="357FF129">
            <w:pPr>
              <w:rPr>
                <w:rFonts w:ascii="Arial"/>
                <w:sz w:val="21"/>
              </w:rPr>
            </w:pPr>
          </w:p>
        </w:tc>
        <w:tc>
          <w:tcPr>
            <w:tcW w:w="1362" w:type="dxa"/>
            <w:vAlign w:val="top"/>
          </w:tcPr>
          <w:p w14:paraId="14CF71E4">
            <w:pPr>
              <w:rPr>
                <w:rFonts w:ascii="Arial"/>
                <w:sz w:val="21"/>
              </w:rPr>
            </w:pPr>
          </w:p>
        </w:tc>
        <w:tc>
          <w:tcPr>
            <w:tcW w:w="854" w:type="dxa"/>
            <w:vAlign w:val="top"/>
          </w:tcPr>
          <w:p w14:paraId="5F2044DB">
            <w:pPr>
              <w:rPr>
                <w:rFonts w:ascii="Arial"/>
                <w:sz w:val="21"/>
              </w:rPr>
            </w:pPr>
          </w:p>
        </w:tc>
        <w:tc>
          <w:tcPr>
            <w:tcW w:w="993" w:type="dxa"/>
            <w:vAlign w:val="top"/>
          </w:tcPr>
          <w:p w14:paraId="3753B03D">
            <w:pPr>
              <w:rPr>
                <w:rFonts w:ascii="Arial"/>
                <w:sz w:val="21"/>
              </w:rPr>
            </w:pPr>
          </w:p>
        </w:tc>
        <w:tc>
          <w:tcPr>
            <w:tcW w:w="1533" w:type="dxa"/>
            <w:vAlign w:val="top"/>
          </w:tcPr>
          <w:p w14:paraId="7EDC5001">
            <w:pPr>
              <w:rPr>
                <w:rFonts w:ascii="Arial"/>
                <w:sz w:val="21"/>
              </w:rPr>
            </w:pPr>
          </w:p>
        </w:tc>
        <w:tc>
          <w:tcPr>
            <w:tcW w:w="1867" w:type="dxa"/>
            <w:vAlign w:val="top"/>
          </w:tcPr>
          <w:p w14:paraId="04A33D32">
            <w:pPr>
              <w:rPr>
                <w:rFonts w:ascii="Arial"/>
                <w:sz w:val="21"/>
              </w:rPr>
            </w:pPr>
          </w:p>
        </w:tc>
      </w:tr>
      <w:tr w14:paraId="58F5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6D66B79B">
            <w:pPr>
              <w:rPr>
                <w:rFonts w:ascii="Arial"/>
                <w:sz w:val="21"/>
              </w:rPr>
            </w:pPr>
          </w:p>
        </w:tc>
        <w:tc>
          <w:tcPr>
            <w:tcW w:w="859" w:type="dxa"/>
            <w:vAlign w:val="top"/>
          </w:tcPr>
          <w:p w14:paraId="430B66D4">
            <w:pPr>
              <w:rPr>
                <w:rFonts w:ascii="Arial"/>
                <w:sz w:val="21"/>
              </w:rPr>
            </w:pPr>
          </w:p>
        </w:tc>
        <w:tc>
          <w:tcPr>
            <w:tcW w:w="907" w:type="dxa"/>
            <w:vAlign w:val="top"/>
          </w:tcPr>
          <w:p w14:paraId="52AAF092">
            <w:pPr>
              <w:rPr>
                <w:rFonts w:ascii="Arial"/>
                <w:sz w:val="21"/>
              </w:rPr>
            </w:pPr>
          </w:p>
        </w:tc>
        <w:tc>
          <w:tcPr>
            <w:tcW w:w="1362" w:type="dxa"/>
            <w:vAlign w:val="top"/>
          </w:tcPr>
          <w:p w14:paraId="1BF13C09">
            <w:pPr>
              <w:rPr>
                <w:rFonts w:ascii="Arial"/>
                <w:sz w:val="21"/>
              </w:rPr>
            </w:pPr>
          </w:p>
        </w:tc>
        <w:tc>
          <w:tcPr>
            <w:tcW w:w="854" w:type="dxa"/>
            <w:vAlign w:val="top"/>
          </w:tcPr>
          <w:p w14:paraId="1BC22252">
            <w:pPr>
              <w:rPr>
                <w:rFonts w:ascii="Arial"/>
                <w:sz w:val="21"/>
              </w:rPr>
            </w:pPr>
          </w:p>
        </w:tc>
        <w:tc>
          <w:tcPr>
            <w:tcW w:w="993" w:type="dxa"/>
            <w:vAlign w:val="top"/>
          </w:tcPr>
          <w:p w14:paraId="4A25B1DB">
            <w:pPr>
              <w:rPr>
                <w:rFonts w:ascii="Arial"/>
                <w:sz w:val="21"/>
              </w:rPr>
            </w:pPr>
          </w:p>
        </w:tc>
        <w:tc>
          <w:tcPr>
            <w:tcW w:w="1533" w:type="dxa"/>
            <w:vAlign w:val="top"/>
          </w:tcPr>
          <w:p w14:paraId="1E80CE18">
            <w:pPr>
              <w:rPr>
                <w:rFonts w:ascii="Arial"/>
                <w:sz w:val="21"/>
              </w:rPr>
            </w:pPr>
          </w:p>
        </w:tc>
        <w:tc>
          <w:tcPr>
            <w:tcW w:w="1867" w:type="dxa"/>
            <w:vAlign w:val="top"/>
          </w:tcPr>
          <w:p w14:paraId="1D25C442">
            <w:pPr>
              <w:rPr>
                <w:rFonts w:ascii="Arial"/>
                <w:sz w:val="21"/>
              </w:rPr>
            </w:pPr>
          </w:p>
        </w:tc>
      </w:tr>
      <w:tr w14:paraId="0C7C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2739DE46">
            <w:pPr>
              <w:rPr>
                <w:rFonts w:ascii="Arial"/>
                <w:sz w:val="21"/>
              </w:rPr>
            </w:pPr>
          </w:p>
        </w:tc>
        <w:tc>
          <w:tcPr>
            <w:tcW w:w="859" w:type="dxa"/>
            <w:vAlign w:val="top"/>
          </w:tcPr>
          <w:p w14:paraId="1D7E2C5E">
            <w:pPr>
              <w:rPr>
                <w:rFonts w:ascii="Arial"/>
                <w:sz w:val="21"/>
              </w:rPr>
            </w:pPr>
          </w:p>
        </w:tc>
        <w:tc>
          <w:tcPr>
            <w:tcW w:w="907" w:type="dxa"/>
            <w:vAlign w:val="top"/>
          </w:tcPr>
          <w:p w14:paraId="73155E86">
            <w:pPr>
              <w:rPr>
                <w:rFonts w:ascii="Arial"/>
                <w:sz w:val="21"/>
              </w:rPr>
            </w:pPr>
          </w:p>
        </w:tc>
        <w:tc>
          <w:tcPr>
            <w:tcW w:w="1362" w:type="dxa"/>
            <w:vAlign w:val="top"/>
          </w:tcPr>
          <w:p w14:paraId="520F25D0">
            <w:pPr>
              <w:rPr>
                <w:rFonts w:ascii="Arial"/>
                <w:sz w:val="21"/>
              </w:rPr>
            </w:pPr>
          </w:p>
        </w:tc>
        <w:tc>
          <w:tcPr>
            <w:tcW w:w="854" w:type="dxa"/>
            <w:vAlign w:val="top"/>
          </w:tcPr>
          <w:p w14:paraId="416F195F">
            <w:pPr>
              <w:rPr>
                <w:rFonts w:ascii="Arial"/>
                <w:sz w:val="21"/>
              </w:rPr>
            </w:pPr>
          </w:p>
        </w:tc>
        <w:tc>
          <w:tcPr>
            <w:tcW w:w="993" w:type="dxa"/>
            <w:vAlign w:val="top"/>
          </w:tcPr>
          <w:p w14:paraId="3BA4DD7A">
            <w:pPr>
              <w:rPr>
                <w:rFonts w:ascii="Arial"/>
                <w:sz w:val="21"/>
              </w:rPr>
            </w:pPr>
          </w:p>
        </w:tc>
        <w:tc>
          <w:tcPr>
            <w:tcW w:w="1533" w:type="dxa"/>
            <w:vAlign w:val="top"/>
          </w:tcPr>
          <w:p w14:paraId="21299069">
            <w:pPr>
              <w:rPr>
                <w:rFonts w:ascii="Arial"/>
                <w:sz w:val="21"/>
              </w:rPr>
            </w:pPr>
          </w:p>
        </w:tc>
        <w:tc>
          <w:tcPr>
            <w:tcW w:w="1867" w:type="dxa"/>
            <w:vAlign w:val="top"/>
          </w:tcPr>
          <w:p w14:paraId="00E18F71">
            <w:pPr>
              <w:rPr>
                <w:rFonts w:ascii="Arial"/>
                <w:sz w:val="21"/>
              </w:rPr>
            </w:pPr>
          </w:p>
        </w:tc>
      </w:tr>
      <w:tr w14:paraId="673B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3FD25307">
            <w:pPr>
              <w:rPr>
                <w:rFonts w:ascii="Arial"/>
                <w:sz w:val="21"/>
              </w:rPr>
            </w:pPr>
          </w:p>
        </w:tc>
        <w:tc>
          <w:tcPr>
            <w:tcW w:w="859" w:type="dxa"/>
            <w:vAlign w:val="top"/>
          </w:tcPr>
          <w:p w14:paraId="4C387875">
            <w:pPr>
              <w:rPr>
                <w:rFonts w:ascii="Arial"/>
                <w:sz w:val="21"/>
              </w:rPr>
            </w:pPr>
          </w:p>
        </w:tc>
        <w:tc>
          <w:tcPr>
            <w:tcW w:w="907" w:type="dxa"/>
            <w:vAlign w:val="top"/>
          </w:tcPr>
          <w:p w14:paraId="214D1D58">
            <w:pPr>
              <w:rPr>
                <w:rFonts w:ascii="Arial"/>
                <w:sz w:val="21"/>
              </w:rPr>
            </w:pPr>
          </w:p>
        </w:tc>
        <w:tc>
          <w:tcPr>
            <w:tcW w:w="1362" w:type="dxa"/>
            <w:vAlign w:val="top"/>
          </w:tcPr>
          <w:p w14:paraId="35F9CEC5">
            <w:pPr>
              <w:rPr>
                <w:rFonts w:ascii="Arial"/>
                <w:sz w:val="21"/>
              </w:rPr>
            </w:pPr>
          </w:p>
        </w:tc>
        <w:tc>
          <w:tcPr>
            <w:tcW w:w="854" w:type="dxa"/>
            <w:vAlign w:val="top"/>
          </w:tcPr>
          <w:p w14:paraId="21F2860C">
            <w:pPr>
              <w:rPr>
                <w:rFonts w:ascii="Arial"/>
                <w:sz w:val="21"/>
              </w:rPr>
            </w:pPr>
          </w:p>
        </w:tc>
        <w:tc>
          <w:tcPr>
            <w:tcW w:w="993" w:type="dxa"/>
            <w:vAlign w:val="top"/>
          </w:tcPr>
          <w:p w14:paraId="0799D17E">
            <w:pPr>
              <w:rPr>
                <w:rFonts w:ascii="Arial"/>
                <w:sz w:val="21"/>
              </w:rPr>
            </w:pPr>
          </w:p>
        </w:tc>
        <w:tc>
          <w:tcPr>
            <w:tcW w:w="1533" w:type="dxa"/>
            <w:vAlign w:val="top"/>
          </w:tcPr>
          <w:p w14:paraId="66116B88">
            <w:pPr>
              <w:rPr>
                <w:rFonts w:ascii="Arial"/>
                <w:sz w:val="21"/>
              </w:rPr>
            </w:pPr>
          </w:p>
        </w:tc>
        <w:tc>
          <w:tcPr>
            <w:tcW w:w="1867" w:type="dxa"/>
            <w:vAlign w:val="top"/>
          </w:tcPr>
          <w:p w14:paraId="0EF558C2">
            <w:pPr>
              <w:rPr>
                <w:rFonts w:ascii="Arial"/>
                <w:sz w:val="21"/>
              </w:rPr>
            </w:pPr>
          </w:p>
        </w:tc>
      </w:tr>
      <w:tr w14:paraId="4315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0435304E">
            <w:pPr>
              <w:rPr>
                <w:rFonts w:ascii="Arial"/>
                <w:sz w:val="21"/>
              </w:rPr>
            </w:pPr>
          </w:p>
        </w:tc>
        <w:tc>
          <w:tcPr>
            <w:tcW w:w="859" w:type="dxa"/>
            <w:vAlign w:val="top"/>
          </w:tcPr>
          <w:p w14:paraId="4AE1A609">
            <w:pPr>
              <w:rPr>
                <w:rFonts w:ascii="Arial"/>
                <w:sz w:val="21"/>
              </w:rPr>
            </w:pPr>
          </w:p>
        </w:tc>
        <w:tc>
          <w:tcPr>
            <w:tcW w:w="907" w:type="dxa"/>
            <w:vAlign w:val="top"/>
          </w:tcPr>
          <w:p w14:paraId="7EF56FF0">
            <w:pPr>
              <w:rPr>
                <w:rFonts w:ascii="Arial"/>
                <w:sz w:val="21"/>
              </w:rPr>
            </w:pPr>
          </w:p>
        </w:tc>
        <w:tc>
          <w:tcPr>
            <w:tcW w:w="1362" w:type="dxa"/>
            <w:vAlign w:val="top"/>
          </w:tcPr>
          <w:p w14:paraId="3C738DF0">
            <w:pPr>
              <w:rPr>
                <w:rFonts w:ascii="Arial"/>
                <w:sz w:val="21"/>
              </w:rPr>
            </w:pPr>
          </w:p>
        </w:tc>
        <w:tc>
          <w:tcPr>
            <w:tcW w:w="854" w:type="dxa"/>
            <w:vAlign w:val="top"/>
          </w:tcPr>
          <w:p w14:paraId="50B380BB">
            <w:pPr>
              <w:rPr>
                <w:rFonts w:ascii="Arial"/>
                <w:sz w:val="21"/>
              </w:rPr>
            </w:pPr>
          </w:p>
        </w:tc>
        <w:tc>
          <w:tcPr>
            <w:tcW w:w="993" w:type="dxa"/>
            <w:vAlign w:val="top"/>
          </w:tcPr>
          <w:p w14:paraId="6E22D75E">
            <w:pPr>
              <w:rPr>
                <w:rFonts w:ascii="Arial"/>
                <w:sz w:val="21"/>
              </w:rPr>
            </w:pPr>
          </w:p>
        </w:tc>
        <w:tc>
          <w:tcPr>
            <w:tcW w:w="1533" w:type="dxa"/>
            <w:vAlign w:val="top"/>
          </w:tcPr>
          <w:p w14:paraId="08CC6135">
            <w:pPr>
              <w:rPr>
                <w:rFonts w:ascii="Arial"/>
                <w:sz w:val="21"/>
              </w:rPr>
            </w:pPr>
          </w:p>
        </w:tc>
        <w:tc>
          <w:tcPr>
            <w:tcW w:w="1867" w:type="dxa"/>
            <w:vAlign w:val="top"/>
          </w:tcPr>
          <w:p w14:paraId="7A800F10">
            <w:pPr>
              <w:rPr>
                <w:rFonts w:ascii="Arial"/>
                <w:sz w:val="21"/>
              </w:rPr>
            </w:pPr>
          </w:p>
        </w:tc>
      </w:tr>
      <w:tr w14:paraId="2398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2AA6F1CB">
            <w:pPr>
              <w:rPr>
                <w:rFonts w:ascii="Arial"/>
                <w:sz w:val="21"/>
              </w:rPr>
            </w:pPr>
          </w:p>
        </w:tc>
        <w:tc>
          <w:tcPr>
            <w:tcW w:w="859" w:type="dxa"/>
            <w:vAlign w:val="top"/>
          </w:tcPr>
          <w:p w14:paraId="2D1A42FA">
            <w:pPr>
              <w:rPr>
                <w:rFonts w:ascii="Arial"/>
                <w:sz w:val="21"/>
              </w:rPr>
            </w:pPr>
          </w:p>
        </w:tc>
        <w:tc>
          <w:tcPr>
            <w:tcW w:w="907" w:type="dxa"/>
            <w:vAlign w:val="top"/>
          </w:tcPr>
          <w:p w14:paraId="42F9D75C">
            <w:pPr>
              <w:rPr>
                <w:rFonts w:ascii="Arial"/>
                <w:sz w:val="21"/>
              </w:rPr>
            </w:pPr>
          </w:p>
        </w:tc>
        <w:tc>
          <w:tcPr>
            <w:tcW w:w="1362" w:type="dxa"/>
            <w:vAlign w:val="top"/>
          </w:tcPr>
          <w:p w14:paraId="6F26508C">
            <w:pPr>
              <w:rPr>
                <w:rFonts w:ascii="Arial"/>
                <w:sz w:val="21"/>
              </w:rPr>
            </w:pPr>
          </w:p>
        </w:tc>
        <w:tc>
          <w:tcPr>
            <w:tcW w:w="854" w:type="dxa"/>
            <w:vAlign w:val="top"/>
          </w:tcPr>
          <w:p w14:paraId="7C746B81">
            <w:pPr>
              <w:rPr>
                <w:rFonts w:ascii="Arial"/>
                <w:sz w:val="21"/>
              </w:rPr>
            </w:pPr>
          </w:p>
        </w:tc>
        <w:tc>
          <w:tcPr>
            <w:tcW w:w="993" w:type="dxa"/>
            <w:vAlign w:val="top"/>
          </w:tcPr>
          <w:p w14:paraId="0B51F0F2">
            <w:pPr>
              <w:rPr>
                <w:rFonts w:ascii="Arial"/>
                <w:sz w:val="21"/>
              </w:rPr>
            </w:pPr>
          </w:p>
        </w:tc>
        <w:tc>
          <w:tcPr>
            <w:tcW w:w="1533" w:type="dxa"/>
            <w:vAlign w:val="top"/>
          </w:tcPr>
          <w:p w14:paraId="7204D28C">
            <w:pPr>
              <w:rPr>
                <w:rFonts w:ascii="Arial"/>
                <w:sz w:val="21"/>
              </w:rPr>
            </w:pPr>
          </w:p>
        </w:tc>
        <w:tc>
          <w:tcPr>
            <w:tcW w:w="1867" w:type="dxa"/>
            <w:vAlign w:val="top"/>
          </w:tcPr>
          <w:p w14:paraId="2252DA43">
            <w:pPr>
              <w:rPr>
                <w:rFonts w:ascii="Arial"/>
                <w:sz w:val="21"/>
              </w:rPr>
            </w:pPr>
          </w:p>
        </w:tc>
      </w:tr>
      <w:tr w14:paraId="75DC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0B87422E">
            <w:pPr>
              <w:rPr>
                <w:rFonts w:ascii="Arial"/>
                <w:sz w:val="21"/>
              </w:rPr>
            </w:pPr>
          </w:p>
        </w:tc>
        <w:tc>
          <w:tcPr>
            <w:tcW w:w="859" w:type="dxa"/>
            <w:vAlign w:val="top"/>
          </w:tcPr>
          <w:p w14:paraId="12A1C279">
            <w:pPr>
              <w:rPr>
                <w:rFonts w:ascii="Arial"/>
                <w:sz w:val="21"/>
              </w:rPr>
            </w:pPr>
          </w:p>
        </w:tc>
        <w:tc>
          <w:tcPr>
            <w:tcW w:w="907" w:type="dxa"/>
            <w:vAlign w:val="top"/>
          </w:tcPr>
          <w:p w14:paraId="728AD4B6">
            <w:pPr>
              <w:rPr>
                <w:rFonts w:ascii="Arial"/>
                <w:sz w:val="21"/>
              </w:rPr>
            </w:pPr>
          </w:p>
        </w:tc>
        <w:tc>
          <w:tcPr>
            <w:tcW w:w="1362" w:type="dxa"/>
            <w:vAlign w:val="top"/>
          </w:tcPr>
          <w:p w14:paraId="5320E6E7">
            <w:pPr>
              <w:rPr>
                <w:rFonts w:ascii="Arial"/>
                <w:sz w:val="21"/>
              </w:rPr>
            </w:pPr>
          </w:p>
        </w:tc>
        <w:tc>
          <w:tcPr>
            <w:tcW w:w="854" w:type="dxa"/>
            <w:vAlign w:val="top"/>
          </w:tcPr>
          <w:p w14:paraId="48FDDBDB">
            <w:pPr>
              <w:rPr>
                <w:rFonts w:ascii="Arial"/>
                <w:sz w:val="21"/>
              </w:rPr>
            </w:pPr>
          </w:p>
        </w:tc>
        <w:tc>
          <w:tcPr>
            <w:tcW w:w="993" w:type="dxa"/>
            <w:vAlign w:val="top"/>
          </w:tcPr>
          <w:p w14:paraId="1455334F">
            <w:pPr>
              <w:rPr>
                <w:rFonts w:ascii="Arial"/>
                <w:sz w:val="21"/>
              </w:rPr>
            </w:pPr>
          </w:p>
        </w:tc>
        <w:tc>
          <w:tcPr>
            <w:tcW w:w="1533" w:type="dxa"/>
            <w:vAlign w:val="top"/>
          </w:tcPr>
          <w:p w14:paraId="752F9D1B">
            <w:pPr>
              <w:rPr>
                <w:rFonts w:ascii="Arial"/>
                <w:sz w:val="21"/>
              </w:rPr>
            </w:pPr>
          </w:p>
        </w:tc>
        <w:tc>
          <w:tcPr>
            <w:tcW w:w="1867" w:type="dxa"/>
            <w:vAlign w:val="top"/>
          </w:tcPr>
          <w:p w14:paraId="2F7B1EED">
            <w:pPr>
              <w:rPr>
                <w:rFonts w:ascii="Arial"/>
                <w:sz w:val="21"/>
              </w:rPr>
            </w:pPr>
          </w:p>
        </w:tc>
      </w:tr>
      <w:tr w14:paraId="73F1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1" w:type="dxa"/>
            <w:vAlign w:val="top"/>
          </w:tcPr>
          <w:p w14:paraId="2B5DAE7A">
            <w:pPr>
              <w:rPr>
                <w:rFonts w:ascii="Arial"/>
                <w:sz w:val="21"/>
              </w:rPr>
            </w:pPr>
          </w:p>
        </w:tc>
        <w:tc>
          <w:tcPr>
            <w:tcW w:w="859" w:type="dxa"/>
            <w:vAlign w:val="top"/>
          </w:tcPr>
          <w:p w14:paraId="35564180">
            <w:pPr>
              <w:rPr>
                <w:rFonts w:ascii="Arial"/>
                <w:sz w:val="21"/>
              </w:rPr>
            </w:pPr>
          </w:p>
        </w:tc>
        <w:tc>
          <w:tcPr>
            <w:tcW w:w="907" w:type="dxa"/>
            <w:vAlign w:val="top"/>
          </w:tcPr>
          <w:p w14:paraId="10C8607F">
            <w:pPr>
              <w:rPr>
                <w:rFonts w:ascii="Arial"/>
                <w:sz w:val="21"/>
              </w:rPr>
            </w:pPr>
          </w:p>
        </w:tc>
        <w:tc>
          <w:tcPr>
            <w:tcW w:w="1362" w:type="dxa"/>
            <w:vAlign w:val="top"/>
          </w:tcPr>
          <w:p w14:paraId="5F529B9D">
            <w:pPr>
              <w:rPr>
                <w:rFonts w:ascii="Arial"/>
                <w:sz w:val="21"/>
              </w:rPr>
            </w:pPr>
          </w:p>
        </w:tc>
        <w:tc>
          <w:tcPr>
            <w:tcW w:w="854" w:type="dxa"/>
            <w:vAlign w:val="top"/>
          </w:tcPr>
          <w:p w14:paraId="24D578B2">
            <w:pPr>
              <w:rPr>
                <w:rFonts w:ascii="Arial"/>
                <w:sz w:val="21"/>
              </w:rPr>
            </w:pPr>
          </w:p>
        </w:tc>
        <w:tc>
          <w:tcPr>
            <w:tcW w:w="993" w:type="dxa"/>
            <w:vAlign w:val="top"/>
          </w:tcPr>
          <w:p w14:paraId="51409DD2">
            <w:pPr>
              <w:rPr>
                <w:rFonts w:ascii="Arial"/>
                <w:sz w:val="21"/>
              </w:rPr>
            </w:pPr>
          </w:p>
        </w:tc>
        <w:tc>
          <w:tcPr>
            <w:tcW w:w="1533" w:type="dxa"/>
            <w:vAlign w:val="top"/>
          </w:tcPr>
          <w:p w14:paraId="79FE17BF">
            <w:pPr>
              <w:rPr>
                <w:rFonts w:ascii="Arial"/>
                <w:sz w:val="21"/>
              </w:rPr>
            </w:pPr>
          </w:p>
        </w:tc>
        <w:tc>
          <w:tcPr>
            <w:tcW w:w="1867" w:type="dxa"/>
            <w:vAlign w:val="top"/>
          </w:tcPr>
          <w:p w14:paraId="244008F7">
            <w:pPr>
              <w:rPr>
                <w:rFonts w:ascii="Arial"/>
                <w:sz w:val="21"/>
              </w:rPr>
            </w:pPr>
          </w:p>
        </w:tc>
      </w:tr>
      <w:tr w14:paraId="46BE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1" w:type="dxa"/>
            <w:vAlign w:val="top"/>
          </w:tcPr>
          <w:p w14:paraId="1A84A5CB">
            <w:pPr>
              <w:rPr>
                <w:rFonts w:ascii="Arial"/>
                <w:sz w:val="21"/>
              </w:rPr>
            </w:pPr>
          </w:p>
        </w:tc>
        <w:tc>
          <w:tcPr>
            <w:tcW w:w="859" w:type="dxa"/>
            <w:vAlign w:val="top"/>
          </w:tcPr>
          <w:p w14:paraId="5CE5089F">
            <w:pPr>
              <w:rPr>
                <w:rFonts w:ascii="Arial"/>
                <w:sz w:val="21"/>
              </w:rPr>
            </w:pPr>
          </w:p>
        </w:tc>
        <w:tc>
          <w:tcPr>
            <w:tcW w:w="907" w:type="dxa"/>
            <w:vAlign w:val="top"/>
          </w:tcPr>
          <w:p w14:paraId="7461E643">
            <w:pPr>
              <w:rPr>
                <w:rFonts w:ascii="Arial"/>
                <w:sz w:val="21"/>
              </w:rPr>
            </w:pPr>
          </w:p>
        </w:tc>
        <w:tc>
          <w:tcPr>
            <w:tcW w:w="1362" w:type="dxa"/>
            <w:vAlign w:val="top"/>
          </w:tcPr>
          <w:p w14:paraId="49939508">
            <w:pPr>
              <w:rPr>
                <w:rFonts w:ascii="Arial"/>
                <w:sz w:val="21"/>
              </w:rPr>
            </w:pPr>
          </w:p>
        </w:tc>
        <w:tc>
          <w:tcPr>
            <w:tcW w:w="854" w:type="dxa"/>
            <w:vAlign w:val="top"/>
          </w:tcPr>
          <w:p w14:paraId="69917259">
            <w:pPr>
              <w:rPr>
                <w:rFonts w:ascii="Arial"/>
                <w:sz w:val="21"/>
              </w:rPr>
            </w:pPr>
          </w:p>
        </w:tc>
        <w:tc>
          <w:tcPr>
            <w:tcW w:w="993" w:type="dxa"/>
            <w:vAlign w:val="top"/>
          </w:tcPr>
          <w:p w14:paraId="3D8C50BA">
            <w:pPr>
              <w:rPr>
                <w:rFonts w:ascii="Arial"/>
                <w:sz w:val="21"/>
              </w:rPr>
            </w:pPr>
          </w:p>
        </w:tc>
        <w:tc>
          <w:tcPr>
            <w:tcW w:w="1533" w:type="dxa"/>
            <w:vAlign w:val="top"/>
          </w:tcPr>
          <w:p w14:paraId="2A1DA59C">
            <w:pPr>
              <w:rPr>
                <w:rFonts w:ascii="Arial"/>
                <w:sz w:val="21"/>
              </w:rPr>
            </w:pPr>
          </w:p>
        </w:tc>
        <w:tc>
          <w:tcPr>
            <w:tcW w:w="1867" w:type="dxa"/>
            <w:vAlign w:val="top"/>
          </w:tcPr>
          <w:p w14:paraId="6E124DA5">
            <w:pPr>
              <w:rPr>
                <w:rFonts w:ascii="Arial"/>
                <w:sz w:val="21"/>
              </w:rPr>
            </w:pPr>
          </w:p>
        </w:tc>
      </w:tr>
      <w:tr w14:paraId="4FB2D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1" w:type="dxa"/>
            <w:vAlign w:val="top"/>
          </w:tcPr>
          <w:p w14:paraId="679318BC">
            <w:pPr>
              <w:rPr>
                <w:rFonts w:ascii="Arial"/>
                <w:sz w:val="21"/>
              </w:rPr>
            </w:pPr>
          </w:p>
        </w:tc>
        <w:tc>
          <w:tcPr>
            <w:tcW w:w="859" w:type="dxa"/>
            <w:vAlign w:val="top"/>
          </w:tcPr>
          <w:p w14:paraId="4FD1F63E">
            <w:pPr>
              <w:rPr>
                <w:rFonts w:ascii="Arial"/>
                <w:sz w:val="21"/>
              </w:rPr>
            </w:pPr>
          </w:p>
        </w:tc>
        <w:tc>
          <w:tcPr>
            <w:tcW w:w="907" w:type="dxa"/>
            <w:vAlign w:val="top"/>
          </w:tcPr>
          <w:p w14:paraId="1A49D826">
            <w:pPr>
              <w:rPr>
                <w:rFonts w:ascii="Arial"/>
                <w:sz w:val="21"/>
              </w:rPr>
            </w:pPr>
          </w:p>
        </w:tc>
        <w:tc>
          <w:tcPr>
            <w:tcW w:w="1362" w:type="dxa"/>
            <w:vAlign w:val="top"/>
          </w:tcPr>
          <w:p w14:paraId="5D9A5DB1">
            <w:pPr>
              <w:rPr>
                <w:rFonts w:ascii="Arial"/>
                <w:sz w:val="21"/>
              </w:rPr>
            </w:pPr>
          </w:p>
        </w:tc>
        <w:tc>
          <w:tcPr>
            <w:tcW w:w="854" w:type="dxa"/>
            <w:vAlign w:val="top"/>
          </w:tcPr>
          <w:p w14:paraId="29F2EBE0">
            <w:pPr>
              <w:rPr>
                <w:rFonts w:ascii="Arial"/>
                <w:sz w:val="21"/>
              </w:rPr>
            </w:pPr>
          </w:p>
        </w:tc>
        <w:tc>
          <w:tcPr>
            <w:tcW w:w="993" w:type="dxa"/>
            <w:vAlign w:val="top"/>
          </w:tcPr>
          <w:p w14:paraId="3AD76EC2">
            <w:pPr>
              <w:rPr>
                <w:rFonts w:ascii="Arial"/>
                <w:sz w:val="21"/>
              </w:rPr>
            </w:pPr>
          </w:p>
        </w:tc>
        <w:tc>
          <w:tcPr>
            <w:tcW w:w="1533" w:type="dxa"/>
            <w:vAlign w:val="top"/>
          </w:tcPr>
          <w:p w14:paraId="74FF16F8">
            <w:pPr>
              <w:rPr>
                <w:rFonts w:ascii="Arial"/>
                <w:sz w:val="21"/>
              </w:rPr>
            </w:pPr>
          </w:p>
        </w:tc>
        <w:tc>
          <w:tcPr>
            <w:tcW w:w="1867" w:type="dxa"/>
            <w:vAlign w:val="top"/>
          </w:tcPr>
          <w:p w14:paraId="03D55CA4">
            <w:pPr>
              <w:rPr>
                <w:rFonts w:ascii="Arial"/>
                <w:sz w:val="21"/>
              </w:rPr>
            </w:pPr>
          </w:p>
        </w:tc>
      </w:tr>
      <w:tr w14:paraId="217C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768F7BA8">
            <w:pPr>
              <w:rPr>
                <w:rFonts w:ascii="Arial"/>
                <w:sz w:val="21"/>
              </w:rPr>
            </w:pPr>
          </w:p>
        </w:tc>
        <w:tc>
          <w:tcPr>
            <w:tcW w:w="859" w:type="dxa"/>
            <w:vAlign w:val="top"/>
          </w:tcPr>
          <w:p w14:paraId="195FE1C3">
            <w:pPr>
              <w:rPr>
                <w:rFonts w:ascii="Arial"/>
                <w:sz w:val="21"/>
              </w:rPr>
            </w:pPr>
          </w:p>
        </w:tc>
        <w:tc>
          <w:tcPr>
            <w:tcW w:w="907" w:type="dxa"/>
            <w:vAlign w:val="top"/>
          </w:tcPr>
          <w:p w14:paraId="6B351477">
            <w:pPr>
              <w:rPr>
                <w:rFonts w:ascii="Arial"/>
                <w:sz w:val="21"/>
              </w:rPr>
            </w:pPr>
          </w:p>
        </w:tc>
        <w:tc>
          <w:tcPr>
            <w:tcW w:w="1362" w:type="dxa"/>
            <w:vAlign w:val="top"/>
          </w:tcPr>
          <w:p w14:paraId="28EB2417">
            <w:pPr>
              <w:rPr>
                <w:rFonts w:ascii="Arial"/>
                <w:sz w:val="21"/>
              </w:rPr>
            </w:pPr>
          </w:p>
        </w:tc>
        <w:tc>
          <w:tcPr>
            <w:tcW w:w="854" w:type="dxa"/>
            <w:vAlign w:val="top"/>
          </w:tcPr>
          <w:p w14:paraId="01B668BD">
            <w:pPr>
              <w:rPr>
                <w:rFonts w:ascii="Arial"/>
                <w:sz w:val="21"/>
              </w:rPr>
            </w:pPr>
          </w:p>
        </w:tc>
        <w:tc>
          <w:tcPr>
            <w:tcW w:w="993" w:type="dxa"/>
            <w:vAlign w:val="top"/>
          </w:tcPr>
          <w:p w14:paraId="073DEB9D">
            <w:pPr>
              <w:rPr>
                <w:rFonts w:ascii="Arial"/>
                <w:sz w:val="21"/>
              </w:rPr>
            </w:pPr>
          </w:p>
        </w:tc>
        <w:tc>
          <w:tcPr>
            <w:tcW w:w="1533" w:type="dxa"/>
            <w:vAlign w:val="top"/>
          </w:tcPr>
          <w:p w14:paraId="4B187121">
            <w:pPr>
              <w:rPr>
                <w:rFonts w:ascii="Arial"/>
                <w:sz w:val="21"/>
              </w:rPr>
            </w:pPr>
          </w:p>
        </w:tc>
        <w:tc>
          <w:tcPr>
            <w:tcW w:w="1867" w:type="dxa"/>
            <w:vAlign w:val="top"/>
          </w:tcPr>
          <w:p w14:paraId="13CE87B9">
            <w:pPr>
              <w:rPr>
                <w:rFonts w:ascii="Arial"/>
                <w:sz w:val="21"/>
              </w:rPr>
            </w:pPr>
          </w:p>
        </w:tc>
      </w:tr>
    </w:tbl>
    <w:p w14:paraId="7C56BB7B">
      <w:pPr>
        <w:spacing w:before="78" w:line="219" w:lineRule="auto"/>
        <w:ind w:left="4442" w:firstLine="468" w:firstLineChars="200"/>
        <w:rPr>
          <w:rFonts w:ascii="宋体" w:hAnsi="宋体" w:eastAsia="宋体" w:cs="宋体"/>
          <w:spacing w:val="-3"/>
          <w:sz w:val="24"/>
          <w:szCs w:val="24"/>
        </w:rPr>
      </w:pPr>
    </w:p>
    <w:p w14:paraId="4357176B">
      <w:pPr>
        <w:spacing w:before="78" w:line="219" w:lineRule="auto"/>
        <w:ind w:left="4442" w:firstLine="468" w:firstLineChars="200"/>
        <w:rPr>
          <w:rFonts w:ascii="宋体" w:hAnsi="宋体" w:eastAsia="宋体" w:cs="宋体"/>
          <w:spacing w:val="-3"/>
          <w:sz w:val="24"/>
          <w:szCs w:val="24"/>
        </w:rPr>
      </w:pPr>
    </w:p>
    <w:p w14:paraId="0C97513C">
      <w:pPr>
        <w:spacing w:before="78" w:line="219" w:lineRule="auto"/>
        <w:ind w:left="4442" w:firstLine="468" w:firstLineChars="200"/>
        <w:rPr>
          <w:rFonts w:ascii="宋体" w:hAnsi="宋体" w:eastAsia="宋体" w:cs="宋体"/>
          <w:spacing w:val="-3"/>
          <w:sz w:val="24"/>
          <w:szCs w:val="24"/>
        </w:rPr>
      </w:pPr>
    </w:p>
    <w:p w14:paraId="4EE88234">
      <w:pPr>
        <w:spacing w:before="78" w:line="480" w:lineRule="auto"/>
        <w:ind w:left="4442"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7A4133A0">
      <w:pPr>
        <w:spacing w:before="195" w:line="480" w:lineRule="auto"/>
        <w:ind w:left="4443"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CE90310">
      <w:pPr>
        <w:spacing w:before="195" w:line="480" w:lineRule="auto"/>
        <w:ind w:left="4483" w:firstLine="436" w:firstLineChars="200"/>
        <w:rPr>
          <w:rFonts w:ascii="宋体" w:hAnsi="宋体" w:eastAsia="宋体" w:cs="宋体"/>
          <w:sz w:val="24"/>
          <w:szCs w:val="24"/>
        </w:rPr>
      </w:pPr>
      <w:r>
        <w:rPr>
          <w:rFonts w:ascii="宋体" w:hAnsi="宋体" w:eastAsia="宋体" w:cs="宋体"/>
          <w:spacing w:val="-11"/>
          <w:sz w:val="24"/>
          <w:szCs w:val="24"/>
        </w:rPr>
        <w:t>日期：</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年</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月</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日</w:t>
      </w:r>
    </w:p>
    <w:p w14:paraId="2C116B0A">
      <w:pPr>
        <w:spacing w:line="480" w:lineRule="auto"/>
        <w:rPr>
          <w:rFonts w:ascii="宋体" w:hAnsi="宋体" w:eastAsia="宋体" w:cs="宋体"/>
          <w:sz w:val="24"/>
          <w:szCs w:val="24"/>
        </w:rPr>
        <w:sectPr>
          <w:footerReference r:id="rId14" w:type="default"/>
          <w:pgSz w:w="11907" w:h="16839"/>
          <w:pgMar w:top="1440" w:right="1800" w:bottom="1440" w:left="1800" w:header="0" w:footer="991" w:gutter="0"/>
          <w:pgNumType w:fmt="decimal"/>
          <w:cols w:space="720" w:num="1"/>
        </w:sectPr>
      </w:pPr>
    </w:p>
    <w:p w14:paraId="5FA7F7EF">
      <w:pPr>
        <w:pStyle w:val="11"/>
        <w:bidi w:val="0"/>
      </w:pPr>
      <w:r>
        <w:t>（二）主要人员简历表附1：项目经理简历表</w:t>
      </w:r>
    </w:p>
    <w:p w14:paraId="272C5219">
      <w:pPr>
        <w:spacing w:line="360" w:lineRule="auto"/>
        <w:ind w:left="0" w:right="0" w:firstLine="0" w:firstLineChars="0"/>
        <w:rPr>
          <w:rFonts w:ascii="宋体" w:hAnsi="宋体" w:eastAsia="宋体" w:cs="宋体"/>
          <w:sz w:val="24"/>
          <w:szCs w:val="24"/>
        </w:rPr>
      </w:pPr>
      <w:r>
        <w:rPr>
          <w:rFonts w:ascii="宋体" w:hAnsi="宋体" w:eastAsia="宋体" w:cs="宋体"/>
          <w:spacing w:val="-7"/>
          <w:sz w:val="24"/>
          <w:szCs w:val="24"/>
        </w:rPr>
        <w:t>项目经理应附项目身份证、注册建造师证、有效的安全生产考核合格证书、</w:t>
      </w:r>
      <w:r>
        <w:rPr>
          <w:rFonts w:ascii="宋体" w:hAnsi="宋体" w:eastAsia="宋体" w:cs="宋体"/>
          <w:spacing w:val="-5"/>
          <w:sz w:val="24"/>
          <w:szCs w:val="24"/>
        </w:rPr>
        <w:t>养老保险缴纳证明。</w:t>
      </w:r>
    </w:p>
    <w:tbl>
      <w:tblPr>
        <w:tblStyle w:val="71"/>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307"/>
        <w:gridCol w:w="1382"/>
        <w:gridCol w:w="791"/>
        <w:gridCol w:w="708"/>
        <w:gridCol w:w="466"/>
        <w:gridCol w:w="1451"/>
        <w:gridCol w:w="849"/>
        <w:gridCol w:w="1665"/>
      </w:tblGrid>
      <w:tr w14:paraId="1B7BF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01" w:type="dxa"/>
            <w:gridSpan w:val="2"/>
            <w:vAlign w:val="top"/>
          </w:tcPr>
          <w:p w14:paraId="00ABB2EC">
            <w:pPr>
              <w:pStyle w:val="72"/>
              <w:spacing w:before="181" w:line="220" w:lineRule="auto"/>
              <w:ind w:left="117"/>
            </w:pPr>
            <w:r>
              <w:rPr>
                <w:spacing w:val="-3"/>
              </w:rPr>
              <w:t>姓名</w:t>
            </w:r>
          </w:p>
        </w:tc>
        <w:tc>
          <w:tcPr>
            <w:tcW w:w="1382" w:type="dxa"/>
            <w:vAlign w:val="top"/>
          </w:tcPr>
          <w:p w14:paraId="7BDECA7A">
            <w:pPr>
              <w:rPr>
                <w:rFonts w:ascii="Arial"/>
                <w:sz w:val="21"/>
              </w:rPr>
            </w:pPr>
          </w:p>
        </w:tc>
        <w:tc>
          <w:tcPr>
            <w:tcW w:w="791" w:type="dxa"/>
            <w:vAlign w:val="top"/>
          </w:tcPr>
          <w:p w14:paraId="2C127B80">
            <w:pPr>
              <w:pStyle w:val="72"/>
              <w:spacing w:before="181" w:line="220" w:lineRule="auto"/>
              <w:ind w:left="114"/>
            </w:pPr>
            <w:r>
              <w:rPr>
                <w:spacing w:val="-3"/>
              </w:rPr>
              <w:t>年龄</w:t>
            </w:r>
          </w:p>
        </w:tc>
        <w:tc>
          <w:tcPr>
            <w:tcW w:w="1174" w:type="dxa"/>
            <w:gridSpan w:val="2"/>
            <w:vAlign w:val="top"/>
          </w:tcPr>
          <w:p w14:paraId="093334F5">
            <w:pPr>
              <w:rPr>
                <w:rFonts w:ascii="Arial"/>
                <w:sz w:val="21"/>
              </w:rPr>
            </w:pPr>
          </w:p>
        </w:tc>
        <w:tc>
          <w:tcPr>
            <w:tcW w:w="2300" w:type="dxa"/>
            <w:gridSpan w:val="2"/>
            <w:vAlign w:val="top"/>
          </w:tcPr>
          <w:p w14:paraId="5B52D7B4">
            <w:pPr>
              <w:pStyle w:val="72"/>
              <w:spacing w:before="182" w:line="221" w:lineRule="auto"/>
              <w:ind w:left="681"/>
            </w:pPr>
            <w:r>
              <w:rPr>
                <w:spacing w:val="-4"/>
              </w:rPr>
              <w:t>学历</w:t>
            </w:r>
          </w:p>
        </w:tc>
        <w:tc>
          <w:tcPr>
            <w:tcW w:w="1665" w:type="dxa"/>
            <w:vAlign w:val="top"/>
          </w:tcPr>
          <w:p w14:paraId="2C50B021">
            <w:pPr>
              <w:rPr>
                <w:rFonts w:ascii="Arial"/>
                <w:sz w:val="21"/>
              </w:rPr>
            </w:pPr>
          </w:p>
        </w:tc>
      </w:tr>
      <w:tr w14:paraId="3E8C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658C22A5">
            <w:pPr>
              <w:pStyle w:val="72"/>
              <w:spacing w:before="177" w:line="222" w:lineRule="auto"/>
              <w:ind w:left="118"/>
            </w:pPr>
            <w:r>
              <w:rPr>
                <w:spacing w:val="-3"/>
              </w:rPr>
              <w:t>职称</w:t>
            </w:r>
          </w:p>
        </w:tc>
        <w:tc>
          <w:tcPr>
            <w:tcW w:w="1382" w:type="dxa"/>
            <w:vAlign w:val="top"/>
          </w:tcPr>
          <w:p w14:paraId="53C02252">
            <w:pPr>
              <w:rPr>
                <w:rFonts w:ascii="Arial"/>
                <w:sz w:val="21"/>
              </w:rPr>
            </w:pPr>
          </w:p>
        </w:tc>
        <w:tc>
          <w:tcPr>
            <w:tcW w:w="791" w:type="dxa"/>
            <w:vAlign w:val="top"/>
          </w:tcPr>
          <w:p w14:paraId="42D1BE66">
            <w:pPr>
              <w:pStyle w:val="72"/>
              <w:spacing w:before="177" w:line="220" w:lineRule="auto"/>
              <w:ind w:left="114"/>
            </w:pPr>
            <w:r>
              <w:rPr>
                <w:spacing w:val="-3"/>
              </w:rPr>
              <w:t>职务</w:t>
            </w:r>
          </w:p>
        </w:tc>
        <w:tc>
          <w:tcPr>
            <w:tcW w:w="1174" w:type="dxa"/>
            <w:gridSpan w:val="2"/>
            <w:vAlign w:val="top"/>
          </w:tcPr>
          <w:p w14:paraId="79630880">
            <w:pPr>
              <w:rPr>
                <w:rFonts w:ascii="Arial"/>
                <w:sz w:val="21"/>
              </w:rPr>
            </w:pPr>
          </w:p>
        </w:tc>
        <w:tc>
          <w:tcPr>
            <w:tcW w:w="2300" w:type="dxa"/>
            <w:gridSpan w:val="2"/>
            <w:vAlign w:val="top"/>
          </w:tcPr>
          <w:p w14:paraId="11D12ED4">
            <w:pPr>
              <w:pStyle w:val="72"/>
              <w:spacing w:before="177" w:line="219" w:lineRule="auto"/>
              <w:ind w:left="114"/>
            </w:pPr>
            <w:r>
              <w:rPr>
                <w:spacing w:val="-2"/>
              </w:rPr>
              <w:t>拟在本工程任职</w:t>
            </w:r>
          </w:p>
        </w:tc>
        <w:tc>
          <w:tcPr>
            <w:tcW w:w="1665" w:type="dxa"/>
            <w:vAlign w:val="top"/>
          </w:tcPr>
          <w:p w14:paraId="79470C7B">
            <w:pPr>
              <w:rPr>
                <w:rFonts w:ascii="Arial"/>
                <w:sz w:val="21"/>
              </w:rPr>
            </w:pPr>
          </w:p>
        </w:tc>
      </w:tr>
      <w:tr w14:paraId="41EB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783" w:type="dxa"/>
            <w:gridSpan w:val="3"/>
            <w:vAlign w:val="top"/>
          </w:tcPr>
          <w:p w14:paraId="6437CD42">
            <w:pPr>
              <w:pStyle w:val="72"/>
              <w:spacing w:before="180" w:line="220" w:lineRule="auto"/>
              <w:ind w:left="689"/>
            </w:pPr>
            <w:r>
              <w:rPr>
                <w:spacing w:val="-4"/>
              </w:rPr>
              <w:t>资格证等级</w:t>
            </w:r>
          </w:p>
        </w:tc>
        <w:tc>
          <w:tcPr>
            <w:tcW w:w="1965" w:type="dxa"/>
            <w:gridSpan w:val="3"/>
            <w:vAlign w:val="top"/>
          </w:tcPr>
          <w:p w14:paraId="119BA18E">
            <w:pPr>
              <w:rPr>
                <w:rFonts w:ascii="Arial"/>
                <w:sz w:val="21"/>
              </w:rPr>
            </w:pPr>
          </w:p>
        </w:tc>
        <w:tc>
          <w:tcPr>
            <w:tcW w:w="2300" w:type="dxa"/>
            <w:gridSpan w:val="2"/>
            <w:vAlign w:val="top"/>
          </w:tcPr>
          <w:p w14:paraId="2B2FDDA9">
            <w:pPr>
              <w:pStyle w:val="72"/>
              <w:spacing w:before="181" w:line="220" w:lineRule="auto"/>
              <w:ind w:left="677"/>
            </w:pPr>
            <w:r>
              <w:rPr>
                <w:spacing w:val="-3"/>
              </w:rPr>
              <w:t>专业</w:t>
            </w:r>
          </w:p>
        </w:tc>
        <w:tc>
          <w:tcPr>
            <w:tcW w:w="1665" w:type="dxa"/>
            <w:vAlign w:val="top"/>
          </w:tcPr>
          <w:p w14:paraId="7F70253F">
            <w:pPr>
              <w:rPr>
                <w:rFonts w:ascii="Arial"/>
                <w:sz w:val="21"/>
              </w:rPr>
            </w:pPr>
          </w:p>
        </w:tc>
      </w:tr>
      <w:tr w14:paraId="5460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1" w:type="dxa"/>
            <w:gridSpan w:val="2"/>
            <w:vAlign w:val="top"/>
          </w:tcPr>
          <w:p w14:paraId="069DF325">
            <w:pPr>
              <w:pStyle w:val="72"/>
              <w:spacing w:before="178" w:line="220" w:lineRule="auto"/>
              <w:ind w:left="121"/>
            </w:pPr>
            <w:r>
              <w:rPr>
                <w:spacing w:val="-3"/>
              </w:rPr>
              <w:t>毕业学校</w:t>
            </w:r>
          </w:p>
        </w:tc>
        <w:tc>
          <w:tcPr>
            <w:tcW w:w="7312" w:type="dxa"/>
            <w:gridSpan w:val="7"/>
            <w:vAlign w:val="top"/>
          </w:tcPr>
          <w:p w14:paraId="0BBE68EE">
            <w:pPr>
              <w:pStyle w:val="72"/>
              <w:spacing w:before="178" w:line="220" w:lineRule="auto"/>
              <w:ind w:left="1475"/>
            </w:pPr>
            <w:r>
              <w:rPr>
                <w:spacing w:val="-2"/>
              </w:rPr>
              <w:t>年毕业于学校专业</w:t>
            </w:r>
          </w:p>
        </w:tc>
      </w:tr>
      <w:tr w14:paraId="6EEC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713" w:type="dxa"/>
            <w:gridSpan w:val="9"/>
            <w:vAlign w:val="top"/>
          </w:tcPr>
          <w:p w14:paraId="42A15A1E">
            <w:pPr>
              <w:pStyle w:val="72"/>
              <w:spacing w:before="180" w:line="220" w:lineRule="auto"/>
              <w:ind w:left="2920"/>
            </w:pPr>
            <w:r>
              <w:rPr>
                <w:spacing w:val="-2"/>
              </w:rPr>
              <w:t>主要工作经历</w:t>
            </w:r>
          </w:p>
        </w:tc>
      </w:tr>
      <w:tr w14:paraId="5CA3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94" w:type="dxa"/>
            <w:vAlign w:val="top"/>
          </w:tcPr>
          <w:p w14:paraId="7FDFB74C">
            <w:pPr>
              <w:pStyle w:val="72"/>
              <w:spacing w:before="246" w:line="222" w:lineRule="auto"/>
              <w:ind w:left="128"/>
            </w:pPr>
            <w:r>
              <w:rPr>
                <w:spacing w:val="-6"/>
              </w:rPr>
              <w:t>时间</w:t>
            </w:r>
          </w:p>
        </w:tc>
        <w:tc>
          <w:tcPr>
            <w:tcW w:w="3188" w:type="dxa"/>
            <w:gridSpan w:val="4"/>
            <w:vAlign w:val="top"/>
          </w:tcPr>
          <w:p w14:paraId="3DA427D3">
            <w:pPr>
              <w:pStyle w:val="72"/>
              <w:spacing w:before="246" w:line="220" w:lineRule="auto"/>
              <w:ind w:left="354"/>
            </w:pPr>
            <w:r>
              <w:rPr>
                <w:spacing w:val="-2"/>
              </w:rPr>
              <w:t>参加过的类似项目</w:t>
            </w:r>
          </w:p>
        </w:tc>
        <w:tc>
          <w:tcPr>
            <w:tcW w:w="1917" w:type="dxa"/>
            <w:gridSpan w:val="2"/>
            <w:vAlign w:val="top"/>
          </w:tcPr>
          <w:p w14:paraId="1F934ABB">
            <w:pPr>
              <w:pStyle w:val="72"/>
              <w:spacing w:before="246" w:line="220" w:lineRule="auto"/>
              <w:ind w:left="117"/>
            </w:pPr>
            <w:r>
              <w:rPr>
                <w:spacing w:val="-2"/>
              </w:rPr>
              <w:t>工程概况说明</w:t>
            </w:r>
          </w:p>
        </w:tc>
        <w:tc>
          <w:tcPr>
            <w:tcW w:w="2514" w:type="dxa"/>
            <w:gridSpan w:val="2"/>
            <w:vAlign w:val="top"/>
          </w:tcPr>
          <w:p w14:paraId="7AE5C6C7">
            <w:pPr>
              <w:pStyle w:val="72"/>
              <w:spacing w:before="246" w:line="220" w:lineRule="auto"/>
              <w:ind w:left="117"/>
            </w:pPr>
            <w:r>
              <w:rPr>
                <w:spacing w:val="-2"/>
              </w:rPr>
              <w:t>发包人及联系电话</w:t>
            </w:r>
          </w:p>
        </w:tc>
      </w:tr>
      <w:tr w14:paraId="3276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36C8CC84">
            <w:pPr>
              <w:rPr>
                <w:rFonts w:ascii="Arial"/>
                <w:sz w:val="21"/>
              </w:rPr>
            </w:pPr>
          </w:p>
        </w:tc>
        <w:tc>
          <w:tcPr>
            <w:tcW w:w="3188" w:type="dxa"/>
            <w:gridSpan w:val="4"/>
            <w:vAlign w:val="top"/>
          </w:tcPr>
          <w:p w14:paraId="02A3D670">
            <w:pPr>
              <w:rPr>
                <w:rFonts w:ascii="Arial"/>
                <w:sz w:val="21"/>
              </w:rPr>
            </w:pPr>
          </w:p>
        </w:tc>
        <w:tc>
          <w:tcPr>
            <w:tcW w:w="1917" w:type="dxa"/>
            <w:gridSpan w:val="2"/>
            <w:vAlign w:val="top"/>
          </w:tcPr>
          <w:p w14:paraId="4C731269">
            <w:pPr>
              <w:rPr>
                <w:rFonts w:ascii="Arial"/>
                <w:sz w:val="21"/>
              </w:rPr>
            </w:pPr>
          </w:p>
        </w:tc>
        <w:tc>
          <w:tcPr>
            <w:tcW w:w="2514" w:type="dxa"/>
            <w:gridSpan w:val="2"/>
            <w:vAlign w:val="top"/>
          </w:tcPr>
          <w:p w14:paraId="1F0B2BD6">
            <w:pPr>
              <w:rPr>
                <w:rFonts w:ascii="Arial"/>
                <w:sz w:val="21"/>
              </w:rPr>
            </w:pPr>
          </w:p>
        </w:tc>
      </w:tr>
      <w:tr w14:paraId="14BC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3C4058BD">
            <w:pPr>
              <w:rPr>
                <w:rFonts w:ascii="Arial"/>
                <w:sz w:val="21"/>
              </w:rPr>
            </w:pPr>
          </w:p>
        </w:tc>
        <w:tc>
          <w:tcPr>
            <w:tcW w:w="3188" w:type="dxa"/>
            <w:gridSpan w:val="4"/>
            <w:vAlign w:val="top"/>
          </w:tcPr>
          <w:p w14:paraId="2CD407DC">
            <w:pPr>
              <w:rPr>
                <w:rFonts w:ascii="Arial"/>
                <w:sz w:val="21"/>
              </w:rPr>
            </w:pPr>
          </w:p>
        </w:tc>
        <w:tc>
          <w:tcPr>
            <w:tcW w:w="1917" w:type="dxa"/>
            <w:gridSpan w:val="2"/>
            <w:vAlign w:val="top"/>
          </w:tcPr>
          <w:p w14:paraId="4682D73D">
            <w:pPr>
              <w:rPr>
                <w:rFonts w:ascii="Arial"/>
                <w:sz w:val="21"/>
              </w:rPr>
            </w:pPr>
          </w:p>
        </w:tc>
        <w:tc>
          <w:tcPr>
            <w:tcW w:w="2514" w:type="dxa"/>
            <w:gridSpan w:val="2"/>
            <w:vAlign w:val="top"/>
          </w:tcPr>
          <w:p w14:paraId="6B6B9257">
            <w:pPr>
              <w:rPr>
                <w:rFonts w:ascii="Arial"/>
                <w:sz w:val="21"/>
              </w:rPr>
            </w:pPr>
          </w:p>
        </w:tc>
      </w:tr>
      <w:tr w14:paraId="688B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686A72C9">
            <w:pPr>
              <w:rPr>
                <w:rFonts w:ascii="Arial"/>
                <w:sz w:val="21"/>
              </w:rPr>
            </w:pPr>
          </w:p>
        </w:tc>
        <w:tc>
          <w:tcPr>
            <w:tcW w:w="3188" w:type="dxa"/>
            <w:gridSpan w:val="4"/>
            <w:vAlign w:val="top"/>
          </w:tcPr>
          <w:p w14:paraId="576EB5A0">
            <w:pPr>
              <w:rPr>
                <w:rFonts w:ascii="Arial"/>
                <w:sz w:val="21"/>
              </w:rPr>
            </w:pPr>
          </w:p>
        </w:tc>
        <w:tc>
          <w:tcPr>
            <w:tcW w:w="1917" w:type="dxa"/>
            <w:gridSpan w:val="2"/>
            <w:vAlign w:val="top"/>
          </w:tcPr>
          <w:p w14:paraId="0EE259B3">
            <w:pPr>
              <w:rPr>
                <w:rFonts w:ascii="Arial"/>
                <w:sz w:val="21"/>
              </w:rPr>
            </w:pPr>
          </w:p>
        </w:tc>
        <w:tc>
          <w:tcPr>
            <w:tcW w:w="2514" w:type="dxa"/>
            <w:gridSpan w:val="2"/>
            <w:vAlign w:val="top"/>
          </w:tcPr>
          <w:p w14:paraId="1A9D20AB">
            <w:pPr>
              <w:rPr>
                <w:rFonts w:ascii="Arial"/>
                <w:sz w:val="21"/>
              </w:rPr>
            </w:pPr>
          </w:p>
        </w:tc>
      </w:tr>
      <w:tr w14:paraId="12E5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714C7D99">
            <w:pPr>
              <w:rPr>
                <w:rFonts w:ascii="Arial"/>
                <w:sz w:val="21"/>
              </w:rPr>
            </w:pPr>
          </w:p>
        </w:tc>
        <w:tc>
          <w:tcPr>
            <w:tcW w:w="3188" w:type="dxa"/>
            <w:gridSpan w:val="4"/>
            <w:vAlign w:val="top"/>
          </w:tcPr>
          <w:p w14:paraId="46A6BE25">
            <w:pPr>
              <w:rPr>
                <w:rFonts w:ascii="Arial"/>
                <w:sz w:val="21"/>
              </w:rPr>
            </w:pPr>
          </w:p>
        </w:tc>
        <w:tc>
          <w:tcPr>
            <w:tcW w:w="1917" w:type="dxa"/>
            <w:gridSpan w:val="2"/>
            <w:vAlign w:val="top"/>
          </w:tcPr>
          <w:p w14:paraId="0DB0E5E4">
            <w:pPr>
              <w:rPr>
                <w:rFonts w:ascii="Arial"/>
                <w:sz w:val="21"/>
              </w:rPr>
            </w:pPr>
          </w:p>
        </w:tc>
        <w:tc>
          <w:tcPr>
            <w:tcW w:w="2514" w:type="dxa"/>
            <w:gridSpan w:val="2"/>
            <w:vAlign w:val="top"/>
          </w:tcPr>
          <w:p w14:paraId="46B21487">
            <w:pPr>
              <w:rPr>
                <w:rFonts w:ascii="Arial"/>
                <w:sz w:val="21"/>
              </w:rPr>
            </w:pPr>
          </w:p>
        </w:tc>
      </w:tr>
      <w:tr w14:paraId="31C7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43F5191B">
            <w:pPr>
              <w:rPr>
                <w:rFonts w:ascii="Arial"/>
                <w:sz w:val="21"/>
              </w:rPr>
            </w:pPr>
          </w:p>
        </w:tc>
        <w:tc>
          <w:tcPr>
            <w:tcW w:w="3188" w:type="dxa"/>
            <w:gridSpan w:val="4"/>
            <w:vAlign w:val="top"/>
          </w:tcPr>
          <w:p w14:paraId="7965352F">
            <w:pPr>
              <w:rPr>
                <w:rFonts w:ascii="Arial"/>
                <w:sz w:val="21"/>
              </w:rPr>
            </w:pPr>
          </w:p>
        </w:tc>
        <w:tc>
          <w:tcPr>
            <w:tcW w:w="1917" w:type="dxa"/>
            <w:gridSpan w:val="2"/>
            <w:vAlign w:val="top"/>
          </w:tcPr>
          <w:p w14:paraId="44EC6AED">
            <w:pPr>
              <w:rPr>
                <w:rFonts w:ascii="Arial"/>
                <w:sz w:val="21"/>
              </w:rPr>
            </w:pPr>
          </w:p>
        </w:tc>
        <w:tc>
          <w:tcPr>
            <w:tcW w:w="2514" w:type="dxa"/>
            <w:gridSpan w:val="2"/>
            <w:vAlign w:val="top"/>
          </w:tcPr>
          <w:p w14:paraId="3151A0E1">
            <w:pPr>
              <w:rPr>
                <w:rFonts w:ascii="Arial"/>
                <w:sz w:val="21"/>
              </w:rPr>
            </w:pPr>
          </w:p>
        </w:tc>
      </w:tr>
      <w:tr w14:paraId="264C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5E73FA55">
            <w:pPr>
              <w:rPr>
                <w:rFonts w:ascii="Arial"/>
                <w:sz w:val="21"/>
              </w:rPr>
            </w:pPr>
          </w:p>
        </w:tc>
        <w:tc>
          <w:tcPr>
            <w:tcW w:w="3188" w:type="dxa"/>
            <w:gridSpan w:val="4"/>
            <w:vAlign w:val="top"/>
          </w:tcPr>
          <w:p w14:paraId="44EF1FD7">
            <w:pPr>
              <w:rPr>
                <w:rFonts w:ascii="Arial"/>
                <w:sz w:val="21"/>
              </w:rPr>
            </w:pPr>
          </w:p>
        </w:tc>
        <w:tc>
          <w:tcPr>
            <w:tcW w:w="1917" w:type="dxa"/>
            <w:gridSpan w:val="2"/>
            <w:vAlign w:val="top"/>
          </w:tcPr>
          <w:p w14:paraId="00DBC388">
            <w:pPr>
              <w:rPr>
                <w:rFonts w:ascii="Arial"/>
                <w:sz w:val="21"/>
              </w:rPr>
            </w:pPr>
          </w:p>
        </w:tc>
        <w:tc>
          <w:tcPr>
            <w:tcW w:w="2514" w:type="dxa"/>
            <w:gridSpan w:val="2"/>
            <w:vAlign w:val="top"/>
          </w:tcPr>
          <w:p w14:paraId="415C0ED0">
            <w:pPr>
              <w:rPr>
                <w:rFonts w:ascii="Arial"/>
                <w:sz w:val="21"/>
              </w:rPr>
            </w:pPr>
          </w:p>
        </w:tc>
      </w:tr>
      <w:tr w14:paraId="739B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94" w:type="dxa"/>
            <w:vAlign w:val="top"/>
          </w:tcPr>
          <w:p w14:paraId="470A0A92">
            <w:pPr>
              <w:rPr>
                <w:rFonts w:ascii="Arial"/>
                <w:sz w:val="21"/>
              </w:rPr>
            </w:pPr>
          </w:p>
        </w:tc>
        <w:tc>
          <w:tcPr>
            <w:tcW w:w="3188" w:type="dxa"/>
            <w:gridSpan w:val="4"/>
            <w:vAlign w:val="top"/>
          </w:tcPr>
          <w:p w14:paraId="601D8981">
            <w:pPr>
              <w:rPr>
                <w:rFonts w:ascii="Arial"/>
                <w:sz w:val="21"/>
              </w:rPr>
            </w:pPr>
          </w:p>
        </w:tc>
        <w:tc>
          <w:tcPr>
            <w:tcW w:w="1917" w:type="dxa"/>
            <w:gridSpan w:val="2"/>
            <w:vAlign w:val="top"/>
          </w:tcPr>
          <w:p w14:paraId="4E34236B">
            <w:pPr>
              <w:rPr>
                <w:rFonts w:ascii="Arial"/>
                <w:sz w:val="21"/>
              </w:rPr>
            </w:pPr>
          </w:p>
        </w:tc>
        <w:tc>
          <w:tcPr>
            <w:tcW w:w="2514" w:type="dxa"/>
            <w:gridSpan w:val="2"/>
            <w:vAlign w:val="top"/>
          </w:tcPr>
          <w:p w14:paraId="46DB9EAB">
            <w:pPr>
              <w:rPr>
                <w:rFonts w:ascii="Arial"/>
                <w:sz w:val="21"/>
              </w:rPr>
            </w:pPr>
          </w:p>
        </w:tc>
      </w:tr>
      <w:tr w14:paraId="3BF5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94" w:type="dxa"/>
            <w:vAlign w:val="top"/>
          </w:tcPr>
          <w:p w14:paraId="7C5A7F6A">
            <w:pPr>
              <w:rPr>
                <w:rFonts w:ascii="Arial"/>
                <w:sz w:val="21"/>
              </w:rPr>
            </w:pPr>
          </w:p>
        </w:tc>
        <w:tc>
          <w:tcPr>
            <w:tcW w:w="3188" w:type="dxa"/>
            <w:gridSpan w:val="4"/>
            <w:vAlign w:val="top"/>
          </w:tcPr>
          <w:p w14:paraId="22F80F92">
            <w:pPr>
              <w:rPr>
                <w:rFonts w:ascii="Arial"/>
                <w:sz w:val="21"/>
              </w:rPr>
            </w:pPr>
          </w:p>
        </w:tc>
        <w:tc>
          <w:tcPr>
            <w:tcW w:w="1917" w:type="dxa"/>
            <w:gridSpan w:val="2"/>
            <w:vAlign w:val="top"/>
          </w:tcPr>
          <w:p w14:paraId="3B7F8F1A">
            <w:pPr>
              <w:rPr>
                <w:rFonts w:ascii="Arial"/>
                <w:sz w:val="21"/>
              </w:rPr>
            </w:pPr>
          </w:p>
        </w:tc>
        <w:tc>
          <w:tcPr>
            <w:tcW w:w="2514" w:type="dxa"/>
            <w:gridSpan w:val="2"/>
            <w:vAlign w:val="top"/>
          </w:tcPr>
          <w:p w14:paraId="68A969D4">
            <w:pPr>
              <w:rPr>
                <w:rFonts w:ascii="Arial"/>
                <w:sz w:val="21"/>
              </w:rPr>
            </w:pPr>
          </w:p>
        </w:tc>
      </w:tr>
      <w:tr w14:paraId="22E9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94" w:type="dxa"/>
            <w:vAlign w:val="top"/>
          </w:tcPr>
          <w:p w14:paraId="0EDF935F">
            <w:pPr>
              <w:rPr>
                <w:rFonts w:ascii="Arial"/>
                <w:sz w:val="21"/>
              </w:rPr>
            </w:pPr>
          </w:p>
        </w:tc>
        <w:tc>
          <w:tcPr>
            <w:tcW w:w="3188" w:type="dxa"/>
            <w:gridSpan w:val="4"/>
            <w:vAlign w:val="top"/>
          </w:tcPr>
          <w:p w14:paraId="21C8027E">
            <w:pPr>
              <w:rPr>
                <w:rFonts w:ascii="Arial"/>
                <w:sz w:val="21"/>
              </w:rPr>
            </w:pPr>
          </w:p>
        </w:tc>
        <w:tc>
          <w:tcPr>
            <w:tcW w:w="1917" w:type="dxa"/>
            <w:gridSpan w:val="2"/>
            <w:vAlign w:val="top"/>
          </w:tcPr>
          <w:p w14:paraId="14F14A47">
            <w:pPr>
              <w:rPr>
                <w:rFonts w:ascii="Arial"/>
                <w:sz w:val="21"/>
              </w:rPr>
            </w:pPr>
          </w:p>
        </w:tc>
        <w:tc>
          <w:tcPr>
            <w:tcW w:w="2514" w:type="dxa"/>
            <w:gridSpan w:val="2"/>
            <w:vAlign w:val="top"/>
          </w:tcPr>
          <w:p w14:paraId="2EF46ED6">
            <w:pPr>
              <w:rPr>
                <w:rFonts w:ascii="Arial"/>
                <w:sz w:val="21"/>
              </w:rPr>
            </w:pPr>
          </w:p>
        </w:tc>
      </w:tr>
      <w:tr w14:paraId="6078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94" w:type="dxa"/>
            <w:vAlign w:val="top"/>
          </w:tcPr>
          <w:p w14:paraId="2ADE6686">
            <w:pPr>
              <w:rPr>
                <w:rFonts w:ascii="Arial"/>
                <w:sz w:val="21"/>
              </w:rPr>
            </w:pPr>
          </w:p>
        </w:tc>
        <w:tc>
          <w:tcPr>
            <w:tcW w:w="3188" w:type="dxa"/>
            <w:gridSpan w:val="4"/>
            <w:vAlign w:val="top"/>
          </w:tcPr>
          <w:p w14:paraId="4DFE8873">
            <w:pPr>
              <w:rPr>
                <w:rFonts w:ascii="Arial"/>
                <w:sz w:val="21"/>
              </w:rPr>
            </w:pPr>
          </w:p>
        </w:tc>
        <w:tc>
          <w:tcPr>
            <w:tcW w:w="1917" w:type="dxa"/>
            <w:gridSpan w:val="2"/>
            <w:vAlign w:val="top"/>
          </w:tcPr>
          <w:p w14:paraId="5E3897FA">
            <w:pPr>
              <w:rPr>
                <w:rFonts w:ascii="Arial"/>
                <w:sz w:val="21"/>
              </w:rPr>
            </w:pPr>
          </w:p>
        </w:tc>
        <w:tc>
          <w:tcPr>
            <w:tcW w:w="2514" w:type="dxa"/>
            <w:gridSpan w:val="2"/>
            <w:vAlign w:val="top"/>
          </w:tcPr>
          <w:p w14:paraId="20C21D6A">
            <w:pPr>
              <w:rPr>
                <w:rFonts w:ascii="Arial"/>
                <w:sz w:val="21"/>
              </w:rPr>
            </w:pPr>
          </w:p>
        </w:tc>
      </w:tr>
    </w:tbl>
    <w:p w14:paraId="0F58D93F">
      <w:pPr>
        <w:spacing w:before="78" w:line="219" w:lineRule="auto"/>
        <w:ind w:left="3977" w:firstLine="468" w:firstLineChars="200"/>
        <w:rPr>
          <w:rFonts w:ascii="宋体" w:hAnsi="宋体" w:eastAsia="宋体" w:cs="宋体"/>
          <w:spacing w:val="-3"/>
          <w:sz w:val="24"/>
          <w:szCs w:val="24"/>
        </w:rPr>
      </w:pPr>
    </w:p>
    <w:p w14:paraId="6E4F7FDF">
      <w:pPr>
        <w:spacing w:before="78" w:line="219" w:lineRule="auto"/>
        <w:ind w:left="3977" w:firstLine="468" w:firstLineChars="200"/>
        <w:rPr>
          <w:rFonts w:ascii="宋体" w:hAnsi="宋体" w:eastAsia="宋体" w:cs="宋体"/>
          <w:spacing w:val="-3"/>
          <w:sz w:val="24"/>
          <w:szCs w:val="24"/>
        </w:rPr>
      </w:pPr>
    </w:p>
    <w:p w14:paraId="51A1D47B">
      <w:pPr>
        <w:spacing w:before="78" w:line="480" w:lineRule="auto"/>
        <w:ind w:left="3977"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B485FCB">
      <w:pPr>
        <w:spacing w:before="195" w:line="480" w:lineRule="auto"/>
        <w:ind w:left="3978"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1E2FDB94">
      <w:pPr>
        <w:spacing w:before="194" w:line="480" w:lineRule="auto"/>
        <w:ind w:left="4018" w:firstLine="428" w:firstLineChars="200"/>
        <w:rPr>
          <w:rFonts w:ascii="宋体" w:hAnsi="宋体" w:eastAsia="宋体" w:cs="宋体"/>
          <w:sz w:val="24"/>
          <w:szCs w:val="24"/>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日</w:t>
      </w:r>
    </w:p>
    <w:p w14:paraId="2611C490">
      <w:pPr>
        <w:spacing w:line="480" w:lineRule="auto"/>
        <w:rPr>
          <w:rFonts w:ascii="宋体" w:hAnsi="宋体" w:eastAsia="宋体" w:cs="宋体"/>
          <w:sz w:val="24"/>
          <w:szCs w:val="24"/>
        </w:rPr>
        <w:sectPr>
          <w:footerReference r:id="rId15" w:type="default"/>
          <w:pgSz w:w="11907" w:h="16839"/>
          <w:pgMar w:top="1440" w:right="1800" w:bottom="1440" w:left="1800" w:header="0" w:footer="991" w:gutter="0"/>
          <w:pgNumType w:fmt="decimal"/>
          <w:cols w:space="720" w:num="1"/>
        </w:sectPr>
      </w:pPr>
    </w:p>
    <w:p w14:paraId="0AD7BD34">
      <w:pPr>
        <w:spacing w:before="79" w:line="219" w:lineRule="auto"/>
        <w:ind w:left="42" w:firstLine="436" w:firstLineChars="200"/>
        <w:rPr>
          <w:rFonts w:ascii="宋体" w:hAnsi="宋体" w:eastAsia="宋体" w:cs="宋体"/>
          <w:sz w:val="24"/>
          <w:szCs w:val="24"/>
        </w:rPr>
      </w:pPr>
      <w:r>
        <w:rPr>
          <w:rFonts w:ascii="宋体" w:hAnsi="宋体" w:eastAsia="宋体" w:cs="宋体"/>
          <w:spacing w:val="-11"/>
          <w:sz w:val="24"/>
          <w:szCs w:val="24"/>
        </w:rPr>
        <w:t>附件2：</w:t>
      </w:r>
    </w:p>
    <w:p w14:paraId="0D9B19C0">
      <w:pPr>
        <w:spacing w:before="195" w:line="480" w:lineRule="auto"/>
        <w:ind w:left="2589" w:firstLine="552" w:firstLineChars="200"/>
        <w:rPr>
          <w:rFonts w:ascii="宋体" w:hAnsi="宋体" w:eastAsia="宋体" w:cs="宋体"/>
          <w:sz w:val="28"/>
          <w:szCs w:val="28"/>
        </w:rPr>
      </w:pPr>
      <w:r>
        <w:rPr>
          <w:rFonts w:ascii="宋体" w:hAnsi="宋体" w:eastAsia="宋体" w:cs="宋体"/>
          <w:spacing w:val="-2"/>
          <w:sz w:val="28"/>
          <w:szCs w:val="28"/>
        </w:rPr>
        <w:t>项目经理无在建承诺书</w:t>
      </w:r>
    </w:p>
    <w:p w14:paraId="22AB2CA5">
      <w:pPr>
        <w:spacing w:before="195" w:line="480" w:lineRule="auto"/>
        <w:ind w:left="30" w:firstLine="444" w:firstLineChars="200"/>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5"/>
          <w:sz w:val="24"/>
          <w:szCs w:val="24"/>
        </w:rPr>
        <w:t>）：</w:t>
      </w:r>
    </w:p>
    <w:p w14:paraId="2A660730">
      <w:pPr>
        <w:spacing w:before="195" w:line="480" w:lineRule="auto"/>
        <w:ind w:left="25" w:right="11" w:firstLine="488" w:firstLineChars="200"/>
        <w:rPr>
          <w:rFonts w:ascii="宋体" w:hAnsi="宋体" w:eastAsia="宋体" w:cs="宋体"/>
          <w:sz w:val="24"/>
          <w:szCs w:val="24"/>
        </w:rPr>
      </w:pPr>
      <w:r>
        <w:rPr>
          <w:rFonts w:ascii="宋体" w:hAnsi="宋体" w:eastAsia="宋体" w:cs="宋体"/>
          <w:spacing w:val="2"/>
          <w:sz w:val="24"/>
          <w:szCs w:val="24"/>
        </w:rPr>
        <w:t>我方在此声明，我方拟派往</w:t>
      </w:r>
      <w:r>
        <w:rPr>
          <w:rFonts w:ascii="宋体" w:hAnsi="宋体" w:eastAsia="宋体" w:cs="宋体"/>
          <w:spacing w:val="2"/>
          <w:sz w:val="24"/>
          <w:szCs w:val="24"/>
          <w:u w:val="single"/>
        </w:rPr>
        <w:t>（项目名称）</w:t>
      </w:r>
      <w:r>
        <w:rPr>
          <w:rFonts w:ascii="宋体" w:hAnsi="宋体" w:eastAsia="宋体" w:cs="宋体"/>
          <w:spacing w:val="2"/>
          <w:sz w:val="24"/>
          <w:szCs w:val="24"/>
        </w:rPr>
        <w:t>（以下简</w:t>
      </w:r>
      <w:r>
        <w:rPr>
          <w:rFonts w:ascii="宋体" w:hAnsi="宋体" w:eastAsia="宋体" w:cs="宋体"/>
          <w:spacing w:val="1"/>
          <w:sz w:val="24"/>
          <w:szCs w:val="24"/>
        </w:rPr>
        <w:t>称“本工程”）的项目</w:t>
      </w:r>
      <w:r>
        <w:rPr>
          <w:rFonts w:ascii="宋体" w:hAnsi="宋体" w:eastAsia="宋体" w:cs="宋体"/>
          <w:spacing w:val="-1"/>
          <w:sz w:val="24"/>
          <w:szCs w:val="24"/>
        </w:rPr>
        <w:t>经理</w:t>
      </w:r>
      <w:r>
        <w:rPr>
          <w:rFonts w:ascii="宋体" w:hAnsi="宋体" w:eastAsia="宋体" w:cs="宋体"/>
          <w:spacing w:val="-1"/>
          <w:sz w:val="24"/>
          <w:szCs w:val="24"/>
          <w:u w:val="single"/>
        </w:rPr>
        <w:t>（项目经理姓名）</w:t>
      </w:r>
      <w:r>
        <w:rPr>
          <w:rFonts w:ascii="宋体" w:hAnsi="宋体" w:eastAsia="宋体" w:cs="宋体"/>
          <w:spacing w:val="-1"/>
          <w:sz w:val="24"/>
          <w:szCs w:val="24"/>
        </w:rPr>
        <w:t>现阶段没有担任任何在</w:t>
      </w:r>
      <w:r>
        <w:rPr>
          <w:rFonts w:ascii="宋体" w:hAnsi="宋体" w:eastAsia="宋体" w:cs="宋体"/>
          <w:spacing w:val="-2"/>
          <w:sz w:val="24"/>
          <w:szCs w:val="24"/>
        </w:rPr>
        <w:t>施建设工程项目的项目经理。</w:t>
      </w:r>
    </w:p>
    <w:p w14:paraId="268090D5">
      <w:pPr>
        <w:spacing w:before="34" w:line="480" w:lineRule="auto"/>
        <w:ind w:left="43" w:right="11" w:firstLine="488" w:firstLineChars="200"/>
        <w:rPr>
          <w:rFonts w:ascii="宋体" w:hAnsi="宋体" w:eastAsia="宋体" w:cs="宋体"/>
          <w:sz w:val="24"/>
          <w:szCs w:val="24"/>
        </w:rPr>
      </w:pPr>
      <w:r>
        <w:rPr>
          <w:rFonts w:ascii="宋体" w:hAnsi="宋体" w:eastAsia="宋体" w:cs="宋体"/>
          <w:spacing w:val="2"/>
          <w:sz w:val="24"/>
          <w:szCs w:val="24"/>
        </w:rPr>
        <w:t>我方保证上述信息的真实和准确，并愿意承担因我</w:t>
      </w:r>
      <w:r>
        <w:rPr>
          <w:rFonts w:ascii="宋体" w:hAnsi="宋体" w:eastAsia="宋体" w:cs="宋体"/>
          <w:spacing w:val="1"/>
          <w:sz w:val="24"/>
          <w:szCs w:val="24"/>
        </w:rPr>
        <w:t>方就此弄虚作假所引起</w:t>
      </w:r>
      <w:r>
        <w:rPr>
          <w:rFonts w:ascii="宋体" w:hAnsi="宋体" w:eastAsia="宋体" w:cs="宋体"/>
          <w:spacing w:val="-8"/>
          <w:sz w:val="24"/>
          <w:szCs w:val="24"/>
        </w:rPr>
        <w:t>的一切法律后果。</w:t>
      </w:r>
    </w:p>
    <w:p w14:paraId="473D0C5E">
      <w:pPr>
        <w:spacing w:before="78" w:line="480" w:lineRule="auto"/>
        <w:ind w:left="585" w:firstLine="472" w:firstLineChars="200"/>
        <w:rPr>
          <w:rFonts w:ascii="宋体" w:hAnsi="宋体" w:eastAsia="宋体" w:cs="宋体"/>
          <w:sz w:val="24"/>
          <w:szCs w:val="24"/>
        </w:rPr>
      </w:pPr>
      <w:r>
        <w:rPr>
          <w:rFonts w:ascii="宋体" w:hAnsi="宋体" w:eastAsia="宋体" w:cs="宋体"/>
          <w:spacing w:val="-2"/>
          <w:sz w:val="24"/>
          <w:szCs w:val="24"/>
        </w:rPr>
        <w:t>特此承诺</w:t>
      </w:r>
    </w:p>
    <w:p w14:paraId="37717E21">
      <w:pPr>
        <w:spacing w:before="79" w:line="480" w:lineRule="auto"/>
        <w:ind w:left="4025" w:firstLine="468" w:firstLineChars="200"/>
        <w:rPr>
          <w:rFonts w:ascii="宋体" w:hAnsi="宋体" w:eastAsia="宋体" w:cs="宋体"/>
          <w:spacing w:val="-3"/>
          <w:sz w:val="24"/>
          <w:szCs w:val="24"/>
        </w:rPr>
      </w:pPr>
    </w:p>
    <w:p w14:paraId="42BEC73E">
      <w:pPr>
        <w:spacing w:before="79" w:line="480" w:lineRule="auto"/>
        <w:ind w:left="4025" w:firstLine="468" w:firstLineChars="200"/>
        <w:rPr>
          <w:rFonts w:ascii="宋体" w:hAnsi="宋体" w:eastAsia="宋体" w:cs="宋体"/>
          <w:spacing w:val="-3"/>
          <w:sz w:val="24"/>
          <w:szCs w:val="24"/>
        </w:rPr>
      </w:pPr>
    </w:p>
    <w:p w14:paraId="5983634C">
      <w:pPr>
        <w:spacing w:before="79" w:line="480" w:lineRule="auto"/>
        <w:ind w:left="4025" w:firstLine="468" w:firstLineChars="200"/>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39BDCF62">
      <w:pPr>
        <w:spacing w:before="195" w:line="480" w:lineRule="auto"/>
        <w:ind w:left="4026" w:firstLine="468" w:firstLineChars="20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
          <w:sz w:val="24"/>
          <w:szCs w:val="24"/>
        </w:rPr>
        <w:t>：（</w:t>
      </w:r>
      <w:r>
        <w:rPr>
          <w:rFonts w:hint="eastAsia" w:ascii="宋体" w:hAnsi="宋体" w:eastAsia="宋体" w:cs="宋体"/>
          <w:spacing w:val="-3"/>
          <w:sz w:val="24"/>
          <w:szCs w:val="24"/>
          <w:lang w:val="en-US" w:eastAsia="zh-CN"/>
        </w:rPr>
        <w:t>签章</w:t>
      </w:r>
      <w:r>
        <w:rPr>
          <w:rFonts w:ascii="宋体" w:hAnsi="宋体" w:eastAsia="宋体" w:cs="宋体"/>
          <w:spacing w:val="-3"/>
          <w:sz w:val="24"/>
          <w:szCs w:val="24"/>
        </w:rPr>
        <w:t>）</w:t>
      </w:r>
    </w:p>
    <w:p w14:paraId="4D254E6D">
      <w:pPr>
        <w:spacing w:before="195" w:line="480" w:lineRule="auto"/>
        <w:ind w:left="4066" w:firstLine="428" w:firstLineChars="200"/>
        <w:rPr>
          <w:rFonts w:hint="default" w:ascii="宋体" w:hAnsi="宋体" w:eastAsia="宋体" w:cs="宋体"/>
          <w:sz w:val="24"/>
          <w:szCs w:val="24"/>
          <w:lang w:val="en-US" w:eastAsia="zh-CN"/>
        </w:rPr>
      </w:pPr>
      <w:r>
        <w:rPr>
          <w:rFonts w:ascii="宋体" w:hAnsi="宋体" w:eastAsia="宋体" w:cs="宋体"/>
          <w:spacing w:val="-13"/>
          <w:sz w:val="24"/>
          <w:szCs w:val="24"/>
        </w:rPr>
        <w:t>日期：</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年</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日</w:t>
      </w:r>
    </w:p>
    <w:p w14:paraId="4B8749BF">
      <w:pPr>
        <w:spacing w:line="480" w:lineRule="auto"/>
        <w:rPr>
          <w:rFonts w:ascii="宋体" w:hAnsi="宋体" w:eastAsia="宋体" w:cs="宋体"/>
          <w:sz w:val="24"/>
          <w:szCs w:val="24"/>
        </w:rPr>
        <w:sectPr>
          <w:footerReference r:id="rId16" w:type="default"/>
          <w:pgSz w:w="11907" w:h="16839"/>
          <w:pgMar w:top="1440" w:right="1800" w:bottom="1440" w:left="1800" w:header="0" w:footer="991" w:gutter="0"/>
          <w:pgNumType w:fmt="decimal"/>
          <w:cols w:space="720" w:num="1"/>
        </w:sectPr>
      </w:pPr>
    </w:p>
    <w:p w14:paraId="6E5F7927">
      <w:pPr>
        <w:pStyle w:val="11"/>
        <w:bidi w:val="0"/>
      </w:pPr>
      <w:r>
        <w:t>附3：其他人员表</w:t>
      </w:r>
    </w:p>
    <w:p w14:paraId="579F5BB4">
      <w:pPr>
        <w:spacing w:before="195" w:line="219" w:lineRule="auto"/>
        <w:rPr>
          <w:rFonts w:ascii="宋体" w:hAnsi="宋体" w:eastAsia="宋体" w:cs="宋体"/>
          <w:sz w:val="24"/>
          <w:szCs w:val="24"/>
        </w:rPr>
      </w:pPr>
      <w:r>
        <w:rPr>
          <w:rFonts w:ascii="宋体" w:hAnsi="宋体" w:eastAsia="宋体" w:cs="宋体"/>
          <w:spacing w:val="-3"/>
          <w:sz w:val="24"/>
          <w:szCs w:val="24"/>
        </w:rPr>
        <w:t>技术负责人应附身份证、职称证书。</w:t>
      </w:r>
    </w:p>
    <w:tbl>
      <w:tblPr>
        <w:tblStyle w:val="71"/>
        <w:tblW w:w="8187"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149"/>
        <w:gridCol w:w="1192"/>
        <w:gridCol w:w="424"/>
        <w:gridCol w:w="1073"/>
        <w:gridCol w:w="295"/>
        <w:gridCol w:w="583"/>
        <w:gridCol w:w="2085"/>
      </w:tblGrid>
      <w:tr w14:paraId="5B8B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86" w:type="dxa"/>
            <w:vAlign w:val="top"/>
          </w:tcPr>
          <w:p w14:paraId="6C7434A3">
            <w:pPr>
              <w:pStyle w:val="72"/>
              <w:spacing w:before="181" w:line="220" w:lineRule="auto"/>
              <w:ind w:left="117"/>
            </w:pPr>
            <w:r>
              <w:rPr>
                <w:spacing w:val="-3"/>
              </w:rPr>
              <w:t>姓名</w:t>
            </w:r>
          </w:p>
        </w:tc>
        <w:tc>
          <w:tcPr>
            <w:tcW w:w="1149" w:type="dxa"/>
            <w:vAlign w:val="top"/>
          </w:tcPr>
          <w:p w14:paraId="02540572">
            <w:pPr>
              <w:rPr>
                <w:rFonts w:ascii="Arial"/>
                <w:sz w:val="21"/>
              </w:rPr>
            </w:pPr>
          </w:p>
        </w:tc>
        <w:tc>
          <w:tcPr>
            <w:tcW w:w="1192" w:type="dxa"/>
            <w:vAlign w:val="top"/>
          </w:tcPr>
          <w:p w14:paraId="43D13FAD">
            <w:pPr>
              <w:pStyle w:val="72"/>
              <w:spacing w:before="181" w:line="220" w:lineRule="auto"/>
              <w:ind w:left="115"/>
            </w:pPr>
            <w:r>
              <w:rPr>
                <w:spacing w:val="-3"/>
              </w:rPr>
              <w:t>年龄</w:t>
            </w:r>
          </w:p>
        </w:tc>
        <w:tc>
          <w:tcPr>
            <w:tcW w:w="1497" w:type="dxa"/>
            <w:gridSpan w:val="2"/>
            <w:vAlign w:val="top"/>
          </w:tcPr>
          <w:p w14:paraId="3CD3472A">
            <w:pPr>
              <w:rPr>
                <w:rFonts w:ascii="Arial"/>
                <w:sz w:val="21"/>
              </w:rPr>
            </w:pPr>
          </w:p>
        </w:tc>
        <w:tc>
          <w:tcPr>
            <w:tcW w:w="878" w:type="dxa"/>
            <w:gridSpan w:val="2"/>
            <w:vAlign w:val="top"/>
          </w:tcPr>
          <w:p w14:paraId="797159EC">
            <w:pPr>
              <w:pStyle w:val="72"/>
              <w:spacing w:before="182" w:line="221" w:lineRule="auto"/>
              <w:ind w:left="121"/>
            </w:pPr>
            <w:r>
              <w:rPr>
                <w:spacing w:val="-4"/>
              </w:rPr>
              <w:t>学历</w:t>
            </w:r>
          </w:p>
        </w:tc>
        <w:tc>
          <w:tcPr>
            <w:tcW w:w="2085" w:type="dxa"/>
            <w:vAlign w:val="top"/>
          </w:tcPr>
          <w:p w14:paraId="0301CEF8">
            <w:pPr>
              <w:rPr>
                <w:rFonts w:ascii="Arial"/>
                <w:sz w:val="21"/>
              </w:rPr>
            </w:pPr>
          </w:p>
        </w:tc>
      </w:tr>
      <w:tr w14:paraId="59F4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83B5BBA">
            <w:pPr>
              <w:pStyle w:val="72"/>
              <w:spacing w:before="177" w:line="222" w:lineRule="auto"/>
              <w:ind w:left="118"/>
            </w:pPr>
            <w:r>
              <w:rPr>
                <w:spacing w:val="-3"/>
              </w:rPr>
              <w:t>职称</w:t>
            </w:r>
          </w:p>
        </w:tc>
        <w:tc>
          <w:tcPr>
            <w:tcW w:w="1149" w:type="dxa"/>
            <w:vAlign w:val="top"/>
          </w:tcPr>
          <w:p w14:paraId="51ED3054">
            <w:pPr>
              <w:rPr>
                <w:rFonts w:ascii="Arial"/>
                <w:sz w:val="21"/>
              </w:rPr>
            </w:pPr>
          </w:p>
        </w:tc>
        <w:tc>
          <w:tcPr>
            <w:tcW w:w="1192" w:type="dxa"/>
            <w:vAlign w:val="top"/>
          </w:tcPr>
          <w:p w14:paraId="23D385F7">
            <w:pPr>
              <w:pStyle w:val="72"/>
              <w:spacing w:before="177" w:line="220" w:lineRule="auto"/>
              <w:ind w:left="115"/>
            </w:pPr>
            <w:r>
              <w:rPr>
                <w:spacing w:val="-3"/>
              </w:rPr>
              <w:t>职务</w:t>
            </w:r>
          </w:p>
        </w:tc>
        <w:tc>
          <w:tcPr>
            <w:tcW w:w="1497" w:type="dxa"/>
            <w:gridSpan w:val="2"/>
            <w:vAlign w:val="top"/>
          </w:tcPr>
          <w:p w14:paraId="1F2028C3">
            <w:pPr>
              <w:rPr>
                <w:rFonts w:ascii="Arial"/>
                <w:sz w:val="21"/>
              </w:rPr>
            </w:pPr>
          </w:p>
        </w:tc>
        <w:tc>
          <w:tcPr>
            <w:tcW w:w="878" w:type="dxa"/>
            <w:gridSpan w:val="2"/>
            <w:vAlign w:val="top"/>
          </w:tcPr>
          <w:p w14:paraId="43D54EF8">
            <w:pPr>
              <w:rPr>
                <w:rFonts w:ascii="Arial"/>
                <w:sz w:val="21"/>
              </w:rPr>
            </w:pPr>
          </w:p>
        </w:tc>
        <w:tc>
          <w:tcPr>
            <w:tcW w:w="2085" w:type="dxa"/>
            <w:vAlign w:val="top"/>
          </w:tcPr>
          <w:p w14:paraId="48067A7D">
            <w:pPr>
              <w:rPr>
                <w:rFonts w:ascii="Arial"/>
                <w:sz w:val="21"/>
              </w:rPr>
            </w:pPr>
          </w:p>
        </w:tc>
      </w:tr>
      <w:tr w14:paraId="4FCE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40BCF157">
            <w:pPr>
              <w:pStyle w:val="72"/>
              <w:spacing w:before="180" w:line="220" w:lineRule="auto"/>
              <w:ind w:left="121"/>
            </w:pPr>
            <w:r>
              <w:rPr>
                <w:spacing w:val="-3"/>
              </w:rPr>
              <w:t>毕业学校</w:t>
            </w:r>
          </w:p>
        </w:tc>
        <w:tc>
          <w:tcPr>
            <w:tcW w:w="6801" w:type="dxa"/>
            <w:gridSpan w:val="7"/>
            <w:vAlign w:val="top"/>
          </w:tcPr>
          <w:p w14:paraId="0DA7D0DE">
            <w:pPr>
              <w:pStyle w:val="72"/>
              <w:spacing w:before="180" w:line="220" w:lineRule="auto"/>
              <w:ind w:left="676"/>
            </w:pPr>
            <w:r>
              <w:rPr>
                <w:spacing w:val="-4"/>
              </w:rPr>
              <w:t>年毕业于学校专业</w:t>
            </w:r>
          </w:p>
        </w:tc>
      </w:tr>
      <w:tr w14:paraId="500F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87" w:type="dxa"/>
            <w:gridSpan w:val="8"/>
            <w:vAlign w:val="top"/>
          </w:tcPr>
          <w:p w14:paraId="4FAEE274">
            <w:pPr>
              <w:pStyle w:val="72"/>
              <w:spacing w:before="178" w:line="220" w:lineRule="auto"/>
              <w:ind w:left="3400"/>
            </w:pPr>
            <w:r>
              <w:rPr>
                <w:spacing w:val="-2"/>
              </w:rPr>
              <w:t>主要工作经历</w:t>
            </w:r>
          </w:p>
        </w:tc>
      </w:tr>
      <w:tr w14:paraId="7433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1D203F4D">
            <w:pPr>
              <w:pStyle w:val="72"/>
              <w:spacing w:before="178" w:line="222" w:lineRule="auto"/>
              <w:ind w:left="128"/>
            </w:pPr>
            <w:r>
              <w:rPr>
                <w:spacing w:val="-6"/>
              </w:rPr>
              <w:t>时间</w:t>
            </w:r>
          </w:p>
        </w:tc>
        <w:tc>
          <w:tcPr>
            <w:tcW w:w="2765" w:type="dxa"/>
            <w:gridSpan w:val="3"/>
            <w:vAlign w:val="top"/>
          </w:tcPr>
          <w:p w14:paraId="1D93C2DC">
            <w:pPr>
              <w:pStyle w:val="72"/>
              <w:spacing w:before="178" w:line="220" w:lineRule="auto"/>
              <w:ind w:left="115"/>
            </w:pPr>
            <w:r>
              <w:rPr>
                <w:spacing w:val="-2"/>
              </w:rPr>
              <w:t>参加过的类似项目</w:t>
            </w:r>
          </w:p>
        </w:tc>
        <w:tc>
          <w:tcPr>
            <w:tcW w:w="1368" w:type="dxa"/>
            <w:gridSpan w:val="2"/>
            <w:vAlign w:val="top"/>
          </w:tcPr>
          <w:p w14:paraId="2066B94B">
            <w:pPr>
              <w:pStyle w:val="72"/>
              <w:spacing w:before="178" w:line="220" w:lineRule="auto"/>
              <w:ind w:left="117"/>
            </w:pPr>
            <w:r>
              <w:rPr>
                <w:spacing w:val="-2"/>
              </w:rPr>
              <w:t>担任职务</w:t>
            </w:r>
          </w:p>
        </w:tc>
        <w:tc>
          <w:tcPr>
            <w:tcW w:w="2668" w:type="dxa"/>
            <w:gridSpan w:val="2"/>
            <w:vAlign w:val="top"/>
          </w:tcPr>
          <w:p w14:paraId="39678BBB">
            <w:pPr>
              <w:pStyle w:val="72"/>
              <w:spacing w:before="179" w:line="220" w:lineRule="auto"/>
              <w:ind w:left="120"/>
            </w:pPr>
            <w:r>
              <w:rPr>
                <w:spacing w:val="-2"/>
              </w:rPr>
              <w:t>发包人及联系电话</w:t>
            </w:r>
          </w:p>
        </w:tc>
      </w:tr>
      <w:tr w14:paraId="799B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tcBorders>
              <w:bottom w:val="single" w:color="000000" w:sz="4" w:space="0"/>
            </w:tcBorders>
            <w:vAlign w:val="top"/>
          </w:tcPr>
          <w:p w14:paraId="52F2870D">
            <w:pPr>
              <w:rPr>
                <w:rFonts w:ascii="Arial"/>
                <w:sz w:val="21"/>
              </w:rPr>
            </w:pPr>
          </w:p>
        </w:tc>
        <w:tc>
          <w:tcPr>
            <w:tcW w:w="2765" w:type="dxa"/>
            <w:gridSpan w:val="3"/>
            <w:tcBorders>
              <w:bottom w:val="single" w:color="000000" w:sz="4" w:space="0"/>
            </w:tcBorders>
            <w:vAlign w:val="top"/>
          </w:tcPr>
          <w:p w14:paraId="7B955A54">
            <w:pPr>
              <w:rPr>
                <w:rFonts w:ascii="Arial"/>
                <w:sz w:val="21"/>
              </w:rPr>
            </w:pPr>
          </w:p>
        </w:tc>
        <w:tc>
          <w:tcPr>
            <w:tcW w:w="1368" w:type="dxa"/>
            <w:gridSpan w:val="2"/>
            <w:tcBorders>
              <w:bottom w:val="single" w:color="000000" w:sz="4" w:space="0"/>
            </w:tcBorders>
            <w:vAlign w:val="top"/>
          </w:tcPr>
          <w:p w14:paraId="5F6EFDE6">
            <w:pPr>
              <w:rPr>
                <w:rFonts w:ascii="Arial"/>
                <w:sz w:val="21"/>
              </w:rPr>
            </w:pPr>
          </w:p>
        </w:tc>
        <w:tc>
          <w:tcPr>
            <w:tcW w:w="2668" w:type="dxa"/>
            <w:gridSpan w:val="2"/>
            <w:tcBorders>
              <w:bottom w:val="single" w:color="000000" w:sz="4" w:space="0"/>
            </w:tcBorders>
            <w:vAlign w:val="top"/>
          </w:tcPr>
          <w:p w14:paraId="776487FE">
            <w:pPr>
              <w:rPr>
                <w:rFonts w:ascii="Arial"/>
                <w:sz w:val="21"/>
              </w:rPr>
            </w:pPr>
          </w:p>
        </w:tc>
      </w:tr>
      <w:tr w14:paraId="1548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86" w:type="dxa"/>
            <w:tcBorders>
              <w:top w:val="single" w:color="000000" w:sz="4" w:space="0"/>
            </w:tcBorders>
            <w:vAlign w:val="top"/>
          </w:tcPr>
          <w:p w14:paraId="167F4BCF">
            <w:pPr>
              <w:rPr>
                <w:rFonts w:ascii="Arial"/>
                <w:sz w:val="21"/>
              </w:rPr>
            </w:pPr>
          </w:p>
        </w:tc>
        <w:tc>
          <w:tcPr>
            <w:tcW w:w="2765" w:type="dxa"/>
            <w:gridSpan w:val="3"/>
            <w:tcBorders>
              <w:top w:val="single" w:color="000000" w:sz="4" w:space="0"/>
            </w:tcBorders>
            <w:vAlign w:val="top"/>
          </w:tcPr>
          <w:p w14:paraId="75A25BBA">
            <w:pPr>
              <w:rPr>
                <w:rFonts w:ascii="Arial"/>
                <w:sz w:val="21"/>
              </w:rPr>
            </w:pPr>
          </w:p>
        </w:tc>
        <w:tc>
          <w:tcPr>
            <w:tcW w:w="1368" w:type="dxa"/>
            <w:gridSpan w:val="2"/>
            <w:tcBorders>
              <w:top w:val="single" w:color="000000" w:sz="4" w:space="0"/>
            </w:tcBorders>
            <w:vAlign w:val="top"/>
          </w:tcPr>
          <w:p w14:paraId="183E76C2">
            <w:pPr>
              <w:rPr>
                <w:rFonts w:ascii="Arial"/>
                <w:sz w:val="21"/>
              </w:rPr>
            </w:pPr>
          </w:p>
        </w:tc>
        <w:tc>
          <w:tcPr>
            <w:tcW w:w="2668" w:type="dxa"/>
            <w:gridSpan w:val="2"/>
            <w:tcBorders>
              <w:top w:val="single" w:color="000000" w:sz="4" w:space="0"/>
            </w:tcBorders>
            <w:vAlign w:val="top"/>
          </w:tcPr>
          <w:p w14:paraId="1D5FFD7D">
            <w:pPr>
              <w:rPr>
                <w:rFonts w:ascii="Arial"/>
                <w:sz w:val="21"/>
              </w:rPr>
            </w:pPr>
          </w:p>
        </w:tc>
      </w:tr>
      <w:tr w14:paraId="585E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75DEAE64">
            <w:pPr>
              <w:rPr>
                <w:rFonts w:ascii="Arial"/>
                <w:sz w:val="21"/>
              </w:rPr>
            </w:pPr>
          </w:p>
        </w:tc>
        <w:tc>
          <w:tcPr>
            <w:tcW w:w="2765" w:type="dxa"/>
            <w:gridSpan w:val="3"/>
            <w:vAlign w:val="top"/>
          </w:tcPr>
          <w:p w14:paraId="6F2BD0E2">
            <w:pPr>
              <w:rPr>
                <w:rFonts w:ascii="Arial"/>
                <w:sz w:val="21"/>
              </w:rPr>
            </w:pPr>
          </w:p>
        </w:tc>
        <w:tc>
          <w:tcPr>
            <w:tcW w:w="1368" w:type="dxa"/>
            <w:gridSpan w:val="2"/>
            <w:vAlign w:val="top"/>
          </w:tcPr>
          <w:p w14:paraId="62A5D4E4">
            <w:pPr>
              <w:rPr>
                <w:rFonts w:ascii="Arial"/>
                <w:sz w:val="21"/>
              </w:rPr>
            </w:pPr>
          </w:p>
        </w:tc>
        <w:tc>
          <w:tcPr>
            <w:tcW w:w="2668" w:type="dxa"/>
            <w:gridSpan w:val="2"/>
            <w:vAlign w:val="top"/>
          </w:tcPr>
          <w:p w14:paraId="1BB2C237">
            <w:pPr>
              <w:rPr>
                <w:rFonts w:ascii="Arial"/>
                <w:sz w:val="21"/>
              </w:rPr>
            </w:pPr>
          </w:p>
        </w:tc>
      </w:tr>
      <w:tr w14:paraId="241D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645188C8">
            <w:pPr>
              <w:rPr>
                <w:rFonts w:ascii="Arial"/>
                <w:sz w:val="21"/>
              </w:rPr>
            </w:pPr>
          </w:p>
        </w:tc>
        <w:tc>
          <w:tcPr>
            <w:tcW w:w="2765" w:type="dxa"/>
            <w:gridSpan w:val="3"/>
            <w:vAlign w:val="top"/>
          </w:tcPr>
          <w:p w14:paraId="348315D8">
            <w:pPr>
              <w:rPr>
                <w:rFonts w:ascii="Arial"/>
                <w:sz w:val="21"/>
              </w:rPr>
            </w:pPr>
          </w:p>
        </w:tc>
        <w:tc>
          <w:tcPr>
            <w:tcW w:w="1368" w:type="dxa"/>
            <w:gridSpan w:val="2"/>
            <w:vAlign w:val="top"/>
          </w:tcPr>
          <w:p w14:paraId="37BD0420">
            <w:pPr>
              <w:rPr>
                <w:rFonts w:ascii="Arial"/>
                <w:sz w:val="21"/>
              </w:rPr>
            </w:pPr>
          </w:p>
        </w:tc>
        <w:tc>
          <w:tcPr>
            <w:tcW w:w="2668" w:type="dxa"/>
            <w:gridSpan w:val="2"/>
            <w:vAlign w:val="top"/>
          </w:tcPr>
          <w:p w14:paraId="0EE62ED9">
            <w:pPr>
              <w:rPr>
                <w:rFonts w:ascii="Arial"/>
                <w:sz w:val="21"/>
              </w:rPr>
            </w:pPr>
          </w:p>
        </w:tc>
      </w:tr>
      <w:tr w14:paraId="3607E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38CEB05">
            <w:pPr>
              <w:rPr>
                <w:rFonts w:ascii="Arial"/>
                <w:sz w:val="21"/>
              </w:rPr>
            </w:pPr>
          </w:p>
        </w:tc>
        <w:tc>
          <w:tcPr>
            <w:tcW w:w="2765" w:type="dxa"/>
            <w:gridSpan w:val="3"/>
            <w:vAlign w:val="top"/>
          </w:tcPr>
          <w:p w14:paraId="42CC2EA3">
            <w:pPr>
              <w:rPr>
                <w:rFonts w:ascii="Arial"/>
                <w:sz w:val="21"/>
              </w:rPr>
            </w:pPr>
          </w:p>
        </w:tc>
        <w:tc>
          <w:tcPr>
            <w:tcW w:w="1368" w:type="dxa"/>
            <w:gridSpan w:val="2"/>
            <w:vAlign w:val="top"/>
          </w:tcPr>
          <w:p w14:paraId="342121BD">
            <w:pPr>
              <w:rPr>
                <w:rFonts w:ascii="Arial"/>
                <w:sz w:val="21"/>
              </w:rPr>
            </w:pPr>
          </w:p>
        </w:tc>
        <w:tc>
          <w:tcPr>
            <w:tcW w:w="2668" w:type="dxa"/>
            <w:gridSpan w:val="2"/>
            <w:vAlign w:val="top"/>
          </w:tcPr>
          <w:p w14:paraId="7DAEB011">
            <w:pPr>
              <w:rPr>
                <w:rFonts w:ascii="Arial"/>
                <w:sz w:val="21"/>
              </w:rPr>
            </w:pPr>
          </w:p>
        </w:tc>
      </w:tr>
      <w:tr w14:paraId="1CEF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636144C">
            <w:pPr>
              <w:rPr>
                <w:rFonts w:ascii="Arial"/>
                <w:sz w:val="21"/>
              </w:rPr>
            </w:pPr>
          </w:p>
        </w:tc>
        <w:tc>
          <w:tcPr>
            <w:tcW w:w="2765" w:type="dxa"/>
            <w:gridSpan w:val="3"/>
            <w:vAlign w:val="top"/>
          </w:tcPr>
          <w:p w14:paraId="75457987">
            <w:pPr>
              <w:rPr>
                <w:rFonts w:ascii="Arial"/>
                <w:sz w:val="21"/>
              </w:rPr>
            </w:pPr>
          </w:p>
        </w:tc>
        <w:tc>
          <w:tcPr>
            <w:tcW w:w="1368" w:type="dxa"/>
            <w:gridSpan w:val="2"/>
            <w:vAlign w:val="top"/>
          </w:tcPr>
          <w:p w14:paraId="0260A43E">
            <w:pPr>
              <w:rPr>
                <w:rFonts w:ascii="Arial"/>
                <w:sz w:val="21"/>
              </w:rPr>
            </w:pPr>
          </w:p>
        </w:tc>
        <w:tc>
          <w:tcPr>
            <w:tcW w:w="2668" w:type="dxa"/>
            <w:gridSpan w:val="2"/>
            <w:vAlign w:val="top"/>
          </w:tcPr>
          <w:p w14:paraId="28E37823">
            <w:pPr>
              <w:rPr>
                <w:rFonts w:ascii="Arial"/>
                <w:sz w:val="21"/>
              </w:rPr>
            </w:pPr>
          </w:p>
        </w:tc>
      </w:tr>
      <w:tr w14:paraId="4DD5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E2FD645">
            <w:pPr>
              <w:rPr>
                <w:rFonts w:ascii="Arial"/>
                <w:sz w:val="21"/>
              </w:rPr>
            </w:pPr>
          </w:p>
        </w:tc>
        <w:tc>
          <w:tcPr>
            <w:tcW w:w="2765" w:type="dxa"/>
            <w:gridSpan w:val="3"/>
            <w:vAlign w:val="top"/>
          </w:tcPr>
          <w:p w14:paraId="572A0B16">
            <w:pPr>
              <w:rPr>
                <w:rFonts w:ascii="Arial"/>
                <w:sz w:val="21"/>
              </w:rPr>
            </w:pPr>
          </w:p>
        </w:tc>
        <w:tc>
          <w:tcPr>
            <w:tcW w:w="1368" w:type="dxa"/>
            <w:gridSpan w:val="2"/>
            <w:vAlign w:val="top"/>
          </w:tcPr>
          <w:p w14:paraId="3CF0AFA3">
            <w:pPr>
              <w:rPr>
                <w:rFonts w:ascii="Arial"/>
                <w:sz w:val="21"/>
              </w:rPr>
            </w:pPr>
          </w:p>
        </w:tc>
        <w:tc>
          <w:tcPr>
            <w:tcW w:w="2668" w:type="dxa"/>
            <w:gridSpan w:val="2"/>
            <w:vAlign w:val="top"/>
          </w:tcPr>
          <w:p w14:paraId="2FA58347">
            <w:pPr>
              <w:rPr>
                <w:rFonts w:ascii="Arial"/>
                <w:sz w:val="21"/>
              </w:rPr>
            </w:pPr>
          </w:p>
        </w:tc>
      </w:tr>
      <w:tr w14:paraId="70328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4FF59392">
            <w:pPr>
              <w:rPr>
                <w:rFonts w:ascii="Arial"/>
                <w:sz w:val="21"/>
              </w:rPr>
            </w:pPr>
          </w:p>
        </w:tc>
        <w:tc>
          <w:tcPr>
            <w:tcW w:w="2765" w:type="dxa"/>
            <w:gridSpan w:val="3"/>
            <w:vAlign w:val="top"/>
          </w:tcPr>
          <w:p w14:paraId="643204A4">
            <w:pPr>
              <w:rPr>
                <w:rFonts w:ascii="Arial"/>
                <w:sz w:val="21"/>
              </w:rPr>
            </w:pPr>
          </w:p>
        </w:tc>
        <w:tc>
          <w:tcPr>
            <w:tcW w:w="1368" w:type="dxa"/>
            <w:gridSpan w:val="2"/>
            <w:vAlign w:val="top"/>
          </w:tcPr>
          <w:p w14:paraId="3FBE6660">
            <w:pPr>
              <w:rPr>
                <w:rFonts w:ascii="Arial"/>
                <w:sz w:val="21"/>
              </w:rPr>
            </w:pPr>
          </w:p>
        </w:tc>
        <w:tc>
          <w:tcPr>
            <w:tcW w:w="2668" w:type="dxa"/>
            <w:gridSpan w:val="2"/>
            <w:vAlign w:val="top"/>
          </w:tcPr>
          <w:p w14:paraId="6FF88332">
            <w:pPr>
              <w:rPr>
                <w:rFonts w:ascii="Arial"/>
                <w:sz w:val="21"/>
              </w:rPr>
            </w:pPr>
          </w:p>
        </w:tc>
      </w:tr>
      <w:tr w14:paraId="0D9C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2C6BBB82">
            <w:pPr>
              <w:rPr>
                <w:rFonts w:ascii="Arial"/>
                <w:sz w:val="21"/>
              </w:rPr>
            </w:pPr>
          </w:p>
        </w:tc>
        <w:tc>
          <w:tcPr>
            <w:tcW w:w="2765" w:type="dxa"/>
            <w:gridSpan w:val="3"/>
            <w:vAlign w:val="top"/>
          </w:tcPr>
          <w:p w14:paraId="02070CFA">
            <w:pPr>
              <w:rPr>
                <w:rFonts w:ascii="Arial"/>
                <w:sz w:val="21"/>
              </w:rPr>
            </w:pPr>
          </w:p>
        </w:tc>
        <w:tc>
          <w:tcPr>
            <w:tcW w:w="1368" w:type="dxa"/>
            <w:gridSpan w:val="2"/>
            <w:vAlign w:val="top"/>
          </w:tcPr>
          <w:p w14:paraId="03337537">
            <w:pPr>
              <w:rPr>
                <w:rFonts w:ascii="Arial"/>
                <w:sz w:val="21"/>
              </w:rPr>
            </w:pPr>
          </w:p>
        </w:tc>
        <w:tc>
          <w:tcPr>
            <w:tcW w:w="2668" w:type="dxa"/>
            <w:gridSpan w:val="2"/>
            <w:vAlign w:val="top"/>
          </w:tcPr>
          <w:p w14:paraId="2B64DAC1">
            <w:pPr>
              <w:rPr>
                <w:rFonts w:ascii="Arial"/>
                <w:sz w:val="21"/>
              </w:rPr>
            </w:pPr>
          </w:p>
        </w:tc>
      </w:tr>
      <w:tr w14:paraId="1E55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86" w:type="dxa"/>
            <w:vAlign w:val="top"/>
          </w:tcPr>
          <w:p w14:paraId="0B08D438">
            <w:pPr>
              <w:rPr>
                <w:rFonts w:ascii="Arial"/>
                <w:sz w:val="21"/>
              </w:rPr>
            </w:pPr>
          </w:p>
        </w:tc>
        <w:tc>
          <w:tcPr>
            <w:tcW w:w="2765" w:type="dxa"/>
            <w:gridSpan w:val="3"/>
            <w:vAlign w:val="top"/>
          </w:tcPr>
          <w:p w14:paraId="3DC65EF6">
            <w:pPr>
              <w:rPr>
                <w:rFonts w:ascii="Arial"/>
                <w:sz w:val="21"/>
              </w:rPr>
            </w:pPr>
          </w:p>
        </w:tc>
        <w:tc>
          <w:tcPr>
            <w:tcW w:w="1368" w:type="dxa"/>
            <w:gridSpan w:val="2"/>
            <w:vAlign w:val="top"/>
          </w:tcPr>
          <w:p w14:paraId="37B158F0">
            <w:pPr>
              <w:rPr>
                <w:rFonts w:ascii="Arial"/>
                <w:sz w:val="21"/>
              </w:rPr>
            </w:pPr>
          </w:p>
        </w:tc>
        <w:tc>
          <w:tcPr>
            <w:tcW w:w="2668" w:type="dxa"/>
            <w:gridSpan w:val="2"/>
            <w:vAlign w:val="top"/>
          </w:tcPr>
          <w:p w14:paraId="2D4DAE40">
            <w:pPr>
              <w:rPr>
                <w:rFonts w:ascii="Arial"/>
                <w:sz w:val="21"/>
              </w:rPr>
            </w:pPr>
          </w:p>
        </w:tc>
      </w:tr>
      <w:tr w14:paraId="2B67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0CA286F4">
            <w:pPr>
              <w:rPr>
                <w:rFonts w:ascii="Arial"/>
                <w:sz w:val="21"/>
              </w:rPr>
            </w:pPr>
          </w:p>
        </w:tc>
        <w:tc>
          <w:tcPr>
            <w:tcW w:w="2765" w:type="dxa"/>
            <w:gridSpan w:val="3"/>
            <w:vAlign w:val="top"/>
          </w:tcPr>
          <w:p w14:paraId="6918F4EE">
            <w:pPr>
              <w:rPr>
                <w:rFonts w:ascii="Arial"/>
                <w:sz w:val="21"/>
              </w:rPr>
            </w:pPr>
          </w:p>
        </w:tc>
        <w:tc>
          <w:tcPr>
            <w:tcW w:w="1368" w:type="dxa"/>
            <w:gridSpan w:val="2"/>
            <w:vAlign w:val="top"/>
          </w:tcPr>
          <w:p w14:paraId="3C1DB758">
            <w:pPr>
              <w:rPr>
                <w:rFonts w:ascii="Arial"/>
                <w:sz w:val="21"/>
              </w:rPr>
            </w:pPr>
          </w:p>
        </w:tc>
        <w:tc>
          <w:tcPr>
            <w:tcW w:w="2668" w:type="dxa"/>
            <w:gridSpan w:val="2"/>
            <w:vAlign w:val="top"/>
          </w:tcPr>
          <w:p w14:paraId="23FC7A0C">
            <w:pPr>
              <w:rPr>
                <w:rFonts w:ascii="Arial"/>
                <w:sz w:val="21"/>
              </w:rPr>
            </w:pPr>
          </w:p>
        </w:tc>
      </w:tr>
      <w:tr w14:paraId="4772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512B7D7B">
            <w:pPr>
              <w:rPr>
                <w:rFonts w:ascii="Arial"/>
                <w:sz w:val="21"/>
              </w:rPr>
            </w:pPr>
          </w:p>
        </w:tc>
        <w:tc>
          <w:tcPr>
            <w:tcW w:w="2765" w:type="dxa"/>
            <w:gridSpan w:val="3"/>
            <w:vAlign w:val="top"/>
          </w:tcPr>
          <w:p w14:paraId="299F419F">
            <w:pPr>
              <w:rPr>
                <w:rFonts w:ascii="Arial"/>
                <w:sz w:val="21"/>
              </w:rPr>
            </w:pPr>
          </w:p>
        </w:tc>
        <w:tc>
          <w:tcPr>
            <w:tcW w:w="1368" w:type="dxa"/>
            <w:gridSpan w:val="2"/>
            <w:vAlign w:val="top"/>
          </w:tcPr>
          <w:p w14:paraId="6410A623">
            <w:pPr>
              <w:rPr>
                <w:rFonts w:ascii="Arial"/>
                <w:sz w:val="21"/>
              </w:rPr>
            </w:pPr>
          </w:p>
        </w:tc>
        <w:tc>
          <w:tcPr>
            <w:tcW w:w="2668" w:type="dxa"/>
            <w:gridSpan w:val="2"/>
            <w:vAlign w:val="top"/>
          </w:tcPr>
          <w:p w14:paraId="1381FF1C">
            <w:pPr>
              <w:rPr>
                <w:rFonts w:ascii="Arial"/>
                <w:sz w:val="21"/>
              </w:rPr>
            </w:pPr>
          </w:p>
        </w:tc>
      </w:tr>
      <w:tr w14:paraId="73C0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386" w:type="dxa"/>
            <w:vAlign w:val="top"/>
          </w:tcPr>
          <w:p w14:paraId="33670EE3">
            <w:pPr>
              <w:rPr>
                <w:rFonts w:ascii="Arial"/>
                <w:sz w:val="21"/>
              </w:rPr>
            </w:pPr>
          </w:p>
        </w:tc>
        <w:tc>
          <w:tcPr>
            <w:tcW w:w="2765" w:type="dxa"/>
            <w:gridSpan w:val="3"/>
            <w:vAlign w:val="top"/>
          </w:tcPr>
          <w:p w14:paraId="4FA34D0E">
            <w:pPr>
              <w:rPr>
                <w:rFonts w:ascii="Arial"/>
                <w:sz w:val="21"/>
              </w:rPr>
            </w:pPr>
          </w:p>
        </w:tc>
        <w:tc>
          <w:tcPr>
            <w:tcW w:w="1368" w:type="dxa"/>
            <w:gridSpan w:val="2"/>
            <w:vAlign w:val="top"/>
          </w:tcPr>
          <w:p w14:paraId="4EC1F6FC">
            <w:pPr>
              <w:rPr>
                <w:rFonts w:ascii="Arial"/>
                <w:sz w:val="21"/>
              </w:rPr>
            </w:pPr>
          </w:p>
        </w:tc>
        <w:tc>
          <w:tcPr>
            <w:tcW w:w="2668" w:type="dxa"/>
            <w:gridSpan w:val="2"/>
            <w:vAlign w:val="top"/>
          </w:tcPr>
          <w:p w14:paraId="3A16C700">
            <w:pPr>
              <w:rPr>
                <w:rFonts w:ascii="Arial"/>
                <w:sz w:val="21"/>
              </w:rPr>
            </w:pPr>
          </w:p>
        </w:tc>
      </w:tr>
      <w:tr w14:paraId="67FF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86" w:type="dxa"/>
            <w:vAlign w:val="top"/>
          </w:tcPr>
          <w:p w14:paraId="0AA28F18">
            <w:pPr>
              <w:rPr>
                <w:rFonts w:ascii="Arial"/>
                <w:sz w:val="21"/>
              </w:rPr>
            </w:pPr>
          </w:p>
        </w:tc>
        <w:tc>
          <w:tcPr>
            <w:tcW w:w="2765" w:type="dxa"/>
            <w:gridSpan w:val="3"/>
            <w:vAlign w:val="top"/>
          </w:tcPr>
          <w:p w14:paraId="0ED52E92">
            <w:pPr>
              <w:rPr>
                <w:rFonts w:ascii="Arial"/>
                <w:sz w:val="21"/>
              </w:rPr>
            </w:pPr>
          </w:p>
        </w:tc>
        <w:tc>
          <w:tcPr>
            <w:tcW w:w="1368" w:type="dxa"/>
            <w:gridSpan w:val="2"/>
            <w:vAlign w:val="top"/>
          </w:tcPr>
          <w:p w14:paraId="231D8501">
            <w:pPr>
              <w:rPr>
                <w:rFonts w:ascii="Arial"/>
                <w:sz w:val="21"/>
              </w:rPr>
            </w:pPr>
          </w:p>
        </w:tc>
        <w:tc>
          <w:tcPr>
            <w:tcW w:w="2668" w:type="dxa"/>
            <w:gridSpan w:val="2"/>
            <w:vAlign w:val="top"/>
          </w:tcPr>
          <w:p w14:paraId="103F2870">
            <w:pPr>
              <w:rPr>
                <w:rFonts w:ascii="Arial"/>
                <w:sz w:val="21"/>
              </w:rPr>
            </w:pPr>
          </w:p>
        </w:tc>
      </w:tr>
      <w:tr w14:paraId="7A32B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86" w:type="dxa"/>
            <w:vAlign w:val="top"/>
          </w:tcPr>
          <w:p w14:paraId="78A0D5FA">
            <w:pPr>
              <w:rPr>
                <w:rFonts w:ascii="Arial"/>
                <w:sz w:val="21"/>
              </w:rPr>
            </w:pPr>
          </w:p>
        </w:tc>
        <w:tc>
          <w:tcPr>
            <w:tcW w:w="2765" w:type="dxa"/>
            <w:gridSpan w:val="3"/>
            <w:vAlign w:val="top"/>
          </w:tcPr>
          <w:p w14:paraId="721E22E6">
            <w:pPr>
              <w:rPr>
                <w:rFonts w:ascii="Arial"/>
                <w:sz w:val="21"/>
              </w:rPr>
            </w:pPr>
          </w:p>
        </w:tc>
        <w:tc>
          <w:tcPr>
            <w:tcW w:w="1368" w:type="dxa"/>
            <w:gridSpan w:val="2"/>
            <w:vAlign w:val="top"/>
          </w:tcPr>
          <w:p w14:paraId="47AA4271">
            <w:pPr>
              <w:rPr>
                <w:rFonts w:ascii="Arial"/>
                <w:sz w:val="21"/>
              </w:rPr>
            </w:pPr>
          </w:p>
        </w:tc>
        <w:tc>
          <w:tcPr>
            <w:tcW w:w="2668" w:type="dxa"/>
            <w:gridSpan w:val="2"/>
            <w:vAlign w:val="top"/>
          </w:tcPr>
          <w:p w14:paraId="5B0F1B67">
            <w:pPr>
              <w:rPr>
                <w:rFonts w:ascii="Arial"/>
                <w:sz w:val="21"/>
              </w:rPr>
            </w:pPr>
          </w:p>
        </w:tc>
      </w:tr>
    </w:tbl>
    <w:p w14:paraId="396BE943">
      <w:pPr>
        <w:sectPr>
          <w:footerReference r:id="rId17" w:type="default"/>
          <w:pgSz w:w="11907" w:h="16839"/>
          <w:pgMar w:top="1440" w:right="1800" w:bottom="1440" w:left="1800" w:header="0" w:footer="991" w:gutter="0"/>
          <w:pgNumType w:fmt="decimal"/>
          <w:cols w:space="720" w:num="1"/>
        </w:sectPr>
      </w:pPr>
    </w:p>
    <w:p w14:paraId="0DB9F281">
      <w:pPr>
        <w:pStyle w:val="10"/>
        <w:bidi w:val="0"/>
      </w:pPr>
      <w:r>
        <w:t>七、资格审查资料</w:t>
      </w:r>
    </w:p>
    <w:p w14:paraId="2218538F">
      <w:pPr>
        <w:pStyle w:val="11"/>
        <w:bidi w:val="0"/>
      </w:pPr>
      <w:r>
        <w:t>（一）供应商基本情况</w:t>
      </w:r>
    </w:p>
    <w:tbl>
      <w:tblPr>
        <w:tblStyle w:val="71"/>
        <w:tblW w:w="941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008"/>
        <w:gridCol w:w="1067"/>
        <w:gridCol w:w="1413"/>
        <w:gridCol w:w="348"/>
        <w:gridCol w:w="1209"/>
        <w:gridCol w:w="214"/>
        <w:gridCol w:w="1306"/>
        <w:gridCol w:w="908"/>
      </w:tblGrid>
      <w:tr w14:paraId="5EAB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top w:val="single" w:color="000000" w:sz="2" w:space="0"/>
              <w:left w:val="single" w:color="000000" w:sz="2" w:space="0"/>
            </w:tcBorders>
            <w:vAlign w:val="center"/>
          </w:tcPr>
          <w:p w14:paraId="70094880">
            <w:pPr>
              <w:pStyle w:val="72"/>
              <w:spacing w:before="306" w:line="219" w:lineRule="auto"/>
              <w:jc w:val="center"/>
            </w:pPr>
            <w:r>
              <w:rPr>
                <w:spacing w:val="-2"/>
              </w:rPr>
              <w:t>供应商名称</w:t>
            </w:r>
          </w:p>
        </w:tc>
        <w:tc>
          <w:tcPr>
            <w:tcW w:w="7473" w:type="dxa"/>
            <w:gridSpan w:val="8"/>
            <w:tcBorders>
              <w:top w:val="single" w:color="000000" w:sz="2" w:space="0"/>
              <w:right w:val="single" w:color="000000" w:sz="2" w:space="0"/>
            </w:tcBorders>
            <w:vAlign w:val="center"/>
          </w:tcPr>
          <w:p w14:paraId="2D2CFA7B">
            <w:pPr>
              <w:jc w:val="center"/>
              <w:rPr>
                <w:rFonts w:ascii="Arial"/>
                <w:sz w:val="21"/>
              </w:rPr>
            </w:pPr>
          </w:p>
        </w:tc>
      </w:tr>
      <w:tr w14:paraId="05F90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E16A24D">
            <w:pPr>
              <w:pStyle w:val="72"/>
              <w:spacing w:before="302" w:line="221" w:lineRule="auto"/>
              <w:jc w:val="center"/>
            </w:pPr>
            <w:r>
              <w:rPr>
                <w:spacing w:val="-2"/>
              </w:rPr>
              <w:t>注册地址</w:t>
            </w:r>
          </w:p>
        </w:tc>
        <w:tc>
          <w:tcPr>
            <w:tcW w:w="3836" w:type="dxa"/>
            <w:gridSpan w:val="4"/>
            <w:vAlign w:val="center"/>
          </w:tcPr>
          <w:p w14:paraId="33B86EE6">
            <w:pPr>
              <w:jc w:val="center"/>
              <w:rPr>
                <w:rFonts w:ascii="Arial"/>
                <w:sz w:val="21"/>
              </w:rPr>
            </w:pPr>
          </w:p>
        </w:tc>
        <w:tc>
          <w:tcPr>
            <w:tcW w:w="1209" w:type="dxa"/>
            <w:vAlign w:val="center"/>
          </w:tcPr>
          <w:p w14:paraId="0512FE43">
            <w:pPr>
              <w:pStyle w:val="72"/>
              <w:spacing w:before="302" w:line="220" w:lineRule="auto"/>
              <w:ind w:left="23"/>
              <w:jc w:val="center"/>
            </w:pPr>
            <w:r>
              <w:rPr>
                <w:spacing w:val="-6"/>
              </w:rPr>
              <w:t>邮政编码</w:t>
            </w:r>
          </w:p>
        </w:tc>
        <w:tc>
          <w:tcPr>
            <w:tcW w:w="2428" w:type="dxa"/>
            <w:gridSpan w:val="3"/>
            <w:tcBorders>
              <w:right w:val="single" w:color="000000" w:sz="2" w:space="0"/>
            </w:tcBorders>
            <w:vAlign w:val="center"/>
          </w:tcPr>
          <w:p w14:paraId="17ABE873">
            <w:pPr>
              <w:jc w:val="center"/>
              <w:rPr>
                <w:rFonts w:ascii="Arial"/>
                <w:sz w:val="21"/>
              </w:rPr>
            </w:pPr>
          </w:p>
        </w:tc>
      </w:tr>
      <w:tr w14:paraId="18B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restart"/>
            <w:tcBorders>
              <w:left w:val="single" w:color="000000" w:sz="2" w:space="0"/>
              <w:bottom w:val="nil"/>
            </w:tcBorders>
            <w:vAlign w:val="center"/>
          </w:tcPr>
          <w:p w14:paraId="54FB37A7">
            <w:pPr>
              <w:pStyle w:val="72"/>
              <w:spacing w:before="78" w:line="221" w:lineRule="auto"/>
              <w:jc w:val="center"/>
            </w:pPr>
            <w:r>
              <w:rPr>
                <w:spacing w:val="-2"/>
              </w:rPr>
              <w:t>联系方式</w:t>
            </w:r>
          </w:p>
        </w:tc>
        <w:tc>
          <w:tcPr>
            <w:tcW w:w="1008" w:type="dxa"/>
            <w:vAlign w:val="center"/>
          </w:tcPr>
          <w:p w14:paraId="381B45F1">
            <w:pPr>
              <w:pStyle w:val="72"/>
              <w:spacing w:before="302" w:line="222" w:lineRule="auto"/>
              <w:ind w:left="4"/>
              <w:jc w:val="center"/>
            </w:pPr>
            <w:r>
              <w:rPr>
                <w:spacing w:val="-3"/>
              </w:rPr>
              <w:t>联系人</w:t>
            </w:r>
          </w:p>
        </w:tc>
        <w:tc>
          <w:tcPr>
            <w:tcW w:w="2828" w:type="dxa"/>
            <w:gridSpan w:val="3"/>
            <w:vAlign w:val="center"/>
          </w:tcPr>
          <w:p w14:paraId="03ED49AC">
            <w:pPr>
              <w:jc w:val="center"/>
              <w:rPr>
                <w:rFonts w:ascii="Arial"/>
                <w:sz w:val="21"/>
              </w:rPr>
            </w:pPr>
          </w:p>
        </w:tc>
        <w:tc>
          <w:tcPr>
            <w:tcW w:w="1209" w:type="dxa"/>
            <w:vAlign w:val="center"/>
          </w:tcPr>
          <w:p w14:paraId="0EA784D8">
            <w:pPr>
              <w:pStyle w:val="72"/>
              <w:spacing w:before="302" w:line="222" w:lineRule="auto"/>
              <w:jc w:val="center"/>
            </w:pPr>
            <w:r>
              <w:rPr>
                <w:spacing w:val="-10"/>
              </w:rPr>
              <w:t>电话</w:t>
            </w:r>
          </w:p>
        </w:tc>
        <w:tc>
          <w:tcPr>
            <w:tcW w:w="2428" w:type="dxa"/>
            <w:gridSpan w:val="3"/>
            <w:tcBorders>
              <w:right w:val="single" w:color="000000" w:sz="2" w:space="0"/>
            </w:tcBorders>
            <w:vAlign w:val="center"/>
          </w:tcPr>
          <w:p w14:paraId="7702E190">
            <w:pPr>
              <w:jc w:val="center"/>
              <w:rPr>
                <w:rFonts w:ascii="Arial"/>
                <w:sz w:val="21"/>
              </w:rPr>
            </w:pPr>
          </w:p>
        </w:tc>
      </w:tr>
      <w:tr w14:paraId="11EE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vMerge w:val="continue"/>
            <w:tcBorders>
              <w:top w:val="nil"/>
              <w:left w:val="single" w:color="000000" w:sz="2" w:space="0"/>
            </w:tcBorders>
            <w:vAlign w:val="center"/>
          </w:tcPr>
          <w:p w14:paraId="3684352D">
            <w:pPr>
              <w:jc w:val="center"/>
              <w:rPr>
                <w:rFonts w:ascii="Arial"/>
                <w:sz w:val="21"/>
              </w:rPr>
            </w:pPr>
          </w:p>
        </w:tc>
        <w:tc>
          <w:tcPr>
            <w:tcW w:w="1008" w:type="dxa"/>
            <w:vAlign w:val="center"/>
          </w:tcPr>
          <w:p w14:paraId="70C1E6F9">
            <w:pPr>
              <w:pStyle w:val="72"/>
              <w:spacing w:before="302" w:line="219" w:lineRule="auto"/>
              <w:ind w:left="1"/>
              <w:jc w:val="center"/>
            </w:pPr>
            <w:r>
              <w:rPr>
                <w:spacing w:val="-2"/>
              </w:rPr>
              <w:t>传真</w:t>
            </w:r>
          </w:p>
        </w:tc>
        <w:tc>
          <w:tcPr>
            <w:tcW w:w="2828" w:type="dxa"/>
            <w:gridSpan w:val="3"/>
            <w:vAlign w:val="center"/>
          </w:tcPr>
          <w:p w14:paraId="633B4052">
            <w:pPr>
              <w:jc w:val="center"/>
              <w:rPr>
                <w:rFonts w:ascii="Arial"/>
                <w:sz w:val="21"/>
              </w:rPr>
            </w:pPr>
          </w:p>
        </w:tc>
        <w:tc>
          <w:tcPr>
            <w:tcW w:w="1209" w:type="dxa"/>
            <w:vAlign w:val="center"/>
          </w:tcPr>
          <w:p w14:paraId="26A54096">
            <w:pPr>
              <w:pStyle w:val="72"/>
              <w:spacing w:before="302" w:line="220" w:lineRule="auto"/>
              <w:ind w:left="33"/>
              <w:jc w:val="center"/>
            </w:pPr>
            <w:r>
              <w:rPr>
                <w:spacing w:val="-8"/>
              </w:rPr>
              <w:t>电子邮件</w:t>
            </w:r>
          </w:p>
        </w:tc>
        <w:tc>
          <w:tcPr>
            <w:tcW w:w="2428" w:type="dxa"/>
            <w:gridSpan w:val="3"/>
            <w:tcBorders>
              <w:right w:val="single" w:color="000000" w:sz="2" w:space="0"/>
            </w:tcBorders>
            <w:vAlign w:val="center"/>
          </w:tcPr>
          <w:p w14:paraId="7C4E7A4C">
            <w:pPr>
              <w:jc w:val="center"/>
              <w:rPr>
                <w:rFonts w:ascii="Arial"/>
                <w:sz w:val="21"/>
              </w:rPr>
            </w:pPr>
          </w:p>
        </w:tc>
      </w:tr>
      <w:tr w14:paraId="7449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90650ED">
            <w:pPr>
              <w:pStyle w:val="72"/>
              <w:spacing w:before="303" w:line="220" w:lineRule="auto"/>
              <w:ind w:left="14"/>
              <w:jc w:val="center"/>
            </w:pPr>
            <w:r>
              <w:rPr>
                <w:spacing w:val="-2"/>
              </w:rPr>
              <w:t>法定代表人</w:t>
            </w:r>
          </w:p>
        </w:tc>
        <w:tc>
          <w:tcPr>
            <w:tcW w:w="1008" w:type="dxa"/>
            <w:vAlign w:val="center"/>
          </w:tcPr>
          <w:p w14:paraId="5C138EC4">
            <w:pPr>
              <w:pStyle w:val="72"/>
              <w:spacing w:before="303" w:line="220" w:lineRule="auto"/>
              <w:ind w:left="3"/>
              <w:jc w:val="center"/>
            </w:pPr>
            <w:r>
              <w:rPr>
                <w:spacing w:val="-3"/>
              </w:rPr>
              <w:t>姓名</w:t>
            </w:r>
          </w:p>
        </w:tc>
        <w:tc>
          <w:tcPr>
            <w:tcW w:w="1067" w:type="dxa"/>
            <w:vAlign w:val="center"/>
          </w:tcPr>
          <w:p w14:paraId="5F413B9F">
            <w:pPr>
              <w:jc w:val="center"/>
              <w:rPr>
                <w:rFonts w:ascii="Arial"/>
                <w:sz w:val="21"/>
              </w:rPr>
            </w:pPr>
          </w:p>
        </w:tc>
        <w:tc>
          <w:tcPr>
            <w:tcW w:w="1413" w:type="dxa"/>
            <w:vAlign w:val="center"/>
          </w:tcPr>
          <w:p w14:paraId="4F98D2F3">
            <w:pPr>
              <w:pStyle w:val="72"/>
              <w:spacing w:before="303" w:line="220" w:lineRule="auto"/>
              <w:ind w:left="5"/>
              <w:jc w:val="center"/>
            </w:pPr>
            <w:r>
              <w:rPr>
                <w:spacing w:val="-2"/>
              </w:rPr>
              <w:t>技术职称</w:t>
            </w:r>
          </w:p>
        </w:tc>
        <w:tc>
          <w:tcPr>
            <w:tcW w:w="1771" w:type="dxa"/>
            <w:gridSpan w:val="3"/>
            <w:vAlign w:val="center"/>
          </w:tcPr>
          <w:p w14:paraId="25487015">
            <w:pPr>
              <w:jc w:val="center"/>
              <w:rPr>
                <w:rFonts w:ascii="Arial"/>
                <w:sz w:val="21"/>
              </w:rPr>
            </w:pPr>
          </w:p>
        </w:tc>
        <w:tc>
          <w:tcPr>
            <w:tcW w:w="1306" w:type="dxa"/>
            <w:vAlign w:val="center"/>
          </w:tcPr>
          <w:p w14:paraId="7204E22F">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27E625D0">
            <w:pPr>
              <w:jc w:val="center"/>
              <w:rPr>
                <w:rFonts w:ascii="Arial"/>
                <w:sz w:val="21"/>
              </w:rPr>
            </w:pPr>
          </w:p>
        </w:tc>
      </w:tr>
      <w:tr w14:paraId="111A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39BD49CD">
            <w:pPr>
              <w:pStyle w:val="72"/>
              <w:spacing w:before="303" w:line="220" w:lineRule="auto"/>
              <w:ind w:left="14"/>
              <w:jc w:val="center"/>
            </w:pPr>
            <w:r>
              <w:rPr>
                <w:rFonts w:hint="eastAsia"/>
                <w:spacing w:val="-2"/>
                <w:lang w:val="en-US" w:eastAsia="zh-CN"/>
              </w:rPr>
              <w:t>项目负责</w:t>
            </w:r>
            <w:r>
              <w:rPr>
                <w:spacing w:val="-2"/>
              </w:rPr>
              <w:t>人</w:t>
            </w:r>
          </w:p>
        </w:tc>
        <w:tc>
          <w:tcPr>
            <w:tcW w:w="1008" w:type="dxa"/>
            <w:vAlign w:val="center"/>
          </w:tcPr>
          <w:p w14:paraId="5182A7DE">
            <w:pPr>
              <w:pStyle w:val="72"/>
              <w:spacing w:before="303" w:line="220" w:lineRule="auto"/>
              <w:ind w:left="3"/>
              <w:jc w:val="center"/>
            </w:pPr>
            <w:r>
              <w:rPr>
                <w:spacing w:val="-3"/>
              </w:rPr>
              <w:t>姓名</w:t>
            </w:r>
          </w:p>
        </w:tc>
        <w:tc>
          <w:tcPr>
            <w:tcW w:w="1067" w:type="dxa"/>
            <w:vAlign w:val="center"/>
          </w:tcPr>
          <w:p w14:paraId="5D4022C7">
            <w:pPr>
              <w:jc w:val="center"/>
              <w:rPr>
                <w:rFonts w:ascii="Arial"/>
                <w:sz w:val="21"/>
              </w:rPr>
            </w:pPr>
          </w:p>
        </w:tc>
        <w:tc>
          <w:tcPr>
            <w:tcW w:w="1413" w:type="dxa"/>
            <w:vAlign w:val="center"/>
          </w:tcPr>
          <w:p w14:paraId="4064B465">
            <w:pPr>
              <w:pStyle w:val="72"/>
              <w:spacing w:before="303" w:line="220" w:lineRule="auto"/>
              <w:ind w:left="5"/>
              <w:jc w:val="center"/>
            </w:pPr>
            <w:r>
              <w:rPr>
                <w:spacing w:val="-2"/>
              </w:rPr>
              <w:t>技术职称</w:t>
            </w:r>
          </w:p>
        </w:tc>
        <w:tc>
          <w:tcPr>
            <w:tcW w:w="1771" w:type="dxa"/>
            <w:gridSpan w:val="3"/>
            <w:vAlign w:val="center"/>
          </w:tcPr>
          <w:p w14:paraId="528997EB">
            <w:pPr>
              <w:jc w:val="center"/>
              <w:rPr>
                <w:rFonts w:ascii="Arial"/>
                <w:sz w:val="21"/>
              </w:rPr>
            </w:pPr>
          </w:p>
        </w:tc>
        <w:tc>
          <w:tcPr>
            <w:tcW w:w="1306" w:type="dxa"/>
            <w:vAlign w:val="center"/>
          </w:tcPr>
          <w:p w14:paraId="2BAB007B">
            <w:pPr>
              <w:pStyle w:val="72"/>
              <w:spacing w:before="303" w:line="222" w:lineRule="auto"/>
              <w:ind w:left="34"/>
              <w:jc w:val="center"/>
            </w:pPr>
            <w:r>
              <w:rPr>
                <w:spacing w:val="-10"/>
              </w:rPr>
              <w:t>电话</w:t>
            </w:r>
          </w:p>
        </w:tc>
        <w:tc>
          <w:tcPr>
            <w:tcW w:w="908" w:type="dxa"/>
            <w:tcBorders>
              <w:right w:val="single" w:color="000000" w:sz="2" w:space="0"/>
            </w:tcBorders>
            <w:vAlign w:val="center"/>
          </w:tcPr>
          <w:p w14:paraId="76D20F59">
            <w:pPr>
              <w:jc w:val="center"/>
              <w:rPr>
                <w:rFonts w:ascii="Arial"/>
                <w:sz w:val="21"/>
              </w:rPr>
            </w:pPr>
          </w:p>
        </w:tc>
      </w:tr>
      <w:tr w14:paraId="3000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943" w:type="dxa"/>
            <w:tcBorders>
              <w:left w:val="single" w:color="000000" w:sz="2" w:space="0"/>
            </w:tcBorders>
            <w:vAlign w:val="center"/>
          </w:tcPr>
          <w:p w14:paraId="78B4773E">
            <w:pPr>
              <w:pStyle w:val="72"/>
              <w:spacing w:before="304" w:line="221" w:lineRule="auto"/>
              <w:jc w:val="center"/>
            </w:pPr>
            <w:r>
              <w:rPr>
                <w:spacing w:val="-3"/>
              </w:rPr>
              <w:t>成立时间</w:t>
            </w:r>
          </w:p>
        </w:tc>
        <w:tc>
          <w:tcPr>
            <w:tcW w:w="2075" w:type="dxa"/>
            <w:gridSpan w:val="2"/>
            <w:vAlign w:val="center"/>
          </w:tcPr>
          <w:p w14:paraId="3B85AB7F">
            <w:pPr>
              <w:jc w:val="center"/>
              <w:rPr>
                <w:rFonts w:ascii="Arial"/>
                <w:sz w:val="21"/>
              </w:rPr>
            </w:pPr>
          </w:p>
        </w:tc>
        <w:tc>
          <w:tcPr>
            <w:tcW w:w="5398" w:type="dxa"/>
            <w:gridSpan w:val="6"/>
            <w:tcBorders>
              <w:right w:val="single" w:color="000000" w:sz="2" w:space="0"/>
            </w:tcBorders>
            <w:vAlign w:val="center"/>
          </w:tcPr>
          <w:p w14:paraId="13A29148">
            <w:pPr>
              <w:pStyle w:val="72"/>
              <w:spacing w:before="303" w:line="220" w:lineRule="auto"/>
              <w:jc w:val="center"/>
            </w:pPr>
            <w:r>
              <w:rPr>
                <w:spacing w:val="-11"/>
              </w:rPr>
              <w:t>员工总人数：</w:t>
            </w:r>
          </w:p>
        </w:tc>
      </w:tr>
      <w:tr w14:paraId="72BF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259370C3">
            <w:pPr>
              <w:pStyle w:val="72"/>
              <w:spacing w:before="306" w:line="220" w:lineRule="auto"/>
              <w:ind w:left="17"/>
              <w:jc w:val="center"/>
            </w:pPr>
            <w:r>
              <w:rPr>
                <w:spacing w:val="-2"/>
              </w:rPr>
              <w:t>企业资质等级</w:t>
            </w:r>
          </w:p>
        </w:tc>
        <w:tc>
          <w:tcPr>
            <w:tcW w:w="2075" w:type="dxa"/>
            <w:gridSpan w:val="2"/>
            <w:vAlign w:val="center"/>
          </w:tcPr>
          <w:p w14:paraId="414A0AE7">
            <w:pPr>
              <w:jc w:val="center"/>
              <w:rPr>
                <w:rFonts w:ascii="Arial"/>
                <w:sz w:val="21"/>
              </w:rPr>
            </w:pPr>
          </w:p>
        </w:tc>
        <w:tc>
          <w:tcPr>
            <w:tcW w:w="1413" w:type="dxa"/>
            <w:vMerge w:val="restart"/>
            <w:tcBorders>
              <w:bottom w:val="nil"/>
            </w:tcBorders>
            <w:vAlign w:val="center"/>
          </w:tcPr>
          <w:p w14:paraId="281E8CB9">
            <w:pPr>
              <w:pStyle w:val="72"/>
              <w:spacing w:before="78" w:line="220" w:lineRule="auto"/>
              <w:ind w:left="567"/>
              <w:jc w:val="center"/>
            </w:pPr>
            <w:r>
              <w:rPr>
                <w:spacing w:val="-3"/>
              </w:rPr>
              <w:t>其中</w:t>
            </w:r>
          </w:p>
        </w:tc>
        <w:tc>
          <w:tcPr>
            <w:tcW w:w="1771" w:type="dxa"/>
            <w:gridSpan w:val="3"/>
            <w:vAlign w:val="center"/>
          </w:tcPr>
          <w:p w14:paraId="6B86CA71">
            <w:pPr>
              <w:pStyle w:val="72"/>
              <w:spacing w:before="307" w:line="220" w:lineRule="auto"/>
              <w:ind w:left="571"/>
              <w:jc w:val="center"/>
            </w:pPr>
            <w:r>
              <w:rPr>
                <w:spacing w:val="-3"/>
              </w:rPr>
              <w:t>项目经理</w:t>
            </w:r>
          </w:p>
        </w:tc>
        <w:tc>
          <w:tcPr>
            <w:tcW w:w="2214" w:type="dxa"/>
            <w:gridSpan w:val="2"/>
            <w:tcBorders>
              <w:right w:val="single" w:color="000000" w:sz="2" w:space="0"/>
            </w:tcBorders>
            <w:vAlign w:val="center"/>
          </w:tcPr>
          <w:p w14:paraId="775A3DE2">
            <w:pPr>
              <w:jc w:val="center"/>
              <w:rPr>
                <w:rFonts w:ascii="Arial"/>
                <w:sz w:val="21"/>
              </w:rPr>
            </w:pPr>
          </w:p>
        </w:tc>
      </w:tr>
      <w:tr w14:paraId="0AE21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66382B2F">
            <w:pPr>
              <w:pStyle w:val="72"/>
              <w:spacing w:before="307" w:line="220" w:lineRule="auto"/>
              <w:ind w:left="21"/>
              <w:jc w:val="center"/>
            </w:pPr>
            <w:r>
              <w:rPr>
                <w:spacing w:val="-3"/>
              </w:rPr>
              <w:t>营业执照号</w:t>
            </w:r>
          </w:p>
        </w:tc>
        <w:tc>
          <w:tcPr>
            <w:tcW w:w="2075" w:type="dxa"/>
            <w:gridSpan w:val="2"/>
            <w:vAlign w:val="center"/>
          </w:tcPr>
          <w:p w14:paraId="26E31E89">
            <w:pPr>
              <w:jc w:val="center"/>
              <w:rPr>
                <w:rFonts w:ascii="Arial"/>
                <w:sz w:val="21"/>
              </w:rPr>
            </w:pPr>
          </w:p>
        </w:tc>
        <w:tc>
          <w:tcPr>
            <w:tcW w:w="1413" w:type="dxa"/>
            <w:vMerge w:val="continue"/>
            <w:tcBorders>
              <w:top w:val="nil"/>
              <w:bottom w:val="nil"/>
            </w:tcBorders>
            <w:vAlign w:val="center"/>
          </w:tcPr>
          <w:p w14:paraId="02094633">
            <w:pPr>
              <w:jc w:val="center"/>
              <w:rPr>
                <w:rFonts w:ascii="Arial"/>
                <w:sz w:val="21"/>
              </w:rPr>
            </w:pPr>
          </w:p>
        </w:tc>
        <w:tc>
          <w:tcPr>
            <w:tcW w:w="1771" w:type="dxa"/>
            <w:gridSpan w:val="3"/>
            <w:vAlign w:val="center"/>
          </w:tcPr>
          <w:p w14:paraId="409AB5B4">
            <w:pPr>
              <w:pStyle w:val="72"/>
              <w:spacing w:before="307" w:line="220" w:lineRule="auto"/>
              <w:ind w:left="12"/>
              <w:jc w:val="center"/>
            </w:pPr>
            <w:r>
              <w:rPr>
                <w:spacing w:val="-3"/>
              </w:rPr>
              <w:t>高级职称人员</w:t>
            </w:r>
          </w:p>
        </w:tc>
        <w:tc>
          <w:tcPr>
            <w:tcW w:w="2214" w:type="dxa"/>
            <w:gridSpan w:val="2"/>
            <w:tcBorders>
              <w:right w:val="single" w:color="000000" w:sz="2" w:space="0"/>
            </w:tcBorders>
            <w:vAlign w:val="center"/>
          </w:tcPr>
          <w:p w14:paraId="716434B2">
            <w:pPr>
              <w:jc w:val="center"/>
              <w:rPr>
                <w:rFonts w:ascii="Arial"/>
                <w:sz w:val="21"/>
              </w:rPr>
            </w:pPr>
          </w:p>
        </w:tc>
      </w:tr>
      <w:tr w14:paraId="7E6D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465EBE0D">
            <w:pPr>
              <w:pStyle w:val="72"/>
              <w:spacing w:before="308" w:line="221" w:lineRule="auto"/>
              <w:jc w:val="center"/>
            </w:pPr>
            <w:r>
              <w:rPr>
                <w:spacing w:val="-2"/>
              </w:rPr>
              <w:t>注册资金</w:t>
            </w:r>
          </w:p>
        </w:tc>
        <w:tc>
          <w:tcPr>
            <w:tcW w:w="2075" w:type="dxa"/>
            <w:gridSpan w:val="2"/>
            <w:vAlign w:val="center"/>
          </w:tcPr>
          <w:p w14:paraId="4E18FEC1">
            <w:pPr>
              <w:jc w:val="center"/>
              <w:rPr>
                <w:rFonts w:ascii="Arial"/>
                <w:sz w:val="21"/>
              </w:rPr>
            </w:pPr>
          </w:p>
        </w:tc>
        <w:tc>
          <w:tcPr>
            <w:tcW w:w="1413" w:type="dxa"/>
            <w:vMerge w:val="continue"/>
            <w:tcBorders>
              <w:top w:val="nil"/>
              <w:bottom w:val="nil"/>
            </w:tcBorders>
            <w:vAlign w:val="center"/>
          </w:tcPr>
          <w:p w14:paraId="07ADEC4A">
            <w:pPr>
              <w:jc w:val="center"/>
              <w:rPr>
                <w:rFonts w:ascii="Arial"/>
                <w:sz w:val="21"/>
              </w:rPr>
            </w:pPr>
          </w:p>
        </w:tc>
        <w:tc>
          <w:tcPr>
            <w:tcW w:w="1771" w:type="dxa"/>
            <w:gridSpan w:val="3"/>
            <w:vAlign w:val="center"/>
          </w:tcPr>
          <w:p w14:paraId="154DEE8A">
            <w:pPr>
              <w:pStyle w:val="72"/>
              <w:spacing w:before="308" w:line="220" w:lineRule="auto"/>
              <w:ind w:left="28"/>
              <w:jc w:val="center"/>
            </w:pPr>
            <w:r>
              <w:rPr>
                <w:spacing w:val="-5"/>
              </w:rPr>
              <w:t>中级职称人员</w:t>
            </w:r>
          </w:p>
        </w:tc>
        <w:tc>
          <w:tcPr>
            <w:tcW w:w="2214" w:type="dxa"/>
            <w:gridSpan w:val="2"/>
            <w:tcBorders>
              <w:right w:val="single" w:color="000000" w:sz="2" w:space="0"/>
            </w:tcBorders>
            <w:vAlign w:val="center"/>
          </w:tcPr>
          <w:p w14:paraId="7A2AA7F6">
            <w:pPr>
              <w:jc w:val="center"/>
              <w:rPr>
                <w:rFonts w:ascii="Arial"/>
                <w:sz w:val="21"/>
              </w:rPr>
            </w:pPr>
          </w:p>
        </w:tc>
      </w:tr>
      <w:tr w14:paraId="61DF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43" w:type="dxa"/>
            <w:tcBorders>
              <w:left w:val="single" w:color="000000" w:sz="2" w:space="0"/>
            </w:tcBorders>
            <w:vAlign w:val="center"/>
          </w:tcPr>
          <w:p w14:paraId="0FB4D437">
            <w:pPr>
              <w:pStyle w:val="72"/>
              <w:spacing w:before="308" w:line="219" w:lineRule="auto"/>
              <w:ind w:left="13"/>
              <w:jc w:val="center"/>
            </w:pPr>
            <w:r>
              <w:rPr>
                <w:spacing w:val="-2"/>
              </w:rPr>
              <w:t>基本账户开户银行</w:t>
            </w:r>
          </w:p>
        </w:tc>
        <w:tc>
          <w:tcPr>
            <w:tcW w:w="2075" w:type="dxa"/>
            <w:gridSpan w:val="2"/>
            <w:vAlign w:val="center"/>
          </w:tcPr>
          <w:p w14:paraId="794F9CEC">
            <w:pPr>
              <w:jc w:val="center"/>
              <w:rPr>
                <w:rFonts w:ascii="Arial"/>
                <w:sz w:val="21"/>
              </w:rPr>
            </w:pPr>
          </w:p>
        </w:tc>
        <w:tc>
          <w:tcPr>
            <w:tcW w:w="1413" w:type="dxa"/>
            <w:vMerge w:val="continue"/>
            <w:tcBorders>
              <w:top w:val="nil"/>
              <w:bottom w:val="nil"/>
            </w:tcBorders>
            <w:vAlign w:val="center"/>
          </w:tcPr>
          <w:p w14:paraId="4B836E54">
            <w:pPr>
              <w:jc w:val="center"/>
              <w:rPr>
                <w:rFonts w:ascii="Arial"/>
                <w:sz w:val="21"/>
              </w:rPr>
            </w:pPr>
          </w:p>
        </w:tc>
        <w:tc>
          <w:tcPr>
            <w:tcW w:w="1771" w:type="dxa"/>
            <w:gridSpan w:val="3"/>
            <w:vAlign w:val="center"/>
          </w:tcPr>
          <w:p w14:paraId="20F1270D">
            <w:pPr>
              <w:pStyle w:val="72"/>
              <w:spacing w:before="308" w:line="221" w:lineRule="auto"/>
              <w:ind w:left="4"/>
              <w:jc w:val="center"/>
            </w:pPr>
            <w:r>
              <w:rPr>
                <w:spacing w:val="-2"/>
              </w:rPr>
              <w:t>初级职称人员</w:t>
            </w:r>
          </w:p>
        </w:tc>
        <w:tc>
          <w:tcPr>
            <w:tcW w:w="2214" w:type="dxa"/>
            <w:gridSpan w:val="2"/>
            <w:tcBorders>
              <w:right w:val="single" w:color="000000" w:sz="2" w:space="0"/>
            </w:tcBorders>
            <w:vAlign w:val="center"/>
          </w:tcPr>
          <w:p w14:paraId="3285ABC1">
            <w:pPr>
              <w:jc w:val="center"/>
              <w:rPr>
                <w:rFonts w:ascii="Arial"/>
                <w:sz w:val="21"/>
              </w:rPr>
            </w:pPr>
          </w:p>
        </w:tc>
      </w:tr>
      <w:tr w14:paraId="1528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tcBorders>
            <w:vAlign w:val="center"/>
          </w:tcPr>
          <w:p w14:paraId="19141745">
            <w:pPr>
              <w:pStyle w:val="72"/>
              <w:spacing w:before="315" w:line="219" w:lineRule="auto"/>
              <w:ind w:left="13"/>
              <w:jc w:val="center"/>
            </w:pPr>
            <w:r>
              <w:rPr>
                <w:spacing w:val="-2"/>
              </w:rPr>
              <w:t>基本账户账号</w:t>
            </w:r>
          </w:p>
        </w:tc>
        <w:tc>
          <w:tcPr>
            <w:tcW w:w="2075" w:type="dxa"/>
            <w:gridSpan w:val="2"/>
            <w:vAlign w:val="center"/>
          </w:tcPr>
          <w:p w14:paraId="1D54F591">
            <w:pPr>
              <w:jc w:val="center"/>
              <w:rPr>
                <w:rFonts w:ascii="Arial"/>
                <w:sz w:val="21"/>
              </w:rPr>
            </w:pPr>
          </w:p>
        </w:tc>
        <w:tc>
          <w:tcPr>
            <w:tcW w:w="1413" w:type="dxa"/>
            <w:vMerge w:val="continue"/>
            <w:tcBorders>
              <w:top w:val="nil"/>
            </w:tcBorders>
            <w:vAlign w:val="center"/>
          </w:tcPr>
          <w:p w14:paraId="17074146">
            <w:pPr>
              <w:jc w:val="center"/>
              <w:rPr>
                <w:rFonts w:ascii="Arial"/>
                <w:sz w:val="21"/>
              </w:rPr>
            </w:pPr>
          </w:p>
        </w:tc>
        <w:tc>
          <w:tcPr>
            <w:tcW w:w="1771" w:type="dxa"/>
            <w:gridSpan w:val="3"/>
            <w:vAlign w:val="center"/>
          </w:tcPr>
          <w:p w14:paraId="54BFD395">
            <w:pPr>
              <w:pStyle w:val="72"/>
              <w:spacing w:before="315" w:line="221" w:lineRule="auto"/>
              <w:jc w:val="center"/>
            </w:pPr>
            <w:r>
              <w:rPr>
                <w:spacing w:val="-3"/>
              </w:rPr>
              <w:t>技工</w:t>
            </w:r>
          </w:p>
        </w:tc>
        <w:tc>
          <w:tcPr>
            <w:tcW w:w="2214" w:type="dxa"/>
            <w:gridSpan w:val="2"/>
            <w:tcBorders>
              <w:right w:val="single" w:color="000000" w:sz="2" w:space="0"/>
            </w:tcBorders>
            <w:vAlign w:val="center"/>
          </w:tcPr>
          <w:p w14:paraId="6BA1753C">
            <w:pPr>
              <w:jc w:val="center"/>
              <w:rPr>
                <w:rFonts w:ascii="Arial"/>
                <w:sz w:val="21"/>
              </w:rPr>
            </w:pPr>
          </w:p>
        </w:tc>
      </w:tr>
      <w:tr w14:paraId="02A1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943" w:type="dxa"/>
            <w:tcBorders>
              <w:left w:val="single" w:color="000000" w:sz="2" w:space="0"/>
            </w:tcBorders>
            <w:vAlign w:val="center"/>
          </w:tcPr>
          <w:p w14:paraId="0704465A">
            <w:pPr>
              <w:pStyle w:val="72"/>
              <w:spacing w:before="78" w:line="220" w:lineRule="auto"/>
              <w:jc w:val="center"/>
            </w:pPr>
            <w:r>
              <w:rPr>
                <w:spacing w:val="-3"/>
              </w:rPr>
              <w:t>经营范围</w:t>
            </w:r>
          </w:p>
        </w:tc>
        <w:tc>
          <w:tcPr>
            <w:tcW w:w="7473" w:type="dxa"/>
            <w:gridSpan w:val="8"/>
            <w:tcBorders>
              <w:right w:val="single" w:color="000000" w:sz="2" w:space="0"/>
            </w:tcBorders>
            <w:vAlign w:val="center"/>
          </w:tcPr>
          <w:p w14:paraId="0AA27351">
            <w:pPr>
              <w:jc w:val="center"/>
              <w:rPr>
                <w:rFonts w:ascii="Arial"/>
                <w:sz w:val="21"/>
              </w:rPr>
            </w:pPr>
          </w:p>
        </w:tc>
      </w:tr>
      <w:tr w14:paraId="248F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943" w:type="dxa"/>
            <w:tcBorders>
              <w:left w:val="single" w:color="000000" w:sz="2" w:space="0"/>
              <w:bottom w:val="single" w:color="000000" w:sz="2" w:space="0"/>
            </w:tcBorders>
            <w:vAlign w:val="center"/>
          </w:tcPr>
          <w:p w14:paraId="1F45B99F">
            <w:pPr>
              <w:pStyle w:val="72"/>
              <w:spacing w:before="314" w:line="221" w:lineRule="auto"/>
              <w:jc w:val="center"/>
            </w:pPr>
            <w:r>
              <w:rPr>
                <w:spacing w:val="-7"/>
              </w:rPr>
              <w:t>备注</w:t>
            </w:r>
          </w:p>
        </w:tc>
        <w:tc>
          <w:tcPr>
            <w:tcW w:w="7473" w:type="dxa"/>
            <w:gridSpan w:val="8"/>
            <w:tcBorders>
              <w:bottom w:val="single" w:color="000000" w:sz="2" w:space="0"/>
              <w:right w:val="single" w:color="000000" w:sz="2" w:space="0"/>
            </w:tcBorders>
            <w:vAlign w:val="center"/>
          </w:tcPr>
          <w:p w14:paraId="4F0FFDAC">
            <w:pPr>
              <w:jc w:val="center"/>
              <w:rPr>
                <w:rFonts w:ascii="Arial"/>
                <w:sz w:val="21"/>
              </w:rPr>
            </w:pPr>
          </w:p>
        </w:tc>
      </w:tr>
    </w:tbl>
    <w:p w14:paraId="69ECC3DA">
      <w:pPr>
        <w:sectPr>
          <w:footerReference r:id="rId18" w:type="default"/>
          <w:pgSz w:w="11907" w:h="16839"/>
          <w:pgMar w:top="1440" w:right="1800" w:bottom="1440" w:left="1800" w:header="0" w:footer="991" w:gutter="0"/>
          <w:pgNumType w:fmt="decimal"/>
          <w:cols w:space="720" w:num="1"/>
        </w:sectPr>
      </w:pPr>
    </w:p>
    <w:p w14:paraId="4F606240">
      <w:pPr>
        <w:pStyle w:val="11"/>
        <w:bidi w:val="0"/>
      </w:pPr>
      <w:r>
        <w:t>（二）近年完成的类似项目情况表</w:t>
      </w:r>
    </w:p>
    <w:tbl>
      <w:tblPr>
        <w:tblStyle w:val="71"/>
        <w:tblW w:w="96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5"/>
        <w:gridCol w:w="7030"/>
      </w:tblGrid>
      <w:tr w14:paraId="50B2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615" w:type="dxa"/>
            <w:tcBorders>
              <w:top w:val="single" w:color="000000" w:sz="2" w:space="0"/>
              <w:left w:val="single" w:color="000000" w:sz="2" w:space="0"/>
            </w:tcBorders>
            <w:vAlign w:val="top"/>
          </w:tcPr>
          <w:p w14:paraId="226F013E">
            <w:pPr>
              <w:pStyle w:val="72"/>
              <w:spacing w:before="225" w:line="221" w:lineRule="auto"/>
              <w:ind w:left="678"/>
            </w:pPr>
            <w:r>
              <w:rPr>
                <w:spacing w:val="-3"/>
              </w:rPr>
              <w:t>序号</w:t>
            </w:r>
          </w:p>
        </w:tc>
        <w:tc>
          <w:tcPr>
            <w:tcW w:w="7030" w:type="dxa"/>
            <w:tcBorders>
              <w:top w:val="single" w:color="000000" w:sz="2" w:space="0"/>
              <w:right w:val="single" w:color="000000" w:sz="2" w:space="0"/>
            </w:tcBorders>
            <w:vAlign w:val="top"/>
          </w:tcPr>
          <w:p w14:paraId="0748BE5C">
            <w:pPr>
              <w:rPr>
                <w:rFonts w:ascii="Arial"/>
                <w:sz w:val="21"/>
              </w:rPr>
            </w:pPr>
          </w:p>
        </w:tc>
      </w:tr>
      <w:tr w14:paraId="1BD0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65C4C61D">
            <w:pPr>
              <w:pStyle w:val="72"/>
              <w:spacing w:before="221" w:line="220" w:lineRule="auto"/>
              <w:ind w:left="683"/>
            </w:pPr>
            <w:r>
              <w:rPr>
                <w:spacing w:val="-3"/>
              </w:rPr>
              <w:t>项目名称</w:t>
            </w:r>
          </w:p>
        </w:tc>
        <w:tc>
          <w:tcPr>
            <w:tcW w:w="7030" w:type="dxa"/>
            <w:tcBorders>
              <w:right w:val="single" w:color="000000" w:sz="2" w:space="0"/>
            </w:tcBorders>
            <w:vAlign w:val="top"/>
          </w:tcPr>
          <w:p w14:paraId="74780440">
            <w:pPr>
              <w:rPr>
                <w:rFonts w:ascii="Arial"/>
                <w:sz w:val="21"/>
              </w:rPr>
            </w:pPr>
          </w:p>
        </w:tc>
      </w:tr>
      <w:tr w14:paraId="3A69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622FCE25">
            <w:pPr>
              <w:pStyle w:val="72"/>
              <w:spacing w:before="218" w:line="220" w:lineRule="auto"/>
              <w:ind w:left="683"/>
            </w:pPr>
            <w:r>
              <w:rPr>
                <w:spacing w:val="-3"/>
              </w:rPr>
              <w:t>项目所在地</w:t>
            </w:r>
          </w:p>
        </w:tc>
        <w:tc>
          <w:tcPr>
            <w:tcW w:w="7030" w:type="dxa"/>
            <w:tcBorders>
              <w:right w:val="single" w:color="000000" w:sz="2" w:space="0"/>
            </w:tcBorders>
            <w:vAlign w:val="top"/>
          </w:tcPr>
          <w:p w14:paraId="0C51A597">
            <w:pPr>
              <w:rPr>
                <w:rFonts w:ascii="Arial"/>
                <w:sz w:val="21"/>
              </w:rPr>
            </w:pPr>
          </w:p>
        </w:tc>
      </w:tr>
      <w:tr w14:paraId="2C4E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78200780">
            <w:pPr>
              <w:pStyle w:val="72"/>
              <w:spacing w:before="222" w:line="220" w:lineRule="auto"/>
              <w:ind w:left="683"/>
            </w:pPr>
            <w:r>
              <w:rPr>
                <w:spacing w:val="-3"/>
              </w:rPr>
              <w:t>发包人名称</w:t>
            </w:r>
          </w:p>
        </w:tc>
        <w:tc>
          <w:tcPr>
            <w:tcW w:w="7030" w:type="dxa"/>
            <w:tcBorders>
              <w:right w:val="single" w:color="000000" w:sz="2" w:space="0"/>
            </w:tcBorders>
            <w:vAlign w:val="top"/>
          </w:tcPr>
          <w:p w14:paraId="30013420">
            <w:pPr>
              <w:rPr>
                <w:rFonts w:ascii="Arial"/>
                <w:sz w:val="21"/>
              </w:rPr>
            </w:pPr>
          </w:p>
        </w:tc>
      </w:tr>
      <w:tr w14:paraId="6043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615" w:type="dxa"/>
            <w:tcBorders>
              <w:left w:val="single" w:color="000000" w:sz="2" w:space="0"/>
            </w:tcBorders>
            <w:vAlign w:val="top"/>
          </w:tcPr>
          <w:p w14:paraId="32D7CBFD">
            <w:pPr>
              <w:pStyle w:val="72"/>
              <w:spacing w:before="219" w:line="220" w:lineRule="auto"/>
              <w:ind w:left="683"/>
            </w:pPr>
            <w:r>
              <w:rPr>
                <w:spacing w:val="-3"/>
              </w:rPr>
              <w:t>发包人地址</w:t>
            </w:r>
          </w:p>
        </w:tc>
        <w:tc>
          <w:tcPr>
            <w:tcW w:w="7030" w:type="dxa"/>
            <w:tcBorders>
              <w:right w:val="single" w:color="000000" w:sz="2" w:space="0"/>
            </w:tcBorders>
            <w:vAlign w:val="top"/>
          </w:tcPr>
          <w:p w14:paraId="40A5F236">
            <w:pPr>
              <w:rPr>
                <w:rFonts w:ascii="Arial"/>
                <w:sz w:val="21"/>
              </w:rPr>
            </w:pPr>
          </w:p>
        </w:tc>
      </w:tr>
      <w:tr w14:paraId="5C22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22B1B5BD">
            <w:pPr>
              <w:pStyle w:val="72"/>
              <w:spacing w:before="223" w:line="220" w:lineRule="auto"/>
              <w:ind w:left="683"/>
            </w:pPr>
            <w:r>
              <w:rPr>
                <w:spacing w:val="-3"/>
              </w:rPr>
              <w:t>发包人电话</w:t>
            </w:r>
          </w:p>
        </w:tc>
        <w:tc>
          <w:tcPr>
            <w:tcW w:w="7030" w:type="dxa"/>
            <w:tcBorders>
              <w:right w:val="single" w:color="000000" w:sz="2" w:space="0"/>
            </w:tcBorders>
            <w:vAlign w:val="top"/>
          </w:tcPr>
          <w:p w14:paraId="4EF41437">
            <w:pPr>
              <w:rPr>
                <w:rFonts w:ascii="Arial"/>
                <w:sz w:val="21"/>
              </w:rPr>
            </w:pPr>
          </w:p>
        </w:tc>
      </w:tr>
      <w:tr w14:paraId="1550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19ADCD25">
            <w:pPr>
              <w:pStyle w:val="72"/>
              <w:spacing w:before="221" w:line="218" w:lineRule="auto"/>
              <w:ind w:left="680"/>
            </w:pPr>
            <w:r>
              <w:rPr>
                <w:spacing w:val="-2"/>
              </w:rPr>
              <w:t>合同价格</w:t>
            </w:r>
          </w:p>
        </w:tc>
        <w:tc>
          <w:tcPr>
            <w:tcW w:w="7030" w:type="dxa"/>
            <w:tcBorders>
              <w:right w:val="single" w:color="000000" w:sz="2" w:space="0"/>
            </w:tcBorders>
            <w:vAlign w:val="top"/>
          </w:tcPr>
          <w:p w14:paraId="1C6213F2">
            <w:pPr>
              <w:rPr>
                <w:rFonts w:ascii="Arial"/>
                <w:sz w:val="21"/>
              </w:rPr>
            </w:pPr>
          </w:p>
        </w:tc>
      </w:tr>
      <w:tr w14:paraId="7C57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C69A0A2">
            <w:pPr>
              <w:pStyle w:val="72"/>
              <w:spacing w:before="223" w:line="220" w:lineRule="auto"/>
              <w:ind w:left="680"/>
            </w:pPr>
            <w:r>
              <w:rPr>
                <w:spacing w:val="-2"/>
              </w:rPr>
              <w:t>开工日期</w:t>
            </w:r>
          </w:p>
        </w:tc>
        <w:tc>
          <w:tcPr>
            <w:tcW w:w="7030" w:type="dxa"/>
            <w:tcBorders>
              <w:right w:val="single" w:color="000000" w:sz="2" w:space="0"/>
            </w:tcBorders>
            <w:vAlign w:val="top"/>
          </w:tcPr>
          <w:p w14:paraId="15FAF5FB">
            <w:pPr>
              <w:rPr>
                <w:rFonts w:ascii="Arial"/>
                <w:sz w:val="21"/>
              </w:rPr>
            </w:pPr>
          </w:p>
        </w:tc>
      </w:tr>
      <w:tr w14:paraId="5D1C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29F6020F">
            <w:pPr>
              <w:pStyle w:val="72"/>
              <w:spacing w:before="221" w:line="220" w:lineRule="auto"/>
              <w:ind w:left="684"/>
            </w:pPr>
            <w:r>
              <w:rPr>
                <w:spacing w:val="-3"/>
              </w:rPr>
              <w:t>交工日期</w:t>
            </w:r>
          </w:p>
        </w:tc>
        <w:tc>
          <w:tcPr>
            <w:tcW w:w="7030" w:type="dxa"/>
            <w:tcBorders>
              <w:right w:val="single" w:color="000000" w:sz="2" w:space="0"/>
            </w:tcBorders>
            <w:vAlign w:val="top"/>
          </w:tcPr>
          <w:p w14:paraId="0BB948E3">
            <w:pPr>
              <w:rPr>
                <w:rFonts w:ascii="Arial"/>
                <w:sz w:val="21"/>
              </w:rPr>
            </w:pPr>
          </w:p>
        </w:tc>
      </w:tr>
      <w:tr w14:paraId="40A9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43452CB9">
            <w:pPr>
              <w:pStyle w:val="72"/>
              <w:spacing w:before="222" w:line="220" w:lineRule="auto"/>
              <w:ind w:left="679"/>
            </w:pPr>
            <w:r>
              <w:rPr>
                <w:spacing w:val="-2"/>
              </w:rPr>
              <w:t>承担的工作</w:t>
            </w:r>
          </w:p>
        </w:tc>
        <w:tc>
          <w:tcPr>
            <w:tcW w:w="7030" w:type="dxa"/>
            <w:tcBorders>
              <w:right w:val="single" w:color="000000" w:sz="2" w:space="0"/>
            </w:tcBorders>
            <w:vAlign w:val="top"/>
          </w:tcPr>
          <w:p w14:paraId="272AB077">
            <w:pPr>
              <w:rPr>
                <w:rFonts w:ascii="Arial"/>
                <w:sz w:val="21"/>
              </w:rPr>
            </w:pPr>
          </w:p>
        </w:tc>
      </w:tr>
      <w:tr w14:paraId="7BD5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55188CEB">
            <w:pPr>
              <w:pStyle w:val="72"/>
              <w:spacing w:before="221" w:line="220" w:lineRule="auto"/>
              <w:ind w:left="682"/>
            </w:pPr>
            <w:r>
              <w:rPr>
                <w:spacing w:val="-3"/>
              </w:rPr>
              <w:t>工程质量</w:t>
            </w:r>
          </w:p>
        </w:tc>
        <w:tc>
          <w:tcPr>
            <w:tcW w:w="7030" w:type="dxa"/>
            <w:tcBorders>
              <w:right w:val="single" w:color="000000" w:sz="2" w:space="0"/>
            </w:tcBorders>
            <w:vAlign w:val="top"/>
          </w:tcPr>
          <w:p w14:paraId="32842C79">
            <w:pPr>
              <w:rPr>
                <w:rFonts w:ascii="Arial"/>
                <w:sz w:val="21"/>
              </w:rPr>
            </w:pPr>
          </w:p>
        </w:tc>
      </w:tr>
      <w:tr w14:paraId="2E1C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15" w:type="dxa"/>
            <w:tcBorders>
              <w:left w:val="single" w:color="000000" w:sz="2" w:space="0"/>
            </w:tcBorders>
            <w:vAlign w:val="top"/>
          </w:tcPr>
          <w:p w14:paraId="0C5DB3A6">
            <w:pPr>
              <w:pStyle w:val="72"/>
              <w:spacing w:before="223" w:line="220" w:lineRule="auto"/>
              <w:ind w:left="683"/>
            </w:pPr>
            <w:r>
              <w:rPr>
                <w:spacing w:val="-3"/>
              </w:rPr>
              <w:t>项目经理</w:t>
            </w:r>
          </w:p>
        </w:tc>
        <w:tc>
          <w:tcPr>
            <w:tcW w:w="7030" w:type="dxa"/>
            <w:tcBorders>
              <w:right w:val="single" w:color="000000" w:sz="2" w:space="0"/>
            </w:tcBorders>
            <w:vAlign w:val="top"/>
          </w:tcPr>
          <w:p w14:paraId="5E5BFBBC">
            <w:pPr>
              <w:rPr>
                <w:rFonts w:ascii="Arial"/>
                <w:sz w:val="21"/>
              </w:rPr>
            </w:pPr>
          </w:p>
        </w:tc>
      </w:tr>
      <w:tr w14:paraId="50BC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615" w:type="dxa"/>
            <w:tcBorders>
              <w:left w:val="single" w:color="000000" w:sz="2" w:space="0"/>
            </w:tcBorders>
            <w:vAlign w:val="top"/>
          </w:tcPr>
          <w:p w14:paraId="0782F376">
            <w:pPr>
              <w:pStyle w:val="72"/>
              <w:spacing w:before="221" w:line="220" w:lineRule="auto"/>
              <w:ind w:left="683"/>
            </w:pPr>
            <w:r>
              <w:rPr>
                <w:spacing w:val="-3"/>
              </w:rPr>
              <w:t>项目总工</w:t>
            </w:r>
          </w:p>
        </w:tc>
        <w:tc>
          <w:tcPr>
            <w:tcW w:w="7030" w:type="dxa"/>
            <w:tcBorders>
              <w:right w:val="single" w:color="000000" w:sz="2" w:space="0"/>
            </w:tcBorders>
            <w:vAlign w:val="top"/>
          </w:tcPr>
          <w:p w14:paraId="61D89DCA">
            <w:pPr>
              <w:rPr>
                <w:rFonts w:ascii="Arial"/>
                <w:sz w:val="21"/>
              </w:rPr>
            </w:pPr>
          </w:p>
        </w:tc>
      </w:tr>
      <w:tr w14:paraId="6942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615" w:type="dxa"/>
            <w:tcBorders>
              <w:left w:val="single" w:color="000000" w:sz="2" w:space="0"/>
            </w:tcBorders>
            <w:vAlign w:val="top"/>
          </w:tcPr>
          <w:p w14:paraId="2F80B146">
            <w:pPr>
              <w:pStyle w:val="72"/>
              <w:spacing w:before="181" w:line="298" w:lineRule="auto"/>
              <w:ind w:left="596" w:right="819" w:hanging="232"/>
            </w:pPr>
            <w:r>
              <w:rPr>
                <w:spacing w:val="-3"/>
              </w:rPr>
              <w:t>总监理工程师</w:t>
            </w:r>
            <w:r>
              <w:rPr>
                <w:spacing w:val="-2"/>
              </w:rPr>
              <w:t>及电话</w:t>
            </w:r>
          </w:p>
        </w:tc>
        <w:tc>
          <w:tcPr>
            <w:tcW w:w="7030" w:type="dxa"/>
            <w:tcBorders>
              <w:right w:val="single" w:color="000000" w:sz="2" w:space="0"/>
            </w:tcBorders>
            <w:vAlign w:val="top"/>
          </w:tcPr>
          <w:p w14:paraId="75E5BAB9">
            <w:pPr>
              <w:rPr>
                <w:rFonts w:ascii="Arial"/>
                <w:sz w:val="21"/>
              </w:rPr>
            </w:pPr>
          </w:p>
        </w:tc>
      </w:tr>
      <w:tr w14:paraId="012A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2615" w:type="dxa"/>
            <w:tcBorders>
              <w:left w:val="single" w:color="000000" w:sz="2" w:space="0"/>
            </w:tcBorders>
            <w:vAlign w:val="top"/>
          </w:tcPr>
          <w:p w14:paraId="104C8838">
            <w:pPr>
              <w:pStyle w:val="72"/>
              <w:spacing w:before="78" w:line="220" w:lineRule="auto"/>
              <w:ind w:left="683"/>
            </w:pPr>
            <w:r>
              <w:rPr>
                <w:spacing w:val="-3"/>
              </w:rPr>
              <w:t>项目描述</w:t>
            </w:r>
          </w:p>
        </w:tc>
        <w:tc>
          <w:tcPr>
            <w:tcW w:w="7030" w:type="dxa"/>
            <w:tcBorders>
              <w:right w:val="single" w:color="000000" w:sz="2" w:space="0"/>
            </w:tcBorders>
            <w:vAlign w:val="top"/>
          </w:tcPr>
          <w:p w14:paraId="1CB9ADA8">
            <w:pPr>
              <w:rPr>
                <w:rFonts w:ascii="Arial"/>
                <w:sz w:val="21"/>
              </w:rPr>
            </w:pPr>
          </w:p>
        </w:tc>
      </w:tr>
      <w:tr w14:paraId="1204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15" w:type="dxa"/>
            <w:tcBorders>
              <w:left w:val="single" w:color="000000" w:sz="2" w:space="0"/>
              <w:bottom w:val="single" w:color="000000" w:sz="2" w:space="0"/>
            </w:tcBorders>
            <w:vAlign w:val="top"/>
          </w:tcPr>
          <w:p w14:paraId="6319EF0E">
            <w:pPr>
              <w:pStyle w:val="72"/>
              <w:spacing w:before="286" w:line="221" w:lineRule="auto"/>
              <w:ind w:left="682"/>
            </w:pPr>
            <w:r>
              <w:rPr>
                <w:spacing w:val="-4"/>
              </w:rPr>
              <w:t>备注</w:t>
            </w:r>
          </w:p>
        </w:tc>
        <w:tc>
          <w:tcPr>
            <w:tcW w:w="7030" w:type="dxa"/>
            <w:tcBorders>
              <w:bottom w:val="single" w:color="000000" w:sz="2" w:space="0"/>
              <w:right w:val="single" w:color="000000" w:sz="2" w:space="0"/>
            </w:tcBorders>
            <w:vAlign w:val="top"/>
          </w:tcPr>
          <w:p w14:paraId="57B43CC3">
            <w:pPr>
              <w:rPr>
                <w:rFonts w:ascii="Arial"/>
                <w:sz w:val="21"/>
              </w:rPr>
            </w:pPr>
          </w:p>
        </w:tc>
      </w:tr>
    </w:tbl>
    <w:p w14:paraId="4D1E8E85">
      <w:pPr>
        <w:sectPr>
          <w:footerReference r:id="rId19" w:type="default"/>
          <w:pgSz w:w="11907" w:h="16839"/>
          <w:pgMar w:top="1440" w:right="1800" w:bottom="1440" w:left="1800" w:header="0" w:footer="991" w:gutter="0"/>
          <w:pgNumType w:fmt="decimal"/>
          <w:cols w:space="720" w:num="1"/>
        </w:sectPr>
      </w:pPr>
    </w:p>
    <w:p w14:paraId="326B29F8">
      <w:pPr>
        <w:pStyle w:val="11"/>
        <w:bidi w:val="0"/>
      </w:pPr>
      <w:r>
        <w:t>（三）正在施工的和新承接的项目情况表</w:t>
      </w:r>
    </w:p>
    <w:tbl>
      <w:tblPr>
        <w:tblStyle w:val="71"/>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6095"/>
      </w:tblGrid>
      <w:tr w14:paraId="55FF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16" w:type="dxa"/>
            <w:vAlign w:val="top"/>
          </w:tcPr>
          <w:p w14:paraId="47BBF7CB">
            <w:pPr>
              <w:pStyle w:val="72"/>
              <w:spacing w:before="197" w:line="220" w:lineRule="auto"/>
              <w:ind w:left="737"/>
            </w:pPr>
            <w:r>
              <w:rPr>
                <w:spacing w:val="-3"/>
              </w:rPr>
              <w:t>项目名称</w:t>
            </w:r>
          </w:p>
        </w:tc>
        <w:tc>
          <w:tcPr>
            <w:tcW w:w="6095" w:type="dxa"/>
            <w:vAlign w:val="top"/>
          </w:tcPr>
          <w:p w14:paraId="3A93CC6F">
            <w:pPr>
              <w:rPr>
                <w:rFonts w:ascii="Arial"/>
                <w:sz w:val="21"/>
              </w:rPr>
            </w:pPr>
          </w:p>
        </w:tc>
      </w:tr>
      <w:tr w14:paraId="626E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DF4BF69">
            <w:pPr>
              <w:pStyle w:val="72"/>
              <w:spacing w:before="189" w:line="220" w:lineRule="auto"/>
              <w:ind w:left="617"/>
            </w:pPr>
            <w:r>
              <w:rPr>
                <w:spacing w:val="-3"/>
              </w:rPr>
              <w:t>项目所在地</w:t>
            </w:r>
          </w:p>
        </w:tc>
        <w:tc>
          <w:tcPr>
            <w:tcW w:w="6095" w:type="dxa"/>
            <w:vAlign w:val="top"/>
          </w:tcPr>
          <w:p w14:paraId="3644D866">
            <w:pPr>
              <w:rPr>
                <w:rFonts w:ascii="Arial"/>
                <w:sz w:val="21"/>
              </w:rPr>
            </w:pPr>
          </w:p>
        </w:tc>
      </w:tr>
      <w:tr w14:paraId="770B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6C7B97E7">
            <w:pPr>
              <w:pStyle w:val="72"/>
              <w:spacing w:before="190" w:line="220" w:lineRule="auto"/>
              <w:ind w:left="617"/>
            </w:pPr>
            <w:r>
              <w:rPr>
                <w:spacing w:val="-3"/>
              </w:rPr>
              <w:t>发包人名称</w:t>
            </w:r>
          </w:p>
        </w:tc>
        <w:tc>
          <w:tcPr>
            <w:tcW w:w="6095" w:type="dxa"/>
            <w:vAlign w:val="top"/>
          </w:tcPr>
          <w:p w14:paraId="53EC07BE">
            <w:pPr>
              <w:rPr>
                <w:rFonts w:ascii="Arial"/>
                <w:sz w:val="21"/>
              </w:rPr>
            </w:pPr>
          </w:p>
        </w:tc>
      </w:tr>
      <w:tr w14:paraId="35AD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4D0F0ED8">
            <w:pPr>
              <w:pStyle w:val="72"/>
              <w:spacing w:before="193" w:line="220" w:lineRule="auto"/>
              <w:ind w:left="617"/>
            </w:pPr>
            <w:r>
              <w:rPr>
                <w:spacing w:val="-3"/>
              </w:rPr>
              <w:t>发包人地址</w:t>
            </w:r>
          </w:p>
        </w:tc>
        <w:tc>
          <w:tcPr>
            <w:tcW w:w="6095" w:type="dxa"/>
            <w:vAlign w:val="top"/>
          </w:tcPr>
          <w:p w14:paraId="63BF496B">
            <w:pPr>
              <w:rPr>
                <w:rFonts w:ascii="Arial"/>
                <w:sz w:val="21"/>
              </w:rPr>
            </w:pPr>
          </w:p>
        </w:tc>
      </w:tr>
      <w:tr w14:paraId="0A65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01B308B">
            <w:pPr>
              <w:pStyle w:val="72"/>
              <w:spacing w:before="193" w:line="220" w:lineRule="auto"/>
              <w:ind w:left="617"/>
            </w:pPr>
            <w:r>
              <w:rPr>
                <w:spacing w:val="-3"/>
              </w:rPr>
              <w:t>发包人电话</w:t>
            </w:r>
          </w:p>
        </w:tc>
        <w:tc>
          <w:tcPr>
            <w:tcW w:w="6095" w:type="dxa"/>
            <w:vAlign w:val="top"/>
          </w:tcPr>
          <w:p w14:paraId="6610AC5B">
            <w:pPr>
              <w:rPr>
                <w:rFonts w:ascii="Arial"/>
                <w:sz w:val="21"/>
              </w:rPr>
            </w:pPr>
          </w:p>
        </w:tc>
      </w:tr>
      <w:tr w14:paraId="22437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B033F6D">
            <w:pPr>
              <w:pStyle w:val="72"/>
              <w:spacing w:before="194" w:line="218" w:lineRule="auto"/>
              <w:ind w:left="613"/>
            </w:pPr>
            <w:r>
              <w:rPr>
                <w:spacing w:val="-2"/>
              </w:rPr>
              <w:t>签约合同价</w:t>
            </w:r>
          </w:p>
        </w:tc>
        <w:tc>
          <w:tcPr>
            <w:tcW w:w="6095" w:type="dxa"/>
            <w:vAlign w:val="top"/>
          </w:tcPr>
          <w:p w14:paraId="446A1BAA">
            <w:pPr>
              <w:rPr>
                <w:rFonts w:ascii="Arial"/>
                <w:sz w:val="21"/>
              </w:rPr>
            </w:pPr>
          </w:p>
        </w:tc>
      </w:tr>
      <w:tr w14:paraId="0BE8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05F8C323">
            <w:pPr>
              <w:pStyle w:val="72"/>
              <w:spacing w:before="194" w:line="220" w:lineRule="auto"/>
              <w:ind w:left="734"/>
            </w:pPr>
            <w:r>
              <w:rPr>
                <w:spacing w:val="-2"/>
              </w:rPr>
              <w:t>开工日期</w:t>
            </w:r>
          </w:p>
        </w:tc>
        <w:tc>
          <w:tcPr>
            <w:tcW w:w="6095" w:type="dxa"/>
            <w:vAlign w:val="top"/>
          </w:tcPr>
          <w:p w14:paraId="456A692F">
            <w:pPr>
              <w:rPr>
                <w:rFonts w:ascii="Arial"/>
                <w:sz w:val="21"/>
              </w:rPr>
            </w:pPr>
          </w:p>
        </w:tc>
      </w:tr>
      <w:tr w14:paraId="35B2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6" w:type="dxa"/>
            <w:vAlign w:val="top"/>
          </w:tcPr>
          <w:p w14:paraId="6CCC50DB">
            <w:pPr>
              <w:pStyle w:val="72"/>
              <w:spacing w:before="193" w:line="220" w:lineRule="auto"/>
              <w:ind w:left="493"/>
            </w:pPr>
            <w:r>
              <w:rPr>
                <w:spacing w:val="-2"/>
              </w:rPr>
              <w:t>计划竣工日期</w:t>
            </w:r>
          </w:p>
        </w:tc>
        <w:tc>
          <w:tcPr>
            <w:tcW w:w="6095" w:type="dxa"/>
            <w:vAlign w:val="top"/>
          </w:tcPr>
          <w:p w14:paraId="43404711">
            <w:pPr>
              <w:rPr>
                <w:rFonts w:ascii="Arial"/>
                <w:sz w:val="21"/>
              </w:rPr>
            </w:pPr>
          </w:p>
        </w:tc>
      </w:tr>
      <w:tr w14:paraId="7D43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AD16C42">
            <w:pPr>
              <w:pStyle w:val="72"/>
              <w:spacing w:before="191" w:line="220" w:lineRule="auto"/>
              <w:ind w:left="613"/>
            </w:pPr>
            <w:r>
              <w:rPr>
                <w:spacing w:val="-2"/>
              </w:rPr>
              <w:t>承担的工作</w:t>
            </w:r>
          </w:p>
        </w:tc>
        <w:tc>
          <w:tcPr>
            <w:tcW w:w="6095" w:type="dxa"/>
            <w:vAlign w:val="top"/>
          </w:tcPr>
          <w:p w14:paraId="37CAD381">
            <w:pPr>
              <w:rPr>
                <w:rFonts w:ascii="Arial"/>
                <w:sz w:val="21"/>
              </w:rPr>
            </w:pPr>
          </w:p>
        </w:tc>
      </w:tr>
      <w:tr w14:paraId="4883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3B72932">
            <w:pPr>
              <w:pStyle w:val="72"/>
              <w:spacing w:before="192" w:line="220" w:lineRule="auto"/>
              <w:ind w:left="736"/>
            </w:pPr>
            <w:r>
              <w:rPr>
                <w:spacing w:val="-3"/>
              </w:rPr>
              <w:t>工程质量</w:t>
            </w:r>
          </w:p>
        </w:tc>
        <w:tc>
          <w:tcPr>
            <w:tcW w:w="6095" w:type="dxa"/>
            <w:vAlign w:val="top"/>
          </w:tcPr>
          <w:p w14:paraId="71598B55">
            <w:pPr>
              <w:rPr>
                <w:rFonts w:ascii="Arial"/>
                <w:sz w:val="21"/>
              </w:rPr>
            </w:pPr>
          </w:p>
        </w:tc>
      </w:tr>
      <w:tr w14:paraId="2D34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3D8B983">
            <w:pPr>
              <w:pStyle w:val="72"/>
              <w:spacing w:before="195" w:line="220" w:lineRule="auto"/>
              <w:ind w:left="737"/>
            </w:pPr>
            <w:r>
              <w:rPr>
                <w:spacing w:val="-3"/>
              </w:rPr>
              <w:t>项目经理</w:t>
            </w:r>
          </w:p>
        </w:tc>
        <w:tc>
          <w:tcPr>
            <w:tcW w:w="6095" w:type="dxa"/>
            <w:vAlign w:val="top"/>
          </w:tcPr>
          <w:p w14:paraId="4528EAAD">
            <w:pPr>
              <w:rPr>
                <w:rFonts w:ascii="Arial"/>
                <w:sz w:val="21"/>
              </w:rPr>
            </w:pPr>
          </w:p>
        </w:tc>
      </w:tr>
      <w:tr w14:paraId="6BA9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10742A15">
            <w:pPr>
              <w:pStyle w:val="72"/>
              <w:spacing w:before="194" w:line="220" w:lineRule="auto"/>
              <w:ind w:left="614"/>
            </w:pPr>
            <w:r>
              <w:rPr>
                <w:spacing w:val="-2"/>
              </w:rPr>
              <w:t>技术负责人</w:t>
            </w:r>
          </w:p>
        </w:tc>
        <w:tc>
          <w:tcPr>
            <w:tcW w:w="6095" w:type="dxa"/>
            <w:vAlign w:val="top"/>
          </w:tcPr>
          <w:p w14:paraId="40BBA51A">
            <w:pPr>
              <w:rPr>
                <w:rFonts w:ascii="Arial"/>
                <w:sz w:val="21"/>
              </w:rPr>
            </w:pPr>
          </w:p>
        </w:tc>
      </w:tr>
      <w:tr w14:paraId="3B29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7B2C2059">
            <w:pPr>
              <w:pStyle w:val="72"/>
              <w:spacing w:before="195" w:line="220" w:lineRule="auto"/>
              <w:ind w:left="140"/>
            </w:pPr>
            <w:r>
              <w:rPr>
                <w:spacing w:val="-2"/>
              </w:rPr>
              <w:t>总监理工程师及电话</w:t>
            </w:r>
          </w:p>
        </w:tc>
        <w:tc>
          <w:tcPr>
            <w:tcW w:w="6095" w:type="dxa"/>
            <w:vAlign w:val="top"/>
          </w:tcPr>
          <w:p w14:paraId="2B0ED36C">
            <w:pPr>
              <w:rPr>
                <w:rFonts w:ascii="Arial"/>
                <w:sz w:val="21"/>
              </w:rPr>
            </w:pPr>
          </w:p>
        </w:tc>
      </w:tr>
      <w:tr w14:paraId="770DF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416" w:type="dxa"/>
            <w:vAlign w:val="top"/>
          </w:tcPr>
          <w:p w14:paraId="765684CE">
            <w:pPr>
              <w:pStyle w:val="72"/>
              <w:spacing w:before="78" w:line="220" w:lineRule="auto"/>
              <w:ind w:left="737"/>
            </w:pPr>
            <w:r>
              <w:rPr>
                <w:spacing w:val="-3"/>
              </w:rPr>
              <w:t>项目描述</w:t>
            </w:r>
          </w:p>
        </w:tc>
        <w:tc>
          <w:tcPr>
            <w:tcW w:w="6095" w:type="dxa"/>
            <w:vAlign w:val="top"/>
          </w:tcPr>
          <w:p w14:paraId="0997C615">
            <w:pPr>
              <w:rPr>
                <w:rFonts w:ascii="Arial"/>
                <w:sz w:val="21"/>
              </w:rPr>
            </w:pPr>
          </w:p>
        </w:tc>
      </w:tr>
      <w:tr w14:paraId="5496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6" w:type="dxa"/>
            <w:vAlign w:val="top"/>
          </w:tcPr>
          <w:p w14:paraId="11FFA314">
            <w:pPr>
              <w:pStyle w:val="72"/>
              <w:spacing w:before="197" w:line="221" w:lineRule="auto"/>
              <w:ind w:left="976"/>
            </w:pPr>
            <w:r>
              <w:rPr>
                <w:spacing w:val="-4"/>
              </w:rPr>
              <w:t>备注</w:t>
            </w:r>
          </w:p>
        </w:tc>
        <w:tc>
          <w:tcPr>
            <w:tcW w:w="6095" w:type="dxa"/>
            <w:vAlign w:val="top"/>
          </w:tcPr>
          <w:p w14:paraId="7593A421">
            <w:pPr>
              <w:rPr>
                <w:rFonts w:ascii="Arial"/>
                <w:sz w:val="21"/>
              </w:rPr>
            </w:pPr>
          </w:p>
        </w:tc>
      </w:tr>
    </w:tbl>
    <w:p w14:paraId="2B29A378">
      <w:pPr>
        <w:spacing w:before="171" w:line="220" w:lineRule="auto"/>
        <w:ind w:left="116" w:firstLine="420" w:firstLineChars="200"/>
        <w:rPr>
          <w:rFonts w:ascii="宋体" w:hAnsi="宋体" w:eastAsia="宋体" w:cs="宋体"/>
          <w:sz w:val="21"/>
          <w:szCs w:val="21"/>
        </w:rPr>
      </w:pPr>
      <w:r>
        <w:rPr>
          <w:rFonts w:ascii="宋体" w:hAnsi="宋体" w:eastAsia="宋体" w:cs="宋体"/>
          <w:sz w:val="21"/>
          <w:szCs w:val="21"/>
        </w:rPr>
        <w:t>备注：本表后附合同协议书扫描件。每张表格只填写一个项目，并</w:t>
      </w:r>
      <w:r>
        <w:rPr>
          <w:rFonts w:ascii="宋体" w:hAnsi="宋体" w:eastAsia="宋体" w:cs="宋体"/>
          <w:spacing w:val="-1"/>
          <w:sz w:val="21"/>
          <w:szCs w:val="21"/>
        </w:rPr>
        <w:t>标明序号。</w:t>
      </w:r>
    </w:p>
    <w:p w14:paraId="5F6EB915">
      <w:pPr>
        <w:spacing w:line="220" w:lineRule="auto"/>
        <w:rPr>
          <w:rFonts w:ascii="宋体" w:hAnsi="宋体" w:eastAsia="宋体" w:cs="宋体"/>
          <w:sz w:val="21"/>
          <w:szCs w:val="21"/>
        </w:rPr>
        <w:sectPr>
          <w:footerReference r:id="rId20" w:type="default"/>
          <w:pgSz w:w="11907" w:h="16839"/>
          <w:pgMar w:top="1440" w:right="1800" w:bottom="1440" w:left="1800" w:header="0" w:footer="991" w:gutter="0"/>
          <w:pgNumType w:fmt="decimal"/>
          <w:cols w:space="720" w:num="1"/>
        </w:sectPr>
      </w:pPr>
    </w:p>
    <w:p w14:paraId="174B463D">
      <w:pPr>
        <w:pStyle w:val="11"/>
        <w:bidi w:val="0"/>
        <w:rPr>
          <w:rFonts w:hint="eastAsia"/>
          <w:lang w:val="en-US" w:eastAsia="zh-CN"/>
        </w:rPr>
      </w:pPr>
      <w:r>
        <w:t>（四）供应商的</w:t>
      </w:r>
      <w:r>
        <w:rPr>
          <w:rFonts w:hint="eastAsia"/>
          <w:lang w:val="en-US" w:eastAsia="zh-CN"/>
        </w:rPr>
        <w:t>资格审查资料</w:t>
      </w:r>
    </w:p>
    <w:p w14:paraId="2CA84F9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76F8029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A0E3BB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1544CD4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须具有独立法人资格，提供合法有效的营业执照。</w:t>
      </w:r>
    </w:p>
    <w:p w14:paraId="575785E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auto"/>
          <w:sz w:val="24"/>
          <w:szCs w:val="24"/>
          <w:lang w:eastAsia="zh-CN"/>
        </w:rPr>
        <w:t>须具有建筑工程施工总承包三级及以上资质或具备建筑装修装饰工程专业承包二级及以上资质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有效的安全生产许可证，并在人员、设备、资金等方面具有相应的施工能力。</w:t>
      </w:r>
    </w:p>
    <w:p w14:paraId="32DA046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拟派项目经</w:t>
      </w:r>
      <w:r>
        <w:rPr>
          <w:rFonts w:hint="eastAsia" w:ascii="宋体" w:hAnsi="宋体" w:eastAsia="宋体" w:cs="宋体"/>
          <w:color w:val="auto"/>
          <w:sz w:val="24"/>
          <w:szCs w:val="24"/>
        </w:rPr>
        <w:t>理须提供</w:t>
      </w:r>
      <w:r>
        <w:rPr>
          <w:rFonts w:hint="eastAsia" w:ascii="宋体" w:hAnsi="宋体" w:eastAsia="宋体" w:cs="宋体"/>
          <w:color w:val="auto"/>
          <w:sz w:val="24"/>
          <w:szCs w:val="24"/>
          <w:lang w:val="en-US" w:eastAsia="zh-CN"/>
        </w:rPr>
        <w:t>建筑工程专业贰级及以上注册建造师证书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具有有效的安全生产考核合格证书</w:t>
      </w:r>
      <w:r>
        <w:rPr>
          <w:rFonts w:hint="eastAsia" w:ascii="宋体" w:hAnsi="宋体" w:eastAsia="宋体" w:cs="宋体"/>
          <w:color w:val="000000" w:themeColor="text1"/>
          <w:sz w:val="24"/>
          <w:szCs w:val="24"/>
          <w14:textFill>
            <w14:solidFill>
              <w14:schemeClr w14:val="tx1"/>
            </w14:solidFill>
          </w14:textFill>
        </w:rPr>
        <w:t>，已参加社会保险且未在其他在建工程项目中担任项目经理。</w:t>
      </w:r>
    </w:p>
    <w:p w14:paraId="11AECB9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5A427C8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08B629F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48376125">
      <w:pPr>
        <w:keepNext w:val="0"/>
        <w:keepLines w:val="0"/>
        <w:pageBreakBefore w:val="0"/>
        <w:kinsoku/>
        <w:wordWrap/>
        <w:overflowPunct/>
        <w:topLinePunct w:val="0"/>
        <w:autoSpaceDN/>
        <w:bidi w:val="0"/>
        <w:adjustRightInd/>
        <w:snapToGrid/>
        <w:spacing w:before="0" w:beforeLines="50" w:after="0" w:afterLines="50" w:line="360" w:lineRule="auto"/>
        <w:ind w:firstLine="420" w:firstLineChars="200"/>
        <w:textAlignment w:val="auto"/>
        <w:rPr>
          <w:rFonts w:hint="eastAsia"/>
          <w:lang w:val="en-US" w:eastAsia="zh-CN"/>
        </w:rPr>
      </w:pPr>
      <w:r>
        <w:rPr>
          <w:rFonts w:hint="eastAsia"/>
          <w:lang w:val="en-US" w:eastAsia="zh-CN"/>
        </w:rPr>
        <w:br w:type="page"/>
      </w:r>
    </w:p>
    <w:p w14:paraId="66144A28">
      <w:pPr>
        <w:pStyle w:val="10"/>
        <w:bidi w:val="0"/>
        <w:ind w:left="0" w:leftChars="0" w:firstLine="0" w:firstLineChars="0"/>
        <w:jc w:val="center"/>
      </w:pPr>
      <w:r>
        <w:t>八、已标价工程量清单</w:t>
      </w:r>
    </w:p>
    <w:p w14:paraId="2690A468">
      <w:pPr>
        <w:pStyle w:val="10"/>
        <w:bidi w:val="0"/>
        <w:sectPr>
          <w:footerReference r:id="rId21" w:type="default"/>
          <w:pgSz w:w="11907" w:h="16839"/>
          <w:pgMar w:top="1440" w:right="1800" w:bottom="1440" w:left="1800" w:header="0" w:footer="991" w:gutter="0"/>
          <w:pgNumType w:fmt="decimal"/>
          <w:cols w:space="720" w:num="1"/>
        </w:sectPr>
      </w:pPr>
    </w:p>
    <w:p w14:paraId="13A0052A">
      <w:pPr>
        <w:pStyle w:val="10"/>
        <w:numPr>
          <w:ilvl w:val="0"/>
          <w:numId w:val="4"/>
        </w:numPr>
        <w:bidi w:val="0"/>
        <w:ind w:left="0" w:leftChars="0" w:firstLine="0" w:firstLineChars="0"/>
        <w:jc w:val="center"/>
      </w:pPr>
      <w:r>
        <w:t>优惠及服务承诺</w:t>
      </w:r>
    </w:p>
    <w:p w14:paraId="1CDC9EF2">
      <w:pPr>
        <w:jc w:val="center"/>
        <w:rPr>
          <w:rFonts w:hint="eastAsia" w:eastAsiaTheme="minorEastAsia"/>
          <w:sz w:val="24"/>
          <w:szCs w:val="28"/>
          <w:lang w:eastAsia="zh-CN"/>
        </w:rPr>
      </w:pPr>
      <w:r>
        <w:rPr>
          <w:rFonts w:hint="eastAsia"/>
          <w:sz w:val="24"/>
          <w:szCs w:val="28"/>
          <w:lang w:eastAsia="zh-CN"/>
        </w:rPr>
        <w:t>（</w:t>
      </w:r>
      <w:r>
        <w:rPr>
          <w:rFonts w:hint="eastAsia"/>
          <w:sz w:val="24"/>
          <w:szCs w:val="28"/>
          <w:lang w:val="en-US" w:eastAsia="zh-CN"/>
        </w:rPr>
        <w:t>格式自拟</w:t>
      </w:r>
      <w:r>
        <w:rPr>
          <w:rFonts w:hint="eastAsia"/>
          <w:sz w:val="24"/>
          <w:szCs w:val="28"/>
          <w:lang w:eastAsia="zh-CN"/>
        </w:rPr>
        <w:t>）</w:t>
      </w:r>
    </w:p>
    <w:p w14:paraId="3C55EBF5">
      <w:pPr>
        <w:sectPr>
          <w:footerReference r:id="rId22" w:type="default"/>
          <w:pgSz w:w="11907" w:h="16839"/>
          <w:pgMar w:top="1440" w:right="1800" w:bottom="1440" w:left="1800" w:header="0" w:footer="991" w:gutter="0"/>
          <w:pgNumType w:fmt="decimal"/>
          <w:cols w:space="720" w:num="1"/>
        </w:sectPr>
      </w:pPr>
    </w:p>
    <w:p w14:paraId="3ABE2FAB">
      <w:pPr>
        <w:pStyle w:val="10"/>
        <w:bidi w:val="0"/>
        <w:ind w:left="0" w:leftChars="0" w:firstLine="0" w:firstLineChars="0"/>
        <w:jc w:val="center"/>
        <w:rPr>
          <w:rFonts w:hint="eastAsia"/>
        </w:rPr>
        <w:sectPr>
          <w:footerReference r:id="rId23" w:type="default"/>
          <w:pgSz w:w="11907" w:h="16839"/>
          <w:pgMar w:top="1440" w:right="1800" w:bottom="1440" w:left="1800" w:header="0" w:footer="991" w:gutter="0"/>
          <w:pgNumType w:fmt="decimal"/>
          <w:cols w:space="720" w:num="1"/>
        </w:sectPr>
      </w:pPr>
      <w:r>
        <w:t>十、供应商认为有必要提供的其他资料</w:t>
      </w:r>
    </w:p>
    <w:p w14:paraId="0C6D3F4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b/>
          <w:bCs/>
          <w:color w:val="000000" w:themeColor="text1"/>
          <w:kern w:val="0"/>
          <w:sz w:val="24"/>
          <w:szCs w:val="24"/>
          <w14:textFill>
            <w14:solidFill>
              <w14:schemeClr w14:val="tx1"/>
            </w14:solidFill>
          </w14:textFill>
        </w:rPr>
        <w:t>附件1：</w:t>
      </w:r>
    </w:p>
    <w:p w14:paraId="16211EA5">
      <w:pPr>
        <w:widowControl/>
        <w:spacing w:line="360" w:lineRule="auto"/>
        <w:ind w:firstLine="562" w:firstLineChars="200"/>
        <w:jc w:val="center"/>
        <w:rPr>
          <w:rFonts w:cs="Times New Roman" w:asciiTheme="minorEastAsia" w:hAnsiTheme="minorEastAsia"/>
          <w:b/>
          <w:bCs/>
          <w:color w:val="000000" w:themeColor="text1"/>
          <w:kern w:val="0"/>
          <w:sz w:val="28"/>
          <w:szCs w:val="28"/>
          <w14:textFill>
            <w14:solidFill>
              <w14:schemeClr w14:val="tx1"/>
            </w14:solidFill>
          </w14:textFill>
        </w:rPr>
      </w:pPr>
      <w:bookmarkStart w:id="637" w:name="_Toc27377"/>
      <w:r>
        <w:rPr>
          <w:rFonts w:hint="eastAsia" w:cs="Times New Roman" w:asciiTheme="minorEastAsia" w:hAnsiTheme="minorEastAsia"/>
          <w:b/>
          <w:bCs/>
          <w:color w:val="000000" w:themeColor="text1"/>
          <w:kern w:val="0"/>
          <w:sz w:val="28"/>
          <w:szCs w:val="28"/>
          <w14:textFill>
            <w14:solidFill>
              <w14:schemeClr w14:val="tx1"/>
            </w14:solidFill>
          </w14:textFill>
        </w:rPr>
        <w:t>中小企业声明函</w:t>
      </w:r>
      <w:bookmarkEnd w:id="637"/>
    </w:p>
    <w:p w14:paraId="43F5FA87">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w:t>
      </w:r>
    </w:p>
    <w:p w14:paraId="00DC1D9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的具体情况如下：</w:t>
      </w:r>
    </w:p>
    <w:p w14:paraId="1E4756BB">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，从业人员人，营业收入为万元，资产总额为万元①，属于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3D0E41C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（标的名称）</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w:t>
      </w:r>
      <w:r>
        <w:rPr>
          <w:rFonts w:hint="eastAsia" w:cs="宋体" w:asciiTheme="minorEastAsia" w:hAnsiTheme="minorEastAsia"/>
          <w:kern w:val="0"/>
          <w:sz w:val="24"/>
          <w:szCs w:val="24"/>
        </w:rPr>
        <w:t>行业；制造商为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从业人员人，营业收入为万元，资产总额为万元，属于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14:paraId="03B6B14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w:t>
      </w:r>
    </w:p>
    <w:p w14:paraId="483FD27C">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14:paraId="59F0EA7E">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14:paraId="6046AE88">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企业名称（盖章）：</w:t>
      </w:r>
    </w:p>
    <w:p w14:paraId="25A156A9">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14:paraId="72BFA981">
      <w:pPr>
        <w:widowControl/>
        <w:spacing w:line="400" w:lineRule="exact"/>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注：</w:t>
      </w:r>
      <w:r>
        <w:rPr>
          <w:rFonts w:hint="eastAsia" w:cs="宋体" w:asciiTheme="minorEastAsia" w:hAnsiTheme="minorEastAsia"/>
          <w:kern w:val="0"/>
          <w:sz w:val="24"/>
          <w:szCs w:val="24"/>
        </w:rPr>
        <w:t>①从业人员、营业收入、资产总额填报上一年度数据，无上一年度数据的新成立企业可不填报。</w:t>
      </w:r>
    </w:p>
    <w:p w14:paraId="677F8CE9">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②</w:t>
      </w:r>
      <w:r>
        <w:rPr>
          <w:rFonts w:hint="eastAsia" w:cs="宋体" w:asciiTheme="minorEastAsia" w:hAnsiTheme="minorEastAsia"/>
          <w:kern w:val="0"/>
          <w:sz w:val="24"/>
          <w:szCs w:val="24"/>
        </w:rPr>
        <w:t>供应商提供的货物既有中小企业制造货物，也有大型企业制造货物的，不享受《政府采购促进中小企业发展管理办法》规定的中小企业扶持政策。</w:t>
      </w:r>
    </w:p>
    <w:p w14:paraId="2735194E">
      <w:pPr>
        <w:widowControl/>
        <w:spacing w:line="400" w:lineRule="exact"/>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③</w:t>
      </w:r>
      <w:r>
        <w:rPr>
          <w:rFonts w:hint="eastAsia" w:cs="宋体" w:asciiTheme="minorEastAsia" w:hAnsiTheme="minorEastAsia"/>
          <w:kern w:val="0"/>
          <w:sz w:val="24"/>
          <w:szCs w:val="24"/>
        </w:rPr>
        <w:t>以联合体形式参加政府采购活动，联合体各方均为中小企业的，联合体视同中小企业。其中，联合体各方均为小微企业的，联合体视同小微企业。</w:t>
      </w:r>
    </w:p>
    <w:p w14:paraId="6053E10D">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2A2E4A1A">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⑤中小企业声明函格式应严格按照</w:t>
      </w:r>
      <w:r>
        <w:rPr>
          <w:rFonts w:hint="eastAsia" w:cs="宋体" w:asciiTheme="minorEastAsia" w:hAnsiTheme="minorEastAsia"/>
          <w:kern w:val="0"/>
          <w:sz w:val="24"/>
          <w:szCs w:val="24"/>
          <w:lang w:eastAsia="zh-CN"/>
        </w:rPr>
        <w:t>磋商文件</w:t>
      </w:r>
      <w:r>
        <w:rPr>
          <w:rFonts w:hint="eastAsia" w:cs="宋体" w:asciiTheme="minorEastAsia" w:hAnsiTheme="minorEastAsia"/>
          <w:kern w:val="0"/>
          <w:sz w:val="24"/>
          <w:szCs w:val="24"/>
        </w:rPr>
        <w:t>提供的格式填写。非单一产品采购的，设备制造商不止一家时，中小企业声明函中须列出所有的设备及制造商，罗列不全的中小企业声明函不予认可。</w:t>
      </w:r>
    </w:p>
    <w:p w14:paraId="17204DA3">
      <w:pPr>
        <w:widowControl/>
        <w:spacing w:line="4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⑥在货物采购项目中，货物应当由中小企业制造，不对其中涉及的服务的承接商作出要求。</w:t>
      </w:r>
    </w:p>
    <w:p w14:paraId="52936915">
      <w:pPr>
        <w:widowControl/>
        <w:ind w:firstLine="482" w:firstLineChars="200"/>
        <w:jc w:val="left"/>
        <w:rPr>
          <w:rFonts w:cs="Times New Roman" w:asciiTheme="minorEastAsia" w:hAnsiTheme="minorEastAsia"/>
          <w:b/>
          <w:bCs/>
          <w:color w:val="000000" w:themeColor="text1"/>
          <w:kern w:val="0"/>
          <w:sz w:val="24"/>
          <w:szCs w:val="24"/>
          <w14:textFill>
            <w14:solidFill>
              <w14:schemeClr w14:val="tx1"/>
            </w14:solidFill>
          </w14:textFill>
        </w:rPr>
      </w:pPr>
      <w:bookmarkStart w:id="638" w:name="OLE_LINK14"/>
      <w:bookmarkStart w:id="639" w:name="OLE_LINK13"/>
      <w:bookmarkStart w:id="640" w:name="_Toc23336"/>
      <w:r>
        <w:rPr>
          <w:rFonts w:cs="Times New Roman" w:asciiTheme="minorEastAsia" w:hAnsiTheme="minorEastAsia"/>
          <w:b/>
          <w:bCs/>
          <w:color w:val="000000" w:themeColor="text1"/>
          <w:kern w:val="0"/>
          <w:sz w:val="24"/>
          <w:szCs w:val="24"/>
          <w14:textFill>
            <w14:solidFill>
              <w14:schemeClr w14:val="tx1"/>
            </w14:solidFill>
          </w14:textFill>
        </w:rPr>
        <w:br w:type="page"/>
      </w:r>
    </w:p>
    <w:p w14:paraId="74717F3C">
      <w:pPr>
        <w:keepNext/>
        <w:keepLines/>
        <w:tabs>
          <w:tab w:val="left" w:pos="840"/>
        </w:tabs>
        <w:spacing w:before="260" w:after="260" w:line="412" w:lineRule="auto"/>
        <w:ind w:firstLine="482" w:firstLineChars="200"/>
        <w:jc w:val="left"/>
        <w:outlineLvl w:val="0"/>
        <w:rPr>
          <w:rFonts w:cs="Times New Roman" w:asciiTheme="minorEastAsia" w:hAnsiTheme="minorEastAsia"/>
          <w:b/>
          <w:color w:val="000000"/>
          <w:kern w:val="0"/>
          <w:sz w:val="30"/>
          <w:szCs w:val="24"/>
        </w:rPr>
      </w:pPr>
      <w:bookmarkStart w:id="641" w:name="_Toc145065064"/>
      <w:bookmarkStart w:id="642" w:name="_Toc15798"/>
      <w:bookmarkStart w:id="643" w:name="_Toc145065235"/>
      <w:r>
        <w:rPr>
          <w:rFonts w:hint="eastAsia" w:cs="Times New Roman" w:asciiTheme="minorEastAsia" w:hAnsiTheme="minorEastAsia"/>
          <w:b/>
          <w:bCs/>
          <w:color w:val="000000" w:themeColor="text1"/>
          <w:kern w:val="0"/>
          <w:sz w:val="24"/>
          <w:szCs w:val="24"/>
          <w14:textFill>
            <w14:solidFill>
              <w14:schemeClr w14:val="tx1"/>
            </w14:solidFill>
          </w14:textFill>
        </w:rPr>
        <w:t>附件2：</w:t>
      </w:r>
      <w:bookmarkEnd w:id="641"/>
      <w:bookmarkEnd w:id="642"/>
      <w:bookmarkEnd w:id="643"/>
    </w:p>
    <w:p w14:paraId="57BF8E02">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rPr>
      </w:pPr>
      <w:bookmarkStart w:id="644" w:name="_Toc145065065"/>
      <w:bookmarkStart w:id="645" w:name="_Toc145065236"/>
      <w:bookmarkStart w:id="646" w:name="_Toc17289"/>
      <w:r>
        <w:rPr>
          <w:rFonts w:hint="eastAsia" w:cs="Times New Roman" w:asciiTheme="minorEastAsia" w:hAnsiTheme="minorEastAsia"/>
          <w:b/>
          <w:color w:val="000000"/>
          <w:kern w:val="0"/>
          <w:sz w:val="28"/>
          <w:szCs w:val="28"/>
        </w:rPr>
        <w:t>残疾人福利性单位声明</w:t>
      </w:r>
      <w:r>
        <w:rPr>
          <w:rFonts w:hint="eastAsia" w:cs="Times New Roman" w:asciiTheme="minorEastAsia" w:hAnsiTheme="minorEastAsia"/>
          <w:b/>
          <w:kern w:val="0"/>
          <w:sz w:val="28"/>
          <w:szCs w:val="28"/>
        </w:rPr>
        <w:t>函</w:t>
      </w:r>
      <w:r>
        <w:rPr>
          <w:rFonts w:hint="eastAsia" w:cs="微软雅黑" w:asciiTheme="minorEastAsia" w:hAnsiTheme="minorEastAsia"/>
          <w:b/>
          <w:kern w:val="0"/>
          <w:sz w:val="28"/>
          <w:szCs w:val="28"/>
        </w:rPr>
        <w:t>（如有）</w:t>
      </w:r>
      <w:bookmarkEnd w:id="638"/>
      <w:bookmarkEnd w:id="639"/>
      <w:bookmarkEnd w:id="640"/>
      <w:bookmarkEnd w:id="644"/>
      <w:bookmarkEnd w:id="645"/>
      <w:bookmarkEnd w:id="646"/>
    </w:p>
    <w:p w14:paraId="4D2555B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本单位郑重声明，根据《财政部民政部中国残疾人联合会关于促进残疾人就业政府采购政策的通知》（财库</w:t>
      </w:r>
      <w:r>
        <w:rPr>
          <w:rFonts w:hint="eastAsia" w:cs="宋体" w:asciiTheme="minorEastAsia" w:hAnsiTheme="minorEastAsia"/>
          <w:sz w:val="24"/>
          <w:szCs w:val="24"/>
        </w:rPr>
        <w:t>〔2017〕141</w:t>
      </w:r>
      <w:r>
        <w:rPr>
          <w:rFonts w:hint="eastAsia" w:cs="宋体" w:asciiTheme="minorEastAsia" w:hAnsiTheme="minor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7A63AAF">
      <w:pPr>
        <w:spacing w:line="440" w:lineRule="exact"/>
        <w:ind w:firstLine="504" w:firstLineChars="200"/>
        <w:rPr>
          <w:rFonts w:cs="宋体" w:asciiTheme="minorEastAsia" w:hAnsiTheme="minorEastAsia"/>
          <w:spacing w:val="6"/>
          <w:sz w:val="24"/>
          <w:szCs w:val="24"/>
        </w:rPr>
      </w:pPr>
      <w:r>
        <w:rPr>
          <w:rFonts w:hint="eastAsia" w:cs="宋体" w:asciiTheme="minorEastAsia" w:hAnsiTheme="minorEastAsia"/>
          <w:spacing w:val="6"/>
          <w:sz w:val="24"/>
          <w:szCs w:val="24"/>
        </w:rPr>
        <w:t>本单位对上述声明的真实性负责。如有虚假，将依法承担相应责任。</w:t>
      </w:r>
    </w:p>
    <w:p w14:paraId="73E8B735">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单位名称（盖章）：</w:t>
      </w:r>
    </w:p>
    <w:p w14:paraId="7B7FC853">
      <w:pPr>
        <w:tabs>
          <w:tab w:val="left" w:pos="4860"/>
        </w:tabs>
        <w:spacing w:line="440" w:lineRule="exact"/>
        <w:ind w:right="1560" w:firstLine="504" w:firstLineChars="200"/>
        <w:jc w:val="center"/>
        <w:rPr>
          <w:rFonts w:cs="宋体" w:asciiTheme="minorEastAsia" w:hAnsiTheme="minorEastAsia"/>
          <w:spacing w:val="6"/>
          <w:sz w:val="24"/>
          <w:szCs w:val="24"/>
        </w:rPr>
      </w:pPr>
      <w:r>
        <w:rPr>
          <w:rFonts w:hint="eastAsia" w:cs="宋体" w:asciiTheme="minorEastAsia" w:hAnsiTheme="minorEastAsia"/>
          <w:spacing w:val="6"/>
          <w:sz w:val="24"/>
          <w:szCs w:val="24"/>
        </w:rPr>
        <w:t>日期：</w:t>
      </w:r>
    </w:p>
    <w:p w14:paraId="66B06E05">
      <w:pPr>
        <w:widowControl/>
        <w:spacing w:line="440" w:lineRule="exact"/>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不是残疾人福利性单位</w:t>
      </w:r>
      <w:r>
        <w:rPr>
          <w:rFonts w:hint="eastAsia" w:cs="宋体" w:asciiTheme="minorEastAsia" w:hAnsiTheme="minorEastAsia"/>
          <w:b/>
          <w:sz w:val="24"/>
          <w:szCs w:val="24"/>
        </w:rPr>
        <w:t>，则不需要提供《残疾人福利性单位声明函》。）</w:t>
      </w:r>
    </w:p>
    <w:p w14:paraId="5CEE52E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《财政部民政部中国残疾人联合会关于促进残疾人就业政府采购政策的通知》（财库（2017〔141〕号）的规定：</w:t>
      </w:r>
    </w:p>
    <w:p w14:paraId="0587A344">
      <w:pPr>
        <w:spacing w:line="44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1.享受政府采购支持政策的残疾人福利性单位应当同时满足以下条件：</w:t>
      </w:r>
    </w:p>
    <w:p w14:paraId="14425D5B">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（1）安置的残疾人占本单位在职职工人数的比例不低于25%（含25%），并且安置的残疾人人数不少于10人（含10人）；</w:t>
      </w:r>
    </w:p>
    <w:p w14:paraId="30073D9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（2）依法与安置的每位残疾人签订了一年以上（含一年）的劳动合同或服务协议；</w:t>
      </w:r>
    </w:p>
    <w:p w14:paraId="227342B7">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（3）为安置的每位残疾人按月足额缴纳了基本养老保险、基本医疗保险、失业保险、工伤保险和生育保险等社会保险费；</w:t>
      </w:r>
    </w:p>
    <w:p w14:paraId="28F4C6A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（4）通过银行等金融机构向安置的每位残疾人，按月支付了不低于单位所在区县适用的经省级人民政府批准的月最低工资标准的工资；</w:t>
      </w:r>
    </w:p>
    <w:p w14:paraId="0142E8C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（5）提供本单位制造的货物、承担的工程或者服务（以下简称产品），或者提供其他残疾人福利性单位制造的货物（不包括使用非残疾人福利性单位注册商标的货物）。</w:t>
      </w:r>
    </w:p>
    <w:p w14:paraId="499A2205">
      <w:pPr>
        <w:spacing w:line="440" w:lineRule="exact"/>
        <w:ind w:firstLine="480" w:firstLineChars="200"/>
        <w:rPr>
          <w:rFonts w:asciiTheme="minorEastAsia" w:hAnsiTheme="minorEastAsia"/>
          <w:b/>
          <w:color w:val="000000"/>
          <w:sz w:val="24"/>
          <w:szCs w:val="24"/>
        </w:rPr>
      </w:pPr>
      <w:r>
        <w:rPr>
          <w:rFonts w:hint="eastAsia" w:cs="宋体" w:asciiTheme="minorEastAsia" w:hAnsiTheme="minorEastAsia"/>
          <w:sz w:val="24"/>
          <w:szCs w:val="24"/>
        </w:rPr>
        <w:t>2.中标人为残疾人福利性单位的，采购人或者其委托的采购代理机构应当随中标、成交结果同时公告其《残疾人福利性单位声明函》，接受社会监督。</w:t>
      </w:r>
    </w:p>
    <w:p w14:paraId="061592E5">
      <w:pPr>
        <w:keepNext/>
        <w:keepLines/>
        <w:tabs>
          <w:tab w:val="left" w:pos="840"/>
        </w:tabs>
        <w:spacing w:before="260" w:after="260" w:line="412" w:lineRule="auto"/>
        <w:ind w:firstLine="482" w:firstLineChars="200"/>
        <w:outlineLvl w:val="0"/>
        <w:rPr>
          <w:rFonts w:cs="Times New Roman" w:asciiTheme="minorEastAsia" w:hAnsiTheme="minorEastAsia"/>
          <w:b/>
          <w:bCs/>
          <w:color w:val="000000" w:themeColor="text1"/>
          <w:kern w:val="0"/>
          <w:sz w:val="24"/>
          <w:szCs w:val="24"/>
          <w14:textFill>
            <w14:solidFill>
              <w14:schemeClr w14:val="tx1"/>
            </w14:solidFill>
          </w14:textFill>
        </w:rPr>
      </w:pPr>
      <w:bookmarkStart w:id="647" w:name="_Toc145065066"/>
      <w:bookmarkStart w:id="648" w:name="_Toc145065237"/>
      <w:bookmarkStart w:id="649" w:name="_Toc26314"/>
      <w:bookmarkStart w:id="650" w:name="_Toc15900"/>
      <w:r>
        <w:rPr>
          <w:rFonts w:hint="eastAsia" w:cs="Times New Roman" w:asciiTheme="minorEastAsia" w:hAnsiTheme="minorEastAsia"/>
          <w:b/>
          <w:bCs/>
          <w:color w:val="000000" w:themeColor="text1"/>
          <w:kern w:val="0"/>
          <w:sz w:val="24"/>
          <w:szCs w:val="24"/>
          <w:lang w:val="en-GB"/>
          <w14:textFill>
            <w14:solidFill>
              <w14:schemeClr w14:val="tx1"/>
            </w14:solidFill>
          </w14:textFill>
        </w:rPr>
        <w:t>附件</w:t>
      </w:r>
      <w:r>
        <w:rPr>
          <w:rFonts w:hint="eastAsia" w:cs="Times New Roman" w:asciiTheme="minorEastAsia" w:hAnsiTheme="minorEastAsia"/>
          <w:b/>
          <w:bCs/>
          <w:color w:val="000000" w:themeColor="text1"/>
          <w:kern w:val="0"/>
          <w:sz w:val="24"/>
          <w:szCs w:val="24"/>
          <w14:textFill>
            <w14:solidFill>
              <w14:schemeClr w14:val="tx1"/>
            </w14:solidFill>
          </w14:textFill>
        </w:rPr>
        <w:t>3：</w:t>
      </w:r>
      <w:bookmarkEnd w:id="647"/>
      <w:bookmarkEnd w:id="648"/>
      <w:bookmarkEnd w:id="649"/>
    </w:p>
    <w:p w14:paraId="1459CB2B">
      <w:pPr>
        <w:keepNext/>
        <w:keepLines/>
        <w:tabs>
          <w:tab w:val="left" w:pos="840"/>
        </w:tabs>
        <w:spacing w:before="260" w:after="260" w:line="412" w:lineRule="auto"/>
        <w:ind w:left="420" w:firstLine="562" w:firstLineChars="200"/>
        <w:jc w:val="center"/>
        <w:outlineLvl w:val="0"/>
        <w:rPr>
          <w:rFonts w:cs="Times New Roman" w:asciiTheme="minorEastAsia" w:hAnsiTheme="minorEastAsia"/>
          <w:b/>
          <w:kern w:val="0"/>
          <w:sz w:val="28"/>
          <w:szCs w:val="28"/>
          <w:lang w:val="en-GB"/>
        </w:rPr>
      </w:pPr>
      <w:bookmarkStart w:id="651" w:name="_Toc145065238"/>
      <w:bookmarkStart w:id="652" w:name="_Toc145065067"/>
      <w:bookmarkStart w:id="653" w:name="_Toc10120"/>
      <w:r>
        <w:rPr>
          <w:rFonts w:hint="eastAsia" w:cs="Times New Roman" w:asciiTheme="minorEastAsia" w:hAnsiTheme="minorEastAsia"/>
          <w:b/>
          <w:kern w:val="0"/>
          <w:sz w:val="28"/>
          <w:szCs w:val="28"/>
          <w:lang w:val="en-GB"/>
        </w:rPr>
        <w:t>监狱企业证明材料</w:t>
      </w:r>
      <w:r>
        <w:rPr>
          <w:rFonts w:hint="eastAsia" w:cs="微软雅黑" w:asciiTheme="minorEastAsia" w:hAnsiTheme="minorEastAsia"/>
          <w:b/>
          <w:kern w:val="0"/>
          <w:sz w:val="28"/>
          <w:szCs w:val="28"/>
        </w:rPr>
        <w:t>（如有）</w:t>
      </w:r>
      <w:bookmarkEnd w:id="650"/>
      <w:bookmarkEnd w:id="651"/>
      <w:bookmarkEnd w:id="652"/>
      <w:bookmarkEnd w:id="653"/>
    </w:p>
    <w:p w14:paraId="52AAEFCA">
      <w:pPr>
        <w:spacing w:line="360" w:lineRule="auto"/>
        <w:ind w:firstLine="480" w:firstLineChars="200"/>
        <w:rPr>
          <w:rFonts w:asciiTheme="minorEastAsia" w:hAnsiTheme="minorEastAsia"/>
          <w:sz w:val="24"/>
          <w:szCs w:val="24"/>
          <w:lang w:val="en-GB"/>
        </w:rPr>
      </w:pPr>
      <w:r>
        <w:rPr>
          <w:rFonts w:hint="eastAsia" w:asciiTheme="minorEastAsia" w:hAnsiTheme="minorEastAsia"/>
          <w:sz w:val="24"/>
          <w:szCs w:val="24"/>
          <w:lang w:val="en-GB"/>
        </w:rPr>
        <w:t>监狱企业参加政府采购活动时，应当提供由省级以上监狱管理局、戒毒管理局（含新疆生产建设兵团）出具的属于监狱企业的证明文件。</w:t>
      </w:r>
    </w:p>
    <w:p w14:paraId="5E9C3373">
      <w:pPr>
        <w:widowControl/>
        <w:spacing w:line="360" w:lineRule="auto"/>
        <w:ind w:firstLine="482" w:firstLineChars="200"/>
        <w:rPr>
          <w:rFonts w:cs="宋体" w:asciiTheme="minorEastAsia" w:hAnsiTheme="minorEastAsia"/>
          <w:b/>
          <w:sz w:val="24"/>
          <w:szCs w:val="24"/>
        </w:rPr>
      </w:pPr>
      <w:r>
        <w:rPr>
          <w:rFonts w:hint="eastAsia" w:cs="宋体" w:asciiTheme="minorEastAsia" w:hAnsiTheme="minorEastAsia"/>
          <w:b/>
          <w:sz w:val="24"/>
          <w:szCs w:val="24"/>
        </w:rPr>
        <w:t>（提醒：如果投标人</w:t>
      </w:r>
      <w:r>
        <w:rPr>
          <w:rFonts w:hint="eastAsia" w:cs="宋体" w:asciiTheme="minorEastAsia" w:hAnsiTheme="minorEastAsia"/>
          <w:b/>
          <w:spacing w:val="10"/>
          <w:kern w:val="0"/>
          <w:sz w:val="24"/>
          <w:szCs w:val="24"/>
        </w:rPr>
        <w:t>不是</w:t>
      </w:r>
      <w:r>
        <w:rPr>
          <w:rFonts w:hint="eastAsia" w:asciiTheme="minorEastAsia" w:hAnsiTheme="minorEastAsia"/>
          <w:b/>
          <w:bCs/>
          <w:sz w:val="24"/>
          <w:szCs w:val="24"/>
          <w:lang w:val="en-GB"/>
        </w:rPr>
        <w:t>监狱企业</w:t>
      </w:r>
      <w:r>
        <w:rPr>
          <w:rFonts w:hint="eastAsia" w:cs="宋体" w:asciiTheme="minorEastAsia" w:hAnsiTheme="minorEastAsia"/>
          <w:b/>
          <w:sz w:val="24"/>
          <w:szCs w:val="24"/>
        </w:rPr>
        <w:t>，写“非监狱企业</w:t>
      </w:r>
      <w:r>
        <w:rPr>
          <w:rFonts w:hint="eastAsia" w:cs="Times New Roman" w:asciiTheme="minorEastAsia" w:hAnsiTheme="minorEastAsia"/>
          <w:b/>
          <w:kern w:val="0"/>
          <w:sz w:val="24"/>
          <w:szCs w:val="24"/>
          <w:lang w:val="en-GB"/>
        </w:rPr>
        <w:t>”即可。</w:t>
      </w:r>
      <w:r>
        <w:rPr>
          <w:rFonts w:hint="eastAsia" w:cs="宋体" w:asciiTheme="minorEastAsia" w:hAnsiTheme="minorEastAsia"/>
          <w:b/>
          <w:sz w:val="24"/>
          <w:szCs w:val="24"/>
        </w:rPr>
        <w:t>）</w:t>
      </w:r>
    </w:p>
    <w:sectPr>
      <w:footerReference r:id="rId2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BA44">
    <w:pPr>
      <w:spacing w:line="165" w:lineRule="auto"/>
      <w:ind w:left="4730"/>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CCC">
    <w:pPr>
      <w:spacing w:line="167" w:lineRule="auto"/>
      <w:ind w:left="472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9CD8C">
                          <w:pPr>
                            <w:pStyle w:val="1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E9CD8C">
                    <w:pPr>
                      <w:pStyle w:val="1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797A">
    <w:pPr>
      <w:spacing w:line="167"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56F94">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056F94">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7CB">
    <w:pPr>
      <w:spacing w:line="166" w:lineRule="auto"/>
      <w:ind w:left="449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12A91">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612A91">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7E80">
    <w:pPr>
      <w:spacing w:line="167" w:lineRule="auto"/>
      <w:ind w:left="4271"/>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C596">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BFC596">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EB57">
    <w:pPr>
      <w:spacing w:line="167"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C7A10">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EC7A10">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3FDB">
    <w:pPr>
      <w:spacing w:line="166"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7C771">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857C771">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9625">
    <w:pPr>
      <w:spacing w:line="166"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1EE9">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85A1EE9">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E859">
    <w:pPr>
      <w:spacing w:line="167" w:lineRule="auto"/>
      <w:ind w:left="473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D7D9E">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57D7D9E">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490A">
    <w:pPr>
      <w:spacing w:line="166" w:lineRule="auto"/>
      <w:ind w:left="4171"/>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404C5">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DB404C5">
                    <w:pPr>
                      <w:pStyle w:val="1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7947">
    <w:pPr>
      <w:spacing w:line="167"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9AC87">
                          <w:pPr>
                            <w:pStyle w:val="1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29AC87">
                    <w:pPr>
                      <w:pStyle w:val="1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607">
    <w:pPr>
      <w:spacing w:line="165"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4BF8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4BF8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2590">
    <w:pPr>
      <w:spacing w:line="167"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1C41F">
                          <w:pPr>
                            <w:pStyle w:val="1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E1C41F">
                    <w:pPr>
                      <w:pStyle w:val="1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7ABD">
    <w:pPr>
      <w:spacing w:line="16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30BAB">
                          <w:pPr>
                            <w:pStyle w:val="1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30BAB">
                    <w:pPr>
                      <w:pStyle w:val="1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2873">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227D7">
                          <w:pPr>
                            <w:pStyle w:val="1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F1227D7">
                    <w:pPr>
                      <w:pStyle w:val="1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AB79">
    <w:pPr>
      <w:spacing w:line="167" w:lineRule="auto"/>
      <w:ind w:left="472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A437E">
                          <w:pPr>
                            <w:pStyle w:val="1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2A437E">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92BC">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ACD8">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EFACD8">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ECD8">
    <w:pPr>
      <w:spacing w:line="167" w:lineRule="auto"/>
      <w:ind w:left="4088"/>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88BEF">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C88BEF">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E558">
    <w:pPr>
      <w:spacing w:line="167" w:lineRule="auto"/>
      <w:ind w:left="472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44D8">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E744D8">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88F9">
    <w:pPr>
      <w:spacing w:line="167" w:lineRule="auto"/>
      <w:ind w:left="467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E9FF0">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FE9FF0">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67FA">
    <w:pPr>
      <w:spacing w:line="167" w:lineRule="auto"/>
      <w:ind w:left="416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F76C9">
                          <w:pPr>
                            <w:pStyle w:val="1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16F76C9">
                    <w:pPr>
                      <w:pStyle w:val="1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92A4">
    <w:pPr>
      <w:spacing w:line="167"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84D2D">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484D2D">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E98F4"/>
    <w:multiLevelType w:val="singleLevel"/>
    <w:tmpl w:val="D31E98F4"/>
    <w:lvl w:ilvl="0" w:tentative="0">
      <w:start w:val="1"/>
      <w:numFmt w:val="chineseCounting"/>
      <w:suff w:val="nothing"/>
      <w:lvlText w:val="%1、"/>
      <w:lvlJc w:val="left"/>
      <w:rPr>
        <w:rFonts w:hint="eastAsia"/>
      </w:rPr>
    </w:lvl>
  </w:abstractNum>
  <w:abstractNum w:abstractNumId="1">
    <w:nsid w:val="49198611"/>
    <w:multiLevelType w:val="singleLevel"/>
    <w:tmpl w:val="49198611"/>
    <w:lvl w:ilvl="0" w:tentative="0">
      <w:start w:val="1"/>
      <w:numFmt w:val="decimal"/>
      <w:lvlText w:val="%1"/>
      <w:lvlJc w:val="left"/>
      <w:pPr>
        <w:tabs>
          <w:tab w:val="left" w:pos="420"/>
        </w:tabs>
        <w:ind w:left="425" w:leftChars="0" w:hanging="425" w:firstLineChars="0"/>
      </w:pPr>
      <w:rPr>
        <w:rFonts w:hint="default"/>
      </w:rPr>
    </w:lvl>
  </w:abstractNum>
  <w:abstractNum w:abstractNumId="2">
    <w:nsid w:val="5D74C89E"/>
    <w:multiLevelType w:val="singleLevel"/>
    <w:tmpl w:val="5D74C89E"/>
    <w:lvl w:ilvl="0" w:tentative="0">
      <w:start w:val="9"/>
      <w:numFmt w:val="chineseCounting"/>
      <w:suff w:val="nothing"/>
      <w:lvlText w:val="%1、"/>
      <w:lvlJc w:val="left"/>
      <w:rPr>
        <w:rFonts w:hint="eastAsia"/>
      </w:rPr>
    </w:lvl>
  </w:abstractNum>
  <w:abstractNum w:abstractNumId="3">
    <w:nsid w:val="63D45E4E"/>
    <w:multiLevelType w:val="singleLevel"/>
    <w:tmpl w:val="63D45E4E"/>
    <w:lvl w:ilvl="0" w:tentative="0">
      <w:start w:val="2"/>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81552"/>
    <w:rsid w:val="00332416"/>
    <w:rsid w:val="00394899"/>
    <w:rsid w:val="003C4FEC"/>
    <w:rsid w:val="003D2626"/>
    <w:rsid w:val="003E1CE6"/>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E1D4C"/>
    <w:rsid w:val="014B08FF"/>
    <w:rsid w:val="017565BF"/>
    <w:rsid w:val="0194674A"/>
    <w:rsid w:val="03101E00"/>
    <w:rsid w:val="03577A2F"/>
    <w:rsid w:val="038F610A"/>
    <w:rsid w:val="03D500CA"/>
    <w:rsid w:val="05946D18"/>
    <w:rsid w:val="06112117"/>
    <w:rsid w:val="065C7340"/>
    <w:rsid w:val="077A3CEC"/>
    <w:rsid w:val="077C1812"/>
    <w:rsid w:val="07B25D04"/>
    <w:rsid w:val="07E37AE3"/>
    <w:rsid w:val="07FE491D"/>
    <w:rsid w:val="084A7B62"/>
    <w:rsid w:val="0949606C"/>
    <w:rsid w:val="09A4149B"/>
    <w:rsid w:val="0ABF0394"/>
    <w:rsid w:val="0AF81AF7"/>
    <w:rsid w:val="0B293A5F"/>
    <w:rsid w:val="0BB22130"/>
    <w:rsid w:val="0C14470F"/>
    <w:rsid w:val="0D1349C7"/>
    <w:rsid w:val="0D451C2E"/>
    <w:rsid w:val="0E2449B2"/>
    <w:rsid w:val="0ED2440E"/>
    <w:rsid w:val="0EE54141"/>
    <w:rsid w:val="0EF12AE6"/>
    <w:rsid w:val="0F2C1286"/>
    <w:rsid w:val="0F5B4403"/>
    <w:rsid w:val="0F8E0D57"/>
    <w:rsid w:val="0FCB1589"/>
    <w:rsid w:val="10572E1C"/>
    <w:rsid w:val="10EF74F9"/>
    <w:rsid w:val="11194576"/>
    <w:rsid w:val="124949E7"/>
    <w:rsid w:val="13405DEA"/>
    <w:rsid w:val="134E49AB"/>
    <w:rsid w:val="13985C26"/>
    <w:rsid w:val="13C54541"/>
    <w:rsid w:val="14171240"/>
    <w:rsid w:val="14504752"/>
    <w:rsid w:val="15735ED3"/>
    <w:rsid w:val="15D02C58"/>
    <w:rsid w:val="1638549E"/>
    <w:rsid w:val="17DB2585"/>
    <w:rsid w:val="180A4C18"/>
    <w:rsid w:val="18632395"/>
    <w:rsid w:val="1AD94039"/>
    <w:rsid w:val="1B59213E"/>
    <w:rsid w:val="1B5E59A7"/>
    <w:rsid w:val="1BBB6955"/>
    <w:rsid w:val="1C0A168B"/>
    <w:rsid w:val="1CB076A3"/>
    <w:rsid w:val="1D1A76AB"/>
    <w:rsid w:val="1D65301C"/>
    <w:rsid w:val="1D6D3C7F"/>
    <w:rsid w:val="1EDD729C"/>
    <w:rsid w:val="1EFA186E"/>
    <w:rsid w:val="20543BA0"/>
    <w:rsid w:val="208C08C0"/>
    <w:rsid w:val="20AE4CDA"/>
    <w:rsid w:val="20EA3839"/>
    <w:rsid w:val="2107263D"/>
    <w:rsid w:val="210B58DF"/>
    <w:rsid w:val="21503045"/>
    <w:rsid w:val="222B14A8"/>
    <w:rsid w:val="22853819"/>
    <w:rsid w:val="22EC5DDE"/>
    <w:rsid w:val="2312085E"/>
    <w:rsid w:val="23333275"/>
    <w:rsid w:val="24280900"/>
    <w:rsid w:val="24533B26"/>
    <w:rsid w:val="24572F93"/>
    <w:rsid w:val="246B4C91"/>
    <w:rsid w:val="2503447E"/>
    <w:rsid w:val="25BF1EB0"/>
    <w:rsid w:val="25F221F6"/>
    <w:rsid w:val="260476A8"/>
    <w:rsid w:val="2676612A"/>
    <w:rsid w:val="28904CC6"/>
    <w:rsid w:val="28A30E9D"/>
    <w:rsid w:val="28B74948"/>
    <w:rsid w:val="28F60FCD"/>
    <w:rsid w:val="290556B4"/>
    <w:rsid w:val="29387837"/>
    <w:rsid w:val="29AA0009"/>
    <w:rsid w:val="2A9211C9"/>
    <w:rsid w:val="2AFC6642"/>
    <w:rsid w:val="2B465B0F"/>
    <w:rsid w:val="2B890687"/>
    <w:rsid w:val="2BD80E5D"/>
    <w:rsid w:val="2C504E98"/>
    <w:rsid w:val="2C9A4365"/>
    <w:rsid w:val="2CBA4A07"/>
    <w:rsid w:val="2D6739A8"/>
    <w:rsid w:val="2E0F43EA"/>
    <w:rsid w:val="2F950E14"/>
    <w:rsid w:val="30E3673B"/>
    <w:rsid w:val="30FD3114"/>
    <w:rsid w:val="3240775C"/>
    <w:rsid w:val="32B53CA7"/>
    <w:rsid w:val="33B57CD6"/>
    <w:rsid w:val="351A7405"/>
    <w:rsid w:val="357339A5"/>
    <w:rsid w:val="35A61FCC"/>
    <w:rsid w:val="36360E00"/>
    <w:rsid w:val="367B0D63"/>
    <w:rsid w:val="36962041"/>
    <w:rsid w:val="36E5586C"/>
    <w:rsid w:val="36ED15A8"/>
    <w:rsid w:val="378400EB"/>
    <w:rsid w:val="38392C84"/>
    <w:rsid w:val="38545666"/>
    <w:rsid w:val="387719FE"/>
    <w:rsid w:val="3AE2272E"/>
    <w:rsid w:val="3AF13CEA"/>
    <w:rsid w:val="3B5B73B5"/>
    <w:rsid w:val="3BA725FA"/>
    <w:rsid w:val="3BAE120E"/>
    <w:rsid w:val="3C5E30D9"/>
    <w:rsid w:val="3CFA0E2A"/>
    <w:rsid w:val="3D18555E"/>
    <w:rsid w:val="3F375A43"/>
    <w:rsid w:val="3F3C5D4A"/>
    <w:rsid w:val="3F424AFF"/>
    <w:rsid w:val="3F47212A"/>
    <w:rsid w:val="3FA27A33"/>
    <w:rsid w:val="400242A3"/>
    <w:rsid w:val="402D1A5E"/>
    <w:rsid w:val="42C6780A"/>
    <w:rsid w:val="42CB6BCE"/>
    <w:rsid w:val="42D02437"/>
    <w:rsid w:val="42E908C7"/>
    <w:rsid w:val="43574906"/>
    <w:rsid w:val="437F078C"/>
    <w:rsid w:val="44957494"/>
    <w:rsid w:val="45506045"/>
    <w:rsid w:val="46601D24"/>
    <w:rsid w:val="468477C0"/>
    <w:rsid w:val="47215957"/>
    <w:rsid w:val="472E02D1"/>
    <w:rsid w:val="479D123A"/>
    <w:rsid w:val="47C87B80"/>
    <w:rsid w:val="492D2391"/>
    <w:rsid w:val="498126DD"/>
    <w:rsid w:val="49FC1D63"/>
    <w:rsid w:val="4A494BC9"/>
    <w:rsid w:val="4AEF6A83"/>
    <w:rsid w:val="4B156B0D"/>
    <w:rsid w:val="4B245E6B"/>
    <w:rsid w:val="4BDE24FA"/>
    <w:rsid w:val="4C1C049B"/>
    <w:rsid w:val="4C834BC1"/>
    <w:rsid w:val="4E375A60"/>
    <w:rsid w:val="4FFC2ABD"/>
    <w:rsid w:val="50C9251F"/>
    <w:rsid w:val="50F73284"/>
    <w:rsid w:val="510936E3"/>
    <w:rsid w:val="516C5A20"/>
    <w:rsid w:val="51A43EF6"/>
    <w:rsid w:val="529D14AC"/>
    <w:rsid w:val="52AA4A52"/>
    <w:rsid w:val="52B52D76"/>
    <w:rsid w:val="53BB4A3D"/>
    <w:rsid w:val="540E2DBF"/>
    <w:rsid w:val="541155DB"/>
    <w:rsid w:val="54996B2C"/>
    <w:rsid w:val="54F74396"/>
    <w:rsid w:val="558A241C"/>
    <w:rsid w:val="566E5D97"/>
    <w:rsid w:val="569E6279"/>
    <w:rsid w:val="56A812A9"/>
    <w:rsid w:val="56B23ED5"/>
    <w:rsid w:val="56CB31E9"/>
    <w:rsid w:val="574C257C"/>
    <w:rsid w:val="575E75DF"/>
    <w:rsid w:val="57684EDC"/>
    <w:rsid w:val="57C55E8A"/>
    <w:rsid w:val="57D305A7"/>
    <w:rsid w:val="581A61D6"/>
    <w:rsid w:val="591470C9"/>
    <w:rsid w:val="593D4140"/>
    <w:rsid w:val="5A074538"/>
    <w:rsid w:val="5ADF3707"/>
    <w:rsid w:val="5BEA4111"/>
    <w:rsid w:val="5C0D4977"/>
    <w:rsid w:val="5E1C6E48"/>
    <w:rsid w:val="5F3F4774"/>
    <w:rsid w:val="5F630463"/>
    <w:rsid w:val="5F812FDF"/>
    <w:rsid w:val="608508AD"/>
    <w:rsid w:val="61587D6F"/>
    <w:rsid w:val="62183250"/>
    <w:rsid w:val="62436329"/>
    <w:rsid w:val="627B5AC3"/>
    <w:rsid w:val="62B2525D"/>
    <w:rsid w:val="6315416A"/>
    <w:rsid w:val="63716434"/>
    <w:rsid w:val="637D586B"/>
    <w:rsid w:val="63A728E8"/>
    <w:rsid w:val="63E94CAF"/>
    <w:rsid w:val="64947310"/>
    <w:rsid w:val="64B654D9"/>
    <w:rsid w:val="64D7472F"/>
    <w:rsid w:val="6596133E"/>
    <w:rsid w:val="65FF07B9"/>
    <w:rsid w:val="66162D58"/>
    <w:rsid w:val="685F3791"/>
    <w:rsid w:val="687819AD"/>
    <w:rsid w:val="68B47F81"/>
    <w:rsid w:val="691D5EDC"/>
    <w:rsid w:val="691E364C"/>
    <w:rsid w:val="6938470E"/>
    <w:rsid w:val="694A4441"/>
    <w:rsid w:val="69B1626F"/>
    <w:rsid w:val="6A4946F9"/>
    <w:rsid w:val="6A7B0D6E"/>
    <w:rsid w:val="6AB778B5"/>
    <w:rsid w:val="6B137271"/>
    <w:rsid w:val="6B99331C"/>
    <w:rsid w:val="6BE02E3B"/>
    <w:rsid w:val="6BE20961"/>
    <w:rsid w:val="6C6B4DFB"/>
    <w:rsid w:val="6CAE2F39"/>
    <w:rsid w:val="6EA2262A"/>
    <w:rsid w:val="6EDF190C"/>
    <w:rsid w:val="6F1515FC"/>
    <w:rsid w:val="6F3410B3"/>
    <w:rsid w:val="6FD0576A"/>
    <w:rsid w:val="70901D3A"/>
    <w:rsid w:val="721A1A9A"/>
    <w:rsid w:val="72705997"/>
    <w:rsid w:val="72807126"/>
    <w:rsid w:val="737F73DD"/>
    <w:rsid w:val="73B61051"/>
    <w:rsid w:val="742A10F7"/>
    <w:rsid w:val="743B50B2"/>
    <w:rsid w:val="74A23383"/>
    <w:rsid w:val="74EC2851"/>
    <w:rsid w:val="74F10135"/>
    <w:rsid w:val="7556475E"/>
    <w:rsid w:val="75E53F84"/>
    <w:rsid w:val="780F6F82"/>
    <w:rsid w:val="78CC6C21"/>
    <w:rsid w:val="795B1D53"/>
    <w:rsid w:val="79CD2C51"/>
    <w:rsid w:val="7A15284A"/>
    <w:rsid w:val="7B1228E5"/>
    <w:rsid w:val="7B1E74DC"/>
    <w:rsid w:val="7BAE37D1"/>
    <w:rsid w:val="7C134B67"/>
    <w:rsid w:val="7C3A20F4"/>
    <w:rsid w:val="7EAC086C"/>
    <w:rsid w:val="7F6F774B"/>
    <w:rsid w:val="7FAA2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66"/>
    <w:qFormat/>
    <w:uiPriority w:val="9"/>
    <w:pPr>
      <w:keepNext/>
      <w:keepLines/>
      <w:spacing w:before="340" w:line="480" w:lineRule="auto"/>
      <w:jc w:val="center"/>
      <w:outlineLvl w:val="0"/>
    </w:pPr>
    <w:rPr>
      <w:rFonts w:asciiTheme="minorAscii" w:hAnsiTheme="minorAscii"/>
      <w:b/>
      <w:bCs/>
      <w:kern w:val="32"/>
      <w:sz w:val="32"/>
      <w:szCs w:val="32"/>
    </w:rPr>
  </w:style>
  <w:style w:type="paragraph" w:styleId="10">
    <w:name w:val="heading 2"/>
    <w:basedOn w:val="1"/>
    <w:next w:val="1"/>
    <w:link w:val="4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11">
    <w:name w:val="heading 3"/>
    <w:basedOn w:val="1"/>
    <w:next w:val="1"/>
    <w:unhideWhenUsed/>
    <w:qFormat/>
    <w:uiPriority w:val="9"/>
    <w:pPr>
      <w:keepNext/>
      <w:keepLines/>
      <w:spacing w:before="260" w:beforeLines="0" w:beforeAutospacing="0" w:after="260" w:afterLines="0" w:afterAutospacing="0" w:line="413" w:lineRule="auto"/>
      <w:outlineLvl w:val="2"/>
    </w:pPr>
    <w:rPr>
      <w:rFonts w:asciiTheme="minorAscii" w:hAnsiTheme="minorAscii"/>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0"/>
    <w:unhideWhenUsed/>
    <w:qFormat/>
    <w:uiPriority w:val="99"/>
    <w:pPr>
      <w:ind w:firstLine="420" w:firstLineChars="100"/>
    </w:pPr>
  </w:style>
  <w:style w:type="paragraph" w:styleId="3">
    <w:name w:val="Body Text"/>
    <w:basedOn w:val="1"/>
    <w:next w:val="4"/>
    <w:link w:val="46"/>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spacing w:after="120" w:line="276" w:lineRule="auto"/>
      <w:ind w:left="420" w:leftChars="200"/>
    </w:pPr>
    <w:rPr>
      <w:rFonts w:ascii="宋体" w:hAnsi="Calibri" w:eastAsia="仿宋"/>
      <w:sz w:val="24"/>
      <w:szCs w:val="21"/>
    </w:r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Normal Indent"/>
    <w:basedOn w:val="1"/>
    <w:unhideWhenUsed/>
    <w:qFormat/>
    <w:uiPriority w:val="99"/>
    <w:pPr>
      <w:ind w:firstLine="420" w:firstLineChars="200"/>
    </w:pPr>
    <w:rPr>
      <w:rFonts w:ascii="Calibri" w:hAnsi="Calibri" w:eastAsia="宋体" w:cs="Times New Roman"/>
    </w:rPr>
  </w:style>
  <w:style w:type="paragraph" w:styleId="13">
    <w:name w:val="Document Map"/>
    <w:basedOn w:val="1"/>
    <w:link w:val="63"/>
    <w:semiHidden/>
    <w:unhideWhenUsed/>
    <w:qFormat/>
    <w:uiPriority w:val="99"/>
    <w:rPr>
      <w:rFonts w:ascii="宋体" w:eastAsia="宋体"/>
      <w:sz w:val="18"/>
      <w:szCs w:val="18"/>
    </w:rPr>
  </w:style>
  <w:style w:type="paragraph" w:styleId="14">
    <w:name w:val="annotation text"/>
    <w:basedOn w:val="1"/>
    <w:link w:val="45"/>
    <w:unhideWhenUsed/>
    <w:qFormat/>
    <w:uiPriority w:val="0"/>
    <w:pPr>
      <w:jc w:val="left"/>
    </w:pPr>
  </w:style>
  <w:style w:type="paragraph" w:styleId="15">
    <w:name w:val="Salutation"/>
    <w:basedOn w:val="1"/>
    <w:next w:val="1"/>
    <w:link w:val="64"/>
    <w:unhideWhenUsed/>
    <w:qFormat/>
    <w:uiPriority w:val="99"/>
    <w:rPr>
      <w:rFonts w:ascii="宋体" w:hAnsi="宋体" w:eastAsia="仿宋_GB2312" w:cs="Times New Roman"/>
      <w:kern w:val="0"/>
      <w:sz w:val="20"/>
      <w:szCs w:val="21"/>
    </w:rPr>
  </w:style>
  <w:style w:type="paragraph" w:styleId="16">
    <w:name w:val="Plain Text"/>
    <w:basedOn w:val="1"/>
    <w:link w:val="48"/>
    <w:qFormat/>
    <w:uiPriority w:val="99"/>
    <w:rPr>
      <w:rFonts w:ascii="宋体" w:hAnsi="Courier New" w:eastAsia="华文宋体" w:cs="Times New Roman"/>
      <w:kern w:val="0"/>
      <w:sz w:val="28"/>
      <w:szCs w:val="28"/>
    </w:rPr>
  </w:style>
  <w:style w:type="paragraph" w:styleId="17">
    <w:name w:val="Body Text Indent 2"/>
    <w:basedOn w:val="1"/>
    <w:link w:val="4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8">
    <w:name w:val="Balloon Text"/>
    <w:basedOn w:val="1"/>
    <w:link w:val="49"/>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next w:val="16"/>
    <w:link w:val="47"/>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Title"/>
    <w:basedOn w:val="1"/>
    <w:next w:val="1"/>
    <w:link w:val="65"/>
    <w:qFormat/>
    <w:uiPriority w:val="1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rPr>
      <w:rFonts w:hint="eastAsia" w:ascii="Tahoma" w:hAnsi="Tahoma" w:eastAsia="Tahoma" w:cs="Tahoma"/>
      <w:sz w:val="18"/>
      <w:szCs w:val="18"/>
    </w:rPr>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页眉 Char"/>
    <w:basedOn w:val="28"/>
    <w:link w:val="20"/>
    <w:qFormat/>
    <w:uiPriority w:val="0"/>
    <w:rPr>
      <w:sz w:val="18"/>
      <w:szCs w:val="18"/>
    </w:rPr>
  </w:style>
  <w:style w:type="character" w:customStyle="1" w:styleId="42">
    <w:name w:val="页脚 Char"/>
    <w:basedOn w:val="28"/>
    <w:link w:val="19"/>
    <w:qFormat/>
    <w:uiPriority w:val="99"/>
    <w:rPr>
      <w:sz w:val="18"/>
      <w:szCs w:val="18"/>
    </w:rPr>
  </w:style>
  <w:style w:type="character" w:customStyle="1" w:styleId="43">
    <w:name w:val="标题 2 Char"/>
    <w:basedOn w:val="28"/>
    <w:link w:val="10"/>
    <w:qFormat/>
    <w:uiPriority w:val="0"/>
    <w:rPr>
      <w:rFonts w:ascii="CG Times" w:hAnsi="CG Times" w:eastAsia="宋体" w:cs="Times New Roman"/>
      <w:b/>
      <w:kern w:val="0"/>
      <w:sz w:val="30"/>
      <w:szCs w:val="20"/>
    </w:rPr>
  </w:style>
  <w:style w:type="character" w:customStyle="1" w:styleId="44">
    <w:name w:val="正文文本缩进 2 Char"/>
    <w:basedOn w:val="28"/>
    <w:link w:val="17"/>
    <w:qFormat/>
    <w:uiPriority w:val="0"/>
    <w:rPr>
      <w:rFonts w:ascii="Times New Roman" w:hAnsi="Times New Roman" w:eastAsia="宋体" w:cs="Times New Roman"/>
      <w:kern w:val="0"/>
      <w:sz w:val="20"/>
      <w:szCs w:val="24"/>
    </w:rPr>
  </w:style>
  <w:style w:type="character" w:customStyle="1" w:styleId="45">
    <w:name w:val="批注文字 Char"/>
    <w:basedOn w:val="28"/>
    <w:link w:val="14"/>
    <w:qFormat/>
    <w:uiPriority w:val="0"/>
  </w:style>
  <w:style w:type="character" w:customStyle="1" w:styleId="46">
    <w:name w:val="正文文本 Char"/>
    <w:basedOn w:val="28"/>
    <w:link w:val="3"/>
    <w:qFormat/>
    <w:uiPriority w:val="0"/>
    <w:rPr>
      <w:rFonts w:ascii="仿宋_GB2312" w:hAnsi="宋体" w:eastAsia="仿宋_GB2312" w:cs="Times New Roman"/>
      <w:color w:val="008000"/>
      <w:kern w:val="0"/>
      <w:sz w:val="24"/>
      <w:szCs w:val="24"/>
    </w:rPr>
  </w:style>
  <w:style w:type="character" w:customStyle="1" w:styleId="47">
    <w:name w:val="正文文本 2 Char"/>
    <w:basedOn w:val="28"/>
    <w:link w:val="23"/>
    <w:qFormat/>
    <w:uiPriority w:val="99"/>
    <w:rPr>
      <w:rFonts w:ascii="宋体" w:hAnsi="宋体" w:eastAsia="宋体" w:cs="Times New Roman"/>
      <w:kern w:val="0"/>
      <w:sz w:val="24"/>
      <w:szCs w:val="24"/>
    </w:rPr>
  </w:style>
  <w:style w:type="character" w:customStyle="1" w:styleId="48">
    <w:name w:val="纯文本 Char"/>
    <w:basedOn w:val="28"/>
    <w:link w:val="16"/>
    <w:qFormat/>
    <w:uiPriority w:val="99"/>
    <w:rPr>
      <w:rFonts w:ascii="宋体" w:hAnsi="Courier New" w:eastAsia="华文宋体" w:cs="Times New Roman"/>
      <w:kern w:val="0"/>
      <w:sz w:val="28"/>
      <w:szCs w:val="28"/>
    </w:rPr>
  </w:style>
  <w:style w:type="character" w:customStyle="1" w:styleId="49">
    <w:name w:val="批注框文本 Char"/>
    <w:basedOn w:val="28"/>
    <w:link w:val="18"/>
    <w:semiHidden/>
    <w:qFormat/>
    <w:uiPriority w:val="99"/>
    <w:rPr>
      <w:sz w:val="18"/>
      <w:szCs w:val="18"/>
    </w:rPr>
  </w:style>
  <w:style w:type="character" w:customStyle="1" w:styleId="50">
    <w:name w:val="正文首行缩进 Char"/>
    <w:basedOn w:val="46"/>
    <w:link w:val="2"/>
    <w:qFormat/>
    <w:uiPriority w:val="99"/>
  </w:style>
  <w:style w:type="paragraph" w:customStyle="1" w:styleId="5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3">
    <w:name w:val="纯文本1"/>
    <w:basedOn w:val="1"/>
    <w:qFormat/>
    <w:uiPriority w:val="0"/>
    <w:rPr>
      <w:rFonts w:ascii="宋体" w:hAnsi="Courier New" w:eastAsia="宋体" w:cs="Times New Roman"/>
      <w:kern w:val="0"/>
      <w:sz w:val="20"/>
      <w:szCs w:val="20"/>
    </w:rPr>
  </w:style>
  <w:style w:type="character" w:customStyle="1" w:styleId="54">
    <w:name w:val="font41"/>
    <w:basedOn w:val="28"/>
    <w:qFormat/>
    <w:uiPriority w:val="0"/>
    <w:rPr>
      <w:rFonts w:ascii="Arial" w:hAnsi="Arial" w:cs="Arial"/>
      <w:color w:val="000000"/>
      <w:sz w:val="20"/>
      <w:szCs w:val="20"/>
      <w:u w:val="none"/>
    </w:rPr>
  </w:style>
  <w:style w:type="character" w:customStyle="1" w:styleId="55">
    <w:name w:val="layui-layer-tabnow"/>
    <w:basedOn w:val="28"/>
    <w:qFormat/>
    <w:uiPriority w:val="0"/>
    <w:rPr>
      <w:bdr w:val="single" w:color="CCCCCC" w:sz="6" w:space="0"/>
      <w:shd w:val="clear" w:color="auto" w:fill="FFFFFF"/>
    </w:rPr>
  </w:style>
  <w:style w:type="character" w:customStyle="1" w:styleId="56">
    <w:name w:val="first-child"/>
    <w:basedOn w:val="28"/>
    <w:qFormat/>
    <w:uiPriority w:val="0"/>
  </w:style>
  <w:style w:type="character" w:customStyle="1" w:styleId="57">
    <w:name w:val="hover1"/>
    <w:basedOn w:val="28"/>
    <w:qFormat/>
    <w:uiPriority w:val="0"/>
    <w:rPr>
      <w:color w:val="2590EB"/>
    </w:rPr>
  </w:style>
  <w:style w:type="character" w:customStyle="1" w:styleId="58">
    <w:name w:val="hover2"/>
    <w:basedOn w:val="28"/>
    <w:qFormat/>
    <w:uiPriority w:val="0"/>
    <w:rPr>
      <w:color w:val="2590EB"/>
    </w:rPr>
  </w:style>
  <w:style w:type="character" w:customStyle="1" w:styleId="59">
    <w:name w:val="hover3"/>
    <w:basedOn w:val="28"/>
    <w:qFormat/>
    <w:uiPriority w:val="0"/>
  </w:style>
  <w:style w:type="character" w:customStyle="1" w:styleId="60">
    <w:name w:val="mini-outputtext1"/>
    <w:basedOn w:val="28"/>
    <w:qFormat/>
    <w:uiPriority w:val="0"/>
  </w:style>
  <w:style w:type="character" w:customStyle="1" w:styleId="61">
    <w:name w:val="hover"/>
    <w:basedOn w:val="28"/>
    <w:qFormat/>
    <w:uiPriority w:val="0"/>
    <w:rPr>
      <w:color w:val="2590EB"/>
    </w:rPr>
  </w:style>
  <w:style w:type="paragraph" w:styleId="62">
    <w:name w:val="List Paragraph"/>
    <w:basedOn w:val="1"/>
    <w:unhideWhenUsed/>
    <w:qFormat/>
    <w:uiPriority w:val="99"/>
    <w:pPr>
      <w:ind w:firstLine="420" w:firstLineChars="200"/>
    </w:pPr>
  </w:style>
  <w:style w:type="character" w:customStyle="1" w:styleId="63">
    <w:name w:val="文档结构图 Char"/>
    <w:basedOn w:val="28"/>
    <w:link w:val="13"/>
    <w:semiHidden/>
    <w:qFormat/>
    <w:uiPriority w:val="99"/>
    <w:rPr>
      <w:rFonts w:ascii="宋体" w:eastAsia="宋体"/>
      <w:sz w:val="18"/>
      <w:szCs w:val="18"/>
    </w:rPr>
  </w:style>
  <w:style w:type="character" w:customStyle="1" w:styleId="64">
    <w:name w:val="称呼 Char"/>
    <w:basedOn w:val="28"/>
    <w:link w:val="15"/>
    <w:qFormat/>
    <w:uiPriority w:val="99"/>
    <w:rPr>
      <w:rFonts w:ascii="宋体" w:hAnsi="宋体" w:eastAsia="仿宋_GB2312" w:cs="Times New Roman"/>
      <w:kern w:val="0"/>
      <w:sz w:val="20"/>
      <w:szCs w:val="21"/>
    </w:rPr>
  </w:style>
  <w:style w:type="character" w:customStyle="1" w:styleId="65">
    <w:name w:val="标题 Char"/>
    <w:basedOn w:val="28"/>
    <w:link w:val="25"/>
    <w:qFormat/>
    <w:uiPriority w:val="10"/>
    <w:rPr>
      <w:rFonts w:eastAsia="宋体" w:asciiTheme="majorHAnsi" w:hAnsiTheme="majorHAnsi" w:cstheme="majorBidi"/>
      <w:b/>
      <w:bCs/>
      <w:sz w:val="32"/>
      <w:szCs w:val="32"/>
    </w:rPr>
  </w:style>
  <w:style w:type="character" w:customStyle="1" w:styleId="66">
    <w:name w:val="标题 1 Char"/>
    <w:basedOn w:val="28"/>
    <w:link w:val="9"/>
    <w:qFormat/>
    <w:uiPriority w:val="9"/>
    <w:rPr>
      <w:rFonts w:asciiTheme="minorAscii" w:hAnsiTheme="minorAscii" w:eastAsiaTheme="minorEastAsia"/>
      <w:b/>
      <w:bCs/>
      <w:kern w:val="32"/>
      <w:sz w:val="32"/>
      <w:szCs w:val="32"/>
    </w:rPr>
  </w:style>
  <w:style w:type="paragraph" w:customStyle="1" w:styleId="67">
    <w:name w:val="TOC 标题1"/>
    <w:basedOn w:val="9"/>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8">
    <w:name w:val="*正文_1_0_0_0_0"/>
    <w:basedOn w:val="1"/>
    <w:next w:val="1"/>
    <w:qFormat/>
    <w:uiPriority w:val="0"/>
    <w:pPr>
      <w:widowControl/>
      <w:ind w:firstLine="482"/>
    </w:pPr>
    <w:rPr>
      <w:rFonts w:ascii="微软雅黑" w:hAnsi="微软雅黑" w:eastAsia="微软雅黑" w:cs="Times New Roman"/>
    </w:rPr>
  </w:style>
  <w:style w:type="character" w:customStyle="1" w:styleId="69">
    <w:name w:val="NormalCharacter"/>
    <w:qFormat/>
    <w:uiPriority w:val="0"/>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5EA60-16EF-4360-B17A-5FDD9CB2213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10693</Words>
  <Characters>11795</Characters>
  <Lines>142</Lines>
  <Paragraphs>40</Paragraphs>
  <TotalTime>23</TotalTime>
  <ScaleCrop>false</ScaleCrop>
  <LinksUpToDate>false</LinksUpToDate>
  <CharactersWithSpaces>11846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Administrator</cp:lastModifiedBy>
  <cp:lastPrinted>2024-08-26T07:26:00Z</cp:lastPrinted>
  <dcterms:modified xsi:type="dcterms:W3CDTF">2026-02-02T09:17:49Z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DB68DF90C82F430BA814B61487AC47D6_13</vt:lpwstr>
  </property>
  <property fmtid="{D5CDD505-2E9C-101B-9397-08002B2CF9AE}" pid="4" name="KSOTemplateDocerSaveRecord">
    <vt:lpwstr>eyJoZGlkIjoiYjY5NDM5NmE5MjM5MmM2MjhlZmJlMTFmYWFjMGM3M2MiLCJ1c2VySWQiOiIzMTg5Njc5MDIifQ==</vt:lpwstr>
  </property>
</Properties>
</file>