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75BDF">
      <w:pPr>
        <w:pStyle w:val="9"/>
        <w:rPr>
          <w:rFonts w:hint="eastAsia" w:ascii="宋体" w:hAnsi="宋体" w:eastAsia="宋体" w:cs="宋体"/>
          <w:b/>
          <w:color w:val="auto"/>
          <w:kern w:val="2"/>
          <w:sz w:val="52"/>
          <w:szCs w:val="52"/>
          <w:highlight w:val="none"/>
          <w:lang w:val="en-US" w:eastAsia="zh-CN" w:bidi="ar-SA"/>
        </w:rPr>
      </w:pPr>
    </w:p>
    <w:p w14:paraId="15DFF8E3">
      <w:pPr>
        <w:pStyle w:val="9"/>
        <w:jc w:val="both"/>
        <w:rPr>
          <w:rFonts w:hint="eastAsia" w:ascii="宋体" w:hAnsi="宋体" w:eastAsia="宋体" w:cs="宋体"/>
          <w:b/>
          <w:color w:val="auto"/>
          <w:kern w:val="2"/>
          <w:sz w:val="52"/>
          <w:szCs w:val="52"/>
          <w:highlight w:val="none"/>
          <w:lang w:val="en-US" w:eastAsia="zh-CN" w:bidi="ar-SA"/>
        </w:rPr>
      </w:pPr>
      <w:r>
        <w:rPr>
          <w:rFonts w:hint="eastAsia" w:ascii="宋体" w:hAnsi="宋体" w:eastAsia="宋体" w:cs="宋体"/>
          <w:b/>
          <w:color w:val="auto"/>
          <w:kern w:val="2"/>
          <w:sz w:val="52"/>
          <w:szCs w:val="52"/>
          <w:highlight w:val="none"/>
          <w:lang w:val="en-US" w:eastAsia="zh-CN" w:bidi="ar-SA"/>
        </w:rPr>
        <w:t>灵宝市乡镇空气质量监测站运维项目</w:t>
      </w:r>
    </w:p>
    <w:p w14:paraId="2B5D6BF2">
      <w:pPr>
        <w:jc w:val="center"/>
        <w:rPr>
          <w:rFonts w:hint="eastAsia" w:ascii="宋体" w:hAnsi="宋体" w:cs="宋体"/>
          <w:b/>
          <w:color w:val="auto"/>
          <w:sz w:val="52"/>
          <w:szCs w:val="52"/>
          <w:highlight w:val="none"/>
        </w:rPr>
      </w:pPr>
    </w:p>
    <w:p w14:paraId="15401878">
      <w:pPr>
        <w:jc w:val="both"/>
        <w:rPr>
          <w:rFonts w:hint="eastAsia" w:ascii="宋体" w:hAnsi="宋体" w:cs="宋体"/>
          <w:b/>
          <w:color w:val="auto"/>
          <w:sz w:val="52"/>
          <w:szCs w:val="52"/>
          <w:highlight w:val="none"/>
        </w:rPr>
      </w:pPr>
    </w:p>
    <w:p w14:paraId="14E04944">
      <w:pPr>
        <w:jc w:val="center"/>
        <w:rPr>
          <w:rFonts w:hint="eastAsia" w:ascii="宋体" w:hAnsi="宋体" w:cs="宋体"/>
          <w:b/>
          <w:color w:val="auto"/>
          <w:sz w:val="52"/>
          <w:szCs w:val="52"/>
          <w:highlight w:val="none"/>
        </w:rPr>
      </w:pPr>
    </w:p>
    <w:p w14:paraId="03EA09F0">
      <w:pPr>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招 标 文 件</w:t>
      </w:r>
    </w:p>
    <w:p w14:paraId="606DC8CF">
      <w:pPr>
        <w:rPr>
          <w:rFonts w:hint="eastAsia" w:ascii="宋体" w:hAnsi="宋体" w:cs="宋体"/>
          <w:color w:val="auto"/>
          <w:highlight w:val="none"/>
        </w:rPr>
      </w:pPr>
    </w:p>
    <w:p w14:paraId="338C275F">
      <w:pPr>
        <w:rPr>
          <w:rFonts w:hint="eastAsia" w:ascii="宋体" w:hAnsi="宋体" w:cs="宋体"/>
          <w:color w:val="auto"/>
          <w:highlight w:val="none"/>
        </w:rPr>
      </w:pPr>
    </w:p>
    <w:p w14:paraId="720AFDC2">
      <w:pPr>
        <w:spacing w:line="360" w:lineRule="auto"/>
        <w:jc w:val="center"/>
        <w:rPr>
          <w:rFonts w:hint="eastAsia" w:ascii="宋体" w:hAnsi="宋体" w:cs="宋体"/>
          <w:b/>
          <w:color w:val="auto"/>
          <w:sz w:val="84"/>
          <w:szCs w:val="84"/>
          <w:highlight w:val="none"/>
        </w:rPr>
      </w:pPr>
      <w:r>
        <w:rPr>
          <w:rFonts w:hint="eastAsia" w:ascii="宋体" w:hAnsi="宋体" w:eastAsia="宋体"/>
          <w:b/>
          <w:bCs/>
          <w:color w:val="auto"/>
          <w:sz w:val="28"/>
          <w:szCs w:val="28"/>
          <w:highlight w:val="none"/>
        </w:rPr>
        <w:t>采购项目编号：</w:t>
      </w:r>
      <w:r>
        <w:rPr>
          <w:rFonts w:hint="eastAsia" w:ascii="宋体" w:hAnsi="宋体" w:eastAsia="宋体"/>
          <w:b/>
          <w:bCs/>
          <w:color w:val="auto"/>
          <w:sz w:val="28"/>
          <w:szCs w:val="28"/>
          <w:highlight w:val="none"/>
          <w:lang w:eastAsia="zh-CN"/>
        </w:rPr>
        <w:drawing>
          <wp:anchor distT="0" distB="0" distL="114300" distR="114300" simplePos="0" relativeHeight="251660288" behindDoc="0" locked="0" layoutInCell="1" allowOverlap="1">
            <wp:simplePos x="0" y="0"/>
            <wp:positionH relativeFrom="column">
              <wp:posOffset>2327910</wp:posOffset>
            </wp:positionH>
            <wp:positionV relativeFrom="paragraph">
              <wp:posOffset>633730</wp:posOffset>
            </wp:positionV>
            <wp:extent cx="1600835" cy="1488440"/>
            <wp:effectExtent l="0" t="0" r="7620" b="1270"/>
            <wp:wrapNone/>
            <wp:docPr id="1" name="图片 2" descr="新正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新正为"/>
                    <pic:cNvPicPr>
                      <a:picLocks noChangeAspect="1"/>
                    </pic:cNvPicPr>
                  </pic:nvPicPr>
                  <pic:blipFill>
                    <a:blip r:embed="rId12"/>
                    <a:stretch>
                      <a:fillRect/>
                    </a:stretch>
                  </pic:blipFill>
                  <pic:spPr>
                    <a:xfrm>
                      <a:off x="0" y="0"/>
                      <a:ext cx="1600835" cy="1488440"/>
                    </a:xfrm>
                    <a:prstGeom prst="rect">
                      <a:avLst/>
                    </a:prstGeom>
                    <a:noFill/>
                    <a:ln>
                      <a:noFill/>
                    </a:ln>
                  </pic:spPr>
                </pic:pic>
              </a:graphicData>
            </a:graphic>
          </wp:anchor>
        </w:drawing>
      </w:r>
      <w:r>
        <w:rPr>
          <w:rFonts w:hint="eastAsia" w:ascii="宋体" w:hAnsi="宋体" w:eastAsia="宋体"/>
          <w:b/>
          <w:bCs/>
          <w:color w:val="auto"/>
          <w:sz w:val="28"/>
          <w:szCs w:val="28"/>
          <w:highlight w:val="none"/>
          <w:lang w:eastAsia="zh-CN"/>
        </w:rPr>
        <w:t>LBGZ[2026]022-ZC021</w:t>
      </w:r>
    </w:p>
    <w:p w14:paraId="3286B657">
      <w:pPr>
        <w:spacing w:line="360" w:lineRule="auto"/>
        <w:jc w:val="center"/>
        <w:rPr>
          <w:rFonts w:hint="eastAsia" w:ascii="宋体" w:hAnsi="宋体" w:cs="宋体"/>
          <w:b/>
          <w:color w:val="auto"/>
          <w:sz w:val="84"/>
          <w:szCs w:val="84"/>
          <w:highlight w:val="none"/>
        </w:rPr>
      </w:pPr>
    </w:p>
    <w:p w14:paraId="4F44FA3B">
      <w:pPr>
        <w:spacing w:line="360" w:lineRule="auto"/>
        <w:jc w:val="center"/>
        <w:rPr>
          <w:rFonts w:hint="eastAsia" w:ascii="宋体" w:hAnsi="宋体" w:cs="宋体"/>
          <w:b/>
          <w:color w:val="auto"/>
          <w:highlight w:val="none"/>
        </w:rPr>
      </w:pPr>
    </w:p>
    <w:p w14:paraId="2F6D1210">
      <w:pPr>
        <w:spacing w:line="360" w:lineRule="auto"/>
        <w:rPr>
          <w:rFonts w:hint="eastAsia" w:ascii="宋体" w:hAnsi="宋体" w:cs="宋体"/>
          <w:b/>
          <w:color w:val="auto"/>
          <w:sz w:val="32"/>
          <w:szCs w:val="32"/>
          <w:highlight w:val="none"/>
        </w:rPr>
      </w:pPr>
    </w:p>
    <w:p w14:paraId="3741FF5C">
      <w:pPr>
        <w:spacing w:line="360" w:lineRule="auto"/>
        <w:rPr>
          <w:rFonts w:hint="eastAsia" w:ascii="宋体" w:hAnsi="宋体" w:cs="宋体"/>
          <w:b/>
          <w:color w:val="auto"/>
          <w:sz w:val="32"/>
          <w:szCs w:val="32"/>
          <w:highlight w:val="none"/>
        </w:rPr>
      </w:pPr>
    </w:p>
    <w:p w14:paraId="0DB823D8">
      <w:pPr>
        <w:spacing w:line="360" w:lineRule="auto"/>
        <w:rPr>
          <w:rFonts w:hint="eastAsia" w:ascii="宋体" w:hAnsi="宋体" w:cs="宋体"/>
          <w:b/>
          <w:color w:val="auto"/>
          <w:sz w:val="32"/>
          <w:szCs w:val="32"/>
          <w:highlight w:val="none"/>
        </w:rPr>
      </w:pPr>
    </w:p>
    <w:p w14:paraId="4422C687">
      <w:pPr>
        <w:spacing w:line="360" w:lineRule="auto"/>
        <w:jc w:val="center"/>
        <w:rPr>
          <w:rFonts w:hint="eastAsia" w:ascii="宋体" w:hAnsi="宋体" w:cs="宋体"/>
          <w:b/>
          <w:color w:val="auto"/>
          <w:sz w:val="32"/>
          <w:szCs w:val="32"/>
          <w:highlight w:val="none"/>
        </w:rPr>
      </w:pPr>
    </w:p>
    <w:p w14:paraId="41E437D4">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招标单位：</w:t>
      </w:r>
      <w:r>
        <w:rPr>
          <w:rFonts w:hint="eastAsia" w:ascii="宋体" w:hAnsi="宋体" w:cs="宋体"/>
          <w:b/>
          <w:color w:val="auto"/>
          <w:sz w:val="32"/>
          <w:szCs w:val="32"/>
          <w:highlight w:val="none"/>
          <w:lang w:eastAsia="zh-CN"/>
        </w:rPr>
        <w:t>三门峡市生态环境局灵宝分局</w:t>
      </w:r>
    </w:p>
    <w:p w14:paraId="2C724FE6">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采购代理机构</w:t>
      </w:r>
      <w:r>
        <w:rPr>
          <w:rFonts w:hint="eastAsia" w:ascii="宋体" w:hAnsi="宋体" w:cs="宋体"/>
          <w:b/>
          <w:color w:val="auto"/>
          <w:sz w:val="32"/>
          <w:szCs w:val="32"/>
          <w:highlight w:val="none"/>
        </w:rPr>
        <w:t>：</w:t>
      </w:r>
      <w:r>
        <w:rPr>
          <w:rFonts w:hint="eastAsia" w:ascii="宋体" w:hAnsi="宋体" w:cs="宋体"/>
          <w:b/>
          <w:bCs/>
          <w:color w:val="auto"/>
          <w:sz w:val="32"/>
          <w:szCs w:val="32"/>
          <w:highlight w:val="none"/>
          <w:lang w:eastAsia="zh-CN"/>
        </w:rPr>
        <w:t>正为技术有限公司</w:t>
      </w:r>
    </w:p>
    <w:p w14:paraId="3D9F58A1">
      <w:pPr>
        <w:spacing w:line="360" w:lineRule="auto"/>
        <w:jc w:val="center"/>
        <w:rPr>
          <w:rFonts w:hint="eastAsia" w:ascii="宋体" w:hAnsi="宋体" w:cs="宋体"/>
          <w:b/>
          <w:color w:val="auto"/>
          <w:sz w:val="32"/>
          <w:szCs w:val="32"/>
          <w:highlight w:val="none"/>
        </w:rPr>
        <w:sectPr>
          <w:headerReference r:id="rId4" w:type="first"/>
          <w:footerReference r:id="rId6" w:type="first"/>
          <w:headerReference r:id="rId3" w:type="even"/>
          <w:footerReference r:id="rId5" w:type="even"/>
          <w:pgSz w:w="11900" w:h="16838"/>
          <w:pgMar w:top="1440" w:right="1080" w:bottom="1440" w:left="1080" w:header="720" w:footer="0" w:gutter="0"/>
          <w:pgNumType w:start="1"/>
          <w:cols w:space="0" w:num="1"/>
          <w:titlePg/>
          <w:docGrid w:type="lines" w:linePitch="368" w:charSpace="0"/>
        </w:sectPr>
      </w:pPr>
      <w:r>
        <w:rPr>
          <w:rFonts w:hint="eastAsia" w:ascii="宋体" w:hAnsi="宋体" w:cs="宋体"/>
          <w:b/>
          <w:color w:val="auto"/>
          <w:sz w:val="32"/>
          <w:szCs w:val="32"/>
          <w:highlight w:val="none"/>
        </w:rPr>
        <w:t>招 标 日 期：二〇二</w:t>
      </w:r>
      <w:r>
        <w:rPr>
          <w:rFonts w:hint="eastAsia" w:ascii="宋体" w:hAnsi="宋体" w:cs="宋体"/>
          <w:b/>
          <w:color w:val="auto"/>
          <w:sz w:val="32"/>
          <w:szCs w:val="32"/>
          <w:highlight w:val="none"/>
          <w:lang w:val="en-US" w:eastAsia="zh-CN"/>
        </w:rPr>
        <w:t>六</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二</w:t>
      </w:r>
      <w:r>
        <w:rPr>
          <w:rFonts w:hint="eastAsia" w:ascii="宋体" w:hAnsi="宋体" w:cs="宋体"/>
          <w:b/>
          <w:color w:val="auto"/>
          <w:sz w:val="32"/>
          <w:szCs w:val="32"/>
          <w:highlight w:val="none"/>
        </w:rPr>
        <w:t>月</w:t>
      </w:r>
    </w:p>
    <w:p w14:paraId="4F2B13DF">
      <w:pPr>
        <w:pStyle w:val="9"/>
        <w:ind w:firstLine="0" w:firstLineChars="0"/>
        <w:rPr>
          <w:rStyle w:val="21"/>
          <w:rFonts w:hint="eastAsia" w:ascii="宋体" w:hAnsi="宋体" w:eastAsia="宋体"/>
          <w:b/>
          <w:color w:val="auto"/>
          <w:sz w:val="44"/>
          <w:szCs w:val="44"/>
          <w:highlight w:val="none"/>
        </w:rPr>
      </w:pPr>
    </w:p>
    <w:p w14:paraId="51449DCB">
      <w:pPr>
        <w:pStyle w:val="9"/>
        <w:ind w:firstLine="0" w:firstLineChars="0"/>
        <w:rPr>
          <w:rStyle w:val="21"/>
          <w:rFonts w:hint="eastAsia" w:ascii="宋体" w:hAnsi="宋体" w:eastAsia="宋体"/>
          <w:b/>
          <w:bCs/>
          <w:caps/>
          <w:color w:val="auto"/>
          <w:sz w:val="44"/>
          <w:szCs w:val="44"/>
          <w:highlight w:val="none"/>
        </w:rPr>
      </w:pPr>
      <w:r>
        <w:rPr>
          <w:rStyle w:val="21"/>
          <w:rFonts w:hint="eastAsia" w:ascii="宋体" w:hAnsi="宋体" w:eastAsia="宋体"/>
          <w:b/>
          <w:color w:val="auto"/>
          <w:sz w:val="44"/>
          <w:szCs w:val="44"/>
          <w:highlight w:val="none"/>
        </w:rPr>
        <w:t>目   录</w:t>
      </w:r>
    </w:p>
    <w:sdt>
      <w:sdtPr>
        <w:rPr>
          <w:rFonts w:ascii="宋体" w:hAnsi="宋体" w:eastAsia="宋体" w:cs="Times New Roman"/>
          <w:color w:val="auto"/>
          <w:kern w:val="2"/>
          <w:sz w:val="21"/>
          <w:szCs w:val="21"/>
          <w:highlight w:val="none"/>
          <w:lang w:val="en-US" w:eastAsia="zh-CN" w:bidi="ar-SA"/>
        </w:rPr>
        <w:id w:val="147471133"/>
        <w15:color w:val="DBDBDB"/>
        <w:docPartObj>
          <w:docPartGallery w:val="Table of Contents"/>
          <w:docPartUnique/>
        </w:docPartObj>
      </w:sdtPr>
      <w:sdtEndPr>
        <w:rPr>
          <w:rFonts w:hint="eastAsia" w:ascii="宋体" w:hAnsi="宋体" w:eastAsia="宋体" w:cs="宋体"/>
          <w:b/>
          <w:bCs/>
          <w:color w:val="auto"/>
          <w:kern w:val="44"/>
          <w:sz w:val="44"/>
          <w:szCs w:val="36"/>
          <w:highlight w:val="none"/>
          <w:lang w:val="en-US" w:eastAsia="zh-CN" w:bidi="ar-SA"/>
        </w:rPr>
      </w:sdtEndPr>
      <w:sdtContent>
        <w:p w14:paraId="18FF08F3">
          <w:pPr>
            <w:spacing w:before="0" w:beforeLines="0" w:after="0" w:afterLines="0" w:line="240" w:lineRule="auto"/>
            <w:ind w:left="0" w:leftChars="0" w:right="0" w:rightChars="0" w:firstLine="0" w:firstLineChars="0"/>
            <w:jc w:val="center"/>
            <w:rPr>
              <w:color w:val="auto"/>
              <w:highlight w:val="none"/>
            </w:rPr>
          </w:pPr>
          <w:bookmarkStart w:id="0" w:name="_Toc26551"/>
        </w:p>
        <w:p w14:paraId="68580808">
          <w:pPr>
            <w:pStyle w:val="14"/>
            <w:tabs>
              <w:tab w:val="right" w:leader="dot" w:pos="9071"/>
            </w:tabs>
            <w:spacing w:line="480" w:lineRule="auto"/>
            <w:rPr>
              <w:color w:val="auto"/>
              <w:highlight w:val="none"/>
            </w:rPr>
          </w:pPr>
          <w:r>
            <w:rPr>
              <w:rFonts w:hint="eastAsia" w:ascii="宋体" w:hAnsi="宋体" w:cs="宋体"/>
              <w:color w:val="auto"/>
              <w:sz w:val="36"/>
              <w:szCs w:val="36"/>
              <w:highlight w:val="none"/>
            </w:rPr>
            <w:fldChar w:fldCharType="begin"/>
          </w:r>
          <w:r>
            <w:rPr>
              <w:rFonts w:hint="eastAsia" w:ascii="宋体" w:hAnsi="宋体" w:cs="宋体"/>
              <w:color w:val="auto"/>
              <w:sz w:val="36"/>
              <w:szCs w:val="36"/>
              <w:highlight w:val="none"/>
            </w:rPr>
            <w:instrText xml:space="preserve">TOC \o "1-1" \h \u </w:instrText>
          </w:r>
          <w:r>
            <w:rPr>
              <w:rFonts w:hint="eastAsia" w:ascii="宋体" w:hAnsi="宋体" w:cs="宋体"/>
              <w:color w:val="auto"/>
              <w:sz w:val="36"/>
              <w:szCs w:val="36"/>
              <w:highlight w:val="none"/>
            </w:rPr>
            <w:fldChar w:fldCharType="separate"/>
          </w: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_Toc18403 </w:instrText>
          </w:r>
          <w:r>
            <w:rPr>
              <w:rFonts w:hint="eastAsia" w:ascii="宋体" w:hAnsi="宋体" w:cs="宋体"/>
              <w:color w:val="auto"/>
              <w:szCs w:val="36"/>
              <w:highlight w:val="none"/>
            </w:rPr>
            <w:fldChar w:fldCharType="separate"/>
          </w:r>
          <w:r>
            <w:rPr>
              <w:rFonts w:hint="eastAsia" w:ascii="宋体" w:hAnsi="宋体" w:cs="宋体"/>
              <w:color w:val="auto"/>
              <w:szCs w:val="36"/>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_Toc18403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36"/>
              <w:highlight w:val="none"/>
            </w:rPr>
            <w:fldChar w:fldCharType="end"/>
          </w:r>
        </w:p>
        <w:p w14:paraId="6879C2EE">
          <w:pPr>
            <w:pStyle w:val="14"/>
            <w:tabs>
              <w:tab w:val="right" w:leader="dot" w:pos="9071"/>
            </w:tabs>
            <w:spacing w:line="480" w:lineRule="auto"/>
            <w:rPr>
              <w:color w:val="auto"/>
              <w:highlight w:val="none"/>
            </w:rPr>
          </w:pP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_Toc5841 </w:instrText>
          </w:r>
          <w:r>
            <w:rPr>
              <w:rFonts w:hint="eastAsia" w:ascii="宋体" w:hAnsi="宋体" w:cs="宋体"/>
              <w:color w:val="auto"/>
              <w:szCs w:val="36"/>
              <w:highlight w:val="none"/>
            </w:rPr>
            <w:fldChar w:fldCharType="separate"/>
          </w:r>
          <w:r>
            <w:rPr>
              <w:rFonts w:hint="eastAsia" w:ascii="宋体" w:hAnsi="宋体" w:cs="宋体"/>
              <w:color w:val="auto"/>
              <w:szCs w:val="36"/>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_Toc5841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36"/>
              <w:highlight w:val="none"/>
            </w:rPr>
            <w:fldChar w:fldCharType="end"/>
          </w:r>
        </w:p>
        <w:p w14:paraId="7C4A99B3">
          <w:pPr>
            <w:pStyle w:val="14"/>
            <w:tabs>
              <w:tab w:val="right" w:leader="dot" w:pos="9071"/>
            </w:tabs>
            <w:spacing w:line="480" w:lineRule="auto"/>
            <w:rPr>
              <w:color w:val="auto"/>
              <w:highlight w:val="none"/>
            </w:rPr>
          </w:pP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_Toc21705 </w:instrText>
          </w:r>
          <w:r>
            <w:rPr>
              <w:rFonts w:hint="eastAsia" w:ascii="宋体" w:hAnsi="宋体" w:cs="宋体"/>
              <w:color w:val="auto"/>
              <w:szCs w:val="36"/>
              <w:highlight w:val="none"/>
            </w:rPr>
            <w:fldChar w:fldCharType="separate"/>
          </w:r>
          <w:r>
            <w:rPr>
              <w:rFonts w:hint="eastAsia" w:ascii="宋体" w:hAnsi="宋体" w:cs="宋体"/>
              <w:color w:val="auto"/>
              <w:szCs w:val="36"/>
              <w:highlight w:val="none"/>
            </w:rPr>
            <w:t>第三章 评标办法</w:t>
          </w:r>
          <w:r>
            <w:rPr>
              <w:color w:val="auto"/>
              <w:highlight w:val="none"/>
            </w:rPr>
            <w:tab/>
          </w:r>
          <w:r>
            <w:rPr>
              <w:color w:val="auto"/>
              <w:highlight w:val="none"/>
            </w:rPr>
            <w:fldChar w:fldCharType="begin"/>
          </w:r>
          <w:r>
            <w:rPr>
              <w:color w:val="auto"/>
              <w:highlight w:val="none"/>
            </w:rPr>
            <w:instrText xml:space="preserve"> PAGEREF _Toc21705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cs="宋体"/>
              <w:color w:val="auto"/>
              <w:szCs w:val="36"/>
              <w:highlight w:val="none"/>
            </w:rPr>
            <w:fldChar w:fldCharType="end"/>
          </w:r>
        </w:p>
        <w:p w14:paraId="778B2F1A">
          <w:pPr>
            <w:pStyle w:val="14"/>
            <w:tabs>
              <w:tab w:val="right" w:leader="dot" w:pos="9071"/>
            </w:tabs>
            <w:spacing w:line="480" w:lineRule="auto"/>
            <w:rPr>
              <w:color w:val="auto"/>
              <w:highlight w:val="none"/>
            </w:rPr>
          </w:pP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_Toc28236 </w:instrText>
          </w:r>
          <w:r>
            <w:rPr>
              <w:rFonts w:hint="eastAsia" w:ascii="宋体" w:hAnsi="宋体" w:cs="宋体"/>
              <w:color w:val="auto"/>
              <w:szCs w:val="36"/>
              <w:highlight w:val="none"/>
            </w:rPr>
            <w:fldChar w:fldCharType="separate"/>
          </w:r>
          <w:r>
            <w:rPr>
              <w:rFonts w:hint="eastAsia" w:ascii="宋体" w:hAnsi="宋体" w:cs="宋体"/>
              <w:bCs w:val="0"/>
              <w:color w:val="auto"/>
              <w:kern w:val="0"/>
              <w:szCs w:val="24"/>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_Toc28236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cs="宋体"/>
              <w:color w:val="auto"/>
              <w:szCs w:val="36"/>
              <w:highlight w:val="none"/>
            </w:rPr>
            <w:fldChar w:fldCharType="end"/>
          </w:r>
        </w:p>
        <w:p w14:paraId="090BDB54">
          <w:pPr>
            <w:pStyle w:val="14"/>
            <w:tabs>
              <w:tab w:val="right" w:leader="dot" w:pos="9071"/>
            </w:tabs>
            <w:spacing w:line="480" w:lineRule="auto"/>
            <w:rPr>
              <w:color w:val="auto"/>
              <w:highlight w:val="none"/>
            </w:rPr>
          </w:pP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_Toc27758 </w:instrText>
          </w:r>
          <w:r>
            <w:rPr>
              <w:rFonts w:hint="eastAsia" w:ascii="宋体" w:hAnsi="宋体" w:cs="宋体"/>
              <w:color w:val="auto"/>
              <w:szCs w:val="36"/>
              <w:highlight w:val="none"/>
            </w:rPr>
            <w:fldChar w:fldCharType="separate"/>
          </w:r>
          <w:r>
            <w:rPr>
              <w:rFonts w:hint="eastAsia" w:ascii="宋体" w:hAnsi="宋体" w:cs="宋体"/>
              <w:bCs w:val="0"/>
              <w:color w:val="auto"/>
              <w:kern w:val="0"/>
              <w:szCs w:val="32"/>
              <w:highlight w:val="none"/>
            </w:rPr>
            <w:t>第五章</w:t>
          </w:r>
          <w:r>
            <w:rPr>
              <w:rFonts w:hint="eastAsia" w:cs="宋体"/>
              <w:bCs w:val="0"/>
              <w:color w:val="auto"/>
              <w:kern w:val="0"/>
              <w:szCs w:val="32"/>
              <w:highlight w:val="none"/>
              <w:lang w:val="en-US" w:eastAsia="zh-CN"/>
            </w:rPr>
            <w:t xml:space="preserve"> 服务</w:t>
          </w:r>
          <w:r>
            <w:rPr>
              <w:rFonts w:hint="eastAsia" w:ascii="宋体" w:hAnsi="宋体" w:cs="宋体"/>
              <w:bCs w:val="0"/>
              <w:color w:val="auto"/>
              <w:kern w:val="0"/>
              <w:szCs w:val="32"/>
              <w:highlight w:val="none"/>
            </w:rPr>
            <w:t>内容及要求</w:t>
          </w:r>
          <w:r>
            <w:rPr>
              <w:color w:val="auto"/>
              <w:highlight w:val="none"/>
            </w:rPr>
            <w:tab/>
          </w:r>
          <w:r>
            <w:rPr>
              <w:color w:val="auto"/>
              <w:highlight w:val="none"/>
            </w:rPr>
            <w:fldChar w:fldCharType="begin"/>
          </w:r>
          <w:r>
            <w:rPr>
              <w:color w:val="auto"/>
              <w:highlight w:val="none"/>
            </w:rPr>
            <w:instrText xml:space="preserve"> PAGEREF _Toc27758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szCs w:val="36"/>
              <w:highlight w:val="none"/>
            </w:rPr>
            <w:fldChar w:fldCharType="end"/>
          </w:r>
        </w:p>
        <w:p w14:paraId="286BBB30">
          <w:pPr>
            <w:pStyle w:val="14"/>
            <w:tabs>
              <w:tab w:val="right" w:leader="dot" w:pos="9071"/>
            </w:tabs>
            <w:spacing w:line="480" w:lineRule="auto"/>
            <w:rPr>
              <w:color w:val="auto"/>
              <w:highlight w:val="none"/>
            </w:rPr>
          </w:pPr>
          <w:r>
            <w:rPr>
              <w:rFonts w:hint="eastAsia" w:ascii="宋体" w:hAnsi="宋体" w:cs="宋体"/>
              <w:color w:val="auto"/>
              <w:szCs w:val="36"/>
              <w:highlight w:val="none"/>
            </w:rPr>
            <w:fldChar w:fldCharType="begin"/>
          </w:r>
          <w:r>
            <w:rPr>
              <w:rFonts w:hint="eastAsia" w:ascii="宋体" w:hAnsi="宋体" w:cs="宋体"/>
              <w:color w:val="auto"/>
              <w:szCs w:val="36"/>
              <w:highlight w:val="none"/>
            </w:rPr>
            <w:instrText xml:space="preserve"> HYPERLINK \l _Toc823 </w:instrText>
          </w:r>
          <w:r>
            <w:rPr>
              <w:rFonts w:hint="eastAsia" w:ascii="宋体" w:hAnsi="宋体" w:cs="宋体"/>
              <w:color w:val="auto"/>
              <w:szCs w:val="36"/>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_Toc823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cs="宋体"/>
              <w:color w:val="auto"/>
              <w:szCs w:val="36"/>
              <w:highlight w:val="none"/>
            </w:rPr>
            <w:fldChar w:fldCharType="end"/>
          </w:r>
        </w:p>
        <w:p w14:paraId="13D1DD6A">
          <w:pPr>
            <w:pStyle w:val="2"/>
            <w:spacing w:before="120" w:after="120" w:line="480" w:lineRule="auto"/>
            <w:jc w:val="center"/>
            <w:rPr>
              <w:rFonts w:hint="eastAsia" w:ascii="宋体" w:hAnsi="宋体" w:eastAsia="宋体" w:cs="宋体"/>
              <w:b/>
              <w:bCs/>
              <w:color w:val="auto"/>
              <w:kern w:val="44"/>
              <w:sz w:val="44"/>
              <w:szCs w:val="36"/>
              <w:highlight w:val="none"/>
              <w:lang w:val="en-US" w:eastAsia="zh-CN" w:bidi="ar-SA"/>
            </w:rPr>
          </w:pPr>
          <w:r>
            <w:rPr>
              <w:rFonts w:hint="eastAsia" w:ascii="宋体" w:hAnsi="宋体" w:cs="宋体"/>
              <w:color w:val="auto"/>
              <w:szCs w:val="36"/>
              <w:highlight w:val="none"/>
            </w:rPr>
            <w:fldChar w:fldCharType="end"/>
          </w:r>
        </w:p>
      </w:sdtContent>
    </w:sdt>
    <w:p w14:paraId="6586D468">
      <w:pPr>
        <w:spacing w:line="480" w:lineRule="auto"/>
        <w:rPr>
          <w:rFonts w:hint="eastAsia"/>
          <w:color w:val="auto"/>
          <w:highlight w:val="none"/>
        </w:rPr>
        <w:sectPr>
          <w:headerReference r:id="rId7" w:type="default"/>
          <w:footerReference r:id="rId8" w:type="default"/>
          <w:pgSz w:w="11900" w:h="16838"/>
          <w:pgMar w:top="1134" w:right="1270" w:bottom="992" w:left="1559" w:header="964" w:footer="0" w:gutter="0"/>
          <w:pgNumType w:start="1"/>
          <w:cols w:space="0" w:num="1"/>
          <w:docGrid w:type="lines" w:linePitch="368" w:charSpace="0"/>
        </w:sectPr>
      </w:pPr>
    </w:p>
    <w:p w14:paraId="219CEF84">
      <w:pPr>
        <w:pStyle w:val="2"/>
        <w:spacing w:before="120" w:after="120" w:line="400" w:lineRule="exact"/>
        <w:jc w:val="center"/>
        <w:rPr>
          <w:rFonts w:hint="eastAsia" w:ascii="宋体" w:hAnsi="宋体" w:cs="宋体"/>
          <w:color w:val="auto"/>
          <w:sz w:val="36"/>
          <w:szCs w:val="36"/>
          <w:highlight w:val="none"/>
        </w:rPr>
      </w:pPr>
      <w:bookmarkStart w:id="1" w:name="_Toc18403"/>
      <w:bookmarkStart w:id="2" w:name="_Toc8090"/>
      <w:bookmarkStart w:id="3" w:name="_Toc22201"/>
      <w:r>
        <w:rPr>
          <w:rFonts w:hint="eastAsia" w:ascii="宋体" w:hAnsi="宋体" w:cs="宋体"/>
          <w:color w:val="auto"/>
          <w:sz w:val="36"/>
          <w:szCs w:val="36"/>
          <w:highlight w:val="none"/>
        </w:rPr>
        <w:t>第一章 招标公告</w:t>
      </w:r>
      <w:bookmarkEnd w:id="0"/>
      <w:bookmarkEnd w:id="1"/>
      <w:bookmarkEnd w:id="2"/>
      <w:bookmarkEnd w:id="3"/>
    </w:p>
    <w:p w14:paraId="1D49723E">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灵宝市乡镇空气质量监测站运维项目</w:t>
      </w:r>
      <w:r>
        <w:rPr>
          <w:rFonts w:hint="eastAsia" w:ascii="宋体" w:hAnsi="宋体" w:cs="宋体"/>
          <w:color w:val="auto"/>
          <w:sz w:val="24"/>
          <w:szCs w:val="24"/>
          <w:highlight w:val="none"/>
        </w:rPr>
        <w:t>的潜在投标人应在三门峡市公共资源交易中心（</w:t>
      </w:r>
      <w:r>
        <w:rPr>
          <w:color w:val="auto"/>
          <w:highlight w:val="none"/>
        </w:rPr>
        <w:fldChar w:fldCharType="begin"/>
      </w:r>
      <w:r>
        <w:rPr>
          <w:color w:val="auto"/>
          <w:highlight w:val="none"/>
        </w:rPr>
        <w:instrText xml:space="preserve"> HYPERLINK "http://gzjy.smx.gov.cn/）获取招标文件，并于" </w:instrText>
      </w:r>
      <w:r>
        <w:rPr>
          <w:color w:val="auto"/>
          <w:highlight w:val="none"/>
        </w:rPr>
        <w:fldChar w:fldCharType="separate"/>
      </w:r>
      <w:r>
        <w:rPr>
          <w:rStyle w:val="21"/>
          <w:rFonts w:hint="eastAsia" w:ascii="宋体" w:hAnsi="宋体" w:cs="宋体"/>
          <w:color w:val="auto"/>
          <w:sz w:val="24"/>
          <w:szCs w:val="24"/>
          <w:highlight w:val="none"/>
        </w:rPr>
        <w:t>http://gzjy.smx.gov.cn/）获取招标文件，并于</w:t>
      </w:r>
      <w:r>
        <w:rPr>
          <w:rStyle w:val="21"/>
          <w:rFonts w:hint="eastAsia" w:ascii="宋体" w:hAnsi="宋体" w:cs="宋体"/>
          <w:color w:val="auto"/>
          <w:sz w:val="24"/>
          <w:szCs w:val="24"/>
          <w:highlight w:val="none"/>
        </w:rPr>
        <w:fldChar w:fldCharType="end"/>
      </w:r>
      <w:r>
        <w:rPr>
          <w:rStyle w:val="21"/>
          <w:rFonts w:hint="eastAsia" w:ascii="宋体" w:hAnsi="宋体" w:cs="宋体"/>
          <w:color w:val="auto"/>
          <w:sz w:val="24"/>
          <w:szCs w:val="24"/>
          <w:highlight w:val="none"/>
          <w:lang w:val="en-US" w:eastAsia="zh-CN"/>
        </w:rPr>
        <w:t>2026年03月05日08时30分</w:t>
      </w:r>
      <w:r>
        <w:rPr>
          <w:rFonts w:hint="eastAsia" w:ascii="宋体" w:hAnsi="宋体" w:cs="宋体"/>
          <w:color w:val="auto"/>
          <w:sz w:val="24"/>
          <w:szCs w:val="24"/>
          <w:highlight w:val="none"/>
        </w:rPr>
        <w:t>（北京时间）前递交响应文件。</w:t>
      </w:r>
    </w:p>
    <w:p w14:paraId="38EDCA96">
      <w:pPr>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一、项目基本情况</w:t>
      </w:r>
    </w:p>
    <w:p w14:paraId="463B5992">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0000FF"/>
          <w:kern w:val="0"/>
          <w:sz w:val="24"/>
          <w:szCs w:val="24"/>
          <w:highlight w:val="none"/>
          <w:lang w:eastAsia="zh-CN"/>
        </w:rPr>
      </w:pPr>
      <w:r>
        <w:rPr>
          <w:rFonts w:hint="eastAsia" w:ascii="宋体" w:hAnsi="宋体" w:cs="宋体"/>
          <w:color w:val="auto"/>
          <w:sz w:val="24"/>
          <w:szCs w:val="24"/>
          <w:highlight w:val="none"/>
        </w:rPr>
        <w:t>1、采购项目编号：</w:t>
      </w:r>
      <w:r>
        <w:rPr>
          <w:rFonts w:hint="eastAsia" w:ascii="宋体" w:hAnsi="宋体" w:cs="宋体"/>
          <w:color w:val="auto"/>
          <w:sz w:val="24"/>
          <w:szCs w:val="24"/>
          <w:highlight w:val="none"/>
          <w:lang w:eastAsia="zh-CN"/>
        </w:rPr>
        <w:t>LBGZ[2026]022-ZC021</w:t>
      </w:r>
    </w:p>
    <w:p w14:paraId="76832CDE">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2、项目名称：</w:t>
      </w:r>
      <w:r>
        <w:rPr>
          <w:rFonts w:hint="eastAsia" w:ascii="宋体" w:hAnsi="宋体" w:cs="宋体"/>
          <w:color w:val="auto"/>
          <w:kern w:val="0"/>
          <w:sz w:val="24"/>
          <w:szCs w:val="24"/>
          <w:highlight w:val="none"/>
          <w:lang w:eastAsia="zh-CN"/>
        </w:rPr>
        <w:t>灵宝市乡镇空气质量监测站运维项目</w:t>
      </w:r>
    </w:p>
    <w:p w14:paraId="5C5B000B">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3、采购方式：公开招标</w:t>
      </w:r>
    </w:p>
    <w:p w14:paraId="4BE741C6">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zh-TW"/>
        </w:rPr>
        <w:t>4、</w:t>
      </w: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val="en-US" w:eastAsia="zh-CN"/>
        </w:rPr>
        <w:t>390</w:t>
      </w:r>
      <w:r>
        <w:rPr>
          <w:rFonts w:hint="eastAsia" w:ascii="宋体" w:hAnsi="宋体" w:cs="宋体"/>
          <w:color w:val="auto"/>
          <w:sz w:val="24"/>
          <w:szCs w:val="24"/>
          <w:highlight w:val="none"/>
          <w:lang w:eastAsia="zh-CN"/>
        </w:rPr>
        <w:t>万元</w:t>
      </w:r>
      <w:r>
        <w:rPr>
          <w:rFonts w:hint="eastAsia" w:ascii="宋体" w:hAnsi="宋体" w:cs="宋体"/>
          <w:color w:val="auto"/>
          <w:sz w:val="24"/>
          <w:szCs w:val="24"/>
          <w:highlight w:val="none"/>
          <w:lang w:val="en-US" w:eastAsia="zh-CN"/>
        </w:rPr>
        <w:tab/>
      </w:r>
    </w:p>
    <w:p w14:paraId="381149A3">
      <w:pPr>
        <w:pStyle w:val="22"/>
        <w:keepNext w:val="0"/>
        <w:keepLines w:val="0"/>
        <w:pageBreakBefore w:val="0"/>
        <w:widowControl w:val="0"/>
        <w:kinsoku/>
        <w:overflowPunct/>
        <w:topLinePunct w:val="0"/>
        <w:autoSpaceDE/>
        <w:autoSpaceDN/>
        <w:bidi w:val="0"/>
        <w:adjustRightInd/>
        <w:snapToGrid/>
        <w:spacing w:line="520" w:lineRule="exact"/>
        <w:ind w:firstLine="840" w:firstLineChars="350"/>
        <w:textAlignment w:val="auto"/>
        <w:rPr>
          <w:rFonts w:hint="eastAsia" w:ascii="宋体" w:hAnsi="宋体" w:cs="宋体"/>
          <w:color w:val="auto"/>
          <w:szCs w:val="24"/>
          <w:highlight w:val="none"/>
        </w:rPr>
      </w:pPr>
      <w:r>
        <w:rPr>
          <w:rFonts w:hint="eastAsia" w:ascii="宋体" w:hAnsi="宋体" w:cs="宋体"/>
          <w:color w:val="auto"/>
          <w:szCs w:val="24"/>
          <w:highlight w:val="none"/>
        </w:rPr>
        <w:t>最高限价：</w:t>
      </w:r>
      <w:r>
        <w:rPr>
          <w:rFonts w:hint="eastAsia" w:ascii="宋体" w:hAnsi="宋体" w:cs="宋体"/>
          <w:color w:val="auto"/>
          <w:szCs w:val="24"/>
          <w:highlight w:val="none"/>
          <w:lang w:val="en-US" w:eastAsia="zh-CN"/>
        </w:rPr>
        <w:t>390</w:t>
      </w:r>
      <w:r>
        <w:rPr>
          <w:rFonts w:hint="eastAsia" w:ascii="宋体" w:hAnsi="宋体" w:cs="宋体"/>
          <w:color w:val="auto"/>
          <w:szCs w:val="24"/>
          <w:highlight w:val="none"/>
          <w:lang w:eastAsia="zh-CN"/>
        </w:rPr>
        <w:t>万元</w:t>
      </w:r>
    </w:p>
    <w:tbl>
      <w:tblPr>
        <w:tblStyle w:val="19"/>
        <w:tblW w:w="9923"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7"/>
        <w:gridCol w:w="2616"/>
        <w:gridCol w:w="3008"/>
        <w:gridCol w:w="1936"/>
        <w:gridCol w:w="1676"/>
      </w:tblGrid>
      <w:tr w14:paraId="29EB6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687" w:type="dxa"/>
            <w:vAlign w:val="center"/>
          </w:tcPr>
          <w:p w14:paraId="0FAF77C2">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2616" w:type="dxa"/>
            <w:vAlign w:val="center"/>
          </w:tcPr>
          <w:p w14:paraId="25EC7924">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包号</w:t>
            </w:r>
          </w:p>
        </w:tc>
        <w:tc>
          <w:tcPr>
            <w:tcW w:w="3008" w:type="dxa"/>
            <w:vAlign w:val="center"/>
          </w:tcPr>
          <w:p w14:paraId="16E24A20">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包名称</w:t>
            </w:r>
          </w:p>
        </w:tc>
        <w:tc>
          <w:tcPr>
            <w:tcW w:w="1936" w:type="dxa"/>
            <w:vAlign w:val="center"/>
          </w:tcPr>
          <w:p w14:paraId="16A8BBCF">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包预算(</w:t>
            </w:r>
            <w:r>
              <w:rPr>
                <w:rFonts w:hint="eastAsia" w:ascii="宋体" w:hAnsi="宋体" w:cs="宋体"/>
                <w:color w:val="auto"/>
                <w:sz w:val="24"/>
                <w:szCs w:val="24"/>
                <w:highlight w:val="none"/>
                <w:lang w:val="en-US" w:eastAsia="zh-CN"/>
              </w:rPr>
              <w:t>万</w:t>
            </w:r>
            <w:r>
              <w:rPr>
                <w:rFonts w:hint="eastAsia" w:ascii="宋体" w:hAnsi="宋体" w:cs="宋体"/>
                <w:color w:val="auto"/>
                <w:sz w:val="24"/>
                <w:szCs w:val="24"/>
                <w:highlight w:val="none"/>
              </w:rPr>
              <w:t>元)</w:t>
            </w:r>
          </w:p>
        </w:tc>
        <w:tc>
          <w:tcPr>
            <w:tcW w:w="1676" w:type="dxa"/>
            <w:vAlign w:val="center"/>
          </w:tcPr>
          <w:p w14:paraId="3DC3E175">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包最高限价（</w:t>
            </w:r>
            <w:r>
              <w:rPr>
                <w:rFonts w:hint="eastAsia" w:ascii="宋体" w:hAnsi="宋体" w:cs="宋体"/>
                <w:color w:val="auto"/>
                <w:sz w:val="24"/>
                <w:szCs w:val="24"/>
                <w:highlight w:val="none"/>
                <w:lang w:val="en-US" w:eastAsia="zh-CN"/>
              </w:rPr>
              <w:t>万</w:t>
            </w:r>
            <w:r>
              <w:rPr>
                <w:rFonts w:hint="eastAsia" w:ascii="宋体" w:hAnsi="宋体" w:cs="宋体"/>
                <w:color w:val="auto"/>
                <w:sz w:val="24"/>
                <w:szCs w:val="24"/>
                <w:highlight w:val="none"/>
              </w:rPr>
              <w:t>元）</w:t>
            </w:r>
          </w:p>
        </w:tc>
      </w:tr>
      <w:tr w14:paraId="6C00C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trPr>
        <w:tc>
          <w:tcPr>
            <w:tcW w:w="687" w:type="dxa"/>
            <w:vAlign w:val="center"/>
          </w:tcPr>
          <w:p w14:paraId="09BE6AA7">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2616" w:type="dxa"/>
            <w:vAlign w:val="center"/>
          </w:tcPr>
          <w:p w14:paraId="2E8C615F">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LBGZ[2026]022-ZC021</w:t>
            </w:r>
          </w:p>
        </w:tc>
        <w:tc>
          <w:tcPr>
            <w:tcW w:w="3008" w:type="dxa"/>
            <w:vAlign w:val="center"/>
          </w:tcPr>
          <w:p w14:paraId="175B33CA">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灵宝市乡镇空气质量监测站运维项目</w:t>
            </w:r>
          </w:p>
        </w:tc>
        <w:tc>
          <w:tcPr>
            <w:tcW w:w="1936" w:type="dxa"/>
            <w:vAlign w:val="center"/>
          </w:tcPr>
          <w:p w14:paraId="2CAFCF05">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390</w:t>
            </w:r>
          </w:p>
        </w:tc>
        <w:tc>
          <w:tcPr>
            <w:tcW w:w="1676" w:type="dxa"/>
            <w:vAlign w:val="center"/>
          </w:tcPr>
          <w:p w14:paraId="63C8F616">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390</w:t>
            </w:r>
          </w:p>
        </w:tc>
      </w:tr>
    </w:tbl>
    <w:p w14:paraId="2E604DD9">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zh-TW"/>
        </w:rPr>
        <w:t>5、</w:t>
      </w:r>
      <w:r>
        <w:rPr>
          <w:rFonts w:hint="eastAsia" w:ascii="宋体" w:hAnsi="宋体" w:cs="宋体"/>
          <w:color w:val="auto"/>
          <w:sz w:val="24"/>
          <w:szCs w:val="24"/>
          <w:highlight w:val="none"/>
        </w:rPr>
        <w:t>采购需求(包括但不限于标的的名称、数量、简要技术需求或服务要求等)：</w:t>
      </w:r>
    </w:p>
    <w:p w14:paraId="3C598470">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cs="宋体"/>
          <w:color w:val="auto"/>
          <w:sz w:val="24"/>
          <w:szCs w:val="24"/>
          <w:highlight w:val="none"/>
          <w:lang w:val="zh-TW"/>
        </w:rPr>
        <w:t>5.1采购</w:t>
      </w:r>
      <w:r>
        <w:rPr>
          <w:rFonts w:hint="eastAsia" w:ascii="宋体" w:hAnsi="宋体" w:cs="宋体"/>
          <w:color w:val="auto"/>
          <w:sz w:val="24"/>
          <w:szCs w:val="24"/>
          <w:highlight w:val="none"/>
          <w:lang w:val="en-US" w:eastAsia="zh-CN"/>
        </w:rPr>
        <w:t>内容</w:t>
      </w:r>
      <w:r>
        <w:rPr>
          <w:rFonts w:hint="eastAsia" w:ascii="宋体" w:hAnsi="宋体" w:cs="宋体"/>
          <w:color w:val="auto"/>
          <w:sz w:val="24"/>
          <w:szCs w:val="24"/>
          <w:highlight w:val="none"/>
          <w:lang w:val="zh-TW"/>
        </w:rPr>
        <w:t>：</w:t>
      </w:r>
      <w:r>
        <w:rPr>
          <w:rFonts w:hint="eastAsia" w:ascii="宋体" w:hAnsi="宋体" w:cs="宋体"/>
          <w:color w:val="auto"/>
          <w:sz w:val="24"/>
          <w:szCs w:val="24"/>
          <w:highlight w:val="none"/>
          <w:lang w:val="en-US" w:eastAsia="zh-CN"/>
        </w:rPr>
        <w:t>对</w:t>
      </w:r>
      <w:r>
        <w:rPr>
          <w:rFonts w:hint="eastAsia" w:ascii="宋体" w:hAnsi="宋体" w:cs="宋体"/>
          <w:color w:val="auto"/>
          <w:kern w:val="0"/>
          <w:sz w:val="24"/>
          <w:szCs w:val="24"/>
          <w:highlight w:val="none"/>
          <w:lang w:eastAsia="zh-CN"/>
        </w:rPr>
        <w:t>灵宝市乡镇空气质量监测站</w:t>
      </w:r>
      <w:r>
        <w:rPr>
          <w:rFonts w:hint="eastAsia" w:ascii="宋体" w:hAnsi="宋体" w:cs="宋体"/>
          <w:color w:val="auto"/>
          <w:kern w:val="0"/>
          <w:sz w:val="24"/>
          <w:szCs w:val="24"/>
          <w:highlight w:val="none"/>
          <w:lang w:val="en-US" w:eastAsia="zh-CN"/>
        </w:rPr>
        <w:t>进行</w:t>
      </w:r>
      <w:r>
        <w:rPr>
          <w:rFonts w:hint="eastAsia" w:ascii="宋体" w:hAnsi="宋体" w:cs="宋体"/>
          <w:color w:val="auto"/>
          <w:kern w:val="0"/>
          <w:sz w:val="24"/>
          <w:szCs w:val="24"/>
          <w:highlight w:val="none"/>
          <w:lang w:eastAsia="zh-CN"/>
        </w:rPr>
        <w:t>运维</w:t>
      </w:r>
      <w:r>
        <w:rPr>
          <w:rFonts w:hint="eastAsia" w:ascii="宋体" w:hAnsi="宋体" w:cs="宋体"/>
          <w:color w:val="auto"/>
          <w:kern w:val="0"/>
          <w:sz w:val="24"/>
          <w:szCs w:val="24"/>
          <w:highlight w:val="none"/>
          <w:lang w:val="en-US" w:eastAsia="zh-CN"/>
        </w:rPr>
        <w:t>服务</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2"/>
          <w:sz w:val="24"/>
          <w:szCs w:val="24"/>
          <w:highlight w:val="none"/>
          <w:lang w:val="en-US" w:eastAsia="zh-CN" w:bidi="ar-SA"/>
        </w:rPr>
        <w:t>详见招标文件</w:t>
      </w:r>
      <w:r>
        <w:rPr>
          <w:rFonts w:hint="eastAsia" w:ascii="宋体" w:hAnsi="宋体" w:cs="宋体"/>
          <w:color w:val="auto"/>
          <w:kern w:val="2"/>
          <w:sz w:val="24"/>
          <w:szCs w:val="24"/>
          <w:highlight w:val="none"/>
          <w:lang w:val="en-US" w:eastAsia="zh-CN" w:bidi="ar-SA"/>
        </w:rPr>
        <w:t>服务</w:t>
      </w:r>
      <w:r>
        <w:rPr>
          <w:rFonts w:hint="eastAsia" w:ascii="宋体" w:hAnsi="宋体" w:eastAsia="宋体" w:cs="宋体"/>
          <w:color w:val="auto"/>
          <w:kern w:val="2"/>
          <w:sz w:val="24"/>
          <w:szCs w:val="24"/>
          <w:highlight w:val="none"/>
          <w:lang w:val="en-US" w:eastAsia="zh-CN" w:bidi="ar-SA"/>
        </w:rPr>
        <w:t>内容及要求。</w:t>
      </w:r>
    </w:p>
    <w:p w14:paraId="42A3F674">
      <w:pPr>
        <w:pStyle w:val="10"/>
        <w:keepNext w:val="0"/>
        <w:keepLines w:val="0"/>
        <w:pageBreakBefore w:val="0"/>
        <w:widowControl w:val="0"/>
        <w:kinsoku/>
        <w:overflowPunct/>
        <w:topLinePunct w:val="0"/>
        <w:autoSpaceDE/>
        <w:autoSpaceDN/>
        <w:bidi w:val="0"/>
        <w:adjustRightInd/>
        <w:snapToGrid/>
        <w:spacing w:line="520" w:lineRule="exact"/>
        <w:ind w:left="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5.2资金来源：</w:t>
      </w:r>
      <w:r>
        <w:rPr>
          <w:rFonts w:hint="eastAsia" w:ascii="宋体" w:hAnsi="宋体" w:cs="宋体"/>
          <w:color w:val="auto"/>
          <w:sz w:val="24"/>
          <w:szCs w:val="24"/>
          <w:highlight w:val="none"/>
          <w:lang w:val="en-US" w:eastAsia="zh-CN"/>
        </w:rPr>
        <w:t>财政资金，</w:t>
      </w:r>
      <w:r>
        <w:rPr>
          <w:rFonts w:hint="eastAsia" w:ascii="宋体" w:hAnsi="宋体" w:cs="宋体"/>
          <w:color w:val="auto"/>
          <w:sz w:val="24"/>
          <w:szCs w:val="24"/>
          <w:highlight w:val="none"/>
        </w:rPr>
        <w:t>已落实</w:t>
      </w:r>
    </w:p>
    <w:p w14:paraId="1B9C9DDE">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yellow"/>
          <w:lang w:eastAsia="zh-CN"/>
        </w:rPr>
      </w:pPr>
      <w:r>
        <w:rPr>
          <w:rFonts w:hint="eastAsia" w:ascii="宋体" w:hAnsi="宋体" w:eastAsia="宋体" w:cs="宋体"/>
          <w:color w:val="auto"/>
          <w:kern w:val="2"/>
          <w:sz w:val="24"/>
          <w:szCs w:val="24"/>
          <w:highlight w:val="none"/>
          <w:lang w:val="en-US" w:eastAsia="zh-CN" w:bidi="ar-SA"/>
        </w:rPr>
        <w:t>5.3质量要求：符合国家相关规定要求，达到现行国家或行业质量检验评定合格标准，满足采购人的要求；</w:t>
      </w:r>
    </w:p>
    <w:p w14:paraId="3F7C7039">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none"/>
        </w:rPr>
        <w:t>5.</w:t>
      </w:r>
      <w:r>
        <w:rPr>
          <w:rFonts w:hint="eastAsia" w:ascii="宋体" w:hAnsi="宋体" w:eastAsia="宋体" w:cs="宋体"/>
          <w:color w:val="auto"/>
          <w:kern w:val="2"/>
          <w:sz w:val="24"/>
          <w:szCs w:val="24"/>
          <w:highlight w:val="none"/>
          <w:lang w:val="en-US" w:eastAsia="zh-CN" w:bidi="ar-SA"/>
        </w:rPr>
        <w:t>4服务期限：合同签订之日起三年</w:t>
      </w:r>
    </w:p>
    <w:p w14:paraId="02783CA8">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6、合同履行期限：按合同约定执行</w:t>
      </w:r>
    </w:p>
    <w:p w14:paraId="347DC344">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7、本项目是否接受联合体投标：否</w:t>
      </w:r>
    </w:p>
    <w:p w14:paraId="31653989">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8、是否接受进口产品：否</w:t>
      </w:r>
    </w:p>
    <w:p w14:paraId="4E7EED7B">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9、是否专门面向中小企业：</w:t>
      </w:r>
      <w:r>
        <w:rPr>
          <w:rFonts w:hint="eastAsia" w:ascii="宋体" w:hAnsi="宋体" w:cs="宋体"/>
          <w:color w:val="auto"/>
          <w:sz w:val="24"/>
          <w:szCs w:val="24"/>
          <w:highlight w:val="none"/>
          <w:lang w:val="en-US" w:eastAsia="zh-CN"/>
        </w:rPr>
        <w:t>否</w:t>
      </w:r>
    </w:p>
    <w:p w14:paraId="23998BA8">
      <w:pPr>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二、申请人资格要求</w:t>
      </w:r>
    </w:p>
    <w:p w14:paraId="1C296BD7">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zh-TW"/>
        </w:rPr>
        <w:t>供应商须符合《中华人民共和国政府采购法》第二十二条的规定；</w:t>
      </w:r>
    </w:p>
    <w:p w14:paraId="6DE6B18C">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2、落实相关采购政策</w:t>
      </w:r>
      <w:r>
        <w:rPr>
          <w:rFonts w:hint="eastAsia" w:ascii="宋体" w:hAnsi="宋体" w:cs="宋体"/>
          <w:color w:val="auto"/>
          <w:sz w:val="24"/>
          <w:szCs w:val="24"/>
          <w:highlight w:val="none"/>
          <w:lang w:bidi="en-US"/>
        </w:rPr>
        <w:t>满足的资格要求</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本项目</w:t>
      </w:r>
      <w:r>
        <w:rPr>
          <w:rFonts w:hint="eastAsia" w:ascii="宋体" w:hAnsi="宋体" w:cs="宋体"/>
          <w:color w:val="auto"/>
          <w:sz w:val="24"/>
          <w:szCs w:val="24"/>
          <w:highlight w:val="none"/>
        </w:rPr>
        <w:t>促进中小企业和监狱企业发展扶持政策、政府强制采购节能产品及环境标志产品优先采购。</w:t>
      </w:r>
    </w:p>
    <w:p w14:paraId="3B15668B">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3、本项目特定资格要求</w:t>
      </w:r>
    </w:p>
    <w:p w14:paraId="39FDF241">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1</w:t>
      </w:r>
      <w:r>
        <w:rPr>
          <w:rFonts w:hint="eastAsia" w:ascii="宋体" w:hAnsi="宋体" w:cs="宋体"/>
          <w:color w:val="333333"/>
          <w:kern w:val="0"/>
          <w:sz w:val="24"/>
          <w:highlight w:val="none"/>
        </w:rPr>
        <w:t>供应商具有独立法人资格，具有合法有效的营业执照、税务登记证、组织机构代码证（三证合一的仅提供营业执照、事业单位需提供事业单位法人证书</w:t>
      </w:r>
      <w:r>
        <w:rPr>
          <w:rFonts w:hint="eastAsia" w:ascii="宋体" w:hAnsi="宋体" w:cs="宋体"/>
          <w:color w:val="333333"/>
          <w:kern w:val="0"/>
          <w:sz w:val="24"/>
          <w:highlight w:val="none"/>
          <w:lang w:eastAsia="zh-CN"/>
        </w:rPr>
        <w:t>）</w:t>
      </w:r>
      <w:r>
        <w:rPr>
          <w:rFonts w:hint="eastAsia" w:ascii="宋体" w:hAnsi="宋体" w:cs="宋体"/>
          <w:color w:val="auto"/>
          <w:sz w:val="24"/>
          <w:szCs w:val="24"/>
          <w:highlight w:val="none"/>
          <w:lang w:val="zh-TW"/>
        </w:rPr>
        <w:t>。</w:t>
      </w:r>
    </w:p>
    <w:p w14:paraId="34B89DFF">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val="zh-TW"/>
        </w:rPr>
        <w:t>具有履行合同所必需的设备和专业技术能力(提供承诺书，格式自拟)。</w:t>
      </w:r>
    </w:p>
    <w:p w14:paraId="47FEE5B6">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zh-TW"/>
        </w:rPr>
        <w:t>供应商参加政府采购活动前三年内在经营活动中没有重大违法、违纪行为(提供加盖公章的书面声明，格式自拟)。</w:t>
      </w:r>
    </w:p>
    <w:p w14:paraId="0A05E469">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val="zh-TW" w:eastAsia="zh-CN"/>
        </w:rPr>
        <w:t>供应商</w:t>
      </w:r>
      <w:r>
        <w:rPr>
          <w:rFonts w:hint="eastAsia" w:ascii="宋体" w:hAnsi="宋体" w:cs="宋体"/>
          <w:color w:val="auto"/>
          <w:sz w:val="24"/>
          <w:szCs w:val="24"/>
          <w:highlight w:val="none"/>
          <w:lang w:val="zh-TW"/>
        </w:rPr>
        <w:t>自行出具本企业无商业贿赂和不正当竞争行为承诺书。</w:t>
      </w:r>
    </w:p>
    <w:p w14:paraId="280A3442">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kern w:val="0"/>
          <w:sz w:val="24"/>
          <w:szCs w:val="24"/>
          <w:highlight w:val="none"/>
          <w:lang w:val="en-US" w:eastAsia="zh-CN"/>
        </w:rPr>
        <w:t>根据《关于在政府采购活动中查询及使用信用记录有关问题的通知》(财库[2016]125号)和豫财购【2016】15号的规定，对列入失信被执行人、重大税收违法失信主体、政府采购严重违法失信行为记录名单的投标人，拒绝参与本项目采购活动；查询渠道：①中国执行信息公开网（https://zxgk.court.gov.cn/shixin）查询内容：失信被执行人；②“信用中国”网站（https://www.creditchina.gov.cn/zhuanxiangchaxun/），查询内容：重大税收违法失信主体；③中国政府采购网（www.ccgp.gov.cn）查询内容：政府采购严重违法失信行为记录名单。投标人须提供中国执行信息公开网查询页、信用中国查询页、中国政府采购网查询页的查询结果截图</w:t>
      </w:r>
      <w:r>
        <w:rPr>
          <w:rFonts w:hint="eastAsia" w:ascii="宋体" w:hAnsi="宋体" w:eastAsia="宋体" w:cs="宋体"/>
          <w:color w:val="auto"/>
          <w:kern w:val="0"/>
          <w:sz w:val="24"/>
          <w:szCs w:val="24"/>
          <w:highlight w:val="none"/>
        </w:rPr>
        <w:t>，查询日期为本</w:t>
      </w:r>
      <w:r>
        <w:rPr>
          <w:rFonts w:hint="eastAsia" w:ascii="宋体" w:hAnsi="宋体" w:eastAsia="宋体" w:cs="宋体"/>
          <w:color w:val="auto"/>
          <w:kern w:val="0"/>
          <w:sz w:val="24"/>
          <w:szCs w:val="24"/>
          <w:highlight w:val="none"/>
          <w:lang w:eastAsia="zh-CN"/>
        </w:rPr>
        <w:t>公告</w:t>
      </w:r>
      <w:r>
        <w:rPr>
          <w:rFonts w:hint="eastAsia" w:ascii="宋体" w:hAnsi="宋体" w:eastAsia="宋体" w:cs="宋体"/>
          <w:color w:val="auto"/>
          <w:kern w:val="0"/>
          <w:sz w:val="24"/>
          <w:szCs w:val="24"/>
          <w:highlight w:val="none"/>
        </w:rPr>
        <w:t>发布之日起，网站截图应含有日期</w:t>
      </w:r>
      <w:r>
        <w:rPr>
          <w:rFonts w:hint="eastAsia" w:ascii="宋体" w:hAnsi="宋体" w:eastAsia="宋体" w:cs="宋体"/>
          <w:color w:val="auto"/>
          <w:kern w:val="0"/>
          <w:sz w:val="24"/>
          <w:szCs w:val="24"/>
          <w:highlight w:val="none"/>
          <w:lang w:val="en-US" w:eastAsia="zh-CN"/>
        </w:rPr>
        <w:t>且显示查询结果</w:t>
      </w:r>
      <w:r>
        <w:rPr>
          <w:rFonts w:hint="eastAsia" w:ascii="宋体" w:hAnsi="宋体" w:cs="宋体"/>
          <w:color w:val="auto"/>
          <w:kern w:val="0"/>
          <w:sz w:val="24"/>
          <w:szCs w:val="24"/>
          <w:highlight w:val="none"/>
          <w:lang w:val="en-US" w:eastAsia="zh-CN"/>
        </w:rPr>
        <w:t>。</w:t>
      </w:r>
    </w:p>
    <w:p w14:paraId="2BCA5FA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val="zh-TW"/>
        </w:rPr>
        <w:t>单位负责人为同一人或者存在直接控股、管理关系的不同供应商，不得参加同一合同项下的政府采购活动。提供国家企业信用信息公示系统的企业信用信息公示报告或承诺书(格式自拟)。</w:t>
      </w:r>
    </w:p>
    <w:p w14:paraId="32EEFD43">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3.</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TW"/>
        </w:rPr>
        <w:t>本项目不接受联合体投标。</w:t>
      </w:r>
    </w:p>
    <w:p w14:paraId="7C810C22">
      <w:pPr>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ascii="宋体" w:hAnsi="宋体" w:cs="宋体"/>
          <w:b/>
          <w:bCs/>
          <w:color w:val="auto"/>
          <w:sz w:val="24"/>
          <w:szCs w:val="24"/>
          <w:highlight w:val="none"/>
          <w:lang w:val="zh-TW"/>
        </w:rPr>
      </w:pPr>
      <w:r>
        <w:rPr>
          <w:rFonts w:hint="eastAsia" w:ascii="宋体" w:hAnsi="宋体" w:cs="宋体"/>
          <w:b/>
          <w:bCs/>
          <w:color w:val="auto"/>
          <w:sz w:val="24"/>
          <w:szCs w:val="24"/>
          <w:highlight w:val="none"/>
          <w:lang w:val="zh-TW"/>
        </w:rPr>
        <w:t>三、获取招标文件</w:t>
      </w:r>
    </w:p>
    <w:p w14:paraId="1DEB97FB">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FF"/>
          <w:sz w:val="24"/>
          <w:szCs w:val="24"/>
          <w:highlight w:val="none"/>
          <w:lang w:eastAsia="zh-CN"/>
        </w:rPr>
      </w:pPr>
      <w:r>
        <w:rPr>
          <w:rFonts w:hint="eastAsia" w:ascii="宋体" w:hAnsi="宋体" w:cs="宋体"/>
          <w:color w:val="auto"/>
          <w:sz w:val="24"/>
          <w:szCs w:val="24"/>
          <w:highlight w:val="none"/>
        </w:rPr>
        <w:t>1.时间：202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02</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日至</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03</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lang w:eastAsia="zh-CN"/>
        </w:rPr>
        <w:t>日08时30分</w:t>
      </w:r>
    </w:p>
    <w:p w14:paraId="0F82610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2.地点：三门峡市公共资源交易中心网（网址：http://gzjy.smx.gov.cn/）</w:t>
      </w:r>
    </w:p>
    <w:p w14:paraId="4A8E451C">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3.方式：</w:t>
      </w:r>
      <w:r>
        <w:rPr>
          <w:rFonts w:hint="eastAsia" w:ascii="宋体" w:hAnsi="宋体" w:cs="宋体"/>
          <w:color w:val="auto"/>
          <w:sz w:val="24"/>
          <w:szCs w:val="24"/>
          <w:highlight w:val="none"/>
          <w:lang w:val="zh-TW"/>
        </w:rPr>
        <w:t>本项目没有报名环节，供应商凭CA数字证书通过三门峡市公共资源交易中心网（网址：</w:t>
      </w:r>
      <w:r>
        <w:rPr>
          <w:rFonts w:hint="eastAsia" w:ascii="宋体" w:hAnsi="宋体" w:cs="宋体"/>
          <w:color w:val="auto"/>
          <w:sz w:val="24"/>
          <w:szCs w:val="24"/>
          <w:highlight w:val="none"/>
          <w:lang w:val="zh-TW"/>
        </w:rPr>
        <w:fldChar w:fldCharType="begin"/>
      </w:r>
      <w:r>
        <w:rPr>
          <w:rFonts w:hint="eastAsia" w:ascii="宋体" w:hAnsi="宋体" w:cs="宋体"/>
          <w:color w:val="auto"/>
          <w:sz w:val="24"/>
          <w:szCs w:val="24"/>
          <w:highlight w:val="none"/>
          <w:lang w:val="zh-TW"/>
        </w:rPr>
        <w:instrText xml:space="preserve"> HYPERLINK "http://gzjy.smx.gov.cn/SMX/Home/index.do），点击交易平台选择" </w:instrText>
      </w:r>
      <w:r>
        <w:rPr>
          <w:rFonts w:hint="eastAsia" w:ascii="宋体" w:hAnsi="宋体" w:cs="宋体"/>
          <w:color w:val="auto"/>
          <w:sz w:val="24"/>
          <w:szCs w:val="24"/>
          <w:highlight w:val="none"/>
          <w:lang w:val="zh-TW"/>
        </w:rPr>
        <w:fldChar w:fldCharType="separate"/>
      </w:r>
      <w:r>
        <w:rPr>
          <w:rFonts w:hint="eastAsia" w:ascii="宋体" w:hAnsi="宋体" w:cs="宋体"/>
          <w:color w:val="auto"/>
          <w:sz w:val="24"/>
          <w:szCs w:val="24"/>
          <w:highlight w:val="none"/>
          <w:lang w:val="zh-TW"/>
        </w:rPr>
        <w:t>http://gzjy.smx.gov.cn/），点击交易平台选择“市场主体登录”，在所参与项目右侧点击参与投标，即可直接下载本项目招标文件。</w:t>
      </w:r>
      <w:r>
        <w:rPr>
          <w:rFonts w:hint="eastAsia" w:ascii="宋体" w:hAnsi="宋体" w:cs="宋体"/>
          <w:color w:val="auto"/>
          <w:sz w:val="24"/>
          <w:szCs w:val="24"/>
          <w:highlight w:val="none"/>
          <w:lang w:val="zh-TW"/>
        </w:rPr>
        <w:fldChar w:fldCharType="end"/>
      </w:r>
    </w:p>
    <w:p w14:paraId="0241D06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rPr>
        <w:t>办理CA证书：http://gzjy.smx.gov.cn/bzzx/008001/20231102/4defc9b5-408e-47f2-9e9f-1f376a06ee1f.html</w:t>
      </w:r>
    </w:p>
    <w:p w14:paraId="0CA62233">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4.售价：0元</w:t>
      </w:r>
    </w:p>
    <w:p w14:paraId="606F132F">
      <w:pPr>
        <w:keepNext w:val="0"/>
        <w:keepLines w:val="0"/>
        <w:pageBreakBefore w:val="0"/>
        <w:widowControl w:val="0"/>
        <w:kinsoku/>
        <w:overflowPunct/>
        <w:topLinePunct w:val="0"/>
        <w:autoSpaceDE/>
        <w:autoSpaceDN/>
        <w:bidi w:val="0"/>
        <w:adjustRightInd/>
        <w:snapToGrid/>
        <w:spacing w:line="520" w:lineRule="exact"/>
        <w:ind w:firstLine="569" w:firstLineChars="236"/>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四、投标截止时间及地点</w:t>
      </w:r>
    </w:p>
    <w:p w14:paraId="04B0A08A">
      <w:pPr>
        <w:keepNext w:val="0"/>
        <w:keepLines w:val="0"/>
        <w:pageBreakBefore w:val="0"/>
        <w:widowControl w:val="0"/>
        <w:kinsoku/>
        <w:overflowPunct/>
        <w:topLinePunct w:val="0"/>
        <w:autoSpaceDE/>
        <w:autoSpaceDN/>
        <w:bidi w:val="0"/>
        <w:adjustRightInd/>
        <w:snapToGrid/>
        <w:spacing w:line="520" w:lineRule="exact"/>
        <w:ind w:firstLine="566" w:firstLineChars="236"/>
        <w:textAlignment w:val="auto"/>
        <w:rPr>
          <w:rFonts w:hint="eastAsia" w:ascii="宋体" w:hAnsi="宋体" w:cs="宋体"/>
          <w:color w:val="auto"/>
          <w:sz w:val="24"/>
          <w:szCs w:val="24"/>
          <w:highlight w:val="red"/>
        </w:rPr>
      </w:pPr>
      <w:r>
        <w:rPr>
          <w:rFonts w:hint="eastAsia" w:ascii="宋体" w:hAnsi="宋体" w:cs="宋体"/>
          <w:color w:val="auto"/>
          <w:sz w:val="24"/>
          <w:szCs w:val="24"/>
          <w:highlight w:val="none"/>
        </w:rPr>
        <w:t>1.时间：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03</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lang w:eastAsia="zh-CN"/>
        </w:rPr>
        <w:t>日08时30分</w:t>
      </w:r>
      <w:r>
        <w:rPr>
          <w:rFonts w:hint="eastAsia" w:ascii="宋体" w:hAnsi="宋体" w:cs="宋体"/>
          <w:color w:val="auto"/>
          <w:sz w:val="24"/>
          <w:szCs w:val="24"/>
          <w:highlight w:val="none"/>
        </w:rPr>
        <w:t>（北京时间）</w:t>
      </w:r>
    </w:p>
    <w:p w14:paraId="2700AB2F">
      <w:pPr>
        <w:keepNext w:val="0"/>
        <w:keepLines w:val="0"/>
        <w:pageBreakBefore w:val="0"/>
        <w:widowControl w:val="0"/>
        <w:kinsoku/>
        <w:overflowPunct/>
        <w:topLinePunct w:val="0"/>
        <w:autoSpaceDE/>
        <w:autoSpaceDN/>
        <w:bidi w:val="0"/>
        <w:adjustRightInd/>
        <w:snapToGrid/>
        <w:spacing w:line="520" w:lineRule="exact"/>
        <w:ind w:firstLine="566" w:firstLineChars="236"/>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2.地点：加密电子投标文件须在投标截止时间前通过三门峡市公共资源交易中心电子交易平台加密上传。</w:t>
      </w:r>
    </w:p>
    <w:p w14:paraId="0DB7727B">
      <w:pPr>
        <w:keepNext w:val="0"/>
        <w:keepLines w:val="0"/>
        <w:pageBreakBefore w:val="0"/>
        <w:widowControl w:val="0"/>
        <w:kinsoku/>
        <w:overflowPunct/>
        <w:topLinePunct w:val="0"/>
        <w:autoSpaceDE/>
        <w:autoSpaceDN/>
        <w:bidi w:val="0"/>
        <w:adjustRightInd/>
        <w:snapToGrid/>
        <w:spacing w:line="520" w:lineRule="exact"/>
        <w:ind w:firstLine="569" w:firstLineChars="236"/>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五、开标时间及地点</w:t>
      </w:r>
    </w:p>
    <w:p w14:paraId="10F9C9E7">
      <w:pPr>
        <w:keepNext w:val="0"/>
        <w:keepLines w:val="0"/>
        <w:pageBreakBefore w:val="0"/>
        <w:widowControl w:val="0"/>
        <w:kinsoku/>
        <w:overflowPunct/>
        <w:topLinePunct w:val="0"/>
        <w:autoSpaceDE/>
        <w:autoSpaceDN/>
        <w:bidi w:val="0"/>
        <w:adjustRightInd/>
        <w:snapToGrid/>
        <w:spacing w:line="520" w:lineRule="exact"/>
        <w:ind w:firstLine="566" w:firstLineChars="236"/>
        <w:textAlignment w:val="auto"/>
        <w:rPr>
          <w:rFonts w:hint="eastAsia" w:ascii="宋体" w:hAnsi="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none"/>
          <w:lang w:eastAsia="zh-CN"/>
        </w:rPr>
        <w:t>间：2026年</w:t>
      </w:r>
      <w:r>
        <w:rPr>
          <w:rFonts w:hint="eastAsia" w:ascii="宋体" w:hAnsi="宋体" w:cs="宋体"/>
          <w:color w:val="auto"/>
          <w:sz w:val="24"/>
          <w:szCs w:val="24"/>
          <w:highlight w:val="none"/>
          <w:u w:val="none"/>
          <w:lang w:val="en-US" w:eastAsia="zh-CN"/>
        </w:rPr>
        <w:t>03</w:t>
      </w:r>
      <w:r>
        <w:rPr>
          <w:rFonts w:hint="eastAsia" w:ascii="宋体" w:hAnsi="宋体" w:cs="宋体"/>
          <w:color w:val="auto"/>
          <w:sz w:val="24"/>
          <w:szCs w:val="24"/>
          <w:highlight w:val="none"/>
          <w:u w:val="none"/>
          <w:lang w:eastAsia="zh-CN"/>
        </w:rPr>
        <w:t>月</w:t>
      </w:r>
      <w:r>
        <w:rPr>
          <w:rFonts w:hint="eastAsia" w:ascii="宋体" w:hAnsi="宋体" w:cs="宋体"/>
          <w:color w:val="auto"/>
          <w:sz w:val="24"/>
          <w:szCs w:val="24"/>
          <w:highlight w:val="none"/>
          <w:u w:val="none"/>
          <w:lang w:val="en-US" w:eastAsia="zh-CN"/>
        </w:rPr>
        <w:t>05</w:t>
      </w:r>
      <w:r>
        <w:rPr>
          <w:rFonts w:hint="eastAsia" w:ascii="宋体" w:hAnsi="宋体" w:cs="宋体"/>
          <w:color w:val="auto"/>
          <w:sz w:val="24"/>
          <w:szCs w:val="24"/>
          <w:highlight w:val="none"/>
          <w:u w:val="none"/>
          <w:lang w:eastAsia="zh-CN"/>
        </w:rPr>
        <w:t>日08时30分（北京时间）</w:t>
      </w:r>
    </w:p>
    <w:p w14:paraId="63EA6971">
      <w:pPr>
        <w:keepNext w:val="0"/>
        <w:keepLines w:val="0"/>
        <w:pageBreakBefore w:val="0"/>
        <w:widowControl w:val="0"/>
        <w:kinsoku/>
        <w:overflowPunct/>
        <w:topLinePunct w:val="0"/>
        <w:autoSpaceDE/>
        <w:autoSpaceDN/>
        <w:bidi w:val="0"/>
        <w:adjustRightInd/>
        <w:snapToGrid/>
        <w:spacing w:line="520" w:lineRule="exact"/>
        <w:ind w:firstLine="566" w:firstLineChars="236"/>
        <w:textAlignment w:val="auto"/>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lang w:eastAsia="zh-CN"/>
        </w:rPr>
        <w:t>2.地点：灵宝市公共资源交易中心开标</w:t>
      </w:r>
      <w:r>
        <w:rPr>
          <w:rFonts w:hint="eastAsia" w:ascii="宋体" w:hAnsi="宋体" w:cs="宋体"/>
          <w:color w:val="auto"/>
          <w:sz w:val="24"/>
          <w:szCs w:val="24"/>
          <w:highlight w:val="none"/>
          <w:u w:val="none"/>
          <w:lang w:val="en-US" w:eastAsia="zh-CN"/>
        </w:rPr>
        <w:t>二</w:t>
      </w:r>
      <w:r>
        <w:rPr>
          <w:rFonts w:hint="eastAsia" w:ascii="宋体" w:hAnsi="宋体" w:cs="宋体"/>
          <w:color w:val="auto"/>
          <w:sz w:val="24"/>
          <w:szCs w:val="24"/>
          <w:highlight w:val="none"/>
          <w:u w:val="none"/>
          <w:lang w:eastAsia="zh-CN"/>
        </w:rPr>
        <w:t>室、评标</w:t>
      </w:r>
      <w:r>
        <w:rPr>
          <w:rFonts w:hint="eastAsia" w:ascii="宋体" w:hAnsi="宋体" w:cs="宋体"/>
          <w:color w:val="auto"/>
          <w:sz w:val="24"/>
          <w:szCs w:val="24"/>
          <w:highlight w:val="none"/>
          <w:u w:val="none"/>
          <w:lang w:val="en-US" w:eastAsia="zh-CN"/>
        </w:rPr>
        <w:t>二</w:t>
      </w:r>
      <w:r>
        <w:rPr>
          <w:rFonts w:hint="eastAsia" w:ascii="宋体" w:hAnsi="宋体" w:cs="宋体"/>
          <w:color w:val="auto"/>
          <w:sz w:val="24"/>
          <w:szCs w:val="24"/>
          <w:highlight w:val="none"/>
          <w:u w:val="none"/>
          <w:lang w:eastAsia="zh-CN"/>
        </w:rPr>
        <w:t>室（灵宝市金城大道农村信用联社12楼）</w:t>
      </w:r>
    </w:p>
    <w:p w14:paraId="50A5A2C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rPr>
        <w:t>注：本项目为不见面开标项目，开标当日，供应商无需到开标现场参加开标会议，</w:t>
      </w:r>
      <w:r>
        <w:rPr>
          <w:rFonts w:hint="eastAsia" w:ascii="宋体" w:hAnsi="宋体" w:cs="宋体"/>
          <w:color w:val="auto"/>
          <w:sz w:val="24"/>
          <w:szCs w:val="24"/>
          <w:highlight w:val="none"/>
        </w:rPr>
        <w:t>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因供应商原因未能解密、解密失败或解密超时的将被拒绝。</w:t>
      </w:r>
    </w:p>
    <w:p w14:paraId="47E76C8C">
      <w:pPr>
        <w:keepNext w:val="0"/>
        <w:keepLines w:val="0"/>
        <w:pageBreakBefore w:val="0"/>
        <w:widowControl w:val="0"/>
        <w:kinsoku/>
        <w:overflowPunct/>
        <w:topLinePunct w:val="0"/>
        <w:autoSpaceDE/>
        <w:autoSpaceDN/>
        <w:bidi w:val="0"/>
        <w:adjustRightInd/>
        <w:snapToGrid/>
        <w:spacing w:line="520" w:lineRule="exact"/>
        <w:ind w:firstLine="569" w:firstLineChars="236"/>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六、发布公告的媒介</w:t>
      </w:r>
    </w:p>
    <w:p w14:paraId="7D872494">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本次公告在《河南省政府采购网》、《中国采购与招标网》、《三门峡市公共资源交易中心网》上发布。招标公告期限为五个工作日。</w:t>
      </w:r>
    </w:p>
    <w:p w14:paraId="0962D5B5">
      <w:pPr>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七、其他事项</w:t>
      </w:r>
    </w:p>
    <w:p w14:paraId="1B8D80A8">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1、供应商应仔细阅读操作手册，在本公告中要求的截止时间前完成投标工作，因投标人操作不当等问题造成的无法投标等一切后果，由供应商自行承担。</w:t>
      </w:r>
    </w:p>
    <w:p w14:paraId="33E8BFFD">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2、本项目资格评审和业绩以投标文件为准，投标人可使用电子营业执照。</w:t>
      </w:r>
    </w:p>
    <w:p w14:paraId="6ACAE120">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（1）资格评（预）审部分：资格评（预）审以投标文件为准，其上传资料真实性由投标人自行承担，同时，投标人应在开标前自行完善主体库信息。</w:t>
      </w:r>
    </w:p>
    <w:p w14:paraId="1A8E9657">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（2）评标打分部分：评标打分部分按照100分制原则进行，涉及到资格审查、企业荣誉、人员业绩、企业业绩等计分部分时，以投标单位自行上传到投标文件中的各类相应内容为准。</w:t>
      </w:r>
    </w:p>
    <w:p w14:paraId="35BEA1EF">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6D40C03D">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3、根据《河南省财政厅关于优化政府采购营商环境有关问题的通知》（豫财购【2019】4号）第6条的规定，投标保证金不再收取。</w:t>
      </w:r>
    </w:p>
    <w:p w14:paraId="76FD6A4A">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温馨提示：本项目为电子化、无纸化交易项目，开标时不再接受任何纸质资料，为保证您能投标成功，请需仔细阅读招标文件和三门峡市公共资源交易中心官网业务办理指南。</w:t>
      </w:r>
    </w:p>
    <w:p w14:paraId="535DECB5">
      <w:pPr>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八、联系方式</w:t>
      </w:r>
    </w:p>
    <w:p w14:paraId="172B4974">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bookmarkStart w:id="4" w:name="_Toc28372"/>
      <w:bookmarkStart w:id="5" w:name="_Toc12317"/>
      <w:bookmarkStart w:id="6" w:name="_Toc28449"/>
      <w:bookmarkStart w:id="7" w:name="_Toc410126998"/>
      <w:bookmarkStart w:id="8" w:name="_Toc270604573"/>
      <w:r>
        <w:rPr>
          <w:rFonts w:hint="eastAsia" w:ascii="宋体" w:hAnsi="宋体" w:eastAsia="宋体" w:cs="宋体"/>
          <w:color w:val="auto"/>
          <w:sz w:val="24"/>
          <w:szCs w:val="24"/>
          <w:highlight w:val="none"/>
          <w:lang w:val="en-US" w:eastAsia="zh-CN"/>
        </w:rPr>
        <w:t>1.采购人：</w:t>
      </w:r>
      <w:r>
        <w:rPr>
          <w:rFonts w:hint="eastAsia" w:ascii="宋体" w:hAnsi="宋体" w:cs="宋体"/>
          <w:color w:val="auto"/>
          <w:sz w:val="24"/>
          <w:szCs w:val="24"/>
          <w:highlight w:val="none"/>
          <w:lang w:val="en-US" w:eastAsia="zh-CN"/>
        </w:rPr>
        <w:t>三门峡市生态环境局灵宝分局</w:t>
      </w:r>
      <w:r>
        <w:rPr>
          <w:rFonts w:hint="eastAsia" w:ascii="宋体" w:hAnsi="宋体" w:eastAsia="宋体" w:cs="宋体"/>
          <w:color w:val="auto"/>
          <w:sz w:val="24"/>
          <w:szCs w:val="24"/>
          <w:highlight w:val="none"/>
          <w:lang w:val="en-US" w:eastAsia="zh-CN"/>
        </w:rPr>
        <w:t xml:space="preserve"> </w:t>
      </w:r>
    </w:p>
    <w:p w14:paraId="6A1C438C">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地址：灵宝市金城大道</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号</w:t>
      </w:r>
    </w:p>
    <w:p w14:paraId="5C7A8B2E">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cs="宋体"/>
          <w:color w:val="auto"/>
          <w:sz w:val="24"/>
          <w:szCs w:val="24"/>
          <w:highlight w:val="none"/>
          <w:lang w:val="en-US" w:eastAsia="zh-CN"/>
        </w:rPr>
        <w:t>马先生</w:t>
      </w:r>
    </w:p>
    <w:p w14:paraId="63C74537">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联系方式：0398-3091836</w:t>
      </w:r>
    </w:p>
    <w:p w14:paraId="433D272E">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2.代理机构：正为技术有限公司</w:t>
      </w:r>
    </w:p>
    <w:p w14:paraId="7A455172">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地址：河南省郑州市金水区索凌路庙李商务大厦3单元10层1001室</w:t>
      </w:r>
    </w:p>
    <w:p w14:paraId="13057808">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联系人：莫先生</w:t>
      </w:r>
    </w:p>
    <w:p w14:paraId="021934B6">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17719083579</w:t>
      </w:r>
    </w:p>
    <w:p w14:paraId="327AFBF5">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3.监督单位：</w:t>
      </w:r>
      <w:r>
        <w:rPr>
          <w:rFonts w:hint="eastAsia" w:ascii="宋体" w:hAnsi="宋体" w:cs="宋体"/>
          <w:color w:val="auto"/>
          <w:sz w:val="24"/>
          <w:szCs w:val="24"/>
          <w:highlight w:val="none"/>
          <w:lang w:val="en-US" w:eastAsia="zh-CN"/>
        </w:rPr>
        <w:t>中共三门峡市生态环境局灵宝分局党组</w:t>
      </w:r>
    </w:p>
    <w:p w14:paraId="530C5CF3">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联系方式：0398-3091818</w:t>
      </w:r>
    </w:p>
    <w:p w14:paraId="01D6057C">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监督单位：灵宝市财政局政府采购监督管理科</w:t>
      </w:r>
    </w:p>
    <w:p w14:paraId="065FFD1C">
      <w:pPr>
        <w:keepNext w:val="0"/>
        <w:keepLines w:val="0"/>
        <w:pageBreakBefore w:val="0"/>
        <w:widowControl w:val="0"/>
        <w:kinsoku/>
        <w:overflowPunct/>
        <w:topLinePunct w:val="0"/>
        <w:autoSpaceDE/>
        <w:autoSpaceDN/>
        <w:bidi w:val="0"/>
        <w:adjustRightInd/>
        <w:snapToGrid/>
        <w:spacing w:line="520" w:lineRule="exact"/>
        <w:ind w:firstLine="484" w:firstLineChars="202"/>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0398-8852670</w:t>
      </w:r>
    </w:p>
    <w:p w14:paraId="1244DDC6">
      <w:pPr>
        <w:pStyle w:val="18"/>
        <w:rPr>
          <w:rFonts w:hint="default"/>
          <w:lang w:val="en-US" w:eastAsia="zh-CN"/>
        </w:rPr>
      </w:pPr>
    </w:p>
    <w:p w14:paraId="26962700">
      <w:pPr>
        <w:rPr>
          <w:rFonts w:hint="eastAsia" w:ascii="宋体" w:hAnsi="宋体" w:cs="宋体"/>
          <w:color w:val="auto"/>
          <w:sz w:val="36"/>
          <w:szCs w:val="36"/>
          <w:highlight w:val="none"/>
        </w:rPr>
      </w:pPr>
      <w:r>
        <w:rPr>
          <w:rFonts w:hint="eastAsia" w:ascii="宋体" w:hAnsi="宋体" w:cs="宋体"/>
          <w:color w:val="auto"/>
          <w:sz w:val="36"/>
          <w:szCs w:val="36"/>
          <w:highlight w:val="none"/>
        </w:rPr>
        <w:br w:type="page"/>
      </w:r>
    </w:p>
    <w:p w14:paraId="4FBCE6DB">
      <w:pPr>
        <w:pStyle w:val="2"/>
        <w:keepNext w:val="0"/>
        <w:keepLines w:val="0"/>
        <w:pageBreakBefore/>
        <w:spacing w:before="120" w:after="120" w:line="400" w:lineRule="exact"/>
        <w:jc w:val="center"/>
        <w:rPr>
          <w:rFonts w:hint="eastAsia" w:ascii="宋体" w:hAnsi="宋体" w:cs="宋体"/>
          <w:color w:val="auto"/>
          <w:sz w:val="36"/>
          <w:szCs w:val="36"/>
          <w:highlight w:val="none"/>
        </w:rPr>
      </w:pPr>
      <w:bookmarkStart w:id="9" w:name="_Toc5841"/>
      <w:r>
        <w:rPr>
          <w:rFonts w:hint="eastAsia" w:ascii="宋体" w:hAnsi="宋体" w:cs="宋体"/>
          <w:color w:val="auto"/>
          <w:sz w:val="36"/>
          <w:szCs w:val="36"/>
          <w:highlight w:val="none"/>
        </w:rPr>
        <w:t>第二章 供应商须知</w:t>
      </w:r>
      <w:bookmarkEnd w:id="4"/>
      <w:bookmarkEnd w:id="5"/>
      <w:bookmarkEnd w:id="6"/>
      <w:bookmarkEnd w:id="7"/>
      <w:bookmarkEnd w:id="8"/>
      <w:bookmarkEnd w:id="9"/>
      <w:bookmarkStart w:id="10" w:name="_Toc503886922"/>
      <w:bookmarkStart w:id="11" w:name="_Toc503885586"/>
      <w:bookmarkStart w:id="12" w:name="_Toc503112329"/>
      <w:bookmarkStart w:id="13" w:name="_Toc505073888"/>
      <w:bookmarkStart w:id="14" w:name="_Toc270604574"/>
      <w:bookmarkStart w:id="15" w:name="_Toc15504"/>
      <w:bookmarkStart w:id="16" w:name="_Toc31918"/>
      <w:bookmarkStart w:id="17" w:name="_Toc269470293"/>
      <w:bookmarkStart w:id="18" w:name="_Toc4962"/>
      <w:bookmarkStart w:id="19" w:name="_Toc504055106"/>
    </w:p>
    <w:p w14:paraId="31881B88">
      <w:pPr>
        <w:spacing w:line="360" w:lineRule="auto"/>
        <w:jc w:val="center"/>
        <w:rPr>
          <w:rFonts w:hint="eastAsia" w:ascii="宋体" w:hAnsi="宋体" w:cs="宋体"/>
          <w:color w:val="auto"/>
          <w:sz w:val="24"/>
          <w:szCs w:val="24"/>
          <w:highlight w:val="none"/>
        </w:rPr>
      </w:pPr>
      <w:bookmarkStart w:id="20" w:name="_Toc6916"/>
      <w:bookmarkStart w:id="21" w:name="_Toc31332"/>
      <w:r>
        <w:rPr>
          <w:rFonts w:hint="eastAsia" w:ascii="宋体" w:hAnsi="宋体" w:cs="宋体"/>
          <w:b/>
          <w:color w:val="auto"/>
          <w:sz w:val="24"/>
          <w:szCs w:val="20"/>
          <w:highlight w:val="none"/>
        </w:rPr>
        <w:t>供应商须知前附表</w:t>
      </w:r>
      <w:bookmarkEnd w:id="10"/>
      <w:bookmarkEnd w:id="11"/>
      <w:bookmarkEnd w:id="12"/>
      <w:bookmarkEnd w:id="13"/>
      <w:bookmarkEnd w:id="14"/>
      <w:bookmarkEnd w:id="15"/>
      <w:bookmarkEnd w:id="16"/>
      <w:bookmarkEnd w:id="17"/>
      <w:bookmarkEnd w:id="18"/>
      <w:bookmarkEnd w:id="19"/>
      <w:bookmarkEnd w:id="20"/>
      <w:bookmarkEnd w:id="21"/>
    </w:p>
    <w:tbl>
      <w:tblPr>
        <w:tblStyle w:val="19"/>
        <w:tblW w:w="963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43"/>
        <w:gridCol w:w="6803"/>
      </w:tblGrid>
      <w:tr w14:paraId="73B6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2D5E648">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条款号</w:t>
            </w:r>
          </w:p>
        </w:tc>
        <w:tc>
          <w:tcPr>
            <w:tcW w:w="1843" w:type="dxa"/>
            <w:tcBorders>
              <w:top w:val="single" w:color="auto" w:sz="4" w:space="0"/>
              <w:left w:val="nil"/>
              <w:bottom w:val="single" w:color="auto" w:sz="4" w:space="0"/>
              <w:right w:val="single" w:color="auto" w:sz="4" w:space="0"/>
            </w:tcBorders>
            <w:vAlign w:val="center"/>
          </w:tcPr>
          <w:p w14:paraId="2C3788B2">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条款名称</w:t>
            </w:r>
          </w:p>
        </w:tc>
        <w:tc>
          <w:tcPr>
            <w:tcW w:w="6803" w:type="dxa"/>
            <w:tcBorders>
              <w:top w:val="single" w:color="auto" w:sz="4" w:space="0"/>
              <w:left w:val="nil"/>
              <w:bottom w:val="single" w:color="auto" w:sz="4" w:space="0"/>
              <w:right w:val="single" w:color="auto" w:sz="4" w:space="0"/>
            </w:tcBorders>
            <w:vAlign w:val="center"/>
          </w:tcPr>
          <w:p w14:paraId="73C150B4">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编  列  内  容</w:t>
            </w:r>
          </w:p>
        </w:tc>
      </w:tr>
      <w:tr w14:paraId="496B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EC5AE51">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AB83B4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采购人</w:t>
            </w:r>
          </w:p>
        </w:tc>
        <w:tc>
          <w:tcPr>
            <w:tcW w:w="6803" w:type="dxa"/>
            <w:tcBorders>
              <w:top w:val="single" w:color="auto" w:sz="4" w:space="0"/>
              <w:left w:val="nil"/>
              <w:bottom w:val="single" w:color="auto" w:sz="4" w:space="0"/>
              <w:right w:val="single" w:color="auto" w:sz="4" w:space="0"/>
            </w:tcBorders>
            <w:vAlign w:val="center"/>
          </w:tcPr>
          <w:p w14:paraId="06A1E99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采购人：三门峡市生态环境局灵宝分局 </w:t>
            </w:r>
          </w:p>
          <w:p w14:paraId="4A41D5B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地址：灵宝市金城大道12号</w:t>
            </w:r>
          </w:p>
          <w:p w14:paraId="22A9293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联系人：马先生</w:t>
            </w:r>
          </w:p>
          <w:p w14:paraId="468912C4">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联系方式：0398-3091836</w:t>
            </w:r>
          </w:p>
        </w:tc>
      </w:tr>
      <w:tr w14:paraId="62FE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AD1252C">
            <w:pPr>
              <w:widowControl/>
              <w:numPr>
                <w:ilvl w:val="0"/>
                <w:numId w:val="1"/>
              </w:numPr>
              <w:spacing w:line="360" w:lineRule="auto"/>
              <w:ind w:left="425" w:leftChars="0" w:hanging="425" w:firstLineChars="0"/>
              <w:jc w:val="left"/>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3A0BF5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采购代理</w:t>
            </w:r>
          </w:p>
          <w:p w14:paraId="48C00F2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机构</w:t>
            </w:r>
          </w:p>
        </w:tc>
        <w:tc>
          <w:tcPr>
            <w:tcW w:w="6803" w:type="dxa"/>
            <w:tcBorders>
              <w:top w:val="single" w:color="auto" w:sz="4" w:space="0"/>
              <w:left w:val="nil"/>
              <w:bottom w:val="single" w:color="auto" w:sz="4" w:space="0"/>
              <w:right w:val="single" w:color="auto" w:sz="4" w:space="0"/>
            </w:tcBorders>
            <w:vAlign w:val="center"/>
          </w:tcPr>
          <w:p w14:paraId="151D17D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代理机构：正为技术有限公司</w:t>
            </w:r>
          </w:p>
          <w:p w14:paraId="79769F4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地址：河南省郑州市金水区索凌路庙李商务大厦3单元10层1001室</w:t>
            </w:r>
          </w:p>
          <w:p w14:paraId="69156B6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联系人：莫先生</w:t>
            </w:r>
          </w:p>
          <w:p w14:paraId="27CACA46">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17719083579</w:t>
            </w:r>
          </w:p>
        </w:tc>
      </w:tr>
      <w:tr w14:paraId="7934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164E9E1">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670BCD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6803" w:type="dxa"/>
            <w:tcBorders>
              <w:top w:val="single" w:color="auto" w:sz="4" w:space="0"/>
              <w:left w:val="nil"/>
              <w:bottom w:val="single" w:color="auto" w:sz="4" w:space="0"/>
              <w:right w:val="single" w:color="auto" w:sz="4" w:space="0"/>
            </w:tcBorders>
            <w:vAlign w:val="center"/>
          </w:tcPr>
          <w:p w14:paraId="05E0F7CE">
            <w:pPr>
              <w:spacing w:line="360" w:lineRule="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eastAsia="zh-CN"/>
              </w:rPr>
              <w:t>灵宝市乡镇空气质量监测站运维项目</w:t>
            </w:r>
          </w:p>
        </w:tc>
      </w:tr>
      <w:tr w14:paraId="05C3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475D5CC">
            <w:pPr>
              <w:widowControl/>
              <w:numPr>
                <w:ilvl w:val="0"/>
                <w:numId w:val="1"/>
              </w:numPr>
              <w:spacing w:line="360" w:lineRule="auto"/>
              <w:ind w:left="425" w:leftChars="0" w:hanging="425" w:firstLineChars="0"/>
              <w:jc w:val="left"/>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B9E3EE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(预算金额)</w:t>
            </w:r>
          </w:p>
        </w:tc>
        <w:tc>
          <w:tcPr>
            <w:tcW w:w="6803" w:type="dxa"/>
            <w:tcBorders>
              <w:top w:val="single" w:color="auto" w:sz="4" w:space="0"/>
              <w:left w:val="nil"/>
              <w:bottom w:val="single" w:color="auto" w:sz="4" w:space="0"/>
              <w:right w:val="single" w:color="auto" w:sz="4" w:space="0"/>
            </w:tcBorders>
            <w:vAlign w:val="center"/>
          </w:tcPr>
          <w:p w14:paraId="1D905C55">
            <w:pPr>
              <w:spacing w:line="360" w:lineRule="auto"/>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390</w:t>
            </w:r>
            <w:r>
              <w:rPr>
                <w:rFonts w:hint="eastAsia" w:ascii="宋体" w:hAnsi="宋体" w:cs="宋体"/>
                <w:color w:val="auto"/>
                <w:sz w:val="24"/>
                <w:szCs w:val="24"/>
                <w:highlight w:val="none"/>
                <w:u w:val="none"/>
                <w:lang w:eastAsia="zh-CN"/>
              </w:rPr>
              <w:t>万元</w:t>
            </w:r>
            <w:r>
              <w:rPr>
                <w:rFonts w:hint="eastAsia" w:ascii="宋体" w:hAnsi="宋体" w:cs="宋体"/>
                <w:color w:val="auto"/>
                <w:sz w:val="24"/>
                <w:szCs w:val="24"/>
                <w:highlight w:val="none"/>
                <w:u w:val="none"/>
              </w:rPr>
              <w:t>；</w:t>
            </w:r>
          </w:p>
        </w:tc>
      </w:tr>
      <w:tr w14:paraId="6136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AC63255">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2C4B490B">
            <w:pPr>
              <w:pStyle w:val="22"/>
              <w:spacing w:line="360" w:lineRule="auto"/>
              <w:jc w:val="center"/>
              <w:rPr>
                <w:rFonts w:hint="eastAsia" w:ascii="宋体" w:hAnsi="宋体" w:cs="宋体"/>
                <w:color w:val="auto"/>
                <w:szCs w:val="24"/>
                <w:highlight w:val="none"/>
              </w:rPr>
            </w:pPr>
            <w:r>
              <w:rPr>
                <w:rFonts w:hint="eastAsia" w:ascii="宋体" w:hAnsi="宋体" w:cs="宋体"/>
                <w:color w:val="auto"/>
                <w:szCs w:val="24"/>
                <w:highlight w:val="none"/>
              </w:rPr>
              <w:t>资金来源</w:t>
            </w:r>
          </w:p>
        </w:tc>
        <w:tc>
          <w:tcPr>
            <w:tcW w:w="6803" w:type="dxa"/>
            <w:tcBorders>
              <w:top w:val="single" w:color="auto" w:sz="4" w:space="0"/>
              <w:left w:val="nil"/>
              <w:bottom w:val="single" w:color="auto" w:sz="4" w:space="0"/>
              <w:right w:val="single" w:color="auto" w:sz="4" w:space="0"/>
            </w:tcBorders>
            <w:vAlign w:val="center"/>
          </w:tcPr>
          <w:p w14:paraId="21BD6173">
            <w:pPr>
              <w:pStyle w:val="22"/>
              <w:spacing w:line="360" w:lineRule="auto"/>
              <w:rPr>
                <w:rFonts w:hint="eastAsia" w:ascii="宋体" w:hAnsi="宋体" w:cs="宋体"/>
                <w:color w:val="auto"/>
                <w:szCs w:val="24"/>
                <w:highlight w:val="none"/>
              </w:rPr>
            </w:pPr>
            <w:r>
              <w:rPr>
                <w:rFonts w:hint="eastAsia" w:ascii="宋体" w:hAnsi="宋体" w:cs="宋体"/>
                <w:color w:val="auto"/>
                <w:szCs w:val="24"/>
                <w:highlight w:val="none"/>
                <w:lang w:eastAsia="zh-CN"/>
              </w:rPr>
              <w:t>财政资金</w:t>
            </w:r>
            <w:r>
              <w:rPr>
                <w:rFonts w:hint="eastAsia" w:ascii="宋体" w:hAnsi="宋体" w:cs="宋体"/>
                <w:color w:val="auto"/>
                <w:szCs w:val="24"/>
                <w:highlight w:val="none"/>
              </w:rPr>
              <w:t>，已落实</w:t>
            </w:r>
          </w:p>
        </w:tc>
      </w:tr>
      <w:tr w14:paraId="08A7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993" w:type="dxa"/>
            <w:tcBorders>
              <w:top w:val="single" w:color="auto" w:sz="4" w:space="0"/>
              <w:left w:val="single" w:color="auto" w:sz="4" w:space="0"/>
              <w:bottom w:val="single" w:color="auto" w:sz="4" w:space="0"/>
              <w:right w:val="single" w:color="auto" w:sz="4" w:space="0"/>
            </w:tcBorders>
            <w:vAlign w:val="center"/>
          </w:tcPr>
          <w:p w14:paraId="1F03F0D1">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45A8DC94">
            <w:pPr>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zh-TW" w:eastAsia="zh-CN" w:bidi="ar-SA"/>
              </w:rPr>
              <w:t>采购</w:t>
            </w:r>
            <w:r>
              <w:rPr>
                <w:rFonts w:hint="eastAsia" w:ascii="宋体" w:hAnsi="宋体" w:eastAsia="宋体" w:cs="宋体"/>
                <w:color w:val="auto"/>
                <w:kern w:val="0"/>
                <w:sz w:val="24"/>
                <w:szCs w:val="24"/>
                <w:highlight w:val="none"/>
                <w:lang w:val="en-US" w:eastAsia="zh-CN" w:bidi="ar-SA"/>
              </w:rPr>
              <w:t>内容</w:t>
            </w:r>
          </w:p>
        </w:tc>
        <w:tc>
          <w:tcPr>
            <w:tcW w:w="6803" w:type="dxa"/>
            <w:tcBorders>
              <w:top w:val="single" w:color="auto" w:sz="4" w:space="0"/>
              <w:left w:val="nil"/>
              <w:bottom w:val="single" w:color="auto" w:sz="4" w:space="0"/>
              <w:right w:val="single" w:color="auto" w:sz="4" w:space="0"/>
            </w:tcBorders>
            <w:vAlign w:val="center"/>
          </w:tcPr>
          <w:p w14:paraId="0A38D0AA">
            <w:pPr>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对灵宝市乡镇空气质量监测站进行运维服务，详见招标文件服务内容及要求。</w:t>
            </w:r>
          </w:p>
        </w:tc>
      </w:tr>
      <w:tr w14:paraId="003B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9469278">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0F379096">
            <w:pPr>
              <w:pStyle w:val="22"/>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服务期限</w:t>
            </w:r>
          </w:p>
        </w:tc>
        <w:tc>
          <w:tcPr>
            <w:tcW w:w="6803" w:type="dxa"/>
            <w:tcBorders>
              <w:top w:val="single" w:color="auto" w:sz="4" w:space="0"/>
              <w:left w:val="nil"/>
              <w:bottom w:val="single" w:color="auto" w:sz="4" w:space="0"/>
              <w:right w:val="single" w:color="auto" w:sz="4" w:space="0"/>
            </w:tcBorders>
            <w:vAlign w:val="center"/>
          </w:tcPr>
          <w:p w14:paraId="4D9F3D44">
            <w:pPr>
              <w:pStyle w:val="22"/>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合同签订之日起三年</w:t>
            </w:r>
          </w:p>
        </w:tc>
      </w:tr>
      <w:tr w14:paraId="3156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BC5137B">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04EC41B">
            <w:pPr>
              <w:pStyle w:val="22"/>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服务地点</w:t>
            </w:r>
          </w:p>
        </w:tc>
        <w:tc>
          <w:tcPr>
            <w:tcW w:w="6803" w:type="dxa"/>
            <w:tcBorders>
              <w:top w:val="single" w:color="auto" w:sz="4" w:space="0"/>
              <w:left w:val="nil"/>
              <w:bottom w:val="single" w:color="auto" w:sz="4" w:space="0"/>
              <w:right w:val="single" w:color="auto" w:sz="4" w:space="0"/>
            </w:tcBorders>
            <w:vAlign w:val="center"/>
          </w:tcPr>
          <w:p w14:paraId="6B4D8E7E">
            <w:pPr>
              <w:pStyle w:val="22"/>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灵宝市</w:t>
            </w:r>
          </w:p>
        </w:tc>
      </w:tr>
      <w:tr w14:paraId="33B5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447B7B7">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12A2780">
            <w:pPr>
              <w:spacing w:line="360" w:lineRule="auto"/>
              <w:jc w:val="center"/>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质量要求</w:t>
            </w:r>
          </w:p>
        </w:tc>
        <w:tc>
          <w:tcPr>
            <w:tcW w:w="6803" w:type="dxa"/>
            <w:tcBorders>
              <w:top w:val="single" w:color="auto" w:sz="4" w:space="0"/>
              <w:left w:val="nil"/>
              <w:bottom w:val="single" w:color="auto" w:sz="4" w:space="0"/>
              <w:right w:val="single" w:color="auto" w:sz="4" w:space="0"/>
            </w:tcBorders>
            <w:vAlign w:val="center"/>
          </w:tcPr>
          <w:p w14:paraId="71B815F6">
            <w:pPr>
              <w:spacing w:line="360" w:lineRule="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符合国家相关规定要求，达到现行国家或行业质量检验评定合格标准，满足采购人的要求。</w:t>
            </w:r>
          </w:p>
        </w:tc>
      </w:tr>
      <w:tr w14:paraId="0D54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93" w:type="dxa"/>
            <w:tcBorders>
              <w:top w:val="single" w:color="auto" w:sz="4" w:space="0"/>
              <w:left w:val="single" w:color="auto" w:sz="4" w:space="0"/>
              <w:bottom w:val="single" w:color="auto" w:sz="4" w:space="0"/>
              <w:right w:val="single" w:color="auto" w:sz="4" w:space="0"/>
            </w:tcBorders>
            <w:vAlign w:val="center"/>
          </w:tcPr>
          <w:p w14:paraId="09D5FF81">
            <w:pPr>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2486D31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供应商资质</w:t>
            </w:r>
          </w:p>
          <w:p w14:paraId="6B03B78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条件、能力</w:t>
            </w:r>
          </w:p>
          <w:p w14:paraId="0E4FF14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和信誉</w:t>
            </w:r>
          </w:p>
        </w:tc>
        <w:tc>
          <w:tcPr>
            <w:tcW w:w="6803" w:type="dxa"/>
            <w:tcBorders>
              <w:top w:val="single" w:color="auto" w:sz="4" w:space="0"/>
              <w:left w:val="nil"/>
              <w:bottom w:val="single" w:color="auto" w:sz="4" w:space="0"/>
              <w:right w:val="single" w:color="auto" w:sz="4" w:space="0"/>
            </w:tcBorders>
            <w:vAlign w:val="center"/>
          </w:tcPr>
          <w:p w14:paraId="4B2CACFE">
            <w:pPr>
              <w:spacing w:line="360" w:lineRule="auto"/>
              <w:rPr>
                <w:rFonts w:hint="eastAsia" w:ascii="宋体" w:hAnsi="宋体" w:cs="宋体"/>
                <w:color w:val="auto"/>
                <w:sz w:val="24"/>
                <w:szCs w:val="24"/>
                <w:highlight w:val="none"/>
              </w:rPr>
            </w:pPr>
            <w:r>
              <w:rPr>
                <w:rFonts w:hint="eastAsia" w:ascii="宋体" w:hAnsi="宋体" w:eastAsia="宋体" w:cs="宋体"/>
                <w:color w:val="auto"/>
                <w:sz w:val="24"/>
                <w:highlight w:val="none"/>
              </w:rPr>
              <w:t>见第一章“招标公告”</w:t>
            </w:r>
          </w:p>
        </w:tc>
      </w:tr>
      <w:tr w14:paraId="2C8B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E7582AC">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106D7F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是否接受联合体</w:t>
            </w:r>
          </w:p>
        </w:tc>
        <w:tc>
          <w:tcPr>
            <w:tcW w:w="6803" w:type="dxa"/>
            <w:tcBorders>
              <w:top w:val="single" w:color="auto" w:sz="4" w:space="0"/>
              <w:left w:val="nil"/>
              <w:bottom w:val="single" w:color="auto" w:sz="4" w:space="0"/>
              <w:right w:val="single" w:color="auto" w:sz="4" w:space="0"/>
            </w:tcBorders>
            <w:vAlign w:val="center"/>
          </w:tcPr>
          <w:p w14:paraId="724569B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■不接受</w:t>
            </w:r>
          </w:p>
        </w:tc>
      </w:tr>
      <w:tr w14:paraId="146A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04E3466">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DCB35A8">
            <w:pPr>
              <w:spacing w:line="360" w:lineRule="auto"/>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踏勘现场</w:t>
            </w:r>
          </w:p>
        </w:tc>
        <w:tc>
          <w:tcPr>
            <w:tcW w:w="6803" w:type="dxa"/>
            <w:tcBorders>
              <w:top w:val="single" w:color="auto" w:sz="4" w:space="0"/>
              <w:left w:val="nil"/>
              <w:bottom w:val="single" w:color="auto" w:sz="4" w:space="0"/>
              <w:right w:val="single" w:color="auto" w:sz="4" w:space="0"/>
            </w:tcBorders>
            <w:vAlign w:val="center"/>
          </w:tcPr>
          <w:p w14:paraId="6063269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■不组织</w:t>
            </w:r>
          </w:p>
        </w:tc>
      </w:tr>
      <w:tr w14:paraId="01D4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BDDF629">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EA7BE3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招标预备会</w:t>
            </w:r>
          </w:p>
        </w:tc>
        <w:tc>
          <w:tcPr>
            <w:tcW w:w="6803" w:type="dxa"/>
            <w:tcBorders>
              <w:top w:val="single" w:color="auto" w:sz="4" w:space="0"/>
              <w:left w:val="nil"/>
              <w:bottom w:val="single" w:color="auto" w:sz="4" w:space="0"/>
              <w:right w:val="single" w:color="auto" w:sz="4" w:space="0"/>
            </w:tcBorders>
            <w:vAlign w:val="center"/>
          </w:tcPr>
          <w:p w14:paraId="71A5647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■不召开</w:t>
            </w:r>
          </w:p>
        </w:tc>
      </w:tr>
      <w:tr w14:paraId="1152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50F505F">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307495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分  包</w:t>
            </w:r>
          </w:p>
        </w:tc>
        <w:tc>
          <w:tcPr>
            <w:tcW w:w="6803" w:type="dxa"/>
            <w:tcBorders>
              <w:top w:val="single" w:color="auto" w:sz="4" w:space="0"/>
              <w:left w:val="nil"/>
              <w:bottom w:val="single" w:color="auto" w:sz="4" w:space="0"/>
              <w:right w:val="single" w:color="auto" w:sz="4" w:space="0"/>
            </w:tcBorders>
            <w:vAlign w:val="center"/>
          </w:tcPr>
          <w:p w14:paraId="004C4C5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■不允许</w:t>
            </w:r>
          </w:p>
        </w:tc>
      </w:tr>
      <w:tr w14:paraId="1D17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439E436">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486392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构成招标文件的其他材料</w:t>
            </w:r>
          </w:p>
        </w:tc>
        <w:tc>
          <w:tcPr>
            <w:tcW w:w="6803" w:type="dxa"/>
            <w:tcBorders>
              <w:top w:val="single" w:color="auto" w:sz="4" w:space="0"/>
              <w:left w:val="nil"/>
              <w:bottom w:val="single" w:color="auto" w:sz="4" w:space="0"/>
              <w:right w:val="single" w:color="auto" w:sz="4" w:space="0"/>
            </w:tcBorders>
            <w:vAlign w:val="center"/>
          </w:tcPr>
          <w:p w14:paraId="4DDC45B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对招标文件所作的澄清（含答疑）、修改，补充构成招标文件的组成部分。</w:t>
            </w:r>
          </w:p>
        </w:tc>
      </w:tr>
      <w:tr w14:paraId="16DB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9D6EE02">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85893D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供应商要求澄清招标文件的截止时间</w:t>
            </w:r>
          </w:p>
        </w:tc>
        <w:tc>
          <w:tcPr>
            <w:tcW w:w="6803" w:type="dxa"/>
            <w:tcBorders>
              <w:top w:val="single" w:color="auto" w:sz="4" w:space="0"/>
              <w:left w:val="nil"/>
              <w:bottom w:val="single" w:color="auto" w:sz="4" w:space="0"/>
              <w:right w:val="single" w:color="auto" w:sz="4" w:space="0"/>
            </w:tcBorders>
            <w:vAlign w:val="center"/>
          </w:tcPr>
          <w:p w14:paraId="29C6E4B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投标文件递交截止时间15日前</w:t>
            </w:r>
          </w:p>
        </w:tc>
      </w:tr>
      <w:tr w14:paraId="0677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93" w:type="dxa"/>
            <w:tcBorders>
              <w:top w:val="single" w:color="auto" w:sz="4" w:space="0"/>
              <w:left w:val="single" w:color="auto" w:sz="4" w:space="0"/>
              <w:bottom w:val="single" w:color="auto" w:sz="4" w:space="0"/>
              <w:right w:val="single" w:color="auto" w:sz="4" w:space="0"/>
            </w:tcBorders>
            <w:vAlign w:val="center"/>
          </w:tcPr>
          <w:p w14:paraId="43A69D15">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13ECD29B">
            <w:pPr>
              <w:spacing w:line="360" w:lineRule="auto"/>
              <w:ind w:left="240" w:hanging="240" w:hangingChars="1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投标文件递</w:t>
            </w:r>
          </w:p>
          <w:p w14:paraId="5469D425">
            <w:pPr>
              <w:spacing w:line="360" w:lineRule="auto"/>
              <w:ind w:left="240" w:hanging="240" w:hangingChars="1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交截止时间</w:t>
            </w:r>
          </w:p>
        </w:tc>
        <w:tc>
          <w:tcPr>
            <w:tcW w:w="6803" w:type="dxa"/>
            <w:tcBorders>
              <w:top w:val="single" w:color="auto" w:sz="4" w:space="0"/>
              <w:left w:val="nil"/>
              <w:bottom w:val="single" w:color="auto" w:sz="4" w:space="0"/>
              <w:right w:val="single" w:color="auto" w:sz="4" w:space="0"/>
            </w:tcBorders>
            <w:vAlign w:val="center"/>
          </w:tcPr>
          <w:p w14:paraId="72F42E9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同开标时间</w:t>
            </w:r>
          </w:p>
        </w:tc>
      </w:tr>
      <w:tr w14:paraId="567D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993" w:type="dxa"/>
            <w:tcBorders>
              <w:top w:val="single" w:color="auto" w:sz="4" w:space="0"/>
              <w:left w:val="single" w:color="auto" w:sz="4" w:space="0"/>
              <w:bottom w:val="single" w:color="auto" w:sz="4" w:space="0"/>
              <w:right w:val="single" w:color="auto" w:sz="4" w:space="0"/>
            </w:tcBorders>
            <w:vAlign w:val="center"/>
          </w:tcPr>
          <w:p w14:paraId="66F49BEC">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1AF2B34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供应商确认收到招标文件澄清的时间</w:t>
            </w:r>
          </w:p>
        </w:tc>
        <w:tc>
          <w:tcPr>
            <w:tcW w:w="6803" w:type="dxa"/>
            <w:tcBorders>
              <w:top w:val="single" w:color="auto" w:sz="4" w:space="0"/>
              <w:left w:val="nil"/>
              <w:bottom w:val="single" w:color="auto" w:sz="4" w:space="0"/>
              <w:right w:val="single" w:color="auto" w:sz="4" w:space="0"/>
            </w:tcBorders>
            <w:vAlign w:val="center"/>
          </w:tcPr>
          <w:p w14:paraId="1E3E11A5">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在收到相应澄清文件后</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小时内</w:t>
            </w:r>
          </w:p>
        </w:tc>
      </w:tr>
      <w:tr w14:paraId="013B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7240C2A">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2DB4DC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供应商确认收到招标文件修改的时间</w:t>
            </w:r>
          </w:p>
        </w:tc>
        <w:tc>
          <w:tcPr>
            <w:tcW w:w="6803" w:type="dxa"/>
            <w:tcBorders>
              <w:top w:val="single" w:color="auto" w:sz="4" w:space="0"/>
              <w:left w:val="nil"/>
              <w:bottom w:val="single" w:color="auto" w:sz="4" w:space="0"/>
              <w:right w:val="single" w:color="auto" w:sz="4" w:space="0"/>
            </w:tcBorders>
            <w:vAlign w:val="center"/>
          </w:tcPr>
          <w:p w14:paraId="2C1A451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在收到相应修改文件后</w:t>
            </w:r>
            <w:r>
              <w:rPr>
                <w:rFonts w:hint="eastAsia" w:ascii="宋体" w:hAnsi="宋体" w:cs="宋体"/>
                <w:color w:val="auto"/>
                <w:sz w:val="24"/>
                <w:szCs w:val="24"/>
                <w:highlight w:val="none"/>
                <w:u w:val="single"/>
              </w:rPr>
              <w:t xml:space="preserve"> 24</w:t>
            </w:r>
            <w:r>
              <w:rPr>
                <w:rFonts w:hint="eastAsia" w:ascii="宋体" w:hAnsi="宋体" w:cs="宋体"/>
                <w:color w:val="auto"/>
                <w:sz w:val="24"/>
                <w:szCs w:val="24"/>
                <w:highlight w:val="none"/>
              </w:rPr>
              <w:t>小时内</w:t>
            </w:r>
          </w:p>
        </w:tc>
      </w:tr>
      <w:tr w14:paraId="2D5C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30A627A">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927FD4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构成投标文件的其他材料</w:t>
            </w:r>
          </w:p>
        </w:tc>
        <w:tc>
          <w:tcPr>
            <w:tcW w:w="6803" w:type="dxa"/>
            <w:tcBorders>
              <w:top w:val="single" w:color="auto" w:sz="4" w:space="0"/>
              <w:left w:val="nil"/>
              <w:bottom w:val="single" w:color="auto" w:sz="4" w:space="0"/>
              <w:right w:val="single" w:color="auto" w:sz="4" w:space="0"/>
            </w:tcBorders>
            <w:vAlign w:val="center"/>
          </w:tcPr>
          <w:p w14:paraId="29DCFC5A">
            <w:pPr>
              <w:spacing w:line="360" w:lineRule="auto"/>
              <w:rPr>
                <w:rFonts w:hint="eastAsia" w:ascii="宋体" w:hAnsi="宋体" w:cs="宋体"/>
                <w:b/>
                <w:bCs/>
                <w:color w:val="auto"/>
                <w:sz w:val="24"/>
                <w:szCs w:val="24"/>
                <w:highlight w:val="none"/>
              </w:rPr>
            </w:pPr>
            <w:r>
              <w:rPr>
                <w:rFonts w:hint="eastAsia" w:ascii="宋体" w:hAnsi="宋体" w:cs="宋体"/>
                <w:color w:val="auto"/>
                <w:sz w:val="24"/>
                <w:szCs w:val="24"/>
                <w:highlight w:val="none"/>
              </w:rPr>
              <w:t>供应商认为与本投标可能有关的其他资料</w:t>
            </w:r>
          </w:p>
        </w:tc>
      </w:tr>
      <w:tr w14:paraId="69EB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6C0B12F">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0016DEB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投标有效期</w:t>
            </w:r>
          </w:p>
        </w:tc>
        <w:tc>
          <w:tcPr>
            <w:tcW w:w="6803" w:type="dxa"/>
            <w:tcBorders>
              <w:top w:val="single" w:color="auto" w:sz="4" w:space="0"/>
              <w:left w:val="nil"/>
              <w:bottom w:val="single" w:color="auto" w:sz="4" w:space="0"/>
              <w:right w:val="single" w:color="auto" w:sz="4" w:space="0"/>
            </w:tcBorders>
            <w:vAlign w:val="center"/>
          </w:tcPr>
          <w:p w14:paraId="131A387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自投标文件递交截止之日起60日历天</w:t>
            </w:r>
          </w:p>
        </w:tc>
      </w:tr>
      <w:tr w14:paraId="0BF5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2972752">
            <w:pPr>
              <w:keepLines/>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0BAFFF8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近年完成的类似项目的年份要求</w:t>
            </w:r>
          </w:p>
        </w:tc>
        <w:tc>
          <w:tcPr>
            <w:tcW w:w="6803" w:type="dxa"/>
            <w:tcBorders>
              <w:top w:val="single" w:color="auto" w:sz="4" w:space="0"/>
              <w:left w:val="nil"/>
              <w:bottom w:val="single" w:color="auto" w:sz="4" w:space="0"/>
              <w:right w:val="single" w:color="auto" w:sz="4" w:space="0"/>
            </w:tcBorders>
            <w:vAlign w:val="center"/>
          </w:tcPr>
          <w:p w14:paraId="2B028F48">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none"/>
              </w:rPr>
              <w:t>近</w:t>
            </w:r>
            <w:r>
              <w:rPr>
                <w:rFonts w:hint="eastAsia" w:ascii="宋体" w:hAnsi="宋体" w:cs="宋体"/>
                <w:color w:val="auto"/>
                <w:sz w:val="24"/>
                <w:szCs w:val="24"/>
                <w:highlight w:val="none"/>
              </w:rPr>
              <w:t>年，指</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01</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01</w:t>
            </w:r>
            <w:r>
              <w:rPr>
                <w:rFonts w:hint="eastAsia" w:ascii="宋体" w:hAnsi="宋体" w:cs="宋体"/>
                <w:color w:val="auto"/>
                <w:sz w:val="24"/>
                <w:szCs w:val="24"/>
                <w:highlight w:val="none"/>
              </w:rPr>
              <w:t>日以来</w:t>
            </w:r>
          </w:p>
        </w:tc>
      </w:tr>
      <w:tr w14:paraId="6071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08DE12C">
            <w:pPr>
              <w:keepLines/>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top"/>
          </w:tcPr>
          <w:p w14:paraId="57396BC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近年财务状况的年份要求</w:t>
            </w:r>
          </w:p>
        </w:tc>
        <w:tc>
          <w:tcPr>
            <w:tcW w:w="6803" w:type="dxa"/>
            <w:tcBorders>
              <w:top w:val="single" w:color="auto" w:sz="4" w:space="0"/>
              <w:left w:val="nil"/>
              <w:bottom w:val="single" w:color="auto" w:sz="4" w:space="0"/>
              <w:right w:val="single" w:color="auto" w:sz="4" w:space="0"/>
            </w:tcBorders>
            <w:vAlign w:val="center"/>
          </w:tcPr>
          <w:p w14:paraId="2CC08AF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提供2024年度经审计的财务状况报告（成立时间不足一年的，可提供成立时间至当前时间节点的财务状况报告）</w:t>
            </w:r>
          </w:p>
        </w:tc>
      </w:tr>
      <w:tr w14:paraId="0159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396F411">
            <w:pPr>
              <w:keepLines/>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top"/>
          </w:tcPr>
          <w:p w14:paraId="7217CF6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近年发生的诉讼及仲裁情况的年份要求</w:t>
            </w:r>
          </w:p>
        </w:tc>
        <w:tc>
          <w:tcPr>
            <w:tcW w:w="6803" w:type="dxa"/>
            <w:tcBorders>
              <w:top w:val="single" w:color="auto" w:sz="4" w:space="0"/>
              <w:left w:val="nil"/>
              <w:bottom w:val="single" w:color="auto" w:sz="4" w:space="0"/>
              <w:right w:val="single" w:color="auto" w:sz="4" w:space="0"/>
            </w:tcBorders>
            <w:vAlign w:val="center"/>
          </w:tcPr>
          <w:p w14:paraId="0B10C93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u w:val="none"/>
              </w:rPr>
              <w:t>近</w:t>
            </w:r>
            <w:r>
              <w:rPr>
                <w:rFonts w:hint="eastAsia" w:ascii="宋体" w:hAnsi="宋体" w:cs="宋体"/>
                <w:color w:val="auto"/>
                <w:sz w:val="24"/>
                <w:szCs w:val="24"/>
                <w:highlight w:val="none"/>
              </w:rPr>
              <w:t>年，指</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01</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01</w:t>
            </w:r>
            <w:r>
              <w:rPr>
                <w:rFonts w:hint="eastAsia" w:ascii="宋体" w:hAnsi="宋体" w:cs="宋体"/>
                <w:color w:val="auto"/>
                <w:sz w:val="24"/>
                <w:szCs w:val="24"/>
                <w:highlight w:val="none"/>
              </w:rPr>
              <w:t>日以来</w:t>
            </w:r>
          </w:p>
        </w:tc>
      </w:tr>
      <w:tr w14:paraId="648E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21D0BF3">
            <w:pPr>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2B31F5F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签字和（或）盖章要求</w:t>
            </w:r>
          </w:p>
        </w:tc>
        <w:tc>
          <w:tcPr>
            <w:tcW w:w="6803" w:type="dxa"/>
            <w:tcBorders>
              <w:top w:val="single" w:color="auto" w:sz="4" w:space="0"/>
              <w:left w:val="nil"/>
              <w:bottom w:val="single" w:color="auto" w:sz="4" w:space="0"/>
              <w:right w:val="single" w:color="auto" w:sz="4" w:space="0"/>
            </w:tcBorders>
            <w:vAlign w:val="center"/>
          </w:tcPr>
          <w:p w14:paraId="05AE9D9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电子化投标文件的签章：</w:t>
            </w:r>
          </w:p>
          <w:p w14:paraId="585D939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1、供应商在生成电子化投标文件后，应对电子化投标文件进行签章，未对电子化文件进行签章的视为无效投标。</w:t>
            </w:r>
          </w:p>
          <w:p w14:paraId="59D1807A">
            <w:pPr>
              <w:autoSpaceDE w:val="0"/>
              <w:autoSpaceDN w:val="0"/>
              <w:adjustRightInd w:val="0"/>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2、招标文件中要求</w:t>
            </w:r>
            <w:r>
              <w:rPr>
                <w:rFonts w:hint="eastAsia" w:ascii="宋体" w:hAnsi="宋体" w:cs="宋体"/>
                <w:bCs/>
                <w:color w:val="auto"/>
                <w:sz w:val="24"/>
                <w:szCs w:val="24"/>
                <w:highlight w:val="none"/>
              </w:rPr>
              <w:t>法定代表人签字或盖章的，</w:t>
            </w:r>
            <w:r>
              <w:rPr>
                <w:rFonts w:hint="eastAsia" w:ascii="宋体" w:hAnsi="宋体" w:cs="宋体"/>
                <w:color w:val="auto"/>
                <w:sz w:val="24"/>
                <w:szCs w:val="24"/>
                <w:highlight w:val="none"/>
              </w:rPr>
              <w:t>供应商在进行</w:t>
            </w:r>
            <w:r>
              <w:rPr>
                <w:rFonts w:hint="eastAsia" w:ascii="宋体" w:hAnsi="宋体" w:cs="宋体"/>
                <w:bCs/>
                <w:color w:val="auto"/>
                <w:sz w:val="24"/>
                <w:szCs w:val="24"/>
                <w:highlight w:val="none"/>
              </w:rPr>
              <w:t>电子化投标文件签章时，以签盖法定代表人签章为准</w:t>
            </w:r>
            <w:r>
              <w:rPr>
                <w:rFonts w:hint="eastAsia" w:ascii="宋体" w:hAnsi="宋体" w:cs="宋体"/>
                <w:color w:val="auto"/>
                <w:sz w:val="24"/>
                <w:szCs w:val="24"/>
                <w:highlight w:val="none"/>
              </w:rPr>
              <w:t>。</w:t>
            </w:r>
          </w:p>
          <w:p w14:paraId="1CA6153E">
            <w:pPr>
              <w:autoSpaceDE w:val="0"/>
              <w:autoSpaceDN w:val="0"/>
              <w:adjustRightInd w:val="0"/>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电子化投标文件具体制作文件请点击：https://download.bqpoint.com/download/downloaddetail.html?SourceFrom=Ztb&amp;ZtbSoftXiaQuCode=1506&amp;ZtbSoftType=tballinclusive进行下载。</w:t>
            </w:r>
          </w:p>
        </w:tc>
      </w:tr>
      <w:tr w14:paraId="0D5D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5F41B75">
            <w:pPr>
              <w:numPr>
                <w:ilvl w:val="0"/>
                <w:numId w:val="1"/>
              </w:numPr>
              <w:spacing w:line="360" w:lineRule="auto"/>
              <w:ind w:left="425" w:leftChars="0" w:hanging="425" w:firstLineChars="0"/>
              <w:jc w:val="center"/>
              <w:rPr>
                <w:rFonts w:hint="eastAsia" w:ascii="宋体" w:hAnsi="宋体" w:cs="宋体"/>
                <w:color w:val="auto"/>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1146096">
            <w:pPr>
              <w:pStyle w:val="29"/>
              <w:spacing w:before="1"/>
              <w:ind w:left="107" w:leftChars="0"/>
              <w:jc w:val="center"/>
              <w:rPr>
                <w:rFonts w:hint="eastAsia" w:ascii="宋体" w:hAnsi="宋体" w:cs="宋体"/>
                <w:color w:val="auto"/>
                <w:sz w:val="24"/>
                <w:szCs w:val="24"/>
                <w:highlight w:val="none"/>
              </w:rPr>
            </w:pPr>
            <w:r>
              <w:rPr>
                <w:rFonts w:hint="eastAsia" w:ascii="宋体" w:hAnsi="宋体" w:eastAsia="宋体" w:cs="宋体"/>
                <w:color w:val="auto"/>
                <w:sz w:val="24"/>
                <w:highlight w:val="none"/>
              </w:rPr>
              <w:t>投标文件其他要求</w:t>
            </w:r>
          </w:p>
        </w:tc>
        <w:tc>
          <w:tcPr>
            <w:tcW w:w="6803" w:type="dxa"/>
            <w:tcBorders>
              <w:top w:val="single" w:color="auto" w:sz="4" w:space="0"/>
              <w:left w:val="nil"/>
              <w:bottom w:val="single" w:color="auto" w:sz="4" w:space="0"/>
              <w:right w:val="single" w:color="auto" w:sz="4" w:space="0"/>
            </w:tcBorders>
            <w:vAlign w:val="top"/>
          </w:tcPr>
          <w:p w14:paraId="377D153B">
            <w:pPr>
              <w:pStyle w:val="30"/>
              <w:spacing w:before="0" w:beforeAutospacing="0" w:after="0" w:afterAutospacing="0" w:line="500" w:lineRule="exact"/>
              <w:rPr>
                <w:rFonts w:hint="eastAsia" w:ascii="宋体" w:hAnsi="宋体" w:cs="宋体"/>
                <w:color w:val="auto"/>
                <w:sz w:val="24"/>
                <w:szCs w:val="24"/>
                <w:highlight w:val="none"/>
              </w:rPr>
            </w:pPr>
            <w:r>
              <w:rPr>
                <w:rFonts w:hint="eastAsia" w:ascii="宋体" w:hAnsi="宋体" w:eastAsia="宋体" w:cs="宋体"/>
                <w:color w:val="auto"/>
                <w:highlight w:val="none"/>
              </w:rPr>
              <w:t>本项目为电子化、无纸化交易项目，开标时不再递交纸质投标文件，中标单位签订合同前需向</w:t>
            </w:r>
            <w:r>
              <w:rPr>
                <w:rFonts w:hint="eastAsia" w:cs="宋体"/>
                <w:color w:val="auto"/>
                <w:highlight w:val="none"/>
                <w:lang w:eastAsia="zh-CN"/>
              </w:rPr>
              <w:t>采购人</w:t>
            </w:r>
            <w:r>
              <w:rPr>
                <w:rFonts w:hint="eastAsia" w:ascii="宋体" w:hAnsi="宋体" w:eastAsia="宋体" w:cs="宋体"/>
                <w:color w:val="auto"/>
                <w:highlight w:val="none"/>
              </w:rPr>
              <w:t>递交叁份与电子化投标文件相同的纸质投标文件（一正两副），投标文件应按以下要求装订：胶装（不得采用活页装订），应有目录</w:t>
            </w:r>
            <w:r>
              <w:rPr>
                <w:rFonts w:hint="eastAsia" w:ascii="宋体" w:hAnsi="宋体" w:eastAsia="宋体" w:cs="宋体"/>
                <w:b/>
                <w:bCs/>
                <w:color w:val="auto"/>
                <w:highlight w:val="none"/>
              </w:rPr>
              <w:t>。</w:t>
            </w:r>
          </w:p>
        </w:tc>
      </w:tr>
      <w:tr w14:paraId="53AF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F197CD2">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2076CA61">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电子化投标文件上传</w:t>
            </w:r>
          </w:p>
        </w:tc>
        <w:tc>
          <w:tcPr>
            <w:tcW w:w="6803" w:type="dxa"/>
            <w:tcBorders>
              <w:top w:val="single" w:color="auto" w:sz="4" w:space="0"/>
              <w:left w:val="nil"/>
              <w:bottom w:val="single" w:color="auto" w:sz="4" w:space="0"/>
              <w:right w:val="single" w:color="auto" w:sz="4" w:space="0"/>
            </w:tcBorders>
            <w:vAlign w:val="center"/>
          </w:tcPr>
          <w:p w14:paraId="26530527">
            <w:pPr>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14:paraId="22656783">
            <w:pPr>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2.电子化投标文件应在投标截止时间前成功上传至三门峡市公共资源电子化交易系统。至投标截止时间止，仍未上传成功的电子化投标文件将不予接收。</w:t>
            </w:r>
          </w:p>
          <w:p w14:paraId="5C4F6C7D">
            <w:pPr>
              <w:keepLines/>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tc>
      </w:tr>
      <w:tr w14:paraId="0598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5A46BB2">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17E61865">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开标时间和</w:t>
            </w:r>
          </w:p>
          <w:p w14:paraId="0607464A">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地点</w:t>
            </w:r>
          </w:p>
        </w:tc>
        <w:tc>
          <w:tcPr>
            <w:tcW w:w="6803" w:type="dxa"/>
            <w:tcBorders>
              <w:top w:val="single" w:color="auto" w:sz="4" w:space="0"/>
              <w:left w:val="nil"/>
              <w:bottom w:val="single" w:color="auto" w:sz="4" w:space="0"/>
              <w:right w:val="single" w:color="auto" w:sz="4" w:space="0"/>
            </w:tcBorders>
            <w:vAlign w:val="center"/>
          </w:tcPr>
          <w:p w14:paraId="6CF8ADF3">
            <w:pPr>
              <w:keepLines/>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03</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lang w:eastAsia="zh-CN"/>
              </w:rPr>
              <w:t>日08时30分</w:t>
            </w:r>
            <w:r>
              <w:rPr>
                <w:rFonts w:hint="eastAsia" w:ascii="宋体" w:hAnsi="宋体" w:cs="宋体"/>
                <w:color w:val="auto"/>
                <w:sz w:val="24"/>
                <w:szCs w:val="24"/>
                <w:highlight w:val="none"/>
              </w:rPr>
              <w:t>（北京时间）</w:t>
            </w:r>
          </w:p>
          <w:p w14:paraId="17C91080">
            <w:pPr>
              <w:keepLines/>
              <w:spacing w:line="360" w:lineRule="auto"/>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4"/>
                <w:highlight w:val="none"/>
                <w:lang w:eastAsia="zh-CN"/>
              </w:rPr>
              <w:t>灵宝市公共资源交易中心开标</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室、评标</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室（灵宝市金城大道农村信用联社12楼）</w:t>
            </w:r>
            <w:r>
              <w:rPr>
                <w:rFonts w:hint="eastAsia" w:ascii="宋体" w:hAnsi="宋体" w:cs="宋体"/>
                <w:color w:val="auto"/>
                <w:sz w:val="24"/>
                <w:szCs w:val="24"/>
                <w:highlight w:val="none"/>
              </w:rPr>
              <w:t>。</w:t>
            </w:r>
          </w:p>
        </w:tc>
      </w:tr>
      <w:tr w14:paraId="4368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8F22928">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420B5F60">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开标程序</w:t>
            </w:r>
          </w:p>
        </w:tc>
        <w:tc>
          <w:tcPr>
            <w:tcW w:w="6803" w:type="dxa"/>
            <w:tcBorders>
              <w:top w:val="single" w:color="auto" w:sz="4" w:space="0"/>
              <w:left w:val="nil"/>
              <w:bottom w:val="single" w:color="auto" w:sz="4" w:space="0"/>
              <w:right w:val="single" w:color="auto" w:sz="4" w:space="0"/>
            </w:tcBorders>
            <w:vAlign w:val="center"/>
          </w:tcPr>
          <w:p w14:paraId="4A6AC58F">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、本项目采用电子开评标系统，投标人应当在开标时间前，登录到三门峡市公共资源电子招投标交易平台→点击进入“不见面开标大厅”→找到相应的项目→在线准时参加开标活动。</w:t>
            </w:r>
          </w:p>
          <w:p w14:paraId="2619247A">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2</w:t>
            </w:r>
            <w:r>
              <w:rPr>
                <w:rFonts w:hint="eastAsia" w:ascii="Times New Roman" w:hAnsi="Times New Roman"/>
                <w:color w:val="auto"/>
                <w:sz w:val="24"/>
                <w:szCs w:val="24"/>
                <w:highlight w:val="none"/>
                <w:shd w:val="clear" w:color="auto" w:fill="FFFFFF"/>
                <w:lang w:bidi="ar"/>
              </w:rPr>
              <w:t>、公布在投标截止时间前提交投标文件的供应商名单；</w:t>
            </w:r>
          </w:p>
          <w:p w14:paraId="54096C9A">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3</w:t>
            </w:r>
            <w:r>
              <w:rPr>
                <w:rFonts w:hint="eastAsia" w:ascii="Times New Roman" w:hAnsi="Times New Roman"/>
                <w:color w:val="auto"/>
                <w:sz w:val="24"/>
                <w:szCs w:val="24"/>
                <w:highlight w:val="none"/>
                <w:shd w:val="clear" w:color="auto" w:fill="FFFFFF"/>
                <w:lang w:bidi="ar"/>
              </w:rPr>
              <w:t>、投标人通过电子招标投标交易平台对已递交的电子投标文件进行解密；</w:t>
            </w:r>
          </w:p>
          <w:p w14:paraId="0AF3E38B">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4</w:t>
            </w:r>
            <w:r>
              <w:rPr>
                <w:rFonts w:hint="eastAsia" w:ascii="Times New Roman" w:hAnsi="Times New Roman"/>
                <w:color w:val="auto"/>
                <w:sz w:val="24"/>
                <w:szCs w:val="24"/>
                <w:highlight w:val="none"/>
                <w:shd w:val="clear" w:color="auto" w:fill="FFFFFF"/>
                <w:lang w:bidi="ar"/>
              </w:rPr>
              <w:t>、系统导入电子投标文件；</w:t>
            </w:r>
          </w:p>
          <w:p w14:paraId="36588AFE">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5</w:t>
            </w:r>
            <w:r>
              <w:rPr>
                <w:rFonts w:hint="eastAsia" w:ascii="Times New Roman" w:hAnsi="Times New Roman"/>
                <w:color w:val="auto"/>
                <w:sz w:val="24"/>
                <w:szCs w:val="24"/>
                <w:highlight w:val="none"/>
                <w:shd w:val="clear" w:color="auto" w:fill="FFFFFF"/>
                <w:lang w:bidi="ar"/>
              </w:rPr>
              <w:t>、采购人或采购代理机构将通过“电子开标系统”按照顺序公布供应商名称、投标报价和招标文件规定的需要公布的其他内容；</w:t>
            </w:r>
          </w:p>
          <w:p w14:paraId="3EE3D102">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6</w:t>
            </w:r>
            <w:r>
              <w:rPr>
                <w:rFonts w:hint="eastAsia" w:ascii="Times New Roman" w:hAnsi="Times New Roman"/>
                <w:color w:val="auto"/>
                <w:sz w:val="24"/>
                <w:szCs w:val="24"/>
                <w:highlight w:val="none"/>
                <w:shd w:val="clear" w:color="auto" w:fill="FFFFFF"/>
                <w:lang w:bidi="ar"/>
              </w:rPr>
              <w:t>、投标人代表对开标过程和开标记录有无异议：投标人如有异议，须按要求在规定时间内通过系统提出，由监督人代表现场核查并及时处理；否则视为该投标人认可开标过程及开标记录；投标人未参加开标的，视为认可开标结果。</w:t>
            </w:r>
          </w:p>
          <w:p w14:paraId="54B5A2AD">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7</w:t>
            </w:r>
            <w:r>
              <w:rPr>
                <w:rFonts w:hint="eastAsia" w:ascii="Times New Roman" w:hAnsi="Times New Roman"/>
                <w:color w:val="auto"/>
                <w:sz w:val="24"/>
                <w:szCs w:val="24"/>
                <w:highlight w:val="none"/>
                <w:shd w:val="clear" w:color="auto" w:fill="FFFFFF"/>
                <w:lang w:bidi="ar"/>
              </w:rPr>
              <w:t>、开标结束。</w:t>
            </w:r>
          </w:p>
          <w:p w14:paraId="7FD0E637">
            <w:pPr>
              <w:spacing w:line="400" w:lineRule="exact"/>
              <w:ind w:firstLine="482" w:firstLineChars="200"/>
              <w:jc w:val="left"/>
              <w:rPr>
                <w:rFonts w:ascii="Times New Roman" w:hAnsi="Times New Roman"/>
                <w:b/>
                <w:bCs/>
                <w:color w:val="auto"/>
                <w:sz w:val="24"/>
                <w:szCs w:val="24"/>
                <w:highlight w:val="none"/>
                <w:shd w:val="clear" w:color="auto" w:fill="FFFFFF"/>
                <w:lang w:bidi="ar"/>
              </w:rPr>
            </w:pPr>
            <w:r>
              <w:rPr>
                <w:rFonts w:hint="eastAsia" w:ascii="Times New Roman" w:hAnsi="Times New Roman"/>
                <w:b/>
                <w:bCs/>
                <w:color w:val="auto"/>
                <w:sz w:val="24"/>
                <w:szCs w:val="24"/>
                <w:highlight w:val="none"/>
                <w:shd w:val="clear" w:color="auto" w:fill="FFFFFF"/>
                <w:lang w:bidi="ar"/>
              </w:rPr>
              <w:t>注：</w:t>
            </w:r>
            <w:r>
              <w:rPr>
                <w:rFonts w:ascii="Times New Roman" w:hAnsi="Times New Roman"/>
                <w:b/>
                <w:bCs/>
                <w:color w:val="auto"/>
                <w:sz w:val="24"/>
                <w:szCs w:val="24"/>
                <w:highlight w:val="none"/>
                <w:shd w:val="clear" w:color="auto" w:fill="FFFFFF"/>
                <w:lang w:bidi="ar"/>
              </w:rPr>
              <w:t>1.</w:t>
            </w:r>
            <w:r>
              <w:rPr>
                <w:rFonts w:hint="eastAsia" w:ascii="Times New Roman" w:hAnsi="Times New Roman"/>
                <w:b/>
                <w:bCs/>
                <w:color w:val="auto"/>
                <w:sz w:val="24"/>
                <w:szCs w:val="24"/>
                <w:highlight w:val="none"/>
                <w:shd w:val="clear" w:color="auto" w:fill="FFFFFF"/>
                <w:lang w:bidi="ar"/>
              </w:rPr>
              <w:t>本项目采用电子化、无纸化进行招标，开标当日，投标供应商无需到开标现场参加开标会议，投标供应商应当在投标截止时间前，登录三门峡市公共资源交易中心电子交易平台，</w:t>
            </w:r>
            <w:r>
              <w:rPr>
                <w:rFonts w:hint="eastAsia" w:ascii="Times New Roman" w:hAnsi="Times New Roman"/>
                <w:b/>
                <w:color w:val="auto"/>
                <w:sz w:val="24"/>
                <w:highlight w:val="none"/>
              </w:rPr>
              <w:t>点击【不见面开标大厅】按钮进入，在线准时参加开标活动并进行投标文件解密等。或者直接</w:t>
            </w:r>
            <w:r>
              <w:rPr>
                <w:rFonts w:hint="eastAsia" w:ascii="Times New Roman" w:hAnsi="Times New Roman"/>
                <w:b/>
                <w:bCs/>
                <w:color w:val="auto"/>
                <w:sz w:val="24"/>
                <w:szCs w:val="24"/>
                <w:highlight w:val="none"/>
                <w:shd w:val="clear" w:color="auto" w:fill="FFFFFF"/>
                <w:lang w:bidi="ar"/>
              </w:rPr>
              <w:t>登陆不见面开标大厅选择登陆三门峡市公共资源电子招投标系统进行登陆（网址为</w:t>
            </w:r>
            <w:r>
              <w:rPr>
                <w:rFonts w:ascii="Times New Roman" w:hAnsi="Times New Roman"/>
                <w:b/>
                <w:bCs/>
                <w:color w:val="auto"/>
                <w:sz w:val="24"/>
                <w:szCs w:val="24"/>
                <w:highlight w:val="none"/>
                <w:shd w:val="clear" w:color="auto" w:fill="FFFFFF"/>
                <w:lang w:bidi="ar"/>
              </w:rPr>
              <w:t>http</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//120.194.249.36</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10094/BidOpening/bidopeninghallaction/hall/login</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w:t>
            </w:r>
            <w:r>
              <w:rPr>
                <w:rFonts w:hint="eastAsia" w:ascii="Times New Roman" w:hAnsi="Times New Roman"/>
                <w:b/>
                <w:bCs/>
                <w:color w:val="auto"/>
                <w:sz w:val="24"/>
                <w:szCs w:val="24"/>
                <w:highlight w:val="none"/>
                <w:shd w:val="clear" w:color="auto" w:fill="FFFFFF"/>
                <w:lang w:bidi="ar"/>
              </w:rPr>
              <w:t>在线准时参加开标活动并进行投标文件解密等。</w:t>
            </w:r>
          </w:p>
          <w:p w14:paraId="2C3320B7">
            <w:pPr>
              <w:keepLines/>
              <w:spacing w:line="400" w:lineRule="exact"/>
              <w:jc w:val="left"/>
              <w:rPr>
                <w:rFonts w:hint="eastAsia" w:ascii="宋体" w:hAnsi="宋体" w:cs="宋体"/>
                <w:color w:val="auto"/>
                <w:kern w:val="0"/>
                <w:sz w:val="24"/>
                <w:szCs w:val="24"/>
                <w:highlight w:val="none"/>
              </w:rPr>
            </w:pPr>
            <w:r>
              <w:rPr>
                <w:rFonts w:ascii="Times New Roman" w:hAnsi="Times New Roman"/>
                <w:b/>
                <w:bCs/>
                <w:color w:val="auto"/>
                <w:sz w:val="24"/>
                <w:szCs w:val="24"/>
                <w:highlight w:val="none"/>
                <w:shd w:val="clear" w:color="auto" w:fill="FFFFFF"/>
                <w:lang w:bidi="ar"/>
              </w:rPr>
              <w:t>2.</w:t>
            </w:r>
            <w:r>
              <w:rPr>
                <w:rFonts w:hint="eastAsia" w:ascii="Times New Roman" w:hAnsi="Times New Roman"/>
                <w:b/>
                <w:bCs/>
                <w:color w:val="auto"/>
                <w:sz w:val="24"/>
                <w:szCs w:val="24"/>
                <w:highlight w:val="none"/>
                <w:shd w:val="clear" w:color="auto" w:fill="FFFFFF"/>
                <w:lang w:bidi="ar"/>
              </w:rPr>
              <w:t>投标文件采用一次加密方式。开标时，由投标供应商使用</w:t>
            </w:r>
            <w:r>
              <w:rPr>
                <w:rFonts w:ascii="Times New Roman" w:hAnsi="Times New Roman"/>
                <w:b/>
                <w:bCs/>
                <w:color w:val="auto"/>
                <w:sz w:val="24"/>
                <w:szCs w:val="24"/>
                <w:highlight w:val="none"/>
                <w:shd w:val="clear" w:color="auto" w:fill="FFFFFF"/>
                <w:lang w:bidi="ar"/>
              </w:rPr>
              <w:t>CA</w:t>
            </w:r>
            <w:r>
              <w:rPr>
                <w:rFonts w:hint="eastAsia" w:ascii="Times New Roman" w:hAnsi="Times New Roman"/>
                <w:b/>
                <w:bCs/>
                <w:color w:val="auto"/>
                <w:sz w:val="24"/>
                <w:szCs w:val="24"/>
                <w:highlight w:val="none"/>
                <w:shd w:val="clear" w:color="auto" w:fill="FFFFFF"/>
                <w:lang w:bidi="ar"/>
              </w:rPr>
              <w:t>证书，在规定时间内对其电子化投标文件进行解密。每位投标供应商的解密时间为开标时间起</w:t>
            </w:r>
            <w:r>
              <w:rPr>
                <w:rFonts w:ascii="Times New Roman" w:hAnsi="Times New Roman"/>
                <w:b/>
                <w:bCs/>
                <w:color w:val="auto"/>
                <w:sz w:val="24"/>
                <w:szCs w:val="24"/>
                <w:highlight w:val="none"/>
                <w:shd w:val="clear" w:color="auto" w:fill="FFFFFF"/>
                <w:lang w:bidi="ar"/>
              </w:rPr>
              <w:t>30</w:t>
            </w:r>
            <w:r>
              <w:rPr>
                <w:rFonts w:hint="eastAsia" w:ascii="Times New Roman" w:hAnsi="Times New Roman"/>
                <w:b/>
                <w:bCs/>
                <w:color w:val="auto"/>
                <w:sz w:val="24"/>
                <w:szCs w:val="24"/>
                <w:highlight w:val="none"/>
                <w:shd w:val="clear" w:color="auto" w:fill="FFFFFF"/>
                <w:lang w:bidi="ar"/>
              </w:rPr>
              <w:t>分钟内，如在规定时间内未完成解密的，其投标文件不予开标、唱标。每位投标人的解密时间为开标时间起</w:t>
            </w:r>
            <w:r>
              <w:rPr>
                <w:rFonts w:ascii="Times New Roman" w:hAnsi="Times New Roman"/>
                <w:b/>
                <w:bCs/>
                <w:color w:val="auto"/>
                <w:sz w:val="24"/>
                <w:szCs w:val="24"/>
                <w:highlight w:val="none"/>
                <w:shd w:val="clear" w:color="auto" w:fill="FFFFFF"/>
                <w:lang w:bidi="ar"/>
              </w:rPr>
              <w:t>30</w:t>
            </w:r>
            <w:r>
              <w:rPr>
                <w:rFonts w:hint="eastAsia" w:ascii="Times New Roman" w:hAnsi="Times New Roman"/>
                <w:b/>
                <w:bCs/>
                <w:color w:val="auto"/>
                <w:sz w:val="24"/>
                <w:szCs w:val="24"/>
                <w:highlight w:val="none"/>
                <w:shd w:val="clear" w:color="auto" w:fill="FFFFFF"/>
                <w:lang w:bidi="ar"/>
              </w:rPr>
              <w:t>分钟内完成。</w:t>
            </w:r>
          </w:p>
        </w:tc>
      </w:tr>
      <w:tr w14:paraId="477E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F00CF25">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835EE47">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偏离</w:t>
            </w:r>
          </w:p>
        </w:tc>
        <w:tc>
          <w:tcPr>
            <w:tcW w:w="6803" w:type="dxa"/>
            <w:tcBorders>
              <w:top w:val="single" w:color="auto" w:sz="4" w:space="0"/>
              <w:left w:val="nil"/>
              <w:bottom w:val="single" w:color="auto" w:sz="4" w:space="0"/>
              <w:right w:val="single" w:color="auto" w:sz="4" w:space="0"/>
            </w:tcBorders>
            <w:vAlign w:val="center"/>
          </w:tcPr>
          <w:p w14:paraId="38A57464">
            <w:pPr>
              <w:keepLines/>
              <w:spacing w:line="360" w:lineRule="auto"/>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允许（重大负偏离除外）。</w:t>
            </w:r>
          </w:p>
        </w:tc>
      </w:tr>
      <w:tr w14:paraId="3B60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993" w:type="dxa"/>
            <w:tcBorders>
              <w:top w:val="single" w:color="auto" w:sz="4" w:space="0"/>
              <w:left w:val="single" w:color="auto" w:sz="4" w:space="0"/>
              <w:bottom w:val="single" w:color="auto" w:sz="4" w:space="0"/>
              <w:right w:val="single" w:color="auto" w:sz="4" w:space="0"/>
            </w:tcBorders>
            <w:vAlign w:val="center"/>
          </w:tcPr>
          <w:p w14:paraId="2907CAF8">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8C09B82">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评标委员会</w:t>
            </w:r>
          </w:p>
          <w:p w14:paraId="6CB87226">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的组建</w:t>
            </w:r>
          </w:p>
        </w:tc>
        <w:tc>
          <w:tcPr>
            <w:tcW w:w="6803" w:type="dxa"/>
            <w:tcBorders>
              <w:top w:val="single" w:color="auto" w:sz="4" w:space="0"/>
              <w:left w:val="nil"/>
              <w:bottom w:val="single" w:color="auto" w:sz="4" w:space="0"/>
              <w:right w:val="single" w:color="auto" w:sz="4" w:space="0"/>
            </w:tcBorders>
            <w:vAlign w:val="center"/>
          </w:tcPr>
          <w:p w14:paraId="766F9BE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人，其中采购人代表</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人，专家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人；</w:t>
            </w:r>
          </w:p>
          <w:p w14:paraId="241A7D15">
            <w:pPr>
              <w:spacing w:line="360" w:lineRule="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评标专家确定方式：从河南省政府采购</w:t>
            </w: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专家库中随机抽取</w:t>
            </w:r>
            <w:r>
              <w:rPr>
                <w:rFonts w:hint="eastAsia" w:ascii="宋体" w:hAnsi="宋体" w:cs="宋体"/>
                <w:color w:val="auto"/>
                <w:sz w:val="24"/>
                <w:szCs w:val="24"/>
                <w:highlight w:val="none"/>
                <w:lang w:eastAsia="zh-CN"/>
              </w:rPr>
              <w:t>。</w:t>
            </w:r>
          </w:p>
          <w:p w14:paraId="2621C3D2">
            <w:pPr>
              <w:spacing w:line="360" w:lineRule="auto"/>
              <w:rPr>
                <w:rFonts w:hint="eastAsia" w:ascii="宋体" w:hAnsi="宋体" w:cs="宋体"/>
                <w:color w:val="auto"/>
                <w:sz w:val="24"/>
                <w:szCs w:val="24"/>
                <w:highlight w:val="none"/>
                <w:lang w:eastAsia="zh-CN"/>
              </w:rPr>
            </w:pPr>
            <w:r>
              <w:rPr>
                <w:rFonts w:hint="eastAsia" w:ascii="宋体" w:hAnsi="宋体" w:eastAsia="宋体" w:cs="宋体"/>
                <w:color w:val="auto"/>
                <w:sz w:val="24"/>
                <w:highlight w:val="none"/>
              </w:rPr>
              <w:t>根据省政府关于评标专家的有关管理规定，业主评委</w:t>
            </w:r>
            <w:r>
              <w:rPr>
                <w:rFonts w:hint="eastAsia" w:ascii="宋体" w:hAnsi="宋体" w:cs="宋体"/>
                <w:color w:val="auto"/>
                <w:sz w:val="24"/>
                <w:highlight w:val="none"/>
                <w:lang w:val="en-US" w:eastAsia="zh-CN"/>
              </w:rPr>
              <w:t>无</w:t>
            </w:r>
            <w:r>
              <w:rPr>
                <w:rFonts w:hint="eastAsia" w:ascii="宋体" w:hAnsi="宋体" w:eastAsia="宋体" w:cs="宋体"/>
                <w:color w:val="auto"/>
                <w:sz w:val="24"/>
                <w:highlight w:val="none"/>
              </w:rPr>
              <w:t>评标劳务费</w:t>
            </w:r>
            <w:r>
              <w:rPr>
                <w:rFonts w:hint="eastAsia" w:ascii="宋体" w:hAnsi="宋体" w:cs="宋体"/>
                <w:color w:val="auto"/>
                <w:sz w:val="24"/>
                <w:highlight w:val="none"/>
                <w:lang w:eastAsia="zh-CN"/>
              </w:rPr>
              <w:t>。</w:t>
            </w:r>
          </w:p>
        </w:tc>
      </w:tr>
      <w:tr w14:paraId="60FD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93" w:type="dxa"/>
            <w:tcBorders>
              <w:top w:val="single" w:color="auto" w:sz="4" w:space="0"/>
              <w:left w:val="single" w:color="auto" w:sz="4" w:space="0"/>
              <w:bottom w:val="single" w:color="auto" w:sz="4" w:space="0"/>
              <w:right w:val="single" w:color="auto" w:sz="4" w:space="0"/>
            </w:tcBorders>
            <w:vAlign w:val="center"/>
          </w:tcPr>
          <w:p w14:paraId="11B34310">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DDCC3E8">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是否授权评标委员会确定中标供应商</w:t>
            </w:r>
          </w:p>
        </w:tc>
        <w:tc>
          <w:tcPr>
            <w:tcW w:w="6803" w:type="dxa"/>
            <w:tcBorders>
              <w:top w:val="single" w:color="auto" w:sz="4" w:space="0"/>
              <w:left w:val="nil"/>
              <w:bottom w:val="single" w:color="auto" w:sz="4" w:space="0"/>
              <w:right w:val="single" w:color="auto" w:sz="4" w:space="0"/>
            </w:tcBorders>
            <w:vAlign w:val="center"/>
          </w:tcPr>
          <w:p w14:paraId="78F407E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否，评标委员会原则上推荐3名中标候选人并排序；</w:t>
            </w:r>
          </w:p>
        </w:tc>
      </w:tr>
      <w:tr w14:paraId="5FC9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93" w:type="dxa"/>
            <w:tcBorders>
              <w:top w:val="single" w:color="auto" w:sz="4" w:space="0"/>
              <w:left w:val="single" w:color="auto" w:sz="4" w:space="0"/>
              <w:bottom w:val="single" w:color="auto" w:sz="4" w:space="0"/>
              <w:right w:val="single" w:color="auto" w:sz="4" w:space="0"/>
            </w:tcBorders>
            <w:vAlign w:val="center"/>
          </w:tcPr>
          <w:p w14:paraId="54B1863C">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F254ABE">
            <w:pPr>
              <w:autoSpaceDE w:val="0"/>
              <w:autoSpaceDN w:val="0"/>
              <w:adjustRightInd w:val="0"/>
              <w:spacing w:line="360" w:lineRule="auto"/>
              <w:jc w:val="center"/>
              <w:rPr>
                <w:rFonts w:hint="eastAsia" w:ascii="宋体" w:hAnsi="宋体" w:cs="宋体"/>
                <w:color w:val="auto"/>
                <w:kern w:val="0"/>
                <w:sz w:val="24"/>
                <w:szCs w:val="24"/>
                <w:highlight w:val="none"/>
              </w:rPr>
            </w:pPr>
            <w:r>
              <w:rPr>
                <w:rFonts w:hint="eastAsia" w:ascii="宋体" w:hAnsi="宋体" w:eastAsia="宋体" w:cs="宋体"/>
                <w:color w:val="auto"/>
                <w:sz w:val="24"/>
                <w:highlight w:val="none"/>
              </w:rPr>
              <w:t>中标公示媒介及期限</w:t>
            </w:r>
          </w:p>
        </w:tc>
        <w:tc>
          <w:tcPr>
            <w:tcW w:w="6803" w:type="dxa"/>
            <w:tcBorders>
              <w:top w:val="single" w:color="auto" w:sz="4" w:space="0"/>
              <w:left w:val="nil"/>
              <w:bottom w:val="single" w:color="auto" w:sz="4" w:space="0"/>
              <w:right w:val="single" w:color="auto" w:sz="4" w:space="0"/>
            </w:tcBorders>
            <w:vAlign w:val="center"/>
          </w:tcPr>
          <w:p w14:paraId="2315E1D0">
            <w:pPr>
              <w:autoSpaceDE w:val="0"/>
              <w:autoSpaceDN w:val="0"/>
              <w:adjustRightIn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公示媒介：同招标公告发布媒介</w:t>
            </w:r>
          </w:p>
          <w:p w14:paraId="6F614A54">
            <w:pPr>
              <w:autoSpaceDE w:val="0"/>
              <w:autoSpaceDN w:val="0"/>
              <w:adjustRightInd w:val="0"/>
              <w:spacing w:line="360" w:lineRule="auto"/>
              <w:rPr>
                <w:rFonts w:hint="eastAsia" w:ascii="宋体" w:hAnsi="宋体" w:cs="宋体"/>
                <w:color w:val="auto"/>
                <w:sz w:val="24"/>
                <w:szCs w:val="24"/>
                <w:highlight w:val="none"/>
              </w:rPr>
            </w:pPr>
            <w:r>
              <w:rPr>
                <w:rFonts w:hint="eastAsia" w:ascii="宋体" w:hAnsi="宋体" w:eastAsia="宋体" w:cs="宋体"/>
                <w:color w:val="auto"/>
                <w:sz w:val="24"/>
                <w:highlight w:val="none"/>
              </w:rPr>
              <w:t>公示期限：</w:t>
            </w:r>
            <w:r>
              <w:rPr>
                <w:rFonts w:hint="eastAsia" w:ascii="宋体" w:hAnsi="宋体" w:cs="宋体"/>
                <w:color w:val="auto"/>
                <w:sz w:val="24"/>
                <w:highlight w:val="none"/>
                <w:u w:val="single"/>
                <w:lang w:val="en-US" w:eastAsia="zh-CN"/>
              </w:rPr>
              <w:t xml:space="preserve"> 1  </w:t>
            </w:r>
            <w:r>
              <w:rPr>
                <w:rFonts w:hint="eastAsia" w:ascii="宋体" w:hAnsi="宋体" w:eastAsia="宋体" w:cs="宋体"/>
                <w:color w:val="auto"/>
                <w:sz w:val="24"/>
                <w:highlight w:val="none"/>
              </w:rPr>
              <w:t>日</w:t>
            </w:r>
          </w:p>
        </w:tc>
      </w:tr>
      <w:tr w14:paraId="3375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E0439A9">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012482BD">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履约保证金</w:t>
            </w:r>
          </w:p>
        </w:tc>
        <w:tc>
          <w:tcPr>
            <w:tcW w:w="6803" w:type="dxa"/>
            <w:tcBorders>
              <w:top w:val="single" w:color="auto" w:sz="4" w:space="0"/>
              <w:left w:val="nil"/>
              <w:bottom w:val="single" w:color="auto" w:sz="4" w:space="0"/>
              <w:right w:val="single" w:color="auto" w:sz="4" w:space="0"/>
            </w:tcBorders>
            <w:vAlign w:val="center"/>
          </w:tcPr>
          <w:p w14:paraId="794C5627">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本项目不收取履约保证金。如供应商违反政府采购合同约定给采购人造成损失的,采购人按照合同约定,要求供应商承担赔偿责任。</w:t>
            </w:r>
          </w:p>
        </w:tc>
      </w:tr>
      <w:tr w14:paraId="5AB4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14:paraId="5E610B37">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2EDB350">
            <w:pPr>
              <w:keepLines/>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无效标条件</w:t>
            </w:r>
          </w:p>
        </w:tc>
        <w:tc>
          <w:tcPr>
            <w:tcW w:w="6803" w:type="dxa"/>
            <w:tcBorders>
              <w:top w:val="single" w:color="auto" w:sz="4" w:space="0"/>
              <w:left w:val="nil"/>
              <w:bottom w:val="single" w:color="auto" w:sz="4" w:space="0"/>
              <w:right w:val="single" w:color="auto" w:sz="4" w:space="0"/>
            </w:tcBorders>
            <w:vAlign w:val="center"/>
          </w:tcPr>
          <w:p w14:paraId="372CDE4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1.电子化投标文件附有采购人不能接受的条件的；</w:t>
            </w:r>
          </w:p>
          <w:p w14:paraId="4C6340F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2.投标报价高于招标文件中投标最高限价的；</w:t>
            </w:r>
          </w:p>
          <w:p w14:paraId="6A6A19A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3.以他人的名义投标、串通投标、以行贿手段谋取中标或者以其他弄虚作假方式投标的；</w:t>
            </w:r>
          </w:p>
          <w:p w14:paraId="509BDA2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4.采取不正当手段谋取中标的。</w:t>
            </w:r>
          </w:p>
        </w:tc>
      </w:tr>
      <w:tr w14:paraId="7FB4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14:paraId="0EF14AB7">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4228092C">
            <w:pPr>
              <w:keepLines/>
              <w:spacing w:line="360" w:lineRule="auto"/>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投标最高限价</w:t>
            </w:r>
          </w:p>
        </w:tc>
        <w:tc>
          <w:tcPr>
            <w:tcW w:w="6803" w:type="dxa"/>
            <w:tcBorders>
              <w:top w:val="single" w:color="auto" w:sz="4" w:space="0"/>
              <w:left w:val="nil"/>
              <w:bottom w:val="single" w:color="auto" w:sz="4" w:space="0"/>
              <w:right w:val="single" w:color="auto" w:sz="4" w:space="0"/>
            </w:tcBorders>
            <w:vAlign w:val="center"/>
          </w:tcPr>
          <w:p w14:paraId="7E2D572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本项目投标最高限价：</w:t>
            </w:r>
            <w:r>
              <w:rPr>
                <w:rFonts w:hint="eastAsia" w:ascii="宋体" w:hAnsi="宋体" w:cs="宋体"/>
                <w:color w:val="auto"/>
                <w:sz w:val="24"/>
                <w:szCs w:val="24"/>
                <w:highlight w:val="none"/>
                <w:lang w:val="en-US" w:eastAsia="zh-CN"/>
              </w:rPr>
              <w:t>390</w:t>
            </w:r>
            <w:r>
              <w:rPr>
                <w:rFonts w:hint="eastAsia" w:ascii="宋体" w:hAnsi="宋体" w:cs="宋体"/>
                <w:color w:val="auto"/>
                <w:sz w:val="24"/>
                <w:szCs w:val="24"/>
                <w:highlight w:val="none"/>
                <w:lang w:eastAsia="zh-CN"/>
              </w:rPr>
              <w:t>万元</w:t>
            </w:r>
            <w:r>
              <w:rPr>
                <w:rFonts w:hint="eastAsia" w:ascii="宋体" w:hAnsi="宋体" w:cs="宋体"/>
                <w:color w:val="auto"/>
                <w:sz w:val="24"/>
                <w:szCs w:val="24"/>
                <w:highlight w:val="none"/>
              </w:rPr>
              <w:t>；</w:t>
            </w:r>
          </w:p>
          <w:p w14:paraId="4895C60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凡投标供应商投标报价超出“投标最高限价”的，该投标供应商的电子化投标文件应作无效标处理。</w:t>
            </w:r>
          </w:p>
        </w:tc>
      </w:tr>
      <w:tr w14:paraId="0251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80697C2">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2F0C2487">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报价及费用</w:t>
            </w:r>
          </w:p>
        </w:tc>
        <w:tc>
          <w:tcPr>
            <w:tcW w:w="6803" w:type="dxa"/>
            <w:tcBorders>
              <w:top w:val="single" w:color="auto" w:sz="4" w:space="0"/>
              <w:left w:val="single" w:color="auto" w:sz="4" w:space="0"/>
              <w:bottom w:val="single" w:color="auto" w:sz="4" w:space="0"/>
              <w:right w:val="single" w:color="auto" w:sz="4" w:space="0"/>
            </w:tcBorders>
            <w:vAlign w:val="center"/>
          </w:tcPr>
          <w:p w14:paraId="76175BA0">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1．本项目应以人民币报价，供应商应就该项目完整投标（报价、服务、税费、售后服务等综合费用），采购人不另外支付其他任何费用；</w:t>
            </w:r>
          </w:p>
          <w:p w14:paraId="0C58A6E2">
            <w:pPr>
              <w:keepLines/>
              <w:spacing w:line="360" w:lineRule="auto"/>
              <w:rPr>
                <w:rFonts w:hint="eastAsia"/>
                <w:color w:val="auto"/>
                <w:highlight w:val="none"/>
              </w:rPr>
            </w:pPr>
            <w:r>
              <w:rPr>
                <w:rFonts w:hint="eastAsia" w:ascii="宋体" w:hAnsi="宋体" w:cs="宋体"/>
                <w:color w:val="auto"/>
                <w:sz w:val="24"/>
                <w:szCs w:val="24"/>
                <w:highlight w:val="none"/>
              </w:rPr>
              <w:t>2. 招标代理服务费按《河南省招标代理服务收费指导意见（豫招协【2023】002号）》进行计取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由中标人支付。</w:t>
            </w:r>
          </w:p>
        </w:tc>
      </w:tr>
      <w:tr w14:paraId="7059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93" w:type="dxa"/>
            <w:tcBorders>
              <w:top w:val="single" w:color="auto" w:sz="4" w:space="0"/>
              <w:left w:val="single" w:color="auto" w:sz="4" w:space="0"/>
              <w:bottom w:val="single" w:color="auto" w:sz="4" w:space="0"/>
              <w:right w:val="single" w:color="auto" w:sz="4" w:space="0"/>
            </w:tcBorders>
            <w:vAlign w:val="center"/>
          </w:tcPr>
          <w:p w14:paraId="5C679A2B">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27B9B8A3">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质疑和投诉</w:t>
            </w:r>
          </w:p>
        </w:tc>
        <w:tc>
          <w:tcPr>
            <w:tcW w:w="6803" w:type="dxa"/>
            <w:tcBorders>
              <w:top w:val="single" w:color="auto" w:sz="4" w:space="0"/>
              <w:left w:val="nil"/>
              <w:bottom w:val="single" w:color="auto" w:sz="4" w:space="0"/>
              <w:right w:val="single" w:color="auto" w:sz="4" w:space="0"/>
            </w:tcBorders>
            <w:vAlign w:val="center"/>
          </w:tcPr>
          <w:p w14:paraId="63ECA310">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1.供应商认为采购文件、采购过程和中标或者成交结果使自己的权益受到损害的，可以在知道或者应知其权益受到损害之日起7个工作日内，以书面形式向采购人、采购代理机构提出质疑。</w:t>
            </w:r>
          </w:p>
          <w:p w14:paraId="1089DD3B">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提出质疑的供应商应按照财政部门制定的《政府采购质疑函范本》格式（详见中国政府采购网）和《政府采购质疑和投诉办法》的要求，在法定质疑期内以书面形式提出质疑，针对同一采购程序环节的质疑应一次性提出。</w:t>
            </w:r>
          </w:p>
          <w:p w14:paraId="40DB17D7">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超出法定质疑期的、重复提出的、分次提出的或内容、形式不符合《政府采购质疑和投诉办法》的，提出质疑的供应商将依法承担不利后果。</w:t>
            </w:r>
          </w:p>
          <w:p w14:paraId="54B0DA98">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3.质疑函接收部门、联系电话和通讯地址,见供应商须知前附表</w:t>
            </w:r>
          </w:p>
          <w:p w14:paraId="7A74A036">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4.质疑供应商对采购人、采购代理机构的答复不满意，或者采购人、采购代理机构未在规定时间内作出答复的，可以在答复期满后15个工作日内向财政部门提起投诉。</w:t>
            </w:r>
          </w:p>
          <w:p w14:paraId="36CBE4C2">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5.投诉人投诉时,应当提交投诉书和必要的证明材料，并按照被投诉采购人、采购代理机构（以下简称被投诉人）和与投诉事项有关的供应商数量提供投诉书的副本。</w:t>
            </w:r>
          </w:p>
        </w:tc>
      </w:tr>
      <w:tr w14:paraId="7CF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69CF2DB">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94BA884">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招标文件解释</w:t>
            </w:r>
          </w:p>
        </w:tc>
        <w:tc>
          <w:tcPr>
            <w:tcW w:w="6803" w:type="dxa"/>
            <w:tcBorders>
              <w:top w:val="single" w:color="auto" w:sz="4" w:space="0"/>
              <w:left w:val="nil"/>
              <w:bottom w:val="single" w:color="auto" w:sz="4" w:space="0"/>
              <w:right w:val="single" w:color="auto" w:sz="4" w:space="0"/>
            </w:tcBorders>
            <w:vAlign w:val="center"/>
          </w:tcPr>
          <w:p w14:paraId="5D0328FE">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构成本招标文件的各个组成文件应互为解释，互为说明；如有不明确或不一致，构成合同文件组成内容的，以合同文件约定内容为准，除招标文件中有特别规定外，仅适用于采购阶段的规定，按招标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5961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0F9C982">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60E90F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中标结果</w:t>
            </w:r>
          </w:p>
        </w:tc>
        <w:tc>
          <w:tcPr>
            <w:tcW w:w="6803" w:type="dxa"/>
            <w:tcBorders>
              <w:top w:val="single" w:color="auto" w:sz="4" w:space="0"/>
              <w:left w:val="nil"/>
              <w:bottom w:val="single" w:color="auto" w:sz="4" w:space="0"/>
              <w:right w:val="single" w:color="auto" w:sz="4" w:space="0"/>
            </w:tcBorders>
            <w:vAlign w:val="center"/>
          </w:tcPr>
          <w:p w14:paraId="774E5D3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val="en-US" w:eastAsia="zh-CN"/>
              </w:rPr>
              <w:t>《河南省政府采购网》、《中国采购与招标网》、《三门峡市公共资源交易中心网》</w:t>
            </w:r>
            <w:r>
              <w:rPr>
                <w:rFonts w:hint="eastAsia" w:ascii="宋体" w:hAnsi="宋体" w:cs="宋体"/>
                <w:color w:val="auto"/>
                <w:sz w:val="24"/>
                <w:szCs w:val="24"/>
                <w:highlight w:val="none"/>
              </w:rPr>
              <w:t>三个网站同步中标结果公告。</w:t>
            </w:r>
          </w:p>
          <w:p w14:paraId="51FABD6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采购人以书面形式向中标人发出中标通知书。</w:t>
            </w:r>
          </w:p>
        </w:tc>
      </w:tr>
      <w:tr w14:paraId="1E0D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D8C90D9">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7A05ACD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重新招标的其他情形</w:t>
            </w:r>
          </w:p>
        </w:tc>
        <w:tc>
          <w:tcPr>
            <w:tcW w:w="6803" w:type="dxa"/>
            <w:tcBorders>
              <w:top w:val="single" w:color="auto" w:sz="4" w:space="0"/>
              <w:left w:val="nil"/>
              <w:bottom w:val="single" w:color="auto" w:sz="4" w:space="0"/>
              <w:right w:val="single" w:color="auto" w:sz="4" w:space="0"/>
            </w:tcBorders>
            <w:vAlign w:val="center"/>
          </w:tcPr>
          <w:p w14:paraId="476CDC6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除供应商须知规定的情形外，除非已经产生中标候选人，在投标有效期内同意延长投标有效期的供应商少于三个的，采购人应当依法重新招标。</w:t>
            </w:r>
          </w:p>
        </w:tc>
      </w:tr>
      <w:tr w14:paraId="243B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8556B6C">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065A468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监督</w:t>
            </w:r>
          </w:p>
        </w:tc>
        <w:tc>
          <w:tcPr>
            <w:tcW w:w="6803" w:type="dxa"/>
            <w:tcBorders>
              <w:top w:val="single" w:color="auto" w:sz="4" w:space="0"/>
              <w:left w:val="nil"/>
              <w:bottom w:val="single" w:color="auto" w:sz="4" w:space="0"/>
              <w:right w:val="single" w:color="auto" w:sz="4" w:space="0"/>
            </w:tcBorders>
            <w:vAlign w:val="center"/>
          </w:tcPr>
          <w:p w14:paraId="41BCECD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本项目的招标投标活动及其相关当事人应当接受有管辖权的行政监督部门依法实施的监督。</w:t>
            </w:r>
          </w:p>
        </w:tc>
      </w:tr>
      <w:tr w14:paraId="6148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BB013DC">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57323A8B">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其他</w:t>
            </w:r>
          </w:p>
        </w:tc>
        <w:tc>
          <w:tcPr>
            <w:tcW w:w="6803" w:type="dxa"/>
            <w:tcBorders>
              <w:top w:val="single" w:color="auto" w:sz="4" w:space="0"/>
              <w:left w:val="nil"/>
              <w:bottom w:val="single" w:color="auto" w:sz="4" w:space="0"/>
              <w:right w:val="single" w:color="auto" w:sz="4" w:space="0"/>
            </w:tcBorders>
            <w:vAlign w:val="center"/>
          </w:tcPr>
          <w:p w14:paraId="7329442F">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bidi="en-US"/>
              </w:rPr>
              <w:t xml:space="preserve"> 本次招标实行资格后审，审查内容以投标截止时间前在三门峡市公共资源交易平台“投标文件”上传的信息为准，同时，投标人（供应商）要完善主体库。规定时间外上传或更改的信息不作为评标依据。投标文件中上传的信息真实有效，扫描件清晰可辨。否则，由此造成应得分而未得分或资格审查不合格等情况的，由供应商承担责任。</w:t>
            </w:r>
          </w:p>
          <w:p w14:paraId="78EEA663">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2.评标打分部分：评标打分部分仍按照100分制原则进行，涉及到资格审查、企业荣誉、企业业绩等计分部分时，以投标单位自行上传到投标文件中的相应内容为准。</w:t>
            </w:r>
          </w:p>
          <w:p w14:paraId="3F362AF9">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3.在招标文件中要求供应商按照投标文件格式进行投标文件编制，在投标文件编制时，应明确将供应商企业基本情况、人员情况、财务情况、业绩情况编入投标文件，便于进行资格审查及评标打分。</w:t>
            </w:r>
          </w:p>
          <w:p w14:paraId="3A993554">
            <w:pPr>
              <w:keepLine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4.我单位（采购人）严格按三财购【2021】9号文要求的时限发布中标结果公告，发出中标通知书，签订采购合同，上传采购合同。</w:t>
            </w:r>
          </w:p>
        </w:tc>
      </w:tr>
      <w:tr w14:paraId="5E60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C7A8A6A">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1003922">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电子化交易</w:t>
            </w:r>
          </w:p>
          <w:p w14:paraId="5EE4C082">
            <w:pPr>
              <w:keepLines/>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注意事项</w:t>
            </w:r>
          </w:p>
        </w:tc>
        <w:tc>
          <w:tcPr>
            <w:tcW w:w="6803" w:type="dxa"/>
            <w:tcBorders>
              <w:top w:val="single" w:color="auto" w:sz="4" w:space="0"/>
              <w:left w:val="nil"/>
              <w:bottom w:val="single" w:color="auto" w:sz="4" w:space="0"/>
              <w:right w:val="single" w:color="auto" w:sz="4" w:space="0"/>
            </w:tcBorders>
            <w:vAlign w:val="center"/>
          </w:tcPr>
          <w:p w14:paraId="300AC83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具体要求：本项目为电子化、无纸化交易项目，投标文件是投标供应商、供应商（以下简称“投标供应商”）通过中心投标文件制作系统制作，并经过签章和加密后生成的电子版投标文件。</w:t>
            </w:r>
          </w:p>
          <w:p w14:paraId="40C167AD">
            <w:pPr>
              <w:spacing w:line="360" w:lineRule="auto"/>
              <w:rPr>
                <w:rFonts w:hint="eastAsia" w:ascii="宋体" w:hAnsi="宋体" w:cs="宋体"/>
                <w:color w:val="auto"/>
                <w:sz w:val="24"/>
                <w:szCs w:val="24"/>
                <w:highlight w:val="none"/>
              </w:rPr>
            </w:pPr>
            <w:r>
              <w:rPr>
                <w:rFonts w:hint="eastAsia" w:ascii="宋体" w:hAnsi="宋体" w:cs="宋体"/>
                <w:b/>
                <w:color w:val="auto"/>
                <w:sz w:val="24"/>
                <w:szCs w:val="24"/>
                <w:highlight w:val="none"/>
              </w:rPr>
              <w:t>温馨提示：本项目为电子化、无纸化交易项目，为保证您能投标成功，请需仔细阅读以下条款。</w:t>
            </w:r>
          </w:p>
          <w:p w14:paraId="16AB54DC">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一、电子化投标</w:t>
            </w:r>
          </w:p>
          <w:p w14:paraId="724E966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（一）网上投标保证金的缴纳</w:t>
            </w:r>
          </w:p>
          <w:p w14:paraId="5A52FAF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根据《河南省财政厅关于优化政府采购营商环境有关问题的通知》（豫财购【2019】4号）第6条的规定，投标保证金不再收取。</w:t>
            </w:r>
          </w:p>
          <w:p w14:paraId="1E088BD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（二）电子化投标文件的签章</w:t>
            </w:r>
          </w:p>
          <w:p w14:paraId="4FDE7BF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1.投标供应商在生成电子化投标文件后，应对电子化投标文件进行签章，未进行签章的视为无效投标。</w:t>
            </w:r>
          </w:p>
          <w:p w14:paraId="2BCAFD8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b/>
                <w:color w:val="auto"/>
                <w:sz w:val="24"/>
                <w:szCs w:val="24"/>
                <w:highlight w:val="none"/>
              </w:rPr>
              <w:t>招标文件中要求投标供应商盖章的，以签盖单位章为准；要求法定代表人签章的，以签盖法定代表人签章为准。</w:t>
            </w:r>
          </w:p>
          <w:p w14:paraId="700A8923">
            <w:pPr>
              <w:spacing w:line="360" w:lineRule="auto"/>
              <w:rPr>
                <w:rFonts w:hint="eastAsia" w:ascii="宋体" w:hAnsi="宋体" w:cs="宋体"/>
                <w:b/>
                <w:color w:val="auto"/>
                <w:sz w:val="24"/>
                <w:szCs w:val="24"/>
                <w:highlight w:val="none"/>
              </w:rPr>
            </w:pPr>
            <w:r>
              <w:rPr>
                <w:rFonts w:hint="eastAsia" w:ascii="宋体" w:hAnsi="宋体" w:cs="宋体"/>
                <w:color w:val="auto"/>
                <w:sz w:val="24"/>
                <w:szCs w:val="24"/>
                <w:highlight w:val="none"/>
              </w:rPr>
              <w:t>（三）电子化投标文件的格式及上传投标</w:t>
            </w:r>
          </w:p>
          <w:p w14:paraId="5EAE7912">
            <w:pPr>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14:paraId="3259FF6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2.电子化投标文件应在投标截止时间前成功上传至三门峡市公共资源电子化交易系统。至投标截止时间止，仍未上传成功的电子化投标文件将不予接收。</w:t>
            </w:r>
          </w:p>
          <w:p w14:paraId="62690001">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注：</w:t>
            </w:r>
            <w:r>
              <w:rPr>
                <w:rFonts w:hint="eastAsia" w:ascii="宋体" w:hAnsi="宋体" w:cs="宋体"/>
                <w:color w:val="auto"/>
                <w:sz w:val="24"/>
                <w:szCs w:val="24"/>
                <w:highlight w:val="none"/>
              </w:rPr>
              <w:t>如按照电子化投标操作教材制作完成的电子化投标文件无法上传的，投标供应商应在</w:t>
            </w:r>
            <w:r>
              <w:rPr>
                <w:rFonts w:hint="eastAsia" w:ascii="宋体" w:hAnsi="宋体" w:cs="宋体"/>
                <w:b/>
                <w:color w:val="auto"/>
                <w:sz w:val="24"/>
                <w:szCs w:val="24"/>
                <w:highlight w:val="none"/>
              </w:rPr>
              <w:t>投标截止时间前尽早的</w:t>
            </w:r>
            <w:r>
              <w:rPr>
                <w:rFonts w:hint="eastAsia" w:ascii="宋体" w:hAnsi="宋体" w:cs="宋体"/>
                <w:color w:val="auto"/>
                <w:sz w:val="24"/>
                <w:szCs w:val="24"/>
                <w:highlight w:val="none"/>
              </w:rPr>
              <w:t>联系中心技术人员，以便有充分的时间进行处理。</w:t>
            </w:r>
            <w:r>
              <w:rPr>
                <w:rFonts w:hint="eastAsia" w:ascii="宋体" w:hAnsi="宋体" w:cs="宋体"/>
                <w:b/>
                <w:color w:val="auto"/>
                <w:sz w:val="24"/>
                <w:szCs w:val="24"/>
                <w:highlight w:val="none"/>
              </w:rPr>
              <w:t>投标供应商应充分考虑到处理技术问题和上传数据等工作所需的时间问题，投标文件未在投标截止时间前成功上传的，其投标文件不予接收。</w:t>
            </w:r>
          </w:p>
          <w:p w14:paraId="7E27B8C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新点客服电话:4009980000</w:t>
            </w:r>
          </w:p>
          <w:p w14:paraId="3E70790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（四）电子化项目开标、解密、唱标、评标</w:t>
            </w:r>
          </w:p>
          <w:p w14:paraId="6E27440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1.本项目采用</w:t>
            </w:r>
            <w:r>
              <w:rPr>
                <w:rFonts w:hint="eastAsia" w:ascii="宋体" w:hAnsi="宋体" w:cs="宋体"/>
                <w:b/>
                <w:color w:val="auto"/>
                <w:sz w:val="24"/>
                <w:szCs w:val="24"/>
                <w:highlight w:val="none"/>
              </w:rPr>
              <w:t>电子化、无纸化</w:t>
            </w:r>
            <w:r>
              <w:rPr>
                <w:rFonts w:hint="eastAsia" w:ascii="宋体" w:hAnsi="宋体" w:cs="宋体"/>
                <w:color w:val="auto"/>
                <w:sz w:val="24"/>
                <w:szCs w:val="24"/>
                <w:highlight w:val="none"/>
              </w:rPr>
              <w:t>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141A02A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2.电子化投标文件采用一次加密方式。开标时，由投标供应商使用CA 证书，在规定时间内对其电子化投标文件进行解密。每位投标供应商的解密时间为开标时间起30 分钟内，如在规定时间内未完成解密的，其投标文件不予开标、唱标。</w:t>
            </w:r>
          </w:p>
          <w:p w14:paraId="6D7EF337">
            <w:pPr>
              <w:spacing w:line="360" w:lineRule="auto"/>
              <w:rPr>
                <w:rFonts w:hint="eastAsia" w:ascii="宋体" w:hAnsi="宋体" w:cs="宋体"/>
                <w:b/>
                <w:color w:val="auto"/>
                <w:sz w:val="24"/>
                <w:szCs w:val="24"/>
                <w:highlight w:val="none"/>
              </w:rPr>
            </w:pPr>
            <w:r>
              <w:rPr>
                <w:rFonts w:hint="eastAsia" w:ascii="宋体" w:hAnsi="宋体" w:cs="宋体"/>
                <w:color w:val="auto"/>
                <w:sz w:val="24"/>
                <w:szCs w:val="24"/>
                <w:highlight w:val="none"/>
              </w:rPr>
              <w:t>3.电子化投标文件解密异常的处理</w:t>
            </w:r>
          </w:p>
          <w:p w14:paraId="3EAA15E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如出现投标供应商的电子投标文件无法解密等异常情况，投标供应商应及时致电中介服务机构说明。投标文件异常，按以下步骤进行处理：</w:t>
            </w:r>
          </w:p>
          <w:p w14:paraId="6D2E2F1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（1）首先由技术人员进行问题排查。</w:t>
            </w:r>
          </w:p>
          <w:p w14:paraId="32E94DA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（2）经技术人员排查后，是投标供应商文件自身问题导致投标文件无法解密的，该投标文件将不予接收、解密和唱标。开标会议继续进行。</w:t>
            </w:r>
          </w:p>
          <w:p w14:paraId="371C9E0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952205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4.待所有投标供应商投标文件解密完成后，由中介服务机构操作，对所有已解密投标文件进行唱标。</w:t>
            </w:r>
          </w:p>
          <w:p w14:paraId="38FA2328">
            <w:pPr>
              <w:spacing w:line="360" w:lineRule="auto"/>
              <w:rPr>
                <w:rFonts w:hint="eastAsia" w:ascii="宋体" w:hAnsi="宋体" w:cs="宋体"/>
                <w:color w:val="auto"/>
                <w:sz w:val="24"/>
                <w:szCs w:val="24"/>
                <w:highlight w:val="none"/>
              </w:rPr>
            </w:pPr>
            <w:r>
              <w:rPr>
                <w:rFonts w:hint="eastAsia" w:ascii="宋体" w:hAnsi="宋体" w:cs="宋体"/>
                <w:b/>
                <w:color w:val="auto"/>
                <w:sz w:val="24"/>
                <w:szCs w:val="24"/>
                <w:highlight w:val="none"/>
              </w:rPr>
              <w:t>投标供应商应保证在开标期间电话、电脑、网络能够正常工作，投标供应商因停电、电脑病毒、网络堵塞等原因，未在规定的解密时间内对投标文件进行解密的，其投标文件不予接收、唱标。</w:t>
            </w:r>
          </w:p>
          <w:p w14:paraId="307B4D0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5.开标时投标供应商可登录到交易系统中在开标解密栏中点击报价一览表查看自己的投标报价。如对自己的唱标内容有异议的，应在投标供应商解密成功后10分钟内向中介服务机构电话质疑。中介服务机构应在监督人员的监督下进行免提通话接受投标供应商的质疑并做好书面记录。投标供应商未在规定时间内提出质疑的，视为认可唱标内容。</w:t>
            </w:r>
          </w:p>
          <w:p w14:paraId="4DFCE98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PDF格式文件为准，并通过电子化交易系统提交至评标委员会。</w:t>
            </w:r>
          </w:p>
          <w:p w14:paraId="723DAD5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7.如评标委员会对需要回复的投标供应商连续三次致电未接通的，视为投标供应商放弃回复，评标委员会将自行对需要回复的内容进行认定。</w:t>
            </w:r>
          </w:p>
          <w:p w14:paraId="63AEB27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评标委员会对原件的核验工作按以下条款进行：</w:t>
            </w:r>
          </w:p>
          <w:p w14:paraId="5195B5EF">
            <w:pPr>
              <w:spacing w:line="360" w:lineRule="auto"/>
              <w:rPr>
                <w:rFonts w:hint="eastAsia" w:ascii="宋体" w:hAnsi="宋体" w:cs="宋体"/>
                <w:color w:val="auto"/>
                <w:sz w:val="24"/>
                <w:szCs w:val="24"/>
                <w:highlight w:val="none"/>
              </w:rPr>
            </w:pPr>
            <w:r>
              <w:rPr>
                <w:rFonts w:hint="eastAsia" w:ascii="宋体" w:hAnsi="宋体" w:cs="宋体"/>
                <w:b/>
                <w:bCs/>
                <w:color w:val="auto"/>
                <w:sz w:val="24"/>
                <w:szCs w:val="24"/>
                <w:highlight w:val="none"/>
              </w:rPr>
              <w:t>评标时，评委先查阅投标文件中是否具有该资料的原件扫描件，其上传资料真实性由供应商自行承担，同时，供应商请完善主体库。</w:t>
            </w:r>
          </w:p>
          <w:p w14:paraId="03D24B8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具体操作详见《三门峡市公共资源交易服务平台市场主体信息库操作手册》。链接地址：</w:t>
            </w:r>
          </w:p>
          <w:p w14:paraId="0EA34FD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http://gzjy.smx.gov.cn/fwzn/004003/20200325/b13aa3fa-a543-403f-b537-82cb417132bd.html</w:t>
            </w:r>
          </w:p>
          <w:p w14:paraId="6C53E30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投标供应商需应仔细阅读操作手册，保证上传内容齐全，真实有效，原件扫描件清晰可辨。因投标供应商上传原因导致应得分项而未得分或资格审查不合格等情况的，由投标供应商自行承担责任。</w:t>
            </w:r>
          </w:p>
          <w:p w14:paraId="76956788">
            <w:pPr>
              <w:keepLines/>
              <w:snapToGrid w:val="0"/>
              <w:spacing w:line="360" w:lineRule="auto"/>
              <w:rPr>
                <w:rFonts w:hint="eastAsia" w:ascii="宋体" w:hAnsi="宋体" w:cs="宋体"/>
                <w:color w:val="auto"/>
                <w:sz w:val="24"/>
                <w:szCs w:val="24"/>
                <w:highlight w:val="none"/>
              </w:rPr>
            </w:pPr>
            <w:r>
              <w:rPr>
                <w:rFonts w:hint="eastAsia" w:ascii="宋体" w:hAnsi="宋体" w:cs="宋体"/>
                <w:b/>
                <w:color w:val="auto"/>
                <w:sz w:val="24"/>
                <w:szCs w:val="24"/>
                <w:highlight w:val="none"/>
              </w:rPr>
              <w:t>提示：本项目为电子化、无纸化交易项目，为保证您能投标成功，请需仔细阅读以上条款。</w:t>
            </w:r>
          </w:p>
        </w:tc>
      </w:tr>
      <w:tr w14:paraId="62BB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22ACE4E">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bookmarkStart w:id="22" w:name="_Toc38013513"/>
            <w:bookmarkStart w:id="23" w:name="_Toc16690619"/>
            <w:bookmarkStart w:id="24" w:name="_Toc28251186"/>
          </w:p>
        </w:tc>
        <w:tc>
          <w:tcPr>
            <w:tcW w:w="1843" w:type="dxa"/>
            <w:tcBorders>
              <w:top w:val="single" w:color="auto" w:sz="4" w:space="0"/>
              <w:left w:val="nil"/>
              <w:bottom w:val="single" w:color="auto" w:sz="4" w:space="0"/>
              <w:right w:val="single" w:color="auto" w:sz="4" w:space="0"/>
            </w:tcBorders>
            <w:vAlign w:val="center"/>
          </w:tcPr>
          <w:p w14:paraId="26E368F4">
            <w:pPr>
              <w:keepLines/>
              <w:snapToGrid w:val="0"/>
              <w:spacing w:line="360" w:lineRule="auto"/>
              <w:jc w:val="center"/>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付款方式</w:t>
            </w:r>
          </w:p>
        </w:tc>
        <w:tc>
          <w:tcPr>
            <w:tcW w:w="6803" w:type="dxa"/>
            <w:tcBorders>
              <w:top w:val="single" w:color="auto" w:sz="4" w:space="0"/>
              <w:left w:val="nil"/>
              <w:bottom w:val="single" w:color="auto" w:sz="4" w:space="0"/>
              <w:right w:val="single" w:color="auto" w:sz="4" w:space="0"/>
            </w:tcBorders>
            <w:vAlign w:val="center"/>
          </w:tcPr>
          <w:p w14:paraId="7D598E86">
            <w:pPr>
              <w:keepLines/>
              <w:snapToGrid w:val="0"/>
              <w:spacing w:line="360" w:lineRule="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中标后合同中约定</w:t>
            </w:r>
          </w:p>
        </w:tc>
      </w:tr>
      <w:tr w14:paraId="35E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62675CD">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3B1750B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招标代理服务费</w:t>
            </w:r>
          </w:p>
        </w:tc>
        <w:tc>
          <w:tcPr>
            <w:tcW w:w="6803" w:type="dxa"/>
            <w:tcBorders>
              <w:top w:val="single" w:color="auto" w:sz="4" w:space="0"/>
              <w:left w:val="nil"/>
              <w:bottom w:val="single" w:color="auto" w:sz="4" w:space="0"/>
              <w:right w:val="single" w:color="auto" w:sz="4" w:space="0"/>
            </w:tcBorders>
            <w:vAlign w:val="center"/>
          </w:tcPr>
          <w:p w14:paraId="46D7C2A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本项目招标代理服务费按照河南省招标投标协会关于印发《河南省招标代理服务收费指导意见》的通知【豫招协（2023）002号】文件中招标代理服务收费标准。由中标人承担中标服务费。</w:t>
            </w:r>
          </w:p>
        </w:tc>
      </w:tr>
      <w:tr w14:paraId="6412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780143F">
            <w:pPr>
              <w:keepLines/>
              <w:numPr>
                <w:ilvl w:val="0"/>
                <w:numId w:val="1"/>
              </w:numPr>
              <w:spacing w:line="360" w:lineRule="auto"/>
              <w:ind w:left="425" w:leftChars="0" w:hanging="425" w:firstLineChars="0"/>
              <w:jc w:val="center"/>
              <w:rPr>
                <w:rFonts w:hint="eastAsia" w:ascii="宋体" w:hAnsi="宋体" w:cs="宋体"/>
                <w:color w:val="auto"/>
                <w:kern w:val="0"/>
                <w:sz w:val="24"/>
                <w:szCs w:val="24"/>
                <w:highlight w:val="none"/>
              </w:rPr>
            </w:pPr>
          </w:p>
        </w:tc>
        <w:tc>
          <w:tcPr>
            <w:tcW w:w="1843" w:type="dxa"/>
            <w:tcBorders>
              <w:top w:val="single" w:color="auto" w:sz="4" w:space="0"/>
              <w:left w:val="nil"/>
              <w:bottom w:val="single" w:color="auto" w:sz="4" w:space="0"/>
              <w:right w:val="single" w:color="auto" w:sz="4" w:space="0"/>
            </w:tcBorders>
            <w:vAlign w:val="center"/>
          </w:tcPr>
          <w:p w14:paraId="6B4A639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本项目对应的中小企业划分标准所属行业</w:t>
            </w:r>
          </w:p>
        </w:tc>
        <w:tc>
          <w:tcPr>
            <w:tcW w:w="6803" w:type="dxa"/>
            <w:tcBorders>
              <w:top w:val="single" w:color="auto" w:sz="4" w:space="0"/>
              <w:left w:val="nil"/>
              <w:bottom w:val="single" w:color="auto" w:sz="4" w:space="0"/>
              <w:right w:val="single" w:color="auto" w:sz="4" w:space="0"/>
            </w:tcBorders>
            <w:vAlign w:val="center"/>
          </w:tcPr>
          <w:p w14:paraId="09FA28DD">
            <w:pPr>
              <w:spacing w:line="36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其他未列明行业</w:t>
            </w:r>
            <w:bookmarkStart w:id="165" w:name="_GoBack"/>
            <w:bookmarkEnd w:id="165"/>
          </w:p>
        </w:tc>
      </w:tr>
    </w:tbl>
    <w:p w14:paraId="7F7E667E">
      <w:pPr>
        <w:rPr>
          <w:rFonts w:hint="eastAsia" w:ascii="宋体" w:hAnsi="宋体" w:cs="宋体"/>
          <w:color w:val="auto"/>
          <w:highlight w:val="none"/>
        </w:rPr>
      </w:pPr>
    </w:p>
    <w:bookmarkEnd w:id="22"/>
    <w:bookmarkEnd w:id="23"/>
    <w:bookmarkEnd w:id="24"/>
    <w:p w14:paraId="2A428B39">
      <w:pPr>
        <w:rPr>
          <w:rFonts w:hint="eastAsia" w:ascii="宋体" w:hAnsi="宋体" w:cs="宋体"/>
          <w:color w:val="auto"/>
          <w:sz w:val="24"/>
          <w:szCs w:val="24"/>
          <w:highlight w:val="none"/>
        </w:rPr>
      </w:pPr>
      <w:bookmarkStart w:id="25" w:name="_Toc28251187"/>
      <w:bookmarkStart w:id="26" w:name="_Toc38013514"/>
      <w:r>
        <w:rPr>
          <w:rFonts w:hint="eastAsia" w:ascii="宋体" w:hAnsi="宋体" w:cs="宋体"/>
          <w:color w:val="auto"/>
          <w:sz w:val="24"/>
          <w:szCs w:val="24"/>
          <w:highlight w:val="none"/>
        </w:rPr>
        <w:br w:type="page"/>
      </w:r>
    </w:p>
    <w:p w14:paraId="4912C0E6">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一、总则</w:t>
      </w:r>
    </w:p>
    <w:bookmarkEnd w:id="25"/>
    <w:bookmarkEnd w:id="26"/>
    <w:p w14:paraId="65A009C0">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bookmarkStart w:id="27" w:name="_Toc466566784"/>
      <w:bookmarkEnd w:id="27"/>
      <w:bookmarkStart w:id="28" w:name="_Toc254788523"/>
      <w:bookmarkStart w:id="29" w:name="_Toc270604617"/>
      <w:bookmarkStart w:id="30" w:name="_Toc271556721"/>
      <w:bookmarkStart w:id="31" w:name="_Toc256519755"/>
      <w:bookmarkStart w:id="32" w:name="_Toc5478"/>
      <w:r>
        <w:rPr>
          <w:rFonts w:hint="eastAsia" w:ascii="宋体" w:hAnsi="宋体" w:cs="宋体"/>
          <w:b/>
          <w:bCs/>
          <w:color w:val="auto"/>
          <w:sz w:val="24"/>
          <w:szCs w:val="24"/>
          <w:highlight w:val="none"/>
        </w:rPr>
        <w:t>1、</w:t>
      </w:r>
      <w:r>
        <w:rPr>
          <w:rFonts w:hint="eastAsia" w:ascii="宋体" w:hAnsi="宋体" w:cs="宋体"/>
          <w:color w:val="auto"/>
          <w:sz w:val="24"/>
          <w:szCs w:val="24"/>
          <w:highlight w:val="none"/>
        </w:rPr>
        <w:t>项目概况</w:t>
      </w:r>
    </w:p>
    <w:p w14:paraId="29AE1FB9">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1.1采购</w:t>
      </w:r>
      <w:r>
        <w:rPr>
          <w:rFonts w:hint="eastAsia" w:ascii="宋体" w:hAnsi="宋体" w:cs="宋体"/>
          <w:color w:val="auto"/>
          <w:sz w:val="24"/>
          <w:szCs w:val="24"/>
          <w:highlight w:val="none"/>
          <w:lang w:val="en-US" w:eastAsia="zh-CN"/>
        </w:rPr>
        <w:t>内容</w:t>
      </w:r>
      <w:r>
        <w:rPr>
          <w:rFonts w:hint="eastAsia" w:ascii="宋体" w:hAnsi="宋体" w:cs="宋体"/>
          <w:color w:val="auto"/>
          <w:sz w:val="24"/>
          <w:szCs w:val="24"/>
          <w:highlight w:val="none"/>
        </w:rPr>
        <w:t>：</w:t>
      </w:r>
      <w:r>
        <w:rPr>
          <w:rFonts w:hint="eastAsia" w:ascii="宋体" w:hAnsi="宋体" w:cs="宋体"/>
          <w:color w:val="auto"/>
          <w:kern w:val="0"/>
          <w:sz w:val="24"/>
          <w:szCs w:val="24"/>
          <w:highlight w:val="none"/>
          <w:lang w:val="en-US" w:eastAsia="zh-CN"/>
        </w:rPr>
        <w:t>详见公告</w:t>
      </w:r>
      <w:r>
        <w:rPr>
          <w:rFonts w:hint="eastAsia" w:ascii="宋体" w:hAnsi="宋体" w:cs="宋体"/>
          <w:color w:val="auto"/>
          <w:kern w:val="0"/>
          <w:sz w:val="24"/>
          <w:szCs w:val="24"/>
          <w:highlight w:val="none"/>
          <w:lang w:eastAsia="zh-CN"/>
        </w:rPr>
        <w:t>。</w:t>
      </w:r>
    </w:p>
    <w:p w14:paraId="4CA8119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1.2资金来源：</w:t>
      </w:r>
      <w:r>
        <w:rPr>
          <w:rFonts w:hint="eastAsia" w:ascii="宋体" w:hAnsi="宋体" w:cs="宋体"/>
          <w:color w:val="auto"/>
          <w:sz w:val="24"/>
          <w:highlight w:val="none"/>
          <w:lang w:eastAsia="zh-CN"/>
        </w:rPr>
        <w:t>财政资金</w:t>
      </w:r>
      <w:r>
        <w:rPr>
          <w:rFonts w:hint="eastAsia" w:ascii="宋体" w:hAnsi="宋体" w:cs="宋体"/>
          <w:color w:val="auto"/>
          <w:sz w:val="24"/>
          <w:highlight w:val="none"/>
        </w:rPr>
        <w:t>，已落实。</w:t>
      </w:r>
    </w:p>
    <w:p w14:paraId="32AD96DA">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1.3</w:t>
      </w:r>
      <w:r>
        <w:rPr>
          <w:rFonts w:hint="eastAsia" w:ascii="宋体" w:hAnsi="宋体" w:cs="宋体"/>
          <w:color w:val="auto"/>
          <w:sz w:val="24"/>
          <w:highlight w:val="none"/>
          <w:lang w:eastAsia="zh-CN"/>
        </w:rPr>
        <w:t>质量要求：符合国家相关规定要求，达到现行国家或行业质量检验评定合格标准，满足采购人的要求。</w:t>
      </w:r>
    </w:p>
    <w:p w14:paraId="4F20F356">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2、投标费用</w:t>
      </w:r>
    </w:p>
    <w:p w14:paraId="36533C2A">
      <w:pPr>
        <w:shd w:val="clear" w:color="auto" w:fill="FFFFFF"/>
        <w:snapToGrid w:val="0"/>
        <w:spacing w:line="360" w:lineRule="auto"/>
        <w:ind w:right="105" w:rightChars="50" w:firstLine="361" w:firstLineChars="150"/>
        <w:rPr>
          <w:rFonts w:hint="eastAsia" w:ascii="宋体" w:hAnsi="宋体" w:cs="宋体"/>
          <w:color w:val="auto"/>
          <w:sz w:val="24"/>
          <w:szCs w:val="24"/>
          <w:highlight w:val="none"/>
        </w:rPr>
      </w:pPr>
      <w:r>
        <w:rPr>
          <w:rFonts w:hint="eastAsia" w:ascii="宋体" w:hAnsi="宋体" w:cs="宋体"/>
          <w:b/>
          <w:bCs/>
          <w:color w:val="auto"/>
          <w:sz w:val="24"/>
          <w:szCs w:val="24"/>
          <w:highlight w:val="none"/>
        </w:rPr>
        <w:t xml:space="preserve"> 2.1</w:t>
      </w:r>
      <w:r>
        <w:rPr>
          <w:rFonts w:hint="eastAsia" w:ascii="宋体" w:hAnsi="宋体" w:cs="宋体"/>
          <w:color w:val="auto"/>
          <w:sz w:val="24"/>
          <w:szCs w:val="24"/>
          <w:highlight w:val="none"/>
        </w:rPr>
        <w:t>投标供应商承担其投标文件编制与递交所涉及的一切费用。在任何情况下采购人和</w:t>
      </w:r>
      <w:r>
        <w:rPr>
          <w:rFonts w:hint="eastAsia" w:ascii="宋体" w:hAnsi="宋体" w:cs="宋体"/>
          <w:color w:val="auto"/>
          <w:sz w:val="24"/>
          <w:szCs w:val="24"/>
          <w:highlight w:val="none"/>
          <w:lang w:eastAsia="zh-CN"/>
        </w:rPr>
        <w:t>采购代理机构</w:t>
      </w:r>
      <w:r>
        <w:rPr>
          <w:rFonts w:hint="eastAsia" w:ascii="宋体" w:hAnsi="宋体" w:cs="宋体"/>
          <w:color w:val="auto"/>
          <w:sz w:val="24"/>
          <w:szCs w:val="24"/>
          <w:highlight w:val="none"/>
        </w:rPr>
        <w:t>对上述费用均不承担任何责任。</w:t>
      </w:r>
    </w:p>
    <w:p w14:paraId="7D847DAA">
      <w:pPr>
        <w:shd w:val="clear" w:color="auto" w:fill="FFFFFF"/>
        <w:snapToGrid w:val="0"/>
        <w:spacing w:line="360" w:lineRule="auto"/>
        <w:ind w:right="105" w:rightChars="50" w:firstLine="118" w:firstLineChars="49"/>
        <w:rPr>
          <w:rFonts w:hint="eastAsia" w:ascii="宋体" w:hAnsi="宋体" w:cs="宋体"/>
          <w:color w:val="auto"/>
          <w:sz w:val="24"/>
          <w:szCs w:val="24"/>
          <w:highlight w:val="none"/>
        </w:rPr>
      </w:pPr>
      <w:r>
        <w:rPr>
          <w:rFonts w:hint="eastAsia" w:ascii="宋体" w:hAnsi="宋体" w:cs="宋体"/>
          <w:b/>
          <w:bCs/>
          <w:color w:val="auto"/>
          <w:sz w:val="24"/>
          <w:szCs w:val="24"/>
          <w:highlight w:val="none"/>
        </w:rPr>
        <w:t xml:space="preserve">   3、定义及解释</w:t>
      </w:r>
    </w:p>
    <w:p w14:paraId="1614D47A">
      <w:pPr>
        <w:spacing w:line="360" w:lineRule="auto"/>
        <w:ind w:right="105" w:rightChars="50" w:firstLine="352" w:firstLineChars="146"/>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 xml:space="preserve"> 3.</w:t>
      </w:r>
      <w:r>
        <w:rPr>
          <w:rFonts w:hint="eastAsia" w:ascii="宋体" w:hAnsi="宋体" w:cs="宋体"/>
          <w:b/>
          <w:bCs/>
          <w:color w:val="auto"/>
          <w:sz w:val="24"/>
          <w:szCs w:val="24"/>
          <w:highlight w:val="none"/>
          <w:lang w:val="en-US" w:eastAsia="zh-CN"/>
        </w:rPr>
        <w:t>1</w:t>
      </w: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eastAsia="zh-CN"/>
        </w:rPr>
        <w:t>三门峡市生态环境局灵宝分局</w:t>
      </w:r>
    </w:p>
    <w:p w14:paraId="19F03667">
      <w:pPr>
        <w:spacing w:line="360" w:lineRule="auto"/>
        <w:ind w:right="105" w:rightChars="50" w:firstLine="352" w:firstLineChars="146"/>
        <w:rPr>
          <w:rFonts w:hint="eastAsia" w:ascii="宋体" w:hAnsi="宋体" w:cs="宋体"/>
          <w:color w:val="auto"/>
          <w:sz w:val="24"/>
          <w:szCs w:val="24"/>
          <w:highlight w:val="none"/>
        </w:rPr>
      </w:pPr>
      <w:r>
        <w:rPr>
          <w:rFonts w:hint="eastAsia" w:ascii="宋体" w:hAnsi="宋体" w:cs="宋体"/>
          <w:b/>
          <w:bCs/>
          <w:color w:val="auto"/>
          <w:sz w:val="24"/>
          <w:szCs w:val="24"/>
          <w:highlight w:val="none"/>
        </w:rPr>
        <w:t xml:space="preserve"> 3.</w:t>
      </w:r>
      <w:r>
        <w:rPr>
          <w:rFonts w:hint="eastAsia" w:ascii="宋体" w:hAnsi="宋体" w:cs="宋体"/>
          <w:b/>
          <w:bCs/>
          <w:color w:val="auto"/>
          <w:sz w:val="24"/>
          <w:szCs w:val="24"/>
          <w:highlight w:val="none"/>
          <w:lang w:val="en-US" w:eastAsia="zh-CN"/>
        </w:rPr>
        <w:t>2</w:t>
      </w:r>
      <w:r>
        <w:rPr>
          <w:rFonts w:hint="eastAsia" w:ascii="宋体" w:hAnsi="宋体" w:cs="宋体"/>
          <w:color w:val="auto"/>
          <w:sz w:val="24"/>
          <w:szCs w:val="24"/>
          <w:highlight w:val="none"/>
        </w:rPr>
        <w:t>投标供应商：是指响应招标、参加投标竞争的法人或者其他组织。</w:t>
      </w:r>
    </w:p>
    <w:p w14:paraId="56CD560B">
      <w:pPr>
        <w:spacing w:line="360" w:lineRule="auto"/>
        <w:ind w:right="105" w:rightChars="50" w:firstLine="236" w:firstLineChars="98"/>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rPr>
        <w:t xml:space="preserve">  3.</w:t>
      </w:r>
      <w:r>
        <w:rPr>
          <w:rFonts w:hint="eastAsia" w:ascii="宋体" w:hAnsi="宋体" w:cs="宋体"/>
          <w:b/>
          <w:bCs/>
          <w:color w:val="auto"/>
          <w:sz w:val="24"/>
          <w:szCs w:val="24"/>
          <w:highlight w:val="none"/>
          <w:lang w:val="en-US" w:eastAsia="zh-CN"/>
        </w:rPr>
        <w:t>3</w:t>
      </w:r>
      <w:r>
        <w:rPr>
          <w:rFonts w:hint="eastAsia" w:ascii="宋体" w:hAnsi="宋体" w:cs="宋体"/>
          <w:color w:val="auto"/>
          <w:sz w:val="24"/>
          <w:szCs w:val="24"/>
          <w:highlight w:val="none"/>
        </w:rPr>
        <w:t>采购代理机构：</w:t>
      </w:r>
      <w:r>
        <w:rPr>
          <w:rFonts w:hint="eastAsia" w:ascii="宋体" w:hAnsi="宋体" w:cs="宋体"/>
          <w:color w:val="auto"/>
          <w:sz w:val="24"/>
          <w:szCs w:val="24"/>
          <w:highlight w:val="none"/>
          <w:lang w:eastAsia="zh-CN"/>
        </w:rPr>
        <w:t>正为技术有限公司</w:t>
      </w:r>
    </w:p>
    <w:p w14:paraId="225D936D">
      <w:pPr>
        <w:spacing w:line="360" w:lineRule="auto"/>
        <w:ind w:right="105" w:rightChars="50"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3.</w:t>
      </w:r>
      <w:r>
        <w:rPr>
          <w:rFonts w:hint="eastAsia" w:ascii="宋体" w:hAnsi="宋体" w:cs="宋体"/>
          <w:b/>
          <w:bCs/>
          <w:color w:val="auto"/>
          <w:sz w:val="24"/>
          <w:szCs w:val="24"/>
          <w:highlight w:val="none"/>
          <w:lang w:val="en-US" w:eastAsia="zh-CN"/>
        </w:rPr>
        <w:t>4</w:t>
      </w:r>
      <w:r>
        <w:rPr>
          <w:rFonts w:hint="eastAsia" w:ascii="宋体" w:hAnsi="宋体" w:cs="宋体"/>
          <w:color w:val="auto"/>
          <w:sz w:val="24"/>
          <w:szCs w:val="24"/>
          <w:highlight w:val="none"/>
        </w:rPr>
        <w:t>评标委员会：是指按照《中华人民共和国政府采购法》和《评标委员会和评标方法暂行规定》的规定组建的专门负责本次招标的评标工作的临时机构。</w:t>
      </w:r>
    </w:p>
    <w:p w14:paraId="5B536085">
      <w:pPr>
        <w:spacing w:line="360" w:lineRule="auto"/>
        <w:ind w:right="105" w:rightChars="50"/>
        <w:rPr>
          <w:rFonts w:hint="eastAsia" w:ascii="宋体" w:hAnsi="宋体" w:cs="宋体"/>
          <w:color w:val="auto"/>
          <w:sz w:val="24"/>
          <w:szCs w:val="24"/>
          <w:highlight w:val="none"/>
        </w:rPr>
      </w:pPr>
      <w:r>
        <w:rPr>
          <w:rFonts w:hint="eastAsia" w:ascii="宋体" w:hAnsi="宋体" w:cs="宋体"/>
          <w:b/>
          <w:bCs/>
          <w:color w:val="auto"/>
          <w:sz w:val="24"/>
          <w:szCs w:val="24"/>
          <w:highlight w:val="none"/>
        </w:rPr>
        <w:t xml:space="preserve">    3.</w:t>
      </w:r>
      <w:r>
        <w:rPr>
          <w:rFonts w:hint="eastAsia" w:ascii="宋体" w:hAnsi="宋体" w:cs="宋体"/>
          <w:b/>
          <w:bCs/>
          <w:color w:val="auto"/>
          <w:sz w:val="24"/>
          <w:szCs w:val="24"/>
          <w:highlight w:val="none"/>
          <w:lang w:val="en-US" w:eastAsia="zh-CN"/>
        </w:rPr>
        <w:t>5</w:t>
      </w:r>
      <w:r>
        <w:rPr>
          <w:rFonts w:hint="eastAsia" w:ascii="宋体" w:hAnsi="宋体" w:cs="宋体"/>
          <w:color w:val="auto"/>
          <w:sz w:val="24"/>
          <w:szCs w:val="24"/>
          <w:highlight w:val="none"/>
        </w:rPr>
        <w:t>日期、天数、时间：无特别说明时是指公历日及北京时间。</w:t>
      </w:r>
    </w:p>
    <w:p w14:paraId="39FC1A5D">
      <w:pPr>
        <w:spacing w:line="360" w:lineRule="auto"/>
        <w:ind w:right="105" w:rightChars="50" w:firstLine="118" w:firstLineChars="49"/>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 xml:space="preserve">   3.</w:t>
      </w:r>
      <w:r>
        <w:rPr>
          <w:rFonts w:hint="eastAsia" w:ascii="宋体" w:hAnsi="宋体" w:cs="宋体"/>
          <w:b/>
          <w:bCs/>
          <w:color w:val="auto"/>
          <w:sz w:val="24"/>
          <w:szCs w:val="24"/>
          <w:highlight w:val="none"/>
          <w:lang w:val="en-US" w:eastAsia="zh-CN"/>
        </w:rPr>
        <w:t>6</w:t>
      </w:r>
      <w:r>
        <w:rPr>
          <w:rFonts w:hint="eastAsia" w:ascii="宋体" w:hAnsi="宋体" w:cs="宋体"/>
          <w:color w:val="auto"/>
          <w:sz w:val="24"/>
          <w:szCs w:val="24"/>
          <w:highlight w:val="none"/>
        </w:rPr>
        <w:t>招标文件中所规定的“书面形式”，是指任何手写的、打印或印刷的通讯，不包括传真发送。</w:t>
      </w:r>
    </w:p>
    <w:p w14:paraId="15DF89C7">
      <w:pPr>
        <w:shd w:val="clear" w:color="auto" w:fill="FFFFFF"/>
        <w:snapToGrid w:val="0"/>
        <w:spacing w:line="360" w:lineRule="auto"/>
        <w:ind w:right="105" w:rightChars="50"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4、合格的投标供应商</w:t>
      </w:r>
    </w:p>
    <w:p w14:paraId="13FB2F9C">
      <w:pPr>
        <w:pStyle w:val="17"/>
        <w:ind w:left="420" w:leftChars="20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详见供应商须知前附表规定</w:t>
      </w:r>
    </w:p>
    <w:p w14:paraId="7C08E080">
      <w:pPr>
        <w:shd w:val="clear" w:color="auto" w:fill="FFFFFF"/>
        <w:snapToGrid w:val="0"/>
        <w:spacing w:line="360" w:lineRule="auto"/>
        <w:ind w:right="105" w:rightChars="50" w:firstLine="472" w:firstLineChars="196"/>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5、保证</w:t>
      </w:r>
    </w:p>
    <w:p w14:paraId="355A831B">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5.1</w:t>
      </w:r>
      <w:r>
        <w:rPr>
          <w:rFonts w:hint="eastAsia" w:ascii="宋体" w:hAnsi="宋体" w:cs="宋体"/>
          <w:color w:val="auto"/>
          <w:sz w:val="24"/>
          <w:szCs w:val="24"/>
          <w:highlight w:val="none"/>
        </w:rPr>
        <w:t>投标供应商应保证在投标文件中所提交的资料和数据是真实的。</w:t>
      </w:r>
    </w:p>
    <w:p w14:paraId="5591D56A">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二、招标文件</w:t>
      </w:r>
    </w:p>
    <w:p w14:paraId="21371305">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6、招标文件的组成</w:t>
      </w:r>
    </w:p>
    <w:p w14:paraId="1CE7983B">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6.1</w:t>
      </w:r>
      <w:r>
        <w:rPr>
          <w:rFonts w:hint="eastAsia" w:ascii="宋体" w:hAnsi="宋体" w:cs="宋体"/>
          <w:color w:val="auto"/>
          <w:sz w:val="24"/>
          <w:szCs w:val="24"/>
          <w:highlight w:val="none"/>
        </w:rPr>
        <w:t>招标文件包括下列内容及按投标供应商须知第7条款内容发出的答疑文件和第8条款内容发出的补充文件。</w:t>
      </w:r>
    </w:p>
    <w:p w14:paraId="19B2A56E">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第一章 招标公告</w:t>
      </w:r>
    </w:p>
    <w:p w14:paraId="5F801BCF">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第二章 供应商须知</w:t>
      </w:r>
    </w:p>
    <w:p w14:paraId="03125FD6">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第三章 评标办法</w:t>
      </w:r>
    </w:p>
    <w:p w14:paraId="01B80B20">
      <w:pPr>
        <w:shd w:val="clear" w:color="auto" w:fill="FFFFFF"/>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第四章 合同条款及格式</w:t>
      </w:r>
    </w:p>
    <w:p w14:paraId="4CF33FE5">
      <w:pPr>
        <w:shd w:val="clear" w:color="auto" w:fill="FFFFFF"/>
        <w:snapToGrid w:val="0"/>
        <w:spacing w:line="360" w:lineRule="auto"/>
        <w:ind w:firstLine="480" w:firstLineChars="200"/>
        <w:rPr>
          <w:rFonts w:hint="eastAsia" w:ascii="宋体" w:hAnsi="宋体" w:cs="宋体"/>
          <w:color w:val="auto"/>
          <w:sz w:val="24"/>
          <w:szCs w:val="24"/>
          <w:highlight w:val="none"/>
        </w:rPr>
      </w:pPr>
      <w:r>
        <w:rPr>
          <w:rStyle w:val="20"/>
          <w:rFonts w:hint="eastAsia"/>
          <w:color w:val="auto"/>
          <w:sz w:val="24"/>
          <w:szCs w:val="24"/>
          <w:highlight w:val="none"/>
        </w:rPr>
        <w:t>第五章</w:t>
      </w:r>
      <w:r>
        <w:rPr>
          <w:rFonts w:hint="eastAsia"/>
          <w:color w:val="auto"/>
          <w:sz w:val="24"/>
          <w:szCs w:val="24"/>
          <w:highlight w:val="none"/>
        </w:rPr>
        <w:t xml:space="preserve"> </w:t>
      </w:r>
      <w:r>
        <w:rPr>
          <w:rStyle w:val="20"/>
          <w:rFonts w:hint="eastAsia"/>
          <w:color w:val="auto"/>
          <w:sz w:val="24"/>
          <w:szCs w:val="24"/>
          <w:highlight w:val="none"/>
          <w:lang w:val="en-US" w:eastAsia="zh-CN"/>
        </w:rPr>
        <w:t>服务</w:t>
      </w:r>
      <w:r>
        <w:rPr>
          <w:rStyle w:val="20"/>
          <w:rFonts w:hint="eastAsia"/>
          <w:color w:val="auto"/>
          <w:sz w:val="24"/>
          <w:szCs w:val="24"/>
          <w:highlight w:val="none"/>
        </w:rPr>
        <w:t>内容及要求</w:t>
      </w:r>
    </w:p>
    <w:p w14:paraId="2BC57068">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第六章 投标文件格式</w:t>
      </w:r>
    </w:p>
    <w:p w14:paraId="4ABEA8A6">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6.2</w:t>
      </w:r>
      <w:r>
        <w:rPr>
          <w:rFonts w:hint="eastAsia" w:ascii="宋体" w:hAnsi="宋体" w:cs="宋体"/>
          <w:color w:val="auto"/>
          <w:sz w:val="24"/>
          <w:szCs w:val="24"/>
          <w:highlight w:val="none"/>
        </w:rPr>
        <w:t>投标供应商应详细阅读招标文件中的所有条款内容、格式、表格和所涉及的相关规范。如果投标供应商不按招标文件的要求提交投标文件和资料的，或者投标文件没有对招标文件提出的实质性要求和条件作出响应，将导致投标文件不被接受，其后果由投标供应商自己负责。</w:t>
      </w:r>
    </w:p>
    <w:p w14:paraId="6AA91246">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7、招标文件的澄清</w:t>
      </w:r>
    </w:p>
    <w:p w14:paraId="004CAA1D">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7.1投标人应仔细阅读和检查招标文件的全部内容。如发现缺页或附件不全，应及时向采购人提出，以便补齐。如有疑问，应在投标截止时间10日前登录三门峡市公共资源交易中心网（http://gzjy.smx.gov.cn），在网上向采购人提出澄清要求，要求采购人对招标文件予以澄清。</w:t>
      </w:r>
    </w:p>
    <w:p w14:paraId="6C4D7991">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7.2采购人的澄清将在投标截止时间15日前，在三门峡市公共资源交易中心网（http://gzjy.smx.gov.cn）以答疑澄清形式通知所有下载招标文件的投标人，但不指明澄清问题的来源。</w:t>
      </w:r>
    </w:p>
    <w:p w14:paraId="36948B4E">
      <w:pPr>
        <w:autoSpaceDE w:val="0"/>
        <w:autoSpaceDN w:val="0"/>
        <w:adjustRightIn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7.3投标人应注意及时浏览网上发布的澄清和修改通知并下载，因投标人原因未及时获知澄清、修改内容而导致的任何后果，概由投标人自己承担。</w:t>
      </w:r>
    </w:p>
    <w:p w14:paraId="587F8942">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8、招标文件的修正</w:t>
      </w:r>
    </w:p>
    <w:p w14:paraId="6D966A54">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8.1在投标截止时间15日前，采购人可以在三门峡市公共资源交易中心网以网上答疑形式修改招标文件，并以网上公告形式通知所有已下载招标文件的投标人。如果修改招标文件的时间距投标截止时间不足15天，相应延长投标截止时间。</w:t>
      </w:r>
    </w:p>
    <w:p w14:paraId="07AB9FA5">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8.2招标文件的澄清、修改、补充等内容均以采购人答疑形式明确的内容为准。当招标文件的澄清、修改、补充等在同一内容的表述上不一致时，以最后发出的答疑为准。</w:t>
      </w:r>
    </w:p>
    <w:p w14:paraId="7325E2E0">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三、投标文件的编制</w:t>
      </w:r>
    </w:p>
    <w:p w14:paraId="03276987">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9、特别说明</w:t>
      </w:r>
    </w:p>
    <w:p w14:paraId="5E3F8BA1">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9.1</w:t>
      </w:r>
      <w:r>
        <w:rPr>
          <w:rFonts w:hint="eastAsia" w:ascii="宋体" w:hAnsi="宋体" w:cs="宋体"/>
          <w:color w:val="auto"/>
          <w:sz w:val="24"/>
          <w:szCs w:val="24"/>
          <w:highlight w:val="none"/>
        </w:rPr>
        <w:t>投标语言</w:t>
      </w:r>
    </w:p>
    <w:p w14:paraId="7BB3F084">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投标供应商提交的投标文件以及投标供应商与</w:t>
      </w:r>
      <w:r>
        <w:rPr>
          <w:rFonts w:hint="eastAsia" w:ascii="宋体" w:hAnsi="宋体" w:cs="宋体"/>
          <w:color w:val="auto"/>
          <w:sz w:val="24"/>
          <w:szCs w:val="24"/>
          <w:highlight w:val="none"/>
          <w:lang w:eastAsia="zh-CN"/>
        </w:rPr>
        <w:t>采购代理机构</w:t>
      </w:r>
      <w:r>
        <w:rPr>
          <w:rFonts w:hint="eastAsia" w:ascii="宋体" w:hAnsi="宋体" w:cs="宋体"/>
          <w:color w:val="auto"/>
          <w:sz w:val="24"/>
          <w:szCs w:val="24"/>
          <w:highlight w:val="none"/>
        </w:rPr>
        <w:t>就有关投标的所有往来函电均应使用中文。投标供应商提供的文件可以用英文，但相应内容应附有中文翻译本，在解释时以中文翻译本为准。</w:t>
      </w:r>
    </w:p>
    <w:p w14:paraId="1552127B">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w:t>
      </w:r>
      <w:r>
        <w:rPr>
          <w:rFonts w:hint="eastAsia" w:ascii="宋体" w:hAnsi="宋体" w:cs="宋体"/>
          <w:color w:val="auto"/>
          <w:sz w:val="24"/>
          <w:szCs w:val="24"/>
          <w:highlight w:val="none"/>
        </w:rPr>
        <w:t>计量</w:t>
      </w:r>
    </w:p>
    <w:p w14:paraId="4AB5E266">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在投标文件所有计量单位均采用中华人民共和国法定计量单位。</w:t>
      </w:r>
    </w:p>
    <w:p w14:paraId="579E323D">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9.3</w:t>
      </w:r>
      <w:r>
        <w:rPr>
          <w:rFonts w:hint="eastAsia" w:ascii="宋体" w:hAnsi="宋体" w:cs="宋体"/>
          <w:color w:val="auto"/>
          <w:sz w:val="24"/>
          <w:szCs w:val="24"/>
          <w:highlight w:val="none"/>
        </w:rPr>
        <w:t>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14:paraId="18F8A3BA">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9.4</w:t>
      </w:r>
      <w:r>
        <w:rPr>
          <w:rFonts w:hint="eastAsia" w:ascii="宋体" w:hAnsi="宋体" w:cs="宋体"/>
          <w:color w:val="auto"/>
          <w:sz w:val="24"/>
          <w:szCs w:val="24"/>
          <w:highlight w:val="none"/>
        </w:rPr>
        <w:t>投标供应商应当按照招标文件和电子招标投标交易平台的要求编制并加密投标文件。投标供应商未按规定加密的投标文件，电子招标投标交易平台将拒收并提示。</w:t>
      </w:r>
    </w:p>
    <w:p w14:paraId="04F1F0C1">
      <w:pPr>
        <w:shd w:val="clear" w:color="auto" w:fill="FFFFFF"/>
        <w:snapToGrid w:val="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9.5温馨提示：本项目为电子化、无纸化交易项目，开标时不接受任何纸质资料，为保证您能投标成功，请需仔细阅读投标供应商须知前附表第4.6条。</w:t>
      </w:r>
    </w:p>
    <w:p w14:paraId="256CFD82">
      <w:pPr>
        <w:shd w:val="clear" w:color="auto" w:fill="FFFFFF"/>
        <w:snapToGrid w:val="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10、报价</w:t>
      </w:r>
    </w:p>
    <w:p w14:paraId="53DBEA47">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 投标报价中应包含以下内容。</w:t>
      </w:r>
    </w:p>
    <w:p w14:paraId="4502140E">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10.1.1 投标供应商的投标报价根据市场环境和生产要素价格变化情况及企业自身情况自主报价，投标供应商应就该项目完整投标（报价、服务、税费、售后服务等综合费用）。且投标供应商只能提出一个不变价格，采购人不接受任何选择报价。</w:t>
      </w:r>
    </w:p>
    <w:p w14:paraId="7A837264">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10.1.2 该项目类别及取费标准按照国家相关规定执行。</w:t>
      </w:r>
    </w:p>
    <w:p w14:paraId="720C56D3">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10.1.3 电子化投标文件的投标报价，应是完成本文件所列招标范围的全部内容。</w:t>
      </w:r>
    </w:p>
    <w:p w14:paraId="54B617F2">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10.1.4 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14:paraId="303F32F1">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10.1.5 全部报价均应以人民币为计量币种，并以人民币进行结算。</w:t>
      </w:r>
    </w:p>
    <w:p w14:paraId="0924C9E4">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10.1.6 采购人对投标供应商提供的货物有权利到生产厂家进行考察和交货前验货，投标供应商应提供便利条件。</w:t>
      </w:r>
    </w:p>
    <w:p w14:paraId="1365A737">
      <w:pPr>
        <w:shd w:val="clear" w:color="auto" w:fill="FFFFFF"/>
        <w:snapToGrid w:val="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11、投标保证金</w:t>
      </w:r>
    </w:p>
    <w:p w14:paraId="2C48114A">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根据《河南省财政厅关于优化政府采购营商环境有关问题的通知》（豫财购【2019】4号）第6条的规定，投标保证金不再收取。</w:t>
      </w:r>
    </w:p>
    <w:p w14:paraId="30A6C655">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12、投标有效期</w:t>
      </w:r>
    </w:p>
    <w:p w14:paraId="674CBE63">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12.1</w:t>
      </w:r>
      <w:r>
        <w:rPr>
          <w:rFonts w:hint="eastAsia" w:ascii="宋体" w:hAnsi="宋体" w:cs="宋体"/>
          <w:color w:val="auto"/>
          <w:sz w:val="24"/>
          <w:szCs w:val="24"/>
          <w:highlight w:val="none"/>
        </w:rPr>
        <w:t>投标文件从开标之时起开始生效，投标有效期从投标截止之日起60日历天。</w:t>
      </w:r>
    </w:p>
    <w:p w14:paraId="6D6C7B30">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12.2</w:t>
      </w:r>
      <w:r>
        <w:rPr>
          <w:rFonts w:hint="eastAsia" w:ascii="宋体" w:hAnsi="宋体" w:cs="宋体"/>
          <w:color w:val="auto"/>
          <w:sz w:val="24"/>
          <w:szCs w:val="24"/>
          <w:highlight w:val="none"/>
        </w:rPr>
        <w:t>在特殊情况下，采购人可征求投标供应商同意延长投标有效期，这种要求和答复均应以网上形式提交。同意延长投标有效期的投标供应商不需要也不允许修改其电子化投标文件。</w:t>
      </w:r>
    </w:p>
    <w:p w14:paraId="31A1D55F">
      <w:pPr>
        <w:shd w:val="clear" w:color="auto" w:fill="FFFFFF"/>
        <w:snapToGrid w:val="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13、电子化投标文件的组成</w:t>
      </w:r>
    </w:p>
    <w:p w14:paraId="73139587">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一、法定代表人身份证明书</w:t>
      </w:r>
    </w:p>
    <w:p w14:paraId="1D73F024">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二、投标文件签署授权委托书</w:t>
      </w:r>
    </w:p>
    <w:p w14:paraId="654FD830">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三、投标函及投标函附录</w:t>
      </w:r>
    </w:p>
    <w:p w14:paraId="30AC69B3">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四、服务方案</w:t>
      </w:r>
    </w:p>
    <w:p w14:paraId="1B866C6D">
      <w:pPr>
        <w:shd w:val="clear" w:color="auto" w:fill="FFFFFF"/>
        <w:tabs>
          <w:tab w:val="left" w:pos="353"/>
        </w:tabs>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五、资格审查资料</w:t>
      </w:r>
    </w:p>
    <w:p w14:paraId="19BB4AD5">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六、中小企业声明函</w:t>
      </w:r>
    </w:p>
    <w:p w14:paraId="35B5F677">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七、投标承诺函</w:t>
      </w:r>
    </w:p>
    <w:p w14:paraId="4D299D54">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八、其他资料</w:t>
      </w:r>
    </w:p>
    <w:p w14:paraId="6EFF326C">
      <w:pPr>
        <w:autoSpaceDE w:val="0"/>
        <w:autoSpaceDN w:val="0"/>
        <w:adjustRightInd w:val="0"/>
        <w:spacing w:line="360" w:lineRule="auto"/>
        <w:ind w:firstLine="241" w:firstLineChars="10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14、电子化投标文件的格式</w:t>
      </w:r>
    </w:p>
    <w:p w14:paraId="7C785BA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14.1投标人所上传的电子化投标文件，应是通过中心投标文件制作系统制作的（电子化投标文件工具请在三门峡市公共资源交易中心网首页“帮助中心”下载），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人随身携带。</w:t>
      </w:r>
    </w:p>
    <w:p w14:paraId="35244FF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注：投标人投报多个标段的，需要每个标段单独制作电子投标文件。</w:t>
      </w:r>
    </w:p>
    <w:p w14:paraId="41C5D5F1">
      <w:pPr>
        <w:autoSpaceDE w:val="0"/>
        <w:autoSpaceDN w:val="0"/>
        <w:adjustRightInd w:val="0"/>
        <w:spacing w:line="360" w:lineRule="auto"/>
        <w:ind w:firstLine="241" w:firstLineChars="100"/>
        <w:jc w:val="left"/>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15、电子化投标文件的签章</w:t>
      </w:r>
    </w:p>
    <w:p w14:paraId="7A3C465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15.1投标人在生成电子化投标文件后，应对电子化投标文件进行签章，未进行签章的视为无效投标。</w:t>
      </w:r>
    </w:p>
    <w:p w14:paraId="3EC4FD9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15.2投标文件中要求法定代表人或授权委托人盖章的，投标人在进行电子化投标文件签章时，以签盖法定代表人签章为准。电子化投标文件具体制作教材请投标人通过CA证书登录三门峡市公共资源电子化交易系统在右上角“交易智库”中查看。电子化投标文件工具请在三门峡市公共资源交易中心网首页“帮助中心”下载。</w:t>
      </w:r>
    </w:p>
    <w:p w14:paraId="346CB922">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四、投标文件的上传</w:t>
      </w:r>
    </w:p>
    <w:p w14:paraId="0AFCA0D7">
      <w:pPr>
        <w:shd w:val="clear" w:color="auto" w:fill="FFFFFF"/>
        <w:snapToGrid w:val="0"/>
        <w:spacing w:line="360" w:lineRule="auto"/>
        <w:ind w:firstLine="241" w:firstLineChars="1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16、投标文件上传</w:t>
      </w:r>
    </w:p>
    <w:p w14:paraId="67F98988">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16.1电子化投标文件应在投标截止时间前成功上传至三门峡市公共资源电子化交易系统。至投标截止时间止，仍未上传成功的电子化投标文件将不予接收。</w:t>
      </w:r>
    </w:p>
    <w:p w14:paraId="1BC3A0E9">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655911F7">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17.投标截止时间</w:t>
      </w:r>
    </w:p>
    <w:p w14:paraId="10754872">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17.1</w:t>
      </w:r>
      <w:r>
        <w:rPr>
          <w:rFonts w:hint="eastAsia" w:ascii="宋体" w:hAnsi="宋体" w:cs="宋体"/>
          <w:color w:val="auto"/>
          <w:sz w:val="24"/>
          <w:szCs w:val="24"/>
          <w:highlight w:val="none"/>
        </w:rPr>
        <w:t>投标文件的截止时间见本须知前附表规定。</w:t>
      </w:r>
    </w:p>
    <w:p w14:paraId="4E1DDC77">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17.2</w:t>
      </w:r>
      <w:r>
        <w:rPr>
          <w:rFonts w:hint="eastAsia" w:ascii="宋体" w:hAnsi="宋体" w:cs="宋体"/>
          <w:color w:val="auto"/>
          <w:sz w:val="24"/>
          <w:szCs w:val="24"/>
          <w:highlight w:val="none"/>
        </w:rPr>
        <w:t>到投标截止时间止，采购人收到的投标文件少于3个的，采购人将依法重新组织招标。</w:t>
      </w:r>
    </w:p>
    <w:p w14:paraId="03C49DDF">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17.3电子化投标文件的补充、修改与撤回</w:t>
      </w:r>
    </w:p>
    <w:p w14:paraId="2C6DF368">
      <w:pPr>
        <w:shd w:val="clear" w:color="auto" w:fill="FFFFFF"/>
        <w:snapToGrid w:val="0"/>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17.3.1在投标截止时间之后，投标供应商不得补充、修改电子化投标文件。</w:t>
      </w:r>
    </w:p>
    <w:p w14:paraId="698773BF">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五、开标</w:t>
      </w:r>
    </w:p>
    <w:p w14:paraId="21151FB8">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18、开标</w:t>
      </w:r>
    </w:p>
    <w:p w14:paraId="7C04A8F2">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18.1</w:t>
      </w:r>
      <w:r>
        <w:rPr>
          <w:rFonts w:hint="eastAsia" w:ascii="宋体" w:hAnsi="宋体" w:cs="宋体"/>
          <w:color w:val="auto"/>
          <w:sz w:val="24"/>
          <w:szCs w:val="24"/>
          <w:highlight w:val="none"/>
        </w:rPr>
        <w:t>采购人按本须知前附表所规定的时间和地点公开开标，开标会议由</w:t>
      </w:r>
      <w:r>
        <w:rPr>
          <w:rFonts w:hint="eastAsia" w:ascii="宋体" w:hAnsi="宋体" w:cs="宋体"/>
          <w:color w:val="auto"/>
          <w:sz w:val="24"/>
          <w:szCs w:val="24"/>
          <w:highlight w:val="none"/>
          <w:lang w:eastAsia="zh-CN"/>
        </w:rPr>
        <w:t>采购代理机构</w:t>
      </w:r>
      <w:r>
        <w:rPr>
          <w:rFonts w:hint="eastAsia" w:ascii="宋体" w:hAnsi="宋体" w:cs="宋体"/>
          <w:color w:val="auto"/>
          <w:sz w:val="24"/>
          <w:szCs w:val="24"/>
          <w:highlight w:val="none"/>
        </w:rPr>
        <w:t>主持，在有关部门监督下进行。</w:t>
      </w:r>
    </w:p>
    <w:p w14:paraId="1C6AFBED">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18.2开标程序：</w:t>
      </w:r>
    </w:p>
    <w:p w14:paraId="66AD1BDC">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18.2.1</w:t>
      </w:r>
      <w:r>
        <w:rPr>
          <w:rFonts w:hint="eastAsia" w:ascii="宋体" w:hAnsi="宋体" w:cs="宋体"/>
          <w:color w:val="auto"/>
          <w:sz w:val="24"/>
          <w:szCs w:val="24"/>
          <w:highlight w:val="none"/>
        </w:rPr>
        <w:t>开标由</w:t>
      </w:r>
      <w:r>
        <w:rPr>
          <w:rFonts w:hint="eastAsia" w:ascii="宋体" w:hAnsi="宋体" w:cs="宋体"/>
          <w:color w:val="auto"/>
          <w:sz w:val="24"/>
          <w:szCs w:val="24"/>
          <w:highlight w:val="none"/>
          <w:lang w:eastAsia="zh-CN"/>
        </w:rPr>
        <w:t>采购代理机构</w:t>
      </w:r>
      <w:r>
        <w:rPr>
          <w:rFonts w:hint="eastAsia" w:ascii="宋体" w:hAnsi="宋体" w:cs="宋体"/>
          <w:color w:val="auto"/>
          <w:sz w:val="24"/>
          <w:szCs w:val="24"/>
          <w:highlight w:val="none"/>
        </w:rPr>
        <w:t>主持；</w:t>
      </w:r>
    </w:p>
    <w:p w14:paraId="7E532722">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18.2.2</w:t>
      </w:r>
      <w:r>
        <w:rPr>
          <w:rFonts w:hint="eastAsia" w:ascii="宋体" w:hAnsi="宋体" w:cs="宋体"/>
          <w:color w:val="auto"/>
          <w:sz w:val="24"/>
          <w:szCs w:val="24"/>
          <w:highlight w:val="none"/>
        </w:rPr>
        <w:t>介绍本项目的情况；</w:t>
      </w:r>
    </w:p>
    <w:p w14:paraId="673C5429">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18.2.3</w:t>
      </w:r>
      <w:r>
        <w:rPr>
          <w:rFonts w:hint="eastAsia" w:ascii="宋体" w:hAnsi="宋体" w:cs="宋体"/>
          <w:color w:val="auto"/>
          <w:sz w:val="24"/>
          <w:szCs w:val="24"/>
          <w:highlight w:val="none"/>
        </w:rPr>
        <w:t>宣布开标会议纪律；</w:t>
      </w:r>
    </w:p>
    <w:p w14:paraId="6931B40A">
      <w:pPr>
        <w:shd w:val="clear" w:color="auto" w:fill="FFFFFF"/>
        <w:tabs>
          <w:tab w:val="left" w:pos="383"/>
        </w:tabs>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18.2.4</w:t>
      </w:r>
      <w:r>
        <w:rPr>
          <w:rFonts w:hint="eastAsia" w:ascii="宋体" w:hAnsi="宋体" w:cs="宋体"/>
          <w:color w:val="auto"/>
          <w:sz w:val="24"/>
          <w:szCs w:val="24"/>
          <w:highlight w:val="none"/>
        </w:rPr>
        <w:t>介绍参会的采购人、监督人；</w:t>
      </w:r>
    </w:p>
    <w:p w14:paraId="53F9491A">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18.2.5</w:t>
      </w:r>
      <w:r>
        <w:rPr>
          <w:rFonts w:hint="eastAsia" w:ascii="宋体" w:hAnsi="宋体" w:cs="宋体"/>
          <w:color w:val="auto"/>
          <w:sz w:val="24"/>
          <w:szCs w:val="24"/>
          <w:highlight w:val="none"/>
        </w:rPr>
        <w:t>开标时，电子招标投标交易平台自动提取所有投标文件，按时在线解密。解密全部完成后，向所有投标供应商公布投标供应商名称、投标价格和招标文件规定的其他内容。</w:t>
      </w:r>
    </w:p>
    <w:p w14:paraId="7DFC6805">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18.3</w:t>
      </w:r>
      <w:r>
        <w:rPr>
          <w:rFonts w:hint="eastAsia" w:ascii="宋体" w:hAnsi="宋体" w:cs="宋体"/>
          <w:color w:val="auto"/>
          <w:sz w:val="24"/>
          <w:szCs w:val="24"/>
          <w:highlight w:val="none"/>
        </w:rPr>
        <w:t>投标文件的有效性</w:t>
      </w:r>
    </w:p>
    <w:p w14:paraId="52F5B5D9">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18.3.1</w:t>
      </w:r>
      <w:r>
        <w:rPr>
          <w:rFonts w:hint="eastAsia" w:ascii="宋体" w:hAnsi="宋体" w:cs="宋体"/>
          <w:color w:val="auto"/>
          <w:sz w:val="24"/>
          <w:szCs w:val="24"/>
          <w:highlight w:val="none"/>
        </w:rPr>
        <w:t>投标文件有下列情形之一的为无效电子化投标文件，采购人不予受理：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1F11047A">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18.3.2</w:t>
      </w:r>
      <w:r>
        <w:rPr>
          <w:rFonts w:hint="eastAsia" w:ascii="宋体" w:hAnsi="宋体" w:cs="宋体"/>
          <w:color w:val="auto"/>
          <w:sz w:val="24"/>
          <w:szCs w:val="24"/>
          <w:highlight w:val="none"/>
        </w:rPr>
        <w:t>若投标文件解密后，有效电子投标文件不足三家的，本项目应予废标。</w:t>
      </w:r>
    </w:p>
    <w:p w14:paraId="25625C31">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六、评标与定标</w:t>
      </w:r>
    </w:p>
    <w:p w14:paraId="6606F874">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19、评标委员会</w:t>
      </w:r>
    </w:p>
    <w:p w14:paraId="24175BEE">
      <w:pPr>
        <w:shd w:val="clear" w:color="auto" w:fill="FFFFFF"/>
        <w:snapToGrid w:val="0"/>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19.1</w:t>
      </w:r>
      <w:r>
        <w:rPr>
          <w:rFonts w:hint="eastAsia" w:ascii="宋体" w:hAnsi="宋体" w:cs="宋体"/>
          <w:color w:val="auto"/>
          <w:sz w:val="24"/>
          <w:szCs w:val="24"/>
          <w:highlight w:val="none"/>
        </w:rPr>
        <w:t>评标委员会由采购人依法组建，负责评标活动。</w:t>
      </w:r>
    </w:p>
    <w:p w14:paraId="2A6653E8">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19.2评标委员会构成：见供应商须知前附表</w:t>
      </w:r>
    </w:p>
    <w:p w14:paraId="0A84C8B6">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19.3参加评标的专家通过相关专家库随机抽取随机选定。与投标供应商有利害关系的人不得进入评标委员会。</w:t>
      </w:r>
    </w:p>
    <w:p w14:paraId="27DA276F">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19.4</w:t>
      </w:r>
      <w:r>
        <w:rPr>
          <w:rFonts w:hint="eastAsia" w:ascii="宋体" w:hAnsi="宋体" w:cs="宋体"/>
          <w:color w:val="auto"/>
          <w:sz w:val="24"/>
          <w:szCs w:val="24"/>
          <w:highlight w:val="none"/>
        </w:rPr>
        <w:t>开标结束后，开始评标。评标工作在相关部门监督下，采用保密方式进行。</w:t>
      </w:r>
    </w:p>
    <w:p w14:paraId="07D3F3C7">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20、评标过程的保密</w:t>
      </w:r>
    </w:p>
    <w:p w14:paraId="22707C4B">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20.1</w:t>
      </w:r>
      <w:r>
        <w:rPr>
          <w:rFonts w:hint="eastAsia" w:ascii="宋体" w:hAnsi="宋体" w:cs="宋体"/>
          <w:color w:val="auto"/>
          <w:sz w:val="24"/>
          <w:szCs w:val="24"/>
          <w:highlight w:val="none"/>
        </w:rPr>
        <w:t>开标后，直至授予中标供应商合同为止，凡属于对电子化投标文件的审查、澄清、评价和比较有关的资料，中标候选人的推荐情况，及其他任何与评标有关的情况均应严格保密。</w:t>
      </w:r>
    </w:p>
    <w:p w14:paraId="116B0C63">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20.2</w:t>
      </w:r>
      <w:r>
        <w:rPr>
          <w:rFonts w:hint="eastAsia" w:ascii="宋体" w:hAnsi="宋体" w:cs="宋体"/>
          <w:color w:val="auto"/>
          <w:sz w:val="24"/>
          <w:szCs w:val="24"/>
          <w:highlight w:val="none"/>
        </w:rPr>
        <w:t>在电子化投标文件的评审和比较、中标候选人推荐以及授予合同的过程中，投标供应商向采购人和评标委员会施加影响的任何行为，都将会导致其投标被拒绝。</w:t>
      </w:r>
    </w:p>
    <w:p w14:paraId="178A771B">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20.3</w:t>
      </w:r>
      <w:r>
        <w:rPr>
          <w:rFonts w:hint="eastAsia" w:ascii="宋体" w:hAnsi="宋体" w:cs="宋体"/>
          <w:color w:val="auto"/>
          <w:sz w:val="24"/>
          <w:szCs w:val="24"/>
          <w:highlight w:val="none"/>
        </w:rPr>
        <w:t>中标供应商确定后，采购人不对未中标供应商就评标过程以及未能中标原因作出任何解释。未中标供应商不得向评标委员会组成人员或其他有关人员索问评标过程的情况和材料。</w:t>
      </w:r>
    </w:p>
    <w:p w14:paraId="271B96A7">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21、评标纪律</w:t>
      </w:r>
    </w:p>
    <w:p w14:paraId="31286167">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21.1</w:t>
      </w:r>
      <w:r>
        <w:rPr>
          <w:rFonts w:hint="eastAsia" w:ascii="宋体" w:hAnsi="宋体" w:cs="宋体"/>
          <w:color w:val="auto"/>
          <w:sz w:val="24"/>
          <w:szCs w:val="24"/>
          <w:highlight w:val="none"/>
        </w:rPr>
        <w:t>评标委员会成员和参与评标工作的有关人员不得透露对电子化投标文件的评审和比较、中标候选人的推荐情况以及与评标有关的其它情况。</w:t>
      </w:r>
    </w:p>
    <w:p w14:paraId="3731A077">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21.2</w:t>
      </w:r>
      <w:r>
        <w:rPr>
          <w:rFonts w:hint="eastAsia" w:ascii="宋体" w:hAnsi="宋体" w:cs="宋体"/>
          <w:color w:val="auto"/>
          <w:sz w:val="24"/>
          <w:szCs w:val="24"/>
          <w:highlight w:val="none"/>
        </w:rPr>
        <w:t>除投标须知第28条款的规定以外，开标以后至授予中标通知书前，任何投标供应商均不得就与其投标文件有关的问题主动与采购人和</w:t>
      </w:r>
      <w:r>
        <w:rPr>
          <w:rFonts w:hint="eastAsia" w:ascii="宋体" w:hAnsi="宋体" w:cs="宋体"/>
          <w:color w:val="auto"/>
          <w:sz w:val="24"/>
          <w:szCs w:val="24"/>
          <w:highlight w:val="none"/>
          <w:lang w:eastAsia="zh-CN"/>
        </w:rPr>
        <w:t>采购代理机构</w:t>
      </w:r>
      <w:r>
        <w:rPr>
          <w:rFonts w:hint="eastAsia" w:ascii="宋体" w:hAnsi="宋体" w:cs="宋体"/>
          <w:color w:val="auto"/>
          <w:sz w:val="24"/>
          <w:szCs w:val="24"/>
          <w:highlight w:val="none"/>
        </w:rPr>
        <w:t>发生联系。</w:t>
      </w:r>
    </w:p>
    <w:p w14:paraId="5AAF0F22">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21.3</w:t>
      </w:r>
      <w:r>
        <w:rPr>
          <w:rFonts w:hint="eastAsia" w:ascii="宋体" w:hAnsi="宋体" w:cs="宋体"/>
          <w:color w:val="auto"/>
          <w:sz w:val="24"/>
          <w:szCs w:val="24"/>
          <w:highlight w:val="none"/>
        </w:rPr>
        <w:t>如果投标供应商试图对评标委员会的评标施加影响，则将导致该投标供应商的投标文件被拒绝。</w:t>
      </w:r>
    </w:p>
    <w:p w14:paraId="32CE5FB2">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22、投标文件的澄清</w:t>
      </w:r>
    </w:p>
    <w:p w14:paraId="7415B347">
      <w:pPr>
        <w:shd w:val="clear" w:color="auto" w:fill="FFFFFF"/>
        <w:snapToGrid w:val="0"/>
        <w:spacing w:line="360" w:lineRule="auto"/>
        <w:ind w:right="105" w:rightChars="50"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22.1</w:t>
      </w:r>
      <w:r>
        <w:rPr>
          <w:rFonts w:hint="eastAsia" w:ascii="宋体" w:hAnsi="宋体" w:cs="宋体"/>
          <w:color w:val="auto"/>
          <w:sz w:val="24"/>
          <w:szCs w:val="24"/>
          <w:highlight w:val="none"/>
        </w:rPr>
        <w:t>为有助于投标文件的审查、评价和比较，评标委员会可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6A148165">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23、投标文件的初步评审</w:t>
      </w:r>
    </w:p>
    <w:p w14:paraId="1A704069">
      <w:pPr>
        <w:shd w:val="clear" w:color="auto" w:fill="FFFFFF"/>
        <w:snapToGrid w:val="0"/>
        <w:spacing w:line="360" w:lineRule="auto"/>
        <w:ind w:right="105" w:rightChars="50"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23.1投标文件资格审查：</w:t>
      </w:r>
    </w:p>
    <w:p w14:paraId="4B062B2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符合第二章供应商须知前附表规定</w:t>
      </w:r>
    </w:p>
    <w:p w14:paraId="2BC3077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23.2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5CA28DEB">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23.3如果投标文件实质上不响应招标文件的各项要求，评标委员会将予以拒绝，并且不允许投标供应商通过修改或撤销其不符合要求的差异或保留，使之成为具有响应性的投标。</w:t>
      </w:r>
    </w:p>
    <w:p w14:paraId="7412F1E7">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23.4投标文件有下列情形之一的，由评标委员会初审后按无效标处理：</w:t>
      </w:r>
    </w:p>
    <w:p w14:paraId="35183A21">
      <w:pPr>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（1）投标人在生成电子化投标文件后，应对电子化投标文件进行签章，未进行签章的视为无效投标。</w:t>
      </w:r>
    </w:p>
    <w:p w14:paraId="6F1460D3">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（2）投标供应商资格条件不符合国家有关规定和招标文件要求的；</w:t>
      </w:r>
    </w:p>
    <w:p w14:paraId="0B69C5C6">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kern w:val="0"/>
          <w:sz w:val="24"/>
          <w:szCs w:val="24"/>
          <w:highlight w:val="none"/>
        </w:rPr>
        <w:t>电子化投标文件附有采购人不能接受的条件的；</w:t>
      </w:r>
    </w:p>
    <w:p w14:paraId="728A53FA">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（4）投标报价超过招标文件规定的预算金额的；</w:t>
      </w:r>
    </w:p>
    <w:p w14:paraId="536868E1">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（5）以他人的名义投标、串通投标、以行贿手段谋取中标或者以其他弄虚作假方式投标的；</w:t>
      </w:r>
    </w:p>
    <w:p w14:paraId="6846DA2F">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（6）采取不正当手段谋取中标的。</w:t>
      </w:r>
    </w:p>
    <w:p w14:paraId="5174B899">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24、投标文件计算错误的修正</w:t>
      </w:r>
    </w:p>
    <w:p w14:paraId="2F9F33D7">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24.1评标委员会将对确定为实质上响应招标文件要求的投标文件进行校核，看其是否有计算或表达上的错误，修正错误的原则如下：</w:t>
      </w:r>
    </w:p>
    <w:p w14:paraId="1A82B947">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24.1.1投标文件中的大写金额和小写金额不一致的，以大写金额为准；</w:t>
      </w:r>
    </w:p>
    <w:p w14:paraId="7D463AF6">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24.1.2对不同文字文本投标文件的解释发生异议的，以中文文本为准。</w:t>
      </w:r>
    </w:p>
    <w:p w14:paraId="57B86F7E">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24.2按上述修正错误的原则及方法调整或修正投标文件的投标报价，投标供应商同意后，调整后的投标报价对投标供应商起约束作用。</w:t>
      </w:r>
    </w:p>
    <w:p w14:paraId="4AB71D3B">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25、投标文件的评审、比较和否决</w:t>
      </w:r>
    </w:p>
    <w:p w14:paraId="4C6501AD">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25.1评标委员会将按照招标文件的规定，仅对在实质上响应招标文件要求的上传投标文件进行评估和比较。</w:t>
      </w:r>
    </w:p>
    <w:p w14:paraId="2F768049">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25.2根据相关法律法规及有关招投标文件规定，结合本项目具体情况，制定本次招标评标办法。并按照“公平、公正、科学、择优”的原则进行评标。采用综合评分法进行评比。</w:t>
      </w:r>
    </w:p>
    <w:p w14:paraId="705650AB">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25.3在评审过程中，评标委员会可以要求投标供应商就投标文件中含义不明确的内容进行说明并提供相关材料。</w:t>
      </w:r>
    </w:p>
    <w:p w14:paraId="23DA703D">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25.4评标时，投标报价是评标的重要依据，但不是唯一依据，采购人不承诺将合同授予报价最低或最高的投标供应商。投标</w:t>
      </w:r>
      <w:r>
        <w:rPr>
          <w:rFonts w:hint="eastAsia" w:ascii="宋体" w:hAnsi="宋体" w:cs="宋体"/>
          <w:color w:val="auto"/>
          <w:sz w:val="24"/>
          <w:szCs w:val="24"/>
          <w:highlight w:val="none"/>
          <w:shd w:val="clear" w:color="050000" w:fill="auto"/>
        </w:rPr>
        <w:t>报价明显低于其他报价，使得其报价可能低于其个别成本的，有可能影响货物质量或不能诚信履约的，评标委员会可要求供应商做出说明并提供相关证明材料。不能合理说明或不能提供相关证明材料的，其投标应文件有可能被拒绝。</w:t>
      </w:r>
    </w:p>
    <w:p w14:paraId="21D56E5A">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25.5评标委员会依据本须知规定的评标标准和方法，对投标文件进行评审和比较，向采购人提出书面评标报告，并推荐合格的中标候选人。</w:t>
      </w:r>
    </w:p>
    <w:p w14:paraId="7215F46A">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25.6</w:t>
      </w:r>
      <w:r>
        <w:rPr>
          <w:rFonts w:hint="eastAsia" w:ascii="宋体" w:hAnsi="宋体" w:cs="宋体"/>
          <w:color w:val="auto"/>
          <w:kern w:val="0"/>
          <w:sz w:val="24"/>
          <w:szCs w:val="24"/>
          <w:highlight w:val="none"/>
        </w:rPr>
        <w:t>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50E2C4EF">
      <w:pPr>
        <w:autoSpaceDE w:val="0"/>
        <w:autoSpaceDN w:val="0"/>
        <w:adjustRightInd w:val="0"/>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七、授予合同</w:t>
      </w:r>
    </w:p>
    <w:p w14:paraId="23662CC8">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26、授予合同标准</w:t>
      </w:r>
    </w:p>
    <w:p w14:paraId="78E84857">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26.1</w:t>
      </w:r>
      <w:r>
        <w:rPr>
          <w:rFonts w:hint="eastAsia" w:ascii="宋体" w:hAnsi="宋体" w:cs="宋体"/>
          <w:color w:val="auto"/>
          <w:sz w:val="24"/>
          <w:szCs w:val="24"/>
          <w:highlight w:val="none"/>
        </w:rPr>
        <w:t>本招标项目的合同将授予按本评标办法确定的中标供应商。</w:t>
      </w:r>
    </w:p>
    <w:p w14:paraId="23F131BC">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26.2</w:t>
      </w:r>
      <w:r>
        <w:rPr>
          <w:rFonts w:hint="eastAsia" w:ascii="宋体" w:hAnsi="宋体" w:cs="宋体"/>
          <w:color w:val="auto"/>
          <w:sz w:val="24"/>
          <w:szCs w:val="24"/>
          <w:highlight w:val="none"/>
        </w:rPr>
        <w:t>评标委员会经采购人授权，确定排名第一的中标候选人为中标供应商。当确定中标的中标供应商候选人放弃中标、因不可抗力提出不能履行合同的，采购人可以按序确定排名第二的中标候选人为中标供应商，以此类推。</w:t>
      </w:r>
    </w:p>
    <w:p w14:paraId="1FE2FEAC">
      <w:pPr>
        <w:autoSpaceDE w:val="0"/>
        <w:autoSpaceDN w:val="0"/>
        <w:adjustRightInd w:val="0"/>
        <w:spacing w:line="360" w:lineRule="auto"/>
        <w:ind w:firstLine="240" w:firstLineChars="1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27、授予合同时变更数量的权利</w:t>
      </w:r>
    </w:p>
    <w:p w14:paraId="01A8D922">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27.1采购人在授予合同时，保留对货物数量予以适当增减的权利。供应商不得在此情况下对投标文件作出修改，如价格、服务期限、售后服务等。</w:t>
      </w:r>
    </w:p>
    <w:p w14:paraId="39FC8451">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28、采购人拒绝投标的权力</w:t>
      </w:r>
    </w:p>
    <w:p w14:paraId="4A764150">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28.1采购人不承诺将合同授予报价最低的或最高的中标候选人。</w:t>
      </w:r>
    </w:p>
    <w:p w14:paraId="5C4C866D">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29、中标通知</w:t>
      </w:r>
    </w:p>
    <w:p w14:paraId="5567C442">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29.1</w:t>
      </w:r>
      <w:r>
        <w:rPr>
          <w:rFonts w:hint="eastAsia" w:ascii="宋体" w:hAnsi="宋体" w:cs="宋体"/>
          <w:color w:val="auto"/>
          <w:sz w:val="24"/>
          <w:szCs w:val="24"/>
          <w:highlight w:val="none"/>
        </w:rPr>
        <w:t>中标供应商确定后，在发布本项目招标公告的媒介上发布中标公示。</w:t>
      </w:r>
    </w:p>
    <w:p w14:paraId="723B4A8A">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29.2</w:t>
      </w:r>
      <w:r>
        <w:rPr>
          <w:rFonts w:hint="eastAsia" w:ascii="宋体" w:hAnsi="宋体" w:cs="宋体"/>
          <w:color w:val="auto"/>
          <w:sz w:val="24"/>
          <w:szCs w:val="24"/>
          <w:highlight w:val="none"/>
        </w:rPr>
        <w:t>中标通知书是合同的组成部分。</w:t>
      </w:r>
    </w:p>
    <w:p w14:paraId="3B928C93">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29.3</w:t>
      </w:r>
      <w:r>
        <w:rPr>
          <w:rFonts w:hint="eastAsia" w:ascii="宋体" w:hAnsi="宋体" w:cs="宋体"/>
          <w:color w:val="auto"/>
          <w:sz w:val="24"/>
          <w:szCs w:val="24"/>
          <w:highlight w:val="none"/>
        </w:rPr>
        <w:t>对未中标的投标供应商，不做任何未中标原因的解释。所有投标文件不予退还。</w:t>
      </w:r>
    </w:p>
    <w:p w14:paraId="41A23834">
      <w:pPr>
        <w:shd w:val="clear" w:color="auto" w:fill="FFFFFF"/>
        <w:snapToGrid w:val="0"/>
        <w:spacing w:line="360" w:lineRule="auto"/>
        <w:ind w:right="105" w:rightChars="50"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30、合同协议书的签署</w:t>
      </w:r>
    </w:p>
    <w:p w14:paraId="77B0BE87">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30.1采购人与中标供应商将于中标通知书发出之日起2日内，按照招标文件及中标供应商的投标文件订立书面承包合同，采购人和中标供应商不得再行订立背离合同实质性内容的其他协议。</w:t>
      </w:r>
    </w:p>
    <w:p w14:paraId="27A10AB2">
      <w:pPr>
        <w:shd w:val="clear" w:color="auto" w:fill="FFFFFF"/>
        <w:snapToGrid w:val="0"/>
        <w:spacing w:line="360" w:lineRule="auto"/>
        <w:ind w:right="105" w:rightChars="50"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30.2中标供应商如不按本投标须知的规定与采购人订立合同，则采购人将废除授标，给采购人造成损失的，应当予以赔偿，同时依法承担相应法律责任。</w:t>
      </w:r>
    </w:p>
    <w:p w14:paraId="0933B74C">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31、履约保证金</w:t>
      </w:r>
    </w:p>
    <w:p w14:paraId="16D49FBF">
      <w:pPr>
        <w:shd w:val="clear" w:color="auto" w:fill="FFFFFF"/>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31.1</w:t>
      </w:r>
      <w:r>
        <w:rPr>
          <w:rFonts w:hint="eastAsia" w:ascii="宋体" w:hAnsi="宋体" w:cs="宋体"/>
          <w:color w:val="auto"/>
          <w:sz w:val="24"/>
          <w:szCs w:val="24"/>
          <w:highlight w:val="none"/>
        </w:rPr>
        <w:t>本项目不收取履约保证金。</w:t>
      </w:r>
    </w:p>
    <w:p w14:paraId="25CE8074">
      <w:pPr>
        <w:pStyle w:val="23"/>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八、其他</w:t>
      </w:r>
    </w:p>
    <w:p w14:paraId="39F7DC1D">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32、</w:t>
      </w:r>
      <w:r>
        <w:rPr>
          <w:rFonts w:hint="eastAsia" w:ascii="宋体" w:hAnsi="宋体" w:cs="宋体"/>
          <w:color w:val="auto"/>
          <w:sz w:val="24"/>
          <w:szCs w:val="24"/>
          <w:highlight w:val="none"/>
        </w:rPr>
        <w:t>未尽事宜按国家有关规定执行。</w:t>
      </w:r>
    </w:p>
    <w:p w14:paraId="57063BB5">
      <w:pPr>
        <w:shd w:val="clear" w:color="auto" w:fill="FFFFFF"/>
        <w:snapToGrid w:val="0"/>
        <w:spacing w:line="360" w:lineRule="auto"/>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33、</w:t>
      </w:r>
      <w:r>
        <w:rPr>
          <w:rFonts w:hint="eastAsia" w:ascii="宋体" w:hAnsi="宋体" w:cs="宋体"/>
          <w:color w:val="auto"/>
          <w:sz w:val="24"/>
          <w:szCs w:val="24"/>
          <w:highlight w:val="none"/>
        </w:rPr>
        <w:t>本招标文件最终解释权归采购人。</w:t>
      </w:r>
    </w:p>
    <w:p w14:paraId="22BD0F2E">
      <w:pPr>
        <w:pStyle w:val="2"/>
        <w:keepNext w:val="0"/>
        <w:keepLines w:val="0"/>
        <w:pageBreakBefore/>
        <w:spacing w:before="120" w:after="120" w:line="400" w:lineRule="exact"/>
        <w:jc w:val="center"/>
        <w:rPr>
          <w:rFonts w:hint="eastAsia" w:ascii="宋体" w:hAnsi="宋体" w:cs="宋体"/>
          <w:b w:val="0"/>
          <w:bCs w:val="0"/>
          <w:color w:val="auto"/>
          <w:kern w:val="0"/>
          <w:sz w:val="24"/>
          <w:szCs w:val="24"/>
          <w:highlight w:val="none"/>
        </w:rPr>
      </w:pPr>
      <w:bookmarkStart w:id="33" w:name="_Toc21705"/>
      <w:bookmarkStart w:id="34" w:name="_Toc18952"/>
      <w:bookmarkStart w:id="35" w:name="_Toc5200"/>
      <w:r>
        <w:rPr>
          <w:rFonts w:hint="eastAsia" w:ascii="宋体" w:hAnsi="宋体" w:cs="宋体"/>
          <w:color w:val="auto"/>
          <w:sz w:val="36"/>
          <w:szCs w:val="36"/>
          <w:highlight w:val="none"/>
        </w:rPr>
        <w:t>第三章 评标办法</w:t>
      </w:r>
      <w:bookmarkEnd w:id="33"/>
      <w:bookmarkEnd w:id="34"/>
      <w:bookmarkEnd w:id="35"/>
    </w:p>
    <w:p w14:paraId="2616EA1D">
      <w:pPr>
        <w:pStyle w:val="25"/>
        <w:keepNext w:val="0"/>
        <w:keepLines w:val="0"/>
        <w:tabs>
          <w:tab w:val="left" w:pos="540"/>
        </w:tabs>
        <w:spacing w:before="0" w:line="360" w:lineRule="auto"/>
        <w:jc w:val="left"/>
        <w:rPr>
          <w:rFonts w:hint="eastAsia" w:ascii="宋体" w:hAnsi="宋体" w:eastAsia="宋体"/>
          <w:color w:val="auto"/>
          <w:sz w:val="24"/>
          <w:szCs w:val="24"/>
          <w:highlight w:val="none"/>
        </w:rPr>
      </w:pPr>
      <w:bookmarkStart w:id="36" w:name="_Toc28251232"/>
      <w:bookmarkStart w:id="37" w:name="_Toc11528"/>
      <w:bookmarkStart w:id="38" w:name="_Toc13844"/>
      <w:bookmarkStart w:id="39" w:name="_Toc38013557"/>
      <w:r>
        <w:rPr>
          <w:rFonts w:hint="eastAsia" w:ascii="宋体" w:hAnsi="宋体" w:eastAsia="宋体"/>
          <w:color w:val="auto"/>
          <w:sz w:val="24"/>
          <w:szCs w:val="24"/>
          <w:highlight w:val="none"/>
        </w:rPr>
        <w:t>1.评标方法</w:t>
      </w:r>
      <w:bookmarkEnd w:id="36"/>
      <w:bookmarkEnd w:id="37"/>
      <w:bookmarkEnd w:id="38"/>
      <w:bookmarkEnd w:id="39"/>
    </w:p>
    <w:p w14:paraId="28D983A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本次评标采用综合评分法。评标委员会对满足招标文件实质性要求的投标文件，按本章节规定的评分标准进行综合评分，并按得分由高到低顺序推荐3名中标候选人。综合评分相等时，由</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根据相关规定自行确定。</w:t>
      </w:r>
    </w:p>
    <w:p w14:paraId="147F1388">
      <w:pPr>
        <w:pStyle w:val="25"/>
        <w:keepNext w:val="0"/>
        <w:keepLines w:val="0"/>
        <w:tabs>
          <w:tab w:val="left" w:pos="540"/>
        </w:tabs>
        <w:spacing w:before="0" w:line="360" w:lineRule="auto"/>
        <w:jc w:val="left"/>
        <w:rPr>
          <w:rFonts w:hint="eastAsia" w:ascii="宋体" w:hAnsi="宋体" w:eastAsia="宋体"/>
          <w:color w:val="auto"/>
          <w:sz w:val="24"/>
          <w:szCs w:val="24"/>
          <w:highlight w:val="none"/>
        </w:rPr>
      </w:pPr>
      <w:bookmarkStart w:id="40" w:name="_Toc179632619"/>
      <w:bookmarkEnd w:id="40"/>
      <w:bookmarkStart w:id="41" w:name="_Toc19618"/>
      <w:bookmarkEnd w:id="41"/>
      <w:bookmarkStart w:id="42" w:name="_Toc28030"/>
      <w:bookmarkEnd w:id="42"/>
      <w:bookmarkStart w:id="43" w:name="_Toc28251233"/>
      <w:bookmarkStart w:id="44" w:name="_Toc29880"/>
      <w:bookmarkStart w:id="45" w:name="_Toc3105"/>
      <w:bookmarkStart w:id="46" w:name="_Toc38013558"/>
      <w:bookmarkStart w:id="47" w:name="_Toc22883"/>
      <w:r>
        <w:rPr>
          <w:rFonts w:hint="eastAsia" w:ascii="宋体" w:hAnsi="宋体" w:eastAsia="宋体"/>
          <w:color w:val="auto"/>
          <w:sz w:val="24"/>
          <w:szCs w:val="24"/>
          <w:highlight w:val="none"/>
        </w:rPr>
        <w:t>2. 评审标准</w:t>
      </w:r>
      <w:bookmarkEnd w:id="43"/>
      <w:bookmarkEnd w:id="44"/>
      <w:bookmarkEnd w:id="45"/>
      <w:bookmarkEnd w:id="46"/>
      <w:bookmarkEnd w:id="47"/>
    </w:p>
    <w:p w14:paraId="0D1B3899">
      <w:pPr>
        <w:pStyle w:val="26"/>
        <w:keepNext w:val="0"/>
        <w:keepLines w:val="0"/>
        <w:spacing w:line="360" w:lineRule="auto"/>
        <w:jc w:val="left"/>
        <w:rPr>
          <w:rFonts w:hint="eastAsia" w:ascii="宋体" w:hAnsi="宋体" w:eastAsia="宋体"/>
          <w:color w:val="auto"/>
          <w:highlight w:val="none"/>
        </w:rPr>
      </w:pPr>
      <w:bookmarkStart w:id="48" w:name="_Toc12931"/>
      <w:bookmarkEnd w:id="48"/>
      <w:bookmarkStart w:id="49" w:name="_Toc31847"/>
      <w:bookmarkEnd w:id="49"/>
      <w:bookmarkStart w:id="50" w:name="_Toc23196"/>
      <w:bookmarkEnd w:id="50"/>
      <w:bookmarkStart w:id="51" w:name="_Toc179632620"/>
      <w:bookmarkEnd w:id="51"/>
      <w:bookmarkStart w:id="52" w:name="_Toc8346"/>
      <w:bookmarkStart w:id="53" w:name="_Toc8794"/>
      <w:bookmarkStart w:id="54" w:name="_Toc16690667"/>
      <w:bookmarkStart w:id="55" w:name="_Toc28251234"/>
      <w:bookmarkStart w:id="56" w:name="_Toc38013559"/>
      <w:r>
        <w:rPr>
          <w:rFonts w:hint="eastAsia" w:ascii="宋体" w:hAnsi="宋体" w:eastAsia="宋体"/>
          <w:color w:val="auto"/>
          <w:highlight w:val="none"/>
        </w:rPr>
        <w:t>2.1初步评审标准</w:t>
      </w:r>
      <w:bookmarkEnd w:id="52"/>
      <w:bookmarkEnd w:id="53"/>
      <w:bookmarkEnd w:id="54"/>
      <w:bookmarkEnd w:id="55"/>
      <w:bookmarkEnd w:id="56"/>
    </w:p>
    <w:p w14:paraId="257135C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2.1.1 形式评审标准：见评标办法前附表。</w:t>
      </w:r>
    </w:p>
    <w:p w14:paraId="606D2FB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2.1.2 资格评审标准：见评标办法前附表。</w:t>
      </w:r>
    </w:p>
    <w:p w14:paraId="1186625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2.1.3 响应性评审标准：见评标办法前附表。</w:t>
      </w:r>
    </w:p>
    <w:p w14:paraId="6D9048A1">
      <w:pPr>
        <w:pStyle w:val="26"/>
        <w:keepNext w:val="0"/>
        <w:keepLines w:val="0"/>
        <w:spacing w:line="360" w:lineRule="auto"/>
        <w:jc w:val="left"/>
        <w:rPr>
          <w:rFonts w:hint="eastAsia" w:ascii="宋体" w:hAnsi="宋体" w:eastAsia="宋体"/>
          <w:color w:val="auto"/>
          <w:highlight w:val="none"/>
        </w:rPr>
      </w:pPr>
      <w:bookmarkStart w:id="57" w:name="_Toc11804"/>
      <w:bookmarkEnd w:id="57"/>
      <w:bookmarkStart w:id="58" w:name="_Toc16603"/>
      <w:bookmarkEnd w:id="58"/>
      <w:bookmarkStart w:id="59" w:name="_Toc607"/>
      <w:bookmarkEnd w:id="59"/>
      <w:bookmarkStart w:id="60" w:name="_Toc179632621"/>
      <w:bookmarkEnd w:id="60"/>
      <w:bookmarkStart w:id="61" w:name="_Toc1342"/>
      <w:bookmarkStart w:id="62" w:name="_Toc38013560"/>
      <w:bookmarkStart w:id="63" w:name="_Toc28251235"/>
      <w:bookmarkStart w:id="64" w:name="_Toc16690668"/>
      <w:bookmarkStart w:id="65" w:name="_Toc17361"/>
      <w:r>
        <w:rPr>
          <w:rFonts w:hint="eastAsia" w:ascii="宋体" w:hAnsi="宋体" w:eastAsia="宋体"/>
          <w:color w:val="auto"/>
          <w:highlight w:val="none"/>
        </w:rPr>
        <w:t>2.2 分值构成与评分标准</w:t>
      </w:r>
      <w:bookmarkEnd w:id="61"/>
      <w:bookmarkEnd w:id="62"/>
      <w:bookmarkEnd w:id="63"/>
      <w:bookmarkEnd w:id="64"/>
      <w:bookmarkEnd w:id="65"/>
    </w:p>
    <w:p w14:paraId="49DCDDB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2.2.1 分值构成：见详细评审表。</w:t>
      </w:r>
    </w:p>
    <w:p w14:paraId="42C0E88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2.2.2 评分标准：见详细评审表。</w:t>
      </w:r>
    </w:p>
    <w:p w14:paraId="5B1906A0">
      <w:pPr>
        <w:pStyle w:val="25"/>
        <w:keepNext w:val="0"/>
        <w:keepLines w:val="0"/>
        <w:tabs>
          <w:tab w:val="left" w:pos="540"/>
        </w:tabs>
        <w:spacing w:before="0" w:line="360" w:lineRule="auto"/>
        <w:jc w:val="left"/>
        <w:rPr>
          <w:rFonts w:hint="eastAsia" w:ascii="宋体" w:hAnsi="宋体" w:eastAsia="宋体"/>
          <w:color w:val="auto"/>
          <w:sz w:val="24"/>
          <w:szCs w:val="24"/>
          <w:highlight w:val="none"/>
        </w:rPr>
      </w:pPr>
      <w:bookmarkStart w:id="66" w:name="_Toc11715"/>
      <w:bookmarkEnd w:id="66"/>
      <w:bookmarkStart w:id="67" w:name="_Toc152045604"/>
      <w:bookmarkEnd w:id="67"/>
      <w:bookmarkStart w:id="68" w:name="_Toc144974571"/>
      <w:bookmarkEnd w:id="68"/>
      <w:bookmarkStart w:id="69" w:name="_Toc13158"/>
      <w:bookmarkEnd w:id="69"/>
      <w:bookmarkStart w:id="70" w:name="_Toc179632622"/>
      <w:bookmarkEnd w:id="70"/>
      <w:bookmarkStart w:id="71" w:name="_Toc25534"/>
      <w:bookmarkEnd w:id="71"/>
      <w:bookmarkStart w:id="72" w:name="_Toc152042381"/>
      <w:bookmarkStart w:id="73" w:name="_Toc28251236"/>
      <w:bookmarkStart w:id="74" w:name="_Toc38013561"/>
      <w:bookmarkStart w:id="75" w:name="_Toc32601"/>
      <w:bookmarkStart w:id="76" w:name="_Toc30473"/>
      <w:r>
        <w:rPr>
          <w:rFonts w:hint="eastAsia" w:ascii="宋体" w:hAnsi="宋体" w:eastAsia="宋体"/>
          <w:color w:val="auto"/>
          <w:sz w:val="24"/>
          <w:szCs w:val="24"/>
          <w:highlight w:val="none"/>
        </w:rPr>
        <w:t>3. 评标程序</w:t>
      </w:r>
      <w:bookmarkEnd w:id="72"/>
      <w:bookmarkEnd w:id="73"/>
      <w:bookmarkEnd w:id="74"/>
      <w:bookmarkEnd w:id="75"/>
      <w:bookmarkEnd w:id="76"/>
    </w:p>
    <w:p w14:paraId="3C0504DD">
      <w:pPr>
        <w:pStyle w:val="26"/>
        <w:keepNext w:val="0"/>
        <w:keepLines w:val="0"/>
        <w:spacing w:line="360" w:lineRule="auto"/>
        <w:jc w:val="left"/>
        <w:rPr>
          <w:rFonts w:hint="eastAsia" w:ascii="宋体" w:hAnsi="宋体" w:eastAsia="宋体"/>
          <w:b/>
          <w:color w:val="auto"/>
          <w:highlight w:val="none"/>
        </w:rPr>
      </w:pPr>
      <w:bookmarkStart w:id="77" w:name="_Toc8644"/>
      <w:bookmarkEnd w:id="77"/>
      <w:bookmarkStart w:id="78" w:name="_Toc152042382"/>
      <w:bookmarkEnd w:id="78"/>
      <w:bookmarkStart w:id="79" w:name="_Toc31010"/>
      <w:bookmarkEnd w:id="79"/>
      <w:bookmarkStart w:id="80" w:name="_Toc30372"/>
      <w:bookmarkEnd w:id="80"/>
      <w:bookmarkStart w:id="81" w:name="_Toc144974572"/>
      <w:bookmarkEnd w:id="81"/>
      <w:bookmarkStart w:id="82" w:name="_Toc152045605"/>
      <w:bookmarkEnd w:id="82"/>
      <w:bookmarkStart w:id="83" w:name="_Toc11875"/>
      <w:bookmarkStart w:id="84" w:name="_Toc38013562"/>
      <w:bookmarkStart w:id="85" w:name="_Toc12409"/>
      <w:bookmarkStart w:id="86" w:name="_Toc28251237"/>
      <w:bookmarkStart w:id="87" w:name="_Toc16690670"/>
      <w:bookmarkStart w:id="88" w:name="_Toc179632623"/>
      <w:r>
        <w:rPr>
          <w:rFonts w:hint="eastAsia" w:ascii="宋体" w:hAnsi="宋体" w:eastAsia="宋体"/>
          <w:color w:val="auto"/>
          <w:highlight w:val="none"/>
        </w:rPr>
        <w:t>3.1 初步评审</w:t>
      </w:r>
      <w:bookmarkEnd w:id="83"/>
      <w:bookmarkEnd w:id="84"/>
      <w:bookmarkEnd w:id="85"/>
      <w:bookmarkEnd w:id="86"/>
      <w:bookmarkEnd w:id="87"/>
      <w:bookmarkEnd w:id="88"/>
    </w:p>
    <w:p w14:paraId="2020ECB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3.1.1</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根据本章规定得资格评审办法对投标人进行资格审查，资格审查资料以投标人投标文件中所附资料为准，进行核验。</w:t>
      </w:r>
      <w:r>
        <w:rPr>
          <w:rFonts w:hint="eastAsia" w:ascii="宋体" w:hAnsi="宋体" w:cs="宋体"/>
          <w:bCs/>
          <w:color w:val="auto"/>
          <w:sz w:val="24"/>
          <w:szCs w:val="24"/>
          <w:highlight w:val="none"/>
        </w:rPr>
        <w:t>通过资格审查的投标人由</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依据本章第2.1款规定的标准对投标文件进行</w:t>
      </w:r>
      <w:r>
        <w:rPr>
          <w:rFonts w:hint="eastAsia" w:ascii="宋体" w:hAnsi="宋体" w:cs="宋体"/>
          <w:bCs/>
          <w:color w:val="auto"/>
          <w:sz w:val="24"/>
          <w:szCs w:val="24"/>
          <w:highlight w:val="none"/>
        </w:rPr>
        <w:t>形式评审、响应性评审</w:t>
      </w:r>
      <w:r>
        <w:rPr>
          <w:rFonts w:hint="eastAsia" w:ascii="宋体" w:hAnsi="宋体" w:cs="宋体"/>
          <w:color w:val="auto"/>
          <w:sz w:val="24"/>
          <w:szCs w:val="24"/>
          <w:highlight w:val="none"/>
        </w:rPr>
        <w:t>。有一项不符合评审标准的，其投标将被否决。</w:t>
      </w:r>
    </w:p>
    <w:p w14:paraId="17A2B54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3.1.2供应商有以下情形之一的，其投标作无效标处理：</w:t>
      </w:r>
    </w:p>
    <w:p w14:paraId="503ECE3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（1）串通投标或弄虚作假或有其他违法行为的；</w:t>
      </w:r>
    </w:p>
    <w:p w14:paraId="0D4485F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（2）不按</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要求澄清、说明或补正的。</w:t>
      </w:r>
    </w:p>
    <w:p w14:paraId="6C2E88F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3.1.3投标报价有算术错误的，</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按以下原则对投标报价进行修正，修正的价格经供应商书面确认后具有约束力。供应商不接受修正价格的，其投标将被否决。</w:t>
      </w:r>
    </w:p>
    <w:p w14:paraId="44034423">
      <w:pPr>
        <w:spacing w:line="360" w:lineRule="auto"/>
        <w:ind w:firstLine="480" w:firstLineChars="200"/>
        <w:rPr>
          <w:rFonts w:hint="eastAsia" w:ascii="宋体" w:hAnsi="宋体" w:cs="宋体"/>
          <w:color w:val="auto"/>
          <w:sz w:val="24"/>
          <w:szCs w:val="24"/>
          <w:highlight w:val="none"/>
        </w:rPr>
      </w:pPr>
      <w:bookmarkStart w:id="89" w:name="_Toc152042383"/>
      <w:bookmarkEnd w:id="89"/>
      <w:r>
        <w:rPr>
          <w:rFonts w:hint="eastAsia" w:ascii="宋体" w:hAnsi="宋体" w:cs="宋体"/>
          <w:color w:val="auto"/>
          <w:sz w:val="24"/>
          <w:szCs w:val="24"/>
          <w:highlight w:val="none"/>
        </w:rPr>
        <w:t>（1）投标文件中的大写金额与小写金额不一致的，以大写金额为准；</w:t>
      </w:r>
    </w:p>
    <w:p w14:paraId="3D606D2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（2）总价金额与依据单价计算出的结果不一致的，以单价金额为准修正总价，但单价金额小数点有明显错误的除外。</w:t>
      </w:r>
    </w:p>
    <w:p w14:paraId="5555C8FF">
      <w:pPr>
        <w:pStyle w:val="26"/>
        <w:keepNext w:val="0"/>
        <w:keepLines w:val="0"/>
        <w:spacing w:line="360" w:lineRule="auto"/>
        <w:jc w:val="left"/>
        <w:rPr>
          <w:rFonts w:hint="eastAsia" w:ascii="宋体" w:hAnsi="宋体" w:eastAsia="宋体"/>
          <w:b/>
          <w:color w:val="auto"/>
          <w:highlight w:val="none"/>
        </w:rPr>
      </w:pPr>
      <w:bookmarkStart w:id="90" w:name="_Toc179632624"/>
      <w:bookmarkEnd w:id="90"/>
      <w:bookmarkStart w:id="91" w:name="_Toc152042384"/>
      <w:bookmarkEnd w:id="91"/>
      <w:bookmarkStart w:id="92" w:name="_Toc144974573"/>
      <w:bookmarkEnd w:id="92"/>
      <w:bookmarkStart w:id="93" w:name="_Toc16690671"/>
      <w:bookmarkStart w:id="94" w:name="_Toc18657"/>
      <w:bookmarkStart w:id="95" w:name="_Toc28251238"/>
      <w:bookmarkStart w:id="96" w:name="_Toc38013563"/>
      <w:bookmarkStart w:id="97" w:name="_Toc152045606"/>
      <w:bookmarkStart w:id="98" w:name="_Toc32019"/>
      <w:r>
        <w:rPr>
          <w:rFonts w:hint="eastAsia" w:ascii="宋体" w:hAnsi="宋体" w:eastAsia="宋体"/>
          <w:color w:val="auto"/>
          <w:highlight w:val="none"/>
        </w:rPr>
        <w:t>3.2详细评审</w:t>
      </w:r>
      <w:bookmarkEnd w:id="93"/>
      <w:bookmarkEnd w:id="94"/>
      <w:bookmarkEnd w:id="95"/>
      <w:bookmarkEnd w:id="96"/>
      <w:bookmarkEnd w:id="97"/>
      <w:bookmarkEnd w:id="98"/>
    </w:p>
    <w:p w14:paraId="0E7A344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3.2.1</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按本章第2.2款规定的量化因素和分值进行打分，并计算出综合评估得分。</w:t>
      </w:r>
    </w:p>
    <w:p w14:paraId="0E9D995F">
      <w:pPr>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color w:val="auto"/>
          <w:sz w:val="24"/>
          <w:szCs w:val="24"/>
          <w:highlight w:val="none"/>
        </w:rPr>
        <w:t>3.2.2</w:t>
      </w:r>
      <w:r>
        <w:rPr>
          <w:rFonts w:hint="eastAsia" w:ascii="宋体" w:hAnsi="宋体" w:cs="宋体"/>
          <w:sz w:val="24"/>
          <w:highlight w:val="none"/>
          <w:lang w:val="en-US" w:eastAsia="zh-CN"/>
        </w:rPr>
        <w:t>按照《关于推动解决政府采购异常低价问题的通知》(财库〔2026〕2号)规定，政府采购评审中出现下列情形之一的，评审委员会应当启动异常低价投标（响应）审查程序。</w:t>
      </w:r>
    </w:p>
    <w:p w14:paraId="57E1A1C3">
      <w:pPr>
        <w:spacing w:line="360" w:lineRule="auto"/>
        <w:ind w:firstLine="480" w:firstLineChars="200"/>
        <w:jc w:val="left"/>
        <w:rPr>
          <w:rFonts w:ascii="宋体" w:hAnsi="宋体" w:cs="宋体"/>
          <w:sz w:val="24"/>
        </w:rPr>
      </w:pPr>
      <w:r>
        <w:rPr>
          <w:rFonts w:hint="eastAsia" w:ascii="宋体" w:hAnsi="宋体" w:cs="宋体"/>
          <w:sz w:val="24"/>
        </w:rPr>
        <w:t xml:space="preserve">（1） </w:t>
      </w:r>
      <w:r>
        <w:rPr>
          <w:rFonts w:hint="eastAsia" w:ascii="宋体" w:hAnsi="宋体" w:cs="宋体"/>
          <w:sz w:val="24"/>
          <w:lang w:val="en-US" w:eastAsia="zh-CN"/>
        </w:rPr>
        <w:t>投标（响应）报价低于全部通过符合性审查供应商投标（响应）报价平均值50%的，即投标（响应）报价&lt;全部通过符合性审查供应商投标（响应）报价平均值×50%</w:t>
      </w:r>
      <w:r>
        <w:rPr>
          <w:rFonts w:hint="eastAsia" w:ascii="宋体" w:hAnsi="宋体" w:cs="宋体"/>
          <w:sz w:val="24"/>
        </w:rPr>
        <w:t>；</w:t>
      </w:r>
    </w:p>
    <w:p w14:paraId="7105AAE6">
      <w:pPr>
        <w:spacing w:line="360" w:lineRule="auto"/>
        <w:ind w:firstLine="480" w:firstLineChars="200"/>
        <w:jc w:val="left"/>
        <w:rPr>
          <w:rFonts w:ascii="宋体" w:hAnsi="宋体" w:cs="宋体"/>
          <w:sz w:val="24"/>
        </w:rPr>
      </w:pPr>
      <w:r>
        <w:rPr>
          <w:rFonts w:hint="eastAsia" w:ascii="宋体" w:hAnsi="宋体" w:cs="宋体"/>
          <w:sz w:val="24"/>
        </w:rPr>
        <w:t xml:space="preserve">（2） </w:t>
      </w:r>
      <w:r>
        <w:rPr>
          <w:rFonts w:hint="eastAsia" w:ascii="宋体" w:hAnsi="宋体" w:cs="宋体"/>
          <w:sz w:val="24"/>
          <w:lang w:val="en-US" w:eastAsia="zh-CN"/>
        </w:rPr>
        <w:t>投标（响应）报价低于通过符合性审查的次低报价供应商投标（响应）报价50%的，即投标（响应）报价&lt;通过符合性审查的次低报价供应商投标（响应）报价×50%</w:t>
      </w:r>
      <w:r>
        <w:rPr>
          <w:rFonts w:hint="eastAsia" w:ascii="宋体" w:hAnsi="宋体" w:cs="宋体"/>
          <w:sz w:val="24"/>
        </w:rPr>
        <w:t>；</w:t>
      </w:r>
    </w:p>
    <w:p w14:paraId="3157EE91">
      <w:pPr>
        <w:spacing w:line="360" w:lineRule="auto"/>
        <w:ind w:firstLine="480" w:firstLineChars="200"/>
        <w:jc w:val="left"/>
        <w:rPr>
          <w:rFonts w:hint="eastAsia" w:ascii="宋体" w:hAnsi="宋体" w:cs="宋体"/>
          <w:sz w:val="24"/>
          <w:lang w:eastAsia="zh-CN"/>
        </w:rPr>
      </w:pPr>
      <w:r>
        <w:rPr>
          <w:rFonts w:hint="eastAsia" w:ascii="宋体" w:hAnsi="宋体" w:cs="宋体"/>
          <w:sz w:val="24"/>
        </w:rPr>
        <w:t xml:space="preserve">（3） </w:t>
      </w:r>
      <w:r>
        <w:rPr>
          <w:rFonts w:hint="eastAsia" w:ascii="宋体" w:hAnsi="宋体" w:cs="宋体"/>
          <w:sz w:val="24"/>
          <w:lang w:val="en-US" w:eastAsia="zh-CN"/>
        </w:rPr>
        <w:t>投标（响应）报价低于采购项目最高限价45%的，即投标（响应）报价&lt;采购项目最高限价×45%</w:t>
      </w:r>
      <w:r>
        <w:rPr>
          <w:rFonts w:hint="eastAsia" w:ascii="宋体" w:hAnsi="宋体" w:cs="宋体"/>
          <w:sz w:val="24"/>
        </w:rPr>
        <w:t xml:space="preserve"> </w:t>
      </w:r>
      <w:r>
        <w:rPr>
          <w:rFonts w:hint="eastAsia" w:ascii="宋体" w:hAnsi="宋体" w:cs="宋体"/>
          <w:sz w:val="24"/>
          <w:lang w:eastAsia="zh-CN"/>
        </w:rPr>
        <w:t>；</w:t>
      </w:r>
    </w:p>
    <w:p w14:paraId="4B505C12">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w:t>
      </w:r>
      <w:r>
        <w:rPr>
          <w:rFonts w:hint="eastAsia" w:ascii="宋体" w:hAnsi="宋体" w:cs="宋体"/>
          <w:sz w:val="24"/>
          <w:lang w:val="en-US" w:eastAsia="zh-CN"/>
        </w:rPr>
        <w:t>评审委员会基于专业判断，认为供应商报价过低，有可能影响产品质量或者不能诚信履约的其他情形；</w:t>
      </w:r>
    </w:p>
    <w:p w14:paraId="3141312D">
      <w:pPr>
        <w:spacing w:line="360" w:lineRule="auto"/>
        <w:ind w:firstLine="480" w:firstLineChars="200"/>
        <w:jc w:val="left"/>
        <w:rPr>
          <w:rFonts w:hint="eastAsia" w:ascii="宋体" w:hAnsi="宋体" w:cs="宋体"/>
          <w:sz w:val="24"/>
        </w:rPr>
      </w:pPr>
      <w:r>
        <w:rPr>
          <w:rFonts w:hint="eastAsia" w:ascii="宋体" w:hAnsi="宋体" w:cs="宋体"/>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87BAB8">
      <w:pPr>
        <w:spacing w:line="360" w:lineRule="auto"/>
        <w:ind w:firstLine="480" w:firstLineChars="200"/>
        <w:jc w:val="left"/>
        <w:rPr>
          <w:rFonts w:hint="eastAsia" w:ascii="宋体" w:hAnsi="宋体" w:cs="宋体"/>
          <w:sz w:val="24"/>
        </w:rPr>
      </w:pPr>
      <w:r>
        <w:rPr>
          <w:rFonts w:hint="eastAsia" w:ascii="宋体" w:hAnsi="宋体" w:cs="宋体"/>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84256CC">
      <w:pPr>
        <w:spacing w:line="360" w:lineRule="auto"/>
        <w:ind w:firstLine="480" w:firstLineChars="200"/>
        <w:jc w:val="left"/>
        <w:rPr>
          <w:rFonts w:hint="default" w:ascii="宋体" w:hAnsi="宋体" w:cs="宋体"/>
          <w:sz w:val="24"/>
        </w:rPr>
      </w:pPr>
      <w:r>
        <w:rPr>
          <w:rFonts w:hint="default" w:ascii="宋体" w:hAnsi="宋体" w:cs="宋体"/>
          <w:sz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4DBC99A">
      <w:pPr>
        <w:spacing w:line="360" w:lineRule="auto"/>
        <w:ind w:firstLine="480" w:firstLineChars="200"/>
        <w:jc w:val="left"/>
        <w:rPr>
          <w:rFonts w:hint="default" w:ascii="宋体" w:hAnsi="宋体" w:cs="宋体"/>
          <w:sz w:val="24"/>
        </w:rPr>
      </w:pPr>
      <w:r>
        <w:rPr>
          <w:rFonts w:hint="default" w:ascii="宋体" w:hAnsi="宋体" w:cs="宋体"/>
          <w:sz w:val="24"/>
        </w:rPr>
        <w:t>异常低价投标审查的启动原因、审查意见和审查结果应当在评审报告中记录，并随供应商提供的相关书面说明及证明材料，以及评审委员会有关互联网浏览、查询历史一并归档。</w:t>
      </w:r>
    </w:p>
    <w:p w14:paraId="4FADDA33">
      <w:pPr>
        <w:pStyle w:val="26"/>
        <w:keepNext w:val="0"/>
        <w:keepLines w:val="0"/>
        <w:spacing w:line="360" w:lineRule="auto"/>
        <w:jc w:val="left"/>
        <w:rPr>
          <w:rFonts w:hint="eastAsia" w:ascii="宋体" w:hAnsi="宋体" w:eastAsia="宋体"/>
          <w:color w:val="auto"/>
          <w:highlight w:val="none"/>
        </w:rPr>
      </w:pPr>
      <w:bookmarkStart w:id="99" w:name="_Toc418608950"/>
      <w:bookmarkEnd w:id="99"/>
      <w:bookmarkStart w:id="100" w:name="_Toc401512224"/>
      <w:bookmarkEnd w:id="100"/>
      <w:bookmarkStart w:id="101" w:name="_Toc423358132"/>
      <w:bookmarkEnd w:id="101"/>
      <w:bookmarkStart w:id="102" w:name="_Toc418605429"/>
      <w:bookmarkEnd w:id="102"/>
      <w:bookmarkStart w:id="103" w:name="_Toc401926485"/>
      <w:bookmarkEnd w:id="103"/>
      <w:bookmarkStart w:id="104" w:name="_Toc421805017"/>
      <w:bookmarkEnd w:id="104"/>
      <w:bookmarkStart w:id="105" w:name="_Toc421698384"/>
      <w:bookmarkEnd w:id="105"/>
      <w:bookmarkStart w:id="106" w:name="_Toc179632625"/>
      <w:bookmarkEnd w:id="106"/>
      <w:bookmarkStart w:id="107" w:name="_Toc466566711"/>
      <w:bookmarkEnd w:id="107"/>
      <w:bookmarkStart w:id="108" w:name="_Toc152042385"/>
      <w:bookmarkEnd w:id="108"/>
      <w:bookmarkStart w:id="109" w:name="_Toc466566800"/>
      <w:bookmarkEnd w:id="109"/>
      <w:bookmarkStart w:id="110" w:name="_Toc387498748"/>
      <w:bookmarkEnd w:id="110"/>
      <w:bookmarkStart w:id="111" w:name="_Toc389384087"/>
      <w:bookmarkEnd w:id="111"/>
      <w:bookmarkStart w:id="112" w:name="_Toc144974575"/>
      <w:bookmarkEnd w:id="112"/>
      <w:bookmarkStart w:id="113" w:name="_Toc152045607"/>
      <w:bookmarkStart w:id="114" w:name="_Toc38013564"/>
      <w:bookmarkStart w:id="115" w:name="_Toc16690672"/>
      <w:bookmarkStart w:id="116" w:name="_Toc17285"/>
      <w:bookmarkStart w:id="117" w:name="_Toc5619"/>
      <w:bookmarkStart w:id="118" w:name="_Toc28251239"/>
      <w:r>
        <w:rPr>
          <w:rFonts w:hint="eastAsia" w:ascii="宋体" w:hAnsi="宋体" w:eastAsia="宋体"/>
          <w:color w:val="auto"/>
          <w:highlight w:val="none"/>
        </w:rPr>
        <w:t xml:space="preserve">3.3 </w:t>
      </w:r>
      <w:bookmarkEnd w:id="113"/>
      <w:r>
        <w:rPr>
          <w:rFonts w:hint="eastAsia" w:ascii="宋体" w:hAnsi="宋体" w:eastAsia="宋体"/>
          <w:color w:val="auto"/>
          <w:highlight w:val="none"/>
        </w:rPr>
        <w:t>投标文件的澄清和补正</w:t>
      </w:r>
      <w:bookmarkEnd w:id="114"/>
      <w:bookmarkEnd w:id="115"/>
      <w:bookmarkEnd w:id="116"/>
      <w:bookmarkEnd w:id="117"/>
      <w:bookmarkEnd w:id="118"/>
    </w:p>
    <w:p w14:paraId="69D94D4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3.3.1评标委员会对电子化投标文件有质疑的，将通过电子化交易系统对投标人发起质疑，并在监督人员的监督下，用免提模式致电需要答复的投标人，对质疑进行回复。回复文件必须以经过投标人和其法定代表人签章的PDF格式文件为准，并通过电子化交易系统提交至评标委员会。如评标委员会对需要回复的投标人连续三次致电未接通的，视为投标人放弃回复，评标委员会将自行对需要回复的内容进行认定。</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不接受供应商主动提出的澄清、说明或补正。</w:t>
      </w:r>
    </w:p>
    <w:p w14:paraId="31BD56E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3.3.2 澄清、说明和补正不得改变投标文件的实质性内容（算术性错误修正的除外）。供应商的书面澄清、说明和补正属于投标文件的组成部分。</w:t>
      </w:r>
    </w:p>
    <w:p w14:paraId="75FF3D5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3.3.3 </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对供应商提交的澄清、说明或补正有疑问的，可以要求供应商进一步澄清、说明或补正，直至满足</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的要求。</w:t>
      </w:r>
    </w:p>
    <w:p w14:paraId="75129CBA">
      <w:pPr>
        <w:pStyle w:val="26"/>
        <w:keepNext w:val="0"/>
        <w:keepLines w:val="0"/>
        <w:spacing w:line="360" w:lineRule="auto"/>
        <w:jc w:val="left"/>
        <w:rPr>
          <w:rFonts w:hint="eastAsia" w:ascii="宋体" w:hAnsi="宋体" w:eastAsia="宋体"/>
          <w:b/>
          <w:color w:val="auto"/>
          <w:highlight w:val="none"/>
        </w:rPr>
      </w:pPr>
      <w:bookmarkStart w:id="119" w:name="_Toc389384088"/>
      <w:bookmarkEnd w:id="119"/>
      <w:bookmarkStart w:id="120" w:name="_Toc179632626"/>
      <w:bookmarkEnd w:id="120"/>
      <w:bookmarkStart w:id="121" w:name="_Toc152045608"/>
      <w:bookmarkEnd w:id="121"/>
      <w:bookmarkStart w:id="122" w:name="_Toc418608951"/>
      <w:bookmarkEnd w:id="122"/>
      <w:bookmarkStart w:id="123" w:name="_Toc401926486"/>
      <w:bookmarkEnd w:id="123"/>
      <w:bookmarkStart w:id="124" w:name="_Toc418605430"/>
      <w:bookmarkEnd w:id="124"/>
      <w:bookmarkStart w:id="125" w:name="_Toc466566712"/>
      <w:bookmarkEnd w:id="125"/>
      <w:bookmarkStart w:id="126" w:name="_Toc401512225"/>
      <w:bookmarkEnd w:id="126"/>
      <w:bookmarkStart w:id="127" w:name="_Toc421805018"/>
      <w:bookmarkEnd w:id="127"/>
      <w:bookmarkStart w:id="128" w:name="_Toc466566801"/>
      <w:bookmarkEnd w:id="128"/>
      <w:bookmarkStart w:id="129" w:name="_Toc423358133"/>
      <w:bookmarkEnd w:id="129"/>
      <w:bookmarkStart w:id="130" w:name="_Toc421698385"/>
      <w:bookmarkEnd w:id="130"/>
      <w:bookmarkStart w:id="131" w:name="_Toc152042386"/>
      <w:bookmarkEnd w:id="131"/>
      <w:bookmarkStart w:id="132" w:name="_Toc144974576"/>
      <w:bookmarkEnd w:id="132"/>
      <w:bookmarkStart w:id="133" w:name="_Toc387498749"/>
      <w:bookmarkStart w:id="134" w:name="_Toc38013565"/>
      <w:bookmarkStart w:id="135" w:name="_Toc16690673"/>
      <w:bookmarkStart w:id="136" w:name="_Toc21242"/>
      <w:bookmarkStart w:id="137" w:name="_Toc28251240"/>
      <w:bookmarkStart w:id="138" w:name="_Toc29297"/>
      <w:r>
        <w:rPr>
          <w:rFonts w:hint="eastAsia" w:ascii="宋体" w:hAnsi="宋体" w:eastAsia="宋体"/>
          <w:color w:val="auto"/>
          <w:highlight w:val="none"/>
        </w:rPr>
        <w:t>3.4供应商的总得分</w:t>
      </w:r>
      <w:bookmarkEnd w:id="133"/>
      <w:bookmarkEnd w:id="134"/>
      <w:bookmarkEnd w:id="135"/>
      <w:bookmarkEnd w:id="136"/>
      <w:bookmarkEnd w:id="137"/>
      <w:bookmarkEnd w:id="138"/>
    </w:p>
    <w:p w14:paraId="67AE823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完成对技术标、投标报价和商务标得分的汇总后，取平均值作为该供应商的最终得分。</w:t>
      </w:r>
    </w:p>
    <w:p w14:paraId="341E2FE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（2）计算分值均保留两位小数。</w:t>
      </w:r>
    </w:p>
    <w:p w14:paraId="369C84B9">
      <w:pPr>
        <w:pStyle w:val="26"/>
        <w:keepNext w:val="0"/>
        <w:keepLines w:val="0"/>
        <w:spacing w:line="360" w:lineRule="auto"/>
        <w:jc w:val="left"/>
        <w:rPr>
          <w:rFonts w:hint="eastAsia" w:ascii="宋体" w:hAnsi="宋体" w:eastAsia="宋体"/>
          <w:b/>
          <w:color w:val="auto"/>
          <w:highlight w:val="none"/>
        </w:rPr>
      </w:pPr>
      <w:bookmarkStart w:id="139" w:name="_Toc28251241"/>
      <w:bookmarkStart w:id="140" w:name="_Toc16690674"/>
      <w:bookmarkStart w:id="141" w:name="_Toc20886"/>
      <w:bookmarkStart w:id="142" w:name="_Toc14812"/>
      <w:bookmarkStart w:id="143" w:name="_Toc38013566"/>
      <w:r>
        <w:rPr>
          <w:rFonts w:hint="eastAsia" w:ascii="宋体" w:hAnsi="宋体" w:eastAsia="宋体"/>
          <w:color w:val="auto"/>
          <w:highlight w:val="none"/>
        </w:rPr>
        <w:t>3.5评标结果</w:t>
      </w:r>
      <w:bookmarkEnd w:id="139"/>
      <w:bookmarkEnd w:id="140"/>
      <w:bookmarkEnd w:id="141"/>
      <w:bookmarkEnd w:id="142"/>
      <w:bookmarkEnd w:id="143"/>
    </w:p>
    <w:p w14:paraId="6FCB010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3.5.1</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按照得分由高到低的顺序推荐3名中标候选人。</w:t>
      </w:r>
    </w:p>
    <w:p w14:paraId="4504866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3.5.2</w:t>
      </w:r>
      <w:r>
        <w:rPr>
          <w:rFonts w:hint="eastAsia" w:ascii="宋体" w:hAnsi="宋体" w:cs="宋体"/>
          <w:color w:val="auto"/>
          <w:sz w:val="24"/>
          <w:szCs w:val="24"/>
          <w:highlight w:val="none"/>
          <w:lang w:eastAsia="zh-CN"/>
        </w:rPr>
        <w:t>评标委员会</w:t>
      </w:r>
      <w:r>
        <w:rPr>
          <w:rFonts w:hint="eastAsia" w:ascii="宋体" w:hAnsi="宋体" w:cs="宋体"/>
          <w:color w:val="auto"/>
          <w:sz w:val="24"/>
          <w:szCs w:val="24"/>
          <w:highlight w:val="none"/>
        </w:rPr>
        <w:t>完成评标后，应当向</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提交书面评标报告。</w:t>
      </w:r>
    </w:p>
    <w:p w14:paraId="703FB88D">
      <w:pPr>
        <w:rPr>
          <w:rFonts w:hint="eastAsia" w:ascii="宋体" w:hAnsi="宋体" w:cs="宋体"/>
          <w:b/>
          <w:bCs/>
          <w:color w:val="auto"/>
          <w:sz w:val="28"/>
          <w:szCs w:val="28"/>
          <w:highlight w:val="none"/>
        </w:rPr>
      </w:pPr>
      <w:bookmarkStart w:id="144" w:name="_Toc12961085"/>
      <w:bookmarkStart w:id="145" w:name="_Toc12959920"/>
      <w:r>
        <w:rPr>
          <w:rFonts w:hint="eastAsia" w:ascii="宋体" w:hAnsi="宋体" w:cs="宋体"/>
          <w:b/>
          <w:bCs/>
          <w:color w:val="auto"/>
          <w:sz w:val="28"/>
          <w:szCs w:val="28"/>
          <w:highlight w:val="none"/>
        </w:rPr>
        <w:br w:type="page"/>
      </w:r>
    </w:p>
    <w:p w14:paraId="6EB446F9">
      <w:pPr>
        <w:spacing w:line="276" w:lineRule="auto"/>
        <w:jc w:val="center"/>
        <w:rPr>
          <w:rFonts w:hint="eastAsia" w:ascii="宋体" w:hAnsi="宋体" w:cs="宋体"/>
          <w:b/>
          <w:color w:val="auto"/>
          <w:sz w:val="28"/>
          <w:szCs w:val="28"/>
          <w:highlight w:val="none"/>
        </w:rPr>
      </w:pPr>
      <w:r>
        <w:rPr>
          <w:rFonts w:hint="eastAsia" w:ascii="宋体" w:hAnsi="宋体" w:cs="宋体"/>
          <w:b/>
          <w:bCs/>
          <w:color w:val="auto"/>
          <w:sz w:val="28"/>
          <w:szCs w:val="28"/>
          <w:highlight w:val="none"/>
        </w:rPr>
        <w:t>初步评审表</w:t>
      </w:r>
    </w:p>
    <w:tbl>
      <w:tblPr>
        <w:tblStyle w:val="19"/>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745"/>
        <w:gridCol w:w="2713"/>
        <w:gridCol w:w="4699"/>
      </w:tblGrid>
      <w:tr w14:paraId="7047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686" w:type="dxa"/>
            <w:gridSpan w:val="2"/>
            <w:tcBorders>
              <w:top w:val="single" w:color="auto" w:sz="4" w:space="0"/>
              <w:left w:val="single" w:color="auto" w:sz="4" w:space="0"/>
              <w:bottom w:val="single" w:color="auto" w:sz="4" w:space="0"/>
              <w:right w:val="single" w:color="auto" w:sz="4" w:space="0"/>
            </w:tcBorders>
            <w:vAlign w:val="center"/>
          </w:tcPr>
          <w:p w14:paraId="32F7F65E">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条款号</w:t>
            </w:r>
          </w:p>
        </w:tc>
        <w:tc>
          <w:tcPr>
            <w:tcW w:w="2713" w:type="dxa"/>
            <w:tcBorders>
              <w:top w:val="single" w:color="auto" w:sz="4" w:space="0"/>
              <w:left w:val="nil"/>
              <w:bottom w:val="single" w:color="auto" w:sz="4" w:space="0"/>
              <w:right w:val="single" w:color="auto" w:sz="4" w:space="0"/>
            </w:tcBorders>
            <w:vAlign w:val="center"/>
          </w:tcPr>
          <w:p w14:paraId="1F6F1232">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评审因素</w:t>
            </w:r>
          </w:p>
        </w:tc>
        <w:tc>
          <w:tcPr>
            <w:tcW w:w="4699" w:type="dxa"/>
            <w:tcBorders>
              <w:top w:val="single" w:color="auto" w:sz="4" w:space="0"/>
              <w:left w:val="nil"/>
              <w:bottom w:val="single" w:color="auto" w:sz="4" w:space="0"/>
              <w:right w:val="single" w:color="auto" w:sz="4" w:space="0"/>
            </w:tcBorders>
            <w:vAlign w:val="center"/>
          </w:tcPr>
          <w:p w14:paraId="3273E026">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评审标准</w:t>
            </w:r>
          </w:p>
        </w:tc>
      </w:tr>
      <w:tr w14:paraId="720F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1" w:type="dxa"/>
            <w:vMerge w:val="restart"/>
            <w:tcBorders>
              <w:top w:val="nil"/>
              <w:left w:val="single" w:color="auto" w:sz="4" w:space="0"/>
              <w:bottom w:val="single" w:color="auto" w:sz="4" w:space="0"/>
              <w:right w:val="single" w:color="auto" w:sz="4" w:space="0"/>
            </w:tcBorders>
            <w:vAlign w:val="center"/>
          </w:tcPr>
          <w:p w14:paraId="10BDBAF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2.1.1</w:t>
            </w:r>
          </w:p>
        </w:tc>
        <w:tc>
          <w:tcPr>
            <w:tcW w:w="745" w:type="dxa"/>
            <w:vMerge w:val="restart"/>
            <w:tcBorders>
              <w:top w:val="nil"/>
              <w:left w:val="nil"/>
              <w:bottom w:val="single" w:color="auto" w:sz="4" w:space="0"/>
              <w:right w:val="single" w:color="auto" w:sz="4" w:space="0"/>
            </w:tcBorders>
            <w:vAlign w:val="center"/>
          </w:tcPr>
          <w:p w14:paraId="58AFC28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形式 评审 标准</w:t>
            </w:r>
          </w:p>
        </w:tc>
        <w:tc>
          <w:tcPr>
            <w:tcW w:w="2713" w:type="dxa"/>
            <w:tcBorders>
              <w:top w:val="single" w:color="auto" w:sz="4" w:space="0"/>
              <w:left w:val="nil"/>
              <w:bottom w:val="single" w:color="auto" w:sz="4" w:space="0"/>
              <w:right w:val="single" w:color="auto" w:sz="4" w:space="0"/>
            </w:tcBorders>
            <w:vAlign w:val="center"/>
          </w:tcPr>
          <w:p w14:paraId="702B4399">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供应商名称</w:t>
            </w:r>
          </w:p>
        </w:tc>
        <w:tc>
          <w:tcPr>
            <w:tcW w:w="4699" w:type="dxa"/>
            <w:tcBorders>
              <w:top w:val="single" w:color="auto" w:sz="4" w:space="0"/>
              <w:left w:val="nil"/>
              <w:bottom w:val="single" w:color="auto" w:sz="4" w:space="0"/>
              <w:right w:val="single" w:color="auto" w:sz="4" w:space="0"/>
            </w:tcBorders>
            <w:vAlign w:val="center"/>
          </w:tcPr>
          <w:p w14:paraId="668B20A0">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与营业执照一致</w:t>
            </w:r>
          </w:p>
        </w:tc>
      </w:tr>
      <w:tr w14:paraId="2CDB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1" w:type="dxa"/>
            <w:vMerge w:val="continue"/>
            <w:tcBorders>
              <w:top w:val="nil"/>
              <w:left w:val="single" w:color="auto" w:sz="4" w:space="0"/>
              <w:bottom w:val="single" w:color="auto" w:sz="4" w:space="0"/>
              <w:right w:val="single" w:color="auto" w:sz="4" w:space="0"/>
            </w:tcBorders>
            <w:vAlign w:val="center"/>
          </w:tcPr>
          <w:p w14:paraId="34BA03EB">
            <w:pPr>
              <w:widowControl/>
              <w:spacing w:line="360" w:lineRule="auto"/>
              <w:jc w:val="left"/>
              <w:rPr>
                <w:rFonts w:hint="eastAsia" w:ascii="宋体" w:hAnsi="宋体" w:cs="宋体"/>
                <w:color w:val="auto"/>
                <w:sz w:val="24"/>
                <w:szCs w:val="24"/>
                <w:highlight w:val="none"/>
              </w:rPr>
            </w:pPr>
          </w:p>
        </w:tc>
        <w:tc>
          <w:tcPr>
            <w:tcW w:w="745" w:type="dxa"/>
            <w:vMerge w:val="continue"/>
            <w:tcBorders>
              <w:top w:val="nil"/>
              <w:left w:val="nil"/>
              <w:bottom w:val="single" w:color="auto" w:sz="4" w:space="0"/>
              <w:right w:val="single" w:color="auto" w:sz="4" w:space="0"/>
            </w:tcBorders>
            <w:vAlign w:val="center"/>
          </w:tcPr>
          <w:p w14:paraId="4930A296">
            <w:pPr>
              <w:widowControl/>
              <w:spacing w:line="360" w:lineRule="auto"/>
              <w:jc w:val="left"/>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559195D6">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投标文件签字盖章</w:t>
            </w:r>
          </w:p>
        </w:tc>
        <w:tc>
          <w:tcPr>
            <w:tcW w:w="4699" w:type="dxa"/>
            <w:tcBorders>
              <w:top w:val="single" w:color="auto" w:sz="4" w:space="0"/>
              <w:left w:val="nil"/>
              <w:bottom w:val="single" w:color="auto" w:sz="4" w:space="0"/>
              <w:right w:val="single" w:color="auto" w:sz="4" w:space="0"/>
            </w:tcBorders>
            <w:vAlign w:val="center"/>
          </w:tcPr>
          <w:p w14:paraId="603F4F39">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符合招标文件要求</w:t>
            </w:r>
          </w:p>
        </w:tc>
      </w:tr>
      <w:tr w14:paraId="30BF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41" w:type="dxa"/>
            <w:vMerge w:val="continue"/>
            <w:tcBorders>
              <w:top w:val="nil"/>
              <w:left w:val="single" w:color="auto" w:sz="4" w:space="0"/>
              <w:bottom w:val="single" w:color="auto" w:sz="4" w:space="0"/>
              <w:right w:val="single" w:color="auto" w:sz="4" w:space="0"/>
            </w:tcBorders>
            <w:vAlign w:val="center"/>
          </w:tcPr>
          <w:p w14:paraId="54B54DF0">
            <w:pPr>
              <w:widowControl/>
              <w:spacing w:line="360" w:lineRule="auto"/>
              <w:jc w:val="left"/>
              <w:rPr>
                <w:rFonts w:hint="eastAsia" w:ascii="宋体" w:hAnsi="宋体" w:cs="宋体"/>
                <w:color w:val="auto"/>
                <w:sz w:val="24"/>
                <w:szCs w:val="24"/>
                <w:highlight w:val="none"/>
              </w:rPr>
            </w:pPr>
          </w:p>
        </w:tc>
        <w:tc>
          <w:tcPr>
            <w:tcW w:w="745" w:type="dxa"/>
            <w:vMerge w:val="continue"/>
            <w:tcBorders>
              <w:top w:val="nil"/>
              <w:left w:val="nil"/>
              <w:bottom w:val="single" w:color="auto" w:sz="4" w:space="0"/>
              <w:right w:val="single" w:color="auto" w:sz="4" w:space="0"/>
            </w:tcBorders>
            <w:vAlign w:val="center"/>
          </w:tcPr>
          <w:p w14:paraId="2AA6B21D">
            <w:pPr>
              <w:widowControl/>
              <w:spacing w:line="360" w:lineRule="auto"/>
              <w:jc w:val="left"/>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13CD9CB2">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报价唯一</w:t>
            </w:r>
          </w:p>
        </w:tc>
        <w:tc>
          <w:tcPr>
            <w:tcW w:w="4699" w:type="dxa"/>
            <w:tcBorders>
              <w:top w:val="single" w:color="auto" w:sz="4" w:space="0"/>
              <w:left w:val="nil"/>
              <w:bottom w:val="single" w:color="auto" w:sz="4" w:space="0"/>
              <w:right w:val="single" w:color="auto" w:sz="4" w:space="0"/>
            </w:tcBorders>
            <w:vAlign w:val="center"/>
          </w:tcPr>
          <w:p w14:paraId="1CDC2391">
            <w:pPr>
              <w:widowControl/>
              <w:autoSpaceDE w:val="0"/>
              <w:autoSpaceDN w:val="0"/>
              <w:adjustRightInd w:val="0"/>
              <w:spacing w:line="360" w:lineRule="auto"/>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只能有一个有效投标报价，且不超过</w:t>
            </w:r>
            <w:r>
              <w:rPr>
                <w:rFonts w:hint="eastAsia" w:ascii="宋体" w:hAnsi="宋体" w:cs="宋体"/>
                <w:color w:val="auto"/>
                <w:sz w:val="24"/>
                <w:szCs w:val="24"/>
                <w:highlight w:val="none"/>
                <w:lang w:eastAsia="zh-CN"/>
              </w:rPr>
              <w:t>最高限价</w:t>
            </w:r>
          </w:p>
        </w:tc>
      </w:tr>
      <w:tr w14:paraId="2B4E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restart"/>
            <w:tcBorders>
              <w:top w:val="nil"/>
              <w:left w:val="single" w:color="auto" w:sz="4" w:space="0"/>
              <w:right w:val="single" w:color="auto" w:sz="4" w:space="0"/>
            </w:tcBorders>
            <w:vAlign w:val="center"/>
          </w:tcPr>
          <w:p w14:paraId="2D1EE5E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2.1.2</w:t>
            </w:r>
          </w:p>
        </w:tc>
        <w:tc>
          <w:tcPr>
            <w:tcW w:w="745" w:type="dxa"/>
            <w:vMerge w:val="restart"/>
            <w:tcBorders>
              <w:top w:val="nil"/>
              <w:left w:val="nil"/>
              <w:right w:val="single" w:color="auto" w:sz="4" w:space="0"/>
            </w:tcBorders>
            <w:vAlign w:val="center"/>
          </w:tcPr>
          <w:p w14:paraId="558819B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资格 评审</w:t>
            </w:r>
          </w:p>
          <w:p w14:paraId="1445E03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标准</w:t>
            </w:r>
          </w:p>
        </w:tc>
        <w:tc>
          <w:tcPr>
            <w:tcW w:w="2713" w:type="dxa"/>
            <w:tcBorders>
              <w:top w:val="single" w:color="auto" w:sz="4" w:space="0"/>
              <w:left w:val="nil"/>
              <w:bottom w:val="single" w:color="auto" w:sz="4" w:space="0"/>
              <w:right w:val="single" w:color="auto" w:sz="4" w:space="0"/>
            </w:tcBorders>
            <w:vAlign w:val="center"/>
          </w:tcPr>
          <w:p w14:paraId="173A329A">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满足《中华人民共和国政府采购法》第二十二条规定</w:t>
            </w:r>
          </w:p>
        </w:tc>
        <w:tc>
          <w:tcPr>
            <w:tcW w:w="4699" w:type="dxa"/>
            <w:tcBorders>
              <w:top w:val="single" w:color="auto" w:sz="4" w:space="0"/>
              <w:left w:val="nil"/>
              <w:bottom w:val="single" w:color="auto" w:sz="4" w:space="0"/>
              <w:right w:val="single" w:color="auto" w:sz="4" w:space="0"/>
            </w:tcBorders>
            <w:vAlign w:val="center"/>
          </w:tcPr>
          <w:p w14:paraId="0A38F3DF">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供应商满足《中华人民共和国政府采购法》第二十二条规定条件（提供承诺书）</w:t>
            </w:r>
          </w:p>
        </w:tc>
      </w:tr>
      <w:tr w14:paraId="6376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14:paraId="20DCB042">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7B9EE8EB">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488779C6">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zh-TW"/>
              </w:rPr>
              <w:t>具有独立承担民事责任的能力</w:t>
            </w:r>
          </w:p>
        </w:tc>
        <w:tc>
          <w:tcPr>
            <w:tcW w:w="4699" w:type="dxa"/>
            <w:tcBorders>
              <w:top w:val="single" w:color="auto" w:sz="4" w:space="0"/>
              <w:left w:val="nil"/>
              <w:bottom w:val="single" w:color="auto" w:sz="4" w:space="0"/>
              <w:right w:val="single" w:color="auto" w:sz="4" w:space="0"/>
            </w:tcBorders>
            <w:vAlign w:val="center"/>
          </w:tcPr>
          <w:p w14:paraId="591C1026">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供应商具有独立法人资格，具有合法有效的营业执照、税务登记证、组织机构代码证（三证合一的仅提供营业执照、事业单位需提供事业单位法人证书</w:t>
            </w:r>
            <w:r>
              <w:rPr>
                <w:rFonts w:hint="eastAsia" w:ascii="宋体" w:hAnsi="宋体" w:cs="宋体"/>
                <w:color w:val="auto"/>
                <w:sz w:val="24"/>
                <w:szCs w:val="24"/>
                <w:highlight w:val="none"/>
                <w:lang w:eastAsia="zh-CN"/>
              </w:rPr>
              <w:t>）</w:t>
            </w:r>
          </w:p>
        </w:tc>
      </w:tr>
      <w:tr w14:paraId="117F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941" w:type="dxa"/>
            <w:vMerge w:val="continue"/>
            <w:tcBorders>
              <w:left w:val="single" w:color="auto" w:sz="4" w:space="0"/>
              <w:right w:val="single" w:color="auto" w:sz="4" w:space="0"/>
            </w:tcBorders>
            <w:vAlign w:val="center"/>
          </w:tcPr>
          <w:p w14:paraId="577DACA9">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5C65FE80">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2A885530">
            <w:pPr>
              <w:widowControl/>
              <w:autoSpaceDE w:val="0"/>
              <w:autoSpaceDN w:val="0"/>
              <w:adjustRightInd w:val="0"/>
              <w:spacing w:line="360" w:lineRule="auto"/>
              <w:jc w:val="center"/>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具有履行合同所必需的设备和专业技术能力</w:t>
            </w:r>
          </w:p>
        </w:tc>
        <w:tc>
          <w:tcPr>
            <w:tcW w:w="4699" w:type="dxa"/>
            <w:tcBorders>
              <w:top w:val="single" w:color="auto" w:sz="4" w:space="0"/>
              <w:left w:val="nil"/>
              <w:bottom w:val="single" w:color="auto" w:sz="4" w:space="0"/>
              <w:right w:val="single" w:color="auto" w:sz="4" w:space="0"/>
            </w:tcBorders>
            <w:vAlign w:val="center"/>
          </w:tcPr>
          <w:p w14:paraId="28F67C33">
            <w:pPr>
              <w:widowControl/>
              <w:autoSpaceDE w:val="0"/>
              <w:autoSpaceDN w:val="0"/>
              <w:adjustRightInd w:val="0"/>
              <w:spacing w:line="360" w:lineRule="auto"/>
              <w:jc w:val="center"/>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提供承诺书，格式自拟</w:t>
            </w:r>
          </w:p>
        </w:tc>
      </w:tr>
      <w:tr w14:paraId="4BCB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41" w:type="dxa"/>
            <w:vMerge w:val="continue"/>
            <w:tcBorders>
              <w:left w:val="single" w:color="auto" w:sz="4" w:space="0"/>
              <w:right w:val="single" w:color="auto" w:sz="4" w:space="0"/>
            </w:tcBorders>
            <w:vAlign w:val="center"/>
          </w:tcPr>
          <w:p w14:paraId="68AFA6F4">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72BE6F84">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1F8105D1">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zh-TW"/>
              </w:rPr>
              <w:t>供应商参加政府采购活动前三年内在经营活动中没有重大违法、违纪行为</w:t>
            </w:r>
          </w:p>
        </w:tc>
        <w:tc>
          <w:tcPr>
            <w:tcW w:w="4699" w:type="dxa"/>
            <w:tcBorders>
              <w:top w:val="single" w:color="auto" w:sz="4" w:space="0"/>
              <w:left w:val="nil"/>
              <w:bottom w:val="single" w:color="auto" w:sz="4" w:space="0"/>
              <w:right w:val="single" w:color="auto" w:sz="4" w:space="0"/>
            </w:tcBorders>
            <w:vAlign w:val="center"/>
          </w:tcPr>
          <w:p w14:paraId="2B5B2E51">
            <w:pPr>
              <w:widowControl/>
              <w:autoSpaceDE w:val="0"/>
              <w:autoSpaceDN w:val="0"/>
              <w:adjustRightInd w:val="0"/>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zh-TW"/>
              </w:rPr>
              <w:t>提供加盖公章的书面声明，格式自拟</w:t>
            </w:r>
          </w:p>
        </w:tc>
      </w:tr>
      <w:tr w14:paraId="1BCB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41" w:type="dxa"/>
            <w:vMerge w:val="continue"/>
            <w:tcBorders>
              <w:left w:val="single" w:color="auto" w:sz="4" w:space="0"/>
              <w:right w:val="single" w:color="auto" w:sz="4" w:space="0"/>
            </w:tcBorders>
            <w:vAlign w:val="center"/>
          </w:tcPr>
          <w:p w14:paraId="7B936333">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6E0189AD">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1830D90C">
            <w:pPr>
              <w:widowControl/>
              <w:autoSpaceDE w:val="0"/>
              <w:autoSpaceDN w:val="0"/>
              <w:adjustRightInd w:val="0"/>
              <w:spacing w:line="360" w:lineRule="auto"/>
              <w:jc w:val="center"/>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本企业无商业贿赂和不正当竞争行为</w:t>
            </w:r>
          </w:p>
        </w:tc>
        <w:tc>
          <w:tcPr>
            <w:tcW w:w="4699" w:type="dxa"/>
            <w:tcBorders>
              <w:top w:val="single" w:color="auto" w:sz="4" w:space="0"/>
              <w:left w:val="nil"/>
              <w:bottom w:val="single" w:color="auto" w:sz="4" w:space="0"/>
              <w:right w:val="single" w:color="auto" w:sz="4" w:space="0"/>
            </w:tcBorders>
            <w:vAlign w:val="center"/>
          </w:tcPr>
          <w:p w14:paraId="020C5771">
            <w:pPr>
              <w:widowControl/>
              <w:autoSpaceDE w:val="0"/>
              <w:autoSpaceDN w:val="0"/>
              <w:adjustRightInd w:val="0"/>
              <w:spacing w:line="360" w:lineRule="auto"/>
              <w:jc w:val="center"/>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提供承诺书</w:t>
            </w:r>
          </w:p>
        </w:tc>
      </w:tr>
      <w:tr w14:paraId="556C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41" w:type="dxa"/>
            <w:vMerge w:val="continue"/>
            <w:tcBorders>
              <w:left w:val="single" w:color="auto" w:sz="4" w:space="0"/>
              <w:right w:val="single" w:color="auto" w:sz="4" w:space="0"/>
            </w:tcBorders>
            <w:vAlign w:val="center"/>
          </w:tcPr>
          <w:p w14:paraId="6D6E963A">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59A26A9E">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3D7A045E">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信用查询</w:t>
            </w:r>
          </w:p>
        </w:tc>
        <w:tc>
          <w:tcPr>
            <w:tcW w:w="4699" w:type="dxa"/>
            <w:tcBorders>
              <w:top w:val="single" w:color="auto" w:sz="4" w:space="0"/>
              <w:left w:val="nil"/>
              <w:bottom w:val="single" w:color="auto" w:sz="4" w:space="0"/>
              <w:right w:val="single" w:color="auto" w:sz="4" w:space="0"/>
            </w:tcBorders>
            <w:vAlign w:val="center"/>
          </w:tcPr>
          <w:p w14:paraId="225DDF9F">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符合第二章“投标人须知”规定；</w:t>
            </w:r>
          </w:p>
        </w:tc>
      </w:tr>
      <w:tr w14:paraId="559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14:paraId="564DE671">
            <w:pPr>
              <w:spacing w:line="360" w:lineRule="auto"/>
              <w:jc w:val="center"/>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47DA79A7">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61835B4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zh-TW"/>
              </w:rPr>
              <w:t>供应商的单位负责人为同一人或者存在控股、管理关系的不同单位，不得参加同一项目投标</w:t>
            </w:r>
          </w:p>
        </w:tc>
        <w:tc>
          <w:tcPr>
            <w:tcW w:w="4699" w:type="dxa"/>
            <w:tcBorders>
              <w:top w:val="single" w:color="auto" w:sz="4" w:space="0"/>
              <w:left w:val="nil"/>
              <w:bottom w:val="single" w:color="auto" w:sz="4" w:space="0"/>
              <w:right w:val="single" w:color="auto" w:sz="4" w:space="0"/>
            </w:tcBorders>
            <w:vAlign w:val="center"/>
          </w:tcPr>
          <w:p w14:paraId="068942D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val="zh-TW"/>
              </w:rPr>
              <w:t>供应商的单位负责人为同一人或者存在控股、管理关系的不同单位，不得参加同一项目投标（提供“国家企业信用信息公示系统”查询截图 ，需包含公司基本信息、股东信息及股权变更信息，查询日期为本项目公告发布之后；非企业单位提供声明函（格式自拟），声明函需写明本单位及法人关联的企业或其他组织信息）</w:t>
            </w:r>
          </w:p>
        </w:tc>
      </w:tr>
      <w:tr w14:paraId="5614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tcBorders>
              <w:left w:val="single" w:color="auto" w:sz="4" w:space="0"/>
              <w:right w:val="single" w:color="auto" w:sz="4" w:space="0"/>
            </w:tcBorders>
            <w:vAlign w:val="center"/>
          </w:tcPr>
          <w:p w14:paraId="574AA073">
            <w:pPr>
              <w:spacing w:line="360" w:lineRule="auto"/>
              <w:jc w:val="center"/>
              <w:rPr>
                <w:rFonts w:hint="eastAsia" w:ascii="宋体" w:hAnsi="宋体" w:cs="宋体"/>
                <w:color w:val="auto"/>
                <w:sz w:val="24"/>
                <w:szCs w:val="24"/>
                <w:highlight w:val="none"/>
              </w:rPr>
            </w:pPr>
          </w:p>
        </w:tc>
        <w:tc>
          <w:tcPr>
            <w:tcW w:w="745" w:type="dxa"/>
            <w:tcBorders>
              <w:left w:val="nil"/>
              <w:right w:val="single" w:color="auto" w:sz="4" w:space="0"/>
            </w:tcBorders>
            <w:vAlign w:val="center"/>
          </w:tcPr>
          <w:p w14:paraId="5B350A4F">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3D6233E0">
            <w:pPr>
              <w:spacing w:line="360" w:lineRule="auto"/>
              <w:jc w:val="center"/>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zh-TW"/>
              </w:rPr>
              <w:t>本项目不接受联合体投标</w:t>
            </w:r>
          </w:p>
        </w:tc>
        <w:tc>
          <w:tcPr>
            <w:tcW w:w="4699" w:type="dxa"/>
            <w:tcBorders>
              <w:top w:val="single" w:color="auto" w:sz="4" w:space="0"/>
              <w:left w:val="nil"/>
              <w:bottom w:val="single" w:color="auto" w:sz="4" w:space="0"/>
              <w:right w:val="single" w:color="auto" w:sz="4" w:space="0"/>
            </w:tcBorders>
            <w:vAlign w:val="center"/>
          </w:tcPr>
          <w:p w14:paraId="6E7E7CCC">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提供非</w:t>
            </w:r>
            <w:r>
              <w:rPr>
                <w:rFonts w:hint="eastAsia" w:ascii="宋体" w:hAnsi="宋体" w:cs="宋体"/>
                <w:color w:val="auto"/>
                <w:sz w:val="24"/>
                <w:szCs w:val="24"/>
                <w:highlight w:val="none"/>
                <w:lang w:val="zh-TW"/>
              </w:rPr>
              <w:t>联合体投标</w:t>
            </w:r>
            <w:r>
              <w:rPr>
                <w:rFonts w:hint="eastAsia" w:ascii="宋体" w:hAnsi="宋体" w:cs="宋体"/>
                <w:color w:val="auto"/>
                <w:sz w:val="24"/>
                <w:szCs w:val="24"/>
                <w:highlight w:val="none"/>
                <w:lang w:val="en-US" w:eastAsia="zh-CN"/>
              </w:rPr>
              <w:t>承诺函</w:t>
            </w:r>
          </w:p>
        </w:tc>
      </w:tr>
      <w:tr w14:paraId="76D0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restart"/>
            <w:tcBorders>
              <w:top w:val="nil"/>
              <w:left w:val="single" w:color="auto" w:sz="4" w:space="0"/>
              <w:bottom w:val="single" w:color="auto" w:sz="4" w:space="0"/>
              <w:right w:val="single" w:color="auto" w:sz="4" w:space="0"/>
            </w:tcBorders>
            <w:vAlign w:val="center"/>
          </w:tcPr>
          <w:p w14:paraId="143F580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2.1.3</w:t>
            </w:r>
          </w:p>
        </w:tc>
        <w:tc>
          <w:tcPr>
            <w:tcW w:w="745" w:type="dxa"/>
            <w:vMerge w:val="restart"/>
            <w:tcBorders>
              <w:top w:val="single" w:color="auto" w:sz="4" w:space="0"/>
              <w:left w:val="nil"/>
              <w:bottom w:val="single" w:color="auto" w:sz="4" w:space="0"/>
              <w:right w:val="single" w:color="auto" w:sz="4" w:space="0"/>
            </w:tcBorders>
            <w:vAlign w:val="center"/>
          </w:tcPr>
          <w:p w14:paraId="6FEBDFD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响</w:t>
            </w:r>
          </w:p>
          <w:p w14:paraId="3742B6C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应</w:t>
            </w:r>
          </w:p>
          <w:p w14:paraId="6F521B2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性</w:t>
            </w:r>
          </w:p>
          <w:p w14:paraId="03642D3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评</w:t>
            </w:r>
          </w:p>
          <w:p w14:paraId="63B13B1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审</w:t>
            </w:r>
          </w:p>
        </w:tc>
        <w:tc>
          <w:tcPr>
            <w:tcW w:w="2713" w:type="dxa"/>
            <w:tcBorders>
              <w:top w:val="single" w:color="auto" w:sz="4" w:space="0"/>
              <w:left w:val="nil"/>
              <w:bottom w:val="single" w:color="auto" w:sz="4" w:space="0"/>
              <w:right w:val="single" w:color="auto" w:sz="4" w:space="0"/>
            </w:tcBorders>
            <w:vAlign w:val="center"/>
          </w:tcPr>
          <w:p w14:paraId="003F50E1">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投标有效期</w:t>
            </w:r>
          </w:p>
        </w:tc>
        <w:tc>
          <w:tcPr>
            <w:tcW w:w="4699" w:type="dxa"/>
            <w:tcBorders>
              <w:top w:val="single" w:color="auto" w:sz="4" w:space="0"/>
              <w:left w:val="nil"/>
              <w:bottom w:val="single" w:color="auto" w:sz="4" w:space="0"/>
              <w:right w:val="single" w:color="auto" w:sz="4" w:space="0"/>
            </w:tcBorders>
            <w:vAlign w:val="center"/>
          </w:tcPr>
          <w:p w14:paraId="32CCF148">
            <w:pPr>
              <w:widowControl/>
              <w:snapToGrid w:val="0"/>
              <w:spacing w:line="360" w:lineRule="auto"/>
              <w:jc w:val="center"/>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投标截止之日起60日历天</w:t>
            </w:r>
          </w:p>
        </w:tc>
      </w:tr>
      <w:tr w14:paraId="7836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continue"/>
            <w:tcBorders>
              <w:left w:val="single" w:color="auto" w:sz="4" w:space="0"/>
              <w:right w:val="single" w:color="auto" w:sz="4" w:space="0"/>
            </w:tcBorders>
            <w:vAlign w:val="center"/>
          </w:tcPr>
          <w:p w14:paraId="639466BC">
            <w:pPr>
              <w:spacing w:line="360" w:lineRule="auto"/>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08D8FA6C">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0935282F">
            <w:pPr>
              <w:autoSpaceDE w:val="0"/>
              <w:autoSpaceDN w:val="0"/>
              <w:adjustRightIn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lang w:val="en-US" w:eastAsia="zh-CN"/>
              </w:rPr>
              <w:t>内容</w:t>
            </w:r>
          </w:p>
        </w:tc>
        <w:tc>
          <w:tcPr>
            <w:tcW w:w="4699" w:type="dxa"/>
            <w:tcBorders>
              <w:top w:val="single" w:color="auto" w:sz="4" w:space="0"/>
              <w:left w:val="nil"/>
              <w:bottom w:val="single" w:color="auto" w:sz="4" w:space="0"/>
              <w:right w:val="single" w:color="auto" w:sz="4" w:space="0"/>
            </w:tcBorders>
            <w:vAlign w:val="center"/>
          </w:tcPr>
          <w:p w14:paraId="79ECFBDE">
            <w:pPr>
              <w:autoSpaceDE w:val="0"/>
              <w:autoSpaceDN w:val="0"/>
              <w:adjustRightIn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符合第二章“投标人须知”规定；</w:t>
            </w:r>
          </w:p>
        </w:tc>
      </w:tr>
      <w:tr w14:paraId="63F5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continue"/>
            <w:tcBorders>
              <w:left w:val="single" w:color="auto" w:sz="4" w:space="0"/>
              <w:right w:val="single" w:color="auto" w:sz="4" w:space="0"/>
            </w:tcBorders>
            <w:vAlign w:val="center"/>
          </w:tcPr>
          <w:p w14:paraId="75BB6778">
            <w:pPr>
              <w:spacing w:line="360" w:lineRule="auto"/>
              <w:rPr>
                <w:rFonts w:hint="eastAsia" w:ascii="宋体" w:hAnsi="宋体" w:cs="宋体"/>
                <w:color w:val="auto"/>
                <w:sz w:val="24"/>
                <w:szCs w:val="24"/>
                <w:highlight w:val="none"/>
              </w:rPr>
            </w:pPr>
          </w:p>
        </w:tc>
        <w:tc>
          <w:tcPr>
            <w:tcW w:w="745" w:type="dxa"/>
            <w:vMerge w:val="continue"/>
            <w:tcBorders>
              <w:left w:val="nil"/>
              <w:right w:val="single" w:color="auto" w:sz="4" w:space="0"/>
            </w:tcBorders>
            <w:vAlign w:val="center"/>
          </w:tcPr>
          <w:p w14:paraId="4C03472D">
            <w:pPr>
              <w:spacing w:line="360" w:lineRule="auto"/>
              <w:jc w:val="center"/>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5002EB2E">
            <w:pPr>
              <w:autoSpaceDE w:val="0"/>
              <w:autoSpaceDN w:val="0"/>
              <w:adjustRightIn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投标报价</w:t>
            </w:r>
          </w:p>
        </w:tc>
        <w:tc>
          <w:tcPr>
            <w:tcW w:w="4699" w:type="dxa"/>
            <w:tcBorders>
              <w:top w:val="single" w:color="auto" w:sz="4" w:space="0"/>
              <w:left w:val="nil"/>
              <w:bottom w:val="single" w:color="auto" w:sz="4" w:space="0"/>
              <w:right w:val="single" w:color="auto" w:sz="4" w:space="0"/>
            </w:tcBorders>
            <w:vAlign w:val="center"/>
          </w:tcPr>
          <w:p w14:paraId="1C2BF34E">
            <w:pPr>
              <w:autoSpaceDE w:val="0"/>
              <w:autoSpaceDN w:val="0"/>
              <w:adjustRightIn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不得高于采购人公布的</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控制价，否则其投标将被否决</w:t>
            </w:r>
          </w:p>
        </w:tc>
      </w:tr>
      <w:tr w14:paraId="5B39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941" w:type="dxa"/>
            <w:vMerge w:val="continue"/>
            <w:tcBorders>
              <w:top w:val="nil"/>
              <w:left w:val="single" w:color="auto" w:sz="4" w:space="0"/>
              <w:bottom w:val="single" w:color="auto" w:sz="4" w:space="0"/>
              <w:right w:val="single" w:color="auto" w:sz="4" w:space="0"/>
            </w:tcBorders>
            <w:vAlign w:val="center"/>
          </w:tcPr>
          <w:p w14:paraId="01748957">
            <w:pPr>
              <w:widowControl/>
              <w:spacing w:line="360" w:lineRule="auto"/>
              <w:jc w:val="left"/>
              <w:rPr>
                <w:rFonts w:hint="eastAsia" w:ascii="宋体" w:hAnsi="宋体" w:cs="宋体"/>
                <w:color w:val="auto"/>
                <w:sz w:val="24"/>
                <w:szCs w:val="24"/>
                <w:highlight w:val="none"/>
              </w:rPr>
            </w:pPr>
          </w:p>
        </w:tc>
        <w:tc>
          <w:tcPr>
            <w:tcW w:w="745" w:type="dxa"/>
            <w:vMerge w:val="continue"/>
            <w:tcBorders>
              <w:top w:val="single" w:color="auto" w:sz="4" w:space="0"/>
              <w:left w:val="nil"/>
              <w:bottom w:val="single" w:color="auto" w:sz="4" w:space="0"/>
              <w:right w:val="single" w:color="auto" w:sz="4" w:space="0"/>
            </w:tcBorders>
            <w:vAlign w:val="center"/>
          </w:tcPr>
          <w:p w14:paraId="2BF95E01">
            <w:pPr>
              <w:widowControl/>
              <w:spacing w:line="360" w:lineRule="auto"/>
              <w:jc w:val="left"/>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78D6698C">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服务期限</w:t>
            </w:r>
          </w:p>
        </w:tc>
        <w:tc>
          <w:tcPr>
            <w:tcW w:w="4699" w:type="dxa"/>
            <w:tcBorders>
              <w:top w:val="single" w:color="auto" w:sz="4" w:space="0"/>
              <w:left w:val="nil"/>
              <w:bottom w:val="single" w:color="auto" w:sz="4" w:space="0"/>
              <w:right w:val="single" w:color="auto" w:sz="4" w:space="0"/>
            </w:tcBorders>
            <w:vAlign w:val="center"/>
          </w:tcPr>
          <w:p w14:paraId="50E92154">
            <w:pPr>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符合</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须知前附表规定</w:t>
            </w:r>
          </w:p>
        </w:tc>
      </w:tr>
      <w:tr w14:paraId="6389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1" w:type="dxa"/>
            <w:vMerge w:val="continue"/>
            <w:tcBorders>
              <w:top w:val="nil"/>
              <w:left w:val="single" w:color="auto" w:sz="4" w:space="0"/>
              <w:bottom w:val="single" w:color="auto" w:sz="4" w:space="0"/>
              <w:right w:val="single" w:color="auto" w:sz="4" w:space="0"/>
            </w:tcBorders>
            <w:vAlign w:val="center"/>
          </w:tcPr>
          <w:p w14:paraId="3632D820">
            <w:pPr>
              <w:widowControl/>
              <w:spacing w:line="360" w:lineRule="auto"/>
              <w:jc w:val="left"/>
              <w:rPr>
                <w:rFonts w:hint="eastAsia" w:ascii="宋体" w:hAnsi="宋体" w:cs="宋体"/>
                <w:color w:val="auto"/>
                <w:sz w:val="24"/>
                <w:szCs w:val="24"/>
                <w:highlight w:val="none"/>
              </w:rPr>
            </w:pPr>
          </w:p>
        </w:tc>
        <w:tc>
          <w:tcPr>
            <w:tcW w:w="745" w:type="dxa"/>
            <w:vMerge w:val="continue"/>
            <w:tcBorders>
              <w:top w:val="single" w:color="auto" w:sz="4" w:space="0"/>
              <w:left w:val="nil"/>
              <w:bottom w:val="single" w:color="auto" w:sz="4" w:space="0"/>
              <w:right w:val="single" w:color="auto" w:sz="4" w:space="0"/>
            </w:tcBorders>
            <w:vAlign w:val="center"/>
          </w:tcPr>
          <w:p w14:paraId="0F684DD7">
            <w:pPr>
              <w:widowControl/>
              <w:spacing w:line="360" w:lineRule="auto"/>
              <w:jc w:val="left"/>
              <w:rPr>
                <w:rFonts w:hint="eastAsia" w:ascii="宋体" w:hAnsi="宋体" w:cs="宋体"/>
                <w:color w:val="auto"/>
                <w:sz w:val="24"/>
                <w:szCs w:val="24"/>
                <w:highlight w:val="none"/>
              </w:rPr>
            </w:pPr>
          </w:p>
        </w:tc>
        <w:tc>
          <w:tcPr>
            <w:tcW w:w="2713" w:type="dxa"/>
            <w:tcBorders>
              <w:top w:val="single" w:color="auto" w:sz="4" w:space="0"/>
              <w:left w:val="nil"/>
              <w:bottom w:val="single" w:color="auto" w:sz="4" w:space="0"/>
              <w:right w:val="single" w:color="auto" w:sz="4" w:space="0"/>
            </w:tcBorders>
            <w:vAlign w:val="center"/>
          </w:tcPr>
          <w:p w14:paraId="5B0B80B3">
            <w:pPr>
              <w:widowControl/>
              <w:autoSpaceDE w:val="0"/>
              <w:autoSpaceDN w:val="0"/>
              <w:adjustRightIn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质量要求</w:t>
            </w:r>
          </w:p>
        </w:tc>
        <w:tc>
          <w:tcPr>
            <w:tcW w:w="4699" w:type="dxa"/>
            <w:tcBorders>
              <w:top w:val="single" w:color="auto" w:sz="4" w:space="0"/>
              <w:left w:val="nil"/>
              <w:bottom w:val="single" w:color="auto" w:sz="4" w:space="0"/>
              <w:right w:val="single" w:color="auto" w:sz="4" w:space="0"/>
            </w:tcBorders>
            <w:vAlign w:val="center"/>
          </w:tcPr>
          <w:p w14:paraId="4EB13663">
            <w:pPr>
              <w:widowControl/>
              <w:snapToGrid w:val="0"/>
              <w:spacing w:line="360" w:lineRule="auto"/>
              <w:jc w:val="center"/>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符合国家相关规定要求，达到现行国家或行业质量检验评定合格标准，满足采购人的要求</w:t>
            </w:r>
          </w:p>
        </w:tc>
      </w:tr>
    </w:tbl>
    <w:p w14:paraId="731EFD32">
      <w:pPr>
        <w:spacing w:line="320" w:lineRule="exact"/>
        <w:rPr>
          <w:rFonts w:hint="eastAsia" w:ascii="宋体" w:hAnsi="宋体" w:cs="宋体"/>
          <w:b/>
          <w:bCs/>
          <w:color w:val="auto"/>
          <w:kern w:val="0"/>
          <w:sz w:val="24"/>
          <w:szCs w:val="24"/>
          <w:highlight w:val="none"/>
        </w:rPr>
      </w:pPr>
      <w:r>
        <w:rPr>
          <w:rFonts w:hint="eastAsia" w:ascii="宋体" w:hAnsi="宋体" w:cs="宋体"/>
          <w:b/>
          <w:bCs/>
          <w:color w:val="auto"/>
          <w:sz w:val="28"/>
          <w:szCs w:val="28"/>
          <w:highlight w:val="none"/>
        </w:rPr>
        <w:t>注：</w:t>
      </w:r>
      <w:r>
        <w:rPr>
          <w:rFonts w:hint="eastAsia" w:ascii="宋体" w:hAnsi="宋体" w:cs="宋体"/>
          <w:b/>
          <w:bCs/>
          <w:color w:val="auto"/>
          <w:kern w:val="0"/>
          <w:sz w:val="24"/>
          <w:szCs w:val="24"/>
          <w:highlight w:val="none"/>
        </w:rPr>
        <w:t>以上评审相关原件以投标文件中上传资料为准。开标结束后由采购人</w:t>
      </w:r>
      <w:r>
        <w:rPr>
          <w:rFonts w:hint="eastAsia" w:ascii="宋体" w:hAnsi="宋体" w:cs="宋体"/>
          <w:b/>
          <w:color w:val="auto"/>
          <w:sz w:val="24"/>
          <w:szCs w:val="24"/>
          <w:highlight w:val="none"/>
        </w:rPr>
        <w:t>或者采购代理机构</w:t>
      </w:r>
      <w:r>
        <w:rPr>
          <w:rFonts w:hint="eastAsia" w:ascii="宋体" w:hAnsi="宋体" w:cs="宋体"/>
          <w:b/>
          <w:bCs/>
          <w:color w:val="auto"/>
          <w:kern w:val="0"/>
          <w:sz w:val="24"/>
          <w:szCs w:val="24"/>
          <w:highlight w:val="none"/>
        </w:rPr>
        <w:t>对投标文件中所附资格资料进行核查；</w:t>
      </w:r>
      <w:r>
        <w:rPr>
          <w:rFonts w:hint="eastAsia" w:ascii="宋体" w:hAnsi="宋体" w:cs="宋体"/>
          <w:b/>
          <w:bCs/>
          <w:color w:val="auto"/>
          <w:kern w:val="0"/>
          <w:sz w:val="24"/>
          <w:szCs w:val="24"/>
          <w:highlight w:val="none"/>
          <w:lang w:eastAsia="zh-CN"/>
        </w:rPr>
        <w:t>供应商</w:t>
      </w:r>
      <w:r>
        <w:rPr>
          <w:rFonts w:hint="eastAsia" w:ascii="宋体" w:hAnsi="宋体" w:cs="宋体"/>
          <w:b/>
          <w:bCs/>
          <w:color w:val="auto"/>
          <w:kern w:val="0"/>
          <w:sz w:val="24"/>
          <w:szCs w:val="24"/>
          <w:highlight w:val="none"/>
        </w:rPr>
        <w:t>未按要求上传资料的或上传的资料不符合招标文件要求的均视为资格审查不通过，资格审查不通过的</w:t>
      </w:r>
      <w:r>
        <w:rPr>
          <w:rFonts w:hint="eastAsia" w:ascii="宋体" w:hAnsi="宋体" w:cs="宋体"/>
          <w:b/>
          <w:bCs/>
          <w:color w:val="auto"/>
          <w:kern w:val="0"/>
          <w:sz w:val="24"/>
          <w:szCs w:val="24"/>
          <w:highlight w:val="none"/>
          <w:lang w:eastAsia="zh-CN"/>
        </w:rPr>
        <w:t>供应商</w:t>
      </w:r>
      <w:r>
        <w:rPr>
          <w:rFonts w:hint="eastAsia" w:ascii="宋体" w:hAnsi="宋体" w:cs="宋体"/>
          <w:b/>
          <w:bCs/>
          <w:color w:val="auto"/>
          <w:kern w:val="0"/>
          <w:sz w:val="24"/>
          <w:szCs w:val="24"/>
          <w:highlight w:val="none"/>
        </w:rPr>
        <w:t>按无效投标处理，不再进行下一步的评审。</w:t>
      </w:r>
    </w:p>
    <w:p w14:paraId="2F0490F9">
      <w:pPr>
        <w:rPr>
          <w:rFonts w:hint="eastAsia" w:ascii="宋体" w:hAnsi="宋体" w:cs="宋体"/>
          <w:color w:val="auto"/>
          <w:highlight w:val="none"/>
        </w:rPr>
      </w:pPr>
      <w:r>
        <w:rPr>
          <w:rFonts w:hint="eastAsia" w:ascii="宋体" w:hAnsi="宋体" w:cs="宋体"/>
          <w:color w:val="auto"/>
          <w:highlight w:val="none"/>
        </w:rPr>
        <w:br w:type="page"/>
      </w:r>
    </w:p>
    <w:p w14:paraId="60053148">
      <w:pPr>
        <w:pStyle w:val="10"/>
        <w:ind w:left="0"/>
        <w:rPr>
          <w:rFonts w:hint="eastAsia" w:ascii="宋体" w:hAnsi="宋体" w:cs="宋体"/>
          <w:color w:val="auto"/>
          <w:highlight w:val="none"/>
        </w:rPr>
      </w:pPr>
      <w:r>
        <w:rPr>
          <w:rFonts w:hint="eastAsia" w:ascii="宋体" w:hAnsi="宋体" w:cs="宋体"/>
          <w:b/>
          <w:bCs/>
          <w:color w:val="auto"/>
          <w:sz w:val="24"/>
          <w:szCs w:val="24"/>
          <w:highlight w:val="none"/>
        </w:rPr>
        <w:t>详细评审表包1：</w:t>
      </w:r>
    </w:p>
    <w:tbl>
      <w:tblPr>
        <w:tblStyle w:val="19"/>
        <w:tblW w:w="10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3"/>
        <w:gridCol w:w="1911"/>
        <w:gridCol w:w="6095"/>
      </w:tblGrid>
      <w:tr w14:paraId="1F26C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Align w:val="center"/>
          </w:tcPr>
          <w:p w14:paraId="01882F30">
            <w:pPr>
              <w:spacing w:line="360" w:lineRule="auto"/>
              <w:ind w:left="210" w:leftChars="10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条款号</w:t>
            </w:r>
          </w:p>
        </w:tc>
        <w:tc>
          <w:tcPr>
            <w:tcW w:w="1911" w:type="dxa"/>
            <w:vAlign w:val="center"/>
          </w:tcPr>
          <w:p w14:paraId="3D5FA45D">
            <w:pPr>
              <w:spacing w:line="360" w:lineRule="auto"/>
              <w:ind w:left="210" w:leftChars="10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评分因素</w:t>
            </w:r>
          </w:p>
        </w:tc>
        <w:tc>
          <w:tcPr>
            <w:tcW w:w="6095" w:type="dxa"/>
            <w:vAlign w:val="center"/>
          </w:tcPr>
          <w:p w14:paraId="35A3E145">
            <w:pPr>
              <w:spacing w:line="360" w:lineRule="auto"/>
              <w:ind w:left="210" w:leftChars="10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评分标准</w:t>
            </w:r>
          </w:p>
        </w:tc>
      </w:tr>
      <w:tr w14:paraId="45724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Align w:val="center"/>
          </w:tcPr>
          <w:p w14:paraId="1A1C664D">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报价得分（</w:t>
            </w:r>
            <w:r>
              <w:rPr>
                <w:rFonts w:hint="eastAsia" w:ascii="宋体" w:hAnsi="宋体" w:cs="宋体"/>
                <w:b/>
                <w:bCs/>
                <w:color w:val="auto"/>
                <w:sz w:val="24"/>
                <w:szCs w:val="24"/>
                <w:highlight w:val="none"/>
                <w:lang w:val="en-US" w:eastAsia="zh-CN"/>
              </w:rPr>
              <w:t>20</w:t>
            </w:r>
            <w:r>
              <w:rPr>
                <w:rFonts w:hint="eastAsia" w:ascii="宋体" w:hAnsi="宋体" w:cs="宋体"/>
                <w:b/>
                <w:bCs/>
                <w:color w:val="auto"/>
                <w:sz w:val="24"/>
                <w:szCs w:val="24"/>
                <w:highlight w:val="none"/>
              </w:rPr>
              <w:t>分）</w:t>
            </w:r>
          </w:p>
        </w:tc>
        <w:tc>
          <w:tcPr>
            <w:tcW w:w="1911" w:type="dxa"/>
            <w:vAlign w:val="center"/>
          </w:tcPr>
          <w:p w14:paraId="4A056B1A">
            <w:pPr>
              <w:spacing w:line="360" w:lineRule="auto"/>
              <w:jc w:val="center"/>
              <w:rPr>
                <w:rFonts w:hint="eastAsia" w:ascii="宋体" w:hAnsi="宋体" w:cs="宋体"/>
                <w:b w:val="0"/>
                <w:bCs w:val="0"/>
                <w:i w:val="0"/>
                <w:iCs w:val="0"/>
                <w:color w:val="auto"/>
                <w:sz w:val="24"/>
                <w:szCs w:val="24"/>
                <w:highlight w:val="none"/>
              </w:rPr>
            </w:pPr>
            <w:r>
              <w:rPr>
                <w:rFonts w:hint="eastAsia" w:ascii="宋体" w:hAnsi="宋体" w:cs="宋体"/>
                <w:b w:val="0"/>
                <w:bCs w:val="0"/>
                <w:i w:val="0"/>
                <w:iCs w:val="0"/>
                <w:color w:val="auto"/>
                <w:sz w:val="24"/>
                <w:szCs w:val="24"/>
                <w:highlight w:val="none"/>
              </w:rPr>
              <w:t>投标报价</w:t>
            </w:r>
          </w:p>
          <w:p w14:paraId="69978F53">
            <w:pPr>
              <w:spacing w:line="360" w:lineRule="auto"/>
              <w:jc w:val="center"/>
              <w:rPr>
                <w:rFonts w:hint="eastAsia" w:ascii="宋体" w:hAnsi="宋体" w:cs="宋体"/>
                <w:b/>
                <w:bCs/>
                <w:color w:val="auto"/>
                <w:sz w:val="24"/>
                <w:szCs w:val="24"/>
                <w:highlight w:val="none"/>
              </w:rPr>
            </w:pPr>
            <w:r>
              <w:rPr>
                <w:rFonts w:hint="eastAsia" w:ascii="宋体" w:hAnsi="宋体" w:cs="宋体"/>
                <w:b w:val="0"/>
                <w:bCs w:val="0"/>
                <w:i w:val="0"/>
                <w:iCs w:val="0"/>
                <w:color w:val="auto"/>
                <w:sz w:val="24"/>
                <w:szCs w:val="24"/>
                <w:highlight w:val="none"/>
              </w:rPr>
              <w:t>（</w:t>
            </w:r>
            <w:r>
              <w:rPr>
                <w:rFonts w:hint="eastAsia" w:ascii="宋体" w:hAnsi="宋体" w:cs="宋体"/>
                <w:b w:val="0"/>
                <w:bCs w:val="0"/>
                <w:i w:val="0"/>
                <w:iCs w:val="0"/>
                <w:color w:val="auto"/>
                <w:sz w:val="24"/>
                <w:szCs w:val="24"/>
                <w:highlight w:val="none"/>
                <w:lang w:val="en-US" w:eastAsia="zh-CN"/>
              </w:rPr>
              <w:t>20</w:t>
            </w:r>
            <w:r>
              <w:rPr>
                <w:rFonts w:hint="eastAsia" w:ascii="宋体" w:hAnsi="宋体" w:cs="宋体"/>
                <w:b w:val="0"/>
                <w:bCs w:val="0"/>
                <w:i w:val="0"/>
                <w:iCs w:val="0"/>
                <w:color w:val="auto"/>
                <w:sz w:val="24"/>
                <w:szCs w:val="24"/>
                <w:highlight w:val="none"/>
              </w:rPr>
              <w:t>分）</w:t>
            </w:r>
          </w:p>
        </w:tc>
        <w:tc>
          <w:tcPr>
            <w:tcW w:w="6095" w:type="dxa"/>
            <w:vAlign w:val="center"/>
          </w:tcPr>
          <w:p w14:paraId="0CCD6EE1">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价格分采用低价优先法计算，即满足招标文件实质性要求且价格最低的报价为评标基准价，其价格分为满分，其他供应商的价格分统一按下列公式计算：报价得分=（评标基准价/投标报价）×</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（小数点后保留2位小数）</w:t>
            </w:r>
          </w:p>
          <w:p w14:paraId="02AEE70D">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评标委员会认为供应商的报价明显低于其他通过有效供应商报价，有可能影响服务质量或者不能诚信履约的，应当要求其在评标现场合理时间内提供书面说明，必要时提供相关证明材料；供应商不能证明其报价合理性的，评标委员会应当将其作为无效投标处理。</w:t>
            </w:r>
          </w:p>
          <w:p w14:paraId="23BE567C">
            <w:pPr>
              <w:spacing w:line="264" w:lineRule="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【注：1.对小型、微型企业、监狱企业及残疾人福利性单位价格给予20%的扣除，用扣除后的价格参与评审；</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 xml:space="preserve">符合价格扣除政策的投标人，须在投标文件中提供相应证明材料：小微企业提供《中小企业声明函》；监狱企业提供由省级以上监狱管理局、戒毒管理局（含新疆生产建设兵团）出具的属于监狱企业的证明文件；残疾人福利性单位提供《残疾人福利性单位声明函》及相关证明材料。 </w:t>
            </w:r>
          </w:p>
          <w:p w14:paraId="1D7CA9E3">
            <w:pPr>
              <w:spacing w:line="264" w:lineRule="auto"/>
              <w:rPr>
                <w:rFonts w:hint="eastAsia"/>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没有提供有效证明材料的投标人，将被视为不接受投标总价的扣除，用原投标总价参与评审。</w:t>
            </w:r>
          </w:p>
        </w:tc>
      </w:tr>
      <w:tr w14:paraId="01BBD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2033" w:type="dxa"/>
            <w:vMerge w:val="restart"/>
            <w:vAlign w:val="center"/>
          </w:tcPr>
          <w:p w14:paraId="58C4DC34">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技术部分（</w:t>
            </w:r>
            <w:r>
              <w:rPr>
                <w:rFonts w:hint="eastAsia" w:ascii="宋体" w:hAnsi="宋体" w:cs="宋体"/>
                <w:b/>
                <w:bCs/>
                <w:color w:val="auto"/>
                <w:sz w:val="24"/>
                <w:szCs w:val="24"/>
                <w:highlight w:val="none"/>
                <w:lang w:val="en-US" w:eastAsia="zh-CN"/>
              </w:rPr>
              <w:t>50</w:t>
            </w:r>
            <w:r>
              <w:rPr>
                <w:rFonts w:hint="eastAsia" w:ascii="宋体" w:hAnsi="宋体" w:cs="宋体"/>
                <w:b/>
                <w:bCs/>
                <w:color w:val="auto"/>
                <w:sz w:val="24"/>
                <w:szCs w:val="24"/>
                <w:highlight w:val="none"/>
              </w:rPr>
              <w:t>分）</w:t>
            </w:r>
          </w:p>
        </w:tc>
        <w:tc>
          <w:tcPr>
            <w:tcW w:w="1911" w:type="dxa"/>
            <w:vAlign w:val="center"/>
          </w:tcPr>
          <w:p w14:paraId="6BC459D4">
            <w:pPr>
              <w:spacing w:line="264"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运维计划</w:t>
            </w:r>
          </w:p>
          <w:p w14:paraId="12805F18">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w:t>
            </w:r>
          </w:p>
        </w:tc>
        <w:tc>
          <w:tcPr>
            <w:tcW w:w="6095" w:type="dxa"/>
            <w:vAlign w:val="center"/>
          </w:tcPr>
          <w:p w14:paraId="10281A6B">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投标人的运维计划、运维流程等，对招标文件中运维技术要求部分中每日、周、月、季度、半年、年度运维要求、质控要求、设备检修要求的响应程度。优秀得</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分，较好的得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分，一般得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分，没有不得分。</w:t>
            </w:r>
          </w:p>
        </w:tc>
      </w:tr>
      <w:tr w14:paraId="53EB8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33" w:type="dxa"/>
            <w:vMerge w:val="continue"/>
            <w:vAlign w:val="center"/>
          </w:tcPr>
          <w:p w14:paraId="5AC53822">
            <w:pPr>
              <w:spacing w:line="360" w:lineRule="auto"/>
              <w:ind w:left="210" w:leftChars="100"/>
              <w:jc w:val="center"/>
              <w:rPr>
                <w:rFonts w:hint="eastAsia" w:ascii="宋体" w:hAnsi="宋体" w:cs="宋体"/>
                <w:color w:val="auto"/>
                <w:sz w:val="24"/>
                <w:szCs w:val="24"/>
                <w:highlight w:val="none"/>
              </w:rPr>
            </w:pPr>
          </w:p>
        </w:tc>
        <w:tc>
          <w:tcPr>
            <w:tcW w:w="1911" w:type="dxa"/>
            <w:vAlign w:val="center"/>
          </w:tcPr>
          <w:p w14:paraId="79DA0757">
            <w:pPr>
              <w:spacing w:line="264"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运维措施</w:t>
            </w:r>
          </w:p>
          <w:p w14:paraId="61A2570D">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w:t>
            </w:r>
          </w:p>
        </w:tc>
        <w:tc>
          <w:tcPr>
            <w:tcW w:w="6095" w:type="dxa"/>
            <w:vAlign w:val="center"/>
          </w:tcPr>
          <w:p w14:paraId="614C6063">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投标人的运维措施应包括操作规范和规章制度制定情况、日常维护保养、定期巡检和故障维修、数据监测、标准化运维等措施进行综合评审。优秀得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分，较好的得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分，一般得1分，没有不得分。</w:t>
            </w:r>
          </w:p>
        </w:tc>
      </w:tr>
      <w:tr w14:paraId="21914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4E6E9A07">
            <w:pPr>
              <w:spacing w:line="360" w:lineRule="auto"/>
              <w:ind w:left="210" w:leftChars="100"/>
              <w:jc w:val="center"/>
              <w:rPr>
                <w:rFonts w:hint="eastAsia" w:ascii="宋体" w:hAnsi="宋体" w:cs="宋体"/>
                <w:color w:val="auto"/>
                <w:sz w:val="24"/>
                <w:szCs w:val="24"/>
                <w:highlight w:val="none"/>
              </w:rPr>
            </w:pPr>
          </w:p>
        </w:tc>
        <w:tc>
          <w:tcPr>
            <w:tcW w:w="1911" w:type="dxa"/>
            <w:vAlign w:val="center"/>
          </w:tcPr>
          <w:p w14:paraId="1861E075">
            <w:pPr>
              <w:spacing w:line="264"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应急预案</w:t>
            </w:r>
          </w:p>
          <w:p w14:paraId="5B6570D3">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w:t>
            </w:r>
          </w:p>
        </w:tc>
        <w:tc>
          <w:tcPr>
            <w:tcW w:w="6095" w:type="dxa"/>
            <w:vAlign w:val="center"/>
          </w:tcPr>
          <w:p w14:paraId="610BC162">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根据投标人提供的应急预案</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含应急分类、判别与处置</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，对运营期间如出现严重影响系统运行和数据质量的重大问题时，是否具备有效的预防和补救措施，并制定了异常数据监控制度和处理处置方法。优秀得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分，较好的得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分，一般得1分，没有不得分。</w:t>
            </w:r>
          </w:p>
        </w:tc>
      </w:tr>
      <w:tr w14:paraId="430B6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23941EF2">
            <w:pPr>
              <w:spacing w:line="360" w:lineRule="auto"/>
              <w:ind w:left="210" w:leftChars="100"/>
              <w:jc w:val="center"/>
              <w:rPr>
                <w:rFonts w:hint="eastAsia" w:ascii="宋体" w:hAnsi="宋体" w:cs="宋体"/>
                <w:color w:val="auto"/>
                <w:sz w:val="24"/>
                <w:szCs w:val="24"/>
                <w:highlight w:val="none"/>
              </w:rPr>
            </w:pPr>
          </w:p>
        </w:tc>
        <w:tc>
          <w:tcPr>
            <w:tcW w:w="1911" w:type="dxa"/>
            <w:vAlign w:val="center"/>
          </w:tcPr>
          <w:p w14:paraId="7C2AA398">
            <w:pPr>
              <w:spacing w:line="264"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质控措施</w:t>
            </w:r>
          </w:p>
          <w:p w14:paraId="09BBAEE4">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（0-10</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w:t>
            </w:r>
          </w:p>
        </w:tc>
        <w:tc>
          <w:tcPr>
            <w:tcW w:w="6095" w:type="dxa"/>
            <w:vAlign w:val="center"/>
          </w:tcPr>
          <w:p w14:paraId="027C5B68">
            <w:pPr>
              <w:spacing w:line="264" w:lineRule="auto"/>
              <w:jc w:val="both"/>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1、质量保证体系：投标人应按照《环境空气质量自动监测技术规范》要求,建立具体质量保证和质量控制体系,制定完善的针对每个监测指标的质控措施,优秀者</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6</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分，良好者</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分，一般者</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分，没有不得分。</w:t>
            </w:r>
          </w:p>
          <w:p w14:paraId="0E0EC410">
            <w:pPr>
              <w:spacing w:line="264" w:lineRule="auto"/>
              <w:jc w:val="both"/>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2、质控比对：投标人至少配备1套采用国家标准方法（包含颗粒物PM10和PM2.5监测因子</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的便携式监测仪器</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p>
          <w:p w14:paraId="391235C4">
            <w:pPr>
              <w:spacing w:line="264" w:lineRule="auto"/>
              <w:jc w:val="both"/>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2.1、提供采购合同及发票，本项得4分。</w:t>
            </w:r>
          </w:p>
          <w:p w14:paraId="33057D3E">
            <w:pPr>
              <w:spacing w:line="264" w:lineRule="auto"/>
              <w:jc w:val="both"/>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2.2、提供针对本项目的便携式监测仪器采购意向协议的，得4分；</w:t>
            </w:r>
          </w:p>
          <w:p w14:paraId="184C886A">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注：2.1和2.2不重复计算得分，本项最多得4分。</w:t>
            </w:r>
          </w:p>
        </w:tc>
      </w:tr>
      <w:tr w14:paraId="2EBA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066C217F">
            <w:pPr>
              <w:spacing w:line="360" w:lineRule="auto"/>
              <w:ind w:left="210" w:leftChars="100"/>
              <w:jc w:val="center"/>
              <w:rPr>
                <w:rFonts w:hint="eastAsia" w:ascii="宋体" w:hAnsi="宋体" w:cs="宋体"/>
                <w:color w:val="auto"/>
                <w:sz w:val="24"/>
                <w:szCs w:val="24"/>
                <w:highlight w:val="none"/>
              </w:rPr>
            </w:pPr>
          </w:p>
        </w:tc>
        <w:tc>
          <w:tcPr>
            <w:tcW w:w="1911" w:type="dxa"/>
            <w:vAlign w:val="center"/>
          </w:tcPr>
          <w:p w14:paraId="54AEAA59">
            <w:pPr>
              <w:spacing w:line="264"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车辆配置</w:t>
            </w:r>
          </w:p>
          <w:p w14:paraId="5678FF93">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p>
        </w:tc>
        <w:tc>
          <w:tcPr>
            <w:tcW w:w="6095" w:type="dxa"/>
            <w:vAlign w:val="center"/>
          </w:tcPr>
          <w:p w14:paraId="40EA5336">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每提供1台公司自有运维车辆得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1</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分，最多得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分。（提供车辆行驶证及购车发票原件扫描件</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p>
        </w:tc>
      </w:tr>
      <w:tr w14:paraId="6E853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266682BC">
            <w:pPr>
              <w:spacing w:line="360" w:lineRule="auto"/>
              <w:ind w:left="210" w:leftChars="100"/>
              <w:jc w:val="center"/>
              <w:rPr>
                <w:rFonts w:hint="eastAsia" w:ascii="宋体" w:hAnsi="宋体" w:cs="宋体"/>
                <w:color w:val="auto"/>
                <w:sz w:val="24"/>
                <w:szCs w:val="24"/>
                <w:highlight w:val="none"/>
              </w:rPr>
            </w:pPr>
          </w:p>
        </w:tc>
        <w:tc>
          <w:tcPr>
            <w:tcW w:w="1911" w:type="dxa"/>
            <w:vAlign w:val="center"/>
          </w:tcPr>
          <w:p w14:paraId="4E666ED3">
            <w:pPr>
              <w:spacing w:line="360" w:lineRule="auto"/>
              <w:jc w:val="cente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质控实验室</w:t>
            </w:r>
          </w:p>
          <w:p w14:paraId="43DA4153">
            <w:pPr>
              <w:spacing w:line="360" w:lineRule="auto"/>
              <w:jc w:val="center"/>
              <w:rPr>
                <w:rFonts w:hint="eastAsia" w:ascii="宋体" w:hAnsi="宋体" w:eastAsia="宋体" w:cs="宋体"/>
                <w:b/>
                <w:bCs/>
                <w:color w:val="auto"/>
                <w:sz w:val="24"/>
                <w:szCs w:val="24"/>
                <w:highlight w:val="none"/>
                <w:lang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p>
        </w:tc>
        <w:tc>
          <w:tcPr>
            <w:tcW w:w="6095" w:type="dxa"/>
            <w:vAlign w:val="center"/>
          </w:tcPr>
          <w:p w14:paraId="1740288C">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投标人具有自有或合作实验机构，实验机构具备有效期内检验机构资质认证证书，认证证书附表含SO2、NO2（NOX-NO</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、CO、O3、PM10、PM2.5六项指标得3分；（提供实验机构资质证书及认证附表扫描件，合作实验室的需另外提供合作协议，缺项不得分</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p>
        </w:tc>
      </w:tr>
      <w:tr w14:paraId="05E37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651E5AA5">
            <w:pPr>
              <w:jc w:val="center"/>
              <w:rPr>
                <w:rFonts w:hint="eastAsia" w:ascii="宋体" w:hAnsi="宋体" w:cs="宋体"/>
                <w:b/>
                <w:bCs/>
                <w:color w:val="auto"/>
                <w:sz w:val="24"/>
                <w:szCs w:val="24"/>
                <w:highlight w:val="none"/>
              </w:rPr>
            </w:pPr>
          </w:p>
        </w:tc>
        <w:tc>
          <w:tcPr>
            <w:tcW w:w="1911" w:type="dxa"/>
            <w:vAlign w:val="center"/>
          </w:tcPr>
          <w:p w14:paraId="6A38DF84">
            <w:pPr>
              <w:numPr>
                <w:ilvl w:val="0"/>
                <w:numId w:val="0"/>
              </w:numPr>
              <w:spacing w:line="480" w:lineRule="atLeast"/>
              <w:ind w:left="0" w:leftChars="0" w:firstLine="0" w:firstLineChars="0"/>
              <w:jc w:val="cente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合理化建议</w:t>
            </w:r>
          </w:p>
          <w:p w14:paraId="56CAEFB3">
            <w:pPr>
              <w:numPr>
                <w:ilvl w:val="0"/>
                <w:numId w:val="0"/>
              </w:numPr>
              <w:spacing w:line="480" w:lineRule="atLeast"/>
              <w:ind w:left="0" w:leftChars="0" w:firstLine="0" w:firstLineChars="0"/>
              <w:jc w:val="center"/>
              <w:rPr>
                <w:rFonts w:hint="eastAsia" w:ascii="宋体" w:hAnsi="宋体" w:cs="宋体"/>
                <w:color w:val="auto"/>
                <w:sz w:val="24"/>
                <w:szCs w:val="24"/>
                <w:highlight w:val="none"/>
                <w:lang w:val="en-US"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（0-4分）</w:t>
            </w:r>
          </w:p>
        </w:tc>
        <w:tc>
          <w:tcPr>
            <w:tcW w:w="6095" w:type="dxa"/>
            <w:vAlign w:val="center"/>
          </w:tcPr>
          <w:p w14:paraId="0F70053E">
            <w:pPr>
              <w:widowControl/>
              <w:kinsoku w:val="0"/>
              <w:autoSpaceDE w:val="0"/>
              <w:autoSpaceDN w:val="0"/>
              <w:adjustRightInd w:val="0"/>
              <w:snapToGrid w:val="0"/>
              <w:spacing w:line="360" w:lineRule="auto"/>
              <w:textAlignment w:val="baseline"/>
              <w:rPr>
                <w:rFonts w:hint="eastAsia" w:ascii="宋体" w:hAnsi="宋体" w:cs="宋体"/>
                <w:color w:val="auto"/>
                <w:sz w:val="24"/>
                <w:szCs w:val="24"/>
                <w:highlight w:val="none"/>
                <w:lang w:val="en-US" w:eastAsia="zh-CN"/>
              </w:rPr>
            </w:pP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建议合理、科学，具有针对性，可行性强得4分；建议基本合理，针对性和可行性不强得1分，缺项0分。</w:t>
            </w:r>
          </w:p>
        </w:tc>
      </w:tr>
      <w:tr w14:paraId="16450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restart"/>
            <w:vAlign w:val="center"/>
          </w:tcPr>
          <w:p w14:paraId="53CEF997">
            <w:pPr>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商务部分（</w:t>
            </w:r>
            <w:r>
              <w:rPr>
                <w:rFonts w:hint="eastAsia" w:ascii="宋体" w:hAnsi="宋体" w:cs="宋体"/>
                <w:b/>
                <w:bCs/>
                <w:color w:val="auto"/>
                <w:sz w:val="24"/>
                <w:szCs w:val="24"/>
                <w:highlight w:val="none"/>
                <w:lang w:val="en-US" w:eastAsia="zh-CN"/>
              </w:rPr>
              <w:t>30</w:t>
            </w:r>
            <w:r>
              <w:rPr>
                <w:rFonts w:hint="eastAsia" w:ascii="宋体" w:hAnsi="宋体" w:cs="宋体"/>
                <w:b/>
                <w:bCs/>
                <w:color w:val="auto"/>
                <w:sz w:val="24"/>
                <w:szCs w:val="24"/>
                <w:highlight w:val="none"/>
              </w:rPr>
              <w:t>分）</w:t>
            </w:r>
          </w:p>
        </w:tc>
        <w:tc>
          <w:tcPr>
            <w:tcW w:w="1911" w:type="dxa"/>
            <w:vAlign w:val="center"/>
          </w:tcPr>
          <w:p w14:paraId="4FFCC0DD">
            <w:pPr>
              <w:spacing w:line="264" w:lineRule="auto"/>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企业业绩</w:t>
            </w:r>
          </w:p>
          <w:p w14:paraId="62574333">
            <w:pPr>
              <w:spacing w:line="264" w:lineRule="auto"/>
              <w:jc w:val="center"/>
              <w:rPr>
                <w:rFonts w:hint="eastAsia" w:ascii="宋体" w:hAnsi="宋体" w:cs="宋体"/>
                <w:color w:val="auto"/>
                <w:sz w:val="24"/>
                <w:szCs w:val="24"/>
                <w:highlight w:val="none"/>
                <w:lang w:val="en-US" w:eastAsia="zh-CN"/>
              </w:rPr>
            </w:pP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0-</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olor w:val="000000" w:themeColor="text1"/>
                <w:sz w:val="24"/>
                <w:szCs w:val="24"/>
                <w:highlight w:val="none"/>
                <w14:textFill>
                  <w14:solidFill>
                    <w14:schemeClr w14:val="tx1"/>
                  </w14:solidFill>
                </w14:textFill>
              </w:rPr>
              <w:t>分</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w:t>
            </w:r>
          </w:p>
        </w:tc>
        <w:tc>
          <w:tcPr>
            <w:tcW w:w="6095" w:type="dxa"/>
            <w:vAlign w:val="center"/>
          </w:tcPr>
          <w:p w14:paraId="75BC9AC6">
            <w:pPr>
              <w:spacing w:line="264" w:lineRule="auto"/>
              <w:jc w:val="both"/>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供应商提供202</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3</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年1月1日以来（以合同签订时间为准</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所参与的类似项目的，每有1份得2分，最多得</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8</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分。</w:t>
            </w:r>
          </w:p>
          <w:p w14:paraId="5093EBCB">
            <w:pPr>
              <w:spacing w:line="264" w:lineRule="auto"/>
              <w:jc w:val="both"/>
              <w:rPr>
                <w:rFonts w:hint="eastAsia" w:ascii="宋体" w:hAnsi="宋体" w:cs="宋体"/>
                <w:color w:val="auto"/>
                <w:sz w:val="24"/>
                <w:szCs w:val="24"/>
                <w:highlight w:val="none"/>
                <w:lang w:val="en-US" w:eastAsia="zh-CN"/>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备注：以上资料须附在</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投标</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文件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中，否则不得分。（</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以服务合同或中标通知书为准，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扫描件不清晰或缺页，影响评标的不得分</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tc>
      </w:tr>
      <w:tr w14:paraId="5B012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jc w:val="center"/>
        </w:trPr>
        <w:tc>
          <w:tcPr>
            <w:tcW w:w="2033" w:type="dxa"/>
            <w:vMerge w:val="continue"/>
            <w:vAlign w:val="center"/>
          </w:tcPr>
          <w:p w14:paraId="242604D0">
            <w:pPr>
              <w:jc w:val="center"/>
              <w:rPr>
                <w:rFonts w:hint="eastAsia" w:ascii="宋体" w:hAnsi="宋体" w:cs="宋体"/>
                <w:b/>
                <w:bCs/>
                <w:color w:val="auto"/>
                <w:sz w:val="24"/>
                <w:szCs w:val="24"/>
                <w:highlight w:val="none"/>
              </w:rPr>
            </w:pPr>
          </w:p>
        </w:tc>
        <w:tc>
          <w:tcPr>
            <w:tcW w:w="1911" w:type="dxa"/>
            <w:vAlign w:val="center"/>
          </w:tcPr>
          <w:p w14:paraId="1630D4E1">
            <w:pPr>
              <w:pStyle w:val="31"/>
              <w:spacing w:before="68" w:line="221" w:lineRule="auto"/>
              <w:ind w:left="116" w:leftChars="0"/>
              <w:jc w:val="cente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企业实力</w:t>
            </w:r>
          </w:p>
          <w:p w14:paraId="6E4106A4">
            <w:pPr>
              <w:pStyle w:val="31"/>
              <w:spacing w:before="68" w:line="221" w:lineRule="auto"/>
              <w:ind w:left="116" w:leftChars="0"/>
              <w:jc w:val="center"/>
              <w:rPr>
                <w:rFonts w:hint="eastAsia" w:ascii="宋体" w:hAnsi="宋体" w:cs="宋体"/>
                <w:b/>
                <w:bCs/>
                <w:color w:val="auto"/>
                <w:sz w:val="24"/>
                <w:szCs w:val="24"/>
                <w:highlight w:val="none"/>
              </w:rPr>
            </w:pP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0-6分）</w:t>
            </w:r>
          </w:p>
        </w:tc>
        <w:tc>
          <w:tcPr>
            <w:tcW w:w="6095" w:type="dxa"/>
            <w:vAlign w:val="top"/>
          </w:tcPr>
          <w:p w14:paraId="40DFEA65">
            <w:pPr>
              <w:pStyle w:val="31"/>
              <w:spacing w:before="69" w:line="273" w:lineRule="auto"/>
              <w:ind w:left="116" w:leftChars="0" w:right="100" w:rightChars="0" w:firstLine="2" w:firstLineChars="0"/>
              <w:jc w:val="both"/>
              <w:rPr>
                <w:rFonts w:hint="eastAsia" w:ascii="宋体" w:hAnsi="宋体" w:cs="宋体"/>
                <w:color w:val="auto"/>
                <w:sz w:val="24"/>
                <w:szCs w:val="24"/>
                <w:highlight w:val="none"/>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投标人具有有效期内的质量管理体系认证、环境管理体系认证、职业健康安全管理体系认证，每有一个得2分，最多得6分。（认证范围需包含大气环境自动监测系统运维服务）。</w:t>
            </w:r>
          </w:p>
        </w:tc>
      </w:tr>
      <w:tr w14:paraId="1E632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1D7603C3">
            <w:pPr>
              <w:jc w:val="center"/>
              <w:rPr>
                <w:rFonts w:hint="eastAsia" w:ascii="宋体" w:hAnsi="宋体" w:cs="宋体"/>
                <w:b/>
                <w:bCs/>
                <w:color w:val="auto"/>
                <w:sz w:val="24"/>
                <w:szCs w:val="24"/>
                <w:highlight w:val="none"/>
              </w:rPr>
            </w:pPr>
          </w:p>
        </w:tc>
        <w:tc>
          <w:tcPr>
            <w:tcW w:w="1911" w:type="dxa"/>
            <w:vAlign w:val="center"/>
          </w:tcPr>
          <w:p w14:paraId="3054C355">
            <w:pPr>
              <w:spacing w:line="264" w:lineRule="auto"/>
              <w:jc w:val="center"/>
              <w:rPr>
                <w:rFonts w:hint="eastAsia" w:ascii="宋体" w:hAnsi="宋体" w:cs="宋体"/>
                <w:b/>
                <w:bCs/>
                <w:color w:val="auto"/>
                <w:sz w:val="24"/>
                <w:szCs w:val="24"/>
                <w:highlight w:val="none"/>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项目人员配</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备（</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0-6</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分</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w:t>
            </w:r>
          </w:p>
        </w:tc>
        <w:tc>
          <w:tcPr>
            <w:tcW w:w="6095" w:type="dxa"/>
            <w:vAlign w:val="center"/>
          </w:tcPr>
          <w:p w14:paraId="112466D4">
            <w:pPr>
              <w:spacing w:line="264" w:lineRule="auto"/>
              <w:jc w:val="both"/>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专业配置齐全，主要专业人员有中级及以上职称证</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书的，每有1人得1分，最多得</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6</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 xml:space="preserve">分。 </w:t>
            </w:r>
          </w:p>
          <w:p w14:paraId="718C5253">
            <w:pPr>
              <w:spacing w:line="264" w:lineRule="auto"/>
              <w:jc w:val="both"/>
              <w:rPr>
                <w:rFonts w:hint="eastAsia" w:ascii="宋体" w:hAnsi="宋体" w:cs="宋体"/>
                <w:color w:val="auto"/>
                <w:sz w:val="24"/>
                <w:szCs w:val="24"/>
                <w:highlight w:val="none"/>
              </w:rPr>
            </w:pP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注：以响应文件原件扫描件为准</w:t>
            </w:r>
          </w:p>
        </w:tc>
      </w:tr>
      <w:tr w14:paraId="4F024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033" w:type="dxa"/>
            <w:vMerge w:val="continue"/>
            <w:vAlign w:val="center"/>
          </w:tcPr>
          <w:p w14:paraId="4299A26D">
            <w:pPr>
              <w:jc w:val="center"/>
              <w:rPr>
                <w:rFonts w:hint="eastAsia" w:ascii="宋体" w:hAnsi="宋体" w:cs="宋体"/>
                <w:b/>
                <w:bCs/>
                <w:color w:val="auto"/>
                <w:sz w:val="24"/>
                <w:szCs w:val="24"/>
                <w:highlight w:val="none"/>
              </w:rPr>
            </w:pPr>
          </w:p>
        </w:tc>
        <w:tc>
          <w:tcPr>
            <w:tcW w:w="1911" w:type="dxa"/>
            <w:vAlign w:val="center"/>
          </w:tcPr>
          <w:p w14:paraId="58985F9E">
            <w:pPr>
              <w:pStyle w:val="31"/>
              <w:spacing w:before="68" w:line="221" w:lineRule="auto"/>
              <w:ind w:left="113" w:leftChars="0"/>
              <w:jc w:val="center"/>
              <w:rPr>
                <w:rFonts w:hint="eastAsia" w:ascii="宋体" w:hAnsi="宋体" w:cs="宋体"/>
                <w:b/>
                <w:bCs/>
                <w:color w:val="auto"/>
                <w:sz w:val="24"/>
                <w:szCs w:val="24"/>
                <w:highlight w:val="none"/>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服务承诺</w:t>
            </w:r>
            <w:r>
              <w:rPr>
                <w:rFonts w:hint="default"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w:t>
            </w: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0-10分）</w:t>
            </w:r>
          </w:p>
        </w:tc>
        <w:tc>
          <w:tcPr>
            <w:tcW w:w="6095" w:type="dxa"/>
            <w:vAlign w:val="top"/>
          </w:tcPr>
          <w:p w14:paraId="5E55990F">
            <w:pPr>
              <w:pStyle w:val="31"/>
              <w:spacing w:before="83" w:line="269" w:lineRule="auto"/>
              <w:ind w:right="102" w:rightChars="0"/>
              <w:jc w:val="both"/>
              <w:rPr>
                <w:rFonts w:hint="eastAsia" w:ascii="宋体" w:hAnsi="宋体" w:cs="宋体"/>
                <w:color w:val="auto"/>
                <w:sz w:val="24"/>
                <w:szCs w:val="24"/>
                <w:highlight w:val="none"/>
                <w:lang w:val="en-US" w:eastAsia="zh-CN"/>
              </w:rPr>
            </w:pPr>
            <w:r>
              <w:rPr>
                <w:rFonts w:hint="eastAsia" w:cs="Times New Roman"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投标人对协助做好空气站资产保管等工作，空气站运行考核目标承诺，做好空气站日常监测，填写监控记录等承诺情况综合评审，表述清晰、科学合理、可行性强、承诺全面且利于项目进展的得10分；表述基本清晰、合理性一般，可行性一般，得5分；表述不清晰，内容不合理、可行性差，得1分。无表述得0分</w:t>
            </w:r>
          </w:p>
        </w:tc>
      </w:tr>
    </w:tbl>
    <w:p w14:paraId="4D24FD67">
      <w:pPr>
        <w:rPr>
          <w:rFonts w:hint="eastAsia" w:ascii="宋体" w:hAnsi="宋体" w:cs="宋体"/>
          <w:color w:val="auto"/>
          <w:highlight w:val="none"/>
        </w:rPr>
      </w:pPr>
      <w:r>
        <w:rPr>
          <w:rFonts w:hint="eastAsia" w:ascii="宋体" w:hAnsi="宋体" w:cs="宋体"/>
          <w:color w:val="auto"/>
          <w:highlight w:val="none"/>
        </w:rPr>
        <w:br w:type="page"/>
      </w:r>
    </w:p>
    <w:bookmarkEnd w:id="144"/>
    <w:bookmarkEnd w:id="145"/>
    <w:p w14:paraId="3DAD03C5">
      <w:pPr>
        <w:pStyle w:val="23"/>
        <w:rPr>
          <w:rStyle w:val="28"/>
          <w:rFonts w:hint="eastAsia" w:ascii="宋体" w:hAnsi="宋体" w:cs="宋体"/>
          <w:b/>
          <w:bCs w:val="0"/>
          <w:color w:val="auto"/>
          <w:kern w:val="0"/>
          <w:sz w:val="32"/>
          <w:szCs w:val="24"/>
          <w:highlight w:val="none"/>
        </w:rPr>
      </w:pPr>
      <w:bookmarkStart w:id="146" w:name="_Toc22297"/>
      <w:bookmarkStart w:id="147" w:name="_Toc28236"/>
      <w:bookmarkStart w:id="148" w:name="_Toc18036"/>
      <w:r>
        <w:rPr>
          <w:rStyle w:val="28"/>
          <w:rFonts w:hint="eastAsia" w:ascii="宋体" w:hAnsi="宋体" w:cs="宋体"/>
          <w:b/>
          <w:bCs w:val="0"/>
          <w:color w:val="auto"/>
          <w:kern w:val="0"/>
          <w:sz w:val="32"/>
          <w:szCs w:val="24"/>
          <w:highlight w:val="none"/>
        </w:rPr>
        <w:t>第四章  合同条款及格式</w:t>
      </w:r>
    </w:p>
    <w:bookmarkEnd w:id="146"/>
    <w:bookmarkEnd w:id="147"/>
    <w:bookmarkEnd w:id="148"/>
    <w:p w14:paraId="6756C4F8">
      <w:pPr>
        <w:pStyle w:val="23"/>
        <w:rPr>
          <w:rFonts w:hint="eastAsia" w:ascii="宋体" w:hAnsi="宋体" w:cs="宋体"/>
          <w:color w:val="auto"/>
          <w:highlight w:val="none"/>
        </w:rPr>
      </w:pPr>
    </w:p>
    <w:p w14:paraId="73198AFE">
      <w:pPr>
        <w:pStyle w:val="6"/>
        <w:ind w:firstLine="472"/>
        <w:rPr>
          <w:rFonts w:hint="eastAsia" w:ascii="宋体" w:hAnsi="宋体" w:eastAsia="宋体" w:cs="宋体"/>
          <w:b w:val="0"/>
          <w:color w:val="auto"/>
          <w:highlight w:val="none"/>
        </w:rPr>
      </w:pPr>
      <w:r>
        <w:rPr>
          <w:rFonts w:hint="eastAsia" w:ascii="宋体" w:hAnsi="宋体" w:eastAsia="宋体" w:cs="宋体"/>
          <w:b w:val="0"/>
          <w:color w:val="auto"/>
          <w:highlight w:val="none"/>
        </w:rPr>
        <w:t>双方应根据招标文件、中标通知书、中标单位投标文件（包括澄清说明），以及与本项目相关的资料签订合同。所签订的合同不得背离招标文件的实质性内容要求和投标文件的承诺。</w:t>
      </w:r>
    </w:p>
    <w:p w14:paraId="0CB2124B">
      <w:pPr>
        <w:pStyle w:val="6"/>
        <w:ind w:firstLine="472"/>
        <w:rPr>
          <w:rFonts w:hint="eastAsia" w:ascii="宋体" w:hAnsi="宋体" w:eastAsia="宋体" w:cs="宋体"/>
          <w:b w:val="0"/>
          <w:color w:val="auto"/>
          <w:highlight w:val="none"/>
        </w:rPr>
      </w:pPr>
      <w:r>
        <w:rPr>
          <w:rFonts w:hint="eastAsia" w:ascii="宋体" w:hAnsi="宋体" w:eastAsia="宋体" w:cs="宋体"/>
          <w:b w:val="0"/>
          <w:color w:val="auto"/>
          <w:highlight w:val="none"/>
        </w:rPr>
        <w:t>按《三门峡市财政局关于市本级政府采购合同备案管理工作的通知》（三财购[2021]9号）文要求，自中标通知书发出之日起2个工作日内与中标（成交）供应商按照采购文件确定的事项与供应商签订政府采购合同。</w:t>
      </w:r>
    </w:p>
    <w:p w14:paraId="3EB73A55">
      <w:pPr>
        <w:pStyle w:val="6"/>
        <w:rPr>
          <w:rFonts w:hint="eastAsia" w:ascii="宋体" w:hAnsi="宋体" w:eastAsia="宋体" w:cs="宋体"/>
          <w:color w:val="auto"/>
          <w:highlight w:val="none"/>
        </w:rPr>
      </w:pPr>
    </w:p>
    <w:p w14:paraId="40F56533">
      <w:pPr>
        <w:pStyle w:val="6"/>
        <w:rPr>
          <w:rFonts w:hint="eastAsia" w:ascii="宋体" w:hAnsi="宋体" w:eastAsia="宋体" w:cs="宋体"/>
          <w:color w:val="auto"/>
          <w:highlight w:val="none"/>
        </w:rPr>
      </w:pPr>
    </w:p>
    <w:p w14:paraId="6DB43C35">
      <w:pPr>
        <w:pStyle w:val="6"/>
        <w:rPr>
          <w:rFonts w:hint="eastAsia" w:ascii="宋体" w:hAnsi="宋体" w:eastAsia="宋体" w:cs="宋体"/>
          <w:color w:val="auto"/>
          <w:highlight w:val="none"/>
        </w:rPr>
      </w:pPr>
    </w:p>
    <w:p w14:paraId="3CD62B0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AD9F592">
      <w:pPr>
        <w:pStyle w:val="2"/>
        <w:bidi w:val="0"/>
        <w:jc w:val="center"/>
        <w:rPr>
          <w:rStyle w:val="28"/>
          <w:rFonts w:hint="eastAsia" w:ascii="宋体" w:hAnsi="宋体" w:cs="宋体"/>
          <w:b w:val="0"/>
          <w:bCs/>
          <w:color w:val="auto"/>
          <w:kern w:val="0"/>
          <w:sz w:val="24"/>
          <w:szCs w:val="24"/>
          <w:highlight w:val="none"/>
        </w:rPr>
      </w:pPr>
      <w:bookmarkStart w:id="149" w:name="_Toc11525"/>
      <w:bookmarkStart w:id="150" w:name="_Toc27758"/>
      <w:bookmarkStart w:id="151" w:name="_Toc12464209"/>
      <w:bookmarkStart w:id="152" w:name="_Toc27051"/>
      <w:bookmarkStart w:id="153" w:name="_Toc514226064"/>
      <w:bookmarkStart w:id="154" w:name="_Toc512673808"/>
      <w:bookmarkStart w:id="155" w:name="_Toc377025612"/>
      <w:bookmarkStart w:id="156" w:name="_Toc632"/>
      <w:r>
        <w:rPr>
          <w:rStyle w:val="28"/>
          <w:rFonts w:hint="eastAsia" w:ascii="宋体" w:hAnsi="宋体" w:cs="宋体"/>
          <w:b/>
          <w:bCs w:val="0"/>
          <w:color w:val="auto"/>
          <w:kern w:val="0"/>
          <w:sz w:val="32"/>
          <w:szCs w:val="32"/>
          <w:highlight w:val="none"/>
        </w:rPr>
        <w:t>第五章</w:t>
      </w:r>
      <w:r>
        <w:rPr>
          <w:rStyle w:val="28"/>
          <w:rFonts w:hint="eastAsia" w:ascii="宋体" w:hAnsi="宋体" w:cs="宋体"/>
          <w:b/>
          <w:bCs w:val="0"/>
          <w:color w:val="auto"/>
          <w:kern w:val="0"/>
          <w:sz w:val="32"/>
          <w:szCs w:val="32"/>
          <w:highlight w:val="none"/>
          <w:lang w:val="en-US" w:eastAsia="zh-CN"/>
        </w:rPr>
        <w:t>服务</w:t>
      </w:r>
      <w:r>
        <w:rPr>
          <w:rStyle w:val="28"/>
          <w:rFonts w:hint="eastAsia" w:ascii="宋体" w:hAnsi="宋体" w:cs="宋体"/>
          <w:b/>
          <w:bCs w:val="0"/>
          <w:color w:val="auto"/>
          <w:kern w:val="0"/>
          <w:sz w:val="32"/>
          <w:szCs w:val="32"/>
          <w:highlight w:val="none"/>
        </w:rPr>
        <w:t>内容及要求</w:t>
      </w:r>
      <w:bookmarkEnd w:id="149"/>
      <w:bookmarkEnd w:id="150"/>
    </w:p>
    <w:bookmarkEnd w:id="151"/>
    <w:bookmarkEnd w:id="152"/>
    <w:bookmarkEnd w:id="153"/>
    <w:p w14:paraId="7D4A9687">
      <w:pPr>
        <w:pStyle w:val="6"/>
        <w:ind w:firstLine="472"/>
        <w:rPr>
          <w:rFonts w:hint="eastAsia" w:ascii="宋体" w:hAnsi="宋体" w:eastAsia="宋体" w:cs="宋体"/>
          <w:b w:val="0"/>
          <w:color w:val="auto"/>
          <w:highlight w:val="none"/>
          <w:lang w:val="en-US" w:eastAsia="zh-CN"/>
        </w:rPr>
      </w:pPr>
      <w:bookmarkStart w:id="157" w:name="_Toc2882"/>
      <w:bookmarkStart w:id="158" w:name="_Toc10087"/>
      <w:r>
        <w:rPr>
          <w:rFonts w:hint="eastAsia" w:ascii="宋体" w:hAnsi="宋体" w:eastAsia="宋体" w:cs="宋体"/>
          <w:b w:val="0"/>
          <w:color w:val="auto"/>
          <w:highlight w:val="none"/>
          <w:lang w:val="en-US" w:eastAsia="zh-CN"/>
        </w:rPr>
        <w:t>灵宝市乡镇空气质量监测站运维项目，供应商负责运维11个乡镇（PM2.5、PM10、S02、N02（NOX、NO)、C0、03)六因子空气自动站，并承担其相应运维电费和通讯等费用，确保空气站各项监测仪器正常稳定运行并与省、市生态环境部门联网正常，服务期限为三年。</w:t>
      </w:r>
    </w:p>
    <w:p w14:paraId="7A71CD2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一、运维服务范围包括</w:t>
      </w:r>
    </w:p>
    <w:p w14:paraId="4BD0BF0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11个乡镇（PM2.5、PM10、S02、N02（NOX、NO)、C0、03)六因子的乡镇包括：故县镇、焦村镇、西阎乡、豫灵镇、阳平镇、寺河乡、川口镇、五亩乡、函谷关镇、朱阳镇、苏村乡等。</w:t>
      </w:r>
    </w:p>
    <w:p w14:paraId="5EBE4B4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二、运维保障要求</w:t>
      </w:r>
    </w:p>
    <w:p w14:paraId="23ADBD9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（一）机构、人员、车辆、设备配备要求</w:t>
      </w:r>
    </w:p>
    <w:p w14:paraId="00DE899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1.运维单位应保证配备足够的专业技术人员进行空气自动站的运维管理。</w:t>
      </w:r>
    </w:p>
    <w:p w14:paraId="0B3C953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2.运维单位应保证配备的专用巡检车辆数量应满足日常维护的需要。</w:t>
      </w:r>
    </w:p>
    <w:p w14:paraId="66410C3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备品备件库建设：运维单位应在中标后一个月内须在灵宝市建立空气站所涉及的耗材及备件库，保证货物是全新、未使用过的，并完全符合国家环境监测技术规范规定的性能要求；耗材按照至少半年消耗量配置，备件按照至少1年使用量配置。</w:t>
      </w:r>
    </w:p>
    <w:p w14:paraId="555EBD8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4.运维单位应以技术支持机构为单位配备专用仪器维修工具（包括便携式电脑、万用表、远程数据查询系统等）、通讯调试工具（包括各种硬件接口线、改线工具、接口调试软件及常用零部件等）。</w:t>
      </w:r>
    </w:p>
    <w:p w14:paraId="74366A3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三、运维工作内容</w:t>
      </w:r>
    </w:p>
    <w:p w14:paraId="1D2FCE1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完成以下工作：</w:t>
      </w:r>
    </w:p>
    <w:p w14:paraId="545D902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1.乡镇站的日常运行维护；</w:t>
      </w:r>
    </w:p>
    <w:p w14:paraId="69B5944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2.乡镇站的日常质量管理；</w:t>
      </w:r>
    </w:p>
    <w:p w14:paraId="24DFE78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3.乡镇站的日常安全管理；</w:t>
      </w:r>
    </w:p>
    <w:p w14:paraId="0D09936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4.乡镇站监测数据的日常审核、上报；</w:t>
      </w:r>
    </w:p>
    <w:p w14:paraId="7455039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5.乡镇站的设备维护保养及维修；</w:t>
      </w:r>
    </w:p>
    <w:p w14:paraId="52C178E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6.乡镇站相关辅助设施的维护、保养、维修；</w:t>
      </w:r>
    </w:p>
    <w:p w14:paraId="74DDBB7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7.乡镇站数据采集及传输系统的维护及维修，保障乡镇站与三门峡市/灵宝市空气自动站平台通讯正常；</w:t>
      </w:r>
    </w:p>
    <w:p w14:paraId="18AC3E0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8.当仪器出现故障不能及时修复，或当仪器损坏不能修复时，应在48小时之内书面报告三门峡市生态环境局灵宝分局，三门峡市生态环境局灵宝分局确认仪器损坏情况及原因后，双方协商提出解决案；</w:t>
      </w:r>
    </w:p>
    <w:p w14:paraId="56A771AB">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9.乡镇站的电费和通讯费，以及站房基础设施、电力设施、通讯设施的日常维护费全部由运维单位承担；</w:t>
      </w:r>
    </w:p>
    <w:p w14:paraId="35EE4D2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10.当点位需要新增、撤销、变更时，由站点所属区域相关生态环境部门按照点位管理程序向三门峡市生态环境局灵宝分局报批，涉及站点迁移的，运维公司负责监测仪器、辅助设备的搬迁、安装、调试具体工作，费用另议；</w:t>
      </w:r>
    </w:p>
    <w:p w14:paraId="718687F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四、运行维护工作目标</w:t>
      </w:r>
    </w:p>
    <w:p w14:paraId="02A19E3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运维单位必须建立完善的的运行维护工作规范与质量管理体系，确保提供及时、准确、有效的监测数据，乡镇站的运行质量应达到以下指标：</w:t>
      </w:r>
    </w:p>
    <w:p w14:paraId="46F8233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1.所获取的各项指标的有效监测数据必须满足《环境空气质量标准》（GB3095-2012）中规定的污染物浓度数据有效性要求；</w:t>
      </w:r>
    </w:p>
    <w:p w14:paraId="28F5E40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2.数据捕获率达到90%（以小时值计）以上；</w:t>
      </w:r>
    </w:p>
    <w:p w14:paraId="269521E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3.数据质控合格率达到90%（以小时值计）以上；</w:t>
      </w:r>
    </w:p>
    <w:p w14:paraId="571F5BD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4.运维任务完成率100%；</w:t>
      </w:r>
    </w:p>
    <w:p w14:paraId="48B2949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5.异常情况处理率100%。</w:t>
      </w:r>
    </w:p>
    <w:p w14:paraId="74A86C6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五、运维工作要求</w:t>
      </w:r>
    </w:p>
    <w:p w14:paraId="5E667FD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运维单位应遵守生态环境部、中国环境监测总站关于空气自动监测站运行管理的各项规定，如运维期间生态环境部、中国环境监测总站、河南省出台新的自动站运行管理规定，则运维工作执行最新规定。</w:t>
      </w:r>
    </w:p>
    <w:p w14:paraId="53608D5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1）、运维工作一般要求如下：</w:t>
      </w:r>
    </w:p>
    <w:p w14:paraId="10B5078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1、保持站房内部环境清洁，布置整齐，各仪器设备干净清洁，设备标识清楚；</w:t>
      </w:r>
    </w:p>
    <w:p w14:paraId="4DD5BEC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2、检查供电、电话及网络通讯的情况，保证系统的正常运行；</w:t>
      </w:r>
    </w:p>
    <w:p w14:paraId="3525B28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3、保证空调正常工作，仪器运行温度保持在25℃左右，站房内温度日波动范围小于3℃,相对湿度保持在80%RH以下；</w:t>
      </w:r>
    </w:p>
    <w:p w14:paraId="67EDCEF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4、指派专人维护，设备固定牢固，门窗关闭良好，人走关门，非工作人员未经许可不得入内；</w:t>
      </w:r>
    </w:p>
    <w:p w14:paraId="2B11D1CB">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5、定期检查消防和安全设施；</w:t>
      </w:r>
    </w:p>
    <w:p w14:paraId="7064B06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6、每次维护后做好系统运行维护记录；</w:t>
      </w:r>
    </w:p>
    <w:p w14:paraId="51A88CB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7、进行维护时，应规范操作，注意安全，防止意外发生；</w:t>
      </w:r>
    </w:p>
    <w:p w14:paraId="757A0E2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8、对乡镇站进行纸带检查及时更换；</w:t>
      </w:r>
    </w:p>
    <w:p w14:paraId="4E73404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9、对乡镇站进气口按规定时间进行清洁。</w:t>
      </w:r>
    </w:p>
    <w:p w14:paraId="685C98F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2）、每日工作内容如下：</w:t>
      </w:r>
    </w:p>
    <w:p w14:paraId="3FA9964B">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每天上午和下午两次远程查看乡镇站数据并形成记录，分析监测数据，对站点运行情况进行远程诊断和运行管理，内容包括：</w:t>
      </w:r>
    </w:p>
    <w:p w14:paraId="104B12B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1、判断系统数据采集与传输情况；</w:t>
      </w:r>
    </w:p>
    <w:p w14:paraId="09D3CE7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2、根据电源电压、站房温度、湿度数据判断站房内部情况；</w:t>
      </w:r>
    </w:p>
    <w:p w14:paraId="7EDDB3EB">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发现运行数据有持续异常值时，应及时赴现场排查异常并将处理结果书面传真告知三门峡市生态环境局灵宝分局。在每日6时～23时出现的故障，应在24小时内解决（通信线路、电力线路故障除外，但应及时与相关部门联系积极解决）；</w:t>
      </w:r>
    </w:p>
    <w:p w14:paraId="790C898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4、根据仪器监测数据以及状态参数判断仪器运行情况；</w:t>
      </w:r>
    </w:p>
    <w:p w14:paraId="03161A6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5、根据故障报警信号判断现场状况；</w:t>
      </w:r>
    </w:p>
    <w:p w14:paraId="601AA1B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6、每日检查数据是否及时上传至市平台，发现数据掉线及时恢复；</w:t>
      </w:r>
    </w:p>
    <w:p w14:paraId="3C49E6F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7、对二氧化硫、一氧化碳、臭氧、氮氧化物分析仪进行零点检查，如果漂移超过国家相关规范要求，需要进行校准；</w:t>
      </w:r>
    </w:p>
    <w:p w14:paraId="33D173C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8、每天通过三门峡市空气自动站数据传输审核分析评价平台完成对前一日各监测点位原始小时值的审核，并向三门峡市生态环境局灵宝分局提交小时值审核结果和根据小时值生成的点位日均值。</w:t>
      </w:r>
    </w:p>
    <w:p w14:paraId="014EB1D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数据审核报送工作应于每日下午14时前完成，当天因网络故障等原因未能完成数据审核报送的，可顺延一日审核报送，最多顺延二日（如1日产生的数据，应于2日14时前完成审核，最迟在4日14时前完成审核）。届时仍未完成数据审核与报送的站点，将不能报送3日以前的审核数据。</w:t>
      </w:r>
    </w:p>
    <w:p w14:paraId="0EF4D87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于未能按时在规定时间内完成审核的数据，须于数据产生一周内，以正式文件形式向三门峡市生态环境局灵宝分局报送书面审核结果及未能按时完成审核的原因。但每月1日16:00前必须将上月所有审核结果报送至三门峡市生态环境局灵宝分局。</w:t>
      </w:r>
    </w:p>
    <w:p w14:paraId="57D2220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3）、每周工作内容如下：</w:t>
      </w:r>
    </w:p>
    <w:p w14:paraId="185FE06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每周至少巡视乡镇站1次，并做好巡查记录，巡检时需要完成的工作包括：</w:t>
      </w:r>
    </w:p>
    <w:p w14:paraId="1EC1BA4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查看乡镇站设备是否齐备，无丢失和损坏；检查接地线路是否可靠，排风排气装置工作是否正常，标准气钢瓶阀门是否漏气，标准气的消耗情况。</w:t>
      </w:r>
    </w:p>
    <w:p w14:paraId="2D97D4B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检查采样和排气管路是否有漏气或堵塞现象，各分析仪器采样流量是否正常。</w:t>
      </w:r>
    </w:p>
    <w:p w14:paraId="66531B3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检查各分析仪器的运行状况和工作参数，判断是否正常，如有异常情况及时处理，保证仪器运行正常。</w:t>
      </w:r>
    </w:p>
    <w:p w14:paraId="637E6A5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对二氧化硫、一氧化碳、臭氧、氮氧化物分析仪进行零点、跨度检查，如果漂移超过国家相关规范要求，需要进行校准。</w:t>
      </w:r>
    </w:p>
    <w:p w14:paraId="32FADE9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检查外部环境是否正常，有没有对测定结果或运行环境存在明显影响的污染源。</w:t>
      </w:r>
    </w:p>
    <w:p w14:paraId="19576A4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检查电路系统和通讯系统，保证系统供电正常，电压稳定。</w:t>
      </w:r>
    </w:p>
    <w:p w14:paraId="7F40C9B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检查乡镇站的通讯系统，保证乡镇站与三门峡市平台监控中心的连接正常，数据传输正常。</w:t>
      </w:r>
    </w:p>
    <w:p w14:paraId="12009F6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检查监测仪器的采样入口与采样支路管线结合部之间安装的过滤膜的污染情况，每周或视具体情况更换滤膜，每周检查监测仪器散热风扇污染情况，及时清洗。</w:t>
      </w:r>
    </w:p>
    <w:p w14:paraId="5EAE253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在冬、夏季节应注意乡镇站站房室内外温差，若温差较大，应及时改变站房温度或对采样总管采取适当的控制措施，防止冷凝现象。</w:t>
      </w:r>
    </w:p>
    <w:p w14:paraId="731923F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应及时清除乡镇站站房周围的杂草和积水，当周围树木生长超过规范规定的控制限时，应及时剪除对采样有影响的树枝。</w:t>
      </w:r>
    </w:p>
    <w:p w14:paraId="6401C46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应经常检查避雷设施是否可靠，乡镇站站房屋是否有漏雨现象，气象杆和天线是否完好，站房外围的其它设施是否有损坏或被水淹，如遇到以上问题应及时处理，保证系统能安全运行。</w:t>
      </w:r>
    </w:p>
    <w:p w14:paraId="2533C66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检查站房的安全设施，做好防火防盗工作。每周对气象仪器的运行情况进行检查。</w:t>
      </w:r>
    </w:p>
    <w:p w14:paraId="388DD60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每周对颗粒物的采样纸带进行检查，如纸带即将用尽，及时进行更换。每周对站房内外环境卫生进行检查，及时保洁。</w:t>
      </w:r>
    </w:p>
    <w:p w14:paraId="5989DAA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4）、每月工作内容如下：</w:t>
      </w:r>
    </w:p>
    <w:p w14:paraId="4A72E66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清洗PM10及PM2.5切割器，检查β法颗粒物分析仪仪器喷嘴、压环等部件。</w:t>
      </w:r>
    </w:p>
    <w:p w14:paraId="1BC99CC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检查PM10及PM2.5监测仪、气态分析仪、动态校准仪流量，超过国家相关规范要求，及时进行校准。</w:t>
      </w:r>
    </w:p>
    <w:p w14:paraId="623D9E5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检查颗粒物和气态分析仪管路是否漏气。检查/更换各仪器颗粒物过滤膜。</w:t>
      </w:r>
    </w:p>
    <w:p w14:paraId="0FC62F1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检查/清洁视频监控镜头（用湿棉布清洁后用干棉布擦干）。清洁仪器风扇防尘网。</w:t>
      </w:r>
    </w:p>
    <w:p w14:paraId="7095791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检查标气是否在有效期内。</w:t>
      </w:r>
    </w:p>
    <w:p w14:paraId="147B911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对仪器显示数据和数据采集仪之间的一致性进行检查。每月对数据进行备份。</w:t>
      </w:r>
    </w:p>
    <w:p w14:paraId="6D84907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5）、每两个月工作如下：</w:t>
      </w:r>
    </w:p>
    <w:p w14:paraId="56F46A4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更换PM10、PM2.5分析仪纸带（必要时），进行系统自检。</w:t>
      </w:r>
    </w:p>
    <w:p w14:paraId="4A3BE73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校准和检查PM10及PM2.5分析仪的温度、气压和时钟。</w:t>
      </w:r>
    </w:p>
    <w:p w14:paraId="41CAFB3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用标准气压计、温度计、湿度计、手持式风速风向仪，校准相关的自动仪器。</w:t>
      </w:r>
    </w:p>
    <w:p w14:paraId="0ACB290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6）、每季度工作内容如下：</w:t>
      </w:r>
    </w:p>
    <w:p w14:paraId="14F6C17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采样总管及采样风机每季度至少清洗一次。</w:t>
      </w:r>
    </w:p>
    <w:p w14:paraId="0F81078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对PM10和PM2.5监测仪器进行标准膜校准或K0值检查，超过国家相关规范要求时，及时进行校准。</w:t>
      </w:r>
    </w:p>
    <w:p w14:paraId="39CA755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对气态分析仪进行多点线性检查。</w:t>
      </w:r>
    </w:p>
    <w:p w14:paraId="6604389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7）、每半年工作内容如下：</w:t>
      </w:r>
    </w:p>
    <w:p w14:paraId="59E9DD3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检查PM2.5、PM10分析仪相对湿度、温度传感器和动态加热装置是否正常工作。</w:t>
      </w:r>
    </w:p>
    <w:p w14:paraId="5FECDF9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对气态污染物监测仪进行多点校准，绘制校准曲线，检验相关系数、斜率和截距。</w:t>
      </w:r>
    </w:p>
    <w:p w14:paraId="152C3F3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对动态校准仪流量进行20点检查，必要时校准。采用臭氧传递标准（溯源至臭氧一级标准）对标准站臭氧工作标准进行标准传递。更换零气源净化剂和氧化剂，对零气性能进行检查。</w:t>
      </w:r>
    </w:p>
    <w:p w14:paraId="0A4F8E8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对氮氧化物分析仪钼炉转化率进行检查。</w:t>
      </w:r>
    </w:p>
    <w:p w14:paraId="45A33C9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8）、每年工作内容如下：</w:t>
      </w:r>
    </w:p>
    <w:p w14:paraId="7B435D3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对所有的仪器进行预防性维护，按说明书的要求更换备件，更换所有泵组件。</w:t>
      </w:r>
    </w:p>
    <w:p w14:paraId="0380406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每年进行一次监测仪器的准确度审核</w:t>
      </w:r>
    </w:p>
    <w:p w14:paraId="79AD7C5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en-US"/>
        </w:rPr>
        <w:t>9</w:t>
      </w:r>
      <w:r>
        <w:rPr>
          <w:rFonts w:hint="eastAsia" w:ascii="宋体" w:hAnsi="宋体" w:eastAsia="宋体" w:cs="宋体"/>
          <w:b w:val="0"/>
          <w:color w:val="auto"/>
          <w:highlight w:val="none"/>
          <w:lang w:val="en-US" w:eastAsia="zh-CN"/>
        </w:rPr>
        <w:t>）、建立乡镇站维护档案</w:t>
      </w:r>
    </w:p>
    <w:p w14:paraId="53B0300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将乡镇站的运行过程和运行事件进行详细记录，并进行归档管理。日常运维中使用的相关记录表格，应当使用中国环境监测总站制定的统一样式表格。日常运维中使用运行管理相关记录至少应包括：</w:t>
      </w:r>
    </w:p>
    <w:p w14:paraId="00FF7AD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乡镇站运行维护记录表。</w:t>
      </w:r>
    </w:p>
    <w:p w14:paraId="0B4B142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颗粒监测仪校准检查记录。</w:t>
      </w:r>
    </w:p>
    <w:p w14:paraId="6B46242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气态污染物监测仪校准检查记录。仪器设备维修记录表。</w:t>
      </w:r>
    </w:p>
    <w:p w14:paraId="1F53724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备品备件管理记录表。</w:t>
      </w:r>
    </w:p>
    <w:p w14:paraId="4F50354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主要消耗材料使用登记表。多点线性校准表格。</w:t>
      </w:r>
    </w:p>
    <w:p w14:paraId="66A1AF3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室内外环境记录。</w:t>
      </w:r>
    </w:p>
    <w:p w14:paraId="4739F59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标准物质使用记录。仪器资料保管清单。</w:t>
      </w:r>
    </w:p>
    <w:p w14:paraId="25E2D80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10）、日常运维其他相关要求如下：</w:t>
      </w:r>
    </w:p>
    <w:p w14:paraId="1B72132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每周或视情况更换气态污染物监测仪器所用滤膜，必须为聚四氟乙烯材质。</w:t>
      </w:r>
    </w:p>
    <w:p w14:paraId="35AF8C3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应及时制定每月工作计划，并严格按计划执行，若有变更应及时通知三门峡市生态环境局灵宝分局。应每月5日前，将上月各类记录表格交给三门峡市生态环境局灵宝分局，用于数据复核。</w:t>
      </w:r>
    </w:p>
    <w:p w14:paraId="7DAC026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维单位保证满足三门峡市生态环境局灵宝分局对乡镇站故障的响应时间要求，当乡镇站每日6时～23时出现故障，应在2小时之内响应，4小时内到达现场解决（通信线路、电力线路故障除外，但应及时与相关部门联系积极解决）。若仪器故障无法排除或当仪器损坏报废不能修复时，运维单位必须在48小时内报告三门峡市生态环境局灵宝分局，三门峡市生态环境局灵宝分局组织确认仪器损坏情况及原因，双方协商后提出解决方案。</w:t>
      </w:r>
    </w:p>
    <w:p w14:paraId="208D078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于因洪水、地震、站房外部火灾等不可抗力所造成的仪器损坏导致的仪器报废，运维单位要先行提供备机开展监测，并及时报告市环保部门，市环保部门视情况决定重新购置监测仪器，或者继续使用备机，继续使用备机的，市环保部门将支付相关费用。</w:t>
      </w:r>
    </w:p>
    <w:p w14:paraId="7B22017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运维工作应严格按照国家标准和技术规定、规范执行，严禁擅自改变采样管路连接方式和更改仪器参数设置。否则，三门峡市生态环境局灵宝分局有权终止合同。</w:t>
      </w:r>
    </w:p>
    <w:p w14:paraId="7D9C710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11）、质量控制要求</w:t>
      </w:r>
    </w:p>
    <w:p w14:paraId="4FC1921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乙方需认真落实质量管理制度，做好相应记录。</w:t>
      </w:r>
    </w:p>
    <w:p w14:paraId="7CFCD70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（1）量值溯源要求</w:t>
      </w:r>
    </w:p>
    <w:p w14:paraId="7760626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乙方在每个乡镇站需配备标准气体，所使用的标准气体须为生态环境部标样所或国家标物中心生产的有证标准物质，新购标准气体应做验证实验，形成验证报告。另外，在用标准气体当钢瓶压力低于500PSIG时，标准需要进行重新验证；当钢瓶压力低于150PSIG（1.0MPa)时,标准停止使用。标准气体必须在有效期内使用。</w:t>
      </w:r>
    </w:p>
    <w:p w14:paraId="654B646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乙方应每年将空气站所用的流量检查设备、温度检查设备、气压检查设备、臭氧校准仪等设备到相关质检部门进行溯源。</w:t>
      </w:r>
    </w:p>
    <w:p w14:paraId="5685677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（2）日常质量控制要求</w:t>
      </w:r>
    </w:p>
    <w:p w14:paraId="64657B1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分析仪在以下情况下需进行校准和再校准：安装时</w:t>
      </w:r>
    </w:p>
    <w:p w14:paraId="6293152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移动位置时进行可能影响校准结果的维修或维护后分析仪暂停工作一段时间后</w:t>
      </w:r>
    </w:p>
    <w:p w14:paraId="714DDE3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有迹象表明分析仪工作不正常或校准结果出现变化</w:t>
      </w:r>
    </w:p>
    <w:p w14:paraId="2181695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达到国家规范或本招标文件要求的校准周期或校准要求的。</w:t>
      </w:r>
    </w:p>
    <w:p w14:paraId="1131444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（3）异常数据的审核与检验</w:t>
      </w:r>
    </w:p>
    <w:p w14:paraId="1290827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乙方应每天登录三门峡市空气自动站平台对监测数据进行站点初步审核，并对检测数据异常值进行分析，查明原因做好记录并上报。查明原因，如属于系统或仪器故障，应在24小时内处理并上报三门峡市生态环境局灵宝分局。</w:t>
      </w:r>
    </w:p>
    <w:p w14:paraId="2C808BD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投标单位须在投标文件中说明异常数据处理的方法。</w:t>
      </w:r>
    </w:p>
    <w:p w14:paraId="318D8FA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（4）质量控制资料整理</w:t>
      </w:r>
    </w:p>
    <w:p w14:paraId="76C813E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各种技术与质量文件均保持现行有效，可根据管理需要进行调整或修订，巡检记录、维修记录、日常检查与监督抽查等质量保证与质量控制记录均须按要求进行填写，每月进行整理归档。</w:t>
      </w:r>
    </w:p>
    <w:p w14:paraId="381F9F8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12）、系统设备维修要求</w:t>
      </w:r>
    </w:p>
    <w:p w14:paraId="16C2369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（1）运行维修工作界定</w:t>
      </w:r>
    </w:p>
    <w:p w14:paraId="1E63631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乙方负责系统所有设备和仪器的维护、维修和部件更换（包括空调设备等附属设施），本服务内容同样包括由于外部原因意外丢失和损坏设备的维修或更换。</w:t>
      </w:r>
    </w:p>
    <w:p w14:paraId="5D09878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（2）设备维修质量控制要求</w:t>
      </w:r>
    </w:p>
    <w:p w14:paraId="1FAB1E09">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监测仪器被修复后，当其检测性能受到影响时，需要进行检验，采用标气测定、颗粒物手工比对等方法进行。</w:t>
      </w:r>
    </w:p>
    <w:p w14:paraId="2B36F41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仪器大修后（更换设备测试关键部件），应按顺序进行漂移实验（零点漂移、量程漂移）、重复性及准确度实验、多点线性实验，并向三门峡市生态环境局灵宝分局提交相应报告。</w:t>
      </w:r>
    </w:p>
    <w:p w14:paraId="41574A4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13）、备机、备品备件及耗材要求</w:t>
      </w:r>
    </w:p>
    <w:p w14:paraId="718B011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维单位应在中标后一个月内配备备机两套，建立空气站所涉及的耗材及备件库，保证货物是全新、未使用过的，并完全符合合同规定的质量、规格和性能的要求；耗材按照至少半年消耗量配置，备件按照至少1年使用量配置。</w:t>
      </w:r>
    </w:p>
    <w:p w14:paraId="194BF2A1">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六、其它要求</w:t>
      </w:r>
    </w:p>
    <w:p w14:paraId="11FDFA8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（1）运维期间，招标方有权根据国家、省、市相关标准或政策要求，增加或减少空气站运维项目或服务，增减数量及相关的运维费由双方协商后另行确定。</w:t>
      </w:r>
    </w:p>
    <w:p w14:paraId="3F76AED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（2）运维期间，运维单位应按安全生产有关规定，建立安全生产制度，切实消除安全隐患，并负责安全生产产生的费用。</w:t>
      </w:r>
    </w:p>
    <w:p w14:paraId="55DF73D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（3）本运维项目，如遇国家政策调整、监测事权上收等事项，导致运维工作无法继续，则甲乙双方沟通协商，确认无法进行合同变更，则合同自行终止。</w:t>
      </w:r>
    </w:p>
    <w:p w14:paraId="2B6476C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4）运维服务期间，没有在规定时限内解决问题的；私自泄露或利用本项目资料对外进行无关活动的；运维服务转包的；没有在规定时限内配备备机、备件、耗材、质控设备的；不服从招标方工作安排或中途未经招标人同意私自换人的；达不到招标方技术服务需求的及其它违反工作程序等情况，每次均须扣除年度运维金5%。私自修改仪器参数，提供虚假数据、报告的，将终止合同，扣除当年运维费用。</w:t>
      </w:r>
    </w:p>
    <w:p w14:paraId="13EB1EEE">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七、监督考核</w:t>
      </w:r>
    </w:p>
    <w:p w14:paraId="1DC0E785">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（一）运维单位承担监测数据的保密责任,，不得利用本项目的数据、档案或有关资料对外开展技术交流、业务联系、数据交换等。否则甲方有权终止合同。</w:t>
      </w:r>
    </w:p>
    <w:p w14:paraId="17DAC5E0">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（二）运维期间出现调整数据、修改参数、改动设备、弄虚作假等违规行为的，甲方有权终止运维合同。</w:t>
      </w:r>
    </w:p>
    <w:p w14:paraId="02D652F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（三）运维期间，运维单位应按安全生产有关规定,建立安全生产制度,切实消除安全隐患。</w:t>
      </w:r>
    </w:p>
    <w:p w14:paraId="4D4CC673">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（四）考核办法</w:t>
      </w:r>
    </w:p>
    <w:p w14:paraId="4786AE96">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对运维单位绩效每年考核一次。考核采取百分制、单站考核的方式，主要包括单个站点数据有效性，监测数据获取率、数据质控合格率（以下简称“两率”)以及运行维护的内容。</w:t>
      </w:r>
    </w:p>
    <w:p w14:paraId="4BB4280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数据捕获率指考核时段内各监测项目实际获取的小时值监测数据量总和除以应获得小时值数据量总和。</w:t>
      </w:r>
    </w:p>
    <w:p w14:paraId="1FF77C0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数据质控合格率指考核时段内各监测项目实际获取的质控合格的小时值监测数据量总和除以应获得小时值数据量总和。</w:t>
      </w:r>
    </w:p>
    <w:p w14:paraId="0A99479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每日各项目应获得小时值数据量均按24个计，考核时段天数按考核时段内日历天数计。计算应获得小时值数据量时，应扣除因不可抗力造成的停止监测的小时数。</w:t>
      </w:r>
    </w:p>
    <w:p w14:paraId="181AB9D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1）、数据有效性</w:t>
      </w:r>
    </w:p>
    <w:p w14:paraId="3AA48C42">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考核时段内单个站点任一监测项目有效数据量应满足《环境空气质量标准》（GB3095-2012）中规定的污染物浓度数据有效性的最低要求，否则考核总分为0分。</w:t>
      </w:r>
    </w:p>
    <w:p w14:paraId="4295755B">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单站设备数据捕获率必须高于90%（含)，否则考核总分以0分计，不予支付运维费用。单站设备数据质控合格率必须高于80%，否则考核总分以0分计，不予支付运维费用。</w:t>
      </w:r>
    </w:p>
    <w:p w14:paraId="045B5E1C">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2）、两率及运行维护</w:t>
      </w:r>
    </w:p>
    <w:p w14:paraId="75088CBA">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符合数据有效性要求后，参照本部分执行。</w:t>
      </w:r>
    </w:p>
    <w:p w14:paraId="33E8CC94">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（1）两率部分（70分)</w:t>
      </w:r>
    </w:p>
    <w:p w14:paraId="54A728A8">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单站监测数据捕获率高于95%且质控合格率高于90%（含)的，得70分；质控合格率80%（含)-90%的，得分为70×（数据质控合格率/90%)，质控合格率低于80%的，得分为0。两率得分为：运维单站总得分/单站个数。</w:t>
      </w:r>
    </w:p>
    <w:p w14:paraId="60E35607">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（2）运行维护部分（30分)</w:t>
      </w:r>
    </w:p>
    <w:p w14:paraId="1707750F">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运行维护部分每月由三门峡市生态环境局灵宝分局组织检查核实，核查内容包括日常运维任务完成情况、异常情况处理情况、站房环境保障效果、采样系统维护效果、仪器日常维护效果、质量控制效果、通讯系统维护效果（数据上传发布情况）、人员与档案记录管理情况等，共计30分。</w:t>
      </w:r>
    </w:p>
    <w:p w14:paraId="6561739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（3）考核总分（100分）</w:t>
      </w:r>
    </w:p>
    <w:p w14:paraId="1512FDCD">
      <w:pPr>
        <w:pStyle w:val="6"/>
        <w:ind w:firstLine="472"/>
        <w:rPr>
          <w:rFonts w:hint="eastAsia" w:ascii="宋体" w:hAnsi="宋体" w:eastAsia="宋体" w:cs="宋体"/>
          <w:b w:val="0"/>
          <w:color w:val="auto"/>
          <w:highlight w:val="none"/>
          <w:lang w:val="en-US" w:eastAsia="zh-CN"/>
        </w:rPr>
      </w:pPr>
      <w:r>
        <w:rPr>
          <w:rFonts w:hint="eastAsia" w:ascii="宋体" w:hAnsi="宋体" w:eastAsia="宋体" w:cs="宋体"/>
          <w:b w:val="0"/>
          <w:color w:val="auto"/>
          <w:highlight w:val="none"/>
          <w:lang w:val="en-US" w:eastAsia="zh-CN"/>
        </w:rPr>
        <w:t>考核总分=两率得分+运维得分3）、运维费核算方法</w:t>
      </w:r>
    </w:p>
    <w:p w14:paraId="61EAACBE">
      <w:pPr>
        <w:pStyle w:val="6"/>
        <w:ind w:firstLine="472"/>
        <w:rPr>
          <w:rFonts w:hint="eastAsia" w:ascii="宋体" w:hAnsi="宋体" w:cs="宋体"/>
          <w:bCs/>
          <w:color w:val="000000"/>
          <w:szCs w:val="32"/>
          <w:highlight w:val="none"/>
        </w:rPr>
      </w:pPr>
      <w:r>
        <w:rPr>
          <w:rFonts w:hint="eastAsia" w:ascii="宋体" w:hAnsi="宋体" w:eastAsia="宋体" w:cs="宋体"/>
          <w:b w:val="0"/>
          <w:color w:val="auto"/>
          <w:highlight w:val="none"/>
          <w:lang w:val="en-US" w:eastAsia="zh-CN"/>
        </w:rPr>
        <w:t>考核总分低于90分的，当期运维费=（实际考核总分/100)×合同中当期应得运维费；绩效考核总分90（含)分以上的，按项目合同付款方式要求全额支付当期应得运维费。</w:t>
      </w:r>
      <w:r>
        <w:rPr>
          <w:rFonts w:hint="eastAsia" w:ascii="宋体" w:hAnsi="宋体" w:eastAsia="宋体" w:cs="宋体"/>
          <w:sz w:val="24"/>
          <w:szCs w:val="24"/>
          <w:highlight w:val="none"/>
        </w:rPr>
        <w:br w:type="page"/>
      </w:r>
    </w:p>
    <w:p w14:paraId="2784AAD5">
      <w:pPr>
        <w:pStyle w:val="2"/>
        <w:jc w:val="center"/>
        <w:rPr>
          <w:rFonts w:hint="eastAsia" w:ascii="宋体" w:hAnsi="宋体" w:cs="宋体"/>
          <w:color w:val="auto"/>
          <w:highlight w:val="none"/>
        </w:rPr>
      </w:pPr>
      <w:bookmarkStart w:id="159" w:name="_Toc823"/>
      <w:r>
        <w:rPr>
          <w:rFonts w:hint="eastAsia" w:ascii="宋体" w:hAnsi="宋体" w:cs="宋体"/>
          <w:color w:val="auto"/>
          <w:highlight w:val="none"/>
        </w:rPr>
        <w:t>第六章 投标文件格式</w:t>
      </w:r>
      <w:bookmarkEnd w:id="157"/>
      <w:bookmarkEnd w:id="158"/>
      <w:bookmarkEnd w:id="159"/>
    </w:p>
    <w:bookmarkEnd w:id="28"/>
    <w:bookmarkEnd w:id="29"/>
    <w:bookmarkEnd w:id="30"/>
    <w:bookmarkEnd w:id="31"/>
    <w:bookmarkEnd w:id="32"/>
    <w:bookmarkEnd w:id="154"/>
    <w:bookmarkEnd w:id="155"/>
    <w:bookmarkEnd w:id="156"/>
    <w:p w14:paraId="472CA6E3">
      <w:pPr>
        <w:pStyle w:val="10"/>
        <w:rPr>
          <w:rFonts w:hint="eastAsia" w:ascii="宋体" w:hAnsi="宋体" w:cs="宋体"/>
          <w:color w:val="auto"/>
          <w:highlight w:val="none"/>
        </w:rPr>
      </w:pPr>
    </w:p>
    <w:p w14:paraId="773D58EC">
      <w:pPr>
        <w:jc w:val="center"/>
        <w:rPr>
          <w:rFonts w:hint="eastAsia" w:ascii="宋体" w:hAnsi="宋体" w:cs="宋体"/>
          <w:b/>
          <w:bCs/>
          <w:color w:val="auto"/>
          <w:sz w:val="44"/>
          <w:szCs w:val="44"/>
          <w:highlight w:val="none"/>
          <w:u w:val="single"/>
        </w:rPr>
      </w:pPr>
      <w:r>
        <w:rPr>
          <w:rFonts w:hint="eastAsia" w:ascii="宋体" w:hAnsi="宋体" w:cs="宋体"/>
          <w:b/>
          <w:bCs/>
          <w:color w:val="auto"/>
          <w:sz w:val="44"/>
          <w:szCs w:val="44"/>
          <w:highlight w:val="none"/>
          <w:lang w:eastAsia="zh-CN"/>
        </w:rPr>
        <w:t>灵宝市乡镇空气质量监测站运维项目</w:t>
      </w:r>
    </w:p>
    <w:p w14:paraId="2E378BF0">
      <w:pPr>
        <w:widowControl/>
        <w:shd w:val="clear" w:color="auto" w:fill="FFFFFF"/>
        <w:autoSpaceDN w:val="0"/>
        <w:spacing w:line="360" w:lineRule="auto"/>
        <w:jc w:val="center"/>
        <w:rPr>
          <w:rFonts w:hint="eastAsia" w:ascii="宋体" w:hAnsi="宋体" w:cs="宋体"/>
          <w:b/>
          <w:bCs/>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w:t>
      </w:r>
      <w:r>
        <w:rPr>
          <w:rFonts w:hint="eastAsia" w:ascii="宋体" w:hAnsi="宋体" w:cs="宋体"/>
          <w:b/>
          <w:bCs/>
          <w:color w:val="auto"/>
          <w:kern w:val="0"/>
          <w:sz w:val="24"/>
          <w:szCs w:val="24"/>
          <w:highlight w:val="none"/>
          <w:shd w:val="clear" w:color="auto" w:fill="FFFFFF"/>
        </w:rPr>
        <w:t>说明：请供应商使用此页格式作为所编写投标文件的封皮。</w:t>
      </w:r>
    </w:p>
    <w:p w14:paraId="0A6C6499">
      <w:pPr>
        <w:jc w:val="center"/>
        <w:rPr>
          <w:rFonts w:hint="eastAsia" w:ascii="宋体" w:hAnsi="宋体" w:cs="宋体"/>
          <w:b/>
          <w:bCs/>
          <w:color w:val="auto"/>
          <w:sz w:val="72"/>
          <w:szCs w:val="72"/>
          <w:highlight w:val="none"/>
        </w:rPr>
      </w:pPr>
    </w:p>
    <w:p w14:paraId="303F2AB2">
      <w:pPr>
        <w:rPr>
          <w:rFonts w:hint="eastAsia" w:ascii="宋体" w:hAnsi="宋体" w:cs="宋体"/>
          <w:color w:val="auto"/>
          <w:szCs w:val="22"/>
          <w:highlight w:val="none"/>
        </w:rPr>
      </w:pPr>
    </w:p>
    <w:p w14:paraId="30102B0B">
      <w:pPr>
        <w:pStyle w:val="9"/>
        <w:rPr>
          <w:rFonts w:hint="eastAsia" w:ascii="宋体" w:hAnsi="宋体" w:eastAsia="宋体"/>
          <w:color w:val="auto"/>
          <w:highlight w:val="none"/>
        </w:rPr>
      </w:pPr>
    </w:p>
    <w:p w14:paraId="2B8C65EE">
      <w:pPr>
        <w:pStyle w:val="10"/>
        <w:rPr>
          <w:rFonts w:hint="eastAsia" w:ascii="宋体" w:hAnsi="宋体" w:cs="宋体"/>
          <w:color w:val="auto"/>
          <w:highlight w:val="none"/>
        </w:rPr>
      </w:pPr>
    </w:p>
    <w:p w14:paraId="378999CE">
      <w:pPr>
        <w:rPr>
          <w:rFonts w:hint="eastAsia" w:ascii="宋体" w:hAnsi="宋体" w:cs="宋体"/>
          <w:color w:val="auto"/>
          <w:szCs w:val="22"/>
          <w:highlight w:val="none"/>
        </w:rPr>
      </w:pPr>
    </w:p>
    <w:p w14:paraId="391E61B5">
      <w:pPr>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投标文件</w:t>
      </w:r>
    </w:p>
    <w:p w14:paraId="444D755D">
      <w:pPr>
        <w:shd w:val="clear" w:color="auto" w:fill="FFFFFF"/>
        <w:snapToGrid w:val="0"/>
        <w:spacing w:line="360" w:lineRule="auto"/>
        <w:ind w:right="105" w:rightChars="50"/>
        <w:jc w:val="center"/>
        <w:rPr>
          <w:rFonts w:hint="eastAsia" w:ascii="宋体" w:hAnsi="宋体" w:cs="宋体"/>
          <w:b/>
          <w:bCs/>
          <w:color w:val="auto"/>
          <w:sz w:val="30"/>
          <w:szCs w:val="30"/>
          <w:highlight w:val="yellow"/>
        </w:rPr>
      </w:pPr>
      <w:r>
        <w:rPr>
          <w:rFonts w:hint="eastAsia" w:ascii="宋体" w:hAnsi="宋体" w:cs="宋体"/>
          <w:b/>
          <w:bCs/>
          <w:color w:val="auto"/>
          <w:sz w:val="30"/>
          <w:szCs w:val="30"/>
          <w:highlight w:val="yellow"/>
        </w:rPr>
        <w:t>采购项目编号：</w:t>
      </w:r>
    </w:p>
    <w:p w14:paraId="5A4C7F4E">
      <w:pPr>
        <w:ind w:firstLine="2548" w:firstLineChars="846"/>
        <w:rPr>
          <w:rFonts w:hint="eastAsia" w:ascii="宋体" w:hAnsi="宋体" w:cs="宋体"/>
          <w:color w:val="auto"/>
          <w:sz w:val="30"/>
          <w:szCs w:val="30"/>
          <w:highlight w:val="none"/>
        </w:rPr>
      </w:pPr>
      <w:r>
        <w:rPr>
          <w:rFonts w:hint="eastAsia" w:ascii="宋体" w:hAnsi="宋体" w:cs="宋体"/>
          <w:b/>
          <w:bCs/>
          <w:color w:val="auto"/>
          <w:sz w:val="30"/>
          <w:szCs w:val="30"/>
          <w:highlight w:val="yellow"/>
          <w:lang w:eastAsia="zh-CN"/>
        </w:rPr>
        <w:t>LBGZ[2026]022-ZC021</w:t>
      </w:r>
    </w:p>
    <w:p w14:paraId="7FC0E43E">
      <w:pPr>
        <w:shd w:val="clear" w:color="auto" w:fill="FFFFFF"/>
        <w:snapToGrid w:val="0"/>
        <w:spacing w:line="360" w:lineRule="auto"/>
        <w:ind w:right="105" w:rightChars="50"/>
        <w:jc w:val="center"/>
        <w:rPr>
          <w:rFonts w:hint="eastAsia" w:ascii="宋体" w:hAnsi="宋体" w:cs="宋体"/>
          <w:b/>
          <w:bCs/>
          <w:color w:val="auto"/>
          <w:kern w:val="0"/>
          <w:sz w:val="24"/>
          <w:szCs w:val="24"/>
          <w:highlight w:val="none"/>
          <w:shd w:val="clear" w:color="auto" w:fill="FFFFFF"/>
        </w:rPr>
      </w:pPr>
    </w:p>
    <w:p w14:paraId="4703B000">
      <w:pPr>
        <w:shd w:val="clear" w:color="auto" w:fill="FFFFFF"/>
        <w:snapToGrid w:val="0"/>
        <w:spacing w:line="360" w:lineRule="auto"/>
        <w:ind w:right="105" w:rightChars="50"/>
        <w:jc w:val="center"/>
        <w:rPr>
          <w:rFonts w:hint="eastAsia" w:ascii="宋体" w:hAnsi="宋体" w:cs="宋体"/>
          <w:b/>
          <w:bCs/>
          <w:color w:val="auto"/>
          <w:kern w:val="0"/>
          <w:sz w:val="24"/>
          <w:szCs w:val="24"/>
          <w:highlight w:val="none"/>
          <w:shd w:val="clear" w:color="auto" w:fill="FFFFFF"/>
        </w:rPr>
      </w:pPr>
    </w:p>
    <w:p w14:paraId="23C2D55E">
      <w:pPr>
        <w:rPr>
          <w:rFonts w:hint="eastAsia" w:ascii="宋体" w:hAnsi="宋体" w:cs="宋体"/>
          <w:color w:val="auto"/>
          <w:szCs w:val="22"/>
          <w:highlight w:val="none"/>
        </w:rPr>
      </w:pPr>
    </w:p>
    <w:p w14:paraId="3211DCC1">
      <w:pPr>
        <w:shd w:val="clear" w:color="auto" w:fill="FFFFFF"/>
        <w:snapToGrid w:val="0"/>
        <w:spacing w:line="360" w:lineRule="auto"/>
        <w:ind w:right="105" w:rightChars="50"/>
        <w:rPr>
          <w:rFonts w:hint="eastAsia" w:ascii="宋体" w:hAnsi="宋体" w:cs="宋体"/>
          <w:b/>
          <w:bCs/>
          <w:color w:val="auto"/>
          <w:kern w:val="0"/>
          <w:sz w:val="32"/>
          <w:szCs w:val="32"/>
          <w:highlight w:val="none"/>
          <w:shd w:val="clear" w:color="auto" w:fill="FFFFFF"/>
        </w:rPr>
      </w:pPr>
    </w:p>
    <w:p w14:paraId="129D5919">
      <w:pPr>
        <w:spacing w:line="360" w:lineRule="auto"/>
        <w:ind w:firstLine="1680" w:firstLineChars="70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7D25F77E">
      <w:pPr>
        <w:spacing w:line="360" w:lineRule="auto"/>
        <w:ind w:firstLine="1680" w:firstLineChars="70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03938AA5">
      <w:pPr>
        <w:spacing w:line="360" w:lineRule="auto"/>
        <w:ind w:firstLine="1680" w:firstLineChars="70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1C44917A">
      <w:pPr>
        <w:rPr>
          <w:rFonts w:hint="eastAsia" w:ascii="宋体" w:hAnsi="宋体" w:cs="宋体"/>
          <w:color w:val="auto"/>
          <w:highlight w:val="none"/>
        </w:rPr>
      </w:pPr>
      <w:r>
        <w:rPr>
          <w:rFonts w:hint="eastAsia" w:ascii="宋体" w:hAnsi="宋体" w:cs="宋体"/>
          <w:color w:val="auto"/>
          <w:highlight w:val="none"/>
        </w:rPr>
        <w:br w:type="page"/>
      </w:r>
    </w:p>
    <w:p w14:paraId="42A9BEB2">
      <w:pPr>
        <w:pStyle w:val="6"/>
        <w:rPr>
          <w:rFonts w:hint="eastAsia"/>
          <w:color w:val="auto"/>
          <w:highlight w:val="none"/>
        </w:rPr>
      </w:pPr>
    </w:p>
    <w:p w14:paraId="677992A0">
      <w:pPr>
        <w:pStyle w:val="9"/>
        <w:rPr>
          <w:rFonts w:hint="eastAsia" w:ascii="宋体" w:hAnsi="宋体" w:eastAsia="宋体"/>
          <w:color w:val="auto"/>
          <w:highlight w:val="none"/>
        </w:rPr>
      </w:pPr>
    </w:p>
    <w:p w14:paraId="6B143162">
      <w:pPr>
        <w:spacing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投标文件目录</w:t>
      </w:r>
    </w:p>
    <w:p w14:paraId="04F4ACE5">
      <w:pPr>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格式自拟</w:t>
      </w:r>
    </w:p>
    <w:p w14:paraId="47E86CC5">
      <w:pPr>
        <w:jc w:val="center"/>
        <w:rPr>
          <w:rFonts w:hint="eastAsia" w:ascii="宋体" w:hAnsi="宋体" w:cs="宋体"/>
          <w:color w:val="auto"/>
          <w:sz w:val="24"/>
          <w:szCs w:val="24"/>
          <w:highlight w:val="none"/>
          <w:lang w:val="en-US" w:eastAsia="zh-CN"/>
        </w:rPr>
      </w:pPr>
    </w:p>
    <w:p w14:paraId="52CB59AA">
      <w:pPr>
        <w:jc w:val="center"/>
        <w:rPr>
          <w:rFonts w:hint="eastAsia" w:ascii="宋体" w:hAnsi="宋体" w:cs="宋体"/>
          <w:color w:val="auto"/>
          <w:sz w:val="24"/>
          <w:szCs w:val="24"/>
          <w:highlight w:val="none"/>
          <w:lang w:val="en-US" w:eastAsia="zh-CN"/>
        </w:rPr>
      </w:pPr>
    </w:p>
    <w:p w14:paraId="19D55512">
      <w:pPr>
        <w:jc w:val="center"/>
        <w:rPr>
          <w:rFonts w:hint="eastAsia" w:ascii="宋体" w:hAnsi="宋体" w:cs="宋体"/>
          <w:color w:val="auto"/>
          <w:sz w:val="24"/>
          <w:szCs w:val="24"/>
          <w:highlight w:val="none"/>
          <w:lang w:val="en-US" w:eastAsia="zh-CN"/>
        </w:rPr>
      </w:pPr>
    </w:p>
    <w:p w14:paraId="6A31AEB9">
      <w:pPr>
        <w:jc w:val="center"/>
        <w:rPr>
          <w:rFonts w:hint="eastAsia" w:ascii="宋体" w:hAnsi="宋体" w:cs="宋体"/>
          <w:b/>
          <w:color w:val="auto"/>
          <w:sz w:val="28"/>
          <w:szCs w:val="28"/>
          <w:highlight w:val="none"/>
        </w:rPr>
      </w:pPr>
      <w:r>
        <w:rPr>
          <w:rFonts w:hint="eastAsia" w:ascii="宋体" w:hAnsi="宋体" w:cs="宋体"/>
          <w:b/>
          <w:bCs/>
          <w:color w:val="auto"/>
          <w:kern w:val="0"/>
          <w:sz w:val="24"/>
          <w:szCs w:val="24"/>
          <w:highlight w:val="none"/>
        </w:rPr>
        <w:br w:type="page"/>
      </w:r>
      <w:r>
        <w:rPr>
          <w:rFonts w:hint="eastAsia" w:ascii="宋体" w:hAnsi="宋体" w:cs="宋体"/>
          <w:b/>
          <w:color w:val="auto"/>
          <w:sz w:val="28"/>
          <w:szCs w:val="28"/>
          <w:highlight w:val="none"/>
        </w:rPr>
        <w:t>一、法定代表人身份证明书</w:t>
      </w:r>
    </w:p>
    <w:p w14:paraId="3149C03A">
      <w:pPr>
        <w:spacing w:line="440" w:lineRule="exact"/>
        <w:rPr>
          <w:rFonts w:hint="eastAsia" w:ascii="宋体" w:hAnsi="宋体" w:cs="宋体"/>
          <w:b/>
          <w:bCs/>
          <w:color w:val="auto"/>
          <w:sz w:val="32"/>
          <w:szCs w:val="32"/>
          <w:highlight w:val="none"/>
        </w:rPr>
      </w:pPr>
    </w:p>
    <w:p w14:paraId="20707740">
      <w:pPr>
        <w:spacing w:line="480" w:lineRule="auto"/>
        <w:ind w:firstLine="612"/>
        <w:rPr>
          <w:rFonts w:hint="eastAsia" w:ascii="宋体" w:hAnsi="宋体" w:cs="宋体"/>
          <w:color w:val="auto"/>
          <w:sz w:val="24"/>
          <w:szCs w:val="24"/>
          <w:highlight w:val="none"/>
        </w:rPr>
      </w:pPr>
      <w:r>
        <w:rPr>
          <w:rFonts w:hint="eastAsia" w:ascii="宋体" w:hAnsi="宋体" w:cs="宋体"/>
          <w:color w:val="auto"/>
          <w:sz w:val="24"/>
          <w:szCs w:val="24"/>
          <w:highlight w:val="none"/>
        </w:rPr>
        <w:t>单位名称：</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p>
    <w:p w14:paraId="090C9E25">
      <w:pPr>
        <w:spacing w:line="480" w:lineRule="auto"/>
        <w:ind w:firstLine="61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单位性质：</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p>
    <w:p w14:paraId="3D7531F0">
      <w:pPr>
        <w:spacing w:line="480" w:lineRule="auto"/>
        <w:ind w:firstLine="61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p>
    <w:p w14:paraId="0E9C6FC7">
      <w:pPr>
        <w:spacing w:line="480" w:lineRule="auto"/>
        <w:ind w:firstLine="610"/>
        <w:rPr>
          <w:rFonts w:hint="eastAsia" w:ascii="宋体" w:hAnsi="宋体" w:cs="宋体"/>
          <w:color w:val="auto"/>
          <w:sz w:val="24"/>
          <w:szCs w:val="24"/>
          <w:highlight w:val="none"/>
        </w:rPr>
      </w:pPr>
      <w:r>
        <w:rPr>
          <w:rFonts w:hint="eastAsia" w:ascii="宋体" w:hAnsi="宋体" w:cs="宋体"/>
          <w:color w:val="auto"/>
          <w:sz w:val="24"/>
          <w:szCs w:val="24"/>
          <w:highlight w:val="none"/>
        </w:rPr>
        <w:t>成立时间：   年   月   日</w:t>
      </w:r>
    </w:p>
    <w:p w14:paraId="43222FFC">
      <w:pPr>
        <w:spacing w:line="480" w:lineRule="auto"/>
        <w:ind w:firstLine="61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经营期限：</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p>
    <w:p w14:paraId="1939CEA8">
      <w:pPr>
        <w:spacing w:line="480" w:lineRule="auto"/>
        <w:ind w:firstLine="61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姓名：性别：年龄：职务：</w:t>
      </w:r>
      <w:r>
        <w:rPr>
          <w:rFonts w:hint="eastAsia" w:ascii="宋体" w:hAnsi="宋体" w:cs="宋体"/>
          <w:color w:val="auto"/>
          <w:sz w:val="24"/>
          <w:szCs w:val="24"/>
          <w:highlight w:val="none"/>
          <w:u w:val="single"/>
        </w:rPr>
        <w:tab/>
      </w:r>
    </w:p>
    <w:p w14:paraId="14388B22">
      <w:pPr>
        <w:spacing w:line="480" w:lineRule="auto"/>
        <w:ind w:firstLine="610"/>
        <w:rPr>
          <w:rFonts w:hint="eastAsia" w:ascii="宋体" w:hAnsi="宋体" w:cs="宋体"/>
          <w:color w:val="auto"/>
          <w:sz w:val="24"/>
          <w:szCs w:val="24"/>
          <w:highlight w:val="none"/>
        </w:rPr>
      </w:pPr>
      <w:r>
        <w:rPr>
          <w:rFonts w:hint="eastAsia" w:ascii="宋体" w:hAnsi="宋体" w:cs="宋体"/>
          <w:color w:val="auto"/>
          <w:sz w:val="24"/>
          <w:szCs w:val="24"/>
          <w:highlight w:val="none"/>
        </w:rPr>
        <w:t>系</w:t>
      </w:r>
      <w:r>
        <w:rPr>
          <w:rFonts w:hint="eastAsia" w:ascii="宋体" w:hAnsi="宋体" w:cs="宋体"/>
          <w:color w:val="auto"/>
          <w:sz w:val="24"/>
          <w:szCs w:val="24"/>
          <w:highlight w:val="none"/>
          <w:u w:val="single"/>
        </w:rPr>
        <w:t>（投标供应商单位名称）</w:t>
      </w:r>
      <w:r>
        <w:rPr>
          <w:rFonts w:hint="eastAsia" w:ascii="宋体" w:hAnsi="宋体" w:cs="宋体"/>
          <w:color w:val="auto"/>
          <w:sz w:val="24"/>
          <w:szCs w:val="24"/>
          <w:highlight w:val="none"/>
        </w:rPr>
        <w:t>的法定代表人。</w:t>
      </w:r>
    </w:p>
    <w:p w14:paraId="169BD67A">
      <w:pPr>
        <w:spacing w:line="480" w:lineRule="auto"/>
        <w:ind w:firstLine="610"/>
        <w:rPr>
          <w:rFonts w:hint="eastAsia" w:ascii="宋体" w:hAnsi="宋体" w:cs="宋体"/>
          <w:color w:val="auto"/>
          <w:sz w:val="24"/>
          <w:szCs w:val="24"/>
          <w:highlight w:val="none"/>
        </w:rPr>
      </w:pPr>
    </w:p>
    <w:p w14:paraId="30615F00">
      <w:pPr>
        <w:spacing w:line="480" w:lineRule="auto"/>
        <w:ind w:firstLine="1089" w:firstLineChars="454"/>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479D0143">
      <w:pPr>
        <w:tabs>
          <w:tab w:val="left" w:pos="720"/>
          <w:tab w:val="left" w:pos="900"/>
        </w:tabs>
        <w:spacing w:line="480" w:lineRule="auto"/>
        <w:ind w:firstLine="5040" w:firstLineChars="2100"/>
        <w:rPr>
          <w:rFonts w:hint="eastAsia" w:ascii="宋体" w:hAnsi="宋体" w:cs="宋体"/>
          <w:color w:val="auto"/>
          <w:sz w:val="24"/>
          <w:szCs w:val="24"/>
          <w:highlight w:val="none"/>
        </w:rPr>
      </w:pPr>
    </w:p>
    <w:p w14:paraId="4B7163FA">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7A68DA98">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2F03F5CE">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5A03A306">
      <w:pPr>
        <w:spacing w:line="520" w:lineRule="exact"/>
        <w:rPr>
          <w:rFonts w:hint="eastAsia" w:ascii="宋体" w:hAnsi="宋体" w:cs="宋体"/>
          <w:color w:val="auto"/>
          <w:sz w:val="24"/>
          <w:szCs w:val="22"/>
          <w:highlight w:val="none"/>
        </w:rPr>
      </w:pPr>
    </w:p>
    <w:tbl>
      <w:tblPr>
        <w:tblStyle w:val="19"/>
        <w:tblW w:w="0" w:type="auto"/>
        <w:tblInd w:w="8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1"/>
      </w:tblGrid>
      <w:tr w14:paraId="274C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trPr>
        <w:tc>
          <w:tcPr>
            <w:tcW w:w="7331" w:type="dxa"/>
            <w:vAlign w:val="center"/>
          </w:tcPr>
          <w:p w14:paraId="748FC3E1">
            <w:pPr>
              <w:jc w:val="center"/>
              <w:rPr>
                <w:rFonts w:hint="eastAsia" w:ascii="宋体" w:hAnsi="宋体" w:cs="宋体"/>
                <w:color w:val="auto"/>
                <w:sz w:val="28"/>
                <w:szCs w:val="22"/>
                <w:highlight w:val="none"/>
              </w:rPr>
            </w:pPr>
            <w:r>
              <w:rPr>
                <w:rFonts w:hint="eastAsia" w:ascii="宋体" w:hAnsi="宋体" w:cs="宋体"/>
                <w:color w:val="auto"/>
                <w:kern w:val="0"/>
                <w:sz w:val="28"/>
                <w:szCs w:val="28"/>
                <w:highlight w:val="none"/>
              </w:rPr>
              <w:t>法定代表人身份证复印件（或扫描件）</w:t>
            </w:r>
          </w:p>
        </w:tc>
      </w:tr>
    </w:tbl>
    <w:p w14:paraId="55C145E6">
      <w:pPr>
        <w:spacing w:line="520" w:lineRule="exact"/>
        <w:rPr>
          <w:rFonts w:hint="eastAsia" w:ascii="宋体" w:hAnsi="宋体" w:cs="宋体"/>
          <w:color w:val="auto"/>
          <w:sz w:val="24"/>
          <w:szCs w:val="22"/>
          <w:highlight w:val="none"/>
        </w:rPr>
      </w:pPr>
    </w:p>
    <w:p w14:paraId="02A287BB">
      <w:pPr>
        <w:pStyle w:val="9"/>
        <w:rPr>
          <w:rFonts w:hint="eastAsia" w:ascii="宋体" w:hAnsi="宋体" w:eastAsia="宋体"/>
          <w:color w:val="auto"/>
          <w:highlight w:val="none"/>
        </w:rPr>
      </w:pPr>
    </w:p>
    <w:p w14:paraId="386CE06E">
      <w:pPr>
        <w:pStyle w:val="10"/>
        <w:rPr>
          <w:rFonts w:hint="eastAsia" w:ascii="宋体" w:hAnsi="宋体" w:cs="宋体"/>
          <w:color w:val="auto"/>
          <w:highlight w:val="none"/>
        </w:rPr>
      </w:pPr>
    </w:p>
    <w:p w14:paraId="3CD8A541">
      <w:pPr>
        <w:pStyle w:val="10"/>
        <w:rPr>
          <w:rFonts w:hint="eastAsia" w:ascii="宋体" w:hAnsi="宋体" w:cs="宋体"/>
          <w:color w:val="auto"/>
          <w:highlight w:val="none"/>
        </w:rPr>
      </w:pPr>
    </w:p>
    <w:p w14:paraId="1EC653DA">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二、投标文件签署授权委托书</w:t>
      </w:r>
    </w:p>
    <w:p w14:paraId="326E01A8">
      <w:pPr>
        <w:pStyle w:val="9"/>
        <w:rPr>
          <w:rFonts w:hint="eastAsia" w:ascii="宋体" w:hAnsi="宋体" w:eastAsia="宋体"/>
          <w:color w:val="auto"/>
          <w:highlight w:val="none"/>
        </w:rPr>
      </w:pPr>
    </w:p>
    <w:p w14:paraId="3D517622">
      <w:pPr>
        <w:tabs>
          <w:tab w:val="left" w:pos="3240"/>
        </w:tabs>
        <w:spacing w:line="480" w:lineRule="auto"/>
        <w:ind w:firstLine="612"/>
        <w:rPr>
          <w:rFonts w:hint="eastAsia" w:ascii="宋体" w:hAnsi="宋体" w:cs="宋体"/>
          <w:color w:val="auto"/>
          <w:sz w:val="24"/>
          <w:szCs w:val="24"/>
          <w:highlight w:val="none"/>
        </w:rPr>
      </w:pPr>
      <w:r>
        <w:rPr>
          <w:rFonts w:hint="eastAsia" w:ascii="宋体" w:hAnsi="宋体" w:cs="宋体"/>
          <w:color w:val="auto"/>
          <w:sz w:val="24"/>
          <w:szCs w:val="24"/>
          <w:highlight w:val="none"/>
        </w:rPr>
        <w:t>本授权委托书声明：我</w:t>
      </w:r>
      <w:r>
        <w:rPr>
          <w:rFonts w:hint="eastAsia" w:ascii="宋体" w:hAnsi="宋体" w:cs="宋体"/>
          <w:color w:val="auto"/>
          <w:sz w:val="24"/>
          <w:szCs w:val="24"/>
          <w:highlight w:val="none"/>
          <w:u w:val="single"/>
        </w:rPr>
        <w:t>（法定代表人）</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供应商</w:t>
      </w:r>
      <w:r>
        <w:rPr>
          <w:rFonts w:hint="eastAsia" w:ascii="宋体" w:hAnsi="宋体" w:cs="宋体"/>
          <w:color w:val="auto"/>
          <w:sz w:val="24"/>
          <w:szCs w:val="24"/>
          <w:highlight w:val="none"/>
          <w:u w:val="single"/>
        </w:rPr>
        <w:t>名称）</w:t>
      </w:r>
      <w:r>
        <w:rPr>
          <w:rFonts w:hint="eastAsia" w:ascii="宋体" w:hAnsi="宋体" w:cs="宋体"/>
          <w:color w:val="auto"/>
          <w:sz w:val="24"/>
          <w:szCs w:val="24"/>
          <w:highlight w:val="none"/>
        </w:rPr>
        <w:t>的法定代表人，现授权委托</w:t>
      </w:r>
      <w:r>
        <w:rPr>
          <w:rFonts w:hint="eastAsia" w:ascii="宋体" w:hAnsi="宋体" w:cs="宋体"/>
          <w:color w:val="auto"/>
          <w:sz w:val="24"/>
          <w:szCs w:val="24"/>
          <w:highlight w:val="none"/>
          <w:u w:val="single"/>
        </w:rPr>
        <w:t>（单位名称）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（姓名）</w:t>
      </w:r>
      <w:r>
        <w:rPr>
          <w:rFonts w:hint="eastAsia" w:ascii="宋体" w:hAnsi="宋体" w:cs="宋体"/>
          <w:color w:val="auto"/>
          <w:sz w:val="24"/>
          <w:szCs w:val="24"/>
          <w:highlight w:val="none"/>
        </w:rPr>
        <w:t>为我公司签署本项目的投标文件的法定代表人授权委托代理人，我承认代理人全权代表我所签署的</w:t>
      </w:r>
      <w:r>
        <w:rPr>
          <w:rFonts w:hint="eastAsia" w:ascii="宋体" w:hAnsi="宋体" w:cs="宋体"/>
          <w:color w:val="auto"/>
          <w:sz w:val="24"/>
          <w:szCs w:val="24"/>
          <w:highlight w:val="none"/>
          <w:u w:val="single"/>
        </w:rPr>
        <w:t xml:space="preserve">  （项目名称）   </w:t>
      </w:r>
      <w:r>
        <w:rPr>
          <w:rFonts w:hint="eastAsia" w:ascii="宋体" w:hAnsi="宋体" w:cs="宋体"/>
          <w:color w:val="auto"/>
          <w:sz w:val="24"/>
          <w:szCs w:val="24"/>
          <w:highlight w:val="none"/>
        </w:rPr>
        <w:t>的投标文件的内容。同时授权委托该同志代表我公司参加本项目的投标、开标、合同谈判、处理有关事务等并有权签署有关文件。</w:t>
      </w:r>
    </w:p>
    <w:p w14:paraId="2B7201C3">
      <w:pPr>
        <w:tabs>
          <w:tab w:val="left" w:pos="3240"/>
        </w:tabs>
        <w:spacing w:line="48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委托期限：</w:t>
      </w:r>
    </w:p>
    <w:p w14:paraId="7DAA53DF">
      <w:pPr>
        <w:spacing w:line="48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代理人无转委托权，特此委托。</w:t>
      </w:r>
    </w:p>
    <w:p w14:paraId="0E1017BD">
      <w:pPr>
        <w:spacing w:line="480" w:lineRule="auto"/>
        <w:ind w:firstLine="4320" w:firstLineChars="180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电子签章</w:t>
      </w:r>
      <w:r>
        <w:rPr>
          <w:rFonts w:hint="eastAsia" w:ascii="宋体" w:hAnsi="宋体" w:cs="宋体"/>
          <w:color w:val="auto"/>
          <w:sz w:val="24"/>
          <w:szCs w:val="24"/>
          <w:highlight w:val="none"/>
          <w:u w:val="single"/>
        </w:rPr>
        <w:t xml:space="preserve">）     </w:t>
      </w:r>
    </w:p>
    <w:p w14:paraId="63884668">
      <w:pPr>
        <w:spacing w:line="480" w:lineRule="auto"/>
        <w:ind w:firstLine="4320" w:firstLineChars="18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电子签章</w:t>
      </w:r>
      <w:r>
        <w:rPr>
          <w:rFonts w:hint="eastAsia" w:ascii="宋体" w:hAnsi="宋体" w:cs="宋体"/>
          <w:color w:val="auto"/>
          <w:sz w:val="24"/>
          <w:szCs w:val="24"/>
          <w:highlight w:val="none"/>
          <w:u w:val="single"/>
        </w:rPr>
        <w:t xml:space="preserve">）     </w:t>
      </w:r>
    </w:p>
    <w:p w14:paraId="7479C4B2">
      <w:pPr>
        <w:spacing w:line="480" w:lineRule="auto"/>
        <w:ind w:firstLine="4320" w:firstLineChars="18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代理人（签字）：</w:t>
      </w:r>
    </w:p>
    <w:p w14:paraId="4D4DED8D">
      <w:pPr>
        <w:spacing w:line="480" w:lineRule="auto"/>
        <w:ind w:firstLine="4320" w:firstLineChars="18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身份证号码：</w:t>
      </w:r>
    </w:p>
    <w:p w14:paraId="561817FC">
      <w:pPr>
        <w:spacing w:line="480" w:lineRule="auto"/>
        <w:ind w:firstLine="4320" w:firstLineChars="18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联系电话：</w:t>
      </w:r>
    </w:p>
    <w:p w14:paraId="17A6C1CC">
      <w:pPr>
        <w:spacing w:line="480" w:lineRule="auto"/>
        <w:ind w:firstLine="4320" w:firstLineChars="1800"/>
        <w:rPr>
          <w:rFonts w:hint="eastAsia" w:ascii="宋体" w:hAnsi="宋体" w:cs="宋体"/>
          <w:color w:val="auto"/>
          <w:sz w:val="24"/>
          <w:szCs w:val="24"/>
          <w:highlight w:val="none"/>
        </w:rPr>
      </w:pPr>
      <w:r>
        <w:rPr>
          <w:rFonts w:hint="eastAsia" w:ascii="宋体" w:hAnsi="宋体" w:cs="宋体"/>
          <w:color w:val="auto"/>
          <w:sz w:val="24"/>
          <w:szCs w:val="24"/>
          <w:highlight w:val="none"/>
        </w:rPr>
        <w:t>授权委托日期：    年   月   日</w:t>
      </w:r>
    </w:p>
    <w:p w14:paraId="202653A0">
      <w:pPr>
        <w:rPr>
          <w:rFonts w:hint="eastAsia" w:ascii="宋体" w:hAnsi="宋体" w:cs="宋体"/>
          <w:color w:val="auto"/>
          <w:szCs w:val="22"/>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7"/>
      </w:tblGrid>
      <w:tr w14:paraId="7DC0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6727" w:type="dxa"/>
            <w:vAlign w:val="center"/>
          </w:tcPr>
          <w:p w14:paraId="41C24454">
            <w:pPr>
              <w:jc w:val="center"/>
              <w:rPr>
                <w:rFonts w:hint="eastAsia" w:ascii="宋体" w:hAnsi="宋体" w:cs="宋体"/>
                <w:color w:val="auto"/>
                <w:szCs w:val="22"/>
                <w:highlight w:val="none"/>
              </w:rPr>
            </w:pPr>
          </w:p>
          <w:p w14:paraId="7BE1CCA9">
            <w:pPr>
              <w:jc w:val="center"/>
              <w:rPr>
                <w:rFonts w:hint="eastAsia" w:ascii="宋体" w:hAnsi="宋体" w:cs="宋体"/>
                <w:color w:val="auto"/>
                <w:szCs w:val="22"/>
                <w:highlight w:val="none"/>
              </w:rPr>
            </w:pPr>
          </w:p>
          <w:p w14:paraId="51654C15">
            <w:pPr>
              <w:ind w:firstLine="1540" w:firstLineChars="550"/>
              <w:rPr>
                <w:rFonts w:hint="eastAsia" w:ascii="宋体" w:hAnsi="宋体" w:cs="宋体"/>
                <w:color w:val="auto"/>
                <w:szCs w:val="22"/>
                <w:highlight w:val="none"/>
              </w:rPr>
            </w:pPr>
            <w:r>
              <w:rPr>
                <w:rFonts w:hint="eastAsia" w:ascii="宋体" w:hAnsi="宋体" w:cs="宋体"/>
                <w:color w:val="auto"/>
                <w:kern w:val="0"/>
                <w:sz w:val="28"/>
                <w:szCs w:val="28"/>
                <w:highlight w:val="none"/>
              </w:rPr>
              <w:t>委托代理人身份证复印件（或扫描件）</w:t>
            </w:r>
          </w:p>
          <w:p w14:paraId="1C4CC89D">
            <w:pPr>
              <w:jc w:val="center"/>
              <w:rPr>
                <w:rFonts w:hint="eastAsia" w:ascii="宋体" w:hAnsi="宋体" w:cs="宋体"/>
                <w:color w:val="auto"/>
                <w:szCs w:val="22"/>
                <w:highlight w:val="none"/>
              </w:rPr>
            </w:pPr>
          </w:p>
          <w:p w14:paraId="22A70D5F">
            <w:pPr>
              <w:rPr>
                <w:rFonts w:hint="eastAsia" w:ascii="宋体" w:hAnsi="宋体" w:cs="宋体"/>
                <w:color w:val="auto"/>
                <w:szCs w:val="22"/>
                <w:highlight w:val="none"/>
              </w:rPr>
            </w:pPr>
          </w:p>
        </w:tc>
      </w:tr>
    </w:tbl>
    <w:p w14:paraId="4D02047E">
      <w:pPr>
        <w:rPr>
          <w:rFonts w:hint="eastAsia" w:ascii="宋体" w:hAnsi="宋体" w:cs="宋体"/>
          <w:color w:val="auto"/>
          <w:szCs w:val="22"/>
          <w:highlight w:val="none"/>
        </w:rPr>
      </w:pPr>
    </w:p>
    <w:p w14:paraId="35985548">
      <w:pPr>
        <w:rPr>
          <w:rFonts w:ascii="Times New Roman" w:hAnsi="Times New Roman"/>
          <w:color w:val="auto"/>
          <w:szCs w:val="24"/>
          <w:highlight w:val="none"/>
        </w:rPr>
      </w:pPr>
      <w:r>
        <w:rPr>
          <w:rFonts w:hint="eastAsia" w:ascii="Times New Roman" w:hAnsi="Times New Roman"/>
          <w:color w:val="auto"/>
          <w:szCs w:val="24"/>
          <w:highlight w:val="none"/>
        </w:rPr>
        <w:t>注：本项目为电子标，委托代理人签字可以为电脑打印字体或法定代表人电子签章为准。</w:t>
      </w:r>
    </w:p>
    <w:p w14:paraId="78A83545">
      <w:pPr>
        <w:jc w:val="center"/>
        <w:rPr>
          <w:rFonts w:hint="eastAsia" w:ascii="宋体" w:hAnsi="宋体" w:cs="宋体"/>
          <w:b/>
          <w:bCs/>
          <w:color w:val="auto"/>
          <w:sz w:val="32"/>
          <w:szCs w:val="32"/>
          <w:highlight w:val="none"/>
        </w:rPr>
      </w:pPr>
    </w:p>
    <w:p w14:paraId="3541938B">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0082E8FE">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三、投标函及投标函附录</w:t>
      </w:r>
    </w:p>
    <w:p w14:paraId="28514A68">
      <w:pPr>
        <w:keepNext/>
        <w:keepLines/>
        <w:numPr>
          <w:ilvl w:val="1"/>
          <w:numId w:val="0"/>
        </w:numPr>
        <w:spacing w:before="260" w:after="260" w:line="412" w:lineRule="auto"/>
        <w:jc w:val="center"/>
        <w:outlineLvl w:val="1"/>
        <w:rPr>
          <w:rFonts w:hint="eastAsia" w:ascii="宋体" w:hAnsi="宋体" w:cs="宋体"/>
          <w:b/>
          <w:color w:val="auto"/>
          <w:kern w:val="0"/>
          <w:sz w:val="28"/>
          <w:szCs w:val="28"/>
          <w:highlight w:val="none"/>
        </w:rPr>
      </w:pPr>
      <w:bookmarkStart w:id="160" w:name="_Toc13622"/>
      <w:r>
        <w:rPr>
          <w:rFonts w:hint="eastAsia" w:ascii="宋体" w:hAnsi="宋体" w:cs="宋体"/>
          <w:b/>
          <w:color w:val="auto"/>
          <w:kern w:val="0"/>
          <w:sz w:val="28"/>
          <w:szCs w:val="28"/>
          <w:highlight w:val="none"/>
        </w:rPr>
        <w:t>1.投标函</w:t>
      </w:r>
      <w:bookmarkEnd w:id="160"/>
    </w:p>
    <w:p w14:paraId="76B36C18">
      <w:pPr>
        <w:spacing w:line="360" w:lineRule="auto"/>
        <w:jc w:val="left"/>
        <w:rPr>
          <w:rFonts w:hint="eastAsia" w:ascii="宋体" w:hAnsi="宋体" w:cs="宋体"/>
          <w:color w:val="auto"/>
          <w:spacing w:val="24"/>
          <w:sz w:val="24"/>
          <w:szCs w:val="24"/>
          <w:highlight w:val="none"/>
        </w:rPr>
      </w:pPr>
      <w:r>
        <w:rPr>
          <w:rFonts w:hint="eastAsia" w:ascii="宋体" w:hAnsi="宋体" w:cs="宋体"/>
          <w:color w:val="auto"/>
          <w:spacing w:val="24"/>
          <w:sz w:val="24"/>
          <w:szCs w:val="24"/>
          <w:highlight w:val="none"/>
        </w:rPr>
        <w:t>致：</w:t>
      </w:r>
      <w:r>
        <w:rPr>
          <w:rFonts w:hint="eastAsia" w:ascii="宋体" w:hAnsi="宋体" w:cs="宋体"/>
          <w:color w:val="auto"/>
          <w:spacing w:val="24"/>
          <w:sz w:val="24"/>
          <w:szCs w:val="24"/>
          <w:highlight w:val="none"/>
          <w:u w:val="single"/>
        </w:rPr>
        <w:t>（采购人）</w:t>
      </w:r>
    </w:p>
    <w:p w14:paraId="040E2D9C">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根据已收到贵方的</w:t>
      </w:r>
      <w:r>
        <w:rPr>
          <w:rFonts w:hint="eastAsia" w:ascii="宋体" w:hAnsi="宋体" w:cs="宋体"/>
          <w:color w:val="auto"/>
          <w:sz w:val="24"/>
          <w:szCs w:val="24"/>
          <w:highlight w:val="none"/>
          <w:u w:val="single"/>
        </w:rPr>
        <w:t xml:space="preserve">（项目名称） </w:t>
      </w:r>
      <w:r>
        <w:rPr>
          <w:rFonts w:hint="eastAsia" w:ascii="宋体" w:hAnsi="宋体" w:cs="宋体"/>
          <w:color w:val="auto"/>
          <w:sz w:val="24"/>
          <w:szCs w:val="24"/>
          <w:highlight w:val="none"/>
        </w:rPr>
        <w:t>的招标文件，遵照《中华人民共和国政府采购法》等有关规定，我单位经研究上述招标文件的投标须知、合同条款、</w:t>
      </w:r>
      <w:r>
        <w:rPr>
          <w:rFonts w:hint="eastAsia" w:ascii="宋体" w:hAnsi="宋体" w:cs="宋体"/>
          <w:color w:val="auto"/>
          <w:sz w:val="24"/>
          <w:szCs w:val="24"/>
          <w:highlight w:val="none"/>
          <w:lang w:val="en-US" w:eastAsia="zh-CN"/>
        </w:rPr>
        <w:t>服务要求</w:t>
      </w:r>
      <w:r>
        <w:rPr>
          <w:rFonts w:hint="eastAsia" w:ascii="宋体" w:hAnsi="宋体" w:cs="宋体"/>
          <w:color w:val="auto"/>
          <w:sz w:val="24"/>
          <w:szCs w:val="24"/>
          <w:highlight w:val="none"/>
        </w:rPr>
        <w:t>及其它有关文件后，我方愿以人民币（大写）：</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元）的投标报价，服务期限为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,承包上述项目服务</w:t>
      </w:r>
      <w:r>
        <w:rPr>
          <w:rFonts w:hint="eastAsia" w:ascii="宋体" w:hAnsi="宋体" w:cs="宋体"/>
          <w:color w:val="auto"/>
          <w:sz w:val="24"/>
          <w:szCs w:val="24"/>
          <w:highlight w:val="none"/>
          <w:shd w:val="clear" w:color="auto" w:fill="FFFFFF"/>
        </w:rPr>
        <w:t>。</w:t>
      </w:r>
    </w:p>
    <w:p w14:paraId="055BC6DE">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我方已详细审核全部招标文件，包括修改文件（如有）及有关附件，已充分理解并掌握了本招标项目的全部有关情况，认为招标文件符合法律、法规的要求，充分体现了公开、公平、公正和诚实信用原则，我方对招标文件没有任何异议。同意接受招标文件的全部内容和条件。</w:t>
      </w:r>
    </w:p>
    <w:p w14:paraId="32D76861">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2、我方承认投标函附表是我方投标函的组成部分。</w:t>
      </w:r>
    </w:p>
    <w:p w14:paraId="7559872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3、如我方中标，我方承诺在收到中标通知书后，在中标通知书规定的期限内，根据招标文件、我方的投标文件及有关澄清承诺书的要求，与采购人订立书面合同，并按照合同约定承担完成合同的责任和义务。</w:t>
      </w:r>
    </w:p>
    <w:p w14:paraId="7A4F9BEF">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4、我方同意自本项目招标文件中规定的投标有效期内有效，并承诺在投标有效期内不修改、撤销投标文件。</w:t>
      </w:r>
    </w:p>
    <w:p w14:paraId="52579EBA">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5、我方完全理解贵方不一定接受投标报价最低的投标供应商为中标供应商的行为。</w:t>
      </w:r>
    </w:p>
    <w:p w14:paraId="5E1202C7">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6、我方在此声明，所递交的投标文件及有关资料内容完整、真实和准确。</w:t>
      </w:r>
    </w:p>
    <w:p w14:paraId="6B3A764C">
      <w:pPr>
        <w:spacing w:line="360" w:lineRule="auto"/>
        <w:rPr>
          <w:rFonts w:hint="eastAsia" w:ascii="宋体" w:hAnsi="宋体" w:cs="宋体"/>
          <w:color w:val="auto"/>
          <w:spacing w:val="24"/>
          <w:szCs w:val="24"/>
          <w:highlight w:val="none"/>
        </w:rPr>
      </w:pPr>
    </w:p>
    <w:p w14:paraId="38ADF3E4">
      <w:pPr>
        <w:spacing w:line="360" w:lineRule="auto"/>
        <w:rPr>
          <w:rFonts w:hint="eastAsia" w:ascii="宋体" w:hAnsi="宋体" w:cs="宋体"/>
          <w:color w:val="auto"/>
          <w:spacing w:val="24"/>
          <w:szCs w:val="24"/>
          <w:highlight w:val="none"/>
        </w:rPr>
      </w:pPr>
    </w:p>
    <w:p w14:paraId="370AF031">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2A04C0D0">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2170DF42">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0FFCCA77">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0A1835E0">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2、投标函附表</w:t>
      </w:r>
    </w:p>
    <w:tbl>
      <w:tblPr>
        <w:tblStyle w:val="19"/>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6227"/>
      </w:tblGrid>
      <w:tr w14:paraId="027D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8" w:hRule="exact"/>
        </w:trPr>
        <w:tc>
          <w:tcPr>
            <w:tcW w:w="2552" w:type="dxa"/>
            <w:vAlign w:val="center"/>
          </w:tcPr>
          <w:p w14:paraId="19434B0F">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6227" w:type="dxa"/>
            <w:vAlign w:val="center"/>
          </w:tcPr>
          <w:p w14:paraId="24C3F5C7">
            <w:pPr>
              <w:spacing w:line="400" w:lineRule="exact"/>
              <w:rPr>
                <w:rFonts w:hint="eastAsia" w:ascii="宋体" w:hAnsi="宋体" w:cs="宋体"/>
                <w:color w:val="auto"/>
                <w:sz w:val="24"/>
                <w:szCs w:val="24"/>
                <w:highlight w:val="none"/>
              </w:rPr>
            </w:pPr>
          </w:p>
        </w:tc>
      </w:tr>
      <w:tr w14:paraId="5E12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exact"/>
        </w:trPr>
        <w:tc>
          <w:tcPr>
            <w:tcW w:w="2552" w:type="dxa"/>
            <w:vAlign w:val="center"/>
          </w:tcPr>
          <w:p w14:paraId="64AE50F6">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项目编号</w:t>
            </w:r>
          </w:p>
        </w:tc>
        <w:tc>
          <w:tcPr>
            <w:tcW w:w="6227" w:type="dxa"/>
            <w:vAlign w:val="center"/>
          </w:tcPr>
          <w:p w14:paraId="6817F096">
            <w:pPr>
              <w:spacing w:line="400" w:lineRule="exact"/>
              <w:rPr>
                <w:rFonts w:hint="eastAsia" w:ascii="宋体" w:hAnsi="宋体" w:cs="宋体"/>
                <w:color w:val="auto"/>
                <w:sz w:val="24"/>
                <w:szCs w:val="24"/>
                <w:highlight w:val="none"/>
              </w:rPr>
            </w:pPr>
          </w:p>
        </w:tc>
      </w:tr>
      <w:tr w14:paraId="2499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2552" w:type="dxa"/>
            <w:vAlign w:val="center"/>
          </w:tcPr>
          <w:p w14:paraId="4480123B">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供应商名称</w:t>
            </w:r>
          </w:p>
        </w:tc>
        <w:tc>
          <w:tcPr>
            <w:tcW w:w="6227" w:type="dxa"/>
            <w:vAlign w:val="center"/>
          </w:tcPr>
          <w:p w14:paraId="13976769">
            <w:pPr>
              <w:spacing w:line="400" w:lineRule="exact"/>
              <w:rPr>
                <w:rFonts w:hint="eastAsia" w:ascii="宋体" w:hAnsi="宋体" w:cs="宋体"/>
                <w:color w:val="auto"/>
                <w:sz w:val="24"/>
                <w:szCs w:val="24"/>
                <w:highlight w:val="none"/>
              </w:rPr>
            </w:pPr>
          </w:p>
        </w:tc>
      </w:tr>
      <w:tr w14:paraId="18E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exact"/>
        </w:trPr>
        <w:tc>
          <w:tcPr>
            <w:tcW w:w="2552" w:type="dxa"/>
            <w:vAlign w:val="center"/>
          </w:tcPr>
          <w:p w14:paraId="6AE7D623">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投标总报价</w:t>
            </w:r>
          </w:p>
        </w:tc>
        <w:tc>
          <w:tcPr>
            <w:tcW w:w="6227" w:type="dxa"/>
            <w:vAlign w:val="center"/>
          </w:tcPr>
          <w:p w14:paraId="03895CF0">
            <w:pPr>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大写：     </w:t>
            </w:r>
          </w:p>
          <w:p w14:paraId="52E83567">
            <w:pPr>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小写：    元</w:t>
            </w:r>
          </w:p>
        </w:tc>
      </w:tr>
      <w:tr w14:paraId="1F38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exact"/>
        </w:trPr>
        <w:tc>
          <w:tcPr>
            <w:tcW w:w="2552" w:type="dxa"/>
            <w:vAlign w:val="center"/>
          </w:tcPr>
          <w:p w14:paraId="4A6F2E60">
            <w:pPr>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项目负责人及联系方式</w:t>
            </w:r>
          </w:p>
        </w:tc>
        <w:tc>
          <w:tcPr>
            <w:tcW w:w="6227" w:type="dxa"/>
            <w:vAlign w:val="center"/>
          </w:tcPr>
          <w:p w14:paraId="69B5983F">
            <w:pPr>
              <w:spacing w:line="400" w:lineRule="exact"/>
              <w:rPr>
                <w:rFonts w:hint="eastAsia" w:ascii="宋体" w:hAnsi="宋体" w:cs="宋体"/>
                <w:color w:val="auto"/>
                <w:sz w:val="24"/>
                <w:szCs w:val="24"/>
                <w:highlight w:val="none"/>
              </w:rPr>
            </w:pPr>
          </w:p>
        </w:tc>
      </w:tr>
      <w:tr w14:paraId="02FB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552" w:type="dxa"/>
            <w:vAlign w:val="center"/>
          </w:tcPr>
          <w:p w14:paraId="2CEE9E1A">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服务期限</w:t>
            </w:r>
          </w:p>
        </w:tc>
        <w:tc>
          <w:tcPr>
            <w:tcW w:w="6227" w:type="dxa"/>
            <w:vAlign w:val="center"/>
          </w:tcPr>
          <w:p w14:paraId="50CAC8B7">
            <w:pPr>
              <w:spacing w:line="400" w:lineRule="exact"/>
              <w:rPr>
                <w:rFonts w:hint="eastAsia" w:ascii="宋体" w:hAnsi="宋体" w:cs="宋体"/>
                <w:color w:val="auto"/>
                <w:sz w:val="24"/>
                <w:szCs w:val="24"/>
                <w:highlight w:val="none"/>
              </w:rPr>
            </w:pPr>
          </w:p>
        </w:tc>
      </w:tr>
      <w:tr w14:paraId="4BD3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552" w:type="dxa"/>
            <w:vAlign w:val="center"/>
          </w:tcPr>
          <w:p w14:paraId="5B607373">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质量要求</w:t>
            </w:r>
          </w:p>
        </w:tc>
        <w:tc>
          <w:tcPr>
            <w:tcW w:w="6227" w:type="dxa"/>
            <w:vAlign w:val="center"/>
          </w:tcPr>
          <w:p w14:paraId="6971BA2F">
            <w:pPr>
              <w:spacing w:line="400" w:lineRule="exact"/>
              <w:jc w:val="center"/>
              <w:rPr>
                <w:rFonts w:hint="eastAsia" w:ascii="宋体" w:hAnsi="宋体" w:cs="宋体"/>
                <w:color w:val="auto"/>
                <w:sz w:val="24"/>
                <w:szCs w:val="24"/>
                <w:highlight w:val="none"/>
              </w:rPr>
            </w:pPr>
          </w:p>
        </w:tc>
      </w:tr>
      <w:tr w14:paraId="61D4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552" w:type="dxa"/>
            <w:vAlign w:val="center"/>
          </w:tcPr>
          <w:p w14:paraId="5996972E">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投标有效期</w:t>
            </w:r>
          </w:p>
        </w:tc>
        <w:tc>
          <w:tcPr>
            <w:tcW w:w="6227" w:type="dxa"/>
            <w:vAlign w:val="center"/>
          </w:tcPr>
          <w:p w14:paraId="2BCBEC8E">
            <w:pPr>
              <w:spacing w:line="400" w:lineRule="exact"/>
              <w:jc w:val="center"/>
              <w:rPr>
                <w:rFonts w:hint="eastAsia" w:ascii="宋体" w:hAnsi="宋体" w:cs="宋体"/>
                <w:color w:val="auto"/>
                <w:sz w:val="24"/>
                <w:szCs w:val="24"/>
                <w:highlight w:val="none"/>
              </w:rPr>
            </w:pPr>
          </w:p>
        </w:tc>
      </w:tr>
      <w:tr w14:paraId="6A0B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exact"/>
        </w:trPr>
        <w:tc>
          <w:tcPr>
            <w:tcW w:w="2552" w:type="dxa"/>
            <w:vAlign w:val="center"/>
          </w:tcPr>
          <w:p w14:paraId="1E1A1980">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c>
          <w:tcPr>
            <w:tcW w:w="6227" w:type="dxa"/>
            <w:vAlign w:val="center"/>
          </w:tcPr>
          <w:p w14:paraId="1C633B3D">
            <w:pPr>
              <w:spacing w:line="400" w:lineRule="exact"/>
              <w:jc w:val="center"/>
              <w:rPr>
                <w:rFonts w:hint="eastAsia" w:ascii="宋体" w:hAnsi="宋体" w:cs="宋体"/>
                <w:color w:val="auto"/>
                <w:sz w:val="24"/>
                <w:szCs w:val="24"/>
                <w:highlight w:val="none"/>
              </w:rPr>
            </w:pPr>
          </w:p>
        </w:tc>
      </w:tr>
    </w:tbl>
    <w:p w14:paraId="2DDC08D2">
      <w:pPr>
        <w:snapToGrid w:val="0"/>
        <w:spacing w:line="580" w:lineRule="exact"/>
        <w:ind w:left="-18" w:leftChars="-22" w:right="-817" w:rightChars="-389" w:hanging="28" w:hangingChars="12"/>
        <w:rPr>
          <w:rFonts w:hint="eastAsia" w:ascii="宋体" w:hAnsi="宋体" w:cs="宋体"/>
          <w:color w:val="auto"/>
          <w:sz w:val="24"/>
          <w:szCs w:val="24"/>
          <w:highlight w:val="none"/>
        </w:rPr>
      </w:pPr>
    </w:p>
    <w:p w14:paraId="2CD38EFC">
      <w:pPr>
        <w:spacing w:line="360" w:lineRule="auto"/>
        <w:ind w:firstLine="3360" w:firstLineChars="1400"/>
        <w:rPr>
          <w:rFonts w:hint="eastAsia" w:ascii="宋体" w:hAnsi="宋体" w:cs="宋体"/>
          <w:color w:val="auto"/>
          <w:sz w:val="24"/>
          <w:szCs w:val="24"/>
          <w:highlight w:val="none"/>
        </w:rPr>
      </w:pPr>
    </w:p>
    <w:p w14:paraId="1DEB48B2">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7A6D9B74">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404CFAB2">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66F2FBD5">
      <w:pPr>
        <w:rPr>
          <w:rFonts w:hint="eastAsia" w:ascii="宋体" w:hAnsi="宋体" w:cs="宋体"/>
          <w:color w:val="auto"/>
          <w:highlight w:val="none"/>
        </w:rPr>
      </w:pPr>
    </w:p>
    <w:p w14:paraId="1396C60D">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5D9298D5">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四、服务方案</w:t>
      </w:r>
    </w:p>
    <w:p w14:paraId="3559CA0D">
      <w:pPr>
        <w:pStyle w:val="9"/>
        <w:rPr>
          <w:rFonts w:hint="eastAsia" w:ascii="宋体" w:hAnsi="宋体" w:eastAsia="宋体"/>
          <w:color w:val="auto"/>
          <w:highlight w:val="none"/>
        </w:rPr>
      </w:pPr>
    </w:p>
    <w:p w14:paraId="700C69D5">
      <w:pPr>
        <w:spacing w:line="360" w:lineRule="auto"/>
        <w:jc w:val="center"/>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（投标供应商根据招标文件评审细则，自行编拟）</w:t>
      </w:r>
    </w:p>
    <w:p w14:paraId="504FCADD">
      <w:pPr>
        <w:spacing w:line="276" w:lineRule="auto"/>
        <w:ind w:firstLine="436" w:firstLineChars="182"/>
        <w:jc w:val="left"/>
        <w:rPr>
          <w:rFonts w:ascii="Times New Roman" w:hAnsi="Times New Roman"/>
          <w:color w:val="auto"/>
          <w:sz w:val="24"/>
          <w:szCs w:val="24"/>
          <w:highlight w:val="none"/>
          <w:lang w:val="zh-CN" w:bidi="zh-CN"/>
        </w:rPr>
      </w:pPr>
      <w:r>
        <w:rPr>
          <w:rFonts w:hint="eastAsia" w:ascii="Times New Roman" w:hAnsi="Times New Roman"/>
          <w:color w:val="auto"/>
          <w:sz w:val="24"/>
          <w:szCs w:val="24"/>
          <w:highlight w:val="none"/>
          <w:lang w:val="zh-CN" w:bidi="zh-CN"/>
        </w:rPr>
        <w:t>注：</w:t>
      </w:r>
      <w:r>
        <w:rPr>
          <w:rFonts w:ascii="Times New Roman" w:hAnsi="Times New Roman"/>
          <w:color w:val="auto"/>
          <w:sz w:val="24"/>
          <w:szCs w:val="24"/>
          <w:highlight w:val="none"/>
          <w:lang w:val="zh-CN" w:bidi="zh-CN"/>
        </w:rPr>
        <w:t>1.</w:t>
      </w:r>
      <w:r>
        <w:rPr>
          <w:rFonts w:hint="eastAsia" w:ascii="Times New Roman" w:hAnsi="Times New Roman"/>
          <w:color w:val="auto"/>
          <w:sz w:val="24"/>
          <w:szCs w:val="24"/>
          <w:highlight w:val="none"/>
          <w:lang w:val="zh-CN" w:bidi="zh-CN"/>
        </w:rPr>
        <w:t>投标供应商根据项目需求，自行提供技术证明资料。</w:t>
      </w:r>
    </w:p>
    <w:p w14:paraId="4A5129EB">
      <w:pPr>
        <w:spacing w:line="360" w:lineRule="auto"/>
        <w:rPr>
          <w:rFonts w:hint="eastAsia" w:ascii="宋体" w:hAnsi="宋体" w:cs="宋体"/>
          <w:color w:val="auto"/>
          <w:sz w:val="24"/>
          <w:szCs w:val="22"/>
          <w:highlight w:val="none"/>
        </w:rPr>
      </w:pPr>
    </w:p>
    <w:p w14:paraId="0DDA1743">
      <w:pPr>
        <w:spacing w:line="360" w:lineRule="auto"/>
        <w:rPr>
          <w:rFonts w:hint="eastAsia" w:ascii="宋体" w:hAnsi="宋体" w:cs="宋体"/>
          <w:color w:val="auto"/>
          <w:sz w:val="24"/>
          <w:szCs w:val="22"/>
          <w:highlight w:val="none"/>
        </w:rPr>
      </w:pPr>
    </w:p>
    <w:p w14:paraId="4E905965">
      <w:pPr>
        <w:spacing w:line="360" w:lineRule="auto"/>
        <w:rPr>
          <w:rFonts w:hint="eastAsia" w:ascii="宋体" w:hAnsi="宋体" w:cs="宋体"/>
          <w:color w:val="auto"/>
          <w:sz w:val="24"/>
          <w:szCs w:val="22"/>
          <w:highlight w:val="none"/>
        </w:rPr>
      </w:pPr>
    </w:p>
    <w:p w14:paraId="086B3E10">
      <w:pPr>
        <w:spacing w:line="360" w:lineRule="auto"/>
        <w:ind w:firstLine="3720" w:firstLineChars="1550"/>
        <w:rPr>
          <w:rFonts w:hint="eastAsia" w:ascii="宋体" w:hAnsi="宋体" w:cs="宋体"/>
          <w:color w:val="auto"/>
          <w:sz w:val="24"/>
          <w:szCs w:val="24"/>
          <w:highlight w:val="none"/>
        </w:rPr>
      </w:pPr>
    </w:p>
    <w:p w14:paraId="74754B76">
      <w:pPr>
        <w:spacing w:line="360" w:lineRule="auto"/>
        <w:ind w:firstLine="3720" w:firstLineChars="1550"/>
        <w:rPr>
          <w:rFonts w:hint="eastAsia" w:ascii="宋体" w:hAnsi="宋体" w:cs="宋体"/>
          <w:color w:val="auto"/>
          <w:sz w:val="24"/>
          <w:szCs w:val="24"/>
          <w:highlight w:val="none"/>
        </w:rPr>
      </w:pPr>
    </w:p>
    <w:p w14:paraId="1FDCD64E">
      <w:pPr>
        <w:spacing w:line="360" w:lineRule="auto"/>
        <w:ind w:firstLine="3720" w:firstLineChars="1550"/>
        <w:rPr>
          <w:rFonts w:hint="eastAsia" w:ascii="宋体" w:hAnsi="宋体" w:cs="宋体"/>
          <w:color w:val="auto"/>
          <w:sz w:val="24"/>
          <w:szCs w:val="24"/>
          <w:highlight w:val="none"/>
        </w:rPr>
      </w:pPr>
    </w:p>
    <w:p w14:paraId="485E534A">
      <w:pPr>
        <w:snapToGrid w:val="0"/>
        <w:spacing w:line="360" w:lineRule="auto"/>
        <w:ind w:firstLine="240" w:firstLineChars="100"/>
        <w:rPr>
          <w:rFonts w:hint="eastAsia" w:ascii="宋体" w:hAnsi="宋体" w:cs="宋体"/>
          <w:color w:val="auto"/>
          <w:kern w:val="0"/>
          <w:sz w:val="24"/>
          <w:szCs w:val="24"/>
          <w:highlight w:val="none"/>
        </w:rPr>
      </w:pPr>
    </w:p>
    <w:p w14:paraId="18E01944">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659126CF">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五、资格审查资料</w:t>
      </w:r>
    </w:p>
    <w:p w14:paraId="4BD575F4">
      <w:pPr>
        <w:rPr>
          <w:rFonts w:hint="eastAsia" w:ascii="宋体" w:hAnsi="宋体" w:cs="宋体"/>
          <w:b/>
          <w:color w:val="auto"/>
          <w:sz w:val="24"/>
          <w:szCs w:val="24"/>
          <w:highlight w:val="none"/>
        </w:rPr>
      </w:pPr>
      <w:r>
        <w:rPr>
          <w:rFonts w:hint="eastAsia" w:ascii="宋体" w:hAnsi="宋体" w:cs="宋体"/>
          <w:b/>
          <w:color w:val="auto"/>
          <w:sz w:val="24"/>
          <w:szCs w:val="24"/>
          <w:highlight w:val="none"/>
        </w:rPr>
        <w:t>5.1供应商基本情况表</w:t>
      </w:r>
    </w:p>
    <w:p w14:paraId="22BA7F46">
      <w:pPr>
        <w:autoSpaceDE w:val="0"/>
        <w:autoSpaceDN w:val="0"/>
        <w:adjustRightInd w:val="0"/>
        <w:spacing w:line="420" w:lineRule="exact"/>
        <w:jc w:val="left"/>
        <w:rPr>
          <w:rFonts w:hint="eastAsia" w:ascii="宋体" w:hAnsi="宋体" w:cs="宋体"/>
          <w:color w:val="auto"/>
          <w:kern w:val="0"/>
          <w:sz w:val="24"/>
          <w:szCs w:val="22"/>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9"/>
        <w:gridCol w:w="1134"/>
        <w:gridCol w:w="1842"/>
        <w:gridCol w:w="10"/>
        <w:gridCol w:w="1266"/>
        <w:gridCol w:w="2107"/>
      </w:tblGrid>
      <w:tr w14:paraId="7069D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7C739C49">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供应商名称</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1010367D">
            <w:pPr>
              <w:topLinePunct/>
              <w:spacing w:line="440" w:lineRule="exact"/>
              <w:ind w:firstLine="480"/>
              <w:jc w:val="center"/>
              <w:rPr>
                <w:rFonts w:hint="eastAsia" w:ascii="宋体" w:hAnsi="宋体" w:cs="宋体"/>
                <w:color w:val="auto"/>
                <w:sz w:val="24"/>
                <w:szCs w:val="24"/>
                <w:highlight w:val="none"/>
              </w:rPr>
            </w:pPr>
          </w:p>
        </w:tc>
      </w:tr>
      <w:tr w14:paraId="1E2E19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06DB261E">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注册地址</w:t>
            </w:r>
          </w:p>
        </w:tc>
        <w:tc>
          <w:tcPr>
            <w:tcW w:w="2986" w:type="dxa"/>
            <w:gridSpan w:val="3"/>
            <w:tcBorders>
              <w:top w:val="single" w:color="auto" w:sz="4" w:space="0"/>
              <w:left w:val="single" w:color="auto" w:sz="4" w:space="0"/>
              <w:bottom w:val="single" w:color="auto" w:sz="4" w:space="0"/>
              <w:right w:val="single" w:color="auto" w:sz="4" w:space="0"/>
            </w:tcBorders>
            <w:vAlign w:val="center"/>
          </w:tcPr>
          <w:p w14:paraId="36DE678A">
            <w:pPr>
              <w:topLinePunct/>
              <w:spacing w:line="440" w:lineRule="exact"/>
              <w:ind w:firstLine="480"/>
              <w:jc w:val="center"/>
              <w:rPr>
                <w:rFonts w:hint="eastAsia" w:ascii="宋体" w:hAnsi="宋体" w:cs="宋体"/>
                <w:color w:val="auto"/>
                <w:sz w:val="24"/>
                <w:szCs w:val="24"/>
                <w:highlight w:val="none"/>
              </w:rPr>
            </w:pPr>
          </w:p>
        </w:tc>
        <w:tc>
          <w:tcPr>
            <w:tcW w:w="1266" w:type="dxa"/>
            <w:tcBorders>
              <w:top w:val="single" w:color="auto" w:sz="4" w:space="0"/>
              <w:left w:val="single" w:color="auto" w:sz="4" w:space="0"/>
              <w:bottom w:val="single" w:color="auto" w:sz="4" w:space="0"/>
              <w:right w:val="single" w:color="auto" w:sz="4" w:space="0"/>
            </w:tcBorders>
            <w:vAlign w:val="center"/>
          </w:tcPr>
          <w:p w14:paraId="13670D5E">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2107" w:type="dxa"/>
            <w:tcBorders>
              <w:top w:val="single" w:color="auto" w:sz="4" w:space="0"/>
              <w:left w:val="single" w:color="auto" w:sz="4" w:space="0"/>
              <w:bottom w:val="single" w:color="auto" w:sz="4" w:space="0"/>
              <w:right w:val="single" w:color="auto" w:sz="4" w:space="0"/>
            </w:tcBorders>
            <w:vAlign w:val="center"/>
          </w:tcPr>
          <w:p w14:paraId="2D98F2EB">
            <w:pPr>
              <w:topLinePunct/>
              <w:spacing w:line="440" w:lineRule="exact"/>
              <w:ind w:firstLine="480"/>
              <w:jc w:val="center"/>
              <w:rPr>
                <w:rFonts w:hint="eastAsia" w:ascii="宋体" w:hAnsi="宋体" w:cs="宋体"/>
                <w:color w:val="auto"/>
                <w:sz w:val="24"/>
                <w:szCs w:val="24"/>
                <w:highlight w:val="none"/>
              </w:rPr>
            </w:pPr>
          </w:p>
        </w:tc>
      </w:tr>
      <w:tr w14:paraId="26D6B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2269" w:type="dxa"/>
            <w:vMerge w:val="restart"/>
            <w:tcBorders>
              <w:top w:val="single" w:color="auto" w:sz="4" w:space="0"/>
              <w:left w:val="single" w:color="auto" w:sz="4" w:space="0"/>
              <w:bottom w:val="single" w:color="auto" w:sz="4" w:space="0"/>
              <w:right w:val="single" w:color="auto" w:sz="4" w:space="0"/>
            </w:tcBorders>
            <w:vAlign w:val="center"/>
          </w:tcPr>
          <w:p w14:paraId="0E5F7E18">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tc>
        <w:tc>
          <w:tcPr>
            <w:tcW w:w="1134" w:type="dxa"/>
            <w:tcBorders>
              <w:top w:val="single" w:color="auto" w:sz="4" w:space="0"/>
              <w:left w:val="single" w:color="auto" w:sz="4" w:space="0"/>
              <w:bottom w:val="single" w:color="auto" w:sz="4" w:space="0"/>
              <w:right w:val="single" w:color="auto" w:sz="4" w:space="0"/>
            </w:tcBorders>
            <w:vAlign w:val="center"/>
          </w:tcPr>
          <w:p w14:paraId="79C427C1">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73FBA7D">
            <w:pPr>
              <w:topLinePunct/>
              <w:spacing w:line="440" w:lineRule="exact"/>
              <w:ind w:firstLine="480"/>
              <w:jc w:val="center"/>
              <w:rPr>
                <w:rFonts w:hint="eastAsia" w:ascii="宋体" w:hAnsi="宋体" w:cs="宋体"/>
                <w:color w:val="auto"/>
                <w:sz w:val="24"/>
                <w:szCs w:val="24"/>
                <w:highlight w:val="none"/>
              </w:rPr>
            </w:pPr>
          </w:p>
        </w:tc>
        <w:tc>
          <w:tcPr>
            <w:tcW w:w="1266" w:type="dxa"/>
            <w:tcBorders>
              <w:top w:val="single" w:color="auto" w:sz="4" w:space="0"/>
              <w:left w:val="single" w:color="auto" w:sz="4" w:space="0"/>
              <w:bottom w:val="single" w:color="auto" w:sz="4" w:space="0"/>
              <w:right w:val="single" w:color="auto" w:sz="4" w:space="0"/>
            </w:tcBorders>
            <w:vAlign w:val="center"/>
          </w:tcPr>
          <w:p w14:paraId="03A75809">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p>
        </w:tc>
        <w:tc>
          <w:tcPr>
            <w:tcW w:w="2107" w:type="dxa"/>
            <w:tcBorders>
              <w:top w:val="single" w:color="auto" w:sz="4" w:space="0"/>
              <w:left w:val="single" w:color="auto" w:sz="4" w:space="0"/>
              <w:bottom w:val="single" w:color="auto" w:sz="4" w:space="0"/>
              <w:right w:val="single" w:color="auto" w:sz="4" w:space="0"/>
            </w:tcBorders>
            <w:vAlign w:val="center"/>
          </w:tcPr>
          <w:p w14:paraId="410512CD">
            <w:pPr>
              <w:topLinePunct/>
              <w:spacing w:line="440" w:lineRule="exact"/>
              <w:ind w:firstLine="480"/>
              <w:jc w:val="center"/>
              <w:rPr>
                <w:rFonts w:hint="eastAsia" w:ascii="宋体" w:hAnsi="宋体" w:cs="宋体"/>
                <w:color w:val="auto"/>
                <w:sz w:val="24"/>
                <w:szCs w:val="24"/>
                <w:highlight w:val="none"/>
              </w:rPr>
            </w:pPr>
          </w:p>
        </w:tc>
      </w:tr>
      <w:tr w14:paraId="2658E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jc w:val="center"/>
        </w:trPr>
        <w:tc>
          <w:tcPr>
            <w:tcW w:w="2269" w:type="dxa"/>
            <w:vMerge w:val="continue"/>
            <w:tcBorders>
              <w:top w:val="single" w:color="auto" w:sz="4" w:space="0"/>
              <w:left w:val="single" w:color="auto" w:sz="4" w:space="0"/>
              <w:bottom w:val="single" w:color="auto" w:sz="4" w:space="0"/>
              <w:right w:val="single" w:color="auto" w:sz="4" w:space="0"/>
            </w:tcBorders>
            <w:vAlign w:val="center"/>
          </w:tcPr>
          <w:p w14:paraId="45934E96">
            <w:pPr>
              <w:topLinePunct/>
              <w:spacing w:line="440" w:lineRule="exact"/>
              <w:ind w:firstLine="480"/>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C3D23A">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邮箱</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614FF82B">
            <w:pPr>
              <w:topLinePunct/>
              <w:spacing w:line="440" w:lineRule="exact"/>
              <w:ind w:firstLine="480"/>
              <w:jc w:val="center"/>
              <w:rPr>
                <w:rFonts w:hint="eastAsia" w:ascii="宋体" w:hAnsi="宋体" w:cs="宋体"/>
                <w:color w:val="auto"/>
                <w:sz w:val="24"/>
                <w:szCs w:val="24"/>
                <w:highlight w:val="none"/>
              </w:rPr>
            </w:pPr>
          </w:p>
        </w:tc>
        <w:tc>
          <w:tcPr>
            <w:tcW w:w="1266" w:type="dxa"/>
            <w:tcBorders>
              <w:top w:val="single" w:color="auto" w:sz="4" w:space="0"/>
              <w:left w:val="single" w:color="auto" w:sz="4" w:space="0"/>
              <w:bottom w:val="single" w:color="auto" w:sz="4" w:space="0"/>
              <w:right w:val="single" w:color="auto" w:sz="4" w:space="0"/>
            </w:tcBorders>
            <w:vAlign w:val="center"/>
          </w:tcPr>
          <w:p w14:paraId="6132CB03">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网 址</w:t>
            </w:r>
          </w:p>
        </w:tc>
        <w:tc>
          <w:tcPr>
            <w:tcW w:w="2107" w:type="dxa"/>
            <w:tcBorders>
              <w:top w:val="single" w:color="auto" w:sz="4" w:space="0"/>
              <w:left w:val="single" w:color="auto" w:sz="4" w:space="0"/>
              <w:bottom w:val="single" w:color="auto" w:sz="4" w:space="0"/>
              <w:right w:val="single" w:color="auto" w:sz="4" w:space="0"/>
            </w:tcBorders>
            <w:vAlign w:val="center"/>
          </w:tcPr>
          <w:p w14:paraId="37130AF8">
            <w:pPr>
              <w:topLinePunct/>
              <w:spacing w:line="440" w:lineRule="exact"/>
              <w:ind w:firstLine="480"/>
              <w:jc w:val="center"/>
              <w:rPr>
                <w:rFonts w:hint="eastAsia" w:ascii="宋体" w:hAnsi="宋体" w:cs="宋体"/>
                <w:color w:val="auto"/>
                <w:sz w:val="24"/>
                <w:szCs w:val="24"/>
                <w:highlight w:val="none"/>
              </w:rPr>
            </w:pPr>
          </w:p>
        </w:tc>
      </w:tr>
      <w:tr w14:paraId="5A68B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5831CC11">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1134" w:type="dxa"/>
            <w:tcBorders>
              <w:top w:val="single" w:color="auto" w:sz="4" w:space="0"/>
              <w:left w:val="single" w:color="auto" w:sz="4" w:space="0"/>
              <w:bottom w:val="single" w:color="auto" w:sz="4" w:space="0"/>
              <w:right w:val="single" w:color="auto" w:sz="4" w:space="0"/>
            </w:tcBorders>
            <w:vAlign w:val="center"/>
          </w:tcPr>
          <w:p w14:paraId="7B947AE7">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1842" w:type="dxa"/>
            <w:tcBorders>
              <w:top w:val="single" w:color="auto" w:sz="4" w:space="0"/>
              <w:left w:val="single" w:color="auto" w:sz="4" w:space="0"/>
              <w:bottom w:val="single" w:color="auto" w:sz="4" w:space="0"/>
              <w:right w:val="single" w:color="auto" w:sz="4" w:space="0"/>
            </w:tcBorders>
            <w:vAlign w:val="center"/>
          </w:tcPr>
          <w:p w14:paraId="59403C24">
            <w:pPr>
              <w:topLinePunct/>
              <w:spacing w:line="440" w:lineRule="exact"/>
              <w:ind w:firstLine="480"/>
              <w:jc w:val="center"/>
              <w:rPr>
                <w:rFonts w:hint="eastAsia" w:ascii="宋体" w:hAnsi="宋体" w:cs="宋体"/>
                <w:color w:val="auto"/>
                <w:sz w:val="24"/>
                <w:szCs w:val="24"/>
                <w:highlight w:val="none"/>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510361CD">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电话</w:t>
            </w:r>
          </w:p>
        </w:tc>
        <w:tc>
          <w:tcPr>
            <w:tcW w:w="2107" w:type="dxa"/>
            <w:tcBorders>
              <w:top w:val="single" w:color="auto" w:sz="4" w:space="0"/>
              <w:left w:val="single" w:color="auto" w:sz="4" w:space="0"/>
              <w:bottom w:val="single" w:color="auto" w:sz="4" w:space="0"/>
              <w:right w:val="single" w:color="auto" w:sz="4" w:space="0"/>
            </w:tcBorders>
            <w:vAlign w:val="center"/>
          </w:tcPr>
          <w:p w14:paraId="45ADBA71">
            <w:pPr>
              <w:topLinePunct/>
              <w:spacing w:line="440" w:lineRule="exact"/>
              <w:ind w:firstLine="480"/>
              <w:jc w:val="center"/>
              <w:rPr>
                <w:rFonts w:hint="eastAsia" w:ascii="宋体" w:hAnsi="宋体" w:cs="宋体"/>
                <w:color w:val="auto"/>
                <w:sz w:val="24"/>
                <w:szCs w:val="24"/>
                <w:highlight w:val="none"/>
              </w:rPr>
            </w:pPr>
          </w:p>
        </w:tc>
      </w:tr>
      <w:tr w14:paraId="073CC9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2D7D9F22">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成立时间</w:t>
            </w:r>
          </w:p>
        </w:tc>
        <w:tc>
          <w:tcPr>
            <w:tcW w:w="2976" w:type="dxa"/>
            <w:gridSpan w:val="2"/>
            <w:tcBorders>
              <w:top w:val="single" w:color="auto" w:sz="4" w:space="0"/>
              <w:left w:val="single" w:color="auto" w:sz="4" w:space="0"/>
              <w:bottom w:val="single" w:color="auto" w:sz="4" w:space="0"/>
              <w:right w:val="single" w:color="auto" w:sz="4" w:space="0"/>
            </w:tcBorders>
            <w:vAlign w:val="center"/>
          </w:tcPr>
          <w:p w14:paraId="267FD3B2">
            <w:pPr>
              <w:topLinePunct/>
              <w:spacing w:line="440" w:lineRule="exact"/>
              <w:ind w:firstLine="480"/>
              <w:jc w:val="center"/>
              <w:rPr>
                <w:rFonts w:hint="eastAsia" w:ascii="宋体" w:hAnsi="宋体" w:cs="宋体"/>
                <w:color w:val="auto"/>
                <w:sz w:val="24"/>
                <w:szCs w:val="24"/>
                <w:highlight w:val="none"/>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63B1170">
            <w:pPr>
              <w:topLinePunct/>
              <w:spacing w:line="440" w:lineRule="exact"/>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员工总人数</w:t>
            </w:r>
          </w:p>
        </w:tc>
        <w:tc>
          <w:tcPr>
            <w:tcW w:w="2107" w:type="dxa"/>
            <w:tcBorders>
              <w:top w:val="single" w:color="auto" w:sz="4" w:space="0"/>
              <w:left w:val="single" w:color="auto" w:sz="4" w:space="0"/>
              <w:bottom w:val="single" w:color="auto" w:sz="4" w:space="0"/>
              <w:right w:val="single" w:color="auto" w:sz="4" w:space="0"/>
            </w:tcBorders>
            <w:vAlign w:val="center"/>
          </w:tcPr>
          <w:p w14:paraId="1F895409">
            <w:pPr>
              <w:topLinePunct/>
              <w:spacing w:line="440" w:lineRule="exact"/>
              <w:ind w:firstLine="120" w:firstLineChars="50"/>
              <w:jc w:val="center"/>
              <w:rPr>
                <w:rFonts w:hint="eastAsia" w:ascii="宋体" w:hAnsi="宋体" w:cs="宋体"/>
                <w:color w:val="auto"/>
                <w:sz w:val="24"/>
                <w:szCs w:val="24"/>
                <w:highlight w:val="none"/>
              </w:rPr>
            </w:pPr>
          </w:p>
        </w:tc>
      </w:tr>
      <w:tr w14:paraId="27291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71A93420">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营业执照号</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03472CCC">
            <w:pPr>
              <w:topLinePunct/>
              <w:spacing w:line="440" w:lineRule="exact"/>
              <w:ind w:firstLine="480"/>
              <w:jc w:val="center"/>
              <w:rPr>
                <w:rFonts w:hint="eastAsia" w:ascii="宋体" w:hAnsi="宋体" w:cs="宋体"/>
                <w:color w:val="auto"/>
                <w:sz w:val="24"/>
                <w:szCs w:val="24"/>
                <w:highlight w:val="none"/>
              </w:rPr>
            </w:pPr>
          </w:p>
        </w:tc>
      </w:tr>
      <w:tr w14:paraId="6FFA1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774DB672">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注册资本</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06E9B4F8">
            <w:pPr>
              <w:topLinePunct/>
              <w:spacing w:line="440" w:lineRule="exact"/>
              <w:ind w:firstLine="480"/>
              <w:jc w:val="center"/>
              <w:rPr>
                <w:rFonts w:hint="eastAsia" w:ascii="宋体" w:hAnsi="宋体" w:cs="宋体"/>
                <w:color w:val="auto"/>
                <w:sz w:val="24"/>
                <w:szCs w:val="24"/>
                <w:highlight w:val="none"/>
              </w:rPr>
            </w:pPr>
          </w:p>
        </w:tc>
      </w:tr>
      <w:tr w14:paraId="59CCE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55FF9AF3">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基本账户开户银行</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64F73D39">
            <w:pPr>
              <w:topLinePunct/>
              <w:spacing w:line="440" w:lineRule="exact"/>
              <w:ind w:firstLine="480"/>
              <w:jc w:val="center"/>
              <w:rPr>
                <w:rFonts w:hint="eastAsia" w:ascii="宋体" w:hAnsi="宋体" w:cs="宋体"/>
                <w:color w:val="auto"/>
                <w:sz w:val="24"/>
                <w:szCs w:val="24"/>
                <w:highlight w:val="none"/>
              </w:rPr>
            </w:pPr>
          </w:p>
        </w:tc>
      </w:tr>
      <w:tr w14:paraId="7226F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730075A5">
            <w:pPr>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基本账户银行账号</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05233A9A">
            <w:pPr>
              <w:topLinePunct/>
              <w:spacing w:line="440" w:lineRule="exact"/>
              <w:ind w:firstLine="480"/>
              <w:jc w:val="center"/>
              <w:rPr>
                <w:rFonts w:hint="eastAsia" w:ascii="宋体" w:hAnsi="宋体" w:cs="宋体"/>
                <w:color w:val="auto"/>
                <w:sz w:val="24"/>
                <w:szCs w:val="24"/>
                <w:highlight w:val="none"/>
              </w:rPr>
            </w:pPr>
          </w:p>
        </w:tc>
      </w:tr>
      <w:tr w14:paraId="25FB6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2269" w:type="dxa"/>
            <w:tcBorders>
              <w:top w:val="single" w:color="auto" w:sz="4" w:space="0"/>
              <w:left w:val="single" w:color="auto" w:sz="4" w:space="0"/>
              <w:right w:val="single" w:color="auto" w:sz="4" w:space="0"/>
            </w:tcBorders>
            <w:vAlign w:val="center"/>
          </w:tcPr>
          <w:p w14:paraId="5CBEFDE4">
            <w:pPr>
              <w:topLinePunct/>
              <w:spacing w:line="440" w:lineRule="exact"/>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经营范围</w:t>
            </w:r>
          </w:p>
        </w:tc>
        <w:tc>
          <w:tcPr>
            <w:tcW w:w="6359" w:type="dxa"/>
            <w:gridSpan w:val="5"/>
            <w:tcBorders>
              <w:top w:val="single" w:color="auto" w:sz="4" w:space="0"/>
              <w:left w:val="single" w:color="auto" w:sz="4" w:space="0"/>
              <w:right w:val="single" w:color="auto" w:sz="4" w:space="0"/>
            </w:tcBorders>
            <w:vAlign w:val="center"/>
          </w:tcPr>
          <w:p w14:paraId="08F8BE18">
            <w:pPr>
              <w:topLinePunct/>
              <w:spacing w:line="440" w:lineRule="exact"/>
              <w:ind w:firstLine="480"/>
              <w:rPr>
                <w:rFonts w:hint="eastAsia" w:ascii="宋体" w:hAnsi="宋体" w:cs="宋体"/>
                <w:color w:val="auto"/>
                <w:sz w:val="24"/>
                <w:szCs w:val="24"/>
                <w:highlight w:val="none"/>
              </w:rPr>
            </w:pPr>
          </w:p>
          <w:p w14:paraId="109A36EB">
            <w:pPr>
              <w:topLinePunct/>
              <w:spacing w:line="440" w:lineRule="exact"/>
              <w:ind w:firstLine="480"/>
              <w:rPr>
                <w:rFonts w:hint="eastAsia" w:ascii="宋体" w:hAnsi="宋体" w:cs="宋体"/>
                <w:color w:val="auto"/>
                <w:sz w:val="24"/>
                <w:szCs w:val="24"/>
                <w:highlight w:val="none"/>
              </w:rPr>
            </w:pPr>
          </w:p>
          <w:p w14:paraId="330CE055">
            <w:pPr>
              <w:topLinePunct/>
              <w:spacing w:line="440" w:lineRule="exact"/>
              <w:ind w:firstLine="480"/>
              <w:rPr>
                <w:rFonts w:hint="eastAsia" w:ascii="宋体" w:hAnsi="宋体" w:cs="宋体"/>
                <w:color w:val="auto"/>
                <w:sz w:val="24"/>
                <w:szCs w:val="24"/>
                <w:highlight w:val="none"/>
              </w:rPr>
            </w:pPr>
          </w:p>
          <w:p w14:paraId="3F0CE4A9">
            <w:pPr>
              <w:topLinePunct/>
              <w:spacing w:line="440" w:lineRule="exact"/>
              <w:ind w:firstLine="480"/>
              <w:rPr>
                <w:rFonts w:hint="eastAsia" w:ascii="宋体" w:hAnsi="宋体" w:cs="宋体"/>
                <w:color w:val="auto"/>
                <w:sz w:val="24"/>
                <w:szCs w:val="24"/>
                <w:highlight w:val="none"/>
              </w:rPr>
            </w:pPr>
          </w:p>
        </w:tc>
      </w:tr>
      <w:tr w14:paraId="6BFCC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02DB70D4">
            <w:pPr>
              <w:topLinePunct/>
              <w:spacing w:line="44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c>
          <w:tcPr>
            <w:tcW w:w="6359" w:type="dxa"/>
            <w:gridSpan w:val="5"/>
            <w:tcBorders>
              <w:top w:val="single" w:color="auto" w:sz="4" w:space="0"/>
              <w:left w:val="single" w:color="auto" w:sz="4" w:space="0"/>
              <w:bottom w:val="single" w:color="auto" w:sz="4" w:space="0"/>
              <w:right w:val="single" w:color="auto" w:sz="4" w:space="0"/>
            </w:tcBorders>
            <w:vAlign w:val="center"/>
          </w:tcPr>
          <w:p w14:paraId="499F5E5B">
            <w:pPr>
              <w:topLinePunct/>
              <w:spacing w:line="440" w:lineRule="exact"/>
              <w:ind w:firstLine="480"/>
              <w:jc w:val="center"/>
              <w:rPr>
                <w:rFonts w:hint="eastAsia" w:ascii="宋体" w:hAnsi="宋体" w:cs="宋体"/>
                <w:color w:val="auto"/>
                <w:sz w:val="24"/>
                <w:szCs w:val="24"/>
                <w:highlight w:val="none"/>
              </w:rPr>
            </w:pPr>
          </w:p>
        </w:tc>
      </w:tr>
    </w:tbl>
    <w:p w14:paraId="762C9F34">
      <w:pPr>
        <w:tabs>
          <w:tab w:val="left" w:pos="8782"/>
        </w:tabs>
        <w:snapToGrid w:val="0"/>
        <w:ind w:left="503" w:leftChars="50" w:right="-38" w:hanging="398" w:hangingChars="166"/>
        <w:rPr>
          <w:rFonts w:hint="eastAsia" w:ascii="宋体" w:hAnsi="宋体" w:cs="宋体"/>
          <w:color w:val="auto"/>
          <w:sz w:val="24"/>
          <w:szCs w:val="24"/>
          <w:highlight w:val="none"/>
        </w:rPr>
      </w:pPr>
    </w:p>
    <w:p w14:paraId="234D6E69">
      <w:pPr>
        <w:tabs>
          <w:tab w:val="left" w:pos="8782"/>
        </w:tabs>
        <w:snapToGrid w:val="0"/>
        <w:ind w:left="501" w:leftChars="107" w:right="-38" w:hanging="276" w:hangingChars="115"/>
        <w:rPr>
          <w:rFonts w:hint="eastAsia" w:ascii="宋体" w:hAnsi="宋体" w:cs="宋体"/>
          <w:color w:val="auto"/>
          <w:sz w:val="24"/>
          <w:szCs w:val="24"/>
          <w:highlight w:val="none"/>
        </w:rPr>
      </w:pPr>
      <w:r>
        <w:rPr>
          <w:rFonts w:hint="eastAsia" w:ascii="宋体" w:hAnsi="宋体" w:cs="宋体"/>
          <w:color w:val="auto"/>
          <w:sz w:val="24"/>
          <w:szCs w:val="24"/>
          <w:highlight w:val="none"/>
        </w:rPr>
        <w:t>注：供应商应提供表中所列营业执照等相关资料。</w:t>
      </w:r>
    </w:p>
    <w:p w14:paraId="17F37E22">
      <w:pPr>
        <w:rPr>
          <w:rFonts w:hint="eastAsia" w:ascii="宋体" w:hAnsi="宋体" w:cs="宋体"/>
          <w:b/>
          <w:color w:val="auto"/>
          <w:sz w:val="24"/>
          <w:szCs w:val="24"/>
          <w:highlight w:val="none"/>
        </w:rPr>
      </w:pPr>
    </w:p>
    <w:p w14:paraId="3003B16C">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538A7E36">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2A069A7D">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327C8D44">
      <w:pPr>
        <w:rPr>
          <w:rFonts w:hint="eastAsia" w:ascii="宋体" w:hAnsi="宋体" w:eastAsia="宋体"/>
          <w:color w:val="auto"/>
          <w:highlight w:val="none"/>
        </w:rPr>
      </w:pPr>
      <w:r>
        <w:rPr>
          <w:rFonts w:hint="eastAsia" w:ascii="宋体" w:hAnsi="宋体" w:eastAsia="宋体"/>
          <w:color w:val="auto"/>
          <w:highlight w:val="none"/>
        </w:rPr>
        <w:br w:type="page"/>
      </w:r>
    </w:p>
    <w:p w14:paraId="6AD8F122">
      <w:pPr>
        <w:pStyle w:val="10"/>
        <w:rPr>
          <w:rFonts w:hint="eastAsia"/>
          <w:color w:val="auto"/>
          <w:highlight w:val="none"/>
        </w:rPr>
      </w:pPr>
    </w:p>
    <w:p w14:paraId="0D1102DC">
      <w:pPr>
        <w:rPr>
          <w:rFonts w:hint="eastAsia" w:ascii="宋体" w:hAnsi="宋体" w:cs="宋体"/>
          <w:b/>
          <w:color w:val="auto"/>
          <w:sz w:val="24"/>
          <w:szCs w:val="24"/>
          <w:highlight w:val="none"/>
        </w:rPr>
      </w:pPr>
      <w:r>
        <w:rPr>
          <w:rFonts w:hint="eastAsia" w:ascii="宋体" w:hAnsi="宋体" w:cs="宋体"/>
          <w:b/>
          <w:color w:val="auto"/>
          <w:sz w:val="24"/>
          <w:szCs w:val="24"/>
          <w:highlight w:val="none"/>
        </w:rPr>
        <w:t>5.2资格证明文件</w:t>
      </w:r>
    </w:p>
    <w:p w14:paraId="624CCCBF">
      <w:pPr>
        <w:pStyle w:val="9"/>
        <w:rPr>
          <w:rFonts w:hint="eastAsia" w:ascii="宋体" w:hAnsi="宋体" w:eastAsia="宋体"/>
          <w:color w:val="auto"/>
          <w:highlight w:val="none"/>
        </w:rPr>
      </w:pPr>
    </w:p>
    <w:p w14:paraId="5C64BA6B">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附件：</w:t>
      </w:r>
    </w:p>
    <w:p w14:paraId="0ADF32A3">
      <w:pPr>
        <w:widowControl/>
        <w:jc w:val="center"/>
        <w:rPr>
          <w:rFonts w:hint="eastAsia" w:ascii="宋体" w:hAnsi="宋体" w:cs="宋体"/>
          <w:color w:val="auto"/>
          <w:sz w:val="24"/>
          <w:szCs w:val="24"/>
          <w:highlight w:val="none"/>
        </w:rPr>
      </w:pPr>
      <w:r>
        <w:rPr>
          <w:rFonts w:hint="eastAsia" w:ascii="宋体" w:hAnsi="宋体" w:cs="宋体"/>
          <w:b/>
          <w:color w:val="auto"/>
          <w:sz w:val="24"/>
          <w:szCs w:val="24"/>
          <w:highlight w:val="none"/>
        </w:rPr>
        <w:t>无商业贿赂和不正当竞争行为承诺书</w:t>
      </w:r>
    </w:p>
    <w:p w14:paraId="16F5C0FD">
      <w:pPr>
        <w:widowControl/>
        <w:spacing w:line="480" w:lineRule="exact"/>
        <w:jc w:val="left"/>
        <w:rPr>
          <w:rFonts w:hint="eastAsia" w:ascii="宋体" w:hAnsi="宋体" w:cs="宋体"/>
          <w:color w:val="auto"/>
          <w:sz w:val="24"/>
          <w:szCs w:val="24"/>
          <w:highlight w:val="none"/>
        </w:rPr>
      </w:pPr>
    </w:p>
    <w:p w14:paraId="41ADAD2A">
      <w:pPr>
        <w:widowControl/>
        <w:spacing w:line="48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我公司承诺：</w:t>
      </w:r>
    </w:p>
    <w:p w14:paraId="6B05942C">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一、我公司自成立以来，在参与政府采购活动中，从无商业贿赂和不正当竞争行为。</w:t>
      </w:r>
    </w:p>
    <w:p w14:paraId="1AE0D9AC">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二、公平竞争参加本次采购活动。</w:t>
      </w:r>
    </w:p>
    <w:p w14:paraId="5985EDB1">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三、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 </w:t>
      </w:r>
    </w:p>
    <w:p w14:paraId="66D08482">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四、坚持投标独立性，保证不以任何手段了解或意图了解其他投标参与人情况及其报价信息。除公开渠道获取相关信息外，保证不以其它方式刺探或意图刺探贵司评标、议标信息及其进展。</w:t>
      </w:r>
    </w:p>
    <w:p w14:paraId="2C8CC270">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五、若出现上述行为，与投标的工作人员愿意接受按照国家法律法规等有关规定给子的处罚。</w:t>
      </w:r>
    </w:p>
    <w:p w14:paraId="362ED8C0">
      <w:pPr>
        <w:widowControl/>
        <w:spacing w:line="480" w:lineRule="exact"/>
        <w:ind w:firstLine="46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7C466A3A">
      <w:pPr>
        <w:spacing w:after="120"/>
        <w:ind w:firstLine="200" w:firstLineChars="100"/>
        <w:rPr>
          <w:rFonts w:hint="eastAsia" w:ascii="宋体" w:hAnsi="宋体" w:cs="宋体"/>
          <w:color w:val="auto"/>
          <w:kern w:val="0"/>
          <w:sz w:val="20"/>
          <w:highlight w:val="none"/>
        </w:rPr>
      </w:pPr>
    </w:p>
    <w:p w14:paraId="6CF37CB8">
      <w:pPr>
        <w:spacing w:after="120"/>
        <w:ind w:firstLine="200" w:firstLineChars="100"/>
        <w:rPr>
          <w:rFonts w:hint="eastAsia" w:ascii="宋体" w:hAnsi="宋体" w:cs="宋体"/>
          <w:color w:val="auto"/>
          <w:kern w:val="0"/>
          <w:sz w:val="20"/>
          <w:highlight w:val="none"/>
        </w:rPr>
      </w:pPr>
    </w:p>
    <w:p w14:paraId="2F137FCB">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4CF5CE6D">
      <w:pPr>
        <w:spacing w:line="360" w:lineRule="auto"/>
        <w:ind w:firstLine="4200" w:firstLineChars="175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4D654A99">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0B8DE00B">
      <w:pPr>
        <w:spacing w:line="480" w:lineRule="auto"/>
        <w:jc w:val="left"/>
        <w:rPr>
          <w:rFonts w:hint="eastAsia" w:ascii="宋体" w:hAnsi="宋体" w:cs="宋体"/>
          <w:b/>
          <w:bCs/>
          <w:color w:val="auto"/>
          <w:sz w:val="24"/>
          <w:szCs w:val="24"/>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24"/>
          <w:szCs w:val="24"/>
          <w:highlight w:val="none"/>
        </w:rPr>
        <w:t>附件：</w:t>
      </w:r>
    </w:p>
    <w:p w14:paraId="0FA0A9F1">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满足《中华人民共和国政府采购法》第二十二条规定的承诺书</w:t>
      </w:r>
    </w:p>
    <w:p w14:paraId="3996EB0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致（采购单位）：</w:t>
      </w:r>
    </w:p>
    <w:p w14:paraId="10E6C904">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我单位自愿参加本次采购活动，严格遵守《中华人民共和国政府采购法》及相关法律法规，依法诚信经营，依法遵守本次政府采购活动的各项规定。我单位郑重承诺声明如下：</w:t>
      </w:r>
    </w:p>
    <w:p w14:paraId="1899747B">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一、我单位全称为    ，注册地点为，统一社会信用代码为， 法定代表人（主要负责人）为 ， 联系方式为 。</w:t>
      </w:r>
    </w:p>
    <w:p w14:paraId="672388FE">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二、我单位具有良好的商业信誉和健全的财务会计制度。</w:t>
      </w:r>
    </w:p>
    <w:p w14:paraId="112F0DB6">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三、我单位具有履行合同所必需的设备和专业技术能力。</w:t>
      </w:r>
    </w:p>
    <w:p w14:paraId="4D1E562B">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四、我单位有依法缴纳税收和社会保障资金的良好记录。</w:t>
      </w:r>
    </w:p>
    <w:p w14:paraId="5A863DA8">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五、我单位参加政府采购活动前三年内，在经营活动中没有重大违法记录。（重大违法记录，是指供应商因违法经营受到刑事处罚或者责令停产停业、吊销许可证或者执照、较大数额罚款等行政处罚。）</w:t>
      </w:r>
    </w:p>
    <w:p w14:paraId="060A6932">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六、我单位具备法律、行政法规规定的其他条件。</w:t>
      </w:r>
    </w:p>
    <w:p w14:paraId="149F3FC0">
      <w:pPr>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保证上述声明的事项都是真实的，符合《中华人民共和国政府采购法》规定的供应商资格条件。如有弄虚作假，我单位愿意按照“提供虚假材料谋取中标”承担相应的法律责任，同意将违背承诺行为作为失信行为记录到社会信用信息平台，并承担因此所造成的一切损失。</w:t>
      </w:r>
    </w:p>
    <w:p w14:paraId="4E7D1F14">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463AD0E2">
      <w:pPr>
        <w:spacing w:line="360" w:lineRule="auto"/>
        <w:ind w:firstLine="4200" w:firstLineChars="175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法定代表人或其委托代理人(</w:t>
      </w:r>
      <w:r>
        <w:rPr>
          <w:rFonts w:hint="eastAsia" w:ascii="宋体" w:hAnsi="宋体" w:cs="宋体"/>
          <w:color w:val="auto"/>
          <w:sz w:val="24"/>
          <w:szCs w:val="24"/>
          <w:highlight w:val="none"/>
          <w:lang w:val="en-US" w:eastAsia="zh-CN"/>
        </w:rPr>
        <w:t>电子签章</w:t>
      </w:r>
      <w:r>
        <w:rPr>
          <w:rFonts w:hint="eastAsia" w:ascii="宋体" w:hAnsi="宋体" w:cs="宋体"/>
          <w:color w:val="auto"/>
          <w:sz w:val="24"/>
          <w:szCs w:val="24"/>
          <w:highlight w:val="none"/>
        </w:rPr>
        <w:t>)：</w:t>
      </w:r>
    </w:p>
    <w:p w14:paraId="00A24CD9">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74F2D4FF">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注：1.供应商须在投标文件中按此模板提供承诺函，未提供视为未实质性响应招标文件要求，按无效投标处理。</w:t>
      </w:r>
    </w:p>
    <w:p w14:paraId="3C43D341">
      <w:pPr>
        <w:spacing w:line="48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2.供应商的法定代表人（主要负责人）或者授权代表的签字或盖章应真实、有效。</w:t>
      </w:r>
    </w:p>
    <w:p w14:paraId="6A73FBC3">
      <w:pPr>
        <w:spacing w:line="276" w:lineRule="auto"/>
        <w:jc w:val="center"/>
        <w:rPr>
          <w:rFonts w:hint="eastAsia" w:ascii="宋体" w:hAnsi="宋体" w:cs="宋体"/>
          <w:b/>
          <w:bCs/>
          <w:color w:val="auto"/>
          <w:kern w:val="0"/>
          <w:sz w:val="32"/>
          <w:szCs w:val="32"/>
          <w:highlight w:val="none"/>
        </w:rPr>
      </w:pPr>
      <w:r>
        <w:rPr>
          <w:rFonts w:hint="eastAsia" w:ascii="宋体" w:hAnsi="宋体" w:cs="宋体"/>
          <w:b/>
          <w:color w:val="auto"/>
          <w:sz w:val="32"/>
          <w:szCs w:val="32"/>
          <w:highlight w:val="none"/>
        </w:rPr>
        <w:br w:type="page"/>
      </w:r>
    </w:p>
    <w:p w14:paraId="39224984">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其他资格证明文件</w:t>
      </w:r>
    </w:p>
    <w:p w14:paraId="15D8B173">
      <w:pPr>
        <w:rPr>
          <w:rFonts w:hint="eastAsia" w:ascii="宋体" w:hAnsi="宋体" w:cs="宋体"/>
          <w:b/>
          <w:color w:val="auto"/>
          <w:sz w:val="24"/>
          <w:szCs w:val="24"/>
          <w:highlight w:val="none"/>
          <w:lang w:val="en-US" w:eastAsia="zh-CN"/>
        </w:rPr>
      </w:pPr>
    </w:p>
    <w:p w14:paraId="49F11320">
      <w:pPr>
        <w:rPr>
          <w:rFonts w:hint="eastAsia" w:ascii="宋体" w:hAnsi="宋体" w:cs="宋体"/>
          <w:b/>
          <w:color w:val="auto"/>
          <w:sz w:val="24"/>
          <w:szCs w:val="24"/>
          <w:highlight w:val="none"/>
          <w:lang w:val="en-US" w:eastAsia="zh-CN"/>
        </w:rPr>
      </w:pPr>
    </w:p>
    <w:p w14:paraId="48E0ABD1">
      <w:pPr>
        <w:rPr>
          <w:rFonts w:hint="eastAsia" w:ascii="宋体" w:hAnsi="宋体" w:cs="宋体"/>
          <w:b/>
          <w:color w:val="auto"/>
          <w:sz w:val="24"/>
          <w:szCs w:val="24"/>
          <w:highlight w:val="none"/>
          <w:lang w:val="en-US" w:eastAsia="zh-CN"/>
        </w:rPr>
      </w:pPr>
    </w:p>
    <w:p w14:paraId="1987461C">
      <w:pPr>
        <w:rPr>
          <w:rFonts w:hint="eastAsia" w:ascii="宋体" w:hAnsi="宋体" w:cs="宋体"/>
          <w:b/>
          <w:color w:val="auto"/>
          <w:sz w:val="24"/>
          <w:szCs w:val="24"/>
          <w:highlight w:val="none"/>
          <w:lang w:val="en-US" w:eastAsia="zh-CN"/>
        </w:rPr>
      </w:pPr>
    </w:p>
    <w:p w14:paraId="0FF55E88">
      <w:pPr>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74C639F1">
      <w:pPr>
        <w:spacing w:line="480" w:lineRule="auto"/>
        <w:ind w:left="-40" w:leftChars="-19" w:right="452" w:firstLine="118" w:firstLineChars="49"/>
        <w:jc w:val="left"/>
        <w:rPr>
          <w:rFonts w:hint="eastAsia" w:ascii="宋体" w:hAnsi="宋体" w:cs="宋体"/>
          <w:b/>
          <w:color w:val="auto"/>
          <w:spacing w:val="6"/>
          <w:sz w:val="24"/>
          <w:szCs w:val="24"/>
          <w:highlight w:val="none"/>
        </w:rPr>
      </w:pPr>
      <w:r>
        <w:rPr>
          <w:rFonts w:hint="eastAsia" w:ascii="宋体" w:hAnsi="宋体" w:cs="宋体"/>
          <w:b/>
          <w:color w:val="auto"/>
          <w:sz w:val="24"/>
          <w:szCs w:val="24"/>
          <w:highlight w:val="none"/>
        </w:rPr>
        <w:t>5.3</w:t>
      </w:r>
      <w:r>
        <w:rPr>
          <w:rFonts w:hint="eastAsia" w:ascii="宋体" w:hAnsi="宋体" w:cs="宋体"/>
          <w:b/>
          <w:color w:val="auto"/>
          <w:spacing w:val="6"/>
          <w:sz w:val="24"/>
          <w:szCs w:val="24"/>
          <w:highlight w:val="none"/>
        </w:rPr>
        <w:t>类似项目业绩</w:t>
      </w:r>
    </w:p>
    <w:p w14:paraId="096850D7">
      <w:pPr>
        <w:spacing w:line="360" w:lineRule="auto"/>
        <w:ind w:left="-30" w:leftChars="-95" w:right="452" w:hanging="169" w:hangingChars="67"/>
        <w:jc w:val="center"/>
        <w:rPr>
          <w:rFonts w:hint="eastAsia" w:ascii="宋体" w:hAnsi="宋体" w:cs="宋体"/>
          <w:b/>
          <w:color w:val="auto"/>
          <w:spacing w:val="6"/>
          <w:sz w:val="24"/>
          <w:szCs w:val="24"/>
          <w:highlight w:val="none"/>
        </w:rPr>
      </w:pPr>
      <w:r>
        <w:rPr>
          <w:rFonts w:hint="eastAsia" w:ascii="宋体" w:hAnsi="宋体" w:cs="宋体"/>
          <w:b/>
          <w:color w:val="auto"/>
          <w:spacing w:val="6"/>
          <w:sz w:val="24"/>
          <w:szCs w:val="24"/>
          <w:highlight w:val="none"/>
        </w:rPr>
        <w:t>类似项目业绩一览表</w:t>
      </w:r>
    </w:p>
    <w:tbl>
      <w:tblPr>
        <w:tblStyle w:val="19"/>
        <w:tblW w:w="1003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229"/>
        <w:gridCol w:w="1357"/>
        <w:gridCol w:w="1666"/>
        <w:gridCol w:w="1666"/>
        <w:gridCol w:w="1418"/>
        <w:gridCol w:w="1123"/>
        <w:gridCol w:w="1579"/>
      </w:tblGrid>
      <w:tr w14:paraId="7F2886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3" w:hRule="atLeast"/>
          <w:jc w:val="center"/>
        </w:trPr>
        <w:tc>
          <w:tcPr>
            <w:tcW w:w="1229" w:type="dxa"/>
            <w:tcBorders>
              <w:top w:val="single" w:color="auto" w:sz="4" w:space="0"/>
              <w:left w:val="single" w:color="auto" w:sz="4" w:space="0"/>
              <w:bottom w:val="single" w:color="auto" w:sz="6" w:space="0"/>
              <w:right w:val="single" w:color="auto" w:sz="6" w:space="0"/>
            </w:tcBorders>
            <w:vAlign w:val="center"/>
          </w:tcPr>
          <w:p w14:paraId="76F4AC3E">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357" w:type="dxa"/>
            <w:tcBorders>
              <w:top w:val="single" w:color="auto" w:sz="4" w:space="0"/>
              <w:left w:val="single" w:color="auto" w:sz="6" w:space="0"/>
              <w:bottom w:val="single" w:color="auto" w:sz="6" w:space="0"/>
              <w:right w:val="single" w:color="auto" w:sz="6" w:space="0"/>
            </w:tcBorders>
            <w:vAlign w:val="center"/>
          </w:tcPr>
          <w:p w14:paraId="719DD80D">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采购单位</w:t>
            </w:r>
          </w:p>
        </w:tc>
        <w:tc>
          <w:tcPr>
            <w:tcW w:w="1666" w:type="dxa"/>
            <w:tcBorders>
              <w:top w:val="single" w:color="auto" w:sz="4" w:space="0"/>
              <w:left w:val="single" w:color="auto" w:sz="6" w:space="0"/>
              <w:bottom w:val="single" w:color="auto" w:sz="6" w:space="0"/>
              <w:right w:val="single" w:color="auto" w:sz="6" w:space="0"/>
            </w:tcBorders>
            <w:vAlign w:val="center"/>
          </w:tcPr>
          <w:p w14:paraId="3C68BD45">
            <w:pPr>
              <w:spacing w:line="400" w:lineRule="exact"/>
              <w:ind w:firstLine="120" w:firstLineChars="5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1666" w:type="dxa"/>
            <w:tcBorders>
              <w:top w:val="single" w:color="auto" w:sz="4" w:space="0"/>
              <w:left w:val="single" w:color="auto" w:sz="6" w:space="0"/>
              <w:bottom w:val="single" w:color="auto" w:sz="6" w:space="0"/>
              <w:right w:val="single" w:color="auto" w:sz="6" w:space="0"/>
            </w:tcBorders>
            <w:vAlign w:val="center"/>
          </w:tcPr>
          <w:p w14:paraId="062734B6">
            <w:pPr>
              <w:spacing w:line="240" w:lineRule="atLeas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合同金额</w:t>
            </w:r>
          </w:p>
        </w:tc>
        <w:tc>
          <w:tcPr>
            <w:tcW w:w="1418" w:type="dxa"/>
            <w:tcBorders>
              <w:top w:val="single" w:color="auto" w:sz="4" w:space="0"/>
              <w:left w:val="single" w:color="auto" w:sz="6" w:space="0"/>
              <w:bottom w:val="single" w:color="auto" w:sz="6" w:space="0"/>
              <w:right w:val="single" w:color="auto" w:sz="4" w:space="0"/>
            </w:tcBorders>
            <w:vAlign w:val="center"/>
          </w:tcPr>
          <w:p w14:paraId="7B9D4F7E">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签订日期</w:t>
            </w:r>
          </w:p>
        </w:tc>
        <w:tc>
          <w:tcPr>
            <w:tcW w:w="1123" w:type="dxa"/>
            <w:tcBorders>
              <w:top w:val="single" w:color="auto" w:sz="4" w:space="0"/>
              <w:left w:val="single" w:color="auto" w:sz="4" w:space="0"/>
              <w:bottom w:val="single" w:color="auto" w:sz="6" w:space="0"/>
              <w:right w:val="single" w:color="auto" w:sz="6" w:space="0"/>
            </w:tcBorders>
            <w:vAlign w:val="center"/>
          </w:tcPr>
          <w:p w14:paraId="66B0C657">
            <w:pPr>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项目负责人</w:t>
            </w:r>
          </w:p>
        </w:tc>
        <w:tc>
          <w:tcPr>
            <w:tcW w:w="1579" w:type="dxa"/>
            <w:tcBorders>
              <w:top w:val="single" w:color="auto" w:sz="4" w:space="0"/>
              <w:left w:val="single" w:color="auto" w:sz="4" w:space="0"/>
              <w:bottom w:val="single" w:color="auto" w:sz="6" w:space="0"/>
              <w:right w:val="single" w:color="auto" w:sz="4" w:space="0"/>
            </w:tcBorders>
            <w:vAlign w:val="center"/>
          </w:tcPr>
          <w:p w14:paraId="09FBF305">
            <w:pPr>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完成情况</w:t>
            </w:r>
          </w:p>
        </w:tc>
      </w:tr>
      <w:tr w14:paraId="41000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1229" w:type="dxa"/>
            <w:tcBorders>
              <w:top w:val="single" w:color="auto" w:sz="6" w:space="0"/>
              <w:left w:val="single" w:color="auto" w:sz="4" w:space="0"/>
              <w:bottom w:val="single" w:color="auto" w:sz="6" w:space="0"/>
              <w:right w:val="single" w:color="auto" w:sz="6" w:space="0"/>
            </w:tcBorders>
            <w:vAlign w:val="center"/>
          </w:tcPr>
          <w:p w14:paraId="06B579F7">
            <w:pPr>
              <w:spacing w:line="400" w:lineRule="exact"/>
              <w:jc w:val="center"/>
              <w:rPr>
                <w:rFonts w:hint="eastAsia" w:ascii="宋体" w:hAnsi="宋体" w:cs="宋体"/>
                <w:color w:val="auto"/>
                <w:sz w:val="24"/>
                <w:szCs w:val="24"/>
                <w:highlight w:val="none"/>
              </w:rPr>
            </w:pPr>
          </w:p>
        </w:tc>
        <w:tc>
          <w:tcPr>
            <w:tcW w:w="1357" w:type="dxa"/>
            <w:tcBorders>
              <w:top w:val="single" w:color="auto" w:sz="6" w:space="0"/>
              <w:left w:val="single" w:color="auto" w:sz="6" w:space="0"/>
              <w:bottom w:val="single" w:color="auto" w:sz="6" w:space="0"/>
              <w:right w:val="single" w:color="auto" w:sz="6" w:space="0"/>
            </w:tcBorders>
            <w:vAlign w:val="center"/>
          </w:tcPr>
          <w:p w14:paraId="0283C886">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3AC89FAB">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4D199029">
            <w:pPr>
              <w:spacing w:line="400" w:lineRule="exact"/>
              <w:jc w:val="center"/>
              <w:rPr>
                <w:rFonts w:hint="eastAsia" w:ascii="宋体" w:hAnsi="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4" w:space="0"/>
            </w:tcBorders>
            <w:vAlign w:val="center"/>
          </w:tcPr>
          <w:p w14:paraId="4CFFE8D3">
            <w:pPr>
              <w:spacing w:line="400" w:lineRule="exact"/>
              <w:jc w:val="center"/>
              <w:rPr>
                <w:rFonts w:hint="eastAsia" w:ascii="宋体" w:hAnsi="宋体" w:cs="宋体"/>
                <w:color w:val="auto"/>
                <w:sz w:val="24"/>
                <w:szCs w:val="24"/>
                <w:highlight w:val="none"/>
              </w:rPr>
            </w:pPr>
          </w:p>
        </w:tc>
        <w:tc>
          <w:tcPr>
            <w:tcW w:w="1123" w:type="dxa"/>
            <w:tcBorders>
              <w:top w:val="single" w:color="auto" w:sz="6" w:space="0"/>
              <w:left w:val="single" w:color="auto" w:sz="4" w:space="0"/>
              <w:bottom w:val="single" w:color="auto" w:sz="6" w:space="0"/>
              <w:right w:val="single" w:color="auto" w:sz="6" w:space="0"/>
            </w:tcBorders>
            <w:vAlign w:val="center"/>
          </w:tcPr>
          <w:p w14:paraId="661B5A31">
            <w:pPr>
              <w:spacing w:line="400" w:lineRule="exact"/>
              <w:jc w:val="center"/>
              <w:rPr>
                <w:rFonts w:hint="eastAsia" w:ascii="宋体" w:hAnsi="宋体" w:cs="宋体"/>
                <w:color w:val="auto"/>
                <w:sz w:val="24"/>
                <w:szCs w:val="24"/>
                <w:highlight w:val="none"/>
              </w:rPr>
            </w:pPr>
          </w:p>
        </w:tc>
        <w:tc>
          <w:tcPr>
            <w:tcW w:w="1579" w:type="dxa"/>
            <w:tcBorders>
              <w:top w:val="single" w:color="auto" w:sz="6" w:space="0"/>
              <w:left w:val="single" w:color="auto" w:sz="4" w:space="0"/>
              <w:bottom w:val="single" w:color="auto" w:sz="6" w:space="0"/>
              <w:right w:val="single" w:color="auto" w:sz="4" w:space="0"/>
            </w:tcBorders>
            <w:vAlign w:val="center"/>
          </w:tcPr>
          <w:p w14:paraId="6C7A4225">
            <w:pPr>
              <w:spacing w:line="400" w:lineRule="exact"/>
              <w:jc w:val="center"/>
              <w:rPr>
                <w:rFonts w:hint="eastAsia" w:ascii="宋体" w:hAnsi="宋体" w:cs="宋体"/>
                <w:color w:val="auto"/>
                <w:sz w:val="24"/>
                <w:szCs w:val="24"/>
                <w:highlight w:val="none"/>
              </w:rPr>
            </w:pPr>
          </w:p>
        </w:tc>
      </w:tr>
      <w:tr w14:paraId="29CA6B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1229" w:type="dxa"/>
            <w:tcBorders>
              <w:top w:val="single" w:color="auto" w:sz="6" w:space="0"/>
              <w:left w:val="single" w:color="auto" w:sz="4" w:space="0"/>
              <w:bottom w:val="single" w:color="auto" w:sz="6" w:space="0"/>
              <w:right w:val="single" w:color="auto" w:sz="6" w:space="0"/>
            </w:tcBorders>
            <w:vAlign w:val="center"/>
          </w:tcPr>
          <w:p w14:paraId="32151F43">
            <w:pPr>
              <w:spacing w:line="400" w:lineRule="exact"/>
              <w:jc w:val="center"/>
              <w:rPr>
                <w:rFonts w:hint="eastAsia" w:ascii="宋体" w:hAnsi="宋体" w:cs="宋体"/>
                <w:color w:val="auto"/>
                <w:sz w:val="24"/>
                <w:szCs w:val="24"/>
                <w:highlight w:val="none"/>
              </w:rPr>
            </w:pPr>
          </w:p>
        </w:tc>
        <w:tc>
          <w:tcPr>
            <w:tcW w:w="1357" w:type="dxa"/>
            <w:tcBorders>
              <w:top w:val="single" w:color="auto" w:sz="6" w:space="0"/>
              <w:left w:val="single" w:color="auto" w:sz="6" w:space="0"/>
              <w:bottom w:val="single" w:color="auto" w:sz="6" w:space="0"/>
              <w:right w:val="single" w:color="auto" w:sz="6" w:space="0"/>
            </w:tcBorders>
            <w:vAlign w:val="center"/>
          </w:tcPr>
          <w:p w14:paraId="01A88780">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4A067C71">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6BFCDBA2">
            <w:pPr>
              <w:spacing w:line="400" w:lineRule="exact"/>
              <w:jc w:val="center"/>
              <w:rPr>
                <w:rFonts w:hint="eastAsia" w:ascii="宋体" w:hAnsi="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4" w:space="0"/>
            </w:tcBorders>
            <w:vAlign w:val="center"/>
          </w:tcPr>
          <w:p w14:paraId="0142A8F1">
            <w:pPr>
              <w:spacing w:line="400" w:lineRule="exact"/>
              <w:jc w:val="center"/>
              <w:rPr>
                <w:rFonts w:hint="eastAsia" w:ascii="宋体" w:hAnsi="宋体" w:cs="宋体"/>
                <w:color w:val="auto"/>
                <w:sz w:val="24"/>
                <w:szCs w:val="24"/>
                <w:highlight w:val="none"/>
              </w:rPr>
            </w:pPr>
          </w:p>
        </w:tc>
        <w:tc>
          <w:tcPr>
            <w:tcW w:w="1123" w:type="dxa"/>
            <w:tcBorders>
              <w:top w:val="single" w:color="auto" w:sz="6" w:space="0"/>
              <w:left w:val="single" w:color="auto" w:sz="4" w:space="0"/>
              <w:bottom w:val="single" w:color="auto" w:sz="6" w:space="0"/>
              <w:right w:val="single" w:color="auto" w:sz="6" w:space="0"/>
            </w:tcBorders>
            <w:vAlign w:val="center"/>
          </w:tcPr>
          <w:p w14:paraId="70DBFD6D">
            <w:pPr>
              <w:spacing w:line="400" w:lineRule="exact"/>
              <w:jc w:val="center"/>
              <w:rPr>
                <w:rFonts w:hint="eastAsia" w:ascii="宋体" w:hAnsi="宋体" w:cs="宋体"/>
                <w:color w:val="auto"/>
                <w:sz w:val="24"/>
                <w:szCs w:val="24"/>
                <w:highlight w:val="none"/>
              </w:rPr>
            </w:pPr>
          </w:p>
        </w:tc>
        <w:tc>
          <w:tcPr>
            <w:tcW w:w="1579" w:type="dxa"/>
            <w:tcBorders>
              <w:top w:val="single" w:color="auto" w:sz="6" w:space="0"/>
              <w:left w:val="single" w:color="auto" w:sz="4" w:space="0"/>
              <w:bottom w:val="single" w:color="auto" w:sz="6" w:space="0"/>
              <w:right w:val="single" w:color="auto" w:sz="4" w:space="0"/>
            </w:tcBorders>
            <w:vAlign w:val="center"/>
          </w:tcPr>
          <w:p w14:paraId="1CA2CD11">
            <w:pPr>
              <w:spacing w:line="400" w:lineRule="exact"/>
              <w:jc w:val="center"/>
              <w:rPr>
                <w:rFonts w:hint="eastAsia" w:ascii="宋体" w:hAnsi="宋体" w:cs="宋体"/>
                <w:color w:val="auto"/>
                <w:sz w:val="24"/>
                <w:szCs w:val="24"/>
                <w:highlight w:val="none"/>
              </w:rPr>
            </w:pPr>
          </w:p>
        </w:tc>
      </w:tr>
      <w:tr w14:paraId="4A85CF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1229" w:type="dxa"/>
            <w:tcBorders>
              <w:top w:val="single" w:color="auto" w:sz="6" w:space="0"/>
              <w:left w:val="single" w:color="auto" w:sz="4" w:space="0"/>
              <w:bottom w:val="single" w:color="auto" w:sz="6" w:space="0"/>
              <w:right w:val="single" w:color="auto" w:sz="6" w:space="0"/>
            </w:tcBorders>
            <w:vAlign w:val="center"/>
          </w:tcPr>
          <w:p w14:paraId="6C683681">
            <w:pPr>
              <w:spacing w:line="400" w:lineRule="exact"/>
              <w:jc w:val="center"/>
              <w:rPr>
                <w:rFonts w:hint="eastAsia" w:ascii="宋体" w:hAnsi="宋体" w:cs="宋体"/>
                <w:color w:val="auto"/>
                <w:sz w:val="24"/>
                <w:szCs w:val="24"/>
                <w:highlight w:val="none"/>
              </w:rPr>
            </w:pPr>
          </w:p>
        </w:tc>
        <w:tc>
          <w:tcPr>
            <w:tcW w:w="1357" w:type="dxa"/>
            <w:tcBorders>
              <w:top w:val="single" w:color="auto" w:sz="6" w:space="0"/>
              <w:left w:val="single" w:color="auto" w:sz="6" w:space="0"/>
              <w:bottom w:val="single" w:color="auto" w:sz="6" w:space="0"/>
              <w:right w:val="single" w:color="auto" w:sz="6" w:space="0"/>
            </w:tcBorders>
            <w:vAlign w:val="center"/>
          </w:tcPr>
          <w:p w14:paraId="767187BD">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29B5076F">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2E0D05EA">
            <w:pPr>
              <w:spacing w:line="400" w:lineRule="exact"/>
              <w:jc w:val="center"/>
              <w:rPr>
                <w:rFonts w:hint="eastAsia" w:ascii="宋体" w:hAnsi="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4" w:space="0"/>
            </w:tcBorders>
            <w:vAlign w:val="center"/>
          </w:tcPr>
          <w:p w14:paraId="33741C2B">
            <w:pPr>
              <w:spacing w:line="400" w:lineRule="exact"/>
              <w:jc w:val="center"/>
              <w:rPr>
                <w:rFonts w:hint="eastAsia" w:ascii="宋体" w:hAnsi="宋体" w:cs="宋体"/>
                <w:color w:val="auto"/>
                <w:sz w:val="24"/>
                <w:szCs w:val="24"/>
                <w:highlight w:val="none"/>
              </w:rPr>
            </w:pPr>
          </w:p>
        </w:tc>
        <w:tc>
          <w:tcPr>
            <w:tcW w:w="1123" w:type="dxa"/>
            <w:tcBorders>
              <w:top w:val="single" w:color="auto" w:sz="6" w:space="0"/>
              <w:left w:val="single" w:color="auto" w:sz="4" w:space="0"/>
              <w:bottom w:val="single" w:color="auto" w:sz="6" w:space="0"/>
              <w:right w:val="single" w:color="auto" w:sz="6" w:space="0"/>
            </w:tcBorders>
            <w:vAlign w:val="center"/>
          </w:tcPr>
          <w:p w14:paraId="49C9C6D6">
            <w:pPr>
              <w:spacing w:line="400" w:lineRule="exact"/>
              <w:jc w:val="center"/>
              <w:rPr>
                <w:rFonts w:hint="eastAsia" w:ascii="宋体" w:hAnsi="宋体" w:cs="宋体"/>
                <w:color w:val="auto"/>
                <w:sz w:val="24"/>
                <w:szCs w:val="24"/>
                <w:highlight w:val="none"/>
              </w:rPr>
            </w:pPr>
          </w:p>
        </w:tc>
        <w:tc>
          <w:tcPr>
            <w:tcW w:w="1579" w:type="dxa"/>
            <w:tcBorders>
              <w:top w:val="single" w:color="auto" w:sz="6" w:space="0"/>
              <w:left w:val="single" w:color="auto" w:sz="4" w:space="0"/>
              <w:bottom w:val="single" w:color="auto" w:sz="6" w:space="0"/>
              <w:right w:val="single" w:color="auto" w:sz="4" w:space="0"/>
            </w:tcBorders>
            <w:vAlign w:val="center"/>
          </w:tcPr>
          <w:p w14:paraId="4C0B157D">
            <w:pPr>
              <w:spacing w:line="400" w:lineRule="exact"/>
              <w:jc w:val="center"/>
              <w:rPr>
                <w:rFonts w:hint="eastAsia" w:ascii="宋体" w:hAnsi="宋体" w:cs="宋体"/>
                <w:color w:val="auto"/>
                <w:sz w:val="24"/>
                <w:szCs w:val="24"/>
                <w:highlight w:val="none"/>
              </w:rPr>
            </w:pPr>
          </w:p>
        </w:tc>
      </w:tr>
      <w:tr w14:paraId="18544D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1229" w:type="dxa"/>
            <w:tcBorders>
              <w:top w:val="single" w:color="auto" w:sz="6" w:space="0"/>
              <w:left w:val="single" w:color="auto" w:sz="4" w:space="0"/>
              <w:bottom w:val="single" w:color="auto" w:sz="6" w:space="0"/>
              <w:right w:val="single" w:color="auto" w:sz="6" w:space="0"/>
            </w:tcBorders>
            <w:vAlign w:val="center"/>
          </w:tcPr>
          <w:p w14:paraId="7B071F6F">
            <w:pPr>
              <w:spacing w:line="400" w:lineRule="exact"/>
              <w:jc w:val="center"/>
              <w:rPr>
                <w:rFonts w:hint="eastAsia" w:ascii="宋体" w:hAnsi="宋体" w:cs="宋体"/>
                <w:color w:val="auto"/>
                <w:sz w:val="24"/>
                <w:szCs w:val="24"/>
                <w:highlight w:val="none"/>
              </w:rPr>
            </w:pPr>
          </w:p>
        </w:tc>
        <w:tc>
          <w:tcPr>
            <w:tcW w:w="1357" w:type="dxa"/>
            <w:tcBorders>
              <w:top w:val="single" w:color="auto" w:sz="6" w:space="0"/>
              <w:left w:val="single" w:color="auto" w:sz="6" w:space="0"/>
              <w:bottom w:val="single" w:color="auto" w:sz="6" w:space="0"/>
              <w:right w:val="single" w:color="auto" w:sz="4" w:space="0"/>
            </w:tcBorders>
            <w:vAlign w:val="center"/>
          </w:tcPr>
          <w:p w14:paraId="23EDB78F">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6B68583B">
            <w:pPr>
              <w:spacing w:line="400" w:lineRule="exact"/>
              <w:jc w:val="center"/>
              <w:rPr>
                <w:rFonts w:hint="eastAsia" w:ascii="宋体" w:hAnsi="宋体" w:cs="宋体"/>
                <w:color w:val="auto"/>
                <w:sz w:val="24"/>
                <w:szCs w:val="24"/>
                <w:highlight w:val="none"/>
              </w:rPr>
            </w:pPr>
          </w:p>
        </w:tc>
        <w:tc>
          <w:tcPr>
            <w:tcW w:w="1666" w:type="dxa"/>
            <w:tcBorders>
              <w:top w:val="single" w:color="auto" w:sz="6" w:space="0"/>
              <w:left w:val="single" w:color="auto" w:sz="6" w:space="0"/>
              <w:bottom w:val="single" w:color="auto" w:sz="6" w:space="0"/>
              <w:right w:val="single" w:color="auto" w:sz="6" w:space="0"/>
            </w:tcBorders>
            <w:vAlign w:val="center"/>
          </w:tcPr>
          <w:p w14:paraId="547B5DEC">
            <w:pPr>
              <w:spacing w:line="400" w:lineRule="exact"/>
              <w:jc w:val="center"/>
              <w:rPr>
                <w:rFonts w:hint="eastAsia" w:ascii="宋体" w:hAnsi="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4" w:space="0"/>
            </w:tcBorders>
            <w:vAlign w:val="center"/>
          </w:tcPr>
          <w:p w14:paraId="7F80EE37">
            <w:pPr>
              <w:spacing w:line="400" w:lineRule="exact"/>
              <w:jc w:val="center"/>
              <w:rPr>
                <w:rFonts w:hint="eastAsia" w:ascii="宋体" w:hAnsi="宋体" w:cs="宋体"/>
                <w:color w:val="auto"/>
                <w:sz w:val="24"/>
                <w:szCs w:val="24"/>
                <w:highlight w:val="none"/>
              </w:rPr>
            </w:pPr>
          </w:p>
        </w:tc>
        <w:tc>
          <w:tcPr>
            <w:tcW w:w="1123" w:type="dxa"/>
            <w:tcBorders>
              <w:top w:val="single" w:color="auto" w:sz="6" w:space="0"/>
              <w:left w:val="single" w:color="auto" w:sz="4" w:space="0"/>
              <w:bottom w:val="single" w:color="auto" w:sz="6" w:space="0"/>
              <w:right w:val="single" w:color="auto" w:sz="6" w:space="0"/>
            </w:tcBorders>
            <w:vAlign w:val="center"/>
          </w:tcPr>
          <w:p w14:paraId="1AD94282">
            <w:pPr>
              <w:spacing w:line="400" w:lineRule="exact"/>
              <w:jc w:val="center"/>
              <w:rPr>
                <w:rFonts w:hint="eastAsia" w:ascii="宋体" w:hAnsi="宋体" w:cs="宋体"/>
                <w:color w:val="auto"/>
                <w:sz w:val="24"/>
                <w:szCs w:val="24"/>
                <w:highlight w:val="none"/>
              </w:rPr>
            </w:pPr>
          </w:p>
        </w:tc>
        <w:tc>
          <w:tcPr>
            <w:tcW w:w="1579" w:type="dxa"/>
            <w:tcBorders>
              <w:top w:val="single" w:color="auto" w:sz="6" w:space="0"/>
              <w:left w:val="single" w:color="auto" w:sz="4" w:space="0"/>
              <w:bottom w:val="single" w:color="auto" w:sz="6" w:space="0"/>
              <w:right w:val="single" w:color="auto" w:sz="4" w:space="0"/>
            </w:tcBorders>
            <w:vAlign w:val="center"/>
          </w:tcPr>
          <w:p w14:paraId="73B80F2B">
            <w:pPr>
              <w:spacing w:line="400" w:lineRule="exact"/>
              <w:jc w:val="center"/>
              <w:rPr>
                <w:rFonts w:hint="eastAsia" w:ascii="宋体" w:hAnsi="宋体" w:cs="宋体"/>
                <w:color w:val="auto"/>
                <w:sz w:val="24"/>
                <w:szCs w:val="24"/>
                <w:highlight w:val="none"/>
              </w:rPr>
            </w:pPr>
          </w:p>
        </w:tc>
      </w:tr>
      <w:tr w14:paraId="2E15C8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1229" w:type="dxa"/>
            <w:tcBorders>
              <w:top w:val="single" w:color="auto" w:sz="6" w:space="0"/>
              <w:left w:val="single" w:color="auto" w:sz="4" w:space="0"/>
              <w:bottom w:val="single" w:color="auto" w:sz="4" w:space="0"/>
              <w:right w:val="single" w:color="auto" w:sz="4" w:space="0"/>
            </w:tcBorders>
            <w:vAlign w:val="center"/>
          </w:tcPr>
          <w:p w14:paraId="3D28B8EA">
            <w:pPr>
              <w:spacing w:line="400" w:lineRule="exact"/>
              <w:rPr>
                <w:rFonts w:hint="eastAsia" w:ascii="宋体" w:hAnsi="宋体" w:cs="宋体"/>
                <w:color w:val="auto"/>
                <w:sz w:val="24"/>
                <w:szCs w:val="24"/>
                <w:highlight w:val="none"/>
              </w:rPr>
            </w:pPr>
          </w:p>
        </w:tc>
        <w:tc>
          <w:tcPr>
            <w:tcW w:w="1357" w:type="dxa"/>
            <w:tcBorders>
              <w:top w:val="single" w:color="auto" w:sz="6" w:space="0"/>
              <w:left w:val="single" w:color="auto" w:sz="4" w:space="0"/>
              <w:bottom w:val="single" w:color="auto" w:sz="4" w:space="0"/>
              <w:right w:val="single" w:color="auto" w:sz="4" w:space="0"/>
            </w:tcBorders>
            <w:vAlign w:val="center"/>
          </w:tcPr>
          <w:p w14:paraId="7C31DC65">
            <w:pPr>
              <w:spacing w:line="400" w:lineRule="exact"/>
              <w:rPr>
                <w:rFonts w:hint="eastAsia" w:ascii="宋体" w:hAnsi="宋体" w:cs="宋体"/>
                <w:color w:val="auto"/>
                <w:sz w:val="24"/>
                <w:szCs w:val="24"/>
                <w:highlight w:val="none"/>
              </w:rPr>
            </w:pPr>
          </w:p>
        </w:tc>
        <w:tc>
          <w:tcPr>
            <w:tcW w:w="1666" w:type="dxa"/>
            <w:tcBorders>
              <w:top w:val="single" w:color="auto" w:sz="6" w:space="0"/>
              <w:left w:val="single" w:color="auto" w:sz="4" w:space="0"/>
              <w:bottom w:val="single" w:color="auto" w:sz="4" w:space="0"/>
              <w:right w:val="single" w:color="auto" w:sz="4" w:space="0"/>
            </w:tcBorders>
            <w:vAlign w:val="center"/>
          </w:tcPr>
          <w:p w14:paraId="2EB69483">
            <w:pPr>
              <w:spacing w:line="400" w:lineRule="exact"/>
              <w:rPr>
                <w:rFonts w:hint="eastAsia" w:ascii="宋体" w:hAnsi="宋体" w:cs="宋体"/>
                <w:color w:val="auto"/>
                <w:sz w:val="24"/>
                <w:szCs w:val="24"/>
                <w:highlight w:val="none"/>
              </w:rPr>
            </w:pPr>
          </w:p>
        </w:tc>
        <w:tc>
          <w:tcPr>
            <w:tcW w:w="1666" w:type="dxa"/>
            <w:tcBorders>
              <w:top w:val="single" w:color="auto" w:sz="6" w:space="0"/>
              <w:left w:val="single" w:color="auto" w:sz="4" w:space="0"/>
              <w:bottom w:val="single" w:color="auto" w:sz="4" w:space="0"/>
              <w:right w:val="single" w:color="auto" w:sz="4" w:space="0"/>
            </w:tcBorders>
            <w:vAlign w:val="center"/>
          </w:tcPr>
          <w:p w14:paraId="4A1E7C84">
            <w:pPr>
              <w:spacing w:line="400" w:lineRule="exact"/>
              <w:rPr>
                <w:rFonts w:hint="eastAsia" w:ascii="宋体" w:hAnsi="宋体" w:cs="宋体"/>
                <w:color w:val="auto"/>
                <w:sz w:val="24"/>
                <w:szCs w:val="24"/>
                <w:highlight w:val="none"/>
              </w:rPr>
            </w:pPr>
          </w:p>
        </w:tc>
        <w:tc>
          <w:tcPr>
            <w:tcW w:w="1418" w:type="dxa"/>
            <w:tcBorders>
              <w:top w:val="single" w:color="auto" w:sz="6" w:space="0"/>
              <w:left w:val="single" w:color="auto" w:sz="4" w:space="0"/>
              <w:bottom w:val="single" w:color="auto" w:sz="4" w:space="0"/>
              <w:right w:val="single" w:color="auto" w:sz="4" w:space="0"/>
            </w:tcBorders>
            <w:vAlign w:val="center"/>
          </w:tcPr>
          <w:p w14:paraId="5A518696">
            <w:pPr>
              <w:spacing w:line="400" w:lineRule="exact"/>
              <w:rPr>
                <w:rFonts w:hint="eastAsia" w:ascii="宋体" w:hAnsi="宋体" w:cs="宋体"/>
                <w:color w:val="auto"/>
                <w:sz w:val="24"/>
                <w:szCs w:val="24"/>
                <w:highlight w:val="none"/>
              </w:rPr>
            </w:pPr>
          </w:p>
        </w:tc>
        <w:tc>
          <w:tcPr>
            <w:tcW w:w="1123" w:type="dxa"/>
            <w:tcBorders>
              <w:top w:val="single" w:color="auto" w:sz="6" w:space="0"/>
              <w:left w:val="single" w:color="auto" w:sz="4" w:space="0"/>
              <w:bottom w:val="single" w:color="auto" w:sz="4" w:space="0"/>
              <w:right w:val="single" w:color="auto" w:sz="6" w:space="0"/>
            </w:tcBorders>
            <w:vAlign w:val="center"/>
          </w:tcPr>
          <w:p w14:paraId="383E3B28">
            <w:pPr>
              <w:spacing w:line="400" w:lineRule="exact"/>
              <w:rPr>
                <w:rFonts w:hint="eastAsia" w:ascii="宋体" w:hAnsi="宋体" w:cs="宋体"/>
                <w:color w:val="auto"/>
                <w:sz w:val="24"/>
                <w:szCs w:val="24"/>
                <w:highlight w:val="none"/>
              </w:rPr>
            </w:pPr>
          </w:p>
        </w:tc>
        <w:tc>
          <w:tcPr>
            <w:tcW w:w="1579" w:type="dxa"/>
            <w:tcBorders>
              <w:top w:val="single" w:color="auto" w:sz="6" w:space="0"/>
              <w:left w:val="single" w:color="auto" w:sz="4" w:space="0"/>
              <w:bottom w:val="single" w:color="auto" w:sz="4" w:space="0"/>
              <w:right w:val="single" w:color="auto" w:sz="4" w:space="0"/>
            </w:tcBorders>
            <w:vAlign w:val="center"/>
          </w:tcPr>
          <w:p w14:paraId="5C1FD917">
            <w:pPr>
              <w:spacing w:line="400" w:lineRule="exact"/>
              <w:rPr>
                <w:rFonts w:hint="eastAsia" w:ascii="宋体" w:hAnsi="宋体" w:cs="宋体"/>
                <w:color w:val="auto"/>
                <w:sz w:val="24"/>
                <w:szCs w:val="24"/>
                <w:highlight w:val="none"/>
              </w:rPr>
            </w:pPr>
          </w:p>
        </w:tc>
      </w:tr>
    </w:tbl>
    <w:p w14:paraId="387665A2">
      <w:pPr>
        <w:tabs>
          <w:tab w:val="left" w:pos="8782"/>
        </w:tabs>
        <w:snapToGrid w:val="0"/>
        <w:ind w:left="500" w:leftChars="238" w:right="-38"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注：附有效证明材料。</w:t>
      </w:r>
    </w:p>
    <w:p w14:paraId="44877810">
      <w:pPr>
        <w:pStyle w:val="9"/>
        <w:rPr>
          <w:rFonts w:hint="eastAsia" w:ascii="宋体" w:hAnsi="宋体" w:eastAsia="宋体"/>
          <w:color w:val="auto"/>
          <w:highlight w:val="none"/>
        </w:rPr>
      </w:pPr>
    </w:p>
    <w:p w14:paraId="099347AE">
      <w:pPr>
        <w:pStyle w:val="10"/>
        <w:rPr>
          <w:rFonts w:hint="eastAsia" w:ascii="宋体" w:hAnsi="宋体" w:cs="宋体"/>
          <w:color w:val="auto"/>
          <w:highlight w:val="none"/>
        </w:rPr>
      </w:pPr>
    </w:p>
    <w:p w14:paraId="2F7DBE70">
      <w:pPr>
        <w:rPr>
          <w:rFonts w:hint="eastAsia" w:ascii="宋体" w:hAnsi="宋体" w:cs="宋体"/>
          <w:color w:val="auto"/>
          <w:highlight w:val="none"/>
        </w:rPr>
      </w:pPr>
    </w:p>
    <w:p w14:paraId="7C10D8D4">
      <w:pPr>
        <w:pStyle w:val="9"/>
        <w:rPr>
          <w:rFonts w:hint="eastAsia" w:ascii="宋体" w:hAnsi="宋体" w:eastAsia="宋体"/>
          <w:color w:val="auto"/>
          <w:highlight w:val="none"/>
        </w:rPr>
      </w:pPr>
    </w:p>
    <w:p w14:paraId="64E4010B">
      <w:pPr>
        <w:pStyle w:val="10"/>
        <w:rPr>
          <w:rFonts w:hint="eastAsia" w:ascii="宋体" w:hAnsi="宋体" w:cs="宋体"/>
          <w:color w:val="auto"/>
          <w:highlight w:val="none"/>
        </w:rPr>
      </w:pPr>
    </w:p>
    <w:p w14:paraId="12D1CE86">
      <w:pPr>
        <w:rPr>
          <w:rFonts w:hint="eastAsia" w:ascii="宋体" w:hAnsi="宋体" w:cs="宋体"/>
          <w:b/>
          <w:color w:val="auto"/>
          <w:spacing w:val="6"/>
          <w:sz w:val="24"/>
          <w:szCs w:val="24"/>
          <w:highlight w:val="none"/>
        </w:rPr>
      </w:pPr>
      <w:bookmarkStart w:id="161" w:name="_Toc9787"/>
      <w:bookmarkStart w:id="162" w:name="_Toc13271"/>
      <w:r>
        <w:rPr>
          <w:rFonts w:hint="eastAsia" w:ascii="宋体" w:hAnsi="宋体" w:cs="宋体"/>
          <w:b/>
          <w:color w:val="auto"/>
          <w:spacing w:val="6"/>
          <w:sz w:val="24"/>
          <w:szCs w:val="24"/>
          <w:highlight w:val="none"/>
        </w:rPr>
        <w:br w:type="page"/>
      </w:r>
    </w:p>
    <w:p w14:paraId="41D664AE">
      <w:pPr>
        <w:spacing w:line="276" w:lineRule="auto"/>
        <w:jc w:val="center"/>
        <w:textAlignment w:val="baseline"/>
        <w:outlineLvl w:val="0"/>
        <w:rPr>
          <w:rFonts w:hint="eastAsia" w:ascii="宋体" w:hAnsi="宋体" w:cs="宋体"/>
          <w:b/>
          <w:color w:val="auto"/>
          <w:spacing w:val="6"/>
          <w:sz w:val="24"/>
          <w:szCs w:val="24"/>
          <w:highlight w:val="none"/>
        </w:rPr>
      </w:pPr>
      <w:bookmarkStart w:id="163" w:name="_Toc30651"/>
      <w:r>
        <w:rPr>
          <w:rFonts w:hint="eastAsia" w:ascii="宋体" w:hAnsi="宋体" w:cs="宋体"/>
          <w:b/>
          <w:color w:val="auto"/>
          <w:spacing w:val="6"/>
          <w:sz w:val="24"/>
          <w:szCs w:val="24"/>
          <w:highlight w:val="none"/>
        </w:rPr>
        <w:t>5.4项目管理及技术人员一览表</w:t>
      </w:r>
      <w:bookmarkEnd w:id="161"/>
      <w:bookmarkEnd w:id="162"/>
      <w:bookmarkEnd w:id="163"/>
    </w:p>
    <w:tbl>
      <w:tblPr>
        <w:tblStyle w:val="19"/>
        <w:tblpPr w:leftFromText="180" w:rightFromText="180" w:vertAnchor="text" w:horzAnchor="margin" w:tblpXSpec="center" w:tblpY="74"/>
        <w:tblW w:w="9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843"/>
        <w:gridCol w:w="1116"/>
        <w:gridCol w:w="1724"/>
        <w:gridCol w:w="3448"/>
        <w:gridCol w:w="1725"/>
      </w:tblGrid>
      <w:tr w14:paraId="303B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22" w:type="dxa"/>
            <w:vMerge w:val="restart"/>
            <w:vAlign w:val="center"/>
          </w:tcPr>
          <w:p w14:paraId="5ED22C5D">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本项目</w:t>
            </w:r>
          </w:p>
          <w:p w14:paraId="1D8A1BFB">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拟任职务</w:t>
            </w:r>
          </w:p>
        </w:tc>
        <w:tc>
          <w:tcPr>
            <w:tcW w:w="843" w:type="dxa"/>
            <w:vMerge w:val="restart"/>
            <w:vAlign w:val="center"/>
          </w:tcPr>
          <w:p w14:paraId="284BD2B2">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技术</w:t>
            </w:r>
          </w:p>
          <w:p w14:paraId="528CF844">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职称</w:t>
            </w:r>
          </w:p>
        </w:tc>
        <w:tc>
          <w:tcPr>
            <w:tcW w:w="8013" w:type="dxa"/>
            <w:gridSpan w:val="4"/>
            <w:vAlign w:val="center"/>
          </w:tcPr>
          <w:p w14:paraId="45B05B99">
            <w:pPr>
              <w:spacing w:line="56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执业或职业资格证明</w:t>
            </w:r>
          </w:p>
        </w:tc>
      </w:tr>
      <w:tr w14:paraId="3F38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122" w:type="dxa"/>
            <w:vMerge w:val="continue"/>
            <w:vAlign w:val="center"/>
          </w:tcPr>
          <w:p w14:paraId="133BA7A9">
            <w:pPr>
              <w:spacing w:line="560" w:lineRule="exact"/>
              <w:jc w:val="center"/>
              <w:rPr>
                <w:rFonts w:hint="eastAsia" w:ascii="宋体" w:hAnsi="宋体" w:cs="宋体"/>
                <w:color w:val="auto"/>
                <w:sz w:val="28"/>
                <w:szCs w:val="20"/>
                <w:highlight w:val="none"/>
              </w:rPr>
            </w:pPr>
          </w:p>
        </w:tc>
        <w:tc>
          <w:tcPr>
            <w:tcW w:w="843" w:type="dxa"/>
            <w:vMerge w:val="continue"/>
            <w:vAlign w:val="center"/>
          </w:tcPr>
          <w:p w14:paraId="211266AB">
            <w:pPr>
              <w:spacing w:line="560" w:lineRule="exact"/>
              <w:jc w:val="center"/>
              <w:rPr>
                <w:rFonts w:hint="eastAsia" w:ascii="宋体" w:hAnsi="宋体" w:cs="宋体"/>
                <w:color w:val="auto"/>
                <w:sz w:val="28"/>
                <w:szCs w:val="20"/>
                <w:highlight w:val="none"/>
              </w:rPr>
            </w:pPr>
          </w:p>
        </w:tc>
        <w:tc>
          <w:tcPr>
            <w:tcW w:w="1116" w:type="dxa"/>
            <w:vAlign w:val="center"/>
          </w:tcPr>
          <w:p w14:paraId="19DC6FEF">
            <w:pPr>
              <w:spacing w:line="560" w:lineRule="exact"/>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证书名称</w:t>
            </w:r>
          </w:p>
        </w:tc>
        <w:tc>
          <w:tcPr>
            <w:tcW w:w="1724" w:type="dxa"/>
            <w:vAlign w:val="center"/>
          </w:tcPr>
          <w:p w14:paraId="6C13DE36">
            <w:pPr>
              <w:spacing w:line="560" w:lineRule="exact"/>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级别</w:t>
            </w:r>
          </w:p>
        </w:tc>
        <w:tc>
          <w:tcPr>
            <w:tcW w:w="3448" w:type="dxa"/>
            <w:vAlign w:val="center"/>
          </w:tcPr>
          <w:p w14:paraId="3A948694">
            <w:pPr>
              <w:spacing w:line="560" w:lineRule="exact"/>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证号</w:t>
            </w:r>
          </w:p>
        </w:tc>
        <w:tc>
          <w:tcPr>
            <w:tcW w:w="1725" w:type="dxa"/>
            <w:vAlign w:val="center"/>
          </w:tcPr>
          <w:p w14:paraId="19805752">
            <w:pPr>
              <w:spacing w:line="560" w:lineRule="exact"/>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专业</w:t>
            </w:r>
          </w:p>
        </w:tc>
      </w:tr>
      <w:tr w14:paraId="3B0F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122" w:type="dxa"/>
            <w:vAlign w:val="center"/>
          </w:tcPr>
          <w:p w14:paraId="645C9C29">
            <w:pPr>
              <w:spacing w:line="560" w:lineRule="exact"/>
              <w:jc w:val="center"/>
              <w:rPr>
                <w:rFonts w:hint="eastAsia" w:ascii="宋体" w:hAnsi="宋体" w:cs="宋体"/>
                <w:color w:val="auto"/>
                <w:sz w:val="28"/>
                <w:szCs w:val="20"/>
                <w:highlight w:val="none"/>
              </w:rPr>
            </w:pPr>
          </w:p>
        </w:tc>
        <w:tc>
          <w:tcPr>
            <w:tcW w:w="843" w:type="dxa"/>
            <w:vAlign w:val="center"/>
          </w:tcPr>
          <w:p w14:paraId="753565B7">
            <w:pPr>
              <w:spacing w:line="560" w:lineRule="exact"/>
              <w:jc w:val="center"/>
              <w:rPr>
                <w:rFonts w:hint="eastAsia" w:ascii="宋体" w:hAnsi="宋体" w:cs="宋体"/>
                <w:color w:val="auto"/>
                <w:sz w:val="28"/>
                <w:szCs w:val="20"/>
                <w:highlight w:val="none"/>
              </w:rPr>
            </w:pPr>
          </w:p>
        </w:tc>
        <w:tc>
          <w:tcPr>
            <w:tcW w:w="1116" w:type="dxa"/>
            <w:vAlign w:val="center"/>
          </w:tcPr>
          <w:p w14:paraId="058178A0">
            <w:pPr>
              <w:spacing w:line="560" w:lineRule="exact"/>
              <w:jc w:val="center"/>
              <w:rPr>
                <w:rFonts w:hint="eastAsia" w:ascii="宋体" w:hAnsi="宋体" w:cs="宋体"/>
                <w:color w:val="auto"/>
                <w:sz w:val="28"/>
                <w:szCs w:val="20"/>
                <w:highlight w:val="none"/>
              </w:rPr>
            </w:pPr>
          </w:p>
        </w:tc>
        <w:tc>
          <w:tcPr>
            <w:tcW w:w="1724" w:type="dxa"/>
            <w:vAlign w:val="center"/>
          </w:tcPr>
          <w:p w14:paraId="404B396F">
            <w:pPr>
              <w:spacing w:line="560" w:lineRule="exact"/>
              <w:jc w:val="center"/>
              <w:rPr>
                <w:rFonts w:hint="eastAsia" w:ascii="宋体" w:hAnsi="宋体" w:cs="宋体"/>
                <w:color w:val="auto"/>
                <w:sz w:val="28"/>
                <w:szCs w:val="20"/>
                <w:highlight w:val="none"/>
              </w:rPr>
            </w:pPr>
          </w:p>
        </w:tc>
        <w:tc>
          <w:tcPr>
            <w:tcW w:w="3448" w:type="dxa"/>
            <w:vAlign w:val="center"/>
          </w:tcPr>
          <w:p w14:paraId="6CAA07DC">
            <w:pPr>
              <w:spacing w:line="560" w:lineRule="exact"/>
              <w:jc w:val="center"/>
              <w:rPr>
                <w:rFonts w:hint="eastAsia" w:ascii="宋体" w:hAnsi="宋体" w:cs="宋体"/>
                <w:color w:val="auto"/>
                <w:sz w:val="28"/>
                <w:szCs w:val="20"/>
                <w:highlight w:val="none"/>
              </w:rPr>
            </w:pPr>
          </w:p>
        </w:tc>
        <w:tc>
          <w:tcPr>
            <w:tcW w:w="1725" w:type="dxa"/>
            <w:vAlign w:val="center"/>
          </w:tcPr>
          <w:p w14:paraId="5D097055">
            <w:pPr>
              <w:spacing w:line="560" w:lineRule="exact"/>
              <w:jc w:val="center"/>
              <w:rPr>
                <w:rFonts w:hint="eastAsia" w:ascii="宋体" w:hAnsi="宋体" w:cs="宋体"/>
                <w:color w:val="auto"/>
                <w:sz w:val="28"/>
                <w:szCs w:val="20"/>
                <w:highlight w:val="none"/>
              </w:rPr>
            </w:pPr>
          </w:p>
        </w:tc>
      </w:tr>
      <w:tr w14:paraId="3309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122" w:type="dxa"/>
            <w:vAlign w:val="center"/>
          </w:tcPr>
          <w:p w14:paraId="119E7C16">
            <w:pPr>
              <w:spacing w:line="560" w:lineRule="exact"/>
              <w:jc w:val="center"/>
              <w:rPr>
                <w:rFonts w:hint="eastAsia" w:ascii="宋体" w:hAnsi="宋体" w:cs="宋体"/>
                <w:color w:val="auto"/>
                <w:sz w:val="28"/>
                <w:szCs w:val="20"/>
                <w:highlight w:val="none"/>
              </w:rPr>
            </w:pPr>
          </w:p>
        </w:tc>
        <w:tc>
          <w:tcPr>
            <w:tcW w:w="843" w:type="dxa"/>
            <w:vAlign w:val="center"/>
          </w:tcPr>
          <w:p w14:paraId="65350941">
            <w:pPr>
              <w:spacing w:line="560" w:lineRule="exact"/>
              <w:jc w:val="center"/>
              <w:rPr>
                <w:rFonts w:hint="eastAsia" w:ascii="宋体" w:hAnsi="宋体" w:cs="宋体"/>
                <w:color w:val="auto"/>
                <w:sz w:val="28"/>
                <w:szCs w:val="20"/>
                <w:highlight w:val="none"/>
              </w:rPr>
            </w:pPr>
          </w:p>
        </w:tc>
        <w:tc>
          <w:tcPr>
            <w:tcW w:w="1116" w:type="dxa"/>
            <w:vAlign w:val="center"/>
          </w:tcPr>
          <w:p w14:paraId="3BFF656F">
            <w:pPr>
              <w:spacing w:line="560" w:lineRule="exact"/>
              <w:jc w:val="center"/>
              <w:rPr>
                <w:rFonts w:hint="eastAsia" w:ascii="宋体" w:hAnsi="宋体" w:cs="宋体"/>
                <w:color w:val="auto"/>
                <w:sz w:val="28"/>
                <w:szCs w:val="20"/>
                <w:highlight w:val="none"/>
              </w:rPr>
            </w:pPr>
          </w:p>
        </w:tc>
        <w:tc>
          <w:tcPr>
            <w:tcW w:w="1724" w:type="dxa"/>
            <w:vAlign w:val="center"/>
          </w:tcPr>
          <w:p w14:paraId="71103C94">
            <w:pPr>
              <w:spacing w:line="560" w:lineRule="exact"/>
              <w:jc w:val="center"/>
              <w:rPr>
                <w:rFonts w:hint="eastAsia" w:ascii="宋体" w:hAnsi="宋体" w:cs="宋体"/>
                <w:color w:val="auto"/>
                <w:sz w:val="28"/>
                <w:szCs w:val="20"/>
                <w:highlight w:val="none"/>
              </w:rPr>
            </w:pPr>
          </w:p>
        </w:tc>
        <w:tc>
          <w:tcPr>
            <w:tcW w:w="3448" w:type="dxa"/>
            <w:vAlign w:val="center"/>
          </w:tcPr>
          <w:p w14:paraId="5CC8305F">
            <w:pPr>
              <w:spacing w:line="560" w:lineRule="exact"/>
              <w:jc w:val="center"/>
              <w:rPr>
                <w:rFonts w:hint="eastAsia" w:ascii="宋体" w:hAnsi="宋体" w:cs="宋体"/>
                <w:color w:val="auto"/>
                <w:sz w:val="28"/>
                <w:szCs w:val="20"/>
                <w:highlight w:val="none"/>
              </w:rPr>
            </w:pPr>
          </w:p>
        </w:tc>
        <w:tc>
          <w:tcPr>
            <w:tcW w:w="1725" w:type="dxa"/>
            <w:vAlign w:val="center"/>
          </w:tcPr>
          <w:p w14:paraId="21B2AC3B">
            <w:pPr>
              <w:spacing w:line="560" w:lineRule="exact"/>
              <w:jc w:val="center"/>
              <w:rPr>
                <w:rFonts w:hint="eastAsia" w:ascii="宋体" w:hAnsi="宋体" w:cs="宋体"/>
                <w:color w:val="auto"/>
                <w:sz w:val="28"/>
                <w:szCs w:val="20"/>
                <w:highlight w:val="none"/>
              </w:rPr>
            </w:pPr>
          </w:p>
        </w:tc>
      </w:tr>
      <w:tr w14:paraId="6FAD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122" w:type="dxa"/>
            <w:vAlign w:val="center"/>
          </w:tcPr>
          <w:p w14:paraId="556AA54C">
            <w:pPr>
              <w:spacing w:line="560" w:lineRule="exact"/>
              <w:jc w:val="center"/>
              <w:rPr>
                <w:rFonts w:hint="eastAsia" w:ascii="宋体" w:hAnsi="宋体" w:cs="宋体"/>
                <w:color w:val="auto"/>
                <w:sz w:val="28"/>
                <w:szCs w:val="20"/>
                <w:highlight w:val="none"/>
              </w:rPr>
            </w:pPr>
          </w:p>
        </w:tc>
        <w:tc>
          <w:tcPr>
            <w:tcW w:w="843" w:type="dxa"/>
            <w:vAlign w:val="center"/>
          </w:tcPr>
          <w:p w14:paraId="544633BD">
            <w:pPr>
              <w:spacing w:line="560" w:lineRule="exact"/>
              <w:jc w:val="center"/>
              <w:rPr>
                <w:rFonts w:hint="eastAsia" w:ascii="宋体" w:hAnsi="宋体" w:cs="宋体"/>
                <w:color w:val="auto"/>
                <w:sz w:val="28"/>
                <w:szCs w:val="20"/>
                <w:highlight w:val="none"/>
              </w:rPr>
            </w:pPr>
          </w:p>
        </w:tc>
        <w:tc>
          <w:tcPr>
            <w:tcW w:w="1116" w:type="dxa"/>
            <w:vAlign w:val="center"/>
          </w:tcPr>
          <w:p w14:paraId="4311E79D">
            <w:pPr>
              <w:spacing w:line="560" w:lineRule="exact"/>
              <w:jc w:val="center"/>
              <w:rPr>
                <w:rFonts w:hint="eastAsia" w:ascii="宋体" w:hAnsi="宋体" w:cs="宋体"/>
                <w:color w:val="auto"/>
                <w:sz w:val="28"/>
                <w:szCs w:val="20"/>
                <w:highlight w:val="none"/>
              </w:rPr>
            </w:pPr>
          </w:p>
        </w:tc>
        <w:tc>
          <w:tcPr>
            <w:tcW w:w="1724" w:type="dxa"/>
            <w:vAlign w:val="center"/>
          </w:tcPr>
          <w:p w14:paraId="5C703D5C">
            <w:pPr>
              <w:spacing w:line="560" w:lineRule="exact"/>
              <w:jc w:val="center"/>
              <w:rPr>
                <w:rFonts w:hint="eastAsia" w:ascii="宋体" w:hAnsi="宋体" w:cs="宋体"/>
                <w:color w:val="auto"/>
                <w:sz w:val="28"/>
                <w:szCs w:val="20"/>
                <w:highlight w:val="none"/>
              </w:rPr>
            </w:pPr>
          </w:p>
        </w:tc>
        <w:tc>
          <w:tcPr>
            <w:tcW w:w="3448" w:type="dxa"/>
            <w:vAlign w:val="center"/>
          </w:tcPr>
          <w:p w14:paraId="133BFB1D">
            <w:pPr>
              <w:spacing w:line="560" w:lineRule="exact"/>
              <w:jc w:val="center"/>
              <w:rPr>
                <w:rFonts w:hint="eastAsia" w:ascii="宋体" w:hAnsi="宋体" w:cs="宋体"/>
                <w:color w:val="auto"/>
                <w:sz w:val="28"/>
                <w:szCs w:val="20"/>
                <w:highlight w:val="none"/>
              </w:rPr>
            </w:pPr>
          </w:p>
        </w:tc>
        <w:tc>
          <w:tcPr>
            <w:tcW w:w="1725" w:type="dxa"/>
            <w:vAlign w:val="center"/>
          </w:tcPr>
          <w:p w14:paraId="19D74159">
            <w:pPr>
              <w:spacing w:line="560" w:lineRule="exact"/>
              <w:jc w:val="center"/>
              <w:rPr>
                <w:rFonts w:hint="eastAsia" w:ascii="宋体" w:hAnsi="宋体" w:cs="宋体"/>
                <w:color w:val="auto"/>
                <w:sz w:val="28"/>
                <w:szCs w:val="20"/>
                <w:highlight w:val="none"/>
              </w:rPr>
            </w:pPr>
          </w:p>
        </w:tc>
      </w:tr>
      <w:tr w14:paraId="7A91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122" w:type="dxa"/>
            <w:vAlign w:val="center"/>
          </w:tcPr>
          <w:p w14:paraId="0009B707">
            <w:pPr>
              <w:spacing w:line="560" w:lineRule="exact"/>
              <w:jc w:val="center"/>
              <w:rPr>
                <w:rFonts w:hint="eastAsia" w:ascii="宋体" w:hAnsi="宋体" w:cs="宋体"/>
                <w:color w:val="auto"/>
                <w:sz w:val="28"/>
                <w:szCs w:val="20"/>
                <w:highlight w:val="none"/>
              </w:rPr>
            </w:pPr>
          </w:p>
        </w:tc>
        <w:tc>
          <w:tcPr>
            <w:tcW w:w="843" w:type="dxa"/>
            <w:vAlign w:val="center"/>
          </w:tcPr>
          <w:p w14:paraId="08C07CEC">
            <w:pPr>
              <w:spacing w:line="560" w:lineRule="exact"/>
              <w:jc w:val="center"/>
              <w:rPr>
                <w:rFonts w:hint="eastAsia" w:ascii="宋体" w:hAnsi="宋体" w:cs="宋体"/>
                <w:color w:val="auto"/>
                <w:sz w:val="28"/>
                <w:szCs w:val="20"/>
                <w:highlight w:val="none"/>
              </w:rPr>
            </w:pPr>
          </w:p>
        </w:tc>
        <w:tc>
          <w:tcPr>
            <w:tcW w:w="1116" w:type="dxa"/>
            <w:vAlign w:val="center"/>
          </w:tcPr>
          <w:p w14:paraId="7FE4CABD">
            <w:pPr>
              <w:spacing w:line="560" w:lineRule="exact"/>
              <w:jc w:val="center"/>
              <w:rPr>
                <w:rFonts w:hint="eastAsia" w:ascii="宋体" w:hAnsi="宋体" w:cs="宋体"/>
                <w:color w:val="auto"/>
                <w:sz w:val="28"/>
                <w:szCs w:val="20"/>
                <w:highlight w:val="none"/>
              </w:rPr>
            </w:pPr>
          </w:p>
        </w:tc>
        <w:tc>
          <w:tcPr>
            <w:tcW w:w="1724" w:type="dxa"/>
            <w:vAlign w:val="center"/>
          </w:tcPr>
          <w:p w14:paraId="32B39A55">
            <w:pPr>
              <w:spacing w:line="560" w:lineRule="exact"/>
              <w:jc w:val="center"/>
              <w:rPr>
                <w:rFonts w:hint="eastAsia" w:ascii="宋体" w:hAnsi="宋体" w:cs="宋体"/>
                <w:color w:val="auto"/>
                <w:sz w:val="28"/>
                <w:szCs w:val="20"/>
                <w:highlight w:val="none"/>
              </w:rPr>
            </w:pPr>
          </w:p>
        </w:tc>
        <w:tc>
          <w:tcPr>
            <w:tcW w:w="3448" w:type="dxa"/>
            <w:vAlign w:val="center"/>
          </w:tcPr>
          <w:p w14:paraId="21FA413C">
            <w:pPr>
              <w:spacing w:line="560" w:lineRule="exact"/>
              <w:jc w:val="center"/>
              <w:rPr>
                <w:rFonts w:hint="eastAsia" w:ascii="宋体" w:hAnsi="宋体" w:cs="宋体"/>
                <w:color w:val="auto"/>
                <w:sz w:val="28"/>
                <w:szCs w:val="20"/>
                <w:highlight w:val="none"/>
              </w:rPr>
            </w:pPr>
          </w:p>
        </w:tc>
        <w:tc>
          <w:tcPr>
            <w:tcW w:w="1725" w:type="dxa"/>
            <w:vAlign w:val="center"/>
          </w:tcPr>
          <w:p w14:paraId="481292DB">
            <w:pPr>
              <w:spacing w:line="560" w:lineRule="exact"/>
              <w:jc w:val="center"/>
              <w:rPr>
                <w:rFonts w:hint="eastAsia" w:ascii="宋体" w:hAnsi="宋体" w:cs="宋体"/>
                <w:color w:val="auto"/>
                <w:sz w:val="28"/>
                <w:szCs w:val="20"/>
                <w:highlight w:val="none"/>
              </w:rPr>
            </w:pPr>
          </w:p>
        </w:tc>
      </w:tr>
      <w:tr w14:paraId="632E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122" w:type="dxa"/>
            <w:vAlign w:val="center"/>
          </w:tcPr>
          <w:p w14:paraId="109840CF">
            <w:pPr>
              <w:spacing w:line="560" w:lineRule="exact"/>
              <w:jc w:val="center"/>
              <w:rPr>
                <w:rFonts w:hint="eastAsia" w:ascii="宋体" w:hAnsi="宋体" w:cs="宋体"/>
                <w:color w:val="auto"/>
                <w:sz w:val="28"/>
                <w:szCs w:val="20"/>
                <w:highlight w:val="none"/>
              </w:rPr>
            </w:pPr>
          </w:p>
        </w:tc>
        <w:tc>
          <w:tcPr>
            <w:tcW w:w="843" w:type="dxa"/>
            <w:vAlign w:val="center"/>
          </w:tcPr>
          <w:p w14:paraId="1D84EE6C">
            <w:pPr>
              <w:spacing w:line="560" w:lineRule="exact"/>
              <w:jc w:val="center"/>
              <w:rPr>
                <w:rFonts w:hint="eastAsia" w:ascii="宋体" w:hAnsi="宋体" w:cs="宋体"/>
                <w:color w:val="auto"/>
                <w:sz w:val="28"/>
                <w:szCs w:val="20"/>
                <w:highlight w:val="none"/>
              </w:rPr>
            </w:pPr>
          </w:p>
        </w:tc>
        <w:tc>
          <w:tcPr>
            <w:tcW w:w="1116" w:type="dxa"/>
            <w:vAlign w:val="center"/>
          </w:tcPr>
          <w:p w14:paraId="021E3FD0">
            <w:pPr>
              <w:spacing w:line="560" w:lineRule="exact"/>
              <w:jc w:val="center"/>
              <w:rPr>
                <w:rFonts w:hint="eastAsia" w:ascii="宋体" w:hAnsi="宋体" w:cs="宋体"/>
                <w:color w:val="auto"/>
                <w:sz w:val="28"/>
                <w:szCs w:val="20"/>
                <w:highlight w:val="none"/>
              </w:rPr>
            </w:pPr>
          </w:p>
        </w:tc>
        <w:tc>
          <w:tcPr>
            <w:tcW w:w="1724" w:type="dxa"/>
            <w:vAlign w:val="center"/>
          </w:tcPr>
          <w:p w14:paraId="590D10D3">
            <w:pPr>
              <w:spacing w:line="560" w:lineRule="exact"/>
              <w:jc w:val="center"/>
              <w:rPr>
                <w:rFonts w:hint="eastAsia" w:ascii="宋体" w:hAnsi="宋体" w:cs="宋体"/>
                <w:color w:val="auto"/>
                <w:sz w:val="28"/>
                <w:szCs w:val="20"/>
                <w:highlight w:val="none"/>
              </w:rPr>
            </w:pPr>
          </w:p>
        </w:tc>
        <w:tc>
          <w:tcPr>
            <w:tcW w:w="3448" w:type="dxa"/>
            <w:vAlign w:val="center"/>
          </w:tcPr>
          <w:p w14:paraId="52499EBC">
            <w:pPr>
              <w:spacing w:line="560" w:lineRule="exact"/>
              <w:jc w:val="center"/>
              <w:rPr>
                <w:rFonts w:hint="eastAsia" w:ascii="宋体" w:hAnsi="宋体" w:cs="宋体"/>
                <w:color w:val="auto"/>
                <w:sz w:val="28"/>
                <w:szCs w:val="20"/>
                <w:highlight w:val="none"/>
              </w:rPr>
            </w:pPr>
          </w:p>
        </w:tc>
        <w:tc>
          <w:tcPr>
            <w:tcW w:w="1725" w:type="dxa"/>
            <w:vAlign w:val="center"/>
          </w:tcPr>
          <w:p w14:paraId="23E2BD4C">
            <w:pPr>
              <w:spacing w:line="560" w:lineRule="exact"/>
              <w:jc w:val="center"/>
              <w:rPr>
                <w:rFonts w:hint="eastAsia" w:ascii="宋体" w:hAnsi="宋体" w:cs="宋体"/>
                <w:color w:val="auto"/>
                <w:sz w:val="28"/>
                <w:szCs w:val="20"/>
                <w:highlight w:val="none"/>
              </w:rPr>
            </w:pPr>
          </w:p>
        </w:tc>
      </w:tr>
      <w:tr w14:paraId="631E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22" w:type="dxa"/>
            <w:vAlign w:val="center"/>
          </w:tcPr>
          <w:p w14:paraId="27E335F4">
            <w:pPr>
              <w:spacing w:line="560" w:lineRule="exact"/>
              <w:jc w:val="center"/>
              <w:rPr>
                <w:rFonts w:hint="eastAsia" w:ascii="宋体" w:hAnsi="宋体" w:cs="宋体"/>
                <w:color w:val="auto"/>
                <w:sz w:val="28"/>
                <w:szCs w:val="20"/>
                <w:highlight w:val="none"/>
              </w:rPr>
            </w:pPr>
          </w:p>
        </w:tc>
        <w:tc>
          <w:tcPr>
            <w:tcW w:w="843" w:type="dxa"/>
            <w:vAlign w:val="center"/>
          </w:tcPr>
          <w:p w14:paraId="0DA9E108">
            <w:pPr>
              <w:spacing w:line="560" w:lineRule="exact"/>
              <w:jc w:val="center"/>
              <w:rPr>
                <w:rFonts w:hint="eastAsia" w:ascii="宋体" w:hAnsi="宋体" w:cs="宋体"/>
                <w:color w:val="auto"/>
                <w:sz w:val="28"/>
                <w:szCs w:val="20"/>
                <w:highlight w:val="none"/>
              </w:rPr>
            </w:pPr>
          </w:p>
        </w:tc>
        <w:tc>
          <w:tcPr>
            <w:tcW w:w="1116" w:type="dxa"/>
            <w:vAlign w:val="center"/>
          </w:tcPr>
          <w:p w14:paraId="1CB04F22">
            <w:pPr>
              <w:spacing w:line="560" w:lineRule="exact"/>
              <w:jc w:val="center"/>
              <w:rPr>
                <w:rFonts w:hint="eastAsia" w:ascii="宋体" w:hAnsi="宋体" w:cs="宋体"/>
                <w:color w:val="auto"/>
                <w:sz w:val="28"/>
                <w:szCs w:val="20"/>
                <w:highlight w:val="none"/>
              </w:rPr>
            </w:pPr>
          </w:p>
        </w:tc>
        <w:tc>
          <w:tcPr>
            <w:tcW w:w="1724" w:type="dxa"/>
            <w:vAlign w:val="center"/>
          </w:tcPr>
          <w:p w14:paraId="7A45EBB3">
            <w:pPr>
              <w:spacing w:line="560" w:lineRule="exact"/>
              <w:jc w:val="center"/>
              <w:rPr>
                <w:rFonts w:hint="eastAsia" w:ascii="宋体" w:hAnsi="宋体" w:cs="宋体"/>
                <w:color w:val="auto"/>
                <w:sz w:val="28"/>
                <w:szCs w:val="20"/>
                <w:highlight w:val="none"/>
              </w:rPr>
            </w:pPr>
          </w:p>
        </w:tc>
        <w:tc>
          <w:tcPr>
            <w:tcW w:w="3448" w:type="dxa"/>
            <w:vAlign w:val="center"/>
          </w:tcPr>
          <w:p w14:paraId="4D094606">
            <w:pPr>
              <w:spacing w:line="560" w:lineRule="exact"/>
              <w:jc w:val="center"/>
              <w:rPr>
                <w:rFonts w:hint="eastAsia" w:ascii="宋体" w:hAnsi="宋体" w:cs="宋体"/>
                <w:color w:val="auto"/>
                <w:sz w:val="28"/>
                <w:szCs w:val="20"/>
                <w:highlight w:val="none"/>
              </w:rPr>
            </w:pPr>
          </w:p>
        </w:tc>
        <w:tc>
          <w:tcPr>
            <w:tcW w:w="1725" w:type="dxa"/>
            <w:vAlign w:val="center"/>
          </w:tcPr>
          <w:p w14:paraId="69176712">
            <w:pPr>
              <w:spacing w:line="560" w:lineRule="exact"/>
              <w:jc w:val="center"/>
              <w:rPr>
                <w:rFonts w:hint="eastAsia" w:ascii="宋体" w:hAnsi="宋体" w:cs="宋体"/>
                <w:color w:val="auto"/>
                <w:sz w:val="28"/>
                <w:szCs w:val="20"/>
                <w:highlight w:val="none"/>
              </w:rPr>
            </w:pPr>
          </w:p>
        </w:tc>
      </w:tr>
    </w:tbl>
    <w:p w14:paraId="28DDAA41">
      <w:pPr>
        <w:spacing w:line="560" w:lineRule="exact"/>
        <w:ind w:right="105" w:rightChars="50"/>
        <w:rPr>
          <w:rFonts w:hint="eastAsia" w:ascii="宋体" w:hAnsi="宋体" w:cs="宋体"/>
          <w:color w:val="auto"/>
          <w:sz w:val="32"/>
          <w:szCs w:val="20"/>
          <w:highlight w:val="none"/>
        </w:rPr>
      </w:pPr>
      <w:r>
        <w:rPr>
          <w:rFonts w:hint="eastAsia" w:ascii="宋体" w:hAnsi="宋体" w:cs="宋体"/>
          <w:color w:val="auto"/>
          <w:sz w:val="24"/>
          <w:szCs w:val="24"/>
          <w:highlight w:val="none"/>
        </w:rPr>
        <w:t>注：附人员注册证书或学历等有效证明材料。</w:t>
      </w:r>
    </w:p>
    <w:p w14:paraId="038A1E51">
      <w:pPr>
        <w:spacing w:line="360" w:lineRule="auto"/>
        <w:rPr>
          <w:rFonts w:hint="eastAsia" w:ascii="宋体" w:hAnsi="宋体" w:cs="宋体"/>
          <w:b/>
          <w:bCs/>
          <w:color w:val="auto"/>
          <w:sz w:val="24"/>
          <w:szCs w:val="24"/>
          <w:highlight w:val="none"/>
        </w:rPr>
      </w:pPr>
    </w:p>
    <w:p w14:paraId="3A3F4759">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投标供应商(盖章)：</w:t>
      </w:r>
    </w:p>
    <w:p w14:paraId="144A758A">
      <w:pPr>
        <w:spacing w:line="360" w:lineRule="auto"/>
        <w:ind w:firstLine="4200" w:firstLineChars="175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法定代表人或其委托代理人(签字或盖章)：</w:t>
      </w:r>
    </w:p>
    <w:p w14:paraId="7678F104">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4916790B">
      <w:pPr>
        <w:spacing w:line="360" w:lineRule="auto"/>
        <w:rPr>
          <w:rFonts w:hint="eastAsia" w:ascii="宋体" w:hAnsi="宋体" w:cs="宋体"/>
          <w:b/>
          <w:bCs/>
          <w:color w:val="auto"/>
          <w:sz w:val="24"/>
          <w:szCs w:val="24"/>
          <w:highlight w:val="none"/>
        </w:rPr>
      </w:pPr>
    </w:p>
    <w:p w14:paraId="67CA5E43">
      <w:pPr>
        <w:spacing w:line="360" w:lineRule="auto"/>
        <w:rPr>
          <w:rFonts w:hint="eastAsia" w:ascii="宋体" w:hAnsi="宋体" w:cs="宋体"/>
          <w:b/>
          <w:bCs/>
          <w:color w:val="auto"/>
          <w:sz w:val="24"/>
          <w:szCs w:val="24"/>
          <w:highlight w:val="none"/>
        </w:rPr>
      </w:pPr>
    </w:p>
    <w:p w14:paraId="3DB0E781">
      <w:pP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br w:type="page"/>
      </w:r>
    </w:p>
    <w:p w14:paraId="441E8A1F">
      <w:pPr>
        <w:spacing w:before="53" w:line="360" w:lineRule="auto"/>
        <w:jc w:val="both"/>
        <w:outlineLvl w:val="2"/>
        <w:rPr>
          <w:rFonts w:ascii="Times New Roman" w:hAnsi="Times New Roman"/>
          <w:b/>
          <w:bCs/>
          <w:color w:val="auto"/>
          <w:sz w:val="24"/>
          <w:szCs w:val="30"/>
          <w:highlight w:val="none"/>
          <w:lang w:val="zh-CN" w:bidi="zh-CN"/>
        </w:rPr>
      </w:pPr>
      <w:r>
        <w:rPr>
          <w:rFonts w:hint="eastAsia" w:ascii="宋体" w:hAnsi="宋体" w:cs="宋体"/>
          <w:b/>
          <w:bCs/>
          <w:color w:val="auto"/>
          <w:sz w:val="24"/>
          <w:szCs w:val="24"/>
          <w:highlight w:val="none"/>
          <w:lang w:val="en-US" w:eastAsia="zh-CN"/>
        </w:rPr>
        <w:t>5.5</w:t>
      </w:r>
      <w:r>
        <w:rPr>
          <w:rFonts w:hint="eastAsia" w:ascii="Times New Roman" w:hAnsi="Times New Roman"/>
          <w:b/>
          <w:bCs/>
          <w:color w:val="auto"/>
          <w:sz w:val="24"/>
          <w:szCs w:val="30"/>
          <w:highlight w:val="none"/>
          <w:lang w:val="zh-CN" w:bidi="zh-CN"/>
        </w:rPr>
        <w:t>近年财务状况表</w:t>
      </w:r>
    </w:p>
    <w:p w14:paraId="66EDCBF7">
      <w:pPr>
        <w:spacing w:line="360" w:lineRule="auto"/>
        <w:ind w:firstLine="566" w:firstLineChars="236"/>
        <w:rPr>
          <w:rFonts w:ascii="Times New Roman" w:hAnsi="Times New Roman"/>
          <w:color w:val="auto"/>
          <w:sz w:val="24"/>
          <w:szCs w:val="24"/>
          <w:highlight w:val="none"/>
        </w:rPr>
      </w:pPr>
      <w:r>
        <w:rPr>
          <w:rFonts w:hint="eastAsia" w:ascii="Times New Roman" w:hAnsi="Times New Roman"/>
          <w:color w:val="auto"/>
          <w:sz w:val="24"/>
          <w:szCs w:val="24"/>
          <w:highlight w:val="none"/>
        </w:rPr>
        <w:t>“近年财务状况表”应提供2024年经审计的财务状况报告（成立时间不足一年的，可提供成立时间至当前时间节点的财务状况报告）。</w:t>
      </w:r>
    </w:p>
    <w:p w14:paraId="209CBB32">
      <w:pPr>
        <w:spacing w:line="360" w:lineRule="auto"/>
        <w:rPr>
          <w:rFonts w:hint="default" w:ascii="宋体" w:hAnsi="宋体" w:eastAsia="宋体" w:cs="宋体"/>
          <w:b/>
          <w:bCs/>
          <w:color w:val="auto"/>
          <w:sz w:val="24"/>
          <w:szCs w:val="24"/>
          <w:highlight w:val="none"/>
          <w:lang w:val="en-US" w:eastAsia="zh-CN"/>
        </w:rPr>
      </w:pPr>
    </w:p>
    <w:p w14:paraId="675433F1">
      <w:pPr>
        <w:rPr>
          <w:rFonts w:hint="eastAsia" w:ascii="宋体" w:hAnsi="宋体" w:eastAsia="宋体"/>
          <w:color w:val="auto"/>
          <w:highlight w:val="none"/>
        </w:rPr>
      </w:pPr>
      <w:r>
        <w:rPr>
          <w:rFonts w:hint="eastAsia" w:ascii="宋体" w:hAnsi="宋体" w:eastAsia="宋体"/>
          <w:color w:val="auto"/>
          <w:highlight w:val="none"/>
        </w:rPr>
        <w:br w:type="page"/>
      </w:r>
    </w:p>
    <w:p w14:paraId="2F80521B">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六</w:t>
      </w:r>
      <w:r>
        <w:rPr>
          <w:rFonts w:hint="eastAsia" w:ascii="宋体" w:hAnsi="宋体" w:cs="宋体"/>
          <w:b/>
          <w:bCs/>
          <w:color w:val="auto"/>
          <w:sz w:val="28"/>
          <w:szCs w:val="28"/>
          <w:highlight w:val="none"/>
        </w:rPr>
        <w:t>、投标承诺函</w:t>
      </w:r>
    </w:p>
    <w:p w14:paraId="20791A46">
      <w:pPr>
        <w:spacing w:line="360" w:lineRule="auto"/>
        <w:rPr>
          <w:rFonts w:hint="eastAsia" w:ascii="宋体" w:hAnsi="宋体" w:cs="宋体"/>
          <w:b/>
          <w:color w:val="auto"/>
          <w:sz w:val="28"/>
          <w:szCs w:val="28"/>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p>
    <w:p w14:paraId="5CF046A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我公司作为本次采购项目的投标供应商，根据招标文件要求，现郑重承诺如下：</w:t>
      </w:r>
    </w:p>
    <w:p w14:paraId="308E7AB4">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1.我方完全接受和满足本项目招标文件中规定的实质性要求，不存在对招标文件有异议的同时参加本次采购活动。</w:t>
      </w:r>
    </w:p>
    <w:p w14:paraId="61D39EA1">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2.参加本次采购活动，不存在与单位负责人为同一人或者存在直接控股、管理关系的其他供应商参与同一合同项下的政府采购活动的行为。</w:t>
      </w:r>
    </w:p>
    <w:p w14:paraId="3BA76E63">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3.我方参加政府采购活动无商业贿赂和不正当竞争行为。</w:t>
      </w:r>
    </w:p>
    <w:p w14:paraId="1373C17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4.存在以下行为之一的愿意接受相关部门的处理：</w:t>
      </w:r>
    </w:p>
    <w:p w14:paraId="7AC68BC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（1）投标有效期内撤回投标文件的；</w:t>
      </w:r>
    </w:p>
    <w:p w14:paraId="66D4D731">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（2）在采购人确定中标供应商以前放弃中标候选资格的；</w:t>
      </w:r>
    </w:p>
    <w:p w14:paraId="7A78EBA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（3）除不可抗力的因素外，由于中标供应商的原因未能按照招标文件的规定与采购人签订合同；</w:t>
      </w:r>
    </w:p>
    <w:p w14:paraId="6310D106">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（4）在招标文件中提供虚假材料谋取中标；</w:t>
      </w:r>
    </w:p>
    <w:p w14:paraId="6DF35894">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（5）与采购人、其他供应商或者采购代理机构恶意串通的；</w:t>
      </w:r>
    </w:p>
    <w:p w14:paraId="1F885206">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（6）投标有效期内，投标供应商在政府采购活动中有违法、违规、违纪行为。</w:t>
      </w:r>
    </w:p>
    <w:p w14:paraId="408B0DA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由此产生的一切法律后果和责任由我公司承担。我公司声明放弃对此提出任何异议和追索的权利。</w:t>
      </w:r>
    </w:p>
    <w:p w14:paraId="1D174F25">
      <w:pPr>
        <w:spacing w:line="360" w:lineRule="auto"/>
        <w:ind w:firstLine="480"/>
        <w:rPr>
          <w:rFonts w:hint="eastAsia" w:ascii="宋体" w:hAnsi="宋体" w:cs="宋体"/>
          <w:b/>
          <w:bCs/>
          <w:color w:val="auto"/>
          <w:kern w:val="0"/>
          <w:sz w:val="30"/>
          <w:highlight w:val="none"/>
          <w:shd w:val="clear" w:color="auto" w:fill="FFFFFF"/>
        </w:rPr>
      </w:pPr>
      <w:r>
        <w:rPr>
          <w:rFonts w:hint="eastAsia" w:ascii="宋体" w:hAnsi="宋体" w:cs="宋体"/>
          <w:color w:val="auto"/>
          <w:sz w:val="24"/>
          <w:szCs w:val="24"/>
          <w:highlight w:val="none"/>
        </w:rPr>
        <w:t>本公司对上述承诺的内容事项真实性负责。如经查实上述承诺的内容事项存在虚假，我公司愿意接受以提供虚假材料谋取中标追究法律责任。 </w:t>
      </w:r>
      <w:r>
        <w:rPr>
          <w:rFonts w:hint="eastAsia" w:ascii="宋体" w:hAnsi="宋体" w:cs="宋体"/>
          <w:color w:val="auto"/>
          <w:kern w:val="1"/>
          <w:sz w:val="24"/>
          <w:highlight w:val="none"/>
        </w:rPr>
        <w:t>   </w:t>
      </w:r>
    </w:p>
    <w:p w14:paraId="712DC021">
      <w:pPr>
        <w:spacing w:line="360" w:lineRule="auto"/>
        <w:jc w:val="center"/>
        <w:rPr>
          <w:rFonts w:hint="eastAsia" w:ascii="宋体" w:hAnsi="宋体" w:cs="宋体"/>
          <w:b/>
          <w:bCs/>
          <w:color w:val="auto"/>
          <w:sz w:val="24"/>
          <w:szCs w:val="24"/>
          <w:highlight w:val="none"/>
        </w:rPr>
      </w:pPr>
    </w:p>
    <w:p w14:paraId="405B9D41">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投标供应商(盖章)：</w:t>
      </w:r>
    </w:p>
    <w:p w14:paraId="660DE19A">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法定代表人或其委托代理人(签字或盖章)：</w:t>
      </w:r>
    </w:p>
    <w:p w14:paraId="508137E8">
      <w:pPr>
        <w:spacing w:line="360" w:lineRule="auto"/>
        <w:ind w:firstLine="4200" w:firstLineChars="1750"/>
        <w:rPr>
          <w:rFonts w:hint="eastAsia" w:ascii="宋体" w:hAnsi="宋体" w:cs="宋体"/>
          <w:color w:val="auto"/>
          <w:sz w:val="24"/>
          <w:szCs w:val="24"/>
          <w:highlight w:val="none"/>
        </w:rPr>
      </w:pPr>
      <w:r>
        <w:rPr>
          <w:rFonts w:hint="eastAsia" w:ascii="宋体" w:hAnsi="宋体" w:cs="宋体"/>
          <w:color w:val="auto"/>
          <w:sz w:val="24"/>
          <w:szCs w:val="24"/>
          <w:highlight w:val="none"/>
        </w:rPr>
        <w:t>日期：年月日</w:t>
      </w:r>
    </w:p>
    <w:p w14:paraId="72AA7AAB">
      <w:pPr>
        <w:rPr>
          <w:rFonts w:hint="eastAsia" w:ascii="宋体" w:hAnsi="宋体" w:cs="宋体"/>
          <w:color w:val="auto"/>
          <w:highlight w:val="none"/>
        </w:rPr>
      </w:pPr>
      <w:r>
        <w:rPr>
          <w:rFonts w:hint="eastAsia" w:ascii="宋体" w:hAnsi="宋体" w:cs="宋体"/>
          <w:color w:val="auto"/>
          <w:highlight w:val="none"/>
        </w:rPr>
        <w:br w:type="page"/>
      </w:r>
    </w:p>
    <w:p w14:paraId="3F7F1D48">
      <w:pPr>
        <w:spacing w:line="360" w:lineRule="auto"/>
        <w:jc w:val="center"/>
        <w:rPr>
          <w:rFonts w:hint="eastAsia" w:ascii="宋体" w:hAnsi="宋体" w:eastAsia="宋体" w:cs="宋体"/>
          <w:b/>
          <w:bCs/>
          <w:color w:val="auto"/>
          <w:sz w:val="28"/>
          <w:szCs w:val="28"/>
          <w:highlight w:val="none"/>
          <w:lang w:val="en-US" w:eastAsia="zh-CN"/>
        </w:rPr>
      </w:pPr>
      <w:bookmarkStart w:id="164" w:name="_Toc13436"/>
      <w:r>
        <w:rPr>
          <w:rFonts w:hint="eastAsia" w:ascii="宋体" w:hAnsi="宋体" w:eastAsia="宋体" w:cs="宋体"/>
          <w:b/>
          <w:bCs/>
          <w:color w:val="auto"/>
          <w:sz w:val="28"/>
          <w:szCs w:val="28"/>
          <w:highlight w:val="none"/>
          <w:lang w:val="en-US" w:eastAsia="zh-CN"/>
        </w:rPr>
        <w:t>七、供应商认为需要提供的其他材料</w:t>
      </w:r>
      <w:bookmarkEnd w:id="164"/>
    </w:p>
    <w:p w14:paraId="4880BF29">
      <w:pPr>
        <w:spacing w:line="360" w:lineRule="auto"/>
        <w:jc w:val="center"/>
        <w:rPr>
          <w:rFonts w:hint="eastAsia" w:ascii="宋体" w:hAnsi="宋体" w:cs="宋体"/>
          <w:b/>
          <w:bCs/>
          <w:color w:val="auto"/>
          <w:sz w:val="24"/>
          <w:szCs w:val="24"/>
          <w:highlight w:val="none"/>
        </w:rPr>
      </w:pPr>
    </w:p>
    <w:p w14:paraId="17B3F3B2">
      <w:pPr>
        <w:spacing w:line="360" w:lineRule="auto"/>
        <w:jc w:val="center"/>
        <w:rPr>
          <w:rFonts w:hint="eastAsia" w:ascii="宋体" w:hAnsi="宋体" w:cs="宋体"/>
          <w:b/>
          <w:bCs/>
          <w:color w:val="auto"/>
          <w:sz w:val="24"/>
          <w:szCs w:val="24"/>
          <w:highlight w:val="none"/>
        </w:rPr>
      </w:pPr>
    </w:p>
    <w:p w14:paraId="7A7039F1">
      <w:pPr>
        <w:rPr>
          <w:color w:val="auto"/>
          <w:highlight w:val="none"/>
        </w:rPr>
      </w:pPr>
      <w:r>
        <w:rPr>
          <w:color w:val="auto"/>
          <w:highlight w:val="none"/>
        </w:rPr>
        <w:br w:type="page"/>
      </w:r>
    </w:p>
    <w:p w14:paraId="4D36B63F">
      <w:pPr>
        <w:spacing w:line="480" w:lineRule="auto"/>
        <w:jc w:val="both"/>
        <w:rPr>
          <w:rFonts w:hint="default" w:ascii="宋体" w:hAnsi="宋体" w:eastAsia="宋体" w:cs="宋体"/>
          <w:b/>
          <w:bCs/>
          <w:color w:val="auto"/>
          <w:kern w:val="0"/>
          <w:sz w:val="28"/>
          <w:szCs w:val="28"/>
          <w:highlight w:val="none"/>
          <w:lang w:val="en-US" w:eastAsia="zh-CN"/>
        </w:rPr>
      </w:pPr>
      <w:r>
        <w:rPr>
          <w:rFonts w:hint="eastAsia" w:ascii="宋体" w:hAnsi="宋体" w:cs="宋体"/>
          <w:b/>
          <w:bCs/>
          <w:color w:val="auto"/>
          <w:kern w:val="0"/>
          <w:sz w:val="28"/>
          <w:szCs w:val="28"/>
          <w:highlight w:val="none"/>
          <w:lang w:val="en-US" w:eastAsia="zh-CN"/>
        </w:rPr>
        <w:t>附件1：</w:t>
      </w:r>
    </w:p>
    <w:p w14:paraId="4B12DC96">
      <w:pPr>
        <w:spacing w:line="480" w:lineRule="auto"/>
        <w:jc w:val="center"/>
        <w:rPr>
          <w:rFonts w:hint="eastAsia" w:ascii="宋体" w:hAnsi="宋体" w:cs="宋体"/>
          <w:b w:val="0"/>
          <w:bCs w:val="0"/>
          <w:color w:val="auto"/>
          <w:kern w:val="0"/>
          <w:sz w:val="28"/>
          <w:szCs w:val="28"/>
          <w:highlight w:val="none"/>
        </w:rPr>
      </w:pPr>
      <w:r>
        <w:rPr>
          <w:rFonts w:hint="eastAsia" w:ascii="宋体" w:hAnsi="宋体" w:cs="宋体"/>
          <w:b w:val="0"/>
          <w:bCs w:val="0"/>
          <w:color w:val="auto"/>
          <w:kern w:val="0"/>
          <w:sz w:val="28"/>
          <w:szCs w:val="28"/>
          <w:highlight w:val="none"/>
        </w:rPr>
        <w:t>中小企业声明函</w:t>
      </w:r>
    </w:p>
    <w:p w14:paraId="0D1F4BAF">
      <w:pPr>
        <w:snapToGrid w:val="0"/>
        <w:spacing w:line="360" w:lineRule="auto"/>
        <w:ind w:right="482"/>
        <w:jc w:val="left"/>
        <w:rPr>
          <w:rFonts w:hint="eastAsia" w:ascii="宋体" w:hAnsi="宋体" w:cs="宋体"/>
          <w:color w:val="auto"/>
          <w:sz w:val="24"/>
          <w:szCs w:val="20"/>
          <w:highlight w:val="none"/>
        </w:rPr>
      </w:pPr>
    </w:p>
    <w:p w14:paraId="26DB769F">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本公司（联合体）郑重声明，参考《政府采购促进中小企业发展管理办法》（财库﹝2020﹞46号）的规定，本公司（联合体）参加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采购活动，工程的施工单位全部为符合政策要求的中小企业。相关企业（含联合体中的中小企业、签订分包意向协议的中小企业）的具体情况如下：</w:t>
      </w:r>
    </w:p>
    <w:p w14:paraId="2E340DD3">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w:t>
      </w:r>
      <w:r>
        <w:rPr>
          <w:rFonts w:hint="eastAsia" w:ascii="宋体" w:hAnsi="宋体" w:cs="宋体"/>
          <w:color w:val="auto"/>
          <w:sz w:val="24"/>
          <w:highlight w:val="none"/>
          <w:vertAlign w:val="superscript"/>
        </w:rPr>
        <w:t>1</w:t>
      </w:r>
      <w:r>
        <w:rPr>
          <w:rFonts w:hint="eastAsia" w:ascii="宋体" w:hAnsi="宋体" w:cs="宋体"/>
          <w:color w:val="auto"/>
          <w:sz w:val="24"/>
          <w:highlight w:val="none"/>
        </w:rPr>
        <w:t>，属于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 xml:space="preserve">； </w:t>
      </w:r>
    </w:p>
    <w:p w14:paraId="3E2CD733">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以上企业，不属于大企业的分支机构，不存在控股股东为大企业的情形，也不存在与大企业的负责人为同一人的情 形。 </w:t>
      </w:r>
    </w:p>
    <w:p w14:paraId="3A97D201">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 法承担相应责任。</w:t>
      </w:r>
    </w:p>
    <w:p w14:paraId="6CB4B7CC">
      <w:pPr>
        <w:spacing w:line="500" w:lineRule="exact"/>
        <w:ind w:firstLine="6240" w:firstLineChars="2600"/>
        <w:rPr>
          <w:rFonts w:hint="eastAsia" w:ascii="宋体" w:hAnsi="宋体" w:cs="宋体"/>
          <w:color w:val="auto"/>
          <w:sz w:val="24"/>
          <w:highlight w:val="none"/>
        </w:rPr>
      </w:pPr>
      <w:r>
        <w:rPr>
          <w:rFonts w:hint="eastAsia" w:ascii="宋体" w:hAnsi="宋体" w:cs="宋体"/>
          <w:color w:val="auto"/>
          <w:sz w:val="24"/>
          <w:highlight w:val="none"/>
        </w:rPr>
        <w:t>企业名称（盖单位公章）：</w:t>
      </w:r>
    </w:p>
    <w:p w14:paraId="49A13675">
      <w:pPr>
        <w:spacing w:line="500" w:lineRule="exact"/>
        <w:ind w:firstLine="6240" w:firstLineChars="2600"/>
        <w:rPr>
          <w:rFonts w:hint="eastAsia" w:ascii="宋体" w:hAnsi="宋体" w:cs="宋体"/>
          <w:color w:val="auto"/>
          <w:sz w:val="24"/>
          <w:highlight w:val="none"/>
        </w:rPr>
      </w:pPr>
      <w:r>
        <w:rPr>
          <w:rFonts w:hint="eastAsia" w:ascii="宋体" w:hAnsi="宋体" w:cs="宋体"/>
          <w:color w:val="auto"/>
          <w:sz w:val="24"/>
          <w:highlight w:val="none"/>
        </w:rPr>
        <w:t>日 期：</w:t>
      </w:r>
    </w:p>
    <w:p w14:paraId="34E5B8FB">
      <w:pPr>
        <w:spacing w:line="500" w:lineRule="exact"/>
        <w:ind w:firstLine="480" w:firstLineChars="200"/>
        <w:rPr>
          <w:rFonts w:hint="eastAsia" w:ascii="宋体" w:hAnsi="宋体" w:cs="宋体"/>
          <w:color w:val="auto"/>
          <w:sz w:val="24"/>
          <w:highlight w:val="none"/>
        </w:rPr>
      </w:pPr>
    </w:p>
    <w:p w14:paraId="40A15760">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注：从业人员、 营业收入、 资产总额填报上一年度数据， 无上一年度数据的新成立企业可不填报。</w:t>
      </w:r>
    </w:p>
    <w:p w14:paraId="58D81047">
      <w:pPr>
        <w:pStyle w:val="9"/>
        <w:rPr>
          <w:rFonts w:hint="eastAsia" w:ascii="宋体" w:hAnsi="宋体" w:eastAsia="宋体"/>
          <w:color w:val="auto"/>
          <w:highlight w:val="none"/>
        </w:rPr>
      </w:pPr>
    </w:p>
    <w:p w14:paraId="3A28A426">
      <w:pPr>
        <w:spacing w:line="360" w:lineRule="auto"/>
        <w:jc w:val="left"/>
        <w:rPr>
          <w:rFonts w:hint="eastAsia" w:ascii="宋体" w:hAnsi="宋体" w:cs="宋体"/>
          <w:b/>
          <w:bCs/>
          <w:color w:val="auto"/>
          <w:sz w:val="24"/>
          <w:szCs w:val="20"/>
          <w:highlight w:val="none"/>
        </w:rPr>
      </w:pPr>
      <w:r>
        <w:rPr>
          <w:rFonts w:hint="eastAsia" w:ascii="宋体" w:hAnsi="宋体" w:cs="宋体"/>
          <w:b/>
          <w:bCs/>
          <w:color w:val="auto"/>
          <w:sz w:val="24"/>
          <w:szCs w:val="20"/>
          <w:highlight w:val="none"/>
        </w:rPr>
        <w:t>注：1、从业人员、营业收入、资产总额填报上一年度数据，无上一年度数据的新成立企业可不填报。</w:t>
      </w:r>
    </w:p>
    <w:p w14:paraId="6AF121C9">
      <w:pPr>
        <w:numPr>
          <w:ilvl w:val="0"/>
          <w:numId w:val="2"/>
        </w:numPr>
        <w:spacing w:line="360" w:lineRule="auto"/>
        <w:ind w:firstLine="482" w:firstLineChars="200"/>
        <w:rPr>
          <w:rFonts w:hint="eastAsia" w:ascii="宋体" w:hAnsi="宋体" w:cs="宋体"/>
          <w:b/>
          <w:bCs/>
          <w:color w:val="auto"/>
          <w:sz w:val="24"/>
          <w:szCs w:val="20"/>
          <w:highlight w:val="none"/>
        </w:rPr>
      </w:pPr>
      <w:r>
        <w:rPr>
          <w:rFonts w:hint="eastAsia" w:ascii="宋体" w:hAnsi="宋体" w:cs="宋体"/>
          <w:b/>
          <w:bCs/>
          <w:color w:val="auto"/>
          <w:sz w:val="24"/>
          <w:szCs w:val="20"/>
          <w:highlight w:val="none"/>
        </w:rPr>
        <w:t>中小企业划分标准见工业和信息化部国家统计局国家发展和改革委员财政部《关于印发中小企业划型标准规定的通知》（工信部联企业【2011】300号）。</w:t>
      </w:r>
    </w:p>
    <w:p w14:paraId="37E0A92F">
      <w:pPr>
        <w:pStyle w:val="18"/>
        <w:widowControl/>
        <w:numPr>
          <w:ilvl w:val="0"/>
          <w:numId w:val="0"/>
        </w:numPr>
        <w:adjustRightInd w:val="0"/>
        <w:snapToGrid w:val="0"/>
        <w:spacing w:after="120"/>
        <w:jc w:val="left"/>
        <w:rPr>
          <w:rFonts w:hint="eastAsia"/>
          <w:lang w:eastAsia="zh-CN"/>
        </w:rPr>
      </w:pPr>
    </w:p>
    <w:p w14:paraId="203C18FE">
      <w:pPr>
        <w:rPr>
          <w:rFonts w:hint="eastAsia"/>
          <w:lang w:eastAsia="zh-CN"/>
        </w:rPr>
      </w:pPr>
    </w:p>
    <w:p w14:paraId="59BE3BD4">
      <w:pPr>
        <w:pStyle w:val="18"/>
        <w:rPr>
          <w:rFonts w:hint="eastAsia"/>
          <w:lang w:eastAsia="zh-CN"/>
        </w:rPr>
      </w:pPr>
    </w:p>
    <w:p w14:paraId="7C4537C0">
      <w:pPr>
        <w:rPr>
          <w:rFonts w:hint="eastAsia"/>
          <w:lang w:eastAsia="zh-CN"/>
        </w:rPr>
      </w:pPr>
    </w:p>
    <w:p w14:paraId="685C4F6E">
      <w:pPr>
        <w:pStyle w:val="18"/>
        <w:rPr>
          <w:rFonts w:hint="eastAsia"/>
          <w:lang w:eastAsia="zh-CN"/>
        </w:rPr>
      </w:pPr>
    </w:p>
    <w:p w14:paraId="603C9E61">
      <w:pPr>
        <w:rPr>
          <w:rFonts w:hint="eastAsia"/>
          <w:lang w:eastAsia="zh-CN"/>
        </w:rPr>
      </w:pPr>
    </w:p>
    <w:p w14:paraId="22D42E49">
      <w:pPr>
        <w:pStyle w:val="18"/>
        <w:rPr>
          <w:rFonts w:hint="eastAsia"/>
          <w:lang w:eastAsia="zh-CN"/>
        </w:rPr>
      </w:pPr>
    </w:p>
    <w:p w14:paraId="6508FC2B">
      <w:pPr>
        <w:spacing w:line="480" w:lineRule="auto"/>
        <w:jc w:val="both"/>
        <w:rPr>
          <w:rFonts w:hint="default" w:ascii="宋体" w:hAnsi="宋体" w:eastAsia="宋体" w:cs="宋体"/>
          <w:b/>
          <w:bCs/>
          <w:color w:val="auto"/>
          <w:kern w:val="0"/>
          <w:sz w:val="28"/>
          <w:szCs w:val="28"/>
          <w:highlight w:val="none"/>
          <w:lang w:val="en-US" w:eastAsia="zh-CN"/>
        </w:rPr>
      </w:pPr>
      <w:r>
        <w:rPr>
          <w:rFonts w:hint="eastAsia" w:ascii="宋体" w:hAnsi="宋体" w:cs="宋体"/>
          <w:b/>
          <w:bCs/>
          <w:color w:val="auto"/>
          <w:kern w:val="0"/>
          <w:sz w:val="28"/>
          <w:szCs w:val="28"/>
          <w:highlight w:val="none"/>
          <w:lang w:val="en-US" w:eastAsia="zh-CN"/>
        </w:rPr>
        <w:t>附件2：</w:t>
      </w:r>
    </w:p>
    <w:p w14:paraId="65D95C4A">
      <w:pPr>
        <w:pStyle w:val="3"/>
        <w:numPr>
          <w:ilvl w:val="1"/>
          <w:numId w:val="0"/>
        </w:numPr>
        <w:wordWrap w:val="0"/>
        <w:topLinePunct/>
        <w:spacing w:before="0" w:after="0" w:line="360" w:lineRule="auto"/>
        <w:ind w:leftChars="0"/>
        <w:jc w:val="center"/>
        <w:outlineLvl w:val="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残疾人福利性单位声明函</w:t>
      </w:r>
    </w:p>
    <w:p w14:paraId="60DEF7BF">
      <w:pPr>
        <w:rPr>
          <w:rFonts w:hint="eastAsia"/>
        </w:rPr>
      </w:pPr>
    </w:p>
    <w:p w14:paraId="7B7819D8">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2E0CDDA3">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154EAF11">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p>
    <w:p w14:paraId="08B00BD3">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4"/>
          <w:szCs w:val="24"/>
          <w:highlight w:val="none"/>
        </w:rPr>
        <w:t xml:space="preserve">               单位名称（盖章）：</w:t>
      </w:r>
      <w:r>
        <w:rPr>
          <w:rFonts w:hint="eastAsia" w:ascii="宋体" w:hAnsi="宋体" w:eastAsia="宋体" w:cs="宋体"/>
          <w:color w:val="auto"/>
          <w:spacing w:val="6"/>
          <w:sz w:val="24"/>
          <w:szCs w:val="24"/>
          <w:highlight w:val="none"/>
          <w:u w:val="single"/>
        </w:rPr>
        <w:t xml:space="preserve">                </w:t>
      </w:r>
    </w:p>
    <w:p w14:paraId="3A7157E9">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  期：</w:t>
      </w:r>
    </w:p>
    <w:p w14:paraId="24A8C540">
      <w:pPr>
        <w:widowControl/>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（提醒：如果</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pacing w:val="10"/>
          <w:kern w:val="0"/>
          <w:sz w:val="24"/>
          <w:szCs w:val="24"/>
          <w:highlight w:val="none"/>
        </w:rPr>
        <w:t>不是残疾人福利性单位</w:t>
      </w:r>
      <w:r>
        <w:rPr>
          <w:rFonts w:hint="eastAsia" w:ascii="宋体" w:hAnsi="宋体" w:eastAsia="宋体" w:cs="宋体"/>
          <w:b/>
          <w:color w:val="auto"/>
          <w:sz w:val="24"/>
          <w:szCs w:val="24"/>
          <w:highlight w:val="none"/>
        </w:rPr>
        <w:t>，则不需要提供《残疾人福利性单位声明函》。否则，因此导致虚假投标的后果由</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自行承担。）</w:t>
      </w:r>
    </w:p>
    <w:p w14:paraId="56E12DA4">
      <w:pPr>
        <w:spacing w:line="480" w:lineRule="auto"/>
        <w:jc w:val="both"/>
        <w:rPr>
          <w:rFonts w:hint="eastAsia" w:ascii="宋体" w:hAnsi="宋体" w:cs="宋体"/>
          <w:b/>
          <w:bCs/>
          <w:color w:val="auto"/>
          <w:kern w:val="0"/>
          <w:sz w:val="28"/>
          <w:szCs w:val="28"/>
          <w:highlight w:val="none"/>
          <w:lang w:val="en-US" w:eastAsia="zh-CN"/>
        </w:rPr>
      </w:pPr>
    </w:p>
    <w:p w14:paraId="685F9194">
      <w:pPr>
        <w:spacing w:line="480" w:lineRule="auto"/>
        <w:jc w:val="both"/>
        <w:rPr>
          <w:rFonts w:hint="eastAsia" w:ascii="宋体" w:hAnsi="宋体" w:cs="宋体"/>
          <w:b/>
          <w:bCs/>
          <w:color w:val="auto"/>
          <w:kern w:val="0"/>
          <w:sz w:val="28"/>
          <w:szCs w:val="28"/>
          <w:highlight w:val="none"/>
          <w:lang w:val="en-US" w:eastAsia="zh-CN"/>
        </w:rPr>
      </w:pPr>
    </w:p>
    <w:p w14:paraId="5791D2C6">
      <w:pPr>
        <w:spacing w:line="480" w:lineRule="auto"/>
        <w:jc w:val="both"/>
        <w:rPr>
          <w:rFonts w:hint="eastAsia" w:ascii="宋体" w:hAnsi="宋体" w:cs="宋体"/>
          <w:b/>
          <w:bCs/>
          <w:color w:val="auto"/>
          <w:kern w:val="0"/>
          <w:sz w:val="28"/>
          <w:szCs w:val="28"/>
          <w:highlight w:val="none"/>
          <w:lang w:val="en-US" w:eastAsia="zh-CN"/>
        </w:rPr>
      </w:pPr>
    </w:p>
    <w:p w14:paraId="7FA863DC">
      <w:pPr>
        <w:spacing w:line="480" w:lineRule="auto"/>
        <w:jc w:val="both"/>
        <w:rPr>
          <w:rFonts w:hint="eastAsia" w:ascii="宋体" w:hAnsi="宋体" w:cs="宋体"/>
          <w:b/>
          <w:bCs/>
          <w:color w:val="auto"/>
          <w:kern w:val="0"/>
          <w:sz w:val="28"/>
          <w:szCs w:val="28"/>
          <w:highlight w:val="none"/>
          <w:lang w:val="en-US" w:eastAsia="zh-CN"/>
        </w:rPr>
      </w:pPr>
    </w:p>
    <w:p w14:paraId="7239A50A">
      <w:pPr>
        <w:spacing w:line="480" w:lineRule="auto"/>
        <w:jc w:val="both"/>
        <w:rPr>
          <w:rFonts w:hint="eastAsia" w:ascii="宋体" w:hAnsi="宋体" w:cs="宋体"/>
          <w:b/>
          <w:bCs/>
          <w:color w:val="auto"/>
          <w:kern w:val="0"/>
          <w:sz w:val="28"/>
          <w:szCs w:val="28"/>
          <w:highlight w:val="none"/>
          <w:lang w:val="en-US" w:eastAsia="zh-CN"/>
        </w:rPr>
      </w:pPr>
    </w:p>
    <w:p w14:paraId="4565C543">
      <w:pPr>
        <w:spacing w:line="480" w:lineRule="auto"/>
        <w:jc w:val="both"/>
        <w:rPr>
          <w:rFonts w:hint="eastAsia" w:ascii="宋体" w:hAnsi="宋体" w:cs="宋体"/>
          <w:b/>
          <w:bCs/>
          <w:color w:val="auto"/>
          <w:kern w:val="0"/>
          <w:sz w:val="28"/>
          <w:szCs w:val="28"/>
          <w:highlight w:val="none"/>
          <w:lang w:val="en-US" w:eastAsia="zh-CN"/>
        </w:rPr>
      </w:pPr>
    </w:p>
    <w:p w14:paraId="79A0F1F5">
      <w:pPr>
        <w:spacing w:line="480" w:lineRule="auto"/>
        <w:jc w:val="both"/>
        <w:rPr>
          <w:rFonts w:hint="eastAsia" w:ascii="宋体" w:hAnsi="宋体" w:cs="宋体"/>
          <w:b/>
          <w:bCs/>
          <w:color w:val="auto"/>
          <w:kern w:val="0"/>
          <w:sz w:val="28"/>
          <w:szCs w:val="28"/>
          <w:highlight w:val="none"/>
          <w:lang w:val="en-US" w:eastAsia="zh-CN"/>
        </w:rPr>
      </w:pPr>
    </w:p>
    <w:p w14:paraId="49DA522D">
      <w:pPr>
        <w:spacing w:line="480" w:lineRule="auto"/>
        <w:jc w:val="both"/>
        <w:rPr>
          <w:rFonts w:hint="eastAsia" w:ascii="宋体" w:hAnsi="宋体" w:cs="宋体"/>
          <w:b/>
          <w:bCs/>
          <w:color w:val="auto"/>
          <w:kern w:val="0"/>
          <w:sz w:val="28"/>
          <w:szCs w:val="28"/>
          <w:highlight w:val="none"/>
          <w:lang w:val="en-US" w:eastAsia="zh-CN"/>
        </w:rPr>
      </w:pPr>
    </w:p>
    <w:p w14:paraId="645E99EF">
      <w:pPr>
        <w:spacing w:line="480" w:lineRule="auto"/>
        <w:jc w:val="both"/>
        <w:rPr>
          <w:rFonts w:hint="eastAsia" w:ascii="宋体" w:hAnsi="宋体" w:cs="宋体"/>
          <w:b/>
          <w:bCs/>
          <w:color w:val="auto"/>
          <w:kern w:val="0"/>
          <w:sz w:val="28"/>
          <w:szCs w:val="28"/>
          <w:highlight w:val="none"/>
          <w:lang w:val="en-US" w:eastAsia="zh-CN"/>
        </w:rPr>
      </w:pPr>
    </w:p>
    <w:p w14:paraId="33B018DA">
      <w:pPr>
        <w:spacing w:line="480" w:lineRule="auto"/>
        <w:jc w:val="both"/>
        <w:rPr>
          <w:rFonts w:hint="eastAsia" w:ascii="宋体" w:hAnsi="宋体" w:cs="宋体"/>
          <w:b/>
          <w:bCs/>
          <w:color w:val="auto"/>
          <w:kern w:val="0"/>
          <w:sz w:val="28"/>
          <w:szCs w:val="28"/>
          <w:highlight w:val="none"/>
          <w:lang w:val="en-US" w:eastAsia="zh-CN"/>
        </w:rPr>
      </w:pPr>
      <w:r>
        <w:rPr>
          <w:rFonts w:hint="eastAsia" w:ascii="宋体" w:hAnsi="宋体" w:cs="宋体"/>
          <w:b/>
          <w:bCs/>
          <w:color w:val="auto"/>
          <w:kern w:val="0"/>
          <w:sz w:val="28"/>
          <w:szCs w:val="28"/>
          <w:highlight w:val="none"/>
          <w:lang w:val="en-US" w:eastAsia="zh-CN"/>
        </w:rPr>
        <w:t>附件3：</w:t>
      </w:r>
    </w:p>
    <w:p w14:paraId="77B1276F">
      <w:pPr>
        <w:pStyle w:val="3"/>
        <w:numPr>
          <w:ilvl w:val="1"/>
          <w:numId w:val="0"/>
        </w:numPr>
        <w:wordWrap w:val="0"/>
        <w:topLinePunct/>
        <w:spacing w:before="0" w:after="0" w:line="360" w:lineRule="auto"/>
        <w:ind w:leftChars="0"/>
        <w:jc w:val="center"/>
        <w:outlineLvl w:val="0"/>
        <w:rPr>
          <w:rFonts w:hint="eastAsia" w:ascii="宋体" w:hAnsi="宋体" w:eastAsia="宋体" w:cs="宋体"/>
          <w:bCs/>
          <w:color w:val="auto"/>
          <w:szCs w:val="24"/>
          <w:highlight w:val="none"/>
          <w:lang w:eastAsia="zh-CN"/>
        </w:rPr>
      </w:pPr>
      <w:r>
        <w:rPr>
          <w:rFonts w:hint="eastAsia" w:ascii="宋体" w:hAnsi="宋体" w:eastAsia="宋体" w:cs="宋体"/>
          <w:bCs/>
          <w:color w:val="auto"/>
          <w:szCs w:val="24"/>
          <w:highlight w:val="none"/>
          <w:lang w:eastAsia="zh-CN"/>
        </w:rPr>
        <w:t>监狱企业证明文件（如需）</w:t>
      </w:r>
    </w:p>
    <w:p w14:paraId="261D2ADC">
      <w:pPr>
        <w:pStyle w:val="6"/>
        <w:rPr>
          <w:b/>
          <w:color w:val="auto"/>
          <w:sz w:val="28"/>
          <w:szCs w:val="28"/>
          <w:highlight w:val="none"/>
          <w:lang w:eastAsia="zh-CN"/>
        </w:rPr>
      </w:pPr>
    </w:p>
    <w:p w14:paraId="1F754285">
      <w:pPr>
        <w:pStyle w:val="11"/>
        <w:rPr>
          <w:rFonts w:hint="eastAsia"/>
          <w:lang w:eastAsia="zh-CN"/>
        </w:rPr>
      </w:pPr>
      <w:r>
        <w:rPr>
          <w:rFonts w:hint="eastAsia" w:ascii="宋体" w:hAnsi="宋体" w:eastAsia="宋体" w:cs="宋体"/>
          <w:color w:val="auto"/>
          <w:spacing w:val="6"/>
          <w:kern w:val="2"/>
          <w:sz w:val="24"/>
          <w:szCs w:val="24"/>
          <w:highlight w:val="none"/>
          <w:lang w:val="en-US" w:eastAsia="zh-CN" w:bidi="ar-SA"/>
        </w:rPr>
        <w:t>（监狱企业参加政府采购活动时，应当提供由省级以上监狱管理局、戒毒管理局(含新疆生产建设兵团)出具的属于监狱企业的证明文。</w:t>
      </w:r>
    </w:p>
    <w:sectPr>
      <w:headerReference r:id="rId9" w:type="default"/>
      <w:footerReference r:id="rId10" w:type="default"/>
      <w:pgSz w:w="11900" w:h="16838"/>
      <w:pgMar w:top="1134" w:right="1270" w:bottom="992" w:left="1559" w:header="567" w:footer="567" w:gutter="0"/>
      <w:pgNumType w:start="1"/>
      <w:cols w:space="0" w:num="1"/>
      <w:docGrid w:type="lines"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3A23">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63795"/>
      <w:showingPlcHdr/>
    </w:sdtPr>
    <w:sdtContent>
      <w:p w14:paraId="51EAE2A9">
        <w:pPr>
          <w:pStyle w:val="12"/>
        </w:pPr>
        <w:r>
          <w:rPr>
            <w:rFonts w:hint="eastAsia"/>
          </w:rPr>
          <w:t xml:space="preserve">     </w:t>
        </w:r>
      </w:p>
    </w:sdtContent>
  </w:sdt>
  <w:p w14:paraId="72C9E9B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3A7D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684C4">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592"/>
                          </w:sdtPr>
                          <w:sdtContent>
                            <w:p w14:paraId="4576C79D">
                              <w:pPr>
                                <w:pStyle w:val="12"/>
                              </w:pPr>
                              <w:r>
                                <w:fldChar w:fldCharType="begin"/>
                              </w:r>
                              <w:r>
                                <w:instrText xml:space="preserve"> PAGE   \* MERGEFORMAT </w:instrText>
                              </w:r>
                              <w:r>
                                <w:fldChar w:fldCharType="separate"/>
                              </w:r>
                              <w:r>
                                <w:rPr>
                                  <w:lang w:val="zh-CN"/>
                                </w:rPr>
                                <w:t>54</w:t>
                              </w:r>
                              <w:r>
                                <w:rPr>
                                  <w:lang w:val="zh-CN"/>
                                </w:rPr>
                                <w:fldChar w:fldCharType="end"/>
                              </w:r>
                            </w:p>
                          </w:sdtContent>
                        </w:sdt>
                        <w:p w14:paraId="1B04D6D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sdt>
                    <w:sdtPr>
                      <w:id w:val="147483592"/>
                    </w:sdtPr>
                    <w:sdtContent>
                      <w:p w14:paraId="4576C79D">
                        <w:pPr>
                          <w:pStyle w:val="12"/>
                        </w:pPr>
                        <w:r>
                          <w:fldChar w:fldCharType="begin"/>
                        </w:r>
                        <w:r>
                          <w:instrText xml:space="preserve"> PAGE   \* MERGEFORMAT </w:instrText>
                        </w:r>
                        <w:r>
                          <w:fldChar w:fldCharType="separate"/>
                        </w:r>
                        <w:r>
                          <w:rPr>
                            <w:lang w:val="zh-CN"/>
                          </w:rPr>
                          <w:t>54</w:t>
                        </w:r>
                        <w:r>
                          <w:rPr>
                            <w:lang w:val="zh-CN"/>
                          </w:rPr>
                          <w:fldChar w:fldCharType="end"/>
                        </w:r>
                      </w:p>
                    </w:sdtContent>
                  </w:sdt>
                  <w:p w14:paraId="1B04D6D2"/>
                </w:txbxContent>
              </v:textbox>
            </v:shape>
          </w:pict>
        </mc:Fallback>
      </mc:AlternateContent>
    </w:r>
  </w:p>
  <w:p w14:paraId="1E3F4B6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8709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1B457">
    <w:pPr>
      <w:pStyle w:val="13"/>
      <w:pBdr>
        <w:bottom w:val="none" w:color="auto" w:sz="0" w:space="1"/>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16790">
    <w:pPr>
      <w:pStyle w:val="13"/>
      <w:pBdr>
        <w:bottom w:val="none" w:color="auto" w:sz="0" w:space="1"/>
      </w:pBdr>
      <w:ind w:right="-512" w:rightChars="-244"/>
      <w:jc w:val="left"/>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432C3">
    <w:pPr>
      <w:pStyle w:val="13"/>
      <w:pBdr>
        <w:bottom w:val="none" w:color="auto" w:sz="0" w:space="1"/>
      </w:pBdr>
      <w:ind w:right="-512" w:rightChars="-244"/>
      <w:jc w:val="lef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CDD98"/>
    <w:multiLevelType w:val="singleLevel"/>
    <w:tmpl w:val="C1ACDD98"/>
    <w:lvl w:ilvl="0" w:tentative="0">
      <w:start w:val="2"/>
      <w:numFmt w:val="decimal"/>
      <w:suff w:val="nothing"/>
      <w:lvlText w:val="%1、"/>
      <w:lvlJc w:val="left"/>
    </w:lvl>
  </w:abstractNum>
  <w:abstractNum w:abstractNumId="1">
    <w:nsid w:val="734C1B8C"/>
    <w:multiLevelType w:val="singleLevel"/>
    <w:tmpl w:val="734C1B8C"/>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00150EAD"/>
    <w:rsid w:val="012A0989"/>
    <w:rsid w:val="01396E1E"/>
    <w:rsid w:val="01FD455A"/>
    <w:rsid w:val="0214186D"/>
    <w:rsid w:val="02693733"/>
    <w:rsid w:val="02E35293"/>
    <w:rsid w:val="031713E0"/>
    <w:rsid w:val="036C7BB6"/>
    <w:rsid w:val="047A1B7B"/>
    <w:rsid w:val="057C0B96"/>
    <w:rsid w:val="059544A9"/>
    <w:rsid w:val="05A96FBC"/>
    <w:rsid w:val="06436049"/>
    <w:rsid w:val="073065CD"/>
    <w:rsid w:val="07F910B5"/>
    <w:rsid w:val="082B6330"/>
    <w:rsid w:val="083F3A9B"/>
    <w:rsid w:val="08760957"/>
    <w:rsid w:val="096E162E"/>
    <w:rsid w:val="0A132A60"/>
    <w:rsid w:val="0A524AAA"/>
    <w:rsid w:val="0B17368B"/>
    <w:rsid w:val="0C7B44EA"/>
    <w:rsid w:val="0CC76308"/>
    <w:rsid w:val="0CD45C4C"/>
    <w:rsid w:val="0CE95B9C"/>
    <w:rsid w:val="0CF54172"/>
    <w:rsid w:val="10D058BF"/>
    <w:rsid w:val="10D73F5D"/>
    <w:rsid w:val="11336C74"/>
    <w:rsid w:val="11D835F9"/>
    <w:rsid w:val="12710D18"/>
    <w:rsid w:val="130C43DC"/>
    <w:rsid w:val="131214C7"/>
    <w:rsid w:val="13653AA2"/>
    <w:rsid w:val="13663179"/>
    <w:rsid w:val="140A6DEE"/>
    <w:rsid w:val="14200E89"/>
    <w:rsid w:val="14DE5AA5"/>
    <w:rsid w:val="15352772"/>
    <w:rsid w:val="162E2871"/>
    <w:rsid w:val="171C12C4"/>
    <w:rsid w:val="18251A52"/>
    <w:rsid w:val="1859016B"/>
    <w:rsid w:val="18756535"/>
    <w:rsid w:val="18806870"/>
    <w:rsid w:val="19FE255B"/>
    <w:rsid w:val="1A94246B"/>
    <w:rsid w:val="1B1C713C"/>
    <w:rsid w:val="1BB630ED"/>
    <w:rsid w:val="1BE84AC8"/>
    <w:rsid w:val="1CC96E50"/>
    <w:rsid w:val="1D8965DF"/>
    <w:rsid w:val="1D9C4564"/>
    <w:rsid w:val="1DA10FA1"/>
    <w:rsid w:val="1DE06B47"/>
    <w:rsid w:val="1E4C7D38"/>
    <w:rsid w:val="1EAF3E2F"/>
    <w:rsid w:val="1EC05AB5"/>
    <w:rsid w:val="1ED41378"/>
    <w:rsid w:val="20174376"/>
    <w:rsid w:val="20971013"/>
    <w:rsid w:val="20BB1AF2"/>
    <w:rsid w:val="21DA565B"/>
    <w:rsid w:val="22020F26"/>
    <w:rsid w:val="224420DA"/>
    <w:rsid w:val="23203542"/>
    <w:rsid w:val="24E32A79"/>
    <w:rsid w:val="25076767"/>
    <w:rsid w:val="25461985"/>
    <w:rsid w:val="2547125A"/>
    <w:rsid w:val="25BE3468"/>
    <w:rsid w:val="26121868"/>
    <w:rsid w:val="263243D5"/>
    <w:rsid w:val="26BE72FA"/>
    <w:rsid w:val="279A7D67"/>
    <w:rsid w:val="27A6670B"/>
    <w:rsid w:val="28494DF9"/>
    <w:rsid w:val="28B10DBB"/>
    <w:rsid w:val="29613BD4"/>
    <w:rsid w:val="297F5466"/>
    <w:rsid w:val="29910CF5"/>
    <w:rsid w:val="29E4351B"/>
    <w:rsid w:val="2A140649"/>
    <w:rsid w:val="2AE35581"/>
    <w:rsid w:val="2AFD07B4"/>
    <w:rsid w:val="2B9C199A"/>
    <w:rsid w:val="2BDD0E63"/>
    <w:rsid w:val="2CF06959"/>
    <w:rsid w:val="2F4800A8"/>
    <w:rsid w:val="2FBA0A7A"/>
    <w:rsid w:val="2FC35981"/>
    <w:rsid w:val="305810C7"/>
    <w:rsid w:val="305846E7"/>
    <w:rsid w:val="31552F50"/>
    <w:rsid w:val="31557E7B"/>
    <w:rsid w:val="323F199E"/>
    <w:rsid w:val="33232BFD"/>
    <w:rsid w:val="34B63D06"/>
    <w:rsid w:val="34C226AB"/>
    <w:rsid w:val="35064C8D"/>
    <w:rsid w:val="361777E3"/>
    <w:rsid w:val="362D624A"/>
    <w:rsid w:val="363C023B"/>
    <w:rsid w:val="36A84DB7"/>
    <w:rsid w:val="37122FC3"/>
    <w:rsid w:val="38DD5D05"/>
    <w:rsid w:val="39326597"/>
    <w:rsid w:val="39E92488"/>
    <w:rsid w:val="3AA80595"/>
    <w:rsid w:val="3BA82A38"/>
    <w:rsid w:val="3BDA1980"/>
    <w:rsid w:val="3C936DE0"/>
    <w:rsid w:val="3C9622DE"/>
    <w:rsid w:val="3D3323D1"/>
    <w:rsid w:val="3D4C5207"/>
    <w:rsid w:val="3DC6320C"/>
    <w:rsid w:val="3DEA67CE"/>
    <w:rsid w:val="3DEE62BF"/>
    <w:rsid w:val="3EEC59CA"/>
    <w:rsid w:val="3FBD419A"/>
    <w:rsid w:val="40A54AE4"/>
    <w:rsid w:val="41041C20"/>
    <w:rsid w:val="4114428E"/>
    <w:rsid w:val="41683BDD"/>
    <w:rsid w:val="420D71AC"/>
    <w:rsid w:val="4214206C"/>
    <w:rsid w:val="42435110"/>
    <w:rsid w:val="43B03E7E"/>
    <w:rsid w:val="43F263DD"/>
    <w:rsid w:val="44E4041B"/>
    <w:rsid w:val="45905EAD"/>
    <w:rsid w:val="460074D7"/>
    <w:rsid w:val="4669507C"/>
    <w:rsid w:val="47613FA5"/>
    <w:rsid w:val="47B22649"/>
    <w:rsid w:val="488E4926"/>
    <w:rsid w:val="489547EA"/>
    <w:rsid w:val="48A57EC2"/>
    <w:rsid w:val="492536D0"/>
    <w:rsid w:val="4A61284F"/>
    <w:rsid w:val="4A91416B"/>
    <w:rsid w:val="4B1F3F5B"/>
    <w:rsid w:val="4B3317B5"/>
    <w:rsid w:val="4B38501D"/>
    <w:rsid w:val="4B493A19"/>
    <w:rsid w:val="4C0A0767"/>
    <w:rsid w:val="4C207F8B"/>
    <w:rsid w:val="4C24269D"/>
    <w:rsid w:val="4C2F6F4B"/>
    <w:rsid w:val="4CEA0599"/>
    <w:rsid w:val="4CFE5DF2"/>
    <w:rsid w:val="4ED82D9F"/>
    <w:rsid w:val="4EF31987"/>
    <w:rsid w:val="4F053468"/>
    <w:rsid w:val="4FBA34DD"/>
    <w:rsid w:val="50224A90"/>
    <w:rsid w:val="50697A27"/>
    <w:rsid w:val="506A5C79"/>
    <w:rsid w:val="507E1724"/>
    <w:rsid w:val="508C3655"/>
    <w:rsid w:val="50A0169A"/>
    <w:rsid w:val="51CC64BF"/>
    <w:rsid w:val="51CD7005"/>
    <w:rsid w:val="521F1304"/>
    <w:rsid w:val="526A09A4"/>
    <w:rsid w:val="52833022"/>
    <w:rsid w:val="53456529"/>
    <w:rsid w:val="534704F3"/>
    <w:rsid w:val="536B275A"/>
    <w:rsid w:val="54A31759"/>
    <w:rsid w:val="55453A67"/>
    <w:rsid w:val="5563713A"/>
    <w:rsid w:val="55EA2224"/>
    <w:rsid w:val="56FC7846"/>
    <w:rsid w:val="57415259"/>
    <w:rsid w:val="57FD5624"/>
    <w:rsid w:val="58A74F04"/>
    <w:rsid w:val="58C01272"/>
    <w:rsid w:val="594556B2"/>
    <w:rsid w:val="5996188C"/>
    <w:rsid w:val="59DA5094"/>
    <w:rsid w:val="5A294680"/>
    <w:rsid w:val="5A6E746B"/>
    <w:rsid w:val="5AB50438"/>
    <w:rsid w:val="5AF32D0E"/>
    <w:rsid w:val="5E79177D"/>
    <w:rsid w:val="60966616"/>
    <w:rsid w:val="629152E7"/>
    <w:rsid w:val="64033FC2"/>
    <w:rsid w:val="6477050C"/>
    <w:rsid w:val="66682BCB"/>
    <w:rsid w:val="68CA50AF"/>
    <w:rsid w:val="69990F25"/>
    <w:rsid w:val="69E805B8"/>
    <w:rsid w:val="6A114F5F"/>
    <w:rsid w:val="6AA61B4B"/>
    <w:rsid w:val="6B601CFA"/>
    <w:rsid w:val="6B76227F"/>
    <w:rsid w:val="6C1B186B"/>
    <w:rsid w:val="6D4F69FE"/>
    <w:rsid w:val="6D77332B"/>
    <w:rsid w:val="6E162B44"/>
    <w:rsid w:val="704C564D"/>
    <w:rsid w:val="70B825D8"/>
    <w:rsid w:val="72CB1731"/>
    <w:rsid w:val="730438B3"/>
    <w:rsid w:val="739827F0"/>
    <w:rsid w:val="74100036"/>
    <w:rsid w:val="74EB4D6C"/>
    <w:rsid w:val="752A076E"/>
    <w:rsid w:val="76984A3E"/>
    <w:rsid w:val="7712703F"/>
    <w:rsid w:val="775F6EEC"/>
    <w:rsid w:val="79773031"/>
    <w:rsid w:val="79A454A8"/>
    <w:rsid w:val="79AB4A88"/>
    <w:rsid w:val="7A132778"/>
    <w:rsid w:val="7A7B26AD"/>
    <w:rsid w:val="7A875C50"/>
    <w:rsid w:val="7B041F22"/>
    <w:rsid w:val="7B057AEC"/>
    <w:rsid w:val="7B2729C3"/>
    <w:rsid w:val="7C673A31"/>
    <w:rsid w:val="7C75137E"/>
    <w:rsid w:val="7C7E0232"/>
    <w:rsid w:val="7C8C119A"/>
    <w:rsid w:val="7DFB58B2"/>
    <w:rsid w:val="7E5C45A3"/>
    <w:rsid w:val="7E682F48"/>
    <w:rsid w:val="7EA877E8"/>
    <w:rsid w:val="7F852B16"/>
    <w:rsid w:val="7FE2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9"/>
    <w:pPr>
      <w:spacing w:before="60" w:after="60"/>
      <w:outlineLvl w:val="1"/>
    </w:pPr>
    <w:rPr>
      <w:rFonts w:ascii="宋体" w:hAnsi="Arial" w:cs="宋体"/>
      <w:sz w:val="28"/>
      <w:szCs w:val="28"/>
    </w:rPr>
  </w:style>
  <w:style w:type="paragraph" w:styleId="4">
    <w:name w:val="heading 3"/>
    <w:basedOn w:val="1"/>
    <w:next w:val="1"/>
    <w:qFormat/>
    <w:uiPriority w:val="0"/>
    <w:pPr>
      <w:keepNext/>
      <w:keepLines/>
      <w:spacing w:before="120" w:after="120"/>
      <w:ind w:firstLine="480"/>
      <w:outlineLvl w:val="2"/>
    </w:pPr>
    <w:rPr>
      <w:sz w:val="24"/>
      <w:szCs w:val="24"/>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caption"/>
    <w:basedOn w:val="1"/>
    <w:next w:val="1"/>
    <w:qFormat/>
    <w:uiPriority w:val="35"/>
    <w:pPr>
      <w:widowControl/>
      <w:ind w:firstLine="360"/>
    </w:pPr>
    <w:rPr>
      <w:b/>
      <w:bCs/>
      <w:kern w:val="0"/>
      <w:sz w:val="18"/>
      <w:szCs w:val="18"/>
      <w:lang w:eastAsia="en-US" w:bidi="en-US"/>
    </w:rPr>
  </w:style>
  <w:style w:type="paragraph" w:styleId="6">
    <w:name w:val="Body Text"/>
    <w:basedOn w:val="1"/>
    <w:next w:val="1"/>
    <w:qFormat/>
    <w:uiPriority w:val="0"/>
    <w:pPr>
      <w:spacing w:line="276" w:lineRule="auto"/>
      <w:ind w:firstLine="474" w:firstLineChars="200"/>
    </w:pPr>
    <w:rPr>
      <w:rFonts w:cs="Mangal" w:asciiTheme="minorEastAsia" w:hAnsiTheme="minorEastAsia" w:eastAsiaTheme="minorEastAsia"/>
      <w:b/>
      <w:spacing w:val="-2"/>
      <w:sz w:val="24"/>
      <w:szCs w:val="24"/>
      <w:lang w:eastAsia="hi-IN" w:bidi="hi-IN"/>
    </w:rPr>
  </w:style>
  <w:style w:type="paragraph" w:styleId="7">
    <w:name w:val="Body Text Indent"/>
    <w:basedOn w:val="1"/>
    <w:next w:val="8"/>
    <w:unhideWhenUsed/>
    <w:qFormat/>
    <w:uiPriority w:val="99"/>
    <w:pPr>
      <w:spacing w:after="120"/>
      <w:ind w:left="420" w:leftChars="200"/>
    </w:pPr>
  </w:style>
  <w:style w:type="paragraph" w:styleId="8">
    <w:name w:val="envelope return"/>
    <w:basedOn w:val="1"/>
    <w:qFormat/>
    <w:uiPriority w:val="0"/>
    <w:pPr>
      <w:snapToGrid w:val="0"/>
    </w:pPr>
    <w:rPr>
      <w:rFonts w:ascii="Arial" w:hAnsi="Arial"/>
    </w:rPr>
  </w:style>
  <w:style w:type="paragraph" w:styleId="9">
    <w:name w:val="Plain Text"/>
    <w:basedOn w:val="1"/>
    <w:next w:val="10"/>
    <w:unhideWhenUsed/>
    <w:qFormat/>
    <w:uiPriority w:val="0"/>
    <w:pPr>
      <w:spacing w:line="276" w:lineRule="auto"/>
      <w:ind w:firstLine="470" w:firstLineChars="196"/>
      <w:jc w:val="center"/>
    </w:pPr>
    <w:rPr>
      <w:rFonts w:cs="宋体" w:asciiTheme="minorEastAsia" w:hAnsiTheme="minorEastAsia" w:eastAsiaTheme="minorEastAsia"/>
      <w:sz w:val="24"/>
      <w:szCs w:val="24"/>
    </w:rPr>
  </w:style>
  <w:style w:type="paragraph" w:styleId="10">
    <w:name w:val="index 9"/>
    <w:basedOn w:val="1"/>
    <w:next w:val="1"/>
    <w:qFormat/>
    <w:uiPriority w:val="99"/>
    <w:pPr>
      <w:ind w:left="3360"/>
    </w:pPr>
    <w:rPr>
      <w:rFonts w:cs="等线"/>
    </w:rPr>
  </w:style>
  <w:style w:type="paragraph" w:styleId="11">
    <w:name w:val="Body Text Indent 2"/>
    <w:basedOn w:val="1"/>
    <w:qFormat/>
    <w:uiPriority w:val="0"/>
    <w:pPr>
      <w:spacing w:line="540" w:lineRule="exact"/>
      <w:ind w:firstLine="720" w:firstLineChars="225"/>
      <w:jc w:val="left"/>
    </w:pPr>
    <w:rPr>
      <w:rFonts w:ascii="仿宋_GB2312" w:eastAsia="仿宋_GB2312"/>
      <w:sz w:val="32"/>
    </w:rPr>
  </w:style>
  <w:style w:type="paragraph" w:styleId="12">
    <w:name w:val="footer"/>
    <w:basedOn w:val="1"/>
    <w:unhideWhenUsed/>
    <w:qFormat/>
    <w:uiPriority w:val="99"/>
    <w:pPr>
      <w:snapToGrid w:val="0"/>
      <w:jc w:val="center"/>
    </w:pPr>
    <w:rPr>
      <w:sz w:val="18"/>
      <w:szCs w:val="18"/>
    </w:rPr>
  </w:style>
  <w:style w:type="paragraph" w:styleId="13">
    <w:name w:val="header"/>
    <w:basedOn w:val="1"/>
    <w:unhideWhenUsed/>
    <w:qFormat/>
    <w:uiPriority w:val="99"/>
    <w:pPr>
      <w:pBdr>
        <w:bottom w:val="single" w:color="auto" w:sz="6" w:space="1"/>
      </w:pBdr>
      <w:snapToGrid w:val="0"/>
      <w:jc w:val="center"/>
    </w:pPr>
    <w:rPr>
      <w:sz w:val="18"/>
      <w:szCs w:val="18"/>
    </w:rPr>
  </w:style>
  <w:style w:type="paragraph" w:styleId="14">
    <w:name w:val="toc 1"/>
    <w:basedOn w:val="1"/>
    <w:next w:val="1"/>
    <w:unhideWhenUsed/>
    <w:qFormat/>
    <w:uiPriority w:val="39"/>
    <w:pPr>
      <w:spacing w:line="400" w:lineRule="exact"/>
      <w:jc w:val="left"/>
    </w:pPr>
    <w:rPr>
      <w:rFonts w:ascii="宋体" w:hAnsi="宋体" w:cs="宋体"/>
      <w:b/>
      <w:bCs/>
      <w:caps/>
      <w:color w:val="000000"/>
    </w:rPr>
  </w:style>
  <w:style w:type="paragraph" w:styleId="15">
    <w:name w:val="toc 2"/>
    <w:basedOn w:val="1"/>
    <w:next w:val="1"/>
    <w:unhideWhenUsed/>
    <w:qFormat/>
    <w:uiPriority w:val="39"/>
    <w:pPr>
      <w:spacing w:before="100" w:beforeAutospacing="1" w:after="100" w:afterAutospacing="1"/>
      <w:ind w:left="210"/>
      <w:jc w:val="center"/>
    </w:pPr>
    <w:rPr>
      <w:rFonts w:ascii="Calibri" w:hAnsi="Calibri" w:cs="宋体"/>
      <w:smallCaps/>
      <w:sz w:val="20"/>
      <w:szCs w:val="20"/>
    </w:rPr>
  </w:style>
  <w:style w:type="paragraph" w:styleId="16">
    <w:name w:val="Body Text 2"/>
    <w:basedOn w:val="1"/>
    <w:next w:val="6"/>
    <w:qFormat/>
    <w:uiPriority w:val="99"/>
    <w:pPr>
      <w:spacing w:line="900" w:lineRule="exact"/>
      <w:jc w:val="center"/>
    </w:pPr>
    <w:rPr>
      <w:rFonts w:eastAsia="楷体_GB2312"/>
      <w:b/>
      <w:bCs/>
      <w:sz w:val="36"/>
      <w:szCs w:val="36"/>
    </w:rPr>
  </w:style>
  <w:style w:type="paragraph" w:styleId="17">
    <w:name w:val="Body Text First Indent"/>
    <w:basedOn w:val="6"/>
    <w:next w:val="18"/>
    <w:unhideWhenUsed/>
    <w:qFormat/>
    <w:uiPriority w:val="99"/>
    <w:pPr>
      <w:ind w:firstLine="420" w:firstLineChars="100"/>
    </w:pPr>
  </w:style>
  <w:style w:type="paragraph" w:styleId="18">
    <w:name w:val="Body Text First Indent 2"/>
    <w:basedOn w:val="7"/>
    <w:next w:val="1"/>
    <w:qFormat/>
    <w:uiPriority w:val="0"/>
    <w:pPr>
      <w:widowControl/>
      <w:adjustRightInd w:val="0"/>
      <w:snapToGrid w:val="0"/>
      <w:ind w:firstLine="420" w:firstLineChars="200"/>
      <w:jc w:val="left"/>
    </w:pPr>
    <w:rPr>
      <w:rFonts w:ascii="Tahoma" w:hAnsi="Tahoma" w:eastAsia="微软雅黑"/>
      <w:kern w:val="0"/>
      <w:sz w:val="22"/>
      <w:szCs w:val="22"/>
    </w:rPr>
  </w:style>
  <w:style w:type="character" w:styleId="21">
    <w:name w:val="Hyperlink"/>
    <w:basedOn w:val="20"/>
    <w:unhideWhenUsed/>
    <w:qFormat/>
    <w:uiPriority w:val="99"/>
    <w:rPr>
      <w:color w:val="000000"/>
      <w:sz w:val="16"/>
      <w:szCs w:val="16"/>
      <w:u w:val="none"/>
    </w:rPr>
  </w:style>
  <w:style w:type="paragraph" w:customStyle="1" w:styleId="22">
    <w:name w:val="_Style 2"/>
    <w:basedOn w:val="1"/>
    <w:qFormat/>
    <w:uiPriority w:val="0"/>
    <w:rPr>
      <w:sz w:val="24"/>
    </w:rPr>
  </w:style>
  <w:style w:type="paragraph" w:customStyle="1" w:styleId="23">
    <w:name w:val="_Style 43"/>
    <w:qFormat/>
    <w:uiPriority w:val="0"/>
    <w:pPr>
      <w:jc w:val="center"/>
    </w:pPr>
    <w:rPr>
      <w:rFonts w:ascii="Times New Roman" w:hAnsi="Times New Roman" w:eastAsia="宋体" w:cs="Times New Roman"/>
      <w:b/>
      <w:sz w:val="32"/>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kern w:val="2"/>
      <w:sz w:val="24"/>
      <w:szCs w:val="24"/>
      <w:lang w:val="en-US" w:eastAsia="zh-CN" w:bidi="ar-SA"/>
    </w:rPr>
  </w:style>
  <w:style w:type="paragraph" w:customStyle="1" w:styleId="2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rPr>
  </w:style>
  <w:style w:type="paragraph" w:customStyle="1" w:styleId="26">
    <w:name w:val="样式 标题 3 + (中文) 黑体 小四 非加粗 段前: 7.8 磅 段后: 0 磅 行距: 固定值 20 磅"/>
    <w:basedOn w:val="4"/>
    <w:qFormat/>
    <w:uiPriority w:val="0"/>
    <w:pPr>
      <w:spacing w:before="0" w:after="0" w:line="400" w:lineRule="exact"/>
      <w:ind w:firstLine="0"/>
    </w:pPr>
    <w:rPr>
      <w:rFonts w:eastAsia="黑体" w:cs="宋体"/>
    </w:rPr>
  </w:style>
  <w:style w:type="paragraph" w:customStyle="1" w:styleId="27">
    <w:name w:val="*正文"/>
    <w:basedOn w:val="1"/>
    <w:next w:val="1"/>
    <w:qFormat/>
    <w:uiPriority w:val="0"/>
    <w:pPr>
      <w:widowControl/>
      <w:jc w:val="center"/>
    </w:pPr>
    <w:rPr>
      <w:rFonts w:ascii="宋体" w:hAnsi="宋体"/>
    </w:rPr>
  </w:style>
  <w:style w:type="character" w:customStyle="1" w:styleId="28">
    <w:name w:val="标题 1 字符"/>
    <w:basedOn w:val="20"/>
    <w:link w:val="2"/>
    <w:qFormat/>
    <w:uiPriority w:val="0"/>
    <w:rPr>
      <w:b/>
      <w:bCs/>
      <w:kern w:val="44"/>
      <w:sz w:val="44"/>
      <w:szCs w:val="44"/>
    </w:rPr>
  </w:style>
  <w:style w:type="paragraph" w:customStyle="1" w:styleId="29">
    <w:name w:val="Table Paragraph"/>
    <w:basedOn w:val="1"/>
    <w:qFormat/>
    <w:uiPriority w:val="1"/>
    <w:rPr>
      <w:rFonts w:ascii="宋体" w:hAnsi="宋体" w:cs="宋体"/>
      <w:lang w:val="zh-CN" w:bidi="zh-CN"/>
    </w:rPr>
  </w:style>
  <w:style w:type="paragraph" w:customStyle="1" w:styleId="30">
    <w:name w:val="cjk"/>
    <w:basedOn w:val="1"/>
    <w:qFormat/>
    <w:uiPriority w:val="0"/>
    <w:pPr>
      <w:widowControl/>
      <w:spacing w:before="100" w:beforeAutospacing="1" w:after="100" w:afterAutospacing="1"/>
      <w:jc w:val="left"/>
    </w:pPr>
    <w:rPr>
      <w:rFonts w:ascii="宋体" w:hAnsi="宋体" w:cs="宋体"/>
      <w:kern w:val="0"/>
      <w:sz w:val="24"/>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26779</Words>
  <Characters>28794</Characters>
  <Lines>0</Lines>
  <Paragraphs>0</Paragraphs>
  <TotalTime>160</TotalTime>
  <ScaleCrop>false</ScaleCrop>
  <LinksUpToDate>false</LinksUpToDate>
  <CharactersWithSpaces>29027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2025-10-30T13:57:00Z</dcterms:created>
  <dc:creator>Administrator</dc:creator>
  <cp:lastModifiedBy>动动～</cp:lastModifiedBy>
  <cp:lastPrinted>2026-01-22T06:39:00Z</cp:lastPrinted>
  <dcterms:modified xsi:type="dcterms:W3CDTF">2026-02-10T02:09:45Z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KSOTemplateDocerSaveRecord">
    <vt:lpwstr>eyJoZGlkIjoiNDcxMzcxMzNkMjI2MDZlYjUwOWVmOGNkY2Q5NjE5ZjMiLCJ1c2VySWQiOiIxOTcyOTQ0NSJ9</vt:lpwstr>
  </property>
  <property fmtid="{D5CDD505-2E9C-101B-9397-08002B2CF9AE}" pid="4" name="ICV">
    <vt:lpwstr>E493A3C7CBFD48199CC346E44430DDE3_13</vt:lpwstr>
  </property>
</Properties>
</file>