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0676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color w:val="auto"/>
          <w:kern w:val="2"/>
          <w:sz w:val="28"/>
          <w:szCs w:val="28"/>
          <w:lang w:val="en-US" w:eastAsia="zh-CN" w:bidi="ar-SA"/>
        </w:rPr>
      </w:pPr>
      <w:r>
        <w:rPr>
          <w:rFonts w:hint="eastAsia" w:ascii="仿宋" w:hAnsi="仿宋" w:eastAsia="仿宋" w:cs="仿宋"/>
          <w:b/>
          <w:sz w:val="28"/>
          <w:szCs w:val="28"/>
          <w:lang w:eastAsia="zh-CN"/>
        </w:rPr>
        <w:t>商城县人民医院购置一批医疗设备项目(血细胞分离机、视频脑电图仪等)项目</w:t>
      </w:r>
      <w:r>
        <w:rPr>
          <w:rFonts w:hint="eastAsia" w:ascii="仿宋" w:hAnsi="仿宋" w:eastAsia="仿宋" w:cs="仿宋"/>
          <w:b/>
          <w:color w:val="auto"/>
          <w:kern w:val="2"/>
          <w:sz w:val="28"/>
          <w:szCs w:val="28"/>
          <w:lang w:val="en-US" w:eastAsia="zh-CN" w:bidi="ar-SA"/>
        </w:rPr>
        <w:t>中标结果公告</w:t>
      </w:r>
    </w:p>
    <w:p w14:paraId="49A463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rPr>
      </w:pPr>
      <w:r>
        <w:rPr>
          <w:rFonts w:hint="eastAsia" w:ascii="仿宋" w:hAnsi="仿宋" w:eastAsia="仿宋" w:cs="仿宋"/>
          <w:b/>
          <w:bCs/>
        </w:rPr>
        <w:t>一、项目基本情况</w:t>
      </w:r>
    </w:p>
    <w:p w14:paraId="02EC36B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rPr>
      </w:pPr>
      <w:r>
        <w:rPr>
          <w:rFonts w:hint="eastAsia" w:ascii="仿宋" w:hAnsi="仿宋" w:eastAsia="仿宋" w:cs="仿宋"/>
        </w:rPr>
        <w:t>采购项目编号：</w:t>
      </w:r>
      <w:r>
        <w:rPr>
          <w:rFonts w:hint="eastAsia" w:ascii="仿宋" w:hAnsi="仿宋" w:eastAsia="仿宋" w:cs="仿宋"/>
          <w:lang w:eastAsia="zh-CN"/>
        </w:rPr>
        <w:t>商财公开招标-2025-1；</w:t>
      </w:r>
      <w:r>
        <w:rPr>
          <w:rFonts w:hint="eastAsia" w:ascii="仿宋" w:hAnsi="仿宋" w:eastAsia="仿宋" w:cs="仿宋"/>
        </w:rPr>
        <w:t xml:space="preserve"> </w:t>
      </w:r>
      <w:r>
        <w:rPr>
          <w:rFonts w:hint="eastAsia" w:ascii="仿宋" w:hAnsi="仿宋" w:eastAsia="仿宋" w:cs="仿宋"/>
          <w:lang w:val="en-US"/>
        </w:rPr>
        <w:t xml:space="preserve">  </w:t>
      </w:r>
    </w:p>
    <w:p w14:paraId="78929E93">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lang w:eastAsia="zh-CN"/>
        </w:rPr>
      </w:pPr>
      <w:r>
        <w:rPr>
          <w:rFonts w:hint="eastAsia" w:ascii="仿宋" w:hAnsi="仿宋" w:eastAsia="仿宋" w:cs="仿宋"/>
        </w:rPr>
        <w:t>采购项目名称：</w:t>
      </w:r>
      <w:r>
        <w:rPr>
          <w:rFonts w:hint="eastAsia" w:ascii="仿宋" w:hAnsi="仿宋" w:eastAsia="仿宋" w:cs="仿宋"/>
          <w:lang w:eastAsia="zh-CN"/>
        </w:rPr>
        <w:t>商城县人民医院购置一批医疗设备项目(血细胞分离机、视频脑电图仪等)项目；</w:t>
      </w:r>
    </w:p>
    <w:p w14:paraId="348A2555">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lang w:eastAsia="zh-CN"/>
        </w:rPr>
      </w:pPr>
      <w:r>
        <w:rPr>
          <w:rFonts w:hint="eastAsia" w:ascii="仿宋" w:hAnsi="仿宋" w:eastAsia="仿宋" w:cs="仿宋"/>
        </w:rPr>
        <w:t>采购方式：</w:t>
      </w:r>
      <w:r>
        <w:rPr>
          <w:rFonts w:hint="eastAsia" w:ascii="仿宋" w:hAnsi="仿宋" w:eastAsia="仿宋" w:cs="仿宋"/>
          <w:lang w:val="en-US" w:eastAsia="zh-CN"/>
        </w:rPr>
        <w:t>公开招标</w:t>
      </w:r>
      <w:r>
        <w:rPr>
          <w:rFonts w:hint="eastAsia" w:ascii="仿宋" w:hAnsi="仿宋" w:eastAsia="仿宋" w:cs="仿宋"/>
          <w:lang w:eastAsia="zh-CN"/>
        </w:rPr>
        <w:t>；</w:t>
      </w:r>
    </w:p>
    <w:p w14:paraId="71928A8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eastAsia="zh-CN"/>
        </w:rPr>
      </w:pPr>
      <w:r>
        <w:rPr>
          <w:rFonts w:hint="eastAsia" w:ascii="仿宋" w:hAnsi="仿宋" w:eastAsia="仿宋" w:cs="仿宋"/>
        </w:rPr>
        <w:t>招标公告发布日期：202</w:t>
      </w:r>
      <w:r>
        <w:rPr>
          <w:rFonts w:hint="eastAsia" w:ascii="仿宋" w:hAnsi="仿宋" w:eastAsia="仿宋" w:cs="仿宋"/>
          <w:lang w:val="en-US" w:eastAsia="zh-CN"/>
        </w:rPr>
        <w:t>5</w:t>
      </w:r>
      <w:r>
        <w:rPr>
          <w:rFonts w:hint="eastAsia" w:ascii="仿宋" w:hAnsi="仿宋" w:eastAsia="仿宋" w:cs="仿宋"/>
        </w:rPr>
        <w:t>年</w:t>
      </w:r>
      <w:r>
        <w:rPr>
          <w:rFonts w:hint="eastAsia" w:ascii="仿宋" w:hAnsi="仿宋" w:eastAsia="仿宋" w:cs="仿宋"/>
          <w:lang w:val="en-US" w:eastAsia="zh-CN"/>
        </w:rPr>
        <w:t>02</w:t>
      </w:r>
      <w:r>
        <w:rPr>
          <w:rFonts w:hint="eastAsia" w:ascii="仿宋" w:hAnsi="仿宋" w:eastAsia="仿宋" w:cs="仿宋"/>
          <w:color w:val="auto"/>
        </w:rPr>
        <w:t>月</w:t>
      </w:r>
      <w:r>
        <w:rPr>
          <w:rFonts w:hint="eastAsia" w:ascii="仿宋" w:hAnsi="仿宋" w:eastAsia="仿宋" w:cs="仿宋"/>
          <w:color w:val="auto"/>
          <w:lang w:val="en-US" w:eastAsia="zh-CN"/>
        </w:rPr>
        <w:t>07</w:t>
      </w:r>
      <w:r>
        <w:rPr>
          <w:rFonts w:hint="eastAsia" w:ascii="仿宋" w:hAnsi="仿宋" w:eastAsia="仿宋" w:cs="仿宋"/>
          <w:color w:val="auto"/>
        </w:rPr>
        <w:t>日</w:t>
      </w:r>
      <w:r>
        <w:rPr>
          <w:rFonts w:hint="eastAsia" w:ascii="仿宋" w:hAnsi="仿宋" w:eastAsia="仿宋" w:cs="仿宋"/>
          <w:color w:val="auto"/>
          <w:lang w:eastAsia="zh-CN"/>
        </w:rPr>
        <w:t>；</w:t>
      </w:r>
    </w:p>
    <w:p w14:paraId="76155FF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eastAsia="zh-CN"/>
        </w:rPr>
      </w:pPr>
      <w:r>
        <w:rPr>
          <w:rFonts w:hint="eastAsia" w:ascii="仿宋" w:hAnsi="仿宋" w:eastAsia="仿宋" w:cs="仿宋"/>
          <w:color w:val="auto"/>
        </w:rPr>
        <w:t>评审日期：202</w:t>
      </w:r>
      <w:r>
        <w:rPr>
          <w:rFonts w:hint="eastAsia" w:ascii="仿宋" w:hAnsi="仿宋" w:eastAsia="仿宋" w:cs="仿宋"/>
          <w:color w:val="auto"/>
          <w:lang w:val="en-US" w:eastAsia="zh-CN"/>
        </w:rPr>
        <w:t>5</w:t>
      </w:r>
      <w:r>
        <w:rPr>
          <w:rFonts w:hint="eastAsia" w:ascii="仿宋" w:hAnsi="仿宋" w:eastAsia="仿宋" w:cs="仿宋"/>
          <w:color w:val="auto"/>
        </w:rPr>
        <w:t>年</w:t>
      </w:r>
      <w:r>
        <w:rPr>
          <w:rFonts w:hint="eastAsia" w:ascii="仿宋" w:hAnsi="仿宋" w:eastAsia="仿宋" w:cs="仿宋"/>
          <w:color w:val="auto"/>
          <w:lang w:val="en-US" w:eastAsia="zh-CN"/>
        </w:rPr>
        <w:t>03</w:t>
      </w:r>
      <w:r>
        <w:rPr>
          <w:rFonts w:hint="eastAsia" w:ascii="仿宋" w:hAnsi="仿宋" w:eastAsia="仿宋" w:cs="仿宋"/>
          <w:color w:val="auto"/>
        </w:rPr>
        <w:t>月</w:t>
      </w:r>
      <w:r>
        <w:rPr>
          <w:rFonts w:hint="eastAsia" w:ascii="仿宋" w:hAnsi="仿宋" w:eastAsia="仿宋" w:cs="仿宋"/>
          <w:color w:val="auto"/>
          <w:lang w:val="en-US" w:eastAsia="zh-CN"/>
        </w:rPr>
        <w:t>05</w:t>
      </w:r>
      <w:r>
        <w:rPr>
          <w:rFonts w:hint="eastAsia" w:ascii="仿宋" w:hAnsi="仿宋" w:eastAsia="仿宋" w:cs="仿宋"/>
          <w:color w:val="auto"/>
        </w:rPr>
        <w:t>日</w:t>
      </w:r>
      <w:r>
        <w:rPr>
          <w:rFonts w:hint="eastAsia" w:ascii="仿宋" w:hAnsi="仿宋" w:eastAsia="仿宋" w:cs="仿宋"/>
          <w:color w:val="auto"/>
          <w:lang w:eastAsia="zh-CN"/>
        </w:rPr>
        <w:t>；</w:t>
      </w:r>
    </w:p>
    <w:p w14:paraId="64976EF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eastAsia="zh-CN"/>
        </w:rPr>
      </w:pPr>
      <w:r>
        <w:rPr>
          <w:rFonts w:hint="eastAsia" w:ascii="仿宋" w:hAnsi="仿宋" w:eastAsia="仿宋" w:cs="仿宋"/>
          <w:color w:val="auto"/>
          <w:lang w:eastAsia="zh-CN"/>
        </w:rPr>
        <w:t>开标地点：商城县公共资源交易网不见面开标大厅</w:t>
      </w:r>
    </w:p>
    <w:p w14:paraId="1BEE661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eastAsia="zh-CN"/>
        </w:rPr>
      </w:pPr>
      <w:r>
        <w:rPr>
          <w:rFonts w:hint="eastAsia" w:ascii="仿宋" w:hAnsi="仿宋" w:eastAsia="仿宋" w:cs="仿宋"/>
          <w:color w:val="auto"/>
          <w:lang w:eastAsia="zh-CN"/>
        </w:rPr>
        <w:t>评审地点：</w:t>
      </w:r>
      <w:r>
        <w:rPr>
          <w:rFonts w:hint="eastAsia" w:ascii="仿宋" w:hAnsi="仿宋" w:eastAsia="仿宋" w:cs="仿宋"/>
          <w:color w:val="auto"/>
          <w:sz w:val="21"/>
          <w:szCs w:val="21"/>
          <w:highlight w:val="none"/>
          <w:lang w:val="en-US" w:eastAsia="zh-CN"/>
        </w:rPr>
        <w:t>商城县公共资源交易中心第二评标室</w:t>
      </w:r>
    </w:p>
    <w:p w14:paraId="58CE207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color w:val="auto"/>
        </w:rPr>
      </w:pPr>
      <w:r>
        <w:rPr>
          <w:rFonts w:hint="eastAsia" w:ascii="仿宋" w:hAnsi="仿宋" w:eastAsia="仿宋" w:cs="仿宋"/>
          <w:b/>
          <w:bCs/>
          <w:color w:val="auto"/>
        </w:rPr>
        <w:t>二、采购项目用途、数量、简要技术要求、合同履行日期</w:t>
      </w:r>
    </w:p>
    <w:p w14:paraId="6B289D7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val="en-US" w:eastAsia="zh-CN"/>
        </w:rPr>
      </w:pPr>
      <w:r>
        <w:rPr>
          <w:rFonts w:hint="eastAsia" w:ascii="仿宋" w:hAnsi="仿宋" w:eastAsia="仿宋" w:cs="仿宋"/>
          <w:color w:val="auto"/>
        </w:rPr>
        <w:t>采</w:t>
      </w:r>
      <w:r>
        <w:rPr>
          <w:rFonts w:hint="eastAsia" w:ascii="仿宋" w:hAnsi="仿宋" w:eastAsia="仿宋" w:cs="仿宋"/>
          <w:color w:val="auto"/>
          <w:lang w:val="en-US" w:eastAsia="zh-CN"/>
        </w:rPr>
        <w:t>内容：商城县人民医院购置一批医疗设备项目(血细胞分离机、视频脑电图仪等)项目，采购数量及技术要求等详见招标文件；</w:t>
      </w:r>
    </w:p>
    <w:p w14:paraId="12048FB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一包交货期：60日历天内完成供货及安装调试；二包服务期限：1年； </w:t>
      </w:r>
    </w:p>
    <w:p w14:paraId="635484C4">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一包质量要求：</w:t>
      </w:r>
      <w:r>
        <w:rPr>
          <w:rFonts w:hint="eastAsia" w:ascii="仿宋" w:hAnsi="仿宋" w:eastAsia="仿宋" w:cs="仿宋"/>
          <w:color w:val="auto"/>
        </w:rPr>
        <w:t>合格，符合国家相关质量验收标准</w:t>
      </w:r>
      <w:r>
        <w:rPr>
          <w:rFonts w:hint="eastAsia" w:ascii="仿宋" w:hAnsi="仿宋" w:eastAsia="仿宋" w:cs="仿宋"/>
          <w:color w:val="auto"/>
          <w:lang w:eastAsia="zh-CN"/>
        </w:rPr>
        <w:t>；</w:t>
      </w:r>
      <w:r>
        <w:rPr>
          <w:rFonts w:hint="eastAsia" w:ascii="仿宋" w:hAnsi="仿宋" w:eastAsia="仿宋" w:cs="仿宋"/>
          <w:color w:val="auto"/>
          <w:lang w:val="en-US" w:eastAsia="zh-CN"/>
        </w:rPr>
        <w:t xml:space="preserve">二包质量要求：符合现行国家、行业和专业标准，并达到采购人的要求； </w:t>
      </w:r>
    </w:p>
    <w:p w14:paraId="1700ABA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一包质保期：验收合格之日起1年（技术参数中有特殊要求的，以技术参数要求为准）；</w:t>
      </w:r>
    </w:p>
    <w:p w14:paraId="0802873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标段划分：本项目共划分2个包；</w:t>
      </w:r>
    </w:p>
    <w:p w14:paraId="3085FD0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合同履行期限：同交货期或服务期限；</w:t>
      </w:r>
    </w:p>
    <w:p w14:paraId="043931F0">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交货地点：采购人指定地点；</w:t>
      </w:r>
    </w:p>
    <w:p w14:paraId="5CD7D560">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eastAsia="zh-CN"/>
        </w:rPr>
      </w:pPr>
      <w:r>
        <w:rPr>
          <w:rFonts w:hint="eastAsia" w:ascii="仿宋" w:hAnsi="仿宋" w:eastAsia="仿宋" w:cs="仿宋"/>
          <w:color w:val="auto"/>
        </w:rPr>
        <w:t>本项目不接受联合体投标</w:t>
      </w:r>
      <w:r>
        <w:rPr>
          <w:rFonts w:hint="eastAsia" w:ascii="仿宋" w:hAnsi="仿宋" w:eastAsia="仿宋" w:cs="仿宋"/>
          <w:color w:val="auto"/>
          <w:lang w:eastAsia="zh-CN"/>
        </w:rPr>
        <w:t>；</w:t>
      </w:r>
    </w:p>
    <w:p w14:paraId="453BB40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lang w:eastAsia="zh-CN"/>
        </w:rPr>
      </w:pPr>
      <w:r>
        <w:rPr>
          <w:rFonts w:hint="eastAsia" w:ascii="仿宋" w:hAnsi="仿宋" w:eastAsia="仿宋" w:cs="仿宋"/>
          <w:color w:val="auto"/>
        </w:rPr>
        <w:t>是否接受进口产品：</w:t>
      </w:r>
      <w:r>
        <w:rPr>
          <w:rFonts w:hint="eastAsia" w:ascii="仿宋" w:hAnsi="仿宋" w:eastAsia="仿宋" w:cs="仿宋"/>
          <w:color w:val="auto"/>
          <w:lang w:val="en-US" w:eastAsia="zh-CN"/>
        </w:rPr>
        <w:t>是</w:t>
      </w:r>
      <w:r>
        <w:rPr>
          <w:rFonts w:hint="eastAsia" w:ascii="仿宋" w:hAnsi="仿宋" w:eastAsia="仿宋" w:cs="仿宋"/>
          <w:color w:val="auto"/>
          <w:lang w:eastAsia="zh-CN"/>
        </w:rPr>
        <w:t>；</w:t>
      </w:r>
    </w:p>
    <w:p w14:paraId="4B183DB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color w:val="auto"/>
        </w:rPr>
      </w:pPr>
      <w:r>
        <w:rPr>
          <w:rFonts w:hint="eastAsia" w:ascii="仿宋" w:hAnsi="仿宋" w:eastAsia="仿宋" w:cs="仿宋"/>
          <w:b/>
          <w:bCs/>
          <w:color w:val="auto"/>
        </w:rPr>
        <w:t>三、</w:t>
      </w:r>
      <w:r>
        <w:rPr>
          <w:rFonts w:hint="eastAsia" w:ascii="仿宋" w:hAnsi="仿宋" w:eastAsia="仿宋" w:cs="仿宋"/>
          <w:b/>
          <w:bCs/>
          <w:color w:val="auto"/>
          <w:lang w:val="en-US" w:eastAsia="zh-CN"/>
        </w:rPr>
        <w:t>中标</w:t>
      </w:r>
      <w:r>
        <w:rPr>
          <w:rFonts w:hint="eastAsia" w:ascii="仿宋" w:hAnsi="仿宋" w:eastAsia="仿宋" w:cs="仿宋"/>
          <w:b/>
          <w:bCs/>
          <w:color w:val="auto"/>
        </w:rPr>
        <w:t>情况</w:t>
      </w:r>
    </w:p>
    <w:tbl>
      <w:tblPr>
        <w:tblStyle w:val="4"/>
        <w:tblW w:w="107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967"/>
        <w:gridCol w:w="377"/>
        <w:gridCol w:w="3028"/>
        <w:gridCol w:w="1726"/>
        <w:gridCol w:w="2310"/>
        <w:gridCol w:w="1273"/>
        <w:gridCol w:w="1058"/>
      </w:tblGrid>
      <w:tr w14:paraId="0AA12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15" w:hRule="atLeast"/>
          <w:jc w:val="center"/>
        </w:trPr>
        <w:tc>
          <w:tcPr>
            <w:tcW w:w="967" w:type="dxa"/>
            <w:tcBorders>
              <w:tl2br w:val="nil"/>
              <w:tr2bl w:val="nil"/>
            </w:tcBorders>
            <w:tcMar>
              <w:top w:w="0" w:type="dxa"/>
              <w:left w:w="108" w:type="dxa"/>
              <w:bottom w:w="0" w:type="dxa"/>
              <w:right w:w="108" w:type="dxa"/>
            </w:tcMar>
            <w:vAlign w:val="center"/>
          </w:tcPr>
          <w:p w14:paraId="0104A3F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包号</w:t>
            </w:r>
          </w:p>
        </w:tc>
        <w:tc>
          <w:tcPr>
            <w:tcW w:w="3405" w:type="dxa"/>
            <w:gridSpan w:val="2"/>
            <w:tcBorders>
              <w:tl2br w:val="nil"/>
              <w:tr2bl w:val="nil"/>
            </w:tcBorders>
            <w:tcMar>
              <w:top w:w="0" w:type="dxa"/>
              <w:left w:w="108" w:type="dxa"/>
              <w:bottom w:w="0" w:type="dxa"/>
              <w:right w:w="108" w:type="dxa"/>
            </w:tcMar>
            <w:vAlign w:val="center"/>
          </w:tcPr>
          <w:p w14:paraId="356D7C8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采购内容</w:t>
            </w:r>
          </w:p>
        </w:tc>
        <w:tc>
          <w:tcPr>
            <w:tcW w:w="1726" w:type="dxa"/>
            <w:tcBorders>
              <w:tl2br w:val="nil"/>
              <w:tr2bl w:val="nil"/>
            </w:tcBorders>
            <w:tcMar>
              <w:top w:w="0" w:type="dxa"/>
              <w:left w:w="108" w:type="dxa"/>
              <w:bottom w:w="0" w:type="dxa"/>
              <w:right w:w="108" w:type="dxa"/>
            </w:tcMar>
            <w:vAlign w:val="center"/>
          </w:tcPr>
          <w:p w14:paraId="351EE23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供应商名称</w:t>
            </w:r>
          </w:p>
        </w:tc>
        <w:tc>
          <w:tcPr>
            <w:tcW w:w="2310" w:type="dxa"/>
            <w:tcBorders>
              <w:tl2br w:val="nil"/>
              <w:tr2bl w:val="nil"/>
            </w:tcBorders>
            <w:tcMar>
              <w:top w:w="0" w:type="dxa"/>
              <w:left w:w="108" w:type="dxa"/>
              <w:bottom w:w="0" w:type="dxa"/>
              <w:right w:w="108" w:type="dxa"/>
            </w:tcMar>
            <w:vAlign w:val="center"/>
          </w:tcPr>
          <w:p w14:paraId="05D4629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地 址</w:t>
            </w:r>
          </w:p>
        </w:tc>
        <w:tc>
          <w:tcPr>
            <w:tcW w:w="1273" w:type="dxa"/>
            <w:tcBorders>
              <w:tl2br w:val="nil"/>
              <w:tr2bl w:val="nil"/>
            </w:tcBorders>
            <w:tcMar>
              <w:top w:w="0" w:type="dxa"/>
              <w:left w:w="108" w:type="dxa"/>
              <w:bottom w:w="0" w:type="dxa"/>
              <w:right w:w="108" w:type="dxa"/>
            </w:tcMar>
            <w:vAlign w:val="center"/>
          </w:tcPr>
          <w:p w14:paraId="4C78BD5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中标金额</w:t>
            </w:r>
          </w:p>
        </w:tc>
        <w:tc>
          <w:tcPr>
            <w:tcW w:w="1058" w:type="dxa"/>
            <w:tcBorders>
              <w:tl2br w:val="nil"/>
              <w:tr2bl w:val="nil"/>
            </w:tcBorders>
            <w:tcMar>
              <w:top w:w="0" w:type="dxa"/>
              <w:left w:w="108" w:type="dxa"/>
              <w:bottom w:w="0" w:type="dxa"/>
              <w:right w:w="108" w:type="dxa"/>
            </w:tcMar>
            <w:vAlign w:val="center"/>
          </w:tcPr>
          <w:p w14:paraId="59E7D83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单位</w:t>
            </w:r>
          </w:p>
        </w:tc>
      </w:tr>
      <w:tr w14:paraId="56E2E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611" w:hRule="atLeast"/>
          <w:jc w:val="center"/>
        </w:trPr>
        <w:tc>
          <w:tcPr>
            <w:tcW w:w="967" w:type="dxa"/>
            <w:vMerge w:val="restart"/>
            <w:tcBorders>
              <w:tl2br w:val="nil"/>
              <w:tr2bl w:val="nil"/>
            </w:tcBorders>
            <w:tcMar>
              <w:top w:w="0" w:type="dxa"/>
              <w:left w:w="108" w:type="dxa"/>
              <w:bottom w:w="0" w:type="dxa"/>
              <w:right w:w="108" w:type="dxa"/>
            </w:tcMar>
            <w:vAlign w:val="center"/>
          </w:tcPr>
          <w:p w14:paraId="09F693F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商财公开招标-2025-101</w:t>
            </w:r>
          </w:p>
        </w:tc>
        <w:tc>
          <w:tcPr>
            <w:tcW w:w="3405" w:type="dxa"/>
            <w:gridSpan w:val="2"/>
            <w:tcBorders>
              <w:tl2br w:val="nil"/>
              <w:tr2bl w:val="nil"/>
            </w:tcBorders>
            <w:tcMar>
              <w:top w:w="0" w:type="dxa"/>
              <w:left w:w="108" w:type="dxa"/>
              <w:bottom w:w="0" w:type="dxa"/>
              <w:right w:w="108" w:type="dxa"/>
            </w:tcMar>
            <w:vAlign w:val="center"/>
          </w:tcPr>
          <w:p w14:paraId="7B17F10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商城县人民医院购置一批医疗设备项目(血细胞分离机、视频脑电图仪等)项目</w:t>
            </w:r>
          </w:p>
        </w:tc>
        <w:tc>
          <w:tcPr>
            <w:tcW w:w="1726" w:type="dxa"/>
            <w:tcBorders>
              <w:tl2br w:val="nil"/>
              <w:tr2bl w:val="nil"/>
            </w:tcBorders>
            <w:tcMar>
              <w:top w:w="0" w:type="dxa"/>
              <w:left w:w="108" w:type="dxa"/>
              <w:bottom w:w="0" w:type="dxa"/>
              <w:right w:w="108" w:type="dxa"/>
            </w:tcMar>
            <w:vAlign w:val="center"/>
          </w:tcPr>
          <w:p w14:paraId="3370597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河南省建令茂医疗器械有限公司</w:t>
            </w:r>
          </w:p>
        </w:tc>
        <w:tc>
          <w:tcPr>
            <w:tcW w:w="2310" w:type="dxa"/>
            <w:tcBorders>
              <w:tl2br w:val="nil"/>
              <w:tr2bl w:val="nil"/>
            </w:tcBorders>
            <w:tcMar>
              <w:top w:w="0" w:type="dxa"/>
              <w:left w:w="108" w:type="dxa"/>
              <w:bottom w:w="0" w:type="dxa"/>
              <w:right w:w="108" w:type="dxa"/>
            </w:tcMar>
            <w:vAlign w:val="center"/>
          </w:tcPr>
          <w:p w14:paraId="59421FF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河南省新乡市长垣市丁栾镇华都商贸街南段路南 99 号</w:t>
            </w:r>
          </w:p>
        </w:tc>
        <w:tc>
          <w:tcPr>
            <w:tcW w:w="1273" w:type="dxa"/>
            <w:tcBorders>
              <w:tl2br w:val="nil"/>
              <w:tr2bl w:val="nil"/>
            </w:tcBorders>
            <w:tcMar>
              <w:top w:w="0" w:type="dxa"/>
              <w:left w:w="108" w:type="dxa"/>
              <w:bottom w:w="0" w:type="dxa"/>
              <w:right w:w="108" w:type="dxa"/>
            </w:tcMar>
            <w:vAlign w:val="center"/>
          </w:tcPr>
          <w:p w14:paraId="42634DA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1268950.00</w:t>
            </w:r>
          </w:p>
        </w:tc>
        <w:tc>
          <w:tcPr>
            <w:tcW w:w="1058" w:type="dxa"/>
            <w:tcBorders>
              <w:tl2br w:val="nil"/>
              <w:tr2bl w:val="nil"/>
            </w:tcBorders>
            <w:tcMar>
              <w:top w:w="0" w:type="dxa"/>
              <w:left w:w="108" w:type="dxa"/>
              <w:bottom w:w="0" w:type="dxa"/>
              <w:right w:w="108" w:type="dxa"/>
            </w:tcMar>
            <w:vAlign w:val="center"/>
          </w:tcPr>
          <w:p w14:paraId="5C1A83F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元</w:t>
            </w:r>
          </w:p>
        </w:tc>
      </w:tr>
      <w:tr w14:paraId="0D56CD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127" w:hRule="atLeast"/>
          <w:jc w:val="center"/>
        </w:trPr>
        <w:tc>
          <w:tcPr>
            <w:tcW w:w="967" w:type="dxa"/>
            <w:vMerge w:val="continue"/>
            <w:tcBorders>
              <w:tl2br w:val="nil"/>
              <w:tr2bl w:val="nil"/>
            </w:tcBorders>
            <w:vAlign w:val="center"/>
          </w:tcPr>
          <w:p w14:paraId="1284C8C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18"/>
                <w:szCs w:val="18"/>
              </w:rPr>
            </w:pPr>
          </w:p>
        </w:tc>
        <w:tc>
          <w:tcPr>
            <w:tcW w:w="377" w:type="dxa"/>
            <w:tcBorders>
              <w:tl2br w:val="nil"/>
              <w:tr2bl w:val="nil"/>
            </w:tcBorders>
            <w:tcMar>
              <w:top w:w="0" w:type="dxa"/>
              <w:left w:w="108" w:type="dxa"/>
              <w:bottom w:w="0" w:type="dxa"/>
              <w:right w:w="108" w:type="dxa"/>
            </w:tcMar>
            <w:vAlign w:val="center"/>
          </w:tcPr>
          <w:p w14:paraId="3C446B5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序号</w:t>
            </w:r>
          </w:p>
        </w:tc>
        <w:tc>
          <w:tcPr>
            <w:tcW w:w="3028" w:type="dxa"/>
            <w:tcBorders>
              <w:tl2br w:val="nil"/>
              <w:tr2bl w:val="nil"/>
            </w:tcBorders>
            <w:tcMar>
              <w:top w:w="0" w:type="dxa"/>
              <w:left w:w="108" w:type="dxa"/>
              <w:bottom w:w="0" w:type="dxa"/>
              <w:right w:w="108" w:type="dxa"/>
            </w:tcMar>
            <w:vAlign w:val="center"/>
          </w:tcPr>
          <w:p w14:paraId="5999B9A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名</w:t>
            </w:r>
            <w:r>
              <w:rPr>
                <w:rFonts w:hint="eastAsia" w:ascii="仿宋" w:hAnsi="仿宋" w:eastAsia="仿宋" w:cs="仿宋"/>
                <w:color w:val="auto"/>
                <w:sz w:val="18"/>
                <w:szCs w:val="18"/>
                <w:lang w:val="en-US" w:eastAsia="zh-CN"/>
              </w:rPr>
              <w:t xml:space="preserve">   </w:t>
            </w:r>
            <w:r>
              <w:rPr>
                <w:rFonts w:hint="eastAsia" w:ascii="仿宋" w:hAnsi="仿宋" w:eastAsia="仿宋" w:cs="仿宋"/>
                <w:color w:val="auto"/>
                <w:sz w:val="18"/>
                <w:szCs w:val="18"/>
              </w:rPr>
              <w:t>称</w:t>
            </w:r>
          </w:p>
        </w:tc>
        <w:tc>
          <w:tcPr>
            <w:tcW w:w="1726" w:type="dxa"/>
            <w:tcBorders>
              <w:tl2br w:val="nil"/>
              <w:tr2bl w:val="nil"/>
            </w:tcBorders>
            <w:tcMar>
              <w:top w:w="0" w:type="dxa"/>
              <w:left w:w="108" w:type="dxa"/>
              <w:bottom w:w="0" w:type="dxa"/>
              <w:right w:w="108" w:type="dxa"/>
            </w:tcMar>
            <w:vAlign w:val="center"/>
          </w:tcPr>
          <w:p w14:paraId="2F715C1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品牌</w:t>
            </w:r>
          </w:p>
        </w:tc>
        <w:tc>
          <w:tcPr>
            <w:tcW w:w="2310" w:type="dxa"/>
            <w:tcBorders>
              <w:tl2br w:val="nil"/>
              <w:tr2bl w:val="nil"/>
            </w:tcBorders>
            <w:tcMar>
              <w:top w:w="0" w:type="dxa"/>
              <w:left w:w="108" w:type="dxa"/>
              <w:bottom w:w="0" w:type="dxa"/>
              <w:right w:w="108" w:type="dxa"/>
            </w:tcMar>
            <w:vAlign w:val="center"/>
          </w:tcPr>
          <w:p w14:paraId="566D253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规格型号</w:t>
            </w:r>
          </w:p>
        </w:tc>
        <w:tc>
          <w:tcPr>
            <w:tcW w:w="1273" w:type="dxa"/>
            <w:tcBorders>
              <w:tl2br w:val="nil"/>
              <w:tr2bl w:val="nil"/>
            </w:tcBorders>
            <w:tcMar>
              <w:top w:w="0" w:type="dxa"/>
              <w:left w:w="108" w:type="dxa"/>
              <w:bottom w:w="0" w:type="dxa"/>
              <w:right w:w="108" w:type="dxa"/>
            </w:tcMar>
            <w:vAlign w:val="center"/>
          </w:tcPr>
          <w:p w14:paraId="5D816F5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数量</w:t>
            </w:r>
          </w:p>
        </w:tc>
        <w:tc>
          <w:tcPr>
            <w:tcW w:w="1058" w:type="dxa"/>
            <w:tcBorders>
              <w:tl2br w:val="nil"/>
              <w:tr2bl w:val="nil"/>
            </w:tcBorders>
            <w:tcMar>
              <w:top w:w="0" w:type="dxa"/>
              <w:left w:w="108" w:type="dxa"/>
              <w:bottom w:w="0" w:type="dxa"/>
              <w:right w:w="108" w:type="dxa"/>
            </w:tcMar>
            <w:vAlign w:val="center"/>
          </w:tcPr>
          <w:p w14:paraId="5069076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单价（元）</w:t>
            </w:r>
          </w:p>
        </w:tc>
      </w:tr>
      <w:tr w14:paraId="1F7B10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71" w:hRule="atLeast"/>
          <w:jc w:val="center"/>
        </w:trPr>
        <w:tc>
          <w:tcPr>
            <w:tcW w:w="967" w:type="dxa"/>
            <w:vMerge w:val="continue"/>
            <w:tcBorders>
              <w:tl2br w:val="nil"/>
              <w:tr2bl w:val="nil"/>
            </w:tcBorders>
            <w:vAlign w:val="center"/>
          </w:tcPr>
          <w:p w14:paraId="2211E24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18"/>
                <w:szCs w:val="18"/>
              </w:rPr>
            </w:pPr>
          </w:p>
        </w:tc>
        <w:tc>
          <w:tcPr>
            <w:tcW w:w="377" w:type="dxa"/>
            <w:tcBorders>
              <w:tl2br w:val="nil"/>
              <w:tr2bl w:val="nil"/>
            </w:tcBorders>
            <w:tcMar>
              <w:top w:w="0" w:type="dxa"/>
              <w:left w:w="108" w:type="dxa"/>
              <w:bottom w:w="0" w:type="dxa"/>
              <w:right w:w="108" w:type="dxa"/>
            </w:tcMar>
            <w:vAlign w:val="center"/>
          </w:tcPr>
          <w:p w14:paraId="594A609E">
            <w:pPr>
              <w:keepNext w:val="0"/>
              <w:keepLines w:val="0"/>
              <w:pageBreakBefore w:val="0"/>
              <w:widowControl w:val="0"/>
              <w:kinsoku/>
              <w:wordWrap/>
              <w:overflowPunct/>
              <w:topLinePunct w:val="0"/>
              <w:autoSpaceDE/>
              <w:autoSpaceDN/>
              <w:bidi w:val="0"/>
              <w:adjustRightInd/>
              <w:snapToGrid/>
              <w:spacing w:line="440" w:lineRule="exact"/>
              <w:ind w:firstLine="180" w:firstLineChars="100"/>
              <w:jc w:val="both"/>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1</w:t>
            </w:r>
          </w:p>
        </w:tc>
        <w:tc>
          <w:tcPr>
            <w:tcW w:w="3028" w:type="dxa"/>
            <w:tcBorders>
              <w:tl2br w:val="nil"/>
              <w:tr2bl w:val="nil"/>
            </w:tcBorders>
            <w:tcMar>
              <w:top w:w="0" w:type="dxa"/>
              <w:left w:w="108" w:type="dxa"/>
              <w:bottom w:w="0" w:type="dxa"/>
              <w:right w:w="108" w:type="dxa"/>
            </w:tcMar>
            <w:vAlign w:val="center"/>
          </w:tcPr>
          <w:p w14:paraId="462D83D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eastAsia="zh-CN"/>
              </w:rPr>
              <w:t>商城县人民医院购置一批医疗设备项目(血细胞分离机、视频脑电图仪等)项目</w:t>
            </w:r>
            <w:r>
              <w:rPr>
                <w:rFonts w:hint="eastAsia" w:ascii="仿宋" w:hAnsi="仿宋" w:eastAsia="仿宋" w:cs="仿宋"/>
                <w:color w:val="auto"/>
                <w:sz w:val="18"/>
                <w:szCs w:val="18"/>
                <w:lang w:val="en-US" w:eastAsia="zh-CN"/>
              </w:rPr>
              <w:t>一包</w:t>
            </w:r>
          </w:p>
        </w:tc>
        <w:tc>
          <w:tcPr>
            <w:tcW w:w="1726" w:type="dxa"/>
            <w:tcBorders>
              <w:tl2br w:val="nil"/>
              <w:tr2bl w:val="nil"/>
            </w:tcBorders>
            <w:tcMar>
              <w:top w:w="0" w:type="dxa"/>
              <w:left w:w="108" w:type="dxa"/>
              <w:bottom w:w="0" w:type="dxa"/>
              <w:right w:w="108" w:type="dxa"/>
            </w:tcMar>
            <w:vAlign w:val="center"/>
          </w:tcPr>
          <w:p w14:paraId="22E55E2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详见附件</w:t>
            </w:r>
          </w:p>
        </w:tc>
        <w:tc>
          <w:tcPr>
            <w:tcW w:w="2310" w:type="dxa"/>
            <w:tcBorders>
              <w:tl2br w:val="nil"/>
              <w:tr2bl w:val="nil"/>
            </w:tcBorders>
            <w:tcMar>
              <w:top w:w="0" w:type="dxa"/>
              <w:left w:w="108" w:type="dxa"/>
              <w:bottom w:w="0" w:type="dxa"/>
              <w:right w:w="108" w:type="dxa"/>
            </w:tcMar>
            <w:vAlign w:val="center"/>
          </w:tcPr>
          <w:p w14:paraId="0E755EB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详见附件</w:t>
            </w:r>
          </w:p>
        </w:tc>
        <w:tc>
          <w:tcPr>
            <w:tcW w:w="1273" w:type="dxa"/>
            <w:tcBorders>
              <w:tl2br w:val="nil"/>
              <w:tr2bl w:val="nil"/>
            </w:tcBorders>
            <w:tcMar>
              <w:top w:w="0" w:type="dxa"/>
              <w:left w:w="108" w:type="dxa"/>
              <w:bottom w:w="0" w:type="dxa"/>
              <w:right w:w="108" w:type="dxa"/>
            </w:tcMar>
            <w:vAlign w:val="center"/>
          </w:tcPr>
          <w:p w14:paraId="4968A24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1</w:t>
            </w:r>
          </w:p>
        </w:tc>
        <w:tc>
          <w:tcPr>
            <w:tcW w:w="1058" w:type="dxa"/>
            <w:tcBorders>
              <w:tl2br w:val="nil"/>
              <w:tr2bl w:val="nil"/>
            </w:tcBorders>
            <w:tcMar>
              <w:top w:w="0" w:type="dxa"/>
              <w:left w:w="108" w:type="dxa"/>
              <w:bottom w:w="0" w:type="dxa"/>
              <w:right w:w="108" w:type="dxa"/>
            </w:tcMar>
            <w:vAlign w:val="center"/>
          </w:tcPr>
          <w:p w14:paraId="43D109E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详见附件</w:t>
            </w:r>
          </w:p>
        </w:tc>
      </w:tr>
      <w:tr w14:paraId="4D2AA0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71" w:hRule="atLeast"/>
          <w:jc w:val="center"/>
        </w:trPr>
        <w:tc>
          <w:tcPr>
            <w:tcW w:w="967" w:type="dxa"/>
            <w:vMerge w:val="restart"/>
            <w:tcBorders>
              <w:tl2br w:val="nil"/>
              <w:tr2bl w:val="nil"/>
            </w:tcBorders>
            <w:vAlign w:val="center"/>
          </w:tcPr>
          <w:p w14:paraId="7BFAB0C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18"/>
                <w:szCs w:val="18"/>
              </w:rPr>
            </w:pPr>
            <w:r>
              <w:rPr>
                <w:rFonts w:hint="eastAsia" w:ascii="仿宋" w:hAnsi="仿宋" w:eastAsia="仿宋" w:cs="仿宋"/>
                <w:color w:val="auto"/>
                <w:sz w:val="18"/>
                <w:szCs w:val="18"/>
              </w:rPr>
              <w:t>商财公开招标-2025-102</w:t>
            </w:r>
          </w:p>
        </w:tc>
        <w:tc>
          <w:tcPr>
            <w:tcW w:w="3405" w:type="dxa"/>
            <w:gridSpan w:val="2"/>
            <w:tcBorders>
              <w:tl2br w:val="nil"/>
              <w:tr2bl w:val="nil"/>
            </w:tcBorders>
            <w:tcMar>
              <w:top w:w="0" w:type="dxa"/>
              <w:left w:w="108" w:type="dxa"/>
              <w:bottom w:w="0" w:type="dxa"/>
              <w:right w:w="108" w:type="dxa"/>
            </w:tcMar>
            <w:vAlign w:val="center"/>
          </w:tcPr>
          <w:p w14:paraId="64468F7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商城县人民医院购置一批医疗设备项目(血细胞分离机、视频脑电图仪等)项目</w:t>
            </w:r>
          </w:p>
        </w:tc>
        <w:tc>
          <w:tcPr>
            <w:tcW w:w="1726" w:type="dxa"/>
            <w:tcBorders>
              <w:tl2br w:val="nil"/>
              <w:tr2bl w:val="nil"/>
            </w:tcBorders>
            <w:tcMar>
              <w:top w:w="0" w:type="dxa"/>
              <w:left w:w="108" w:type="dxa"/>
              <w:bottom w:w="0" w:type="dxa"/>
              <w:right w:w="108" w:type="dxa"/>
            </w:tcMar>
            <w:vAlign w:val="center"/>
          </w:tcPr>
          <w:p w14:paraId="28427FD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河南臻疗医疗器械有限公司</w:t>
            </w:r>
          </w:p>
        </w:tc>
        <w:tc>
          <w:tcPr>
            <w:tcW w:w="2310" w:type="dxa"/>
            <w:tcBorders>
              <w:tl2br w:val="nil"/>
              <w:tr2bl w:val="nil"/>
            </w:tcBorders>
            <w:tcMar>
              <w:top w:w="0" w:type="dxa"/>
              <w:left w:w="108" w:type="dxa"/>
              <w:bottom w:w="0" w:type="dxa"/>
              <w:right w:w="108" w:type="dxa"/>
            </w:tcMar>
            <w:vAlign w:val="center"/>
          </w:tcPr>
          <w:p w14:paraId="4628193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河南省郑州市二七区大学路南四环鑫苑都汇广场F4-02号F区16</w:t>
            </w:r>
          </w:p>
        </w:tc>
        <w:tc>
          <w:tcPr>
            <w:tcW w:w="1273" w:type="dxa"/>
            <w:tcBorders>
              <w:tl2br w:val="nil"/>
              <w:tr2bl w:val="nil"/>
            </w:tcBorders>
            <w:tcMar>
              <w:top w:w="0" w:type="dxa"/>
              <w:left w:w="108" w:type="dxa"/>
              <w:bottom w:w="0" w:type="dxa"/>
              <w:right w:w="108" w:type="dxa"/>
            </w:tcMar>
            <w:vAlign w:val="center"/>
          </w:tcPr>
          <w:p w14:paraId="360E142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556800.00</w:t>
            </w:r>
          </w:p>
        </w:tc>
        <w:tc>
          <w:tcPr>
            <w:tcW w:w="1058" w:type="dxa"/>
            <w:tcBorders>
              <w:tl2br w:val="nil"/>
              <w:tr2bl w:val="nil"/>
            </w:tcBorders>
            <w:tcMar>
              <w:top w:w="0" w:type="dxa"/>
              <w:left w:w="108" w:type="dxa"/>
              <w:bottom w:w="0" w:type="dxa"/>
              <w:right w:w="108" w:type="dxa"/>
            </w:tcMar>
            <w:vAlign w:val="center"/>
          </w:tcPr>
          <w:p w14:paraId="0CB9726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元</w:t>
            </w:r>
          </w:p>
        </w:tc>
      </w:tr>
      <w:tr w14:paraId="5113B9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71" w:hRule="atLeast"/>
          <w:jc w:val="center"/>
        </w:trPr>
        <w:tc>
          <w:tcPr>
            <w:tcW w:w="967" w:type="dxa"/>
            <w:vMerge w:val="continue"/>
            <w:tcBorders>
              <w:tl2br w:val="nil"/>
              <w:tr2bl w:val="nil"/>
            </w:tcBorders>
            <w:vAlign w:val="center"/>
          </w:tcPr>
          <w:p w14:paraId="0C9256C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18"/>
                <w:szCs w:val="18"/>
              </w:rPr>
            </w:pPr>
          </w:p>
        </w:tc>
        <w:tc>
          <w:tcPr>
            <w:tcW w:w="377" w:type="dxa"/>
            <w:tcBorders>
              <w:tl2br w:val="nil"/>
              <w:tr2bl w:val="nil"/>
            </w:tcBorders>
            <w:shd w:val="clear"/>
            <w:tcMar>
              <w:top w:w="0" w:type="dxa"/>
              <w:left w:w="108" w:type="dxa"/>
              <w:bottom w:w="0" w:type="dxa"/>
              <w:right w:w="108" w:type="dxa"/>
            </w:tcMar>
            <w:vAlign w:val="center"/>
          </w:tcPr>
          <w:p w14:paraId="7839C6C4">
            <w:pPr>
              <w:keepNext w:val="0"/>
              <w:keepLines w:val="0"/>
              <w:pageBreakBefore w:val="0"/>
              <w:widowControl w:val="0"/>
              <w:kinsoku/>
              <w:wordWrap/>
              <w:overflowPunct/>
              <w:topLinePunct w:val="0"/>
              <w:autoSpaceDE/>
              <w:autoSpaceDN/>
              <w:bidi w:val="0"/>
              <w:adjustRightInd/>
              <w:snapToGrid/>
              <w:spacing w:line="440" w:lineRule="exact"/>
              <w:ind w:firstLine="180" w:firstLineChars="100"/>
              <w:jc w:val="both"/>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rPr>
              <w:t>1</w:t>
            </w:r>
          </w:p>
        </w:tc>
        <w:tc>
          <w:tcPr>
            <w:tcW w:w="3028" w:type="dxa"/>
            <w:tcBorders>
              <w:tl2br w:val="nil"/>
              <w:tr2bl w:val="nil"/>
            </w:tcBorders>
            <w:shd w:val="clear"/>
            <w:tcMar>
              <w:top w:w="0" w:type="dxa"/>
              <w:left w:w="108" w:type="dxa"/>
              <w:bottom w:w="0" w:type="dxa"/>
              <w:right w:w="108" w:type="dxa"/>
            </w:tcMar>
            <w:vAlign w:val="center"/>
          </w:tcPr>
          <w:p w14:paraId="4EBBB8F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eastAsia="zh-CN"/>
              </w:rPr>
              <w:t>商城县人民医院购置一批医疗设备项目(血细胞分离机、视频脑电图仪等)项目</w:t>
            </w:r>
            <w:r>
              <w:rPr>
                <w:rFonts w:hint="eastAsia" w:ascii="仿宋" w:hAnsi="仿宋" w:eastAsia="仿宋" w:cs="仿宋"/>
                <w:color w:val="auto"/>
                <w:sz w:val="18"/>
                <w:szCs w:val="18"/>
                <w:lang w:val="en-US" w:eastAsia="zh-CN"/>
              </w:rPr>
              <w:t>二包</w:t>
            </w:r>
          </w:p>
        </w:tc>
        <w:tc>
          <w:tcPr>
            <w:tcW w:w="1726" w:type="dxa"/>
            <w:tcBorders>
              <w:tl2br w:val="nil"/>
              <w:tr2bl w:val="nil"/>
            </w:tcBorders>
            <w:shd w:val="clear"/>
            <w:tcMar>
              <w:top w:w="0" w:type="dxa"/>
              <w:left w:w="108" w:type="dxa"/>
              <w:bottom w:w="0" w:type="dxa"/>
              <w:right w:w="108" w:type="dxa"/>
            </w:tcMar>
            <w:vAlign w:val="center"/>
          </w:tcPr>
          <w:p w14:paraId="7352B22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详见附件</w:t>
            </w:r>
          </w:p>
        </w:tc>
        <w:tc>
          <w:tcPr>
            <w:tcW w:w="2310" w:type="dxa"/>
            <w:tcBorders>
              <w:tl2br w:val="nil"/>
              <w:tr2bl w:val="nil"/>
            </w:tcBorders>
            <w:shd w:val="clear"/>
            <w:tcMar>
              <w:top w:w="0" w:type="dxa"/>
              <w:left w:w="108" w:type="dxa"/>
              <w:bottom w:w="0" w:type="dxa"/>
              <w:right w:w="108" w:type="dxa"/>
            </w:tcMar>
            <w:vAlign w:val="center"/>
          </w:tcPr>
          <w:p w14:paraId="60100F0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详见附件</w:t>
            </w:r>
          </w:p>
        </w:tc>
        <w:tc>
          <w:tcPr>
            <w:tcW w:w="1273" w:type="dxa"/>
            <w:tcBorders>
              <w:tl2br w:val="nil"/>
              <w:tr2bl w:val="nil"/>
            </w:tcBorders>
            <w:shd w:val="clear"/>
            <w:tcMar>
              <w:top w:w="0" w:type="dxa"/>
              <w:left w:w="108" w:type="dxa"/>
              <w:bottom w:w="0" w:type="dxa"/>
              <w:right w:w="108" w:type="dxa"/>
            </w:tcMar>
            <w:vAlign w:val="center"/>
          </w:tcPr>
          <w:p w14:paraId="2E53C5A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1</w:t>
            </w:r>
          </w:p>
        </w:tc>
        <w:tc>
          <w:tcPr>
            <w:tcW w:w="1058" w:type="dxa"/>
            <w:tcBorders>
              <w:tl2br w:val="nil"/>
              <w:tr2bl w:val="nil"/>
            </w:tcBorders>
            <w:shd w:val="clear"/>
            <w:tcMar>
              <w:top w:w="0" w:type="dxa"/>
              <w:left w:w="108" w:type="dxa"/>
              <w:bottom w:w="0" w:type="dxa"/>
              <w:right w:w="108" w:type="dxa"/>
            </w:tcMar>
            <w:vAlign w:val="center"/>
          </w:tcPr>
          <w:p w14:paraId="7E448FE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详见附件</w:t>
            </w:r>
          </w:p>
        </w:tc>
      </w:tr>
    </w:tbl>
    <w:p w14:paraId="48B7F9B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rPr>
        <w:t>四、评</w:t>
      </w:r>
      <w:r>
        <w:rPr>
          <w:rFonts w:hint="eastAsia" w:ascii="仿宋" w:hAnsi="仿宋" w:eastAsia="仿宋" w:cs="仿宋"/>
          <w:b/>
          <w:bCs/>
          <w:color w:val="auto"/>
          <w:highlight w:val="none"/>
        </w:rPr>
        <w:t>审专家名单</w:t>
      </w:r>
    </w:p>
    <w:p w14:paraId="0D08F78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eastAsia="zh-CN"/>
        </w:rPr>
        <w:t>组长为</w:t>
      </w:r>
      <w:r>
        <w:rPr>
          <w:rFonts w:hint="eastAsia" w:ascii="仿宋" w:hAnsi="仿宋" w:eastAsia="仿宋" w:cs="仿宋"/>
          <w:color w:val="auto"/>
          <w:highlight w:val="none"/>
          <w:lang w:val="en-US" w:eastAsia="zh-CN"/>
        </w:rPr>
        <w:t>胡积宝</w:t>
      </w:r>
      <w:r>
        <w:rPr>
          <w:rFonts w:hint="eastAsia" w:ascii="仿宋" w:hAnsi="仿宋" w:eastAsia="仿宋" w:cs="仿宋"/>
          <w:color w:val="auto"/>
          <w:highlight w:val="none"/>
          <w:lang w:eastAsia="zh-CN"/>
        </w:rPr>
        <w:t>，成员为</w:t>
      </w:r>
      <w:r>
        <w:rPr>
          <w:rFonts w:hint="eastAsia" w:ascii="仿宋" w:hAnsi="仿宋" w:eastAsia="仿宋" w:cs="仿宋"/>
          <w:color w:val="auto"/>
          <w:highlight w:val="none"/>
          <w:lang w:val="en-US" w:eastAsia="zh-CN"/>
        </w:rPr>
        <w:t>李良峰（业主评委）</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刘静、刘盼、黄国瑞</w:t>
      </w:r>
      <w:r>
        <w:rPr>
          <w:rFonts w:hint="eastAsia" w:ascii="仿宋" w:hAnsi="仿宋" w:eastAsia="仿宋" w:cs="仿宋"/>
          <w:color w:val="auto"/>
          <w:highlight w:val="none"/>
          <w:lang w:eastAsia="zh-CN"/>
        </w:rPr>
        <w:t>。</w:t>
      </w:r>
    </w:p>
    <w:p w14:paraId="677ED7F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rPr>
        <w:t>五、代理服务收费标准及金额</w:t>
      </w:r>
    </w:p>
    <w:p w14:paraId="52CE70CD">
      <w:pPr>
        <w:keepNext w:val="0"/>
        <w:keepLines w:val="0"/>
        <w:pageBreakBefore w:val="0"/>
        <w:widowControl w:val="0"/>
        <w:kinsoku/>
        <w:wordWrap/>
        <w:overflowPunct/>
        <w:topLinePunct w:val="0"/>
        <w:autoSpaceDE/>
        <w:autoSpaceDN/>
        <w:bidi w:val="0"/>
        <w:adjustRightInd/>
        <w:snapToGrid/>
        <w:spacing w:line="440" w:lineRule="exact"/>
        <w:ind w:firstLine="210" w:firstLineChars="100"/>
        <w:textAlignment w:val="auto"/>
        <w:rPr>
          <w:rFonts w:hint="eastAsia" w:ascii="仿宋" w:hAnsi="仿宋" w:eastAsia="仿宋" w:cs="仿宋"/>
          <w:color w:val="auto"/>
        </w:rPr>
      </w:pPr>
      <w:r>
        <w:rPr>
          <w:rFonts w:hint="eastAsia" w:ascii="仿宋" w:hAnsi="仿宋" w:eastAsia="仿宋" w:cs="仿宋"/>
          <w:color w:val="auto"/>
          <w:highlight w:val="none"/>
        </w:rPr>
        <w:t>代理服务收</w:t>
      </w:r>
      <w:r>
        <w:rPr>
          <w:rFonts w:hint="eastAsia" w:ascii="仿宋" w:hAnsi="仿宋" w:eastAsia="仿宋" w:cs="仿宋"/>
          <w:color w:val="auto"/>
        </w:rPr>
        <w:t>费标准：</w:t>
      </w:r>
      <w:r>
        <w:rPr>
          <w:rFonts w:hint="eastAsia" w:ascii="仿宋" w:hAnsi="仿宋" w:eastAsia="仿宋" w:cs="仿宋"/>
          <w:color w:val="auto"/>
          <w:highlight w:val="none"/>
        </w:rPr>
        <w:t>参照《河南省招标代理服务收费指导意见》（豫招办）[2023]002号文等相关文件收费标准。</w:t>
      </w:r>
      <w:r>
        <w:rPr>
          <w:rFonts w:hint="eastAsia" w:ascii="仿宋" w:hAnsi="仿宋" w:eastAsia="仿宋" w:cs="仿宋"/>
          <w:color w:val="auto"/>
          <w:highlight w:val="none"/>
          <w:lang w:val="en-US" w:eastAsia="zh-CN"/>
        </w:rPr>
        <w:t>一包</w:t>
      </w:r>
      <w:r>
        <w:rPr>
          <w:rFonts w:hint="eastAsia" w:ascii="仿宋" w:hAnsi="仿宋" w:eastAsia="仿宋" w:cs="仿宋"/>
          <w:color w:val="auto"/>
          <w:highlight w:val="none"/>
          <w:lang w:eastAsia="zh-CN"/>
        </w:rPr>
        <w:t>收费金额：</w:t>
      </w:r>
      <w:r>
        <w:rPr>
          <w:rFonts w:hint="eastAsia" w:ascii="仿宋" w:hAnsi="仿宋" w:eastAsia="仿宋" w:cs="仿宋"/>
          <w:color w:val="auto"/>
          <w:highlight w:val="none"/>
          <w:lang w:val="en-US" w:eastAsia="zh-CN"/>
        </w:rPr>
        <w:t>20000.00</w:t>
      </w:r>
      <w:r>
        <w:rPr>
          <w:rFonts w:hint="eastAsia" w:ascii="仿宋" w:hAnsi="仿宋" w:eastAsia="仿宋" w:cs="仿宋"/>
          <w:color w:val="auto"/>
          <w:highlight w:val="none"/>
          <w:lang w:eastAsia="zh-CN"/>
        </w:rPr>
        <w:t>元，</w:t>
      </w:r>
      <w:r>
        <w:rPr>
          <w:rFonts w:hint="eastAsia" w:ascii="仿宋" w:hAnsi="仿宋" w:eastAsia="仿宋" w:cs="仿宋"/>
          <w:color w:val="auto"/>
          <w:highlight w:val="none"/>
          <w:lang w:val="en-US" w:eastAsia="zh-CN"/>
        </w:rPr>
        <w:t>二包：9469.00元</w:t>
      </w:r>
      <w:r>
        <w:rPr>
          <w:rFonts w:hint="eastAsia" w:ascii="仿宋" w:hAnsi="仿宋" w:eastAsia="仿宋" w:cs="仿宋"/>
          <w:color w:val="auto"/>
          <w:lang w:eastAsia="zh-CN"/>
        </w:rPr>
        <w:t>。</w:t>
      </w:r>
    </w:p>
    <w:p w14:paraId="6357F4E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color w:val="auto"/>
        </w:rPr>
      </w:pPr>
      <w:r>
        <w:rPr>
          <w:rFonts w:hint="eastAsia" w:ascii="仿宋" w:hAnsi="仿宋" w:eastAsia="仿宋" w:cs="仿宋"/>
          <w:b/>
          <w:bCs/>
          <w:color w:val="auto"/>
        </w:rPr>
        <w:t>六、公告发布的媒介及</w:t>
      </w:r>
      <w:r>
        <w:rPr>
          <w:rFonts w:hint="eastAsia" w:ascii="仿宋" w:hAnsi="仿宋" w:eastAsia="仿宋" w:cs="仿宋"/>
          <w:b/>
          <w:bCs/>
          <w:color w:val="auto"/>
          <w:lang w:eastAsia="zh-CN"/>
        </w:rPr>
        <w:t>中标</w:t>
      </w:r>
      <w:r>
        <w:rPr>
          <w:rFonts w:hint="eastAsia" w:ascii="仿宋" w:hAnsi="仿宋" w:eastAsia="仿宋" w:cs="仿宋"/>
          <w:b/>
          <w:bCs/>
          <w:color w:val="auto"/>
        </w:rPr>
        <w:t>公告期限</w:t>
      </w:r>
    </w:p>
    <w:p w14:paraId="32C8B6F9">
      <w:pPr>
        <w:keepNext w:val="0"/>
        <w:keepLines w:val="0"/>
        <w:pageBreakBefore w:val="0"/>
        <w:widowControl w:val="0"/>
        <w:kinsoku/>
        <w:wordWrap/>
        <w:overflowPunct/>
        <w:topLinePunct w:val="0"/>
        <w:autoSpaceDE/>
        <w:autoSpaceDN/>
        <w:bidi w:val="0"/>
        <w:adjustRightInd/>
        <w:snapToGrid/>
        <w:spacing w:line="440" w:lineRule="exact"/>
        <w:ind w:firstLine="210" w:firstLineChars="100"/>
        <w:textAlignment w:val="auto"/>
        <w:rPr>
          <w:rFonts w:hint="eastAsia" w:ascii="仿宋" w:hAnsi="仿宋" w:eastAsia="仿宋" w:cs="仿宋"/>
          <w:color w:val="auto"/>
          <w:lang w:eastAsia="zh-CN"/>
        </w:rPr>
      </w:pPr>
      <w:r>
        <w:rPr>
          <w:rFonts w:hint="eastAsia" w:ascii="仿宋" w:hAnsi="仿宋" w:eastAsia="仿宋" w:cs="仿宋"/>
          <w:color w:val="auto"/>
        </w:rPr>
        <w:t>本次</w:t>
      </w:r>
      <w:r>
        <w:rPr>
          <w:rFonts w:hint="eastAsia" w:ascii="仿宋" w:hAnsi="仿宋" w:eastAsia="仿宋" w:cs="仿宋"/>
          <w:color w:val="auto"/>
          <w:lang w:eastAsia="zh-CN"/>
        </w:rPr>
        <w:t>公告</w:t>
      </w:r>
      <w:r>
        <w:rPr>
          <w:rFonts w:hint="eastAsia" w:ascii="仿宋" w:hAnsi="仿宋" w:eastAsia="仿宋" w:cs="仿宋"/>
          <w:color w:val="auto"/>
        </w:rPr>
        <w:t>在《河南省政府采购网》、《中国招标投标公共服务平台》、《商城县公共资源交易网》上发布。</w:t>
      </w:r>
      <w:r>
        <w:rPr>
          <w:rFonts w:hint="eastAsia" w:ascii="仿宋" w:hAnsi="仿宋" w:eastAsia="仿宋" w:cs="仿宋"/>
          <w:color w:val="auto"/>
          <w:lang w:eastAsia="zh-CN"/>
        </w:rPr>
        <w:t>中标公告</w:t>
      </w:r>
      <w:r>
        <w:rPr>
          <w:rFonts w:hint="eastAsia" w:ascii="仿宋" w:hAnsi="仿宋" w:eastAsia="仿宋" w:cs="仿宋"/>
          <w:color w:val="auto"/>
        </w:rPr>
        <w:t>期限为1个工作日。</w:t>
      </w:r>
    </w:p>
    <w:p w14:paraId="76BFA68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color w:val="auto"/>
        </w:rPr>
      </w:pPr>
      <w:r>
        <w:rPr>
          <w:rFonts w:hint="eastAsia" w:ascii="仿宋" w:hAnsi="仿宋" w:eastAsia="仿宋" w:cs="仿宋"/>
          <w:b/>
          <w:bCs/>
          <w:color w:val="auto"/>
        </w:rPr>
        <w:t>七、其他补充事宜</w:t>
      </w:r>
    </w:p>
    <w:p w14:paraId="5D5C56F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lang w:val="en-US" w:eastAsia="zh-CN"/>
        </w:rPr>
        <w:t>中标</w:t>
      </w:r>
      <w:r>
        <w:rPr>
          <w:rFonts w:hint="eastAsia" w:ascii="仿宋" w:hAnsi="仿宋" w:eastAsia="仿宋" w:cs="仿宋"/>
          <w:color w:val="auto"/>
        </w:rPr>
        <w:t>公告期限为1个工作日。各供应商对</w:t>
      </w:r>
      <w:r>
        <w:rPr>
          <w:rFonts w:hint="eastAsia" w:ascii="仿宋" w:hAnsi="仿宋" w:eastAsia="仿宋" w:cs="仿宋"/>
          <w:color w:val="auto"/>
          <w:lang w:val="en-US" w:eastAsia="zh-CN"/>
        </w:rPr>
        <w:t>中标</w:t>
      </w:r>
      <w:r>
        <w:rPr>
          <w:rFonts w:hint="eastAsia" w:ascii="仿宋" w:hAnsi="仿宋" w:eastAsia="仿宋" w:cs="仿宋"/>
          <w:color w:val="auto"/>
        </w:rPr>
        <w:t>结果有异议的，可以在</w:t>
      </w:r>
      <w:r>
        <w:rPr>
          <w:rFonts w:hint="eastAsia" w:ascii="仿宋" w:hAnsi="仿宋" w:eastAsia="仿宋" w:cs="仿宋"/>
          <w:color w:val="auto"/>
          <w:lang w:val="en-US" w:eastAsia="zh-CN"/>
        </w:rPr>
        <w:t>中标结果</w:t>
      </w:r>
      <w:r>
        <w:rPr>
          <w:rFonts w:hint="eastAsia" w:ascii="仿宋" w:hAnsi="仿宋" w:eastAsia="仿宋" w:cs="仿宋"/>
          <w:color w:val="auto"/>
        </w:rPr>
        <w:t>发布之日起七个工作日内，按照《政府采购质疑和投诉办法》及质疑投诉平台相关流程规范进行质疑，同时以书面形式向采购人与招</w:t>
      </w:r>
      <w:bookmarkStart w:id="0" w:name="_GoBack"/>
      <w:bookmarkEnd w:id="0"/>
      <w:r>
        <w:rPr>
          <w:rFonts w:hint="eastAsia" w:ascii="仿宋" w:hAnsi="仿宋" w:eastAsia="仿宋" w:cs="仿宋"/>
          <w:color w:val="auto"/>
        </w:rPr>
        <w:t>标代理机构提出质疑（加盖单位公章且法人签字），由法定代表人或其原授权代表亲自携带企业营业执照复印件及本人身份证原件（加盖单位公章）一并提交（邮寄、传真件不予受理），并以质疑函接受确认日期作为受理时间。逾期未提交或未按照要求提交的质疑函将不予受理。</w:t>
      </w:r>
    </w:p>
    <w:p w14:paraId="44A844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auto"/>
        </w:rPr>
      </w:pPr>
      <w:r>
        <w:rPr>
          <w:rFonts w:hint="eastAsia" w:ascii="仿宋" w:hAnsi="仿宋" w:eastAsia="仿宋" w:cs="仿宋"/>
          <w:b/>
          <w:bCs/>
          <w:color w:val="auto"/>
        </w:rPr>
        <w:t>八、凡对本次公告内容提出询问，请按以下方式联系</w:t>
      </w:r>
      <w:r>
        <w:rPr>
          <w:rFonts w:hint="eastAsia" w:ascii="仿宋" w:hAnsi="仿宋" w:eastAsia="仿宋" w:cs="仿宋"/>
          <w:color w:val="auto"/>
        </w:rPr>
        <w:t xml:space="preserve"> </w:t>
      </w:r>
    </w:p>
    <w:p w14:paraId="0BFE6A2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rPr>
        <w:t xml:space="preserve">1.采购人：商城县人民医院 </w:t>
      </w:r>
    </w:p>
    <w:p w14:paraId="48D1FDD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rPr>
        <w:t>地 址：商城县金刚台大道西段</w:t>
      </w:r>
    </w:p>
    <w:p w14:paraId="5772E78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rPr>
        <w:t>联系人：陈先生</w:t>
      </w:r>
    </w:p>
    <w:p w14:paraId="0EC8E27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rPr>
        <w:t>电话：0376-7973067</w:t>
      </w:r>
    </w:p>
    <w:p w14:paraId="61CCE06F">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rPr>
        <w:t>2、采购代理机构</w:t>
      </w:r>
    </w:p>
    <w:p w14:paraId="5657D29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rPr>
        <w:t>代理机构：河南志高工程管理有限公司</w:t>
      </w:r>
    </w:p>
    <w:p w14:paraId="647D1825">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rPr>
        <w:t>地址：河南省洛阳市洛龙区永泰街38号正大国际西区7号楼609</w:t>
      </w:r>
    </w:p>
    <w:p w14:paraId="2E0F5FB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rPr>
      </w:pPr>
      <w:r>
        <w:rPr>
          <w:rFonts w:hint="eastAsia" w:ascii="仿宋" w:hAnsi="仿宋" w:eastAsia="仿宋" w:cs="仿宋"/>
          <w:color w:val="auto"/>
        </w:rPr>
        <w:t xml:space="preserve">联 系 人：史先生         </w:t>
      </w:r>
    </w:p>
    <w:p w14:paraId="4563469E">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color w:val="auto"/>
        </w:rPr>
        <w:t>联系电话：13303767757</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SourceHanSansCN-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xZTI1MDQwZjM5YjY2Mjk2MDc4MmEzNGRiN2U3OTQifQ=="/>
  </w:docVars>
  <w:rsids>
    <w:rsidRoot w:val="0B545781"/>
    <w:rsid w:val="0167398B"/>
    <w:rsid w:val="02521E84"/>
    <w:rsid w:val="026B74AB"/>
    <w:rsid w:val="026F7DED"/>
    <w:rsid w:val="02AD51D0"/>
    <w:rsid w:val="02DD2177"/>
    <w:rsid w:val="032741B4"/>
    <w:rsid w:val="033F6241"/>
    <w:rsid w:val="034415A7"/>
    <w:rsid w:val="037A05EF"/>
    <w:rsid w:val="0427691D"/>
    <w:rsid w:val="05187ACC"/>
    <w:rsid w:val="053C0C8A"/>
    <w:rsid w:val="06D75D14"/>
    <w:rsid w:val="08122176"/>
    <w:rsid w:val="081303C8"/>
    <w:rsid w:val="08210512"/>
    <w:rsid w:val="0872238D"/>
    <w:rsid w:val="08E91129"/>
    <w:rsid w:val="09D05E45"/>
    <w:rsid w:val="09EF09C1"/>
    <w:rsid w:val="0A474359"/>
    <w:rsid w:val="0A622F41"/>
    <w:rsid w:val="0B0B182B"/>
    <w:rsid w:val="0B1870DA"/>
    <w:rsid w:val="0B545781"/>
    <w:rsid w:val="0B554854"/>
    <w:rsid w:val="0B983976"/>
    <w:rsid w:val="0CB22167"/>
    <w:rsid w:val="0CC51636"/>
    <w:rsid w:val="0E06277D"/>
    <w:rsid w:val="0E0F1632"/>
    <w:rsid w:val="0E825B86"/>
    <w:rsid w:val="0E8D1CD1"/>
    <w:rsid w:val="0E9F0860"/>
    <w:rsid w:val="0EF6634E"/>
    <w:rsid w:val="0F8D434C"/>
    <w:rsid w:val="103F3D25"/>
    <w:rsid w:val="123E1747"/>
    <w:rsid w:val="12901DE5"/>
    <w:rsid w:val="13A15750"/>
    <w:rsid w:val="141C6857"/>
    <w:rsid w:val="1461070D"/>
    <w:rsid w:val="147C10A3"/>
    <w:rsid w:val="15AE7EDA"/>
    <w:rsid w:val="162C6AF9"/>
    <w:rsid w:val="16360C06"/>
    <w:rsid w:val="164C2A17"/>
    <w:rsid w:val="165F6ECF"/>
    <w:rsid w:val="16D17044"/>
    <w:rsid w:val="171B6978"/>
    <w:rsid w:val="174D4F79"/>
    <w:rsid w:val="17996410"/>
    <w:rsid w:val="18422604"/>
    <w:rsid w:val="184B14B9"/>
    <w:rsid w:val="187A12DF"/>
    <w:rsid w:val="18BD1C8B"/>
    <w:rsid w:val="18BF3C55"/>
    <w:rsid w:val="18CE5E5F"/>
    <w:rsid w:val="18FB66E5"/>
    <w:rsid w:val="191E6BCD"/>
    <w:rsid w:val="19237751"/>
    <w:rsid w:val="19742C91"/>
    <w:rsid w:val="1A4C1518"/>
    <w:rsid w:val="1A69031C"/>
    <w:rsid w:val="1AAE326D"/>
    <w:rsid w:val="1AC60FA3"/>
    <w:rsid w:val="1B965141"/>
    <w:rsid w:val="1C68515D"/>
    <w:rsid w:val="1C715266"/>
    <w:rsid w:val="1C8C6544"/>
    <w:rsid w:val="1CC57360"/>
    <w:rsid w:val="1D0E6F59"/>
    <w:rsid w:val="1D807E56"/>
    <w:rsid w:val="1DCD0BC2"/>
    <w:rsid w:val="1E000D26"/>
    <w:rsid w:val="1E583B88"/>
    <w:rsid w:val="1EB37DB8"/>
    <w:rsid w:val="1EC119D1"/>
    <w:rsid w:val="1F095BA0"/>
    <w:rsid w:val="1F35657C"/>
    <w:rsid w:val="1F751511"/>
    <w:rsid w:val="1FD72C6D"/>
    <w:rsid w:val="1FE65F6B"/>
    <w:rsid w:val="1FEC17CF"/>
    <w:rsid w:val="209239FD"/>
    <w:rsid w:val="20B56069"/>
    <w:rsid w:val="20C77B4A"/>
    <w:rsid w:val="20D52267"/>
    <w:rsid w:val="20E95D13"/>
    <w:rsid w:val="212136FE"/>
    <w:rsid w:val="21952B1C"/>
    <w:rsid w:val="21FD6F30"/>
    <w:rsid w:val="220F7E93"/>
    <w:rsid w:val="22813D29"/>
    <w:rsid w:val="22AD2D70"/>
    <w:rsid w:val="22B660C8"/>
    <w:rsid w:val="23082ADE"/>
    <w:rsid w:val="24E0742D"/>
    <w:rsid w:val="25113A8A"/>
    <w:rsid w:val="2553334C"/>
    <w:rsid w:val="257007B0"/>
    <w:rsid w:val="258A3629"/>
    <w:rsid w:val="25B20DC9"/>
    <w:rsid w:val="26025181"/>
    <w:rsid w:val="26E8081A"/>
    <w:rsid w:val="27020335"/>
    <w:rsid w:val="280C22E7"/>
    <w:rsid w:val="28111597"/>
    <w:rsid w:val="29180361"/>
    <w:rsid w:val="29231FDE"/>
    <w:rsid w:val="298A7967"/>
    <w:rsid w:val="29E76B67"/>
    <w:rsid w:val="2AC944BF"/>
    <w:rsid w:val="2AE6078C"/>
    <w:rsid w:val="2AF7102C"/>
    <w:rsid w:val="2B6F5066"/>
    <w:rsid w:val="2B884367"/>
    <w:rsid w:val="2C0559CB"/>
    <w:rsid w:val="2C3306E7"/>
    <w:rsid w:val="2C6170A5"/>
    <w:rsid w:val="2CD94B09"/>
    <w:rsid w:val="2CEA709A"/>
    <w:rsid w:val="2D296259"/>
    <w:rsid w:val="2E220AB6"/>
    <w:rsid w:val="2E3D31FA"/>
    <w:rsid w:val="2E877ABD"/>
    <w:rsid w:val="2E921785"/>
    <w:rsid w:val="2ED350EC"/>
    <w:rsid w:val="2F077C8B"/>
    <w:rsid w:val="2F3B0E74"/>
    <w:rsid w:val="3049232A"/>
    <w:rsid w:val="31010E56"/>
    <w:rsid w:val="31B22151"/>
    <w:rsid w:val="31CA749A"/>
    <w:rsid w:val="326269F8"/>
    <w:rsid w:val="32FF5A93"/>
    <w:rsid w:val="33114C55"/>
    <w:rsid w:val="333A0650"/>
    <w:rsid w:val="33941B0E"/>
    <w:rsid w:val="33D44600"/>
    <w:rsid w:val="34207846"/>
    <w:rsid w:val="34D97E94"/>
    <w:rsid w:val="35756034"/>
    <w:rsid w:val="3602226A"/>
    <w:rsid w:val="370C40B1"/>
    <w:rsid w:val="3724764D"/>
    <w:rsid w:val="37313B18"/>
    <w:rsid w:val="392007DF"/>
    <w:rsid w:val="39441E39"/>
    <w:rsid w:val="3958189F"/>
    <w:rsid w:val="39677CC5"/>
    <w:rsid w:val="39F23A32"/>
    <w:rsid w:val="3A0E1EEE"/>
    <w:rsid w:val="3AEF66A6"/>
    <w:rsid w:val="3B082DE1"/>
    <w:rsid w:val="3B877BE0"/>
    <w:rsid w:val="3CB054DF"/>
    <w:rsid w:val="3CCD61F4"/>
    <w:rsid w:val="3D4C05FE"/>
    <w:rsid w:val="3D505196"/>
    <w:rsid w:val="3DCC6348"/>
    <w:rsid w:val="3DFF671E"/>
    <w:rsid w:val="3E267D11"/>
    <w:rsid w:val="3E3E7246"/>
    <w:rsid w:val="3EAD1CD6"/>
    <w:rsid w:val="3F5B3E28"/>
    <w:rsid w:val="3F7F666B"/>
    <w:rsid w:val="40B76E3C"/>
    <w:rsid w:val="412179FD"/>
    <w:rsid w:val="414A4154"/>
    <w:rsid w:val="415F4253"/>
    <w:rsid w:val="41A95B48"/>
    <w:rsid w:val="428611BC"/>
    <w:rsid w:val="42881E2B"/>
    <w:rsid w:val="42976F25"/>
    <w:rsid w:val="43BE289D"/>
    <w:rsid w:val="44DE1D54"/>
    <w:rsid w:val="44E348AC"/>
    <w:rsid w:val="44E9520D"/>
    <w:rsid w:val="44EC107E"/>
    <w:rsid w:val="456817CE"/>
    <w:rsid w:val="45AB1823"/>
    <w:rsid w:val="46410A2B"/>
    <w:rsid w:val="469D0882"/>
    <w:rsid w:val="46A3775F"/>
    <w:rsid w:val="476F66C2"/>
    <w:rsid w:val="47705F96"/>
    <w:rsid w:val="47841A42"/>
    <w:rsid w:val="479C4FDD"/>
    <w:rsid w:val="47A33197"/>
    <w:rsid w:val="48783354"/>
    <w:rsid w:val="488A103A"/>
    <w:rsid w:val="488E1C89"/>
    <w:rsid w:val="494A2E38"/>
    <w:rsid w:val="49AD702E"/>
    <w:rsid w:val="49BA3E41"/>
    <w:rsid w:val="49DD2E14"/>
    <w:rsid w:val="4AC72371"/>
    <w:rsid w:val="4B2F2A7D"/>
    <w:rsid w:val="4BD034A7"/>
    <w:rsid w:val="4C237A7B"/>
    <w:rsid w:val="4C991AEB"/>
    <w:rsid w:val="4E2019F6"/>
    <w:rsid w:val="4E2C76FB"/>
    <w:rsid w:val="50416756"/>
    <w:rsid w:val="508B3E41"/>
    <w:rsid w:val="50AC6291"/>
    <w:rsid w:val="51452242"/>
    <w:rsid w:val="524644C3"/>
    <w:rsid w:val="530F3B3A"/>
    <w:rsid w:val="534C25DD"/>
    <w:rsid w:val="54A11E85"/>
    <w:rsid w:val="55432F3C"/>
    <w:rsid w:val="55B17EA6"/>
    <w:rsid w:val="55D80574"/>
    <w:rsid w:val="5626557A"/>
    <w:rsid w:val="564C5FB4"/>
    <w:rsid w:val="565F7902"/>
    <w:rsid w:val="571921A6"/>
    <w:rsid w:val="572A43B4"/>
    <w:rsid w:val="5744628F"/>
    <w:rsid w:val="57853398"/>
    <w:rsid w:val="58044C05"/>
    <w:rsid w:val="5A2A46CB"/>
    <w:rsid w:val="5A821E11"/>
    <w:rsid w:val="5ABA7899"/>
    <w:rsid w:val="5ACC12DE"/>
    <w:rsid w:val="5AEB5FE2"/>
    <w:rsid w:val="5B9462A0"/>
    <w:rsid w:val="5BB22BCA"/>
    <w:rsid w:val="5C2D72E7"/>
    <w:rsid w:val="5C6C28AE"/>
    <w:rsid w:val="5CB00EB7"/>
    <w:rsid w:val="5D64679D"/>
    <w:rsid w:val="5D66238C"/>
    <w:rsid w:val="5D814602"/>
    <w:rsid w:val="5D9702C9"/>
    <w:rsid w:val="5D9F0F2C"/>
    <w:rsid w:val="5DBC388C"/>
    <w:rsid w:val="5DDC5D8E"/>
    <w:rsid w:val="5E1D1913"/>
    <w:rsid w:val="5EFA03B4"/>
    <w:rsid w:val="5F5C53FD"/>
    <w:rsid w:val="60275934"/>
    <w:rsid w:val="60A2320D"/>
    <w:rsid w:val="614A647F"/>
    <w:rsid w:val="614F7276"/>
    <w:rsid w:val="61AB5205"/>
    <w:rsid w:val="62FA10DE"/>
    <w:rsid w:val="630261E5"/>
    <w:rsid w:val="631A1780"/>
    <w:rsid w:val="632E2B36"/>
    <w:rsid w:val="637B298C"/>
    <w:rsid w:val="64122457"/>
    <w:rsid w:val="64790728"/>
    <w:rsid w:val="64833FCA"/>
    <w:rsid w:val="65DA51F7"/>
    <w:rsid w:val="67CB3049"/>
    <w:rsid w:val="67FA1B80"/>
    <w:rsid w:val="696279DD"/>
    <w:rsid w:val="69AE692A"/>
    <w:rsid w:val="6A132A85"/>
    <w:rsid w:val="6A1862EE"/>
    <w:rsid w:val="6A19602D"/>
    <w:rsid w:val="6A5214B3"/>
    <w:rsid w:val="6A8120E5"/>
    <w:rsid w:val="6B0D1A17"/>
    <w:rsid w:val="6B65720D"/>
    <w:rsid w:val="6B6A4927"/>
    <w:rsid w:val="6B7C465A"/>
    <w:rsid w:val="6BB64010"/>
    <w:rsid w:val="6BCC55E2"/>
    <w:rsid w:val="6CB87914"/>
    <w:rsid w:val="6CD57D4C"/>
    <w:rsid w:val="6CE80A1E"/>
    <w:rsid w:val="6D1A412B"/>
    <w:rsid w:val="6D3D5E56"/>
    <w:rsid w:val="6D413DAD"/>
    <w:rsid w:val="6D617FAC"/>
    <w:rsid w:val="6E3D27C7"/>
    <w:rsid w:val="6EA405E6"/>
    <w:rsid w:val="6EF70BC7"/>
    <w:rsid w:val="6F4F27B2"/>
    <w:rsid w:val="6FF60E7F"/>
    <w:rsid w:val="70DF2FD7"/>
    <w:rsid w:val="71556CA2"/>
    <w:rsid w:val="71FB4CFB"/>
    <w:rsid w:val="720C498A"/>
    <w:rsid w:val="7214198C"/>
    <w:rsid w:val="7548217D"/>
    <w:rsid w:val="754E0E15"/>
    <w:rsid w:val="757A1C0A"/>
    <w:rsid w:val="76680EA9"/>
    <w:rsid w:val="769211D6"/>
    <w:rsid w:val="77367D1D"/>
    <w:rsid w:val="78153E6C"/>
    <w:rsid w:val="7847671C"/>
    <w:rsid w:val="78650950"/>
    <w:rsid w:val="78857244"/>
    <w:rsid w:val="78CA1E86"/>
    <w:rsid w:val="78E21FA1"/>
    <w:rsid w:val="78F13662"/>
    <w:rsid w:val="79393B8B"/>
    <w:rsid w:val="797352EE"/>
    <w:rsid w:val="7A28257D"/>
    <w:rsid w:val="7A523156"/>
    <w:rsid w:val="7A574B5D"/>
    <w:rsid w:val="7B737828"/>
    <w:rsid w:val="7B95154C"/>
    <w:rsid w:val="7BA85CFD"/>
    <w:rsid w:val="7C2115FE"/>
    <w:rsid w:val="7C3C2310"/>
    <w:rsid w:val="7C574A54"/>
    <w:rsid w:val="7C723C42"/>
    <w:rsid w:val="7C975798"/>
    <w:rsid w:val="7DDC7906"/>
    <w:rsid w:val="7F413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next w:val="3"/>
    <w:autoRedefine/>
    <w:qFormat/>
    <w:uiPriority w:val="0"/>
    <w:pPr>
      <w:widowControl w:val="0"/>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3">
    <w:name w:val="正文 A"/>
    <w:next w:val="2"/>
    <w:autoRedefine/>
    <w:qFormat/>
    <w:uiPriority w:val="0"/>
    <w:pPr>
      <w:framePr w:wrap="around" w:vAnchor="margin" w:hAnchor="text" w:y="1"/>
      <w:spacing w:line="360" w:lineRule="auto"/>
      <w:ind w:firstLine="200"/>
      <w:jc w:val="both"/>
    </w:pPr>
    <w:rPr>
      <w:rFonts w:ascii="Times New Roman" w:hAnsi="Times New Roman" w:eastAsia="Arial Unicode MS" w:cs="Arial Unicode MS"/>
      <w:color w:val="000000"/>
      <w:kern w:val="2"/>
      <w:sz w:val="21"/>
      <w:szCs w:val="21"/>
      <w:lang w:val="en-US" w:eastAsia="zh-CN" w:bidi="ar-SA"/>
    </w:rPr>
  </w:style>
  <w:style w:type="character" w:styleId="6">
    <w:name w:val="FollowedHyperlink"/>
    <w:basedOn w:val="5"/>
    <w:autoRedefine/>
    <w:qFormat/>
    <w:uiPriority w:val="0"/>
    <w:rPr>
      <w:color w:val="333333"/>
      <w:u w:val="none"/>
    </w:rPr>
  </w:style>
  <w:style w:type="character" w:styleId="7">
    <w:name w:val="Hyperlink"/>
    <w:basedOn w:val="5"/>
    <w:autoRedefine/>
    <w:qFormat/>
    <w:uiPriority w:val="0"/>
    <w:rPr>
      <w:color w:val="333333"/>
      <w:u w:val="none"/>
    </w:rPr>
  </w:style>
  <w:style w:type="character" w:customStyle="1" w:styleId="8">
    <w:name w:val="toolbarlabel2"/>
    <w:basedOn w:val="5"/>
    <w:autoRedefine/>
    <w:qFormat/>
    <w:uiPriority w:val="0"/>
  </w:style>
  <w:style w:type="character" w:customStyle="1" w:styleId="9">
    <w:name w:val="toolbarlabel"/>
    <w:basedOn w:val="5"/>
    <w:autoRedefine/>
    <w:qFormat/>
    <w:uiPriority w:val="0"/>
    <w:rPr>
      <w:color w:val="333333"/>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1114</Words>
  <Characters>1207</Characters>
  <Lines>0</Lines>
  <Paragraphs>0</Paragraphs>
  <TotalTime>2</TotalTime>
  <ScaleCrop>false</ScaleCrop>
  <LinksUpToDate>false</LinksUpToDate>
  <CharactersWithSpaces>1236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2022-02-23T06:21:00Z</dcterms:created>
  <dc:creator>NTKO</dc:creator>
  <cp:lastModifiedBy>刘刘คิดถึง</cp:lastModifiedBy>
  <cp:lastPrinted>2024-09-30T03:46:00Z</cp:lastPrinted>
  <dcterms:modified xsi:type="dcterms:W3CDTF">2025-03-06T01:35:36Z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1B605F77B731448DBB8327315DFD3874</vt:lpwstr>
  </property>
  <property fmtid="{D5CDD505-2E9C-101B-9397-08002B2CF9AE}" pid="4" name="KSOTemplateDocerSaveRecord">
    <vt:lpwstr>eyJoZGlkIjoiNmM1OWQ4NGI4MTljYWVkZmU1NTY4NDNjNDNiNGViMGMiLCJ1c2VySWQiOiIzNDQ2NjY3NDAifQ==</vt:lpwstr>
  </property>
</Properties>
</file>