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AB0D5">
      <w:pPr>
        <w:pStyle w:val="53"/>
        <w:spacing w:line="360" w:lineRule="auto"/>
        <w:ind w:left="0" w:leftChars="0" w:right="-73" w:rightChars="-26" w:firstLine="0" w:firstLineChars="0"/>
        <w:jc w:val="center"/>
        <w:rPr>
          <w:rFonts w:hint="eastAsia" w:ascii="宋体" w:hAnsi="宋体" w:eastAsia="宋体" w:cs="宋体"/>
          <w:bCs/>
          <w:color w:val="auto"/>
          <w:kern w:val="0"/>
          <w:sz w:val="48"/>
          <w:szCs w:val="48"/>
          <w:highlight w:val="none"/>
          <w:lang w:eastAsia="zh-CN"/>
        </w:rPr>
      </w:pPr>
    </w:p>
    <w:p w14:paraId="6013F4CA">
      <w:pPr>
        <w:pStyle w:val="53"/>
        <w:spacing w:line="360" w:lineRule="auto"/>
        <w:ind w:left="0" w:leftChars="0" w:right="-73" w:rightChars="-26" w:firstLine="0" w:firstLineChars="0"/>
        <w:jc w:val="center"/>
        <w:rPr>
          <w:rFonts w:hint="eastAsia" w:ascii="宋体" w:hAnsi="宋体" w:eastAsia="宋体" w:cs="宋体"/>
          <w:bCs/>
          <w:color w:val="auto"/>
          <w:kern w:val="0"/>
          <w:sz w:val="48"/>
          <w:szCs w:val="48"/>
          <w:highlight w:val="none"/>
          <w:lang w:eastAsia="zh-CN"/>
        </w:rPr>
      </w:pPr>
      <w:r>
        <w:rPr>
          <w:rFonts w:hint="eastAsia" w:ascii="宋体" w:hAnsi="宋体" w:eastAsia="宋体" w:cs="宋体"/>
          <w:bCs/>
          <w:color w:val="auto"/>
          <w:kern w:val="0"/>
          <w:sz w:val="48"/>
          <w:szCs w:val="48"/>
          <w:highlight w:val="none"/>
          <w:lang w:eastAsia="zh-CN"/>
        </w:rPr>
        <w:t>郑州市上街区教育局采购智慧黑板及</w:t>
      </w:r>
    </w:p>
    <w:p w14:paraId="6FD9EFB4">
      <w:pPr>
        <w:pStyle w:val="53"/>
        <w:spacing w:line="360" w:lineRule="auto"/>
        <w:ind w:left="0" w:leftChars="0" w:right="-73" w:rightChars="-26" w:firstLine="0" w:firstLineChars="0"/>
        <w:jc w:val="center"/>
        <w:rPr>
          <w:rFonts w:hint="eastAsia" w:ascii="宋体" w:hAnsi="宋体" w:eastAsia="宋体" w:cs="宋体"/>
          <w:bCs/>
          <w:color w:val="auto"/>
          <w:kern w:val="0"/>
          <w:sz w:val="48"/>
          <w:szCs w:val="48"/>
          <w:highlight w:val="none"/>
          <w:lang w:eastAsia="zh-CN"/>
        </w:rPr>
      </w:pPr>
      <w:r>
        <w:rPr>
          <w:rFonts w:hint="eastAsia" w:ascii="宋体" w:hAnsi="宋体" w:eastAsia="宋体" w:cs="宋体"/>
          <w:bCs/>
          <w:color w:val="auto"/>
          <w:kern w:val="0"/>
          <w:sz w:val="48"/>
          <w:szCs w:val="48"/>
          <w:highlight w:val="none"/>
          <w:lang w:eastAsia="zh-CN"/>
        </w:rPr>
        <w:t>教室护眼灯设备项目</w:t>
      </w:r>
    </w:p>
    <w:p w14:paraId="63894B90">
      <w:pPr>
        <w:pStyle w:val="53"/>
        <w:spacing w:line="360" w:lineRule="auto"/>
        <w:jc w:val="both"/>
        <w:rPr>
          <w:rFonts w:hint="eastAsia" w:ascii="宋体" w:hAnsi="宋体" w:eastAsia="宋体" w:cs="宋体"/>
          <w:color w:val="auto"/>
          <w:kern w:val="0"/>
          <w:sz w:val="24"/>
          <w:szCs w:val="24"/>
          <w:highlight w:val="none"/>
        </w:rPr>
      </w:pPr>
    </w:p>
    <w:p w14:paraId="2397FC07">
      <w:pPr>
        <w:pStyle w:val="24"/>
        <w:rPr>
          <w:rFonts w:hint="eastAsia" w:ascii="宋体" w:hAnsi="宋体" w:eastAsia="宋体" w:cs="宋体"/>
          <w:color w:val="auto"/>
          <w:highlight w:val="none"/>
        </w:rPr>
      </w:pPr>
    </w:p>
    <w:p w14:paraId="0ADED3E0">
      <w:pPr>
        <w:pStyle w:val="24"/>
        <w:rPr>
          <w:rFonts w:hint="eastAsia" w:ascii="宋体" w:hAnsi="宋体" w:eastAsia="宋体" w:cs="宋体"/>
          <w:color w:val="auto"/>
          <w:highlight w:val="none"/>
        </w:rPr>
      </w:pPr>
    </w:p>
    <w:p w14:paraId="158887B4">
      <w:pPr>
        <w:pStyle w:val="24"/>
        <w:rPr>
          <w:rFonts w:hint="eastAsia" w:ascii="宋体" w:hAnsi="宋体" w:eastAsia="宋体" w:cs="宋体"/>
          <w:color w:val="auto"/>
          <w:highlight w:val="none"/>
        </w:rPr>
      </w:pPr>
    </w:p>
    <w:p w14:paraId="5E0DDBCE">
      <w:pPr>
        <w:pStyle w:val="24"/>
        <w:rPr>
          <w:rFonts w:hint="eastAsia" w:ascii="宋体" w:hAnsi="宋体" w:eastAsia="宋体" w:cs="宋体"/>
          <w:color w:val="auto"/>
          <w:kern w:val="0"/>
          <w:sz w:val="28"/>
          <w:highlight w:val="none"/>
        </w:rPr>
      </w:pPr>
    </w:p>
    <w:p w14:paraId="6C7C6A65">
      <w:pPr>
        <w:pStyle w:val="53"/>
        <w:rPr>
          <w:rFonts w:hint="eastAsia" w:ascii="宋体" w:hAnsi="宋体" w:eastAsia="宋体" w:cs="宋体"/>
          <w:color w:val="auto"/>
          <w:highlight w:val="none"/>
        </w:rPr>
      </w:pPr>
    </w:p>
    <w:p w14:paraId="3160A89C">
      <w:pPr>
        <w:pStyle w:val="53"/>
        <w:spacing w:line="360" w:lineRule="auto"/>
        <w:ind w:left="0" w:leftChars="0" w:firstLine="0" w:firstLineChars="0"/>
        <w:jc w:val="center"/>
        <w:rPr>
          <w:rFonts w:hint="eastAsia" w:ascii="宋体" w:hAnsi="宋体" w:eastAsia="宋体" w:cs="宋体"/>
          <w:b w:val="0"/>
          <w:color w:val="auto"/>
          <w:sz w:val="72"/>
          <w:szCs w:val="84"/>
          <w:highlight w:val="none"/>
        </w:rPr>
      </w:pPr>
      <w:r>
        <w:rPr>
          <w:rFonts w:hint="eastAsia" w:ascii="宋体" w:hAnsi="宋体" w:eastAsia="宋体" w:cs="宋体"/>
          <w:b w:val="0"/>
          <w:color w:val="auto"/>
          <w:sz w:val="72"/>
          <w:szCs w:val="84"/>
          <w:highlight w:val="none"/>
        </w:rPr>
        <w:t>竞争性磋商文件</w:t>
      </w:r>
    </w:p>
    <w:p w14:paraId="4BF67711">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000C7CA2">
      <w:pPr>
        <w:pStyle w:val="53"/>
        <w:rPr>
          <w:rFonts w:hint="eastAsia" w:ascii="宋体" w:hAnsi="宋体" w:eastAsia="宋体" w:cs="宋体"/>
          <w:color w:val="auto"/>
          <w:sz w:val="40"/>
          <w:szCs w:val="52"/>
          <w:highlight w:val="none"/>
        </w:rPr>
      </w:pPr>
    </w:p>
    <w:p w14:paraId="3FD7608F">
      <w:pPr>
        <w:pStyle w:val="24"/>
        <w:ind w:left="0" w:leftChars="0" w:firstLine="0" w:firstLineChars="0"/>
        <w:rPr>
          <w:rFonts w:hint="eastAsia" w:ascii="宋体" w:hAnsi="宋体" w:eastAsia="宋体" w:cs="宋体"/>
          <w:color w:val="auto"/>
          <w:sz w:val="40"/>
          <w:szCs w:val="52"/>
          <w:highlight w:val="none"/>
        </w:rPr>
      </w:pPr>
    </w:p>
    <w:p w14:paraId="0ED70A52">
      <w:pPr>
        <w:pStyle w:val="16"/>
        <w:ind w:left="0" w:leftChars="0" w:firstLine="0" w:firstLineChars="0"/>
        <w:rPr>
          <w:rFonts w:hint="eastAsia" w:ascii="宋体" w:hAnsi="宋体" w:eastAsia="宋体" w:cs="宋体"/>
          <w:b/>
          <w:bCs/>
          <w:color w:val="auto"/>
          <w:sz w:val="28"/>
          <w:szCs w:val="28"/>
          <w:highlight w:val="none"/>
        </w:rPr>
      </w:pPr>
    </w:p>
    <w:p w14:paraId="5D751DAE">
      <w:pPr>
        <w:spacing w:line="360" w:lineRule="auto"/>
        <w:ind w:firstLine="2389" w:firstLineChars="85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cs="宋体"/>
          <w:b/>
          <w:bCs/>
          <w:color w:val="auto"/>
          <w:sz w:val="28"/>
          <w:szCs w:val="28"/>
          <w:highlight w:val="none"/>
          <w:lang w:val="en-US" w:eastAsia="zh-CN"/>
        </w:rPr>
        <w:t>郑上财-磋商-【2025】-14</w:t>
      </w:r>
    </w:p>
    <w:p w14:paraId="224C7C9B">
      <w:pPr>
        <w:spacing w:line="360" w:lineRule="auto"/>
        <w:ind w:firstLine="2389" w:firstLineChars="85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采 购 人：郑州市上街区教育局</w:t>
      </w:r>
    </w:p>
    <w:p w14:paraId="600EEAFF">
      <w:pPr>
        <w:spacing w:line="360" w:lineRule="auto"/>
        <w:ind w:firstLine="2249" w:firstLineChars="800"/>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 xml:space="preserve"> 代理机构：</w:t>
      </w:r>
      <w:r>
        <w:rPr>
          <w:rFonts w:hint="eastAsia" w:ascii="宋体" w:hAnsi="宋体" w:eastAsia="宋体" w:cs="宋体"/>
          <w:b/>
          <w:color w:val="auto"/>
          <w:sz w:val="28"/>
          <w:szCs w:val="28"/>
          <w:highlight w:val="none"/>
          <w:lang w:eastAsia="zh-CN"/>
        </w:rPr>
        <w:t>河南广信项目管理有限公司</w:t>
      </w:r>
    </w:p>
    <w:p w14:paraId="5774D5B4">
      <w:pPr>
        <w:spacing w:line="360" w:lineRule="auto"/>
        <w:ind w:firstLine="2389" w:firstLineChars="8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期：二〇二</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年</w:t>
      </w:r>
      <w:r>
        <w:rPr>
          <w:rFonts w:hint="eastAsia" w:cs="宋体"/>
          <w:b/>
          <w:color w:val="auto"/>
          <w:sz w:val="28"/>
          <w:szCs w:val="28"/>
          <w:highlight w:val="none"/>
          <w:lang w:eastAsia="zh-CN"/>
        </w:rPr>
        <w:t>七</w:t>
      </w:r>
      <w:r>
        <w:rPr>
          <w:rFonts w:hint="eastAsia" w:ascii="宋体" w:hAnsi="宋体" w:eastAsia="宋体" w:cs="宋体"/>
          <w:b/>
          <w:color w:val="auto"/>
          <w:sz w:val="28"/>
          <w:szCs w:val="28"/>
          <w:highlight w:val="none"/>
        </w:rPr>
        <w:t>月</w:t>
      </w:r>
    </w:p>
    <w:p w14:paraId="26E41383">
      <w:pPr>
        <w:spacing w:line="360" w:lineRule="auto"/>
        <w:jc w:val="center"/>
        <w:rPr>
          <w:rFonts w:hint="eastAsia" w:ascii="宋体" w:hAnsi="宋体" w:eastAsia="宋体" w:cs="宋体"/>
          <w:b/>
          <w:bCs/>
          <w:color w:val="auto"/>
          <w:sz w:val="30"/>
          <w:szCs w:val="30"/>
          <w:highlight w:val="none"/>
        </w:rPr>
        <w:sectPr>
          <w:headerReference r:id="rId6" w:type="first"/>
          <w:headerReference r:id="rId5" w:type="default"/>
          <w:footerReference r:id="rId7" w:type="default"/>
          <w:pgSz w:w="11907" w:h="16840"/>
          <w:pgMar w:top="1418" w:right="1304" w:bottom="1418" w:left="1418" w:header="851" w:footer="851" w:gutter="0"/>
          <w:cols w:space="720" w:num="1"/>
          <w:titlePg/>
          <w:docGrid w:linePitch="462" w:charSpace="0"/>
        </w:sectPr>
      </w:pPr>
    </w:p>
    <w:p w14:paraId="20F416F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p>
    <w:p w14:paraId="0F7E90A6">
      <w:pPr>
        <w:pStyle w:val="42"/>
        <w:tabs>
          <w:tab w:val="right" w:leader="dot" w:pos="9460"/>
          <w:tab w:val="clear" w:pos="9060"/>
        </w:tabs>
        <w:rPr>
          <w:rFonts w:hint="eastAsia" w:ascii="宋体" w:hAnsi="宋体" w:eastAsia="宋体" w:cs="宋体"/>
          <w:color w:val="auto"/>
          <w:sz w:val="28"/>
          <w:szCs w:val="28"/>
          <w:highlight w:val="none"/>
        </w:rPr>
      </w:pPr>
      <w:bookmarkStart w:id="0" w:name="_Toc98041600"/>
      <w:r>
        <w:rPr>
          <w:rFonts w:hint="eastAsia" w:ascii="宋体" w:hAnsi="宋体" w:eastAsia="宋体" w:cs="宋体"/>
          <w:bCs/>
          <w:caps w:val="0"/>
          <w:color w:val="auto"/>
          <w:sz w:val="28"/>
          <w:szCs w:val="28"/>
          <w:highlight w:val="none"/>
        </w:rPr>
        <w:fldChar w:fldCharType="begin"/>
      </w:r>
      <w:r>
        <w:rPr>
          <w:rFonts w:hint="eastAsia" w:ascii="宋体" w:hAnsi="宋体" w:eastAsia="宋体" w:cs="宋体"/>
          <w:bCs/>
          <w:caps w:val="0"/>
          <w:color w:val="auto"/>
          <w:sz w:val="28"/>
          <w:szCs w:val="28"/>
          <w:highlight w:val="none"/>
        </w:rPr>
        <w:instrText xml:space="preserve">TOC \o "1-1" \h \u </w:instrText>
      </w:r>
      <w:r>
        <w:rPr>
          <w:rFonts w:hint="eastAsia" w:ascii="宋体" w:hAnsi="宋体" w:eastAsia="宋体" w:cs="宋体"/>
          <w:bCs/>
          <w:caps w:val="0"/>
          <w:color w:val="auto"/>
          <w:sz w:val="28"/>
          <w:szCs w:val="28"/>
          <w:highlight w:val="none"/>
        </w:rPr>
        <w:fldChar w:fldCharType="separate"/>
      </w:r>
      <w:r>
        <w:rPr>
          <w:rFonts w:hint="eastAsia" w:ascii="宋体" w:hAnsi="宋体" w:eastAsia="宋体" w:cs="宋体"/>
          <w:bCs/>
          <w:caps w:val="0"/>
          <w:color w:val="auto"/>
          <w:sz w:val="28"/>
          <w:szCs w:val="28"/>
          <w:highlight w:val="none"/>
        </w:rPr>
        <w:fldChar w:fldCharType="begin"/>
      </w:r>
      <w:r>
        <w:rPr>
          <w:rFonts w:hint="eastAsia" w:ascii="宋体" w:hAnsi="宋体" w:eastAsia="宋体" w:cs="宋体"/>
          <w:bCs/>
          <w:caps w:val="0"/>
          <w:color w:val="auto"/>
          <w:sz w:val="28"/>
          <w:szCs w:val="28"/>
          <w:highlight w:val="none"/>
        </w:rPr>
        <w:instrText xml:space="preserve"> HYPERLINK \l _Toc13314 </w:instrText>
      </w:r>
      <w:r>
        <w:rPr>
          <w:rFonts w:hint="eastAsia" w:ascii="宋体" w:hAnsi="宋体" w:eastAsia="宋体" w:cs="宋体"/>
          <w:bCs/>
          <w:caps w:val="0"/>
          <w:color w:val="auto"/>
          <w:sz w:val="28"/>
          <w:szCs w:val="28"/>
          <w:highlight w:val="none"/>
        </w:rPr>
        <w:fldChar w:fldCharType="separate"/>
      </w:r>
      <w:r>
        <w:rPr>
          <w:rFonts w:hint="eastAsia" w:ascii="宋体" w:hAnsi="宋体" w:eastAsia="宋体" w:cs="宋体"/>
          <w:bCs/>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caps w:val="0"/>
          <w:color w:val="auto"/>
          <w:sz w:val="28"/>
          <w:szCs w:val="28"/>
          <w:highlight w:val="none"/>
        </w:rPr>
        <w:fldChar w:fldCharType="end"/>
      </w:r>
    </w:p>
    <w:p w14:paraId="148E8B4B">
      <w:pPr>
        <w:pStyle w:val="42"/>
        <w:tabs>
          <w:tab w:val="right" w:leader="dot" w:pos="9460"/>
          <w:tab w:val="clear" w:pos="9060"/>
        </w:tabs>
        <w:rPr>
          <w:rFonts w:hint="eastAsia" w:ascii="宋体" w:hAnsi="宋体" w:eastAsia="宋体" w:cs="宋体"/>
          <w:color w:val="auto"/>
          <w:sz w:val="28"/>
          <w:szCs w:val="28"/>
          <w:highlight w:val="none"/>
        </w:rPr>
      </w:pPr>
      <w:r>
        <w:rPr>
          <w:rFonts w:hint="eastAsia" w:ascii="宋体" w:hAnsi="宋体" w:eastAsia="宋体" w:cs="宋体"/>
          <w:bCs/>
          <w:caps w:val="0"/>
          <w:color w:val="auto"/>
          <w:sz w:val="28"/>
          <w:szCs w:val="28"/>
          <w:highlight w:val="none"/>
        </w:rPr>
        <w:fldChar w:fldCharType="begin"/>
      </w:r>
      <w:r>
        <w:rPr>
          <w:rFonts w:hint="eastAsia" w:ascii="宋体" w:hAnsi="宋体" w:eastAsia="宋体" w:cs="宋体"/>
          <w:bCs/>
          <w:caps w:val="0"/>
          <w:color w:val="auto"/>
          <w:sz w:val="28"/>
          <w:szCs w:val="28"/>
          <w:highlight w:val="none"/>
        </w:rPr>
        <w:instrText xml:space="preserve"> HYPERLINK \l _Toc1495 </w:instrText>
      </w:r>
      <w:r>
        <w:rPr>
          <w:rFonts w:hint="eastAsia" w:ascii="宋体" w:hAnsi="宋体" w:eastAsia="宋体" w:cs="宋体"/>
          <w:bCs/>
          <w:caps w:val="0"/>
          <w:color w:val="auto"/>
          <w:sz w:val="28"/>
          <w:szCs w:val="28"/>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bCs/>
          <w:color w:val="auto"/>
          <w:sz w:val="28"/>
          <w:szCs w:val="28"/>
          <w:highlight w:val="none"/>
        </w:rPr>
        <w:t>供应商须知</w:t>
      </w:r>
      <w:r>
        <w:rPr>
          <w:rFonts w:hint="eastAsia" w:cs="宋体"/>
          <w:bCs/>
          <w:color w:val="auto"/>
          <w:sz w:val="28"/>
          <w:szCs w:val="28"/>
          <w:highlight w:val="none"/>
          <w:lang w:val="en-US" w:eastAsia="zh-CN"/>
        </w:rPr>
        <w:t>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bCs/>
          <w:caps w:val="0"/>
          <w:color w:val="auto"/>
          <w:sz w:val="28"/>
          <w:szCs w:val="28"/>
          <w:highlight w:val="none"/>
        </w:rPr>
        <w:fldChar w:fldCharType="end"/>
      </w:r>
    </w:p>
    <w:p w14:paraId="3887EBA9">
      <w:pPr>
        <w:pStyle w:val="42"/>
        <w:tabs>
          <w:tab w:val="right" w:leader="dot" w:pos="9460"/>
          <w:tab w:val="clear" w:pos="9060"/>
        </w:tabs>
        <w:rPr>
          <w:rFonts w:hint="eastAsia" w:ascii="宋体" w:hAnsi="宋体" w:eastAsia="宋体" w:cs="宋体"/>
          <w:color w:val="auto"/>
          <w:sz w:val="28"/>
          <w:szCs w:val="28"/>
          <w:highlight w:val="none"/>
        </w:rPr>
      </w:pPr>
      <w:r>
        <w:rPr>
          <w:rFonts w:hint="eastAsia" w:ascii="宋体" w:hAnsi="宋体" w:eastAsia="宋体" w:cs="宋体"/>
          <w:bCs/>
          <w:caps w:val="0"/>
          <w:color w:val="auto"/>
          <w:sz w:val="28"/>
          <w:szCs w:val="28"/>
          <w:highlight w:val="none"/>
        </w:rPr>
        <w:fldChar w:fldCharType="begin"/>
      </w:r>
      <w:r>
        <w:rPr>
          <w:rFonts w:hint="eastAsia" w:ascii="宋体" w:hAnsi="宋体" w:eastAsia="宋体" w:cs="宋体"/>
          <w:bCs/>
          <w:caps w:val="0"/>
          <w:color w:val="auto"/>
          <w:sz w:val="28"/>
          <w:szCs w:val="28"/>
          <w:highlight w:val="none"/>
        </w:rPr>
        <w:instrText xml:space="preserve"> HYPERLINK \l _Toc9415 </w:instrText>
      </w:r>
      <w:r>
        <w:rPr>
          <w:rFonts w:hint="eastAsia" w:ascii="宋体" w:hAnsi="宋体" w:eastAsia="宋体" w:cs="宋体"/>
          <w:bCs/>
          <w:caps w:val="0"/>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ascii="宋体" w:hAnsi="宋体" w:eastAsia="宋体" w:cs="宋体"/>
          <w:color w:val="auto"/>
          <w:sz w:val="28"/>
          <w:szCs w:val="28"/>
          <w:highlight w:val="none"/>
        </w:rPr>
        <w:t>采购人需求及技术要求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_Toc9415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bCs/>
          <w:caps w:val="0"/>
          <w:color w:val="auto"/>
          <w:sz w:val="28"/>
          <w:szCs w:val="28"/>
          <w:highlight w:val="none"/>
        </w:rPr>
        <w:fldChar w:fldCharType="end"/>
      </w:r>
    </w:p>
    <w:p w14:paraId="603FC6B9">
      <w:pPr>
        <w:pStyle w:val="42"/>
        <w:tabs>
          <w:tab w:val="right" w:leader="dot" w:pos="9460"/>
          <w:tab w:val="clear" w:pos="9060"/>
        </w:tabs>
        <w:rPr>
          <w:rFonts w:hint="eastAsia" w:ascii="宋体" w:hAnsi="宋体" w:eastAsia="宋体" w:cs="宋体"/>
          <w:color w:val="auto"/>
          <w:sz w:val="28"/>
          <w:szCs w:val="28"/>
          <w:highlight w:val="none"/>
        </w:rPr>
      </w:pPr>
      <w:r>
        <w:rPr>
          <w:rFonts w:hint="eastAsia" w:ascii="宋体" w:hAnsi="宋体" w:eastAsia="宋体" w:cs="宋体"/>
          <w:bCs/>
          <w:caps w:val="0"/>
          <w:color w:val="auto"/>
          <w:sz w:val="28"/>
          <w:szCs w:val="28"/>
          <w:highlight w:val="none"/>
        </w:rPr>
        <w:fldChar w:fldCharType="begin"/>
      </w:r>
      <w:r>
        <w:rPr>
          <w:rFonts w:hint="eastAsia" w:ascii="宋体" w:hAnsi="宋体" w:eastAsia="宋体" w:cs="宋体"/>
          <w:bCs/>
          <w:caps w:val="0"/>
          <w:color w:val="auto"/>
          <w:sz w:val="28"/>
          <w:szCs w:val="28"/>
          <w:highlight w:val="none"/>
        </w:rPr>
        <w:instrText xml:space="preserve"> HYPERLINK \l _Toc349 </w:instrText>
      </w:r>
      <w:r>
        <w:rPr>
          <w:rFonts w:hint="eastAsia" w:ascii="宋体" w:hAnsi="宋体" w:eastAsia="宋体" w:cs="宋体"/>
          <w:bCs/>
          <w:caps w:val="0"/>
          <w:color w:val="auto"/>
          <w:sz w:val="28"/>
          <w:szCs w:val="28"/>
          <w:highlight w:val="none"/>
        </w:rPr>
        <w:fldChar w:fldCharType="separate"/>
      </w:r>
      <w:r>
        <w:rPr>
          <w:rFonts w:hint="eastAsia" w:ascii="宋体" w:hAnsi="宋体" w:eastAsia="宋体" w:cs="宋体"/>
          <w:bCs/>
          <w:color w:val="auto"/>
          <w:sz w:val="28"/>
          <w:szCs w:val="28"/>
          <w:highlight w:val="none"/>
        </w:rPr>
        <w:t>第四章  合同协议书（格式）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_Toc349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bCs/>
          <w:caps w:val="0"/>
          <w:color w:val="auto"/>
          <w:sz w:val="28"/>
          <w:szCs w:val="28"/>
          <w:highlight w:val="none"/>
        </w:rPr>
        <w:fldChar w:fldCharType="end"/>
      </w:r>
    </w:p>
    <w:p w14:paraId="66A71999">
      <w:pPr>
        <w:pStyle w:val="42"/>
        <w:tabs>
          <w:tab w:val="right" w:leader="dot" w:pos="9460"/>
          <w:tab w:val="clear" w:pos="9060"/>
        </w:tabs>
        <w:rPr>
          <w:rFonts w:hint="eastAsia" w:ascii="宋体" w:hAnsi="宋体" w:eastAsia="宋体" w:cs="宋体"/>
          <w:color w:val="auto"/>
          <w:sz w:val="28"/>
          <w:szCs w:val="28"/>
          <w:highlight w:val="none"/>
        </w:rPr>
      </w:pPr>
      <w:r>
        <w:rPr>
          <w:rFonts w:hint="eastAsia" w:ascii="宋体" w:hAnsi="宋体" w:eastAsia="宋体" w:cs="宋体"/>
          <w:bCs/>
          <w:caps w:val="0"/>
          <w:color w:val="auto"/>
          <w:sz w:val="28"/>
          <w:szCs w:val="28"/>
          <w:highlight w:val="none"/>
        </w:rPr>
        <w:fldChar w:fldCharType="begin"/>
      </w:r>
      <w:r>
        <w:rPr>
          <w:rFonts w:hint="eastAsia" w:ascii="宋体" w:hAnsi="宋体" w:eastAsia="宋体" w:cs="宋体"/>
          <w:bCs/>
          <w:caps w:val="0"/>
          <w:color w:val="auto"/>
          <w:sz w:val="28"/>
          <w:szCs w:val="28"/>
          <w:highlight w:val="none"/>
        </w:rPr>
        <w:instrText xml:space="preserve"> HYPERLINK \l _Toc7002 </w:instrText>
      </w:r>
      <w:r>
        <w:rPr>
          <w:rFonts w:hint="eastAsia" w:ascii="宋体" w:hAnsi="宋体" w:eastAsia="宋体" w:cs="宋体"/>
          <w:bCs/>
          <w:caps w:val="0"/>
          <w:color w:val="auto"/>
          <w:sz w:val="28"/>
          <w:szCs w:val="28"/>
          <w:highlight w:val="none"/>
        </w:rPr>
        <w:fldChar w:fldCharType="separate"/>
      </w:r>
      <w:r>
        <w:rPr>
          <w:rFonts w:hint="eastAsia" w:ascii="宋体" w:hAnsi="宋体" w:eastAsia="宋体" w:cs="宋体"/>
          <w:bCs/>
          <w:color w:val="auto"/>
          <w:sz w:val="28"/>
          <w:szCs w:val="28"/>
          <w:highlight w:val="none"/>
        </w:rPr>
        <w:t>第五章  响应文件部分格式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_Toc7002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64</w:t>
      </w:r>
      <w:r>
        <w:rPr>
          <w:rFonts w:hint="eastAsia" w:ascii="宋体" w:hAnsi="宋体" w:eastAsia="宋体" w:cs="宋体"/>
          <w:color w:val="auto"/>
          <w:sz w:val="28"/>
          <w:szCs w:val="28"/>
          <w:highlight w:val="none"/>
        </w:rPr>
        <w:fldChar w:fldCharType="end"/>
      </w:r>
      <w:r>
        <w:rPr>
          <w:rFonts w:hint="eastAsia" w:ascii="宋体" w:hAnsi="宋体" w:eastAsia="宋体" w:cs="宋体"/>
          <w:bCs/>
          <w:caps w:val="0"/>
          <w:color w:val="auto"/>
          <w:sz w:val="28"/>
          <w:szCs w:val="28"/>
          <w:highlight w:val="none"/>
        </w:rPr>
        <w:fldChar w:fldCharType="end"/>
      </w:r>
    </w:p>
    <w:p w14:paraId="6282AB63">
      <w:pPr>
        <w:tabs>
          <w:tab w:val="right" w:pos="7560"/>
        </w:tabs>
        <w:spacing w:line="480" w:lineRule="auto"/>
        <w:jc w:val="left"/>
        <w:rPr>
          <w:rFonts w:hint="eastAsia" w:ascii="宋体" w:hAnsi="宋体" w:eastAsia="宋体" w:cs="宋体"/>
          <w:bCs/>
          <w:caps/>
          <w:color w:val="auto"/>
          <w:sz w:val="28"/>
          <w:szCs w:val="28"/>
          <w:highlight w:val="none"/>
        </w:rPr>
      </w:pPr>
      <w:r>
        <w:rPr>
          <w:rFonts w:hint="eastAsia" w:ascii="宋体" w:hAnsi="宋体" w:eastAsia="宋体" w:cs="宋体"/>
          <w:bCs/>
          <w:caps/>
          <w:color w:val="auto"/>
          <w:sz w:val="28"/>
          <w:szCs w:val="28"/>
          <w:highlight w:val="none"/>
        </w:rPr>
        <w:fldChar w:fldCharType="end"/>
      </w:r>
    </w:p>
    <w:p w14:paraId="04F9529C">
      <w:pPr>
        <w:tabs>
          <w:tab w:val="right" w:pos="7560"/>
        </w:tabs>
        <w:spacing w:line="360" w:lineRule="auto"/>
        <w:jc w:val="center"/>
        <w:outlineLvl w:val="0"/>
        <w:rPr>
          <w:rFonts w:hint="eastAsia" w:ascii="宋体" w:hAnsi="宋体" w:eastAsia="宋体" w:cs="宋体"/>
          <w:b/>
          <w:bCs/>
          <w:color w:val="auto"/>
          <w:sz w:val="28"/>
          <w:szCs w:val="28"/>
          <w:highlight w:val="none"/>
        </w:rPr>
        <w:sectPr>
          <w:headerReference r:id="rId8" w:type="first"/>
          <w:footerReference r:id="rId10" w:type="first"/>
          <w:footerReference r:id="rId9" w:type="default"/>
          <w:pgSz w:w="11907" w:h="16840"/>
          <w:pgMar w:top="1418" w:right="1304" w:bottom="1418" w:left="1418" w:header="851" w:footer="1191" w:gutter="0"/>
          <w:pgNumType w:fmt="decimal" w:start="1"/>
          <w:cols w:space="720" w:num="1"/>
          <w:titlePg/>
          <w:docGrid w:linePitch="462" w:charSpace="0"/>
        </w:sectPr>
      </w:pPr>
      <w:bookmarkStart w:id="1" w:name="_Toc449115768"/>
      <w:bookmarkStart w:id="2" w:name="_Toc24668"/>
      <w:bookmarkStart w:id="3" w:name="_Toc13314"/>
      <w:bookmarkStart w:id="4" w:name="_Toc6487306"/>
    </w:p>
    <w:p w14:paraId="0E180678">
      <w:pPr>
        <w:tabs>
          <w:tab w:val="right" w:pos="7560"/>
        </w:tabs>
        <w:spacing w:line="360" w:lineRule="auto"/>
        <w:ind w:left="0" w:leftChars="0" w:firstLine="0" w:firstLineChars="0"/>
        <w:jc w:val="center"/>
        <w:outlineLvl w:val="0"/>
        <w:rPr>
          <w:rFonts w:hint="eastAsia" w:ascii="宋体" w:hAnsi="宋体" w:eastAsia="宋体" w:cs="宋体"/>
          <w:b/>
          <w:bCs/>
          <w:color w:val="auto"/>
          <w:sz w:val="28"/>
          <w:szCs w:val="28"/>
          <w:highlight w:val="none"/>
        </w:rPr>
      </w:pPr>
      <w:bookmarkStart w:id="5" w:name="OLE_LINK15"/>
      <w:r>
        <w:rPr>
          <w:rFonts w:hint="eastAsia" w:ascii="宋体" w:hAnsi="宋体" w:eastAsia="宋体" w:cs="宋体"/>
          <w:b/>
          <w:bCs/>
          <w:color w:val="auto"/>
          <w:sz w:val="28"/>
          <w:szCs w:val="28"/>
          <w:highlight w:val="none"/>
        </w:rPr>
        <w:t>第一章  竞争性磋商公告</w:t>
      </w:r>
      <w:bookmarkEnd w:id="1"/>
      <w:bookmarkEnd w:id="2"/>
      <w:bookmarkEnd w:id="3"/>
      <w:bookmarkEnd w:id="4"/>
    </w:p>
    <w:p w14:paraId="0E07571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D6C2F8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郑州市上街区教育局采购智慧黑板及教室护眼灯设备项目</w:t>
      </w:r>
      <w:r>
        <w:rPr>
          <w:rFonts w:hint="eastAsia" w:ascii="宋体" w:hAnsi="宋体" w:eastAsia="宋体" w:cs="宋体"/>
          <w:color w:val="auto"/>
          <w:sz w:val="24"/>
          <w:szCs w:val="24"/>
          <w:highlight w:val="none"/>
        </w:rPr>
        <w:t>的潜在供应商应在“郑州市公共资源交易中心网站（https://zzggzy.zhengzhou.gov.cn）”获取磋商文件，并于202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w:t>
      </w:r>
      <w:r>
        <w:rPr>
          <w:rFonts w:hint="eastAsia"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0分（北京时间）前递交响应文件。</w:t>
      </w:r>
    </w:p>
    <w:p w14:paraId="7899B765">
      <w:pPr>
        <w:widowControl/>
        <w:spacing w:line="360" w:lineRule="auto"/>
        <w:ind w:left="0" w:leftChars="0" w:firstLine="0" w:firstLine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一、项目基本情况</w:t>
      </w:r>
    </w:p>
    <w:p w14:paraId="272C115D">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val="en-US" w:eastAsia="zh-CN"/>
        </w:rPr>
        <w:t>郑上财-磋商-【2025】-14</w:t>
      </w:r>
    </w:p>
    <w:p w14:paraId="2557EE58">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cs="宋体"/>
          <w:color w:val="auto"/>
          <w:sz w:val="24"/>
          <w:szCs w:val="24"/>
          <w:highlight w:val="none"/>
          <w:lang w:eastAsia="zh-CN"/>
        </w:rPr>
        <w:t>郑州市上街区教育局采购智慧黑板及教室护眼灯设备项目</w:t>
      </w:r>
    </w:p>
    <w:p w14:paraId="6EEB98B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44E65D5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cs="宋体"/>
          <w:color w:val="auto"/>
          <w:sz w:val="24"/>
          <w:szCs w:val="24"/>
          <w:highlight w:val="none"/>
          <w:lang w:val="en-US" w:eastAsia="zh-CN"/>
        </w:rPr>
        <w:t>1300000</w:t>
      </w:r>
      <w:r>
        <w:rPr>
          <w:rFonts w:hint="eastAsia" w:ascii="宋体" w:hAnsi="宋体" w:eastAsia="宋体" w:cs="宋体"/>
          <w:color w:val="auto"/>
          <w:sz w:val="24"/>
          <w:szCs w:val="24"/>
          <w:highlight w:val="none"/>
        </w:rPr>
        <w:t>.00元</w:t>
      </w:r>
    </w:p>
    <w:p w14:paraId="7EC3B900">
      <w:pPr>
        <w:widowControl/>
        <w:spacing w:line="360" w:lineRule="auto"/>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cs="宋体"/>
          <w:color w:val="auto"/>
          <w:sz w:val="24"/>
          <w:szCs w:val="24"/>
          <w:highlight w:val="none"/>
          <w:lang w:val="en-US" w:eastAsia="zh-CN"/>
        </w:rPr>
        <w:t>1300000</w:t>
      </w:r>
      <w:r>
        <w:rPr>
          <w:rFonts w:hint="eastAsia" w:ascii="宋体" w:hAnsi="宋体" w:eastAsia="宋体" w:cs="宋体"/>
          <w:color w:val="auto"/>
          <w:sz w:val="24"/>
          <w:szCs w:val="24"/>
          <w:highlight w:val="none"/>
        </w:rPr>
        <w:t>.00元</w:t>
      </w:r>
    </w:p>
    <w:tbl>
      <w:tblPr>
        <w:tblStyle w:val="6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966"/>
        <w:gridCol w:w="2702"/>
        <w:gridCol w:w="2480"/>
        <w:gridCol w:w="2315"/>
      </w:tblGrid>
      <w:tr w14:paraId="73BA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61" w:type="dxa"/>
            <w:noWrap w:val="0"/>
            <w:vAlign w:val="top"/>
          </w:tcPr>
          <w:p w14:paraId="13974FE6">
            <w:pPr>
              <w:bidi w:val="0"/>
              <w:ind w:left="0" w:leftChars="0" w:firstLine="0" w:firstLineChars="0"/>
              <w:jc w:val="center"/>
              <w:rPr>
                <w:rFonts w:hint="eastAsia" w:ascii="宋体" w:hAnsi="宋体" w:eastAsia="宋体" w:cs="宋体"/>
                <w:b w:val="0"/>
                <w:bCs w:val="0"/>
                <w:color w:val="auto"/>
                <w:sz w:val="24"/>
                <w:szCs w:val="24"/>
                <w:highlight w:val="none"/>
              </w:rPr>
            </w:pPr>
            <w:r>
              <w:rPr>
                <w:color w:val="auto"/>
                <w:sz w:val="24"/>
                <w:szCs w:val="24"/>
                <w:highlight w:val="none"/>
              </w:rPr>
              <w:t>序号</w:t>
            </w:r>
          </w:p>
        </w:tc>
        <w:tc>
          <w:tcPr>
            <w:tcW w:w="966" w:type="dxa"/>
            <w:noWrap w:val="0"/>
            <w:vAlign w:val="top"/>
          </w:tcPr>
          <w:p w14:paraId="62E29980">
            <w:pPr>
              <w:bidi w:val="0"/>
              <w:ind w:left="0" w:leftChars="0" w:firstLine="0" w:firstLineChars="0"/>
              <w:jc w:val="center"/>
              <w:rPr>
                <w:rFonts w:hint="eastAsia" w:ascii="宋体" w:hAnsi="宋体" w:eastAsia="宋体" w:cs="宋体"/>
                <w:b w:val="0"/>
                <w:bCs w:val="0"/>
                <w:color w:val="auto"/>
                <w:sz w:val="24"/>
                <w:szCs w:val="24"/>
                <w:highlight w:val="none"/>
              </w:rPr>
            </w:pPr>
            <w:r>
              <w:rPr>
                <w:color w:val="auto"/>
                <w:sz w:val="24"/>
                <w:szCs w:val="24"/>
                <w:highlight w:val="none"/>
              </w:rPr>
              <w:t>包号</w:t>
            </w:r>
          </w:p>
        </w:tc>
        <w:tc>
          <w:tcPr>
            <w:tcW w:w="2702" w:type="dxa"/>
            <w:noWrap w:val="0"/>
            <w:vAlign w:val="top"/>
          </w:tcPr>
          <w:p w14:paraId="2011D19D">
            <w:pPr>
              <w:bidi w:val="0"/>
              <w:ind w:left="0" w:leftChars="0" w:firstLine="0" w:firstLineChars="0"/>
              <w:jc w:val="center"/>
              <w:rPr>
                <w:rFonts w:hint="eastAsia" w:ascii="宋体" w:hAnsi="宋体" w:eastAsia="宋体" w:cs="宋体"/>
                <w:b w:val="0"/>
                <w:bCs w:val="0"/>
                <w:color w:val="auto"/>
                <w:sz w:val="24"/>
                <w:szCs w:val="24"/>
                <w:highlight w:val="none"/>
              </w:rPr>
            </w:pPr>
            <w:r>
              <w:rPr>
                <w:color w:val="auto"/>
                <w:sz w:val="24"/>
                <w:szCs w:val="24"/>
                <w:highlight w:val="none"/>
              </w:rPr>
              <w:t>包名称</w:t>
            </w:r>
          </w:p>
        </w:tc>
        <w:tc>
          <w:tcPr>
            <w:tcW w:w="2480" w:type="dxa"/>
            <w:noWrap w:val="0"/>
            <w:vAlign w:val="top"/>
          </w:tcPr>
          <w:p w14:paraId="476C3188">
            <w:pPr>
              <w:bidi w:val="0"/>
              <w:ind w:left="0" w:leftChars="0" w:firstLine="0" w:firstLineChars="0"/>
              <w:jc w:val="center"/>
              <w:rPr>
                <w:rFonts w:hint="eastAsia" w:ascii="宋体" w:hAnsi="宋体" w:eastAsia="宋体" w:cs="宋体"/>
                <w:b w:val="0"/>
                <w:bCs w:val="0"/>
                <w:color w:val="auto"/>
                <w:sz w:val="24"/>
                <w:szCs w:val="24"/>
                <w:highlight w:val="none"/>
              </w:rPr>
            </w:pPr>
            <w:r>
              <w:rPr>
                <w:color w:val="auto"/>
                <w:sz w:val="24"/>
                <w:szCs w:val="24"/>
                <w:highlight w:val="none"/>
              </w:rPr>
              <w:t>包预算（元）</w:t>
            </w:r>
          </w:p>
        </w:tc>
        <w:tc>
          <w:tcPr>
            <w:tcW w:w="2315" w:type="dxa"/>
            <w:noWrap w:val="0"/>
            <w:vAlign w:val="top"/>
          </w:tcPr>
          <w:p w14:paraId="1342C019">
            <w:pPr>
              <w:bidi w:val="0"/>
              <w:ind w:left="0" w:leftChars="0" w:firstLine="0" w:firstLineChars="0"/>
              <w:jc w:val="center"/>
              <w:rPr>
                <w:rFonts w:hint="eastAsia" w:ascii="宋体" w:hAnsi="宋体" w:eastAsia="宋体" w:cs="宋体"/>
                <w:b w:val="0"/>
                <w:bCs w:val="0"/>
                <w:color w:val="auto"/>
                <w:sz w:val="24"/>
                <w:szCs w:val="24"/>
                <w:highlight w:val="none"/>
              </w:rPr>
            </w:pPr>
            <w:r>
              <w:rPr>
                <w:color w:val="auto"/>
                <w:sz w:val="24"/>
                <w:szCs w:val="24"/>
                <w:highlight w:val="none"/>
              </w:rPr>
              <w:t>包最高限价（元）</w:t>
            </w:r>
          </w:p>
        </w:tc>
      </w:tr>
      <w:tr w14:paraId="711E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1" w:type="dxa"/>
            <w:noWrap w:val="0"/>
            <w:vAlign w:val="top"/>
          </w:tcPr>
          <w:p w14:paraId="706207B4">
            <w:pPr>
              <w:bidi w:val="0"/>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p>
        </w:tc>
        <w:tc>
          <w:tcPr>
            <w:tcW w:w="966" w:type="dxa"/>
            <w:noWrap w:val="0"/>
            <w:vAlign w:val="top"/>
          </w:tcPr>
          <w:p w14:paraId="514F426F">
            <w:pPr>
              <w:bidi w:val="0"/>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A包</w:t>
            </w:r>
          </w:p>
        </w:tc>
        <w:tc>
          <w:tcPr>
            <w:tcW w:w="2702" w:type="dxa"/>
            <w:noWrap w:val="0"/>
            <w:vAlign w:val="top"/>
          </w:tcPr>
          <w:p w14:paraId="5A884762">
            <w:pPr>
              <w:bidi w:val="0"/>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智慧黑板设备</w:t>
            </w:r>
          </w:p>
        </w:tc>
        <w:tc>
          <w:tcPr>
            <w:tcW w:w="2480" w:type="dxa"/>
            <w:noWrap w:val="0"/>
            <w:vAlign w:val="top"/>
          </w:tcPr>
          <w:p w14:paraId="5839A604">
            <w:pPr>
              <w:bidi w:val="0"/>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lang w:val="en-US" w:eastAsia="zh-CN"/>
              </w:rPr>
              <w:t>900000.00</w:t>
            </w:r>
          </w:p>
        </w:tc>
        <w:tc>
          <w:tcPr>
            <w:tcW w:w="2315" w:type="dxa"/>
            <w:noWrap w:val="0"/>
            <w:vAlign w:val="top"/>
          </w:tcPr>
          <w:p w14:paraId="303A1C9B">
            <w:pPr>
              <w:bidi w:val="0"/>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lang w:val="en-US" w:eastAsia="zh-CN"/>
              </w:rPr>
              <w:t>900000.00</w:t>
            </w:r>
          </w:p>
        </w:tc>
      </w:tr>
      <w:tr w14:paraId="093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61" w:type="dxa"/>
            <w:noWrap w:val="0"/>
            <w:vAlign w:val="top"/>
          </w:tcPr>
          <w:p w14:paraId="4C88AB38">
            <w:pPr>
              <w:bidi w:val="0"/>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966" w:type="dxa"/>
            <w:noWrap w:val="0"/>
            <w:vAlign w:val="top"/>
          </w:tcPr>
          <w:p w14:paraId="434065B3">
            <w:pPr>
              <w:bidi w:val="0"/>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B包</w:t>
            </w:r>
          </w:p>
        </w:tc>
        <w:tc>
          <w:tcPr>
            <w:tcW w:w="2702" w:type="dxa"/>
            <w:noWrap w:val="0"/>
            <w:vAlign w:val="top"/>
          </w:tcPr>
          <w:p w14:paraId="07B664E8">
            <w:pPr>
              <w:bidi w:val="0"/>
              <w:ind w:left="0" w:leftChars="0" w:firstLine="0" w:firstLineChars="0"/>
              <w:jc w:val="center"/>
              <w:rPr>
                <w:rFonts w:hint="eastAsia"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教室护眼灯设备</w:t>
            </w:r>
          </w:p>
        </w:tc>
        <w:tc>
          <w:tcPr>
            <w:tcW w:w="2480" w:type="dxa"/>
            <w:noWrap w:val="0"/>
            <w:vAlign w:val="top"/>
          </w:tcPr>
          <w:p w14:paraId="3589784F">
            <w:pPr>
              <w:bidi w:val="0"/>
              <w:ind w:left="0" w:lef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400000.00</w:t>
            </w:r>
          </w:p>
        </w:tc>
        <w:tc>
          <w:tcPr>
            <w:tcW w:w="2315" w:type="dxa"/>
            <w:noWrap w:val="0"/>
            <w:vAlign w:val="top"/>
          </w:tcPr>
          <w:p w14:paraId="1D0B7CD4">
            <w:pPr>
              <w:bidi w:val="0"/>
              <w:ind w:left="0" w:lef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400000.00</w:t>
            </w:r>
          </w:p>
        </w:tc>
      </w:tr>
    </w:tbl>
    <w:p w14:paraId="5D7FD9F7">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1F5B4051">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采购内容及数量：</w:t>
      </w:r>
      <w:r>
        <w:rPr>
          <w:rFonts w:hint="eastAsia" w:ascii="宋体" w:hAnsi="宋体" w:eastAsia="宋体" w:cs="宋体"/>
          <w:color w:val="auto"/>
          <w:sz w:val="24"/>
          <w:szCs w:val="24"/>
          <w:highlight w:val="none"/>
          <w:lang w:eastAsia="zh-CN"/>
        </w:rPr>
        <w:t>郑州市上街区教育局采购智慧黑板及教室护眼灯设备</w:t>
      </w:r>
      <w:r>
        <w:rPr>
          <w:rFonts w:hint="eastAsia" w:ascii="宋体" w:hAnsi="宋体" w:eastAsia="宋体" w:cs="宋体"/>
          <w:color w:val="auto"/>
          <w:sz w:val="24"/>
          <w:szCs w:val="24"/>
          <w:highlight w:val="none"/>
          <w:lang w:val="en-US" w:eastAsia="zh-CN"/>
        </w:rPr>
        <w:t>购置，其中：</w:t>
      </w:r>
      <w:r>
        <w:rPr>
          <w:rFonts w:hint="eastAsia" w:ascii="宋体" w:hAnsi="宋体" w:eastAsia="宋体" w:cs="宋体"/>
          <w:color w:val="auto"/>
          <w:sz w:val="24"/>
          <w:szCs w:val="24"/>
          <w:highlight w:val="none"/>
        </w:rPr>
        <w:t>智慧黑板采购、安装及</w:t>
      </w: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共30套，含拆除原有的教学设备30套并安装到指定位置；</w:t>
      </w:r>
      <w:r>
        <w:rPr>
          <w:rFonts w:hint="eastAsia" w:ascii="宋体" w:hAnsi="宋体" w:eastAsia="宋体" w:cs="宋体"/>
          <w:color w:val="auto"/>
          <w:sz w:val="24"/>
          <w:szCs w:val="24"/>
          <w:highlight w:val="none"/>
        </w:rPr>
        <w:t>LED 教室护眼灯、LED 黑板护眼灯、辅材及安装</w:t>
      </w:r>
      <w:r>
        <w:rPr>
          <w:rFonts w:hint="eastAsia" w:ascii="宋体" w:hAnsi="宋体" w:eastAsia="宋体" w:cs="宋体"/>
          <w:color w:val="auto"/>
          <w:sz w:val="24"/>
          <w:szCs w:val="24"/>
          <w:highlight w:val="none"/>
          <w:lang w:val="en-US" w:eastAsia="zh-CN"/>
        </w:rPr>
        <w:t>共40套</w:t>
      </w:r>
      <w:r>
        <w:rPr>
          <w:rFonts w:hint="eastAsia" w:cs="宋体"/>
          <w:color w:val="auto"/>
          <w:sz w:val="24"/>
          <w:szCs w:val="24"/>
          <w:highlight w:val="none"/>
          <w:lang w:val="en-US" w:eastAsia="zh-CN"/>
        </w:rPr>
        <w:t>（9个护眼灯+3个黑板灯为一套）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具体要求详见招标文件第</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采购人需求及技术要求</w:t>
      </w:r>
      <w:r>
        <w:rPr>
          <w:rFonts w:hint="eastAsia" w:ascii="宋体" w:hAnsi="宋体" w:eastAsia="宋体" w:cs="宋体"/>
          <w:color w:val="auto"/>
          <w:sz w:val="24"/>
          <w:szCs w:val="24"/>
          <w:highlight w:val="none"/>
        </w:rPr>
        <w:t>；</w:t>
      </w:r>
    </w:p>
    <w:p w14:paraId="776B5745">
      <w:pPr>
        <w:pStyle w:val="24"/>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资金来源：财政资金（已落实）；</w:t>
      </w:r>
    </w:p>
    <w:p w14:paraId="771E24F6">
      <w:pPr>
        <w:pStyle w:val="24"/>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交货期：合同签订后30天内交付使用；</w:t>
      </w:r>
    </w:p>
    <w:p w14:paraId="05634F50">
      <w:pPr>
        <w:pStyle w:val="24"/>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lang w:eastAsia="zh-CN"/>
        </w:rPr>
        <w:t>质量要求：合格，符合国家及行业相关规范和标准；</w:t>
      </w:r>
    </w:p>
    <w:p w14:paraId="1B94CC06">
      <w:pPr>
        <w:pStyle w:val="24"/>
        <w:spacing w:after="0" w:line="360" w:lineRule="auto"/>
        <w:rPr>
          <w:rFonts w:hint="eastAsia"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验收标准：按国家行业标准验收</w:t>
      </w:r>
      <w:r>
        <w:rPr>
          <w:rFonts w:hint="eastAsia" w:cs="宋体"/>
          <w:color w:val="auto"/>
          <w:sz w:val="24"/>
          <w:szCs w:val="24"/>
          <w:highlight w:val="none"/>
          <w:lang w:eastAsia="zh-CN"/>
        </w:rPr>
        <w:t>；</w:t>
      </w:r>
    </w:p>
    <w:p w14:paraId="4F951388">
      <w:pPr>
        <w:pStyle w:val="24"/>
        <w:spacing w:after="0"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5.6 </w:t>
      </w:r>
      <w:r>
        <w:rPr>
          <w:rFonts w:hint="eastAsia" w:cs="宋体"/>
          <w:color w:val="auto"/>
          <w:sz w:val="24"/>
          <w:szCs w:val="24"/>
          <w:highlight w:val="none"/>
          <w:lang w:eastAsia="zh-CN"/>
        </w:rPr>
        <w:t>交货地点：</w:t>
      </w:r>
      <w:r>
        <w:rPr>
          <w:rFonts w:hint="eastAsia" w:cs="宋体"/>
          <w:color w:val="auto"/>
          <w:sz w:val="24"/>
          <w:szCs w:val="24"/>
          <w:highlight w:val="none"/>
          <w:lang w:val="en-US" w:eastAsia="zh-CN"/>
        </w:rPr>
        <w:t>采购人</w:t>
      </w:r>
      <w:r>
        <w:rPr>
          <w:rFonts w:hint="eastAsia" w:cs="宋体"/>
          <w:color w:val="auto"/>
          <w:sz w:val="24"/>
          <w:szCs w:val="24"/>
          <w:highlight w:val="none"/>
          <w:lang w:val="zh-CN" w:eastAsia="zh-CN"/>
        </w:rPr>
        <w:t>指定地点；</w:t>
      </w:r>
    </w:p>
    <w:p w14:paraId="1A802252">
      <w:pPr>
        <w:pStyle w:val="24"/>
        <w:spacing w:after="0" w:line="360" w:lineRule="auto"/>
        <w:rPr>
          <w:rFonts w:hint="eastAsia" w:cs="宋体"/>
          <w:color w:val="auto"/>
          <w:sz w:val="24"/>
          <w:szCs w:val="24"/>
          <w:highlight w:val="none"/>
          <w:lang w:eastAsia="zh-CN"/>
        </w:rPr>
      </w:pPr>
      <w:r>
        <w:rPr>
          <w:rFonts w:hint="eastAsia" w:cs="宋体"/>
          <w:color w:val="auto"/>
          <w:sz w:val="24"/>
          <w:szCs w:val="24"/>
          <w:highlight w:val="none"/>
          <w:lang w:eastAsia="zh-CN"/>
        </w:rPr>
        <w:t>5.</w:t>
      </w:r>
      <w:r>
        <w:rPr>
          <w:rFonts w:hint="eastAsia" w:cs="宋体"/>
          <w:color w:val="auto"/>
          <w:sz w:val="24"/>
          <w:szCs w:val="24"/>
          <w:highlight w:val="none"/>
          <w:lang w:val="en-US" w:eastAsia="zh-CN"/>
        </w:rPr>
        <w:t>7</w:t>
      </w:r>
      <w:r>
        <w:rPr>
          <w:rFonts w:hint="eastAsia" w:cs="宋体"/>
          <w:color w:val="auto"/>
          <w:sz w:val="24"/>
          <w:szCs w:val="24"/>
          <w:highlight w:val="none"/>
          <w:lang w:eastAsia="zh-CN"/>
        </w:rPr>
        <w:t xml:space="preserve"> 质保期：</w:t>
      </w:r>
      <w:r>
        <w:rPr>
          <w:rFonts w:hint="eastAsia" w:cs="宋体"/>
          <w:color w:val="auto"/>
          <w:sz w:val="24"/>
          <w:szCs w:val="24"/>
          <w:highlight w:val="none"/>
          <w:lang w:val="en-US" w:eastAsia="zh-CN"/>
        </w:rPr>
        <w:t>免费质保3</w:t>
      </w:r>
      <w:r>
        <w:rPr>
          <w:rFonts w:hint="eastAsia" w:cs="宋体"/>
          <w:color w:val="auto"/>
          <w:sz w:val="24"/>
          <w:szCs w:val="24"/>
          <w:highlight w:val="none"/>
          <w:lang w:eastAsia="zh-CN"/>
        </w:rPr>
        <w:t>年；</w:t>
      </w:r>
    </w:p>
    <w:p w14:paraId="75DE6546">
      <w:pPr>
        <w:pStyle w:val="24"/>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6、合同履行期限：合同签订后30天内交付使用</w:t>
      </w:r>
      <w:r>
        <w:rPr>
          <w:rFonts w:hint="eastAsia" w:cs="宋体"/>
          <w:color w:val="auto"/>
          <w:sz w:val="24"/>
          <w:szCs w:val="24"/>
          <w:highlight w:val="none"/>
          <w:lang w:val="en-US" w:eastAsia="zh-CN"/>
        </w:rPr>
        <w:t>；</w:t>
      </w:r>
    </w:p>
    <w:p w14:paraId="3863843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3B73199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582DCB25">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9、是否专门面向中小企业：否</w:t>
      </w:r>
    </w:p>
    <w:p w14:paraId="366887FE">
      <w:pPr>
        <w:widowControl/>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二、申请人资格要求： </w:t>
      </w:r>
    </w:p>
    <w:p w14:paraId="619B136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0716778">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无；</w:t>
      </w:r>
    </w:p>
    <w:p w14:paraId="14F9537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54C1DD25">
      <w:pPr>
        <w:keepNext w:val="0"/>
        <w:keepLines w:val="0"/>
        <w:pageBreakBefore w:val="0"/>
        <w:widowControl/>
        <w:kinsoku/>
        <w:wordWrap/>
        <w:overflowPunct/>
        <w:topLinePunct w:val="0"/>
        <w:autoSpaceDE/>
        <w:autoSpaceDN/>
        <w:bidi w:val="0"/>
        <w:adjustRightInd/>
        <w:snapToGrid/>
        <w:spacing w:line="360" w:lineRule="auto"/>
        <w:ind w:left="56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（1）具有独立承担民事责任的能力（具有有效的营业执照）；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（2）有良好的商业信誉和健全的财务会计制度（提供近三年任意一年合格的财务审计报告；若企业成立年份不足一年，则需提供开户行出具的资信证明）；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有依法缴纳税收和社会保障资金的良好记录（提供2025年以来连续3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（5）参加政府采购活动前三年内，在经营活动中没有重大违法记录（提供书面承诺书，格式自理）；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投标人需提供投标单位信用记录查询结果网页截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（8）单位负责人为同一人或存在控股、管理关系的不同单位，不得参加同一标段投标，否则相关投标均无效；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（9）本招标项目不接受联合体投标。</w:t>
      </w:r>
    </w:p>
    <w:p w14:paraId="2699BA96">
      <w:pPr>
        <w:widowControl/>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14:paraId="499C1EF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日，每天上午00:00至12:00，下午12:00至23:59（北京时间，法定节假日除外。）</w:t>
      </w:r>
    </w:p>
    <w:p w14:paraId="3F86CD7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2.地点：郑州市公共资源交易中心网站（https://zzggzy.zhengzhou.gov.cn）</w:t>
      </w:r>
    </w:p>
    <w:p w14:paraId="46FBEBBC">
      <w:pPr>
        <w:widowControl/>
        <w:wordWrap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3.方式：供应商凭CA密钥登录“郑州市公共资源交易中心网”点击“交易主体登录”下载所含格式（*.ZZZF）的采购文件及资料。</w:t>
      </w:r>
    </w:p>
    <w:p w14:paraId="285B21AB">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1CC4D2BF">
      <w:pPr>
        <w:widowControl/>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四、响应文件提交</w:t>
      </w:r>
    </w:p>
    <w:p w14:paraId="19F1161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1.截止时间：2025年07月21日09时30分（北京时间）</w:t>
      </w:r>
    </w:p>
    <w:p w14:paraId="67D6097A">
      <w:pPr>
        <w:widowControl/>
        <w:spacing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2.地点：郑州市公共资源交易中心（https://zzggzy.zhengzhou.gov.cn）电子交易平台；</w:t>
      </w:r>
    </w:p>
    <w:p w14:paraId="11B8B1DD">
      <w:pPr>
        <w:widowControl/>
        <w:spacing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备注：（1）电子响应文件（.ZZTF格式）须在响应文件提交截止时间前通过“郑州市公共资源交易中心（https://zzggzy.zhengzhou.gov.cn）”电子交易平台加密上传； （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21B7BD9D">
      <w:pPr>
        <w:widowControl/>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五、响应文件开启</w:t>
      </w:r>
    </w:p>
    <w:p w14:paraId="041AE16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1.时间：2025年07月21日09时30分（北京时间）</w:t>
      </w:r>
    </w:p>
    <w:p w14:paraId="2CB9FD64">
      <w:pPr>
        <w:widowControl/>
        <w:wordWrap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2.地点：郑州市公共资源交易中心门户网站远程开标大厅（https://zzggzy.zhengzhou.gov.cn/BidOpening/）</w:t>
      </w:r>
    </w:p>
    <w:p w14:paraId="6A4F805E">
      <w:pPr>
        <w:widowControl/>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六、发布公告的媒介及公告期限</w:t>
      </w:r>
    </w:p>
    <w:p w14:paraId="6ABE0ADC">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本次公告在《河南省政府采购网》《郑州市公共资源交易中心》《上街区政府采购网》上发布。</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公告期限为三个工作日。</w:t>
      </w:r>
    </w:p>
    <w:p w14:paraId="32CE8BEB">
      <w:pPr>
        <w:widowControl/>
        <w:numPr>
          <w:ilvl w:val="0"/>
          <w:numId w:val="0"/>
        </w:numPr>
        <w:spacing w:line="360" w:lineRule="auto"/>
        <w:jc w:val="lef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rPr>
        <w:t>其他补充事宜</w:t>
      </w:r>
    </w:p>
    <w:p w14:paraId="55A63F17">
      <w:pPr>
        <w:widowControl/>
        <w:wordWrap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.按照郑州市公共资源交易中心要求，供应商须注册成为郑州市公共资源交易中心网站会员并取得 CA 数字证书后，才能通过公共资源交易平台参与交易活动，尚未办理企业 CA 数字证书的，河南省信息化发展有限公司开通了 CA 数字证书在线办理功能，郑州市公共资源交易中心各交易主体如需办理 CA 数字证书业务的，可通过以下链接：（https://xaca.hnxaca.com:8081/online/ggzyApply/index.shtml）在线办理，点击交易中心登录入口自助绑定。如遇使用问题请拨打客服电话 0371-96596，技术支持咨询电话:0371-67188807,4009980000。</w:t>
      </w:r>
    </w:p>
    <w:p w14:paraId="1A446AF4">
      <w:pPr>
        <w:widowControl/>
        <w:wordWrap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2.本项目执行优先采购节能环保、环境标志性产品、优先采购自主创新产品，扶持不发达地区和少数民族地区，促进中小企业、监狱企业、残疾人福利性单位发展等相关政策。</w:t>
      </w:r>
    </w:p>
    <w:p w14:paraId="28364EC0">
      <w:pPr>
        <w:widowControl/>
        <w:wordWrap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3.本项目采购标的对应的中小企业划分标准所属行业：工业。</w:t>
      </w:r>
    </w:p>
    <w:p w14:paraId="688718E7">
      <w:pPr>
        <w:widowControl/>
        <w:wordWrap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4.代理服务费依据：依据《河南省招标代理服务收费指导意见》（豫招协[2023]002号）文件规定进行计取，</w:t>
      </w:r>
      <w:r>
        <w:rPr>
          <w:rFonts w:hint="eastAsia" w:cs="宋体"/>
          <w:color w:val="auto"/>
          <w:sz w:val="24"/>
          <w:szCs w:val="24"/>
          <w:highlight w:val="none"/>
          <w:lang w:val="en-US" w:eastAsia="zh-CN"/>
        </w:rPr>
        <w:t>由中标单位支付</w:t>
      </w:r>
      <w:r>
        <w:rPr>
          <w:rFonts w:hint="eastAsia" w:ascii="宋体" w:hAnsi="宋体" w:eastAsia="宋体" w:cs="宋体"/>
          <w:color w:val="auto"/>
          <w:sz w:val="24"/>
          <w:szCs w:val="24"/>
          <w:highlight w:val="none"/>
          <w:lang w:val="en-US" w:eastAsia="zh-CN"/>
        </w:rPr>
        <w:t>。</w:t>
      </w:r>
    </w:p>
    <w:p w14:paraId="0C9AA68E">
      <w:pPr>
        <w:widowControl/>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八、凡对本次招标提出询问，请按照以下方式联系</w:t>
      </w:r>
    </w:p>
    <w:p w14:paraId="7D12DADE">
      <w:pPr>
        <w:widowControl/>
        <w:spacing w:line="360" w:lineRule="auto"/>
        <w:ind w:firstLine="751" w:firstLineChars="3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25C1EC2">
      <w:pPr>
        <w:widowControl/>
        <w:spacing w:line="360" w:lineRule="auto"/>
        <w:ind w:firstLine="751" w:firstLineChars="3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名称：郑州市上街区教育局 </w:t>
      </w:r>
    </w:p>
    <w:p w14:paraId="31732405">
      <w:pPr>
        <w:widowControl/>
        <w:spacing w:line="360" w:lineRule="auto"/>
        <w:ind w:firstLine="751" w:firstLineChars="3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地址：郑州市上街区中心路72号东院 </w:t>
      </w:r>
    </w:p>
    <w:p w14:paraId="78CD95BD">
      <w:pPr>
        <w:widowControl/>
        <w:spacing w:line="360" w:lineRule="auto"/>
        <w:ind w:firstLine="751" w:firstLineChars="3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虎彪</w:t>
      </w:r>
      <w:r>
        <w:rPr>
          <w:rFonts w:hint="eastAsia" w:ascii="宋体" w:hAnsi="宋体" w:eastAsia="宋体" w:cs="宋体"/>
          <w:color w:val="auto"/>
          <w:sz w:val="24"/>
          <w:szCs w:val="24"/>
          <w:highlight w:val="none"/>
        </w:rPr>
        <w:t xml:space="preserve"> </w:t>
      </w:r>
    </w:p>
    <w:p w14:paraId="4C3059AA">
      <w:pPr>
        <w:widowControl/>
        <w:spacing w:line="360" w:lineRule="auto"/>
        <w:ind w:firstLine="751" w:firstLineChars="3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联系方式：0371-68923903</w:t>
      </w:r>
    </w:p>
    <w:p w14:paraId="60AF2697">
      <w:pPr>
        <w:widowControl/>
        <w:spacing w:line="360" w:lineRule="auto"/>
        <w:ind w:firstLine="751" w:firstLineChars="3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5E5038E">
      <w:pPr>
        <w:widowControl/>
        <w:spacing w:line="360" w:lineRule="auto"/>
        <w:ind w:firstLine="751" w:firstLineChars="31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河南广信项目管理有限公司</w:t>
      </w:r>
    </w:p>
    <w:p w14:paraId="4F6C14AD">
      <w:pPr>
        <w:widowControl/>
        <w:spacing w:line="360" w:lineRule="auto"/>
        <w:ind w:firstLine="751" w:firstLineChars="313"/>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郑州市郑东新区博学路277号</w:t>
      </w:r>
      <w:r>
        <w:rPr>
          <w:rFonts w:hint="eastAsia" w:ascii="宋体" w:hAnsi="宋体" w:eastAsia="宋体" w:cs="宋体"/>
          <w:color w:val="auto"/>
          <w:sz w:val="24"/>
          <w:szCs w:val="24"/>
          <w:highlight w:val="none"/>
          <w:lang w:val="zh-CN"/>
        </w:rPr>
        <w:t xml:space="preserve"> </w:t>
      </w:r>
    </w:p>
    <w:p w14:paraId="5EB45650">
      <w:pPr>
        <w:widowControl/>
        <w:spacing w:line="360" w:lineRule="auto"/>
        <w:ind w:firstLine="751" w:firstLineChars="31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王迪</w:t>
      </w:r>
    </w:p>
    <w:p w14:paraId="6EE36CFA">
      <w:pPr>
        <w:widowControl/>
        <w:spacing w:line="360" w:lineRule="auto"/>
        <w:ind w:firstLine="751" w:firstLineChars="31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19213863347</w:t>
      </w:r>
    </w:p>
    <w:p w14:paraId="08CDBFDA">
      <w:pPr>
        <w:widowControl/>
        <w:spacing w:line="360" w:lineRule="auto"/>
        <w:ind w:firstLine="751" w:firstLineChars="3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bookmarkEnd w:id="5"/>
    <w:p w14:paraId="209D8113">
      <w:pPr>
        <w:widowControl/>
        <w:spacing w:line="360" w:lineRule="auto"/>
        <w:ind w:firstLine="751" w:firstLineChars="31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王迪</w:t>
      </w:r>
    </w:p>
    <w:p w14:paraId="60C76FF9">
      <w:pPr>
        <w:widowControl/>
        <w:spacing w:line="360" w:lineRule="auto"/>
        <w:ind w:firstLine="751" w:firstLineChars="31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19213863347</w:t>
      </w:r>
    </w:p>
    <w:p w14:paraId="2AAE0BFD">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val="0"/>
          <w:color w:val="auto"/>
          <w:kern w:val="2"/>
          <w:sz w:val="28"/>
          <w:szCs w:val="28"/>
          <w:highlight w:val="none"/>
        </w:rPr>
        <w:br w:type="page"/>
      </w:r>
    </w:p>
    <w:p w14:paraId="072E0FB6">
      <w:pPr>
        <w:tabs>
          <w:tab w:val="right" w:pos="7560"/>
        </w:tabs>
        <w:spacing w:line="360" w:lineRule="auto"/>
        <w:ind w:left="0" w:leftChars="0" w:firstLine="0" w:firstLineChars="0"/>
        <w:jc w:val="center"/>
        <w:outlineLvl w:val="0"/>
        <w:rPr>
          <w:rFonts w:hint="eastAsia" w:ascii="宋体" w:hAnsi="宋体" w:eastAsia="宋体" w:cs="宋体"/>
          <w:b/>
          <w:bCs/>
          <w:color w:val="auto"/>
          <w:sz w:val="28"/>
          <w:szCs w:val="28"/>
          <w:highlight w:val="none"/>
          <w:lang w:val="en-US" w:eastAsia="zh-CN"/>
        </w:rPr>
      </w:pPr>
      <w:bookmarkStart w:id="6" w:name="_Toc449115770"/>
      <w:bookmarkStart w:id="7" w:name="_Toc9415"/>
      <w:bookmarkStart w:id="8" w:name="_Toc6487308"/>
      <w:bookmarkStart w:id="9" w:name="_Toc23551"/>
      <w:r>
        <w:rPr>
          <w:rFonts w:hint="eastAsia" w:ascii="宋体" w:hAnsi="宋体" w:eastAsia="宋体" w:cs="宋体"/>
          <w:b/>
          <w:bCs/>
          <w:color w:val="auto"/>
          <w:sz w:val="28"/>
          <w:szCs w:val="28"/>
          <w:highlight w:val="none"/>
          <w:lang w:val="en-US" w:eastAsia="zh-CN"/>
        </w:rPr>
        <w:t>郑州市上街区教育局采购智慧黑板及教室护眼灯设备项目</w:t>
      </w:r>
    </w:p>
    <w:p w14:paraId="61FB0536">
      <w:pPr>
        <w:tabs>
          <w:tab w:val="right" w:pos="7560"/>
        </w:tabs>
        <w:spacing w:line="360" w:lineRule="auto"/>
        <w:ind w:left="0" w:leftChars="0" w:firstLine="0" w:firstLineChars="0"/>
        <w:jc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更正公告</w:t>
      </w:r>
    </w:p>
    <w:p w14:paraId="43EEA28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一、项目基本情况</w:t>
      </w:r>
    </w:p>
    <w:p w14:paraId="7DAFC3C5">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1、原公告的采购项目编号：郑上财-磋商-[2025]-14</w:t>
      </w:r>
    </w:p>
    <w:p w14:paraId="30F93F0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2、原公告的采购项目名称：郑州市上街区教育局采购智慧黑板及教室护眼灯设备项目</w:t>
      </w:r>
    </w:p>
    <w:p w14:paraId="28AE1113">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3、首次公告日期及发布媒介：2025年07月09日、《河南省政府采购网》《郑州市公共资源交易中心》《上街区政府采购网》</w:t>
      </w:r>
    </w:p>
    <w:p w14:paraId="4B9B7EE3">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4、原响应文件提交截止时间：2025年07月21日09时30分（北京时间）</w:t>
      </w:r>
    </w:p>
    <w:p w14:paraId="6D99A265">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二、更正信息</w:t>
      </w:r>
    </w:p>
    <w:p w14:paraId="7A7048A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1、更正事项：</w:t>
      </w:r>
      <w:r>
        <w:rPr>
          <w:rFonts w:ascii="Arial" w:hAnsi="Arial" w:eastAsia="微软雅黑" w:cs="Arial"/>
          <w:color w:val="333333"/>
          <w:sz w:val="23"/>
          <w:szCs w:val="23"/>
        </w:rPr>
        <w:object>
          <v:shape id="_x0000_i1025" o:spt="201" type="#_x0000_t201" style="height:15.75pt;width:20.25pt;" o:ole="t" filled="f" o:preferrelative="t" stroked="f" coordsize="21600,21600">
            <v:path/>
            <v:fill on="f" focussize="0,0"/>
            <v:stroke on="f"/>
            <v:imagedata r:id="rId18" o:title=""/>
            <o:lock v:ext="edit" aspectratio="t"/>
            <w10:wrap type="none"/>
            <w10:anchorlock/>
          </v:shape>
          <w:control r:id="rId17" w:name="HTMLCheckbox1" w:shapeid="_x0000_i1025"/>
        </w:object>
      </w:r>
      <w:r>
        <w:rPr>
          <w:rFonts w:hint="eastAsia" w:ascii="宋体" w:hAnsi="宋体" w:eastAsia="宋体" w:cs="宋体"/>
        </w:rPr>
        <w:t>采购公告</w:t>
      </w:r>
      <w:r>
        <w:rPr>
          <w:rFonts w:ascii="Arial" w:hAnsi="Arial" w:eastAsia="微软雅黑" w:cs="Arial"/>
          <w:color w:val="333333"/>
          <w:sz w:val="23"/>
          <w:szCs w:val="23"/>
        </w:rPr>
        <w:object>
          <v:shape id="_x0000_i1026" o:spt="201" type="#_x0000_t201" style="height:15.75pt;width:20.25pt;" o:ole="t" filled="f" o:preferrelative="t" stroked="f" coordsize="21600,21600">
            <v:path/>
            <v:fill on="f" focussize="0,0"/>
            <v:stroke on="f"/>
            <v:imagedata r:id="rId18" o:title=""/>
            <o:lock v:ext="edit" aspectratio="t"/>
            <w10:wrap type="none"/>
            <w10:anchorlock/>
          </v:shape>
          <w:control r:id="rId19" w:name="HTMLCheckbox2" w:shapeid="_x0000_i1026"/>
        </w:object>
      </w:r>
      <w:r>
        <w:rPr>
          <w:rFonts w:hint="eastAsia" w:ascii="宋体" w:hAnsi="宋体" w:eastAsia="宋体" w:cs="宋体"/>
        </w:rPr>
        <w:t xml:space="preserve"> 采购文件</w:t>
      </w:r>
    </w:p>
    <w:p w14:paraId="7A6767AA">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2、原文件获取时间：2025年07月10日 - 2025年07月16日（北京时间）</w:t>
      </w:r>
    </w:p>
    <w:p w14:paraId="6053E030">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文件获取截至时间变更为：2025年07月16日23时59分（北京时间）</w:t>
      </w:r>
    </w:p>
    <w:p w14:paraId="543CB607">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3、原开标时间：2025年07月21日09时30分（北京时间）</w:t>
      </w:r>
    </w:p>
    <w:p w14:paraId="2671DE8A">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开标时间变更为：2025年07月23日09时30分（北京时间）</w:t>
      </w:r>
    </w:p>
    <w:p w14:paraId="0374DF7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4、原采购信息内容</w:t>
      </w:r>
    </w:p>
    <w:p w14:paraId="71A09CA0">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投标人需提供投标单位信用记录查询结果网页截图。</w:t>
      </w:r>
    </w:p>
    <w:p w14:paraId="0D3AAD5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变更为</w:t>
      </w:r>
    </w:p>
    <w:p w14:paraId="18146CCB">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72B052B8">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5、更正日期：2025年07月18日10时00分</w:t>
      </w:r>
    </w:p>
    <w:p w14:paraId="571D80F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三、其他补充事宜</w:t>
      </w:r>
    </w:p>
    <w:p w14:paraId="0456A75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请各潜在投标人及时下载最新的澄清文件，使用最新的招标文件进行电子投标文件的编制。</w:t>
      </w:r>
    </w:p>
    <w:p w14:paraId="5EF67446">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四、凡对本次公告内容提出询问，请按以下方式联系</w:t>
      </w:r>
    </w:p>
    <w:p w14:paraId="3878DA7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1. 采购人信息</w:t>
      </w:r>
    </w:p>
    <w:p w14:paraId="449D69B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名称：郑州市上街区教育局</w:t>
      </w:r>
    </w:p>
    <w:p w14:paraId="37605972">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地址：郑州市上街区中心路72号东院</w:t>
      </w:r>
    </w:p>
    <w:p w14:paraId="10CE27C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联系人：虎彪</w:t>
      </w:r>
    </w:p>
    <w:p w14:paraId="3EBA485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联系方式：0371-68923903</w:t>
      </w:r>
    </w:p>
    <w:p w14:paraId="7FEE7E8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2.采购代理机构信息（如有）</w:t>
      </w:r>
    </w:p>
    <w:p w14:paraId="292796FD">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名称：河南广信项目管理有限公司</w:t>
      </w:r>
    </w:p>
    <w:p w14:paraId="40F01ED3">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地址：郑州市郑东新区博学路277号</w:t>
      </w:r>
    </w:p>
    <w:p w14:paraId="14FAE14A">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联系人：王迪</w:t>
      </w:r>
    </w:p>
    <w:p w14:paraId="314CEB2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联系方式：19213863347</w:t>
      </w:r>
    </w:p>
    <w:p w14:paraId="6BCA01D0">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3.项目联系方式</w:t>
      </w:r>
    </w:p>
    <w:p w14:paraId="687A062D">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项目联系人：王迪</w:t>
      </w:r>
    </w:p>
    <w:p w14:paraId="6D11AB17">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联系方式：19213863347</w:t>
      </w:r>
    </w:p>
    <w:p w14:paraId="4A07A499">
      <w:pPr>
        <w:rPr>
          <w:rFonts w:hint="eastAsia"/>
          <w:color w:val="auto"/>
          <w:highlight w:val="none"/>
        </w:rPr>
      </w:pPr>
      <w:r>
        <w:rPr>
          <w:rFonts w:hint="eastAsia"/>
          <w:color w:val="auto"/>
          <w:highlight w:val="none"/>
        </w:rPr>
        <w:br w:type="page"/>
      </w:r>
    </w:p>
    <w:p w14:paraId="05709F93">
      <w:pPr>
        <w:pStyle w:val="2"/>
        <w:bidi w:val="0"/>
        <w:ind w:left="0" w:leftChars="0" w:firstLine="0" w:firstLineChars="0"/>
        <w:jc w:val="center"/>
        <w:rPr>
          <w:rFonts w:hint="eastAsia"/>
          <w:color w:val="auto"/>
          <w:highlight w:val="none"/>
        </w:rPr>
      </w:pPr>
      <w:r>
        <w:rPr>
          <w:rFonts w:hint="eastAsia"/>
          <w:color w:val="auto"/>
          <w:highlight w:val="none"/>
        </w:rPr>
        <w:t>第</w:t>
      </w:r>
      <w:r>
        <w:rPr>
          <w:rFonts w:hint="eastAsia"/>
          <w:color w:val="auto"/>
          <w:highlight w:val="none"/>
          <w:lang w:val="en-US" w:eastAsia="zh-CN"/>
        </w:rPr>
        <w:t>二</w:t>
      </w:r>
      <w:r>
        <w:rPr>
          <w:rFonts w:hint="eastAsia"/>
          <w:color w:val="auto"/>
          <w:highlight w:val="none"/>
        </w:rPr>
        <w:t>章  供应商须知</w:t>
      </w:r>
      <w:bookmarkEnd w:id="0"/>
      <w:bookmarkEnd w:id="6"/>
      <w:bookmarkEnd w:id="7"/>
      <w:bookmarkEnd w:id="8"/>
      <w:bookmarkEnd w:id="9"/>
      <w:bookmarkStart w:id="10" w:name="_Toc449027471"/>
      <w:bookmarkStart w:id="11" w:name="_Toc449115771"/>
      <w:r>
        <w:rPr>
          <w:rFonts w:hint="eastAsia"/>
          <w:color w:val="auto"/>
          <w:highlight w:val="none"/>
        </w:rPr>
        <w:t>前附表</w:t>
      </w:r>
      <w:bookmarkEnd w:id="10"/>
      <w:bookmarkEnd w:id="11"/>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33"/>
      </w:tblGrid>
      <w:tr w14:paraId="734C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8" w:type="dxa"/>
            <w:noWrap w:val="0"/>
            <w:vAlign w:val="center"/>
          </w:tcPr>
          <w:p w14:paraId="5E5FA0CD">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8233" w:type="dxa"/>
            <w:noWrap w:val="0"/>
            <w:vAlign w:val="center"/>
          </w:tcPr>
          <w:p w14:paraId="73AE76B9">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        容</w:t>
            </w:r>
          </w:p>
        </w:tc>
      </w:tr>
      <w:tr w14:paraId="09E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008" w:type="dxa"/>
            <w:noWrap w:val="0"/>
            <w:vAlign w:val="center"/>
          </w:tcPr>
          <w:p w14:paraId="75A6ED53">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233" w:type="dxa"/>
            <w:tcBorders>
              <w:bottom w:val="single" w:color="auto" w:sz="4" w:space="0"/>
            </w:tcBorders>
            <w:noWrap w:val="0"/>
            <w:vAlign w:val="center"/>
          </w:tcPr>
          <w:p w14:paraId="454457F7">
            <w:pPr>
              <w:spacing w:line="360" w:lineRule="auto"/>
              <w:ind w:left="0" w:leftChars="0" w:firstLine="0" w:firstLineChars="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采购项目名称：</w:t>
            </w:r>
            <w:bookmarkStart w:id="12" w:name="OLE_LINK6"/>
            <w:bookmarkStart w:id="13" w:name="OLE_LINK3"/>
            <w:r>
              <w:rPr>
                <w:rFonts w:hint="eastAsia" w:asciiTheme="minorEastAsia" w:hAnsiTheme="minorEastAsia" w:eastAsiaTheme="minorEastAsia" w:cstheme="minorEastAsia"/>
                <w:color w:val="auto"/>
                <w:sz w:val="24"/>
                <w:szCs w:val="24"/>
                <w:highlight w:val="none"/>
                <w:lang w:eastAsia="zh-CN"/>
              </w:rPr>
              <w:t>郑州市上街区教育局采购智慧黑板及教室护眼灯设备项目</w:t>
            </w:r>
          </w:p>
          <w:bookmarkEnd w:id="12"/>
          <w:bookmarkEnd w:id="13"/>
          <w:p w14:paraId="74E240FC">
            <w:pPr>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采购项目编号：</w:t>
            </w:r>
            <w:r>
              <w:rPr>
                <w:rFonts w:hint="eastAsia" w:ascii="宋体" w:hAnsi="宋体" w:eastAsia="宋体" w:cs="宋体"/>
                <w:color w:val="auto"/>
                <w:sz w:val="24"/>
                <w:szCs w:val="24"/>
                <w:highlight w:val="none"/>
                <w:lang w:val="en-US" w:eastAsia="zh-CN"/>
              </w:rPr>
              <w:t>郑上财-磋商-【2025】-14</w:t>
            </w:r>
          </w:p>
        </w:tc>
      </w:tr>
      <w:tr w14:paraId="2AD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008" w:type="dxa"/>
            <w:noWrap w:val="0"/>
            <w:vAlign w:val="center"/>
          </w:tcPr>
          <w:p w14:paraId="18773DB4">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233" w:type="dxa"/>
            <w:tcBorders>
              <w:bottom w:val="single" w:color="auto" w:sz="4" w:space="0"/>
            </w:tcBorders>
            <w:noWrap w:val="0"/>
            <w:vAlign w:val="center"/>
          </w:tcPr>
          <w:p w14:paraId="210F753C">
            <w:pPr>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政府采购最高限价：</w:t>
            </w:r>
            <w:r>
              <w:rPr>
                <w:rFonts w:hint="eastAsia" w:asciiTheme="minorEastAsia" w:hAnsiTheme="minorEastAsia" w:eastAsiaTheme="minorEastAsia" w:cstheme="minorEastAsia"/>
                <w:color w:val="auto"/>
                <w:sz w:val="24"/>
                <w:szCs w:val="24"/>
                <w:highlight w:val="none"/>
                <w:lang w:val="en-US" w:eastAsia="zh-CN"/>
              </w:rPr>
              <w:t>1300000</w:t>
            </w:r>
            <w:r>
              <w:rPr>
                <w:rFonts w:hint="eastAsia" w:asciiTheme="minorEastAsia" w:hAnsiTheme="minorEastAsia" w:eastAsiaTheme="minorEastAsia" w:cstheme="minorEastAsia"/>
                <w:color w:val="auto"/>
                <w:sz w:val="24"/>
                <w:szCs w:val="24"/>
                <w:highlight w:val="none"/>
              </w:rPr>
              <w:t>.00元；</w:t>
            </w:r>
            <w:r>
              <w:rPr>
                <w:rFonts w:hint="eastAsia" w:asciiTheme="minorEastAsia" w:hAnsiTheme="minorEastAsia" w:eastAsiaTheme="minorEastAsia" w:cstheme="minorEastAsia"/>
                <w:color w:val="auto"/>
                <w:sz w:val="24"/>
                <w:szCs w:val="24"/>
                <w:highlight w:val="none"/>
                <w:lang w:val="en-US" w:eastAsia="zh-CN"/>
              </w:rPr>
              <w:t>其中：A包90万元，B包40万元</w:t>
            </w:r>
          </w:p>
          <w:p w14:paraId="3E20F081">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资金来源：财政资金（已落实）</w:t>
            </w:r>
          </w:p>
        </w:tc>
      </w:tr>
      <w:tr w14:paraId="4A4D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8" w:type="dxa"/>
            <w:tcBorders>
              <w:top w:val="single" w:color="auto" w:sz="4" w:space="0"/>
              <w:bottom w:val="nil"/>
            </w:tcBorders>
            <w:noWrap w:val="0"/>
            <w:vAlign w:val="center"/>
          </w:tcPr>
          <w:p w14:paraId="05629F60">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8233" w:type="dxa"/>
            <w:tcBorders>
              <w:top w:val="nil"/>
              <w:bottom w:val="single" w:color="auto" w:sz="4" w:space="0"/>
            </w:tcBorders>
            <w:noWrap w:val="0"/>
            <w:vAlign w:val="center"/>
          </w:tcPr>
          <w:p w14:paraId="7438D8E8">
            <w:pPr>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郑州市上街区教育局采购智慧黑板及教室护眼灯设备</w:t>
            </w:r>
            <w:r>
              <w:rPr>
                <w:rFonts w:hint="eastAsia" w:asciiTheme="minorEastAsia" w:hAnsiTheme="minorEastAsia" w:eastAsiaTheme="minorEastAsia" w:cstheme="minorEastAsia"/>
                <w:color w:val="auto"/>
                <w:sz w:val="24"/>
                <w:szCs w:val="24"/>
                <w:highlight w:val="none"/>
                <w:lang w:val="en-US" w:eastAsia="zh-CN"/>
              </w:rPr>
              <w:t>购置，其中：</w:t>
            </w:r>
            <w:r>
              <w:rPr>
                <w:rFonts w:hint="eastAsia" w:asciiTheme="minorEastAsia" w:hAnsiTheme="minorEastAsia" w:eastAsiaTheme="minorEastAsia" w:cstheme="minorEastAsia"/>
                <w:color w:val="auto"/>
                <w:sz w:val="24"/>
                <w:szCs w:val="24"/>
                <w:highlight w:val="none"/>
              </w:rPr>
              <w:t>智慧黑板采购、安装及</w:t>
            </w:r>
            <w:r>
              <w:rPr>
                <w:rFonts w:hint="eastAsia" w:asciiTheme="minorEastAsia" w:hAnsiTheme="minorEastAsia" w:eastAsiaTheme="minorEastAsia" w:cstheme="minorEastAsia"/>
                <w:color w:val="auto"/>
                <w:sz w:val="24"/>
                <w:szCs w:val="24"/>
                <w:highlight w:val="none"/>
                <w:lang w:val="en-US" w:eastAsia="zh-CN"/>
              </w:rPr>
              <w:t>售后</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共30套，含拆除原有的教学设备30套并安装到指定位置；</w:t>
            </w:r>
            <w:r>
              <w:rPr>
                <w:rFonts w:hint="eastAsia" w:asciiTheme="minorEastAsia" w:hAnsiTheme="minorEastAsia" w:eastAsiaTheme="minorEastAsia" w:cstheme="minorEastAsia"/>
                <w:color w:val="auto"/>
                <w:sz w:val="24"/>
                <w:szCs w:val="24"/>
                <w:highlight w:val="none"/>
              </w:rPr>
              <w:t>LED 教室护眼灯、LED 黑板护眼灯、辅材及安装</w:t>
            </w:r>
            <w:r>
              <w:rPr>
                <w:rFonts w:hint="eastAsia" w:asciiTheme="minorEastAsia" w:hAnsiTheme="minorEastAsia" w:eastAsiaTheme="minorEastAsia" w:cstheme="minorEastAsia"/>
                <w:color w:val="auto"/>
                <w:sz w:val="24"/>
                <w:szCs w:val="24"/>
                <w:highlight w:val="none"/>
                <w:lang w:val="en-US" w:eastAsia="zh-CN"/>
              </w:rPr>
              <w:t>共40套（9个护眼灯+3个黑板灯为一套）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具体要求详见招标文件第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采购人需求及技术要求</w:t>
            </w:r>
            <w:r>
              <w:rPr>
                <w:rFonts w:hint="eastAsia" w:asciiTheme="minorEastAsia" w:hAnsiTheme="minorEastAsia" w:eastAsiaTheme="minorEastAsia" w:cstheme="minorEastAsia"/>
                <w:color w:val="auto"/>
                <w:sz w:val="24"/>
                <w:szCs w:val="24"/>
                <w:highlight w:val="none"/>
              </w:rPr>
              <w:t>；</w:t>
            </w:r>
          </w:p>
        </w:tc>
      </w:tr>
      <w:tr w14:paraId="043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008" w:type="dxa"/>
            <w:noWrap w:val="0"/>
            <w:vAlign w:val="center"/>
          </w:tcPr>
          <w:p w14:paraId="705EA6C1">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8233" w:type="dxa"/>
            <w:noWrap w:val="0"/>
            <w:vAlign w:val="center"/>
          </w:tcPr>
          <w:p w14:paraId="5B3C5EED">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供应商资格要求：</w:t>
            </w:r>
          </w:p>
          <w:p w14:paraId="7CCC55D0">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（1）具有独立承担民事责任的能力（具有有效的营业执照）</w:t>
            </w:r>
            <w:r>
              <w:rPr>
                <w:rFonts w:hint="eastAsia" w:ascii="宋体" w:hAnsi="宋体" w:eastAsia="宋体" w:cs="宋体"/>
                <w:color w:val="auto"/>
                <w:sz w:val="24"/>
                <w:szCs w:val="24"/>
                <w:highlight w:val="none"/>
                <w:lang w:eastAsia="zh-CN"/>
              </w:rPr>
              <w:t>；</w:t>
            </w:r>
          </w:p>
          <w:p w14:paraId="418DA160">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（2）有良好的商业信誉和健全的财务会计制度（</w:t>
            </w:r>
            <w:r>
              <w:rPr>
                <w:rFonts w:hint="eastAsia" w:cs="宋体"/>
                <w:color w:val="auto"/>
                <w:sz w:val="24"/>
                <w:szCs w:val="24"/>
                <w:highlight w:val="none"/>
                <w:lang w:eastAsia="zh-CN"/>
              </w:rPr>
              <w:t>提供近三年任意一年</w:t>
            </w:r>
            <w:r>
              <w:rPr>
                <w:rFonts w:hint="eastAsia" w:ascii="宋体" w:hAnsi="宋体" w:eastAsia="宋体" w:cs="宋体"/>
                <w:color w:val="auto"/>
                <w:sz w:val="24"/>
                <w:szCs w:val="24"/>
                <w:highlight w:val="none"/>
              </w:rPr>
              <w:t>合格的财务审计报告；若企业成立年份不足一年，则需提供开户行出具的资信证明）</w:t>
            </w:r>
            <w:r>
              <w:rPr>
                <w:rFonts w:hint="eastAsia" w:ascii="宋体" w:hAnsi="宋体" w:eastAsia="宋体" w:cs="宋体"/>
                <w:color w:val="auto"/>
                <w:sz w:val="24"/>
                <w:szCs w:val="24"/>
                <w:highlight w:val="none"/>
                <w:lang w:eastAsia="zh-CN"/>
              </w:rPr>
              <w:t>；</w:t>
            </w:r>
          </w:p>
          <w:p w14:paraId="2B24D5E8">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cs="宋体"/>
                <w:color w:val="auto"/>
                <w:sz w:val="24"/>
                <w:szCs w:val="24"/>
                <w:highlight w:val="none"/>
                <w:lang w:eastAsia="zh-CN"/>
              </w:rPr>
              <w:t>；</w:t>
            </w:r>
          </w:p>
          <w:p w14:paraId="12B3A1BD">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（4）具有依法缴纳税收和社会保障资金的良好记录（提供202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年以来连续</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eastAsia="zh-CN"/>
              </w:rPr>
              <w:t>；</w:t>
            </w:r>
          </w:p>
          <w:p w14:paraId="09D2483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（5）参加政府采购活动前三年内，在经营活动中没有重大违法记录（提供书面承诺书，格式自理）；</w:t>
            </w:r>
          </w:p>
          <w:p w14:paraId="6815C9C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7F49F3B2">
            <w:pPr>
              <w:bidi w:val="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根据《关于在政府采购活动中查询及使用信用记录有关问题的通知》(财库[2016]125 号) 的规定，对列入失信被执行人、重大税收违法失信主体【查询渠道：“信用中国”网站（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）】，政府采购严重违法失信行为记录名单【查询渠道：中国政府采购网（www.ccgp.gov.cn）】的供应商，拒绝参与本项目政府采购活动。</w:t>
            </w:r>
          </w:p>
          <w:p w14:paraId="52D65213">
            <w:pPr>
              <w:bidi w:val="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单位负责人为同一人或存在控股、管理关系的不同单位，不得参加同一标段投标，否则相关投标均无效。</w:t>
            </w:r>
          </w:p>
          <w:p w14:paraId="1DBD8927">
            <w:pPr>
              <w:bidi w:val="0"/>
              <w:rPr>
                <w:rFonts w:hint="eastAsia" w:asciiTheme="minorEastAsia" w:hAnsiTheme="minorEastAsia" w:eastAsiaTheme="minorEastAsia" w:cstheme="minorEastAsia"/>
                <w:bCs/>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本招标项目不接受联合体投标</w:t>
            </w:r>
            <w:r>
              <w:rPr>
                <w:rFonts w:hint="eastAsia" w:ascii="宋体" w:hAnsi="宋体" w:eastAsia="宋体" w:cs="宋体"/>
                <w:color w:val="auto"/>
                <w:sz w:val="24"/>
                <w:szCs w:val="24"/>
                <w:highlight w:val="none"/>
                <w:lang w:eastAsia="zh-CN"/>
              </w:rPr>
              <w:t>。</w:t>
            </w:r>
          </w:p>
        </w:tc>
      </w:tr>
      <w:tr w14:paraId="73A0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8" w:type="dxa"/>
            <w:noWrap w:val="0"/>
            <w:vAlign w:val="center"/>
          </w:tcPr>
          <w:p w14:paraId="31DCFFAE">
            <w:p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8233" w:type="dxa"/>
            <w:noWrap w:val="0"/>
            <w:vAlign w:val="center"/>
          </w:tcPr>
          <w:p w14:paraId="30B0868E">
            <w:pPr>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eastAsia="zh-CN"/>
              </w:rPr>
              <w:t>（交货期）</w:t>
            </w:r>
            <w:r>
              <w:rPr>
                <w:rFonts w:hint="eastAsia" w:asciiTheme="minorEastAsia" w:hAnsiTheme="minorEastAsia" w:eastAsiaTheme="minorEastAsia" w:cstheme="minorEastAsia"/>
                <w:color w:val="auto"/>
                <w:sz w:val="24"/>
                <w:szCs w:val="24"/>
                <w:highlight w:val="none"/>
              </w:rPr>
              <w:t>：合同签订后30天内交付使用</w:t>
            </w:r>
          </w:p>
        </w:tc>
      </w:tr>
      <w:tr w14:paraId="50D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8" w:type="dxa"/>
            <w:noWrap w:val="0"/>
            <w:vAlign w:val="center"/>
          </w:tcPr>
          <w:p w14:paraId="3F5842AA">
            <w:p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8233" w:type="dxa"/>
            <w:noWrap w:val="0"/>
            <w:vAlign w:val="center"/>
          </w:tcPr>
          <w:p w14:paraId="74281842">
            <w:pPr>
              <w:ind w:left="0" w:leftChars="0" w:firstLine="0" w:firstLineChars="0"/>
              <w:rPr>
                <w:rFonts w:hint="eastAsia" w:asciiTheme="minorEastAsia" w:hAnsiTheme="minorEastAsia" w:eastAsiaTheme="minorEastAsia" w:cstheme="minorEastAsia"/>
                <w:color w:val="auto"/>
                <w:sz w:val="24"/>
                <w:szCs w:val="24"/>
                <w:highlight w:val="none"/>
              </w:rPr>
            </w:pPr>
            <w:bookmarkStart w:id="14" w:name="_Toc415733503"/>
            <w:r>
              <w:rPr>
                <w:rFonts w:hint="eastAsia" w:asciiTheme="minorEastAsia" w:hAnsiTheme="minorEastAsia" w:eastAsiaTheme="minorEastAsia" w:cstheme="minorEastAsia"/>
                <w:color w:val="auto"/>
                <w:sz w:val="24"/>
                <w:szCs w:val="24"/>
                <w:highlight w:val="none"/>
              </w:rPr>
              <w:t>交货地点：采购人指定地点</w:t>
            </w:r>
            <w:bookmarkEnd w:id="14"/>
            <w:r>
              <w:rPr>
                <w:rFonts w:hint="eastAsia" w:asciiTheme="minorEastAsia" w:hAnsiTheme="minorEastAsia" w:eastAsiaTheme="minorEastAsia" w:cstheme="minorEastAsia"/>
                <w:bCs/>
                <w:color w:val="auto"/>
                <w:sz w:val="24"/>
                <w:szCs w:val="24"/>
                <w:highlight w:val="none"/>
              </w:rPr>
              <w:t>。</w:t>
            </w:r>
          </w:p>
        </w:tc>
      </w:tr>
      <w:tr w14:paraId="7396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14:paraId="2D968050">
            <w:p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8233" w:type="dxa"/>
            <w:noWrap w:val="0"/>
            <w:vAlign w:val="center"/>
          </w:tcPr>
          <w:p w14:paraId="1920AC2E">
            <w:pPr>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磋商有效期：自响应文件提交截止之日起60日历天。</w:t>
            </w:r>
          </w:p>
        </w:tc>
      </w:tr>
      <w:tr w14:paraId="1211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5CB56859">
            <w:p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8233" w:type="dxa"/>
            <w:noWrap w:val="0"/>
            <w:vAlign w:val="center"/>
          </w:tcPr>
          <w:p w14:paraId="72ACEA4B">
            <w:pPr>
              <w:bidi w:val="0"/>
              <w:ind w:left="0" w:leftChars="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付款方式：</w:t>
            </w:r>
            <w:r>
              <w:rPr>
                <w:rFonts w:hint="eastAsia" w:asciiTheme="minorEastAsia" w:hAnsiTheme="minorEastAsia" w:eastAsiaTheme="minorEastAsia" w:cstheme="minorEastAsia"/>
                <w:color w:val="auto"/>
                <w:sz w:val="24"/>
                <w:szCs w:val="24"/>
                <w:highlight w:val="none"/>
                <w:lang w:eastAsia="zh-CN"/>
              </w:rPr>
              <w:t>项目完成供货、调试，经甲方组织验收合格第一年内支付70%合同额；第二年内支付20%合同额；第三年内，质保期结束后产品无质量等问题支付10%合同额（根据采购人要求开具发票）。</w:t>
            </w:r>
          </w:p>
        </w:tc>
      </w:tr>
      <w:tr w14:paraId="6185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noWrap w:val="0"/>
            <w:vAlign w:val="center"/>
          </w:tcPr>
          <w:p w14:paraId="5289D415">
            <w:p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8233" w:type="dxa"/>
            <w:noWrap w:val="0"/>
            <w:vAlign w:val="center"/>
          </w:tcPr>
          <w:p w14:paraId="3B71594C">
            <w:pPr>
              <w:ind w:left="0" w:leftChars="0"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竞争性磋商文件的获取：详见“第一章  竞争性磋商公告”要求。</w:t>
            </w:r>
          </w:p>
        </w:tc>
      </w:tr>
      <w:tr w14:paraId="166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8" w:type="dxa"/>
            <w:noWrap w:val="0"/>
            <w:vAlign w:val="center"/>
          </w:tcPr>
          <w:p w14:paraId="36D7B71A">
            <w:p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8233" w:type="dxa"/>
            <w:noWrap w:val="0"/>
            <w:vAlign w:val="center"/>
          </w:tcPr>
          <w:p w14:paraId="17CC6204">
            <w:pPr>
              <w:ind w:left="0" w:leftChars="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磋商保证金：不需要缴纳</w:t>
            </w:r>
          </w:p>
        </w:tc>
      </w:tr>
      <w:tr w14:paraId="6655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8" w:type="dxa"/>
            <w:noWrap w:val="0"/>
            <w:vAlign w:val="center"/>
          </w:tcPr>
          <w:p w14:paraId="7A314C6A">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8233" w:type="dxa"/>
            <w:noWrap w:val="0"/>
            <w:vAlign w:val="center"/>
          </w:tcPr>
          <w:p w14:paraId="437B0221">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w:t>
            </w:r>
            <w:r>
              <w:rPr>
                <w:rFonts w:hint="eastAsia" w:asciiTheme="minorEastAsia" w:hAnsiTheme="minorEastAsia" w:eastAsiaTheme="minorEastAsia" w:cstheme="minorEastAsia"/>
                <w:color w:val="auto"/>
                <w:sz w:val="24"/>
                <w:szCs w:val="24"/>
                <w:highlight w:val="none"/>
              </w:rPr>
              <w:t>采用电子招标投标</w:t>
            </w:r>
          </w:p>
          <w:p w14:paraId="0C81C525">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1、按照郑州市公共资源交易中心要求，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如遇使用问题请拨打客服电话0371-96596，技术支持咨询电话:0371-67188807,4009980000。</w:t>
            </w:r>
          </w:p>
          <w:p w14:paraId="7FCA770D">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招标文件的获取：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须注册成为郑州市公共资源交易中心网站会员并取得CA密钥后，凭CA密钥登录郑州市公共资源交易中心网站（</w:t>
            </w:r>
            <w:r>
              <w:rPr>
                <w:rFonts w:hint="eastAsia" w:asciiTheme="minorEastAsia" w:hAnsiTheme="minorEastAsia" w:eastAsiaTheme="minorEastAsia" w:cstheme="minorEastAsia"/>
                <w:color w:val="auto"/>
                <w:sz w:val="24"/>
                <w:szCs w:val="24"/>
                <w:highlight w:val="none"/>
                <w:lang w:eastAsia="zh-CN"/>
              </w:rPr>
              <w:t>https://zzggzy.zhengzhou.gov.cn/</w:t>
            </w:r>
            <w:r>
              <w:rPr>
                <w:rFonts w:hint="eastAsia" w:asciiTheme="minorEastAsia" w:hAnsiTheme="minorEastAsia" w:eastAsiaTheme="minorEastAsia" w:cstheme="minorEastAsia"/>
                <w:color w:val="auto"/>
                <w:sz w:val="24"/>
                <w:szCs w:val="24"/>
                <w:highlight w:val="none"/>
              </w:rPr>
              <w:t>），点击“交易主体登陆”进入电子招投标交易平台，并按系统提示自行下载所含格式（*.ZZZF）的招标文件及资料。</w:t>
            </w:r>
          </w:p>
          <w:p w14:paraId="0CDC0B86">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3、投标文件的上传：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须使用电子交易系统提供的投标文件制作工具进行电子投标文件的制作，并按要求上传经CA锁签章和加密的电子投标文件（.ZZTF格式）在截止时间前递交到指定地点。</w:t>
            </w:r>
          </w:p>
          <w:p w14:paraId="5A9FF430">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4、本项目采用“远程不见面”开标方式，</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无需到市交易中心现场，通过网络即可参加开标大会。在开标前半个小时内，所有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必须登录“郑州市公共资源交易中心门户网站远程开标大厅”进行签到，按系统提示输入相关信息。</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在开标时间之后系统内观看开标过程，开标时间到了之后就不能签到，在线准时参加开标活动并进行文件解密、答疑澄清等，没有按时签到视为无效标投标文件当场退回，不参加开标、答疑澄清等引起的所有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4251B33C">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5、加密电子投标文件逾期上传，采购人不予受理。         </w:t>
            </w:r>
          </w:p>
          <w:p w14:paraId="27E5EBB4">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在投标截止时间前未签到的或因自身原因导致其投标文件在半个小时内未解密的将导致投标无效。  </w:t>
            </w:r>
          </w:p>
          <w:p w14:paraId="43908F73">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须保持联系方式畅通，以便随时接受评标委员会的答疑澄清。</w:t>
            </w:r>
          </w:p>
        </w:tc>
      </w:tr>
      <w:tr w14:paraId="7A6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08" w:type="dxa"/>
            <w:noWrap w:val="0"/>
            <w:vAlign w:val="center"/>
          </w:tcPr>
          <w:p w14:paraId="0617D521">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8233" w:type="dxa"/>
            <w:noWrap w:val="0"/>
            <w:vAlign w:val="center"/>
          </w:tcPr>
          <w:p w14:paraId="734D5712">
            <w:pPr>
              <w:spacing w:line="43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响应文件递交地点及提交截止时间：</w:t>
            </w:r>
          </w:p>
          <w:p w14:paraId="31F0BC18">
            <w:pPr>
              <w:spacing w:line="43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密版电子响应文件递交地点：郑州市公共资源交易中心（https://zzggzy.zhengzhou.gov.cn）电子交易平台；备注：（1）电子响应文件（.ZZTF格式）须在响应文件提交截止时间前通过“郑州市公共资源交易中心（https://zzggzy.zhengzhou.gov.cn）”电子交易平台加密上传；（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45B6862C">
            <w:pPr>
              <w:spacing w:line="43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时间（北京时间）：</w:t>
            </w:r>
            <w:r>
              <w:rPr>
                <w:rFonts w:hint="eastAsia" w:asciiTheme="minorEastAsia" w:hAnsiTheme="minorEastAsia" w:eastAsiaTheme="minorEastAsia" w:cstheme="minorEastAsia"/>
                <w:color w:val="auto"/>
                <w:sz w:val="24"/>
                <w:szCs w:val="24"/>
                <w:highlight w:val="none"/>
                <w:lang w:eastAsia="zh-CN"/>
              </w:rPr>
              <w:t>2025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07月23日09</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w:t>
            </w:r>
          </w:p>
        </w:tc>
      </w:tr>
      <w:tr w14:paraId="5C9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71C709FD">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8233" w:type="dxa"/>
            <w:noWrap w:val="0"/>
            <w:vAlign w:val="center"/>
          </w:tcPr>
          <w:p w14:paraId="5BD4FA5F">
            <w:pPr>
              <w:spacing w:line="43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响应文件开启时间：</w:t>
            </w:r>
            <w:r>
              <w:rPr>
                <w:rFonts w:hint="eastAsia" w:asciiTheme="minorEastAsia" w:hAnsiTheme="minorEastAsia" w:eastAsiaTheme="minorEastAsia" w:cstheme="minorEastAsia"/>
                <w:color w:val="auto"/>
                <w:sz w:val="24"/>
                <w:szCs w:val="24"/>
                <w:highlight w:val="none"/>
                <w:lang w:eastAsia="zh-CN"/>
              </w:rPr>
              <w:t>2025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07月23日09</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0分（北京时间）</w:t>
            </w:r>
          </w:p>
          <w:p w14:paraId="346518F7">
            <w:pPr>
              <w:spacing w:line="43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响应文件开启</w:t>
            </w:r>
            <w:r>
              <w:rPr>
                <w:rFonts w:hint="eastAsia" w:asciiTheme="minorEastAsia" w:hAnsiTheme="minorEastAsia" w:eastAsiaTheme="minorEastAsia" w:cstheme="minorEastAsia"/>
                <w:bCs/>
                <w:color w:val="auto"/>
                <w:sz w:val="24"/>
                <w:szCs w:val="24"/>
                <w:highlight w:val="none"/>
              </w:rPr>
              <w:t>地点：</w:t>
            </w:r>
            <w:r>
              <w:rPr>
                <w:rFonts w:hint="eastAsia" w:asciiTheme="minorEastAsia" w:hAnsiTheme="minorEastAsia" w:eastAsiaTheme="minorEastAsia" w:cstheme="minorEastAsia"/>
                <w:color w:val="auto"/>
                <w:sz w:val="24"/>
                <w:szCs w:val="24"/>
                <w:highlight w:val="none"/>
              </w:rPr>
              <w:t>郑州市公共资源交易中心门户网站远程开标大厅（https://zzggzy.zhengzhou.gov.cn/BidOpening/）</w:t>
            </w:r>
          </w:p>
        </w:tc>
      </w:tr>
      <w:tr w14:paraId="627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08" w:type="dxa"/>
            <w:noWrap w:val="0"/>
            <w:vAlign w:val="center"/>
          </w:tcPr>
          <w:p w14:paraId="60C9ACC3">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8233" w:type="dxa"/>
            <w:noWrap w:val="0"/>
            <w:vAlign w:val="center"/>
          </w:tcPr>
          <w:p w14:paraId="66D71242">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响应文件部分格式</w:t>
            </w:r>
            <w:r>
              <w:rPr>
                <w:rFonts w:hint="eastAsia" w:asciiTheme="minorEastAsia" w:hAnsiTheme="minorEastAsia" w:eastAsiaTheme="minorEastAsia" w:cstheme="minorEastAsia"/>
                <w:color w:val="auto"/>
                <w:sz w:val="24"/>
                <w:szCs w:val="24"/>
                <w:highlight w:val="none"/>
              </w:rPr>
              <w:t>中要求签字、盖章：</w:t>
            </w:r>
          </w:p>
          <w:p w14:paraId="638F9937">
            <w:pPr>
              <w:numPr>
                <w:ilvl w:val="0"/>
                <w:numId w:val="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所有要求供应商盖章的地方可以是供应商的电子公章（若未加盖供应商电子公章的，可以在纸质文件上加盖公章后扫描上传）</w:t>
            </w:r>
          </w:p>
          <w:p w14:paraId="78556D22">
            <w:pPr>
              <w:numPr>
                <w:ilvl w:val="0"/>
                <w:numId w:val="1"/>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所有要求法定代表人或委托代理人签字或盖章的地方可以是电子签章或电子手写签名（若未加盖法定代表人或委托代理人电子签章或电子手写签名的，可以在纸质文件上签字或盖章后扫描上传）</w:t>
            </w:r>
          </w:p>
        </w:tc>
      </w:tr>
      <w:tr w14:paraId="0A29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08" w:type="dxa"/>
            <w:noWrap w:val="0"/>
            <w:vAlign w:val="center"/>
          </w:tcPr>
          <w:p w14:paraId="21B2FA31">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33" w:type="dxa"/>
            <w:noWrap w:val="0"/>
            <w:vAlign w:val="center"/>
          </w:tcPr>
          <w:p w14:paraId="61ABAC29">
            <w:pPr>
              <w:spacing w:line="43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根据财库</w:t>
            </w:r>
            <w:r>
              <w:rPr>
                <w:rFonts w:hint="eastAsia" w:asciiTheme="minorEastAsia" w:hAnsiTheme="minorEastAsia" w:eastAsiaTheme="minorEastAsia" w:cstheme="minorEastAsia"/>
                <w:color w:val="auto"/>
                <w:sz w:val="24"/>
                <w:szCs w:val="24"/>
                <w:highlight w:val="none"/>
              </w:rPr>
              <w:t>〔2016〕</w:t>
            </w:r>
            <w:r>
              <w:rPr>
                <w:rFonts w:hint="eastAsia" w:asciiTheme="minorEastAsia" w:hAnsiTheme="minorEastAsia" w:eastAsiaTheme="minorEastAsia" w:cstheme="minorEastAsia"/>
                <w:bCs/>
                <w:color w:val="auto"/>
                <w:sz w:val="24"/>
                <w:szCs w:val="24"/>
                <w:highlight w:val="none"/>
              </w:rPr>
              <w:t>125号文的要求，代理机构将查询供应商信用记录。</w:t>
            </w:r>
          </w:p>
          <w:p w14:paraId="650582EB">
            <w:pPr>
              <w:spacing w:line="43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1.信用信息查询渠道：信用中国网站（www.creditchina.gov.cn）、中国政府采购网（http://www.ccgp.gov.cn)。</w:t>
            </w:r>
          </w:p>
          <w:p w14:paraId="0AAC0462">
            <w:pPr>
              <w:spacing w:line="43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2.信用信息查询截止时点：同响应文件提交截止时间，由代理机构查询供应商截止到响应文件截止时间的信用信息记录。</w:t>
            </w:r>
          </w:p>
          <w:p w14:paraId="0E06B7BD">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3.信用信息查询记录和证据留存的具体方式：代理机构查询的信</w:t>
            </w:r>
            <w:r>
              <w:rPr>
                <w:rFonts w:hint="eastAsia" w:asciiTheme="minorEastAsia" w:hAnsiTheme="minorEastAsia" w:eastAsiaTheme="minorEastAsia" w:cstheme="minorEastAsia"/>
                <w:color w:val="auto"/>
                <w:sz w:val="24"/>
                <w:szCs w:val="24"/>
                <w:highlight w:val="none"/>
              </w:rPr>
              <w:t>用信息记录将以网页打印稿形式与其他采购文件一并保存。</w:t>
            </w:r>
          </w:p>
          <w:p w14:paraId="5519337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信用信息的使用规则：如供应商被信用中国网站（www.creditchina.gov.cn）列入失信被执行人或重大税收违法失信主体，或被中国政府采购网（www.ccgp.gov.cn）列入政府采购严重违法失信行为记录名单，则其响应文件将被拒绝。</w:t>
            </w:r>
          </w:p>
          <w:p w14:paraId="663CE4EF">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响应文件中不附或少附相关查询页，不应视为无效文件，最终以代理机构查询的信用记录作为评审依据。</w:t>
            </w:r>
          </w:p>
          <w:p w14:paraId="10755613">
            <w:pPr>
              <w:bidi w:val="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代理机构查询之后，网站信息发生的任何变更均不再作为评审依据，供应商自行提供的与代理机构查询信息不一致的其他证明材料亦不作为评审依据。</w:t>
            </w:r>
          </w:p>
        </w:tc>
      </w:tr>
      <w:tr w14:paraId="7A74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8" w:type="dxa"/>
            <w:noWrap w:val="0"/>
            <w:vAlign w:val="center"/>
          </w:tcPr>
          <w:p w14:paraId="3BFA6DCF">
            <w:p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8233" w:type="dxa"/>
            <w:noWrap w:val="0"/>
            <w:vAlign w:val="center"/>
          </w:tcPr>
          <w:p w14:paraId="46C06DFE">
            <w:pPr>
              <w:spacing w:before="72" w:beforeLines="30" w:after="72" w:afterLines="30"/>
              <w:ind w:left="0" w:leftChars="0" w:firstLine="0" w:firstLineChars="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履约保证金：无，成交后成交人向采购人提供履约承诺书。</w:t>
            </w:r>
          </w:p>
        </w:tc>
      </w:tr>
      <w:tr w14:paraId="324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8A3B7B8">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8233" w:type="dxa"/>
            <w:noWrap w:val="0"/>
            <w:vAlign w:val="top"/>
          </w:tcPr>
          <w:p w14:paraId="4443F7A0">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代理服务费：依据河南省招标投标协会关于印发《河南省招标代理服务收费标准》的通知（豫招协[2023]002号）的规定收取，由成交人支付。</w:t>
            </w:r>
          </w:p>
        </w:tc>
      </w:tr>
      <w:tr w14:paraId="0F6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D77F1EF">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8233" w:type="dxa"/>
            <w:noWrap w:val="0"/>
            <w:vAlign w:val="top"/>
          </w:tcPr>
          <w:p w14:paraId="2D3CB9C4">
            <w:pPr>
              <w:pStyle w:val="20"/>
              <w:ind w:left="0" w:leftChars="0" w:firstLine="0" w:firstLineChars="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磋商小组构成：由采购人授权的采购人代表1人和相关技术、经济类专家2人，共3人组成.</w:t>
            </w:r>
          </w:p>
          <w:p w14:paraId="60F0DC71">
            <w:pPr>
              <w:spacing w:line="360" w:lineRule="auto"/>
              <w:ind w:left="0" w:lef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评审专家确定方式：</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专家</w:t>
            </w:r>
            <w:r>
              <w:rPr>
                <w:rFonts w:hint="eastAsia" w:asciiTheme="minorEastAsia" w:hAnsiTheme="minorEastAsia" w:eastAsiaTheme="minorEastAsia" w:cstheme="minorEastAsia"/>
                <w:color w:val="auto"/>
                <w:sz w:val="24"/>
                <w:szCs w:val="24"/>
                <w:highlight w:val="none"/>
                <w:lang w:val="en-US" w:eastAsia="zh-CN"/>
              </w:rPr>
              <w:t>人数</w:t>
            </w:r>
            <w:r>
              <w:rPr>
                <w:rFonts w:hint="eastAsia" w:asciiTheme="minorEastAsia" w:hAnsiTheme="minorEastAsia" w:eastAsiaTheme="minorEastAsia" w:cstheme="minorEastAsia"/>
                <w:color w:val="auto"/>
                <w:sz w:val="24"/>
                <w:szCs w:val="24"/>
                <w:highlight w:val="none"/>
              </w:rPr>
              <w:t>不少于磋商小组</w:t>
            </w:r>
            <w:r>
              <w:rPr>
                <w:rFonts w:hint="eastAsia" w:asciiTheme="minorEastAsia" w:hAnsiTheme="minorEastAsia" w:eastAsiaTheme="minorEastAsia" w:cstheme="minorEastAsia"/>
                <w:color w:val="auto"/>
                <w:sz w:val="24"/>
                <w:szCs w:val="24"/>
                <w:highlight w:val="none"/>
                <w:lang w:val="en-US" w:eastAsia="zh-CN"/>
              </w:rPr>
              <w:t>成员总数</w:t>
            </w:r>
            <w:r>
              <w:rPr>
                <w:rFonts w:hint="eastAsia" w:asciiTheme="minorEastAsia" w:hAnsiTheme="minorEastAsia" w:eastAsiaTheme="minorEastAsia" w:cstheme="minorEastAsia"/>
                <w:color w:val="auto"/>
                <w:sz w:val="24"/>
                <w:szCs w:val="24"/>
                <w:highlight w:val="none"/>
              </w:rPr>
              <w:t>的三分之二，按相关规定从政府采购</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专家库</w:t>
            </w:r>
            <w:r>
              <w:rPr>
                <w:rFonts w:hint="eastAsia" w:asciiTheme="minorEastAsia" w:hAnsiTheme="minorEastAsia" w:eastAsiaTheme="minorEastAsia" w:cstheme="minorEastAsia"/>
                <w:color w:val="auto"/>
                <w:sz w:val="24"/>
                <w:szCs w:val="24"/>
                <w:highlight w:val="none"/>
                <w:lang w:val="en-US" w:eastAsia="zh-CN"/>
              </w:rPr>
              <w:t>内相关专业的专家名单中</w:t>
            </w:r>
            <w:r>
              <w:rPr>
                <w:rFonts w:hint="eastAsia" w:asciiTheme="minorEastAsia" w:hAnsiTheme="minorEastAsia" w:eastAsiaTheme="minorEastAsia" w:cstheme="minorEastAsia"/>
                <w:color w:val="auto"/>
                <w:sz w:val="24"/>
                <w:szCs w:val="24"/>
                <w:highlight w:val="none"/>
              </w:rPr>
              <w:t>随机抽取。</w:t>
            </w:r>
          </w:p>
        </w:tc>
      </w:tr>
      <w:tr w14:paraId="441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08" w:type="dxa"/>
            <w:noWrap w:val="0"/>
            <w:vAlign w:val="center"/>
          </w:tcPr>
          <w:p w14:paraId="1B2741EE">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8233" w:type="dxa"/>
            <w:noWrap w:val="0"/>
            <w:vAlign w:val="center"/>
          </w:tcPr>
          <w:p w14:paraId="32F099C9">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实行电子开评标，获取竞争性磋商文件后，请供应商在“郑州市公共资源交易中心网站（https://zzggzy.zhengzhou.gov.cn）”首页“办事指南”栏目中下载最新版本的“郑州投标文件制作工具及操作手册”，安装工具软件后，使用“文件查看工具”打开竞争性磋商文件认真阅读。制作电子响应文件时必须使用“投标文件制作软件”。</w:t>
            </w:r>
          </w:p>
          <w:p w14:paraId="5780F390">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供应商在制作电子标书过程中，如遇到电子交易系统的软件操作问题时，请在工作日（9：00—12点00分，13点00分—17点00分拨打0371-67188807）进行咨询。</w:t>
            </w:r>
          </w:p>
        </w:tc>
      </w:tr>
      <w:tr w14:paraId="6730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AA22F29">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8233" w:type="dxa"/>
            <w:noWrap w:val="0"/>
            <w:vAlign w:val="center"/>
          </w:tcPr>
          <w:p w14:paraId="2DC0E7FE">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65240100">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名称：郑州市上街区教育局 </w:t>
            </w:r>
          </w:p>
          <w:p w14:paraId="20A601EF">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地址：郑州市上街区中心路72号东院 </w:t>
            </w:r>
          </w:p>
          <w:p w14:paraId="48844AB6">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虎彪</w:t>
            </w:r>
            <w:r>
              <w:rPr>
                <w:rFonts w:hint="eastAsia" w:asciiTheme="minorEastAsia" w:hAnsiTheme="minorEastAsia" w:eastAsiaTheme="minorEastAsia" w:cstheme="minorEastAsia"/>
                <w:color w:val="auto"/>
                <w:sz w:val="24"/>
                <w:szCs w:val="24"/>
                <w:highlight w:val="none"/>
              </w:rPr>
              <w:t xml:space="preserve"> </w:t>
            </w:r>
          </w:p>
          <w:p w14:paraId="1D777F45">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联系方式：0371-68923903</w:t>
            </w:r>
          </w:p>
          <w:p w14:paraId="21227468">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14:paraId="50B6D155">
            <w:pPr>
              <w:bidi w:val="0"/>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河南广信项目管理有限公司</w:t>
            </w:r>
          </w:p>
          <w:p w14:paraId="0E46985D">
            <w:pPr>
              <w:bidi w:val="0"/>
              <w:ind w:left="0" w:leftChars="0" w:firstLine="0" w:firstLineChars="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郑州市郑东新区博学路277号</w:t>
            </w:r>
            <w:r>
              <w:rPr>
                <w:rFonts w:hint="eastAsia" w:asciiTheme="minorEastAsia" w:hAnsiTheme="minorEastAsia" w:eastAsiaTheme="minorEastAsia" w:cstheme="minorEastAsia"/>
                <w:color w:val="auto"/>
                <w:sz w:val="24"/>
                <w:szCs w:val="24"/>
                <w:highlight w:val="none"/>
                <w:lang w:val="zh-CN"/>
              </w:rPr>
              <w:t xml:space="preserve"> </w:t>
            </w:r>
          </w:p>
          <w:p w14:paraId="05423EDF">
            <w:p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王迪</w:t>
            </w:r>
          </w:p>
          <w:p w14:paraId="75CD95CB">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19213863347</w:t>
            </w:r>
          </w:p>
        </w:tc>
      </w:tr>
      <w:tr w14:paraId="220F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8" w:type="dxa"/>
            <w:noWrap w:val="0"/>
            <w:vAlign w:val="center"/>
          </w:tcPr>
          <w:p w14:paraId="409B6F2E">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8233" w:type="dxa"/>
            <w:noWrap w:val="0"/>
            <w:vAlign w:val="center"/>
          </w:tcPr>
          <w:p w14:paraId="33FBB5F4">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政府采购相关政策信息</w:t>
            </w:r>
          </w:p>
          <w:p w14:paraId="0F11155B">
            <w:pPr>
              <w:spacing w:line="360" w:lineRule="auto"/>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为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为依据。</w:t>
            </w:r>
          </w:p>
          <w:p w14:paraId="05127BE0">
            <w:pPr>
              <w:spacing w:line="360" w:lineRule="auto"/>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6EBC9FB6">
            <w:pPr>
              <w:spacing w:line="360" w:lineRule="auto"/>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C、根据政府采购政策，本项目如涉及到强制节能产品，应当采购最新一期节能清单范围内的产品，如涉及到环境标志产品，应当优先采购环境标志产品。在性能、技术、服务等指标同等的条件下，优先采购列入最新一期节能清单、环保清单内的产品，同时列入两个清单的产品优先于只获得其中一项认证的产品。</w:t>
            </w:r>
          </w:p>
          <w:p w14:paraId="1F07DD34">
            <w:pPr>
              <w:spacing w:line="360" w:lineRule="auto"/>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D、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5F56BCBB">
            <w:pPr>
              <w:spacing w:line="360" w:lineRule="auto"/>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E、根据政府采购政策，本项目如涉及到自主创新首购产品，应当采购由财政部会同科技部等部门制定的《政府采购自主创新产品目录》内的产品。</w:t>
            </w:r>
          </w:p>
          <w:p w14:paraId="35DE0385">
            <w:pPr>
              <w:spacing w:line="360" w:lineRule="auto"/>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F</w:t>
            </w:r>
            <w:r>
              <w:rPr>
                <w:rFonts w:hint="eastAsia" w:asciiTheme="minorEastAsia" w:hAnsiTheme="minorEastAsia" w:eastAsiaTheme="minorEastAsia" w:cstheme="minorEastAsia"/>
                <w:color w:val="auto"/>
                <w:kern w:val="0"/>
                <w:sz w:val="24"/>
                <w:szCs w:val="24"/>
                <w:highlight w:val="none"/>
              </w:rPr>
              <w:t>.中小企业划型标准规定：关于印发中小企业划型标准规定的通知（工信部联企业〔2011〕300 号）、关于印发统计上大中小微型企业划分办法（2017）的通知（国统字〔2017〕213 号）。</w:t>
            </w:r>
          </w:p>
          <w:p w14:paraId="1B834DC6">
            <w:pPr>
              <w:spacing w:line="360" w:lineRule="auto"/>
              <w:ind w:left="0" w:leftChars="0" w:firstLine="0" w:firstLineChars="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G</w:t>
            </w:r>
            <w:r>
              <w:rPr>
                <w:rFonts w:hint="eastAsia" w:asciiTheme="minorEastAsia" w:hAnsiTheme="minorEastAsia" w:eastAsiaTheme="minorEastAsia" w:cstheme="minorEastAsia"/>
                <w:b/>
                <w:bCs/>
                <w:color w:val="auto"/>
                <w:kern w:val="0"/>
                <w:sz w:val="24"/>
                <w:szCs w:val="24"/>
                <w:highlight w:val="none"/>
              </w:rPr>
              <w:t>.采购项目属性：货物</w:t>
            </w:r>
          </w:p>
          <w:p w14:paraId="486B105D">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H</w:t>
            </w:r>
            <w:r>
              <w:rPr>
                <w:rFonts w:hint="eastAsia" w:asciiTheme="minorEastAsia" w:hAnsiTheme="minorEastAsia" w:eastAsiaTheme="minorEastAsia" w:cstheme="minorEastAsia"/>
                <w:b/>
                <w:bCs/>
                <w:color w:val="auto"/>
                <w:kern w:val="0"/>
                <w:sz w:val="24"/>
                <w:szCs w:val="24"/>
                <w:highlight w:val="none"/>
              </w:rPr>
              <w:t>.本项目采购内容所属行业：</w:t>
            </w:r>
            <w:r>
              <w:rPr>
                <w:rFonts w:hint="eastAsia" w:asciiTheme="minorEastAsia" w:hAnsiTheme="minorEastAsia" w:eastAsiaTheme="minorEastAsia" w:cstheme="minorEastAsia"/>
                <w:b/>
                <w:bCs/>
                <w:color w:val="auto"/>
                <w:kern w:val="0"/>
                <w:sz w:val="24"/>
                <w:szCs w:val="24"/>
                <w:highlight w:val="none"/>
                <w:lang w:val="en-US" w:eastAsia="zh-CN"/>
              </w:rPr>
              <w:t>工业</w:t>
            </w:r>
          </w:p>
        </w:tc>
      </w:tr>
      <w:tr w14:paraId="074A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E915026">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8233" w:type="dxa"/>
            <w:noWrap w:val="0"/>
            <w:vAlign w:val="center"/>
          </w:tcPr>
          <w:p w14:paraId="26C2A113">
            <w:pPr>
              <w:pStyle w:val="24"/>
              <w:autoSpaceDE w:val="0"/>
              <w:autoSpaceDN w:val="0"/>
              <w:spacing w:line="360" w:lineRule="auto"/>
              <w:ind w:right="232"/>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其他有关事项：</w:t>
            </w:r>
          </w:p>
          <w:p w14:paraId="03AA913E">
            <w:pPr>
              <w:pStyle w:val="24"/>
              <w:autoSpaceDE w:val="0"/>
              <w:autoSpaceDN w:val="0"/>
              <w:spacing w:line="360" w:lineRule="auto"/>
              <w:ind w:right="232"/>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进一步优化营商环境，切实做好公共资源交易工作。请供应商在“郑州市公共资源交易中心网站（https://zzggzy.zhengzhou.gov.cn）”首页“通知公告”栏目中查看“关于实施在线磋商谈判的通知”的相关操作手册，认真阅读相关操作手册，在项目评审过程中务必保持全程在线状态，及时响应评审小组发起的磋商(或谈判)、询问(澄清)多次报价(或最终报价)等操作，确保供应商远程开标及多轮报价有序进行，否则由此造成的无法解密或解密失败或无法二次报价等问题由供应商自行承担。</w:t>
            </w:r>
          </w:p>
        </w:tc>
      </w:tr>
      <w:tr w14:paraId="58B6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2E6F02DA">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8233" w:type="dxa"/>
            <w:noWrap w:val="0"/>
            <w:vAlign w:val="center"/>
          </w:tcPr>
          <w:p w14:paraId="0364D232">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参与同一个标段（包）的供应商存在下列情形之一的，其响应文件无效：</w:t>
            </w:r>
          </w:p>
          <w:p w14:paraId="6695CF57">
            <w:pPr>
              <w:spacing w:line="360"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）不同供应商的电子投标（响应）文件上传计算机的网卡MAC地址、CPU序列号和硬盘序列号等硬件信息相同的；</w:t>
            </w:r>
          </w:p>
          <w:p w14:paraId="5AB918C1">
            <w:pPr>
              <w:spacing w:line="360"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）不同供应商的投标（响应）文件由同一电子设备编制、打印加密或者上传；</w:t>
            </w:r>
          </w:p>
          <w:p w14:paraId="1FBA0EEA">
            <w:pPr>
              <w:spacing w:line="360"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）不同供应商的投标（响应）文件由同一电子设备打印、复印；</w:t>
            </w:r>
          </w:p>
          <w:p w14:paraId="74991FDD">
            <w:pPr>
              <w:spacing w:line="360"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）不同供应商的投标（响应）文件由同一人送达或者分发，或者不同供应商联系人为同一人或不同联系人的联系电话一致的；</w:t>
            </w:r>
          </w:p>
          <w:p w14:paraId="7A3A2A7D">
            <w:pPr>
              <w:spacing w:line="360"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）不同供应商的投标（响应）文件的内容存在两处以上细节错误一致；</w:t>
            </w:r>
          </w:p>
          <w:p w14:paraId="0362CD7D">
            <w:pPr>
              <w:spacing w:line="360"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）不同供应商的法定代表人、委托代理人、项目经理、项目负责人等由同一个单位缴纳社会保险或者领取报酬的；</w:t>
            </w:r>
          </w:p>
          <w:p w14:paraId="4B712964">
            <w:pPr>
              <w:spacing w:line="360"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）不同供应商投标（响应）文件中法定代表人或者负责人签字出自同一人之手；</w:t>
            </w:r>
          </w:p>
          <w:p w14:paraId="254CED54">
            <w:pPr>
              <w:widowControl/>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其它涉嫌串通的情形。</w:t>
            </w:r>
          </w:p>
        </w:tc>
      </w:tr>
      <w:tr w14:paraId="6EF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AEBB1D8">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bookmarkStart w:id="15" w:name="_Toc449027472"/>
            <w:bookmarkStart w:id="16" w:name="_Toc369002797"/>
            <w:bookmarkStart w:id="17" w:name="_Toc369002762"/>
            <w:bookmarkStart w:id="18" w:name="_Toc449115772"/>
            <w:bookmarkStart w:id="19" w:name="_Toc369002684"/>
            <w:bookmarkStart w:id="20" w:name="_Toc98041602"/>
            <w:r>
              <w:rPr>
                <w:rFonts w:hint="eastAsia" w:asciiTheme="minorEastAsia" w:hAnsiTheme="minorEastAsia" w:eastAsiaTheme="minorEastAsia" w:cstheme="minorEastAsia"/>
                <w:color w:val="auto"/>
                <w:sz w:val="24"/>
                <w:szCs w:val="24"/>
                <w:highlight w:val="none"/>
              </w:rPr>
              <w:t>24</w:t>
            </w:r>
          </w:p>
        </w:tc>
        <w:tc>
          <w:tcPr>
            <w:tcW w:w="8233" w:type="dxa"/>
            <w:noWrap w:val="0"/>
            <w:vAlign w:val="center"/>
          </w:tcPr>
          <w:p w14:paraId="04F5C828">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郑州市上街区政府采购合同融资政策告知函</w:t>
            </w:r>
          </w:p>
          <w:p w14:paraId="6541A1AD">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各供应商：</w:t>
            </w:r>
          </w:p>
          <w:p w14:paraId="68E8B896">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欢迎贵公司参与郑州市上街区政府采购活动！</w:t>
            </w:r>
          </w:p>
          <w:p w14:paraId="0773073D">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合同融资是河南省财政厅、郑州市财政局及上街区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0D3FAF1C">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贷款渠道和提供贷款的金融机构，可在郑州市上街区政府采购网“通知公告”栏目查询联系。</w:t>
            </w:r>
          </w:p>
        </w:tc>
      </w:tr>
      <w:tr w14:paraId="5F8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954506F">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8233" w:type="dxa"/>
            <w:noWrap w:val="0"/>
            <w:vAlign w:val="center"/>
          </w:tcPr>
          <w:p w14:paraId="4FB8B81A">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样品及演示：不需要</w:t>
            </w:r>
          </w:p>
        </w:tc>
      </w:tr>
      <w:tr w14:paraId="36E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926BCE1">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8233" w:type="dxa"/>
            <w:noWrap w:val="0"/>
            <w:vAlign w:val="center"/>
          </w:tcPr>
          <w:p w14:paraId="49EFC0E6">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供应商提出问题或要求澄清：潜在供应商对磋商文件内容如有疑问或需要澄清的，应按竞争性磋商公告中载明的地址以书面的形式通知到采购代理机构。</w:t>
            </w:r>
          </w:p>
        </w:tc>
      </w:tr>
      <w:tr w14:paraId="2FAA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8C81B6">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233" w:type="dxa"/>
            <w:noWrap w:val="0"/>
            <w:vAlign w:val="center"/>
          </w:tcPr>
          <w:p w14:paraId="7EC1CAB2">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核心产品将在磋商文件第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章“采购人需求及技术要求”中载明，供应商提供的核心产品品牌相同的，按照政府采购的相关规定处理。</w:t>
            </w:r>
          </w:p>
          <w:p w14:paraId="77FADF5F">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相同品牌产品且通过资格审查、符合性审查的不同供应商参加同一合同项下政府采购的，按一家供应商计算，评审后得分最高的同品牌供应商获得成交供应商推荐资格；评审得分相同的，由采购人或者采购人委托评审小组按照磋商文件规定的方式确定一个供应商获得成交供应商推荐资格，磋商文件未规定的采取随机抽取方式确定，其他同品牌供应商不作为成交候选人。</w:t>
            </w:r>
          </w:p>
        </w:tc>
      </w:tr>
      <w:tr w14:paraId="46A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0244F756">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8233" w:type="dxa"/>
            <w:noWrap w:val="0"/>
            <w:vAlign w:val="center"/>
          </w:tcPr>
          <w:p w14:paraId="5DB0BD6B">
            <w:pPr>
              <w:widowControl/>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质疑和投诉</w:t>
            </w:r>
            <w:r>
              <w:rPr>
                <w:rFonts w:hint="eastAsia" w:asciiTheme="minorEastAsia" w:hAnsiTheme="minorEastAsia" w:eastAsiaTheme="minorEastAsia" w:cstheme="minorEastAsia"/>
                <w:color w:val="auto"/>
                <w:sz w:val="24"/>
                <w:szCs w:val="24"/>
                <w:highlight w:val="none"/>
                <w:lang w:eastAsia="zh-CN"/>
              </w:rPr>
              <w:t>：</w:t>
            </w:r>
          </w:p>
          <w:p w14:paraId="25702EBF">
            <w:pPr>
              <w:widowControl/>
              <w:numPr>
                <w:ilvl w:val="0"/>
                <w:numId w:val="0"/>
              </w:num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供应商认为采购文件、采购过程和中标或者成交结果使自己的权益受到损害的，可以在知道或者应知其权益受到损害之日起 7 个工作日内，以书面形式向采购人、采购代理机构提出质疑。</w:t>
            </w:r>
          </w:p>
          <w:p w14:paraId="65FD1A3F">
            <w:pPr>
              <w:widowControl/>
              <w:numPr>
                <w:ilvl w:val="0"/>
                <w:numId w:val="0"/>
              </w:num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提出质疑的供应商应按照财政部门制定的《政府采购质疑函范本》格式（详见中国政府采购网）和《政府采购质疑和投诉办法》的要求，在法定质疑期内以书面形式提出质疑，针对同一采购程序环节的质疑应一次性提出。超出法定质疑期的、重复提出的、分次提出的或内容、形式不符合《政府采购质疑和投诉办法》的，提出质疑的供应商将依法承担不利后果。</w:t>
            </w:r>
          </w:p>
          <w:p w14:paraId="67532FC1">
            <w:pPr>
              <w:widowControl/>
              <w:numPr>
                <w:ilvl w:val="0"/>
                <w:numId w:val="0"/>
              </w:num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质疑函接收部门、联系电话和通讯地址, 见供应商须知前附表</w:t>
            </w:r>
            <w:r>
              <w:rPr>
                <w:rFonts w:hint="eastAsia" w:asciiTheme="minorEastAsia" w:hAnsiTheme="minorEastAsia" w:eastAsiaTheme="minorEastAsia" w:cstheme="minorEastAsia"/>
                <w:color w:val="auto"/>
                <w:sz w:val="24"/>
                <w:szCs w:val="24"/>
                <w:highlight w:val="none"/>
                <w:lang w:val="en-US" w:eastAsia="zh-CN"/>
              </w:rPr>
              <w:t>第20项</w:t>
            </w:r>
            <w:r>
              <w:rPr>
                <w:rFonts w:hint="eastAsia" w:asciiTheme="minorEastAsia" w:hAnsiTheme="minorEastAsia" w:eastAsiaTheme="minorEastAsia" w:cstheme="minorEastAsia"/>
                <w:color w:val="auto"/>
                <w:sz w:val="24"/>
                <w:szCs w:val="24"/>
                <w:highlight w:val="none"/>
              </w:rPr>
              <w:t>。</w:t>
            </w:r>
          </w:p>
          <w:p w14:paraId="6782711B">
            <w:pPr>
              <w:widowControl/>
              <w:numPr>
                <w:ilvl w:val="0"/>
                <w:numId w:val="0"/>
              </w:num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质疑供应商对采购人、采购代理机构的答复不满意，或者采购人、采购代理机构未在规定时间内作出答复的，可以在答复期满后 15 个工作日内向财政部门提起投诉。</w:t>
            </w:r>
          </w:p>
          <w:p w14:paraId="54D26916">
            <w:pPr>
              <w:widowControl/>
              <w:numPr>
                <w:ilvl w:val="0"/>
                <w:numId w:val="0"/>
              </w:num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投诉人投诉时,应当提交投诉书和必要的证明材料，并按照被投诉采购人、采购代理机构（以下简称被投诉人）和与投诉事项有关的供应商数量提供投诉书的副本。</w:t>
            </w:r>
          </w:p>
        </w:tc>
      </w:tr>
      <w:tr w14:paraId="066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B7D7A0">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p>
        </w:tc>
        <w:tc>
          <w:tcPr>
            <w:tcW w:w="8233" w:type="dxa"/>
            <w:noWrap w:val="0"/>
            <w:vAlign w:val="center"/>
          </w:tcPr>
          <w:p w14:paraId="06BAB7A8">
            <w:pPr>
              <w:widowControl/>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监督单位</w:t>
            </w:r>
            <w:r>
              <w:rPr>
                <w:rFonts w:hint="eastAsia" w:asciiTheme="minorEastAsia" w:hAnsiTheme="minorEastAsia" w:eastAsiaTheme="minorEastAsia" w:cstheme="minorEastAsia"/>
                <w:color w:val="auto"/>
                <w:sz w:val="24"/>
                <w:szCs w:val="24"/>
                <w:highlight w:val="none"/>
                <w:lang w:eastAsia="zh-CN"/>
              </w:rPr>
              <w:t>：郑州市上街区财政局</w:t>
            </w:r>
          </w:p>
          <w:p w14:paraId="7639607A">
            <w:pPr>
              <w:widowControl/>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监督部门：郑州市上街区财政局采购科</w:t>
            </w:r>
          </w:p>
          <w:p w14:paraId="53A09A3D">
            <w:pPr>
              <w:widowControl/>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监督部门地址:郑州市上街区连心街 1 号</w:t>
            </w:r>
          </w:p>
          <w:p w14:paraId="25C2444B">
            <w:pPr>
              <w:widowControl/>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监督电话：0371-68937437</w:t>
            </w:r>
          </w:p>
        </w:tc>
      </w:tr>
    </w:tbl>
    <w:p w14:paraId="6C496932">
      <w:pPr>
        <w:pStyle w:val="3"/>
        <w:bidi w:val="0"/>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供应商须知</w:t>
      </w:r>
      <w:bookmarkEnd w:id="15"/>
      <w:bookmarkEnd w:id="16"/>
      <w:bookmarkEnd w:id="17"/>
      <w:bookmarkEnd w:id="18"/>
      <w:bookmarkEnd w:id="19"/>
    </w:p>
    <w:bookmarkEnd w:id="20"/>
    <w:p w14:paraId="08406098">
      <w:pPr>
        <w:pStyle w:val="4"/>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．适用范围</w:t>
      </w:r>
    </w:p>
    <w:p w14:paraId="47D218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根据《中华人民共和国政府采购法》、《中华人民共和国政府采购法实施条例》、《政府采购竞争性磋商采购方式管理暂行办法》（以下简称磋商管理办法）及相关的法律、法规、规章等规定，并结合本项目的特点制定本磋商文件。</w:t>
      </w:r>
    </w:p>
    <w:p w14:paraId="0131C84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磋商文件的法律适用及法律效力</w:t>
      </w:r>
    </w:p>
    <w:p w14:paraId="5CDFA64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1.2.1磋商文件所述内容，仅适用于</w:t>
      </w:r>
      <w:r>
        <w:rPr>
          <w:rFonts w:hint="eastAsia" w:asciiTheme="minorEastAsia" w:hAnsiTheme="minorEastAsia" w:eastAsiaTheme="minorEastAsia" w:cstheme="minorEastAsia"/>
          <w:color w:val="auto"/>
          <w:sz w:val="24"/>
          <w:szCs w:val="24"/>
          <w:highlight w:val="none"/>
          <w:lang w:eastAsia="zh-CN"/>
        </w:rPr>
        <w:t>郑州市上街区教育局采购智慧黑板及教室护眼灯设备项目</w:t>
      </w:r>
      <w:r>
        <w:rPr>
          <w:rFonts w:hint="eastAsia" w:asciiTheme="minorEastAsia" w:hAnsiTheme="minorEastAsia" w:eastAsiaTheme="minorEastAsia" w:cstheme="minorEastAsia"/>
          <w:color w:val="auto"/>
          <w:sz w:val="24"/>
          <w:szCs w:val="24"/>
          <w:highlight w:val="none"/>
        </w:rPr>
        <w:t>。</w:t>
      </w:r>
    </w:p>
    <w:p w14:paraId="6711AC7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1.2.2磋商文件的修改性文件，如补充文件、澄清文件或磋商文件说明同样具有法律效力。</w:t>
      </w:r>
    </w:p>
    <w:p w14:paraId="5C1FBD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1.2.3本磋商文件适用于《中华人民共和国政府采购法》及《中华人民共和国政府采购法实施条例》、《政府采购竞争性磋商采购方式管理暂行办法》和其它相关的法律、法规规定。</w:t>
      </w:r>
    </w:p>
    <w:p w14:paraId="55E11B3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1.2.4本磋商文件的解释权属采购人及采购代理机构。</w:t>
      </w:r>
    </w:p>
    <w:p w14:paraId="54CE184D">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2.本项目的采购方式</w:t>
      </w:r>
      <w:r>
        <w:rPr>
          <w:rFonts w:hint="eastAsia" w:asciiTheme="minorEastAsia" w:hAnsiTheme="minorEastAsia" w:eastAsiaTheme="minorEastAsia" w:cstheme="minorEastAsia"/>
          <w:color w:val="auto"/>
          <w:sz w:val="24"/>
          <w:szCs w:val="24"/>
          <w:highlight w:val="none"/>
        </w:rPr>
        <w:t>:竞争性磋商采购。</w:t>
      </w:r>
    </w:p>
    <w:p w14:paraId="20F671C2">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3.资金来源</w:t>
      </w:r>
      <w:r>
        <w:rPr>
          <w:rFonts w:hint="eastAsia" w:asciiTheme="minorEastAsia" w:hAnsiTheme="minorEastAsia" w:eastAsiaTheme="minorEastAsia" w:cstheme="minorEastAsia"/>
          <w:color w:val="auto"/>
          <w:sz w:val="24"/>
          <w:szCs w:val="24"/>
          <w:highlight w:val="none"/>
        </w:rPr>
        <w:t>:财政资金（已落实）。</w:t>
      </w:r>
    </w:p>
    <w:p w14:paraId="25B598D1">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4．定义</w:t>
      </w:r>
    </w:p>
    <w:p w14:paraId="7C99E3E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rPr>
        <w:t>“采购代理机构”系指</w:t>
      </w:r>
      <w:r>
        <w:rPr>
          <w:rFonts w:hint="eastAsia" w:asciiTheme="minorEastAsia" w:hAnsiTheme="minorEastAsia" w:eastAsiaTheme="minorEastAsia" w:cstheme="minorEastAsia"/>
          <w:color w:val="auto"/>
          <w:sz w:val="24"/>
          <w:szCs w:val="24"/>
          <w:highlight w:val="none"/>
          <w:lang w:eastAsia="zh-CN"/>
        </w:rPr>
        <w:t>河南广信项目管理有限公司</w:t>
      </w:r>
      <w:r>
        <w:rPr>
          <w:rFonts w:hint="eastAsia" w:asciiTheme="minorEastAsia" w:hAnsiTheme="minorEastAsia" w:eastAsiaTheme="minorEastAsia" w:cstheme="minorEastAsia"/>
          <w:color w:val="auto"/>
          <w:sz w:val="24"/>
          <w:szCs w:val="24"/>
          <w:highlight w:val="none"/>
        </w:rPr>
        <w:t>。</w:t>
      </w:r>
    </w:p>
    <w:p w14:paraId="329444E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“供应商”系指向根据政府采购合同，向采购人提供货物、工程或者服务的法人、其他组织或者自然人。</w:t>
      </w:r>
    </w:p>
    <w:p w14:paraId="0CACD4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“采购人”系指 郑州市上街区教育局。</w:t>
      </w:r>
    </w:p>
    <w:p w14:paraId="0B12C25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“成交供应商”系指其响应文件被采购人接受，并与采购人签订合同的合格供应商。</w:t>
      </w:r>
    </w:p>
    <w:p w14:paraId="1CE8C7FF">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“货物”指除了咨询服务以外的所有的物品、货物、装置和/或包括附件、备品备件、图纸、技术文件、用于运输和安装的包装、培训、维修和其他类似服务的供应。</w:t>
      </w:r>
    </w:p>
    <w:p w14:paraId="489E6031">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4.6“货物伴随服务”指磋商文件规定的供应商应承担的技术服务、技术协助、校准及售后服务和其他类似的义务。</w:t>
      </w:r>
    </w:p>
    <w:p w14:paraId="2974B2AB">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5．合格的供应商</w:t>
      </w:r>
    </w:p>
    <w:p w14:paraId="38640E8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参加磋商的供应商需符合前附表第4条规定；</w:t>
      </w:r>
    </w:p>
    <w:p w14:paraId="6FF0678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2供应商必须对全部采购内容进行响应，否则，报价将被拒绝；</w:t>
      </w:r>
    </w:p>
    <w:p w14:paraId="519EA6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3供应商应从采购代理机构处合理获取磋商文件，复制、复印或其他渠道获取的磋商文件采购代理机构不予认可；</w:t>
      </w:r>
    </w:p>
    <w:p w14:paraId="5DA8240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4供应商应遵守国家其他有关的法律、法规及管理办法。</w:t>
      </w:r>
    </w:p>
    <w:p w14:paraId="5AC4B809">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6．磋商费用</w:t>
      </w:r>
    </w:p>
    <w:p w14:paraId="0ED90D5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1无论磋商过程的做法和结果如何，供应商应自行承担参加磋商的所有费用。</w:t>
      </w:r>
    </w:p>
    <w:p w14:paraId="05D51CA8">
      <w:pPr>
        <w:pStyle w:val="4"/>
        <w:bidi w:val="0"/>
        <w:rPr>
          <w:rFonts w:hint="eastAsia" w:asciiTheme="minorEastAsia" w:hAnsiTheme="minorEastAsia" w:eastAsiaTheme="minorEastAsia" w:cstheme="minorEastAsia"/>
          <w:color w:val="auto"/>
          <w:sz w:val="24"/>
          <w:szCs w:val="24"/>
          <w:highlight w:val="none"/>
        </w:rPr>
      </w:pPr>
      <w:bookmarkStart w:id="21" w:name="_Toc369002685"/>
      <w:bookmarkStart w:id="22" w:name="_Toc369002763"/>
      <w:bookmarkStart w:id="23" w:name="_Toc449027473"/>
      <w:bookmarkStart w:id="24" w:name="_Toc369002798"/>
      <w:bookmarkStart w:id="25" w:name="_Toc449115773"/>
      <w:r>
        <w:rPr>
          <w:rFonts w:hint="eastAsia" w:asciiTheme="minorEastAsia" w:hAnsiTheme="minorEastAsia" w:eastAsiaTheme="minorEastAsia" w:cstheme="minorEastAsia"/>
          <w:color w:val="auto"/>
          <w:sz w:val="24"/>
          <w:szCs w:val="24"/>
          <w:highlight w:val="none"/>
        </w:rPr>
        <w:t>二、磋商文件说明</w:t>
      </w:r>
      <w:bookmarkEnd w:id="21"/>
      <w:bookmarkEnd w:id="22"/>
      <w:bookmarkEnd w:id="23"/>
      <w:bookmarkEnd w:id="24"/>
      <w:bookmarkEnd w:id="25"/>
    </w:p>
    <w:p w14:paraId="4BD10BCB">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7．磋商文件的构成</w:t>
      </w:r>
    </w:p>
    <w:p w14:paraId="7253C7E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7．1磋商文件用以阐明所需服务需求、磋商方法和程序及合同格式。磋商文件由下述部分组成：</w:t>
      </w:r>
    </w:p>
    <w:p w14:paraId="0DFAED63">
      <w:pPr>
        <w:spacing w:line="360" w:lineRule="auto"/>
        <w:ind w:firstLine="1027" w:firstLineChars="428"/>
        <w:rPr>
          <w:rFonts w:hint="eastAsia" w:asciiTheme="minorEastAsia" w:hAnsiTheme="minorEastAsia" w:eastAsiaTheme="minorEastAsia" w:cstheme="minorEastAsia"/>
          <w:color w:val="auto"/>
          <w:sz w:val="24"/>
          <w:szCs w:val="24"/>
          <w:highlight w:val="none"/>
        </w:rPr>
      </w:pPr>
      <w:bookmarkStart w:id="26" w:name="_Toc288060319"/>
      <w:bookmarkStart w:id="27" w:name="_Toc288203155"/>
      <w:r>
        <w:rPr>
          <w:rFonts w:hint="eastAsia" w:asciiTheme="minorEastAsia" w:hAnsiTheme="minorEastAsia" w:eastAsiaTheme="minorEastAsia" w:cstheme="minorEastAsia"/>
          <w:color w:val="auto"/>
          <w:sz w:val="24"/>
          <w:szCs w:val="24"/>
          <w:highlight w:val="none"/>
        </w:rPr>
        <w:t>第一章   竞争性磋商公告</w:t>
      </w:r>
      <w:bookmarkEnd w:id="26"/>
      <w:bookmarkEnd w:id="27"/>
      <w:bookmarkStart w:id="28" w:name="_Toc287604727"/>
    </w:p>
    <w:p w14:paraId="5558EDE7">
      <w:pPr>
        <w:spacing w:line="360" w:lineRule="auto"/>
        <w:ind w:firstLine="1027" w:firstLineChars="428"/>
        <w:rPr>
          <w:rFonts w:hint="eastAsia" w:asciiTheme="minorEastAsia" w:hAnsiTheme="minorEastAsia" w:eastAsiaTheme="minorEastAsia" w:cstheme="minorEastAsia"/>
          <w:color w:val="auto"/>
          <w:sz w:val="24"/>
          <w:szCs w:val="24"/>
          <w:highlight w:val="none"/>
          <w:lang w:eastAsia="zh-CN"/>
        </w:rPr>
      </w:pPr>
      <w:bookmarkStart w:id="29" w:name="_Toc288203156"/>
      <w:bookmarkStart w:id="30" w:name="_Toc288060320"/>
      <w:r>
        <w:rPr>
          <w:rFonts w:hint="eastAsia" w:asciiTheme="minorEastAsia" w:hAnsiTheme="minorEastAsia" w:eastAsiaTheme="minorEastAsia" w:cstheme="minorEastAsia"/>
          <w:color w:val="auto"/>
          <w:sz w:val="24"/>
          <w:szCs w:val="24"/>
          <w:highlight w:val="none"/>
        </w:rPr>
        <w:t xml:space="preserve">第二章   </w:t>
      </w:r>
      <w:bookmarkEnd w:id="28"/>
      <w:bookmarkEnd w:id="29"/>
      <w:bookmarkEnd w:id="30"/>
      <w:bookmarkStart w:id="31" w:name="_Toc287604728"/>
      <w:r>
        <w:rPr>
          <w:rFonts w:hint="eastAsia" w:asciiTheme="minorEastAsia" w:hAnsiTheme="minorEastAsia" w:eastAsiaTheme="minorEastAsia" w:cstheme="minorEastAsia"/>
          <w:color w:val="auto"/>
          <w:sz w:val="24"/>
          <w:szCs w:val="24"/>
          <w:highlight w:val="none"/>
        </w:rPr>
        <w:t>供应商须知</w:t>
      </w:r>
      <w:r>
        <w:rPr>
          <w:rFonts w:hint="eastAsia" w:asciiTheme="minorEastAsia" w:hAnsiTheme="minorEastAsia" w:eastAsiaTheme="minorEastAsia" w:cstheme="minorEastAsia"/>
          <w:color w:val="auto"/>
          <w:sz w:val="24"/>
          <w:szCs w:val="24"/>
          <w:highlight w:val="none"/>
          <w:lang w:val="en-US" w:eastAsia="zh-CN"/>
        </w:rPr>
        <w:t>前附表</w:t>
      </w:r>
    </w:p>
    <w:p w14:paraId="4C06C22F">
      <w:pPr>
        <w:spacing w:line="360" w:lineRule="auto"/>
        <w:ind w:firstLine="1027" w:firstLineChars="428"/>
        <w:rPr>
          <w:rFonts w:hint="eastAsia" w:asciiTheme="minorEastAsia" w:hAnsiTheme="minorEastAsia" w:eastAsiaTheme="minorEastAsia" w:cstheme="minorEastAsia"/>
          <w:color w:val="auto"/>
          <w:sz w:val="24"/>
          <w:szCs w:val="24"/>
          <w:highlight w:val="none"/>
        </w:rPr>
      </w:pPr>
      <w:bookmarkStart w:id="32" w:name="_Toc288060321"/>
      <w:bookmarkStart w:id="33" w:name="_Toc288203157"/>
      <w:r>
        <w:rPr>
          <w:rFonts w:hint="eastAsia" w:asciiTheme="minorEastAsia" w:hAnsiTheme="minorEastAsia" w:eastAsiaTheme="minorEastAsia" w:cstheme="minorEastAsia"/>
          <w:color w:val="auto"/>
          <w:sz w:val="24"/>
          <w:szCs w:val="24"/>
          <w:highlight w:val="none"/>
        </w:rPr>
        <w:t xml:space="preserve">第三章   </w:t>
      </w:r>
      <w:bookmarkEnd w:id="31"/>
      <w:bookmarkEnd w:id="32"/>
      <w:bookmarkEnd w:id="33"/>
      <w:bookmarkStart w:id="34" w:name="_Toc287604729"/>
      <w:bookmarkStart w:id="35" w:name="_Toc288203158"/>
      <w:bookmarkStart w:id="36" w:name="_Toc288060322"/>
      <w:r>
        <w:rPr>
          <w:rFonts w:hint="eastAsia" w:asciiTheme="minorEastAsia" w:hAnsiTheme="minorEastAsia" w:eastAsiaTheme="minorEastAsia" w:cstheme="minorEastAsia"/>
          <w:color w:val="auto"/>
          <w:sz w:val="24"/>
          <w:szCs w:val="24"/>
          <w:highlight w:val="none"/>
        </w:rPr>
        <w:t>采购人需求及技术要求</w:t>
      </w:r>
    </w:p>
    <w:p w14:paraId="684BE9CE">
      <w:pPr>
        <w:spacing w:line="360" w:lineRule="auto"/>
        <w:ind w:firstLine="1027" w:firstLineChars="4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bookmarkEnd w:id="34"/>
      <w:bookmarkEnd w:id="35"/>
      <w:bookmarkEnd w:id="36"/>
      <w:bookmarkStart w:id="37" w:name="_Toc287604730"/>
      <w:r>
        <w:rPr>
          <w:rFonts w:hint="eastAsia" w:asciiTheme="minorEastAsia" w:hAnsiTheme="minorEastAsia" w:eastAsiaTheme="minorEastAsia" w:cstheme="minorEastAsia"/>
          <w:color w:val="auto"/>
          <w:sz w:val="24"/>
          <w:szCs w:val="24"/>
          <w:highlight w:val="none"/>
        </w:rPr>
        <w:t>合同协议书（格式）</w:t>
      </w:r>
    </w:p>
    <w:p w14:paraId="7A73ADF8">
      <w:pPr>
        <w:spacing w:line="360" w:lineRule="auto"/>
        <w:ind w:firstLine="1027" w:firstLineChars="428"/>
        <w:rPr>
          <w:rFonts w:hint="eastAsia" w:asciiTheme="minorEastAsia" w:hAnsiTheme="minorEastAsia" w:eastAsiaTheme="minorEastAsia" w:cstheme="minorEastAsia"/>
          <w:color w:val="auto"/>
          <w:sz w:val="24"/>
          <w:szCs w:val="24"/>
          <w:highlight w:val="none"/>
        </w:rPr>
      </w:pPr>
      <w:bookmarkStart w:id="38" w:name="_Toc288060323"/>
      <w:bookmarkStart w:id="39" w:name="_Toc288203159"/>
      <w:r>
        <w:rPr>
          <w:rFonts w:hint="eastAsia" w:asciiTheme="minorEastAsia" w:hAnsiTheme="minorEastAsia" w:eastAsiaTheme="minorEastAsia" w:cstheme="minorEastAsia"/>
          <w:color w:val="auto"/>
          <w:sz w:val="24"/>
          <w:szCs w:val="24"/>
          <w:highlight w:val="none"/>
        </w:rPr>
        <w:t xml:space="preserve">第五章   </w:t>
      </w:r>
      <w:bookmarkEnd w:id="37"/>
      <w:bookmarkEnd w:id="38"/>
      <w:bookmarkEnd w:id="39"/>
      <w:bookmarkStart w:id="40" w:name="_Toc287604731"/>
      <w:r>
        <w:rPr>
          <w:rFonts w:hint="eastAsia" w:asciiTheme="minorEastAsia" w:hAnsiTheme="minorEastAsia" w:eastAsiaTheme="minorEastAsia" w:cstheme="minorEastAsia"/>
          <w:color w:val="auto"/>
          <w:sz w:val="24"/>
          <w:szCs w:val="24"/>
          <w:highlight w:val="none"/>
        </w:rPr>
        <w:t>响应文件格式</w:t>
      </w:r>
    </w:p>
    <w:bookmarkEnd w:id="40"/>
    <w:p w14:paraId="1584E1AD">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8．质疑的提出与接收</w:t>
      </w:r>
    </w:p>
    <w:p w14:paraId="1B3A0A9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8.1供应商认为竞争性磋商文件、采购过程、成交结果使自己的权益受到损害的，可以在知道或者应知其权益受到损害之日起7个工作日内，一次性以书面形式向采购人、采购代理机构提出质疑。质疑函内容应符合</w:t>
      </w:r>
      <w:bookmarkStart w:id="41" w:name="_Toc18115"/>
      <w:r>
        <w:rPr>
          <w:rFonts w:hint="eastAsia" w:asciiTheme="minorEastAsia" w:hAnsiTheme="minorEastAsia" w:eastAsiaTheme="minorEastAsia" w:cstheme="minorEastAsia"/>
          <w:color w:val="auto"/>
          <w:sz w:val="24"/>
          <w:szCs w:val="24"/>
          <w:highlight w:val="none"/>
        </w:rPr>
        <w:t>《政府采购质疑和投诉办法》</w:t>
      </w:r>
      <w:bookmarkEnd w:id="41"/>
      <w:r>
        <w:rPr>
          <w:rFonts w:hint="eastAsia" w:asciiTheme="minorEastAsia" w:hAnsiTheme="minorEastAsia" w:eastAsiaTheme="minorEastAsia" w:cstheme="minorEastAsia"/>
          <w:color w:val="auto"/>
          <w:sz w:val="24"/>
          <w:szCs w:val="24"/>
          <w:highlight w:val="none"/>
        </w:rPr>
        <w:t>要求（联系方式详见供应商须知前附表</w:t>
      </w:r>
      <w:r>
        <w:rPr>
          <w:rFonts w:hint="eastAsia" w:asciiTheme="minorEastAsia" w:hAnsiTheme="minorEastAsia" w:eastAsiaTheme="minorEastAsia" w:cstheme="minorEastAsia"/>
          <w:color w:val="auto"/>
          <w:sz w:val="24"/>
          <w:szCs w:val="24"/>
          <w:highlight w:val="none"/>
          <w:lang w:val="en-US" w:eastAsia="zh-CN"/>
        </w:rPr>
        <w:t>第20项</w:t>
      </w:r>
      <w:r>
        <w:rPr>
          <w:rFonts w:hint="eastAsia" w:asciiTheme="minorEastAsia" w:hAnsiTheme="minorEastAsia" w:eastAsiaTheme="minorEastAsia" w:cstheme="minorEastAsia"/>
          <w:color w:val="auto"/>
          <w:sz w:val="24"/>
          <w:szCs w:val="24"/>
          <w:highlight w:val="none"/>
        </w:rPr>
        <w:t>）。在规定的时间内未提出疑问的，将被视为对竞争性磋商文件、采购过程、成交结果完全认可。</w:t>
      </w:r>
    </w:p>
    <w:p w14:paraId="513A77C6">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9．磋商文件的修改</w:t>
      </w:r>
    </w:p>
    <w:p w14:paraId="76F7BBA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采购人可以书面形式修改磋商文件，澄清或者修改将在原竞争性磋商公告发布媒体上发布信息更正公告。如果修改磋商文件的时间距响应文件提交截止时间不足5日的，并且修改内容影响响应文件编制的，将相应延长响应文件提交截止时间。</w:t>
      </w:r>
    </w:p>
    <w:p w14:paraId="077F39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采购人、采购代理机构或者磋商小组将做出的修改的内容可能影响响应文件编制的，应当在提交首次响应文件截止之日5日前，以书面形式通知所有接收磋商文件的供应商，不足5日的，应当顺延提交首次响应文件截止之日。</w:t>
      </w:r>
    </w:p>
    <w:p w14:paraId="033B67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9.3磋商文件的修改文件将构成磋商文件的一部分，对供应商有约束力。</w:t>
      </w:r>
    </w:p>
    <w:p w14:paraId="205EA30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收到磋商文件时，应检查页数和附件数量。供应商发现任何页数或附件数量的遗缺、数字或词汇模糊不清、词义含混不清，应告知采购代理机构补全或澄清。如果供应商不按上述提出要求而造成不良后果，采购代理机构不承担责任。</w:t>
      </w:r>
    </w:p>
    <w:p w14:paraId="3C9BFBAF">
      <w:pPr>
        <w:pStyle w:val="4"/>
        <w:bidi w:val="0"/>
        <w:rPr>
          <w:rFonts w:hint="eastAsia" w:asciiTheme="minorEastAsia" w:hAnsiTheme="minorEastAsia" w:eastAsiaTheme="minorEastAsia" w:cstheme="minorEastAsia"/>
          <w:color w:val="auto"/>
          <w:sz w:val="24"/>
          <w:szCs w:val="24"/>
          <w:highlight w:val="none"/>
        </w:rPr>
      </w:pPr>
      <w:bookmarkStart w:id="42" w:name="_Toc98041606"/>
      <w:bookmarkStart w:id="43" w:name="_Toc369002799"/>
      <w:bookmarkStart w:id="44" w:name="_Toc369002764"/>
      <w:bookmarkStart w:id="45" w:name="_Toc449027474"/>
      <w:bookmarkStart w:id="46" w:name="_Toc449115774"/>
      <w:bookmarkStart w:id="47" w:name="_Toc369002686"/>
      <w:r>
        <w:rPr>
          <w:rFonts w:hint="eastAsia" w:asciiTheme="minorEastAsia" w:hAnsiTheme="minorEastAsia" w:eastAsiaTheme="minorEastAsia" w:cstheme="minorEastAsia"/>
          <w:color w:val="auto"/>
          <w:sz w:val="24"/>
          <w:szCs w:val="24"/>
          <w:highlight w:val="none"/>
        </w:rPr>
        <w:t>三、响应文件</w:t>
      </w:r>
      <w:bookmarkEnd w:id="42"/>
      <w:r>
        <w:rPr>
          <w:rFonts w:hint="eastAsia" w:asciiTheme="minorEastAsia" w:hAnsiTheme="minorEastAsia" w:eastAsiaTheme="minorEastAsia" w:cstheme="minorEastAsia"/>
          <w:color w:val="auto"/>
          <w:sz w:val="24"/>
          <w:szCs w:val="24"/>
          <w:highlight w:val="none"/>
        </w:rPr>
        <w:t>的编写</w:t>
      </w:r>
      <w:bookmarkEnd w:id="43"/>
      <w:bookmarkEnd w:id="44"/>
      <w:bookmarkEnd w:id="45"/>
      <w:bookmarkEnd w:id="46"/>
      <w:bookmarkEnd w:id="47"/>
    </w:p>
    <w:p w14:paraId="631A9117">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10．响应文件的编写要求</w:t>
      </w:r>
    </w:p>
    <w:p w14:paraId="3EE1BB9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10.1供应商应仔细阅读磋商文件的所有内容，按磋商文件的要求提供响应文件，并保证所提供的全部资料的真实性，以使其响应文件对磋商文件的实质性要求做出完全响应，否则，其响应文件可能被拒绝。</w:t>
      </w:r>
    </w:p>
    <w:p w14:paraId="44546485">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11．响应文件语言及计量单位</w:t>
      </w:r>
    </w:p>
    <w:p w14:paraId="5107436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11.1响应文件以及供应商所有与采购人及采购代理机构就磋商来往的函电均使用中文。供应商提供的外文资料应附有相应的中文译本，并以中文译本为准。</w:t>
      </w:r>
    </w:p>
    <w:p w14:paraId="00A47E7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11.2响应文件中所使用的计量单位，除在磋商文件的技术规格和要求中另有规定外，应采用中华人民共和国法定计量单位。</w:t>
      </w:r>
    </w:p>
    <w:p w14:paraId="361439BF">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12．响应文件的组成</w:t>
      </w:r>
    </w:p>
    <w:p w14:paraId="02403EA0">
      <w:pPr>
        <w:tabs>
          <w:tab w:val="left" w:pos="1680"/>
        </w:tabs>
        <w:spacing w:line="360" w:lineRule="auto"/>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12.1供应商实质性</w:t>
      </w:r>
      <w:r>
        <w:rPr>
          <w:rFonts w:hint="eastAsia" w:asciiTheme="minorEastAsia" w:hAnsiTheme="minorEastAsia" w:eastAsiaTheme="minorEastAsia" w:cstheme="minorEastAsia"/>
          <w:b/>
          <w:color w:val="auto"/>
          <w:sz w:val="24"/>
          <w:szCs w:val="24"/>
          <w:highlight w:val="none"/>
          <w:lang w:val="en-US" w:eastAsia="zh-CN"/>
        </w:rPr>
        <w:t>资格、符合性审查</w:t>
      </w:r>
      <w:r>
        <w:rPr>
          <w:rFonts w:hint="eastAsia" w:asciiTheme="minorEastAsia" w:hAnsiTheme="minorEastAsia" w:eastAsiaTheme="minorEastAsia" w:cstheme="minorEastAsia"/>
          <w:b/>
          <w:color w:val="auto"/>
          <w:sz w:val="24"/>
          <w:szCs w:val="24"/>
          <w:highlight w:val="none"/>
        </w:rPr>
        <w:t>审核部分：</w:t>
      </w:r>
    </w:p>
    <w:p w14:paraId="015216D6">
      <w:pPr>
        <w:tabs>
          <w:tab w:val="left" w:pos="1680"/>
        </w:tabs>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实质上没有响应磋商文件要求的响应文件将被拒绝。供应商不得通过修正或撤销不符合要求的偏离或保留，从而使文件成为实质上的响应文件。</w:t>
      </w:r>
    </w:p>
    <w:p w14:paraId="093617E5">
      <w:pPr>
        <w:tabs>
          <w:tab w:val="left" w:pos="1680"/>
        </w:tabs>
        <w:spacing w:line="360" w:lineRule="auto"/>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12.1.1资格审查</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详见第三章“供应商须知”前附表第4项规定的供应商资格要求。</w:t>
      </w:r>
    </w:p>
    <w:p w14:paraId="46EFE54A">
      <w:pPr>
        <w:tabs>
          <w:tab w:val="left" w:pos="1680"/>
        </w:tabs>
        <w:spacing w:line="360" w:lineRule="auto"/>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12.1.2符合性审查</w:t>
      </w:r>
    </w:p>
    <w:p w14:paraId="01A9231B">
      <w:pPr>
        <w:tabs>
          <w:tab w:val="left" w:pos="1680"/>
        </w:tabs>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要求进行签署或盖章；</w:t>
      </w:r>
    </w:p>
    <w:p w14:paraId="212FB45E">
      <w:pPr>
        <w:tabs>
          <w:tab w:val="left" w:pos="1680"/>
        </w:tabs>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（2）未超过政府采购最高限价；</w:t>
      </w:r>
    </w:p>
    <w:p w14:paraId="1312B454">
      <w:pPr>
        <w:tabs>
          <w:tab w:val="left" w:pos="1680"/>
        </w:tabs>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（3）磋商有效期符合磋商文件的要求；</w:t>
      </w:r>
    </w:p>
    <w:p w14:paraId="393C97AA">
      <w:pPr>
        <w:tabs>
          <w:tab w:val="left" w:pos="1680"/>
        </w:tabs>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（4）合同履行期限、质保期、付款方式符合磋商文件的要求；</w:t>
      </w:r>
    </w:p>
    <w:p w14:paraId="5320048E">
      <w:pPr>
        <w:tabs>
          <w:tab w:val="left" w:pos="1680"/>
        </w:tabs>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）不存在磋商文件“供应商须知前附表第23条”规定的响应文件无效的情形。</w:t>
      </w:r>
    </w:p>
    <w:p w14:paraId="37B15D57">
      <w:pPr>
        <w:tabs>
          <w:tab w:val="left" w:pos="1680"/>
        </w:tabs>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）响应文件未附有采购人不能接受的条件。</w:t>
      </w:r>
    </w:p>
    <w:p w14:paraId="3E69A4FD">
      <w:pPr>
        <w:spacing w:line="360" w:lineRule="auto"/>
        <w:ind w:firstLine="361"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12.2报价部分：</w:t>
      </w:r>
    </w:p>
    <w:p w14:paraId="74D01DA2">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12.2.1报价函；</w:t>
      </w:r>
    </w:p>
    <w:p w14:paraId="3EA79CA4">
      <w:pPr>
        <w:spacing w:line="360" w:lineRule="auto"/>
        <w:ind w:left="56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（1）报价一览表；</w:t>
      </w:r>
    </w:p>
    <w:p w14:paraId="0D03BB0E">
      <w:pPr>
        <w:spacing w:line="360" w:lineRule="auto"/>
        <w:ind w:left="560" w:leftChars="200" w:firstLine="120" w:firstLineChars="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Cs/>
          <w:color w:val="auto"/>
          <w:sz w:val="24"/>
          <w:szCs w:val="24"/>
          <w:highlight w:val="none"/>
        </w:rPr>
        <w:t>分项报价明细表。</w:t>
      </w:r>
    </w:p>
    <w:p w14:paraId="2C13460C">
      <w:pPr>
        <w:spacing w:line="360" w:lineRule="auto"/>
        <w:ind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13．响应文件格式</w:t>
      </w:r>
    </w:p>
    <w:p w14:paraId="7F357095">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13.1供应商需按照磋商文件提供的响应文件格式，但可以同样格式扩展。</w:t>
      </w:r>
    </w:p>
    <w:p w14:paraId="2B7F2D7F">
      <w:pPr>
        <w:spacing w:line="360" w:lineRule="auto"/>
        <w:ind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磋商报价</w:t>
      </w:r>
    </w:p>
    <w:p w14:paraId="0DBCC60D">
      <w:pPr>
        <w:spacing w:line="360" w:lineRule="auto"/>
        <w:ind w:firstLine="352" w:firstLineChars="14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14.1政府采购最高限价详见供应商须知前附表，供应商报价高于政府采购最高限价的报价为无效报价。</w:t>
      </w:r>
    </w:p>
    <w:p w14:paraId="275138C2">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14.2磋商总报价：应是</w:t>
      </w:r>
      <w:r>
        <w:rPr>
          <w:rFonts w:hint="eastAsia" w:asciiTheme="minorEastAsia" w:hAnsiTheme="minorEastAsia" w:eastAsiaTheme="minorEastAsia" w:cstheme="minorEastAsia"/>
          <w:color w:val="auto"/>
          <w:kern w:val="0"/>
          <w:sz w:val="24"/>
          <w:szCs w:val="24"/>
          <w:highlight w:val="none"/>
        </w:rPr>
        <w:t>完成本磋商文件规定的采购需求所列项目的全部费用</w:t>
      </w:r>
      <w:r>
        <w:rPr>
          <w:rFonts w:hint="eastAsia" w:asciiTheme="minorEastAsia" w:hAnsiTheme="minorEastAsia" w:eastAsiaTheme="minorEastAsia" w:cstheme="minorEastAsia"/>
          <w:color w:val="auto"/>
          <w:sz w:val="24"/>
          <w:szCs w:val="24"/>
          <w:highlight w:val="none"/>
        </w:rPr>
        <w:t>。</w:t>
      </w:r>
    </w:p>
    <w:p w14:paraId="1128498B">
      <w:pPr>
        <w:spacing w:line="360" w:lineRule="auto"/>
        <w:ind w:firstLine="352" w:firstLineChars="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14.3供应商所报的服务单价在履行合同过程中是固定不变的，不得以任何理由予以变更。任何包含价格调整要求的报价，将被认为是非响应性报价而予以拒绝。</w:t>
      </w:r>
    </w:p>
    <w:p w14:paraId="24A30C20">
      <w:pPr>
        <w:spacing w:line="360" w:lineRule="auto"/>
        <w:ind w:firstLine="352" w:firstLineChars="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14.4本次磋商采用两轮报价：响应文件递交时的报价为第一轮报价，第二轮报价为成交价。</w:t>
      </w:r>
    </w:p>
    <w:p w14:paraId="1499575E">
      <w:pPr>
        <w:spacing w:line="360" w:lineRule="auto"/>
        <w:ind w:firstLine="352" w:firstLineChars="147"/>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14.5响应总价中不得包含竞争性磋商文件要求以外的内容，否则，在评审时不予核减；响应总价中也不得缺漏竞争性磋商文件所要求的内容，否则，其响应将可能被视为无效响应</w:t>
      </w:r>
      <w:r>
        <w:rPr>
          <w:rFonts w:hint="eastAsia" w:asciiTheme="minorEastAsia" w:hAnsiTheme="minorEastAsia" w:eastAsiaTheme="minorEastAsia" w:cstheme="minorEastAsia"/>
          <w:color w:val="auto"/>
          <w:sz w:val="24"/>
          <w:szCs w:val="24"/>
          <w:highlight w:val="none"/>
          <w:lang w:val="zh-CN"/>
        </w:rPr>
        <w:t>。</w:t>
      </w:r>
    </w:p>
    <w:p w14:paraId="16C826DE">
      <w:pPr>
        <w:spacing w:line="360" w:lineRule="auto"/>
        <w:ind w:firstLine="352"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kern w:val="0"/>
          <w:sz w:val="24"/>
          <w:szCs w:val="24"/>
          <w:highlight w:val="none"/>
        </w:rPr>
        <w:t>磋商小组认为供应商的报价明显低于其他通过资格、符合性审查供应商的报价，有可能影响产品质量或者不能诚信履约的，应当要求其在评审现场合理的时间内提供书面说明，必要时提交相关证明材料；供应商不能证明其报价合理性的，磋商小组应当将其作为无效文件处理</w:t>
      </w:r>
      <w:r>
        <w:rPr>
          <w:rFonts w:hint="eastAsia" w:asciiTheme="minorEastAsia" w:hAnsiTheme="minorEastAsia" w:eastAsiaTheme="minorEastAsia" w:cstheme="minorEastAsia"/>
          <w:color w:val="auto"/>
          <w:sz w:val="24"/>
          <w:szCs w:val="24"/>
          <w:highlight w:val="none"/>
        </w:rPr>
        <w:t>。</w:t>
      </w:r>
    </w:p>
    <w:p w14:paraId="7BF60ACC">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15．报价货币</w:t>
      </w:r>
    </w:p>
    <w:p w14:paraId="339BF3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15.1报价和支付所使用的货币：供应商填报的报价均以人民币为计价依据，单位为元，可保留两位小数。合同实施时亦以人民币支付。</w:t>
      </w:r>
    </w:p>
    <w:p w14:paraId="48BD34C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16．磋商保证金</w:t>
      </w:r>
      <w:r>
        <w:rPr>
          <w:rFonts w:hint="eastAsia" w:asciiTheme="minorEastAsia" w:hAnsiTheme="minorEastAsia" w:eastAsiaTheme="minorEastAsia" w:cstheme="minorEastAsia"/>
          <w:color w:val="auto"/>
          <w:sz w:val="24"/>
          <w:szCs w:val="24"/>
          <w:highlight w:val="none"/>
        </w:rPr>
        <w:t>（无）</w:t>
      </w:r>
    </w:p>
    <w:p w14:paraId="3C72D04A">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17.磋商有效期</w:t>
      </w:r>
    </w:p>
    <w:p w14:paraId="568418C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17.1磋商有效期从本须知前附表所规定的响应文件提交截止时间起开始计算。响应文件在本须知前附表所规定的时间内保持有效；</w:t>
      </w:r>
    </w:p>
    <w:p w14:paraId="0C3D86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17.2因特殊情况，采购人可以通知所有供应商延长磋商有效期，这种要求与答复均应以书面形式提交。供应商可以拒绝这种要求。同意延长磋商有效期的供应商将不会被要求也不允许修改其响应文件。</w:t>
      </w:r>
    </w:p>
    <w:p w14:paraId="0C911F89">
      <w:pPr>
        <w:pStyle w:val="4"/>
        <w:bidi w:val="0"/>
        <w:rPr>
          <w:rFonts w:hint="eastAsia" w:asciiTheme="minorEastAsia" w:hAnsiTheme="minorEastAsia" w:eastAsiaTheme="minorEastAsia" w:cstheme="minorEastAsia"/>
          <w:color w:val="auto"/>
          <w:sz w:val="24"/>
          <w:szCs w:val="24"/>
          <w:highlight w:val="none"/>
        </w:rPr>
      </w:pPr>
      <w:bookmarkStart w:id="48" w:name="_Toc369002800"/>
      <w:bookmarkStart w:id="49" w:name="_Toc449115775"/>
      <w:bookmarkStart w:id="50" w:name="_Toc369002687"/>
      <w:bookmarkStart w:id="51" w:name="_Toc369002765"/>
      <w:bookmarkStart w:id="52" w:name="_Toc449027475"/>
      <w:r>
        <w:rPr>
          <w:rFonts w:hint="eastAsia" w:asciiTheme="minorEastAsia" w:hAnsiTheme="minorEastAsia" w:eastAsiaTheme="minorEastAsia" w:cstheme="minorEastAsia"/>
          <w:color w:val="auto"/>
          <w:sz w:val="24"/>
          <w:szCs w:val="24"/>
          <w:highlight w:val="none"/>
        </w:rPr>
        <w:t>四、响应文件的递交</w:t>
      </w:r>
      <w:bookmarkEnd w:id="48"/>
      <w:bookmarkEnd w:id="49"/>
      <w:bookmarkEnd w:id="50"/>
      <w:bookmarkEnd w:id="51"/>
      <w:bookmarkEnd w:id="52"/>
    </w:p>
    <w:p w14:paraId="5A0AD9C5">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18.加密响应文件的递交</w:t>
      </w:r>
    </w:p>
    <w:p w14:paraId="149C11C9">
      <w:pPr>
        <w:wordWrap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18.1壹份加密电子响应文件(*.ZZTF格式)上传至郑州公共资源电子招投标交易平台（https://zzggzy.zhengzhou.gov.cn）</w:t>
      </w:r>
    </w:p>
    <w:p w14:paraId="5CB474FF">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19.响应文件的修改、补充与撤回</w:t>
      </w:r>
    </w:p>
    <w:p w14:paraId="09BB41D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19.1供应商在递交响应文件后，在提交响应文件截止时间之前可以补充、修改或撤回其响应文件。</w:t>
      </w:r>
    </w:p>
    <w:p w14:paraId="57ACF041">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19.2修改的内容为响应文件的组成部分。修改的响应文件应按照本章第3条、第4条规定进行编制、加密、标记和递交，并标明“修改”字样</w:t>
      </w:r>
    </w:p>
    <w:p w14:paraId="7F0B623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19.3在提交响应文件截止时间之后，供应商不能修改、补充或撤回响应文件。</w:t>
      </w:r>
    </w:p>
    <w:p w14:paraId="4E088496">
      <w:pPr>
        <w:bidi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19.4</w:t>
      </w:r>
      <w:r>
        <w:rPr>
          <w:rFonts w:hint="eastAsia" w:asciiTheme="minorEastAsia" w:hAnsiTheme="minorEastAsia" w:eastAsiaTheme="minorEastAsia" w:cstheme="minorEastAsia"/>
          <w:color w:val="auto"/>
          <w:sz w:val="24"/>
          <w:szCs w:val="24"/>
          <w:highlight w:val="none"/>
        </w:rPr>
        <w:t>从响应文件提交截止时间至供应商在响应文件中载明的磋商有效期满期间，供应商不得撤回其响应文件，否则供应商将承担相应的违约责任</w:t>
      </w:r>
      <w:r>
        <w:rPr>
          <w:rFonts w:hint="eastAsia" w:asciiTheme="minorEastAsia" w:hAnsiTheme="minorEastAsia" w:eastAsiaTheme="minorEastAsia" w:cstheme="minorEastAsia"/>
          <w:color w:val="auto"/>
          <w:sz w:val="24"/>
          <w:szCs w:val="24"/>
          <w:highlight w:val="none"/>
          <w:lang w:eastAsia="zh-CN"/>
        </w:rPr>
        <w:t>。</w:t>
      </w:r>
    </w:p>
    <w:p w14:paraId="453F02E6">
      <w:pPr>
        <w:pStyle w:val="4"/>
        <w:bidi w:val="0"/>
        <w:rPr>
          <w:rFonts w:hint="eastAsia" w:asciiTheme="minorEastAsia" w:hAnsiTheme="minorEastAsia" w:eastAsiaTheme="minorEastAsia" w:cstheme="minorEastAsia"/>
          <w:color w:val="auto"/>
          <w:sz w:val="24"/>
          <w:szCs w:val="24"/>
          <w:highlight w:val="none"/>
        </w:rPr>
      </w:pPr>
      <w:bookmarkStart w:id="53" w:name="_Toc98041609"/>
      <w:bookmarkStart w:id="54" w:name="_Toc449027476"/>
      <w:bookmarkStart w:id="55" w:name="_Toc369002801"/>
      <w:bookmarkStart w:id="56" w:name="_Toc449115776"/>
      <w:bookmarkStart w:id="57" w:name="_Toc369002688"/>
      <w:bookmarkStart w:id="58" w:name="_Toc369002766"/>
      <w:r>
        <w:rPr>
          <w:rFonts w:hint="eastAsia" w:asciiTheme="minorEastAsia" w:hAnsiTheme="minorEastAsia" w:eastAsiaTheme="minorEastAsia" w:cstheme="minorEastAsia"/>
          <w:color w:val="auto"/>
          <w:sz w:val="24"/>
          <w:szCs w:val="24"/>
          <w:highlight w:val="none"/>
        </w:rPr>
        <w:t>五、</w:t>
      </w:r>
      <w:bookmarkEnd w:id="53"/>
      <w:r>
        <w:rPr>
          <w:rFonts w:hint="eastAsia" w:asciiTheme="minorEastAsia" w:hAnsiTheme="minorEastAsia" w:eastAsiaTheme="minorEastAsia" w:cstheme="minorEastAsia"/>
          <w:color w:val="auto"/>
          <w:sz w:val="24"/>
          <w:szCs w:val="24"/>
          <w:highlight w:val="none"/>
        </w:rPr>
        <w:t>磋商小组</w:t>
      </w:r>
      <w:bookmarkEnd w:id="54"/>
      <w:bookmarkEnd w:id="55"/>
      <w:bookmarkEnd w:id="56"/>
      <w:bookmarkEnd w:id="57"/>
      <w:bookmarkEnd w:id="58"/>
    </w:p>
    <w:p w14:paraId="59F2843F">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20.磋商小组</w:t>
      </w:r>
    </w:p>
    <w:p w14:paraId="0BFE37C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w:t>
      </w:r>
      <w:r>
        <w:rPr>
          <w:rFonts w:hint="eastAsia" w:asciiTheme="minorEastAsia" w:hAnsiTheme="minorEastAsia" w:eastAsiaTheme="minorEastAsia" w:cstheme="minorEastAsia"/>
          <w:bCs/>
          <w:color w:val="auto"/>
          <w:sz w:val="24"/>
          <w:szCs w:val="24"/>
          <w:highlight w:val="none"/>
        </w:rPr>
        <w:t>磋商小组成员按照</w:t>
      </w:r>
      <w:bookmarkStart w:id="59" w:name="OLE_LINK8"/>
      <w:bookmarkStart w:id="60" w:name="OLE_LINK7"/>
      <w:r>
        <w:rPr>
          <w:rFonts w:hint="eastAsia" w:asciiTheme="minorEastAsia" w:hAnsiTheme="minorEastAsia" w:eastAsiaTheme="minorEastAsia" w:cstheme="minorEastAsia"/>
          <w:bCs/>
          <w:color w:val="auto"/>
          <w:sz w:val="24"/>
          <w:szCs w:val="24"/>
          <w:highlight w:val="none"/>
        </w:rPr>
        <w:t>《政府采购竞争性磋商采购方式管理暂行办法》</w:t>
      </w:r>
      <w:bookmarkEnd w:id="59"/>
      <w:bookmarkEnd w:id="60"/>
      <w:r>
        <w:rPr>
          <w:rFonts w:hint="eastAsia" w:asciiTheme="minorEastAsia" w:hAnsiTheme="minorEastAsia" w:eastAsiaTheme="minorEastAsia" w:cstheme="minorEastAsia"/>
          <w:bCs/>
          <w:color w:val="auto"/>
          <w:sz w:val="24"/>
          <w:szCs w:val="24"/>
          <w:highlight w:val="none"/>
        </w:rPr>
        <w:t>的规定组成。</w:t>
      </w:r>
    </w:p>
    <w:p w14:paraId="1ED58D0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bCs/>
          <w:color w:val="auto"/>
          <w:sz w:val="24"/>
          <w:szCs w:val="24"/>
          <w:highlight w:val="none"/>
        </w:rPr>
        <w:t>根据财库〔2016〕198号第十六条：评审专家与参加采购活动的供应商存在下列利害关系之一的,应当回避:</w:t>
      </w:r>
    </w:p>
    <w:p w14:paraId="190AFC3F">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（1）参加采购活动前三年内,与供应商存在劳动关系,或者担任过供应商的董事、监事,或者是供应商的控股股东或实际控制人；</w:t>
      </w:r>
    </w:p>
    <w:p w14:paraId="1CBFD00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（2）与供应商的法定代表人或者负责人有夫妻、直系血亲、三代以内旁系血亲或者近姻亲关系；</w:t>
      </w:r>
    </w:p>
    <w:p w14:paraId="0071CE8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（3）与供应商有其他可能影响政府采购活动公平、公正进行的关系。</w:t>
      </w:r>
    </w:p>
    <w:p w14:paraId="0FD0660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20.3磋商小组成员应当客观、公正地履行职务，遵守职业道德，对所提出的评审意见承担个人责任。</w:t>
      </w:r>
    </w:p>
    <w:p w14:paraId="5E50B244">
      <w:pPr>
        <w:spacing w:line="360" w:lineRule="auto"/>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20.4磋商小组成员变更：磋商小组评审及磋商中因磋商小组成员缺席、回避或者健康等特殊原因导致磋商小组组成不符合磋商文件规定的，采购人或者采购代理机构应当依法补足后继续评审及磋商。被更换的磋商小组成员所作出的评审意见无效；无法及时补足磋商小组成员的，采购人或者采购代理机构应当停止评审及磋商活动，封存所有响应文件和评审及磋商资料，依法重新组建磋商小组进行评审及磋商。原磋商小组所作出的评审及磋商意见无效；采购人或者采购代理机构应当将变更、重新组建磋商小组的情况予以记录，并随采购文件一并存档。</w:t>
      </w:r>
    </w:p>
    <w:p w14:paraId="79C20217">
      <w:pPr>
        <w:pStyle w:val="4"/>
        <w:bidi w:val="0"/>
        <w:rPr>
          <w:rFonts w:hint="eastAsia" w:asciiTheme="minorEastAsia" w:hAnsiTheme="minorEastAsia" w:eastAsiaTheme="minorEastAsia" w:cstheme="minorEastAsia"/>
          <w:color w:val="auto"/>
          <w:sz w:val="24"/>
          <w:szCs w:val="24"/>
          <w:highlight w:val="none"/>
        </w:rPr>
      </w:pPr>
      <w:bookmarkStart w:id="61" w:name="_Toc449115777"/>
      <w:bookmarkStart w:id="62" w:name="_Toc449027477"/>
      <w:bookmarkStart w:id="63" w:name="_Toc369002689"/>
      <w:bookmarkStart w:id="64" w:name="_Toc369002767"/>
      <w:bookmarkStart w:id="65" w:name="_Toc369002802"/>
      <w:r>
        <w:rPr>
          <w:rFonts w:hint="eastAsia" w:asciiTheme="minorEastAsia" w:hAnsiTheme="minorEastAsia" w:eastAsiaTheme="minorEastAsia" w:cstheme="minorEastAsia"/>
          <w:color w:val="auto"/>
          <w:sz w:val="24"/>
          <w:szCs w:val="24"/>
          <w:highlight w:val="none"/>
        </w:rPr>
        <w:t>六、磋商会议</w:t>
      </w:r>
      <w:bookmarkEnd w:id="61"/>
      <w:bookmarkEnd w:id="62"/>
      <w:bookmarkEnd w:id="63"/>
      <w:bookmarkEnd w:id="64"/>
      <w:bookmarkEnd w:id="65"/>
    </w:p>
    <w:p w14:paraId="6ABFB9B1">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21.磋商会议要求事项</w:t>
      </w:r>
    </w:p>
    <w:p w14:paraId="4367BDDF">
      <w:pPr>
        <w:bidi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21.1磋商会议程序</w:t>
      </w:r>
      <w:r>
        <w:rPr>
          <w:rFonts w:hint="eastAsia" w:asciiTheme="minorEastAsia" w:hAnsiTheme="minorEastAsia" w:eastAsiaTheme="minorEastAsia" w:cstheme="minorEastAsia"/>
          <w:color w:val="auto"/>
          <w:sz w:val="24"/>
          <w:szCs w:val="24"/>
          <w:highlight w:val="none"/>
          <w:lang w:val="en-US" w:eastAsia="zh-CN"/>
        </w:rPr>
        <w:t>:网上不见面远程开标。</w:t>
      </w:r>
    </w:p>
    <w:p w14:paraId="103CC0F4">
      <w:pPr>
        <w:pStyle w:val="4"/>
        <w:bidi w:val="0"/>
        <w:rPr>
          <w:rFonts w:hint="eastAsia" w:asciiTheme="minorEastAsia" w:hAnsiTheme="minorEastAsia" w:eastAsiaTheme="minorEastAsia" w:cstheme="minorEastAsia"/>
          <w:color w:val="auto"/>
          <w:sz w:val="24"/>
          <w:szCs w:val="24"/>
          <w:highlight w:val="none"/>
        </w:rPr>
      </w:pPr>
      <w:bookmarkStart w:id="66" w:name="_Toc449027478"/>
      <w:bookmarkStart w:id="67" w:name="_Toc369002803"/>
      <w:bookmarkStart w:id="68" w:name="_Toc98041611"/>
      <w:bookmarkStart w:id="69" w:name="_Toc369002690"/>
      <w:bookmarkStart w:id="70" w:name="_Toc449115778"/>
      <w:bookmarkStart w:id="71" w:name="_Toc369002768"/>
      <w:r>
        <w:rPr>
          <w:rFonts w:hint="eastAsia" w:asciiTheme="minorEastAsia" w:hAnsiTheme="minorEastAsia" w:eastAsiaTheme="minorEastAsia" w:cstheme="minorEastAsia"/>
          <w:color w:val="auto"/>
          <w:sz w:val="24"/>
          <w:szCs w:val="24"/>
          <w:highlight w:val="none"/>
        </w:rPr>
        <w:t>七、磋商和评审</w:t>
      </w:r>
      <w:bookmarkEnd w:id="66"/>
      <w:bookmarkEnd w:id="67"/>
      <w:bookmarkEnd w:id="68"/>
      <w:bookmarkEnd w:id="69"/>
      <w:bookmarkEnd w:id="70"/>
      <w:bookmarkEnd w:id="71"/>
    </w:p>
    <w:p w14:paraId="4E339A72">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22.磋商、评审会议</w:t>
      </w:r>
    </w:p>
    <w:p w14:paraId="0E53F6FD">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.1磋商、评审会议采用保密方式进行。评审工作在有关主管部门的监督下，由磋商小组负责评审。</w:t>
      </w:r>
    </w:p>
    <w:p w14:paraId="11A7E1D5">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23.磋商、评审内容的保密</w:t>
      </w:r>
    </w:p>
    <w:p w14:paraId="0EAF362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23.1磋商开始后，直到宣布授予成交供应商合同为止，凡涉及响应文件的评审和比较、成交候选人的推荐情况以及与评审有关的其它情况均应严格保密；</w:t>
      </w:r>
    </w:p>
    <w:p w14:paraId="02522E9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23.2在响应文件的评审和比较、成交候选供应商推荐以及授予合同的过程中，供应商对采购人和磋商小组施加影响的任何行为，都将导致取消其磋商资格。</w:t>
      </w:r>
    </w:p>
    <w:p w14:paraId="009E3A5C">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24.响应文件的澄清</w:t>
      </w:r>
    </w:p>
    <w:p w14:paraId="16FB991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24.1为了有助于对响应文件进行审查、评估和比较，磋商小组有权向供应商质疑，请供应商澄清其响应内容。供应商有责任按照磋商小组通知的时间、地点、方式指派委托代理人进行答疑和澄清。</w:t>
      </w:r>
    </w:p>
    <w:p w14:paraId="66D12AA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24.2重要澄清的答复应是书面的，并由法定代表人或其委托代理人签字。</w:t>
      </w:r>
    </w:p>
    <w:p w14:paraId="1D0A19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24.3供应商的澄清文件是响应文件的组成部分，并取代响应文件中被澄清的部分。</w:t>
      </w:r>
    </w:p>
    <w:p w14:paraId="6FAD7DF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24.4响应文件的澄清不得对响应内容进行实质性修改。</w:t>
      </w:r>
    </w:p>
    <w:p w14:paraId="21CB33D7">
      <w:pPr>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25.参与同一个标段（包）的供应商存在下列情形之一的，其响应文件无效：</w:t>
      </w:r>
    </w:p>
    <w:p w14:paraId="1DF80BB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）不同供应商的电子投标（响应）文件上传计算机的网卡MAC地址、CPU序列号和硬盘序列号等硬件信息相同的；</w:t>
      </w:r>
    </w:p>
    <w:p w14:paraId="3E579C9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）不同供应商的投标（响应）文件由同一电子设备编制、打印加密或者上传；</w:t>
      </w:r>
    </w:p>
    <w:p w14:paraId="1C358C3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）不同供应商的投标（响应）文件由同一电子设备打印、复印；</w:t>
      </w:r>
    </w:p>
    <w:p w14:paraId="38F3F64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）不同供应商的投标（响应）文件由同一人送达或者分发，或者不同供应商联系人为同一人或不同联系人的联系电话一致的；</w:t>
      </w:r>
    </w:p>
    <w:p w14:paraId="79EFBE3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）不同供应商的投标（响应）文件的内容存在两处以上细节错误一致；</w:t>
      </w:r>
    </w:p>
    <w:p w14:paraId="1BD737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）不同供应商的法定代表人、委托代理人、项目经理、项目负责人等由同一个单位缴纳社会保险或者领取报酬的；</w:t>
      </w:r>
    </w:p>
    <w:p w14:paraId="2252DD5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）不同供应商投标（响应）文件中法定代表人或者负责人签字出自同一人之手；</w:t>
      </w:r>
    </w:p>
    <w:p w14:paraId="20DB4C9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其它涉嫌串通的情形。</w:t>
      </w:r>
    </w:p>
    <w:p w14:paraId="1D42834A">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26.错误的修正</w:t>
      </w:r>
    </w:p>
    <w:p w14:paraId="44259CC7">
      <w:pPr>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26.1磋商小组将对确定为实质上响应磋商文件要求的响应文件进行校核，看其是否有计算上或累计上或表达上的错误，修正错误的原则如下：</w:t>
      </w:r>
    </w:p>
    <w:p w14:paraId="1050D6B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（1）响应文件中的大写金额和小写金额不一致的，以大写金额为准；</w:t>
      </w:r>
    </w:p>
    <w:p w14:paraId="5556220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（2）总价金额与单价金额不一致的，以单价金额为准，但单价金额小数点有明显错误的除外；</w:t>
      </w:r>
    </w:p>
    <w:p w14:paraId="232E476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（3）对不同文字文本响应文件的解释发生异议的，以中文文本为准。</w:t>
      </w:r>
    </w:p>
    <w:p w14:paraId="04EFD3D2">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27.评审程序、方法及标准</w:t>
      </w:r>
    </w:p>
    <w:p w14:paraId="554F8AD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27.1响应文件的评审分为初步评审和详细评审两个阶段。初步评审是指磋商小组对所有供应商响应文件的资格条件、符合性，按采购文件的要求逐一审查的评审，经审查不符合采购文件要求的，不得进入磋商、评审阶段。详细评审是</w:t>
      </w:r>
      <w:r>
        <w:rPr>
          <w:rFonts w:hint="eastAsia" w:asciiTheme="minorEastAsia" w:hAnsiTheme="minorEastAsia" w:eastAsiaTheme="minorEastAsia" w:cstheme="minorEastAsia"/>
          <w:color w:val="auto"/>
          <w:sz w:val="24"/>
          <w:szCs w:val="24"/>
          <w:highlight w:val="none"/>
        </w:rPr>
        <w:t>根据提交最后报价的供应商的响应文件和最后报价进行综合评分</w:t>
      </w:r>
      <w:r>
        <w:rPr>
          <w:rFonts w:hint="eastAsia" w:asciiTheme="minorEastAsia" w:hAnsiTheme="minorEastAsia" w:eastAsiaTheme="minorEastAsia" w:cstheme="minorEastAsia"/>
          <w:bCs/>
          <w:color w:val="auto"/>
          <w:sz w:val="24"/>
          <w:szCs w:val="24"/>
          <w:highlight w:val="none"/>
        </w:rPr>
        <w:t>。</w:t>
      </w:r>
    </w:p>
    <w:p w14:paraId="576011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27</w:t>
      </w:r>
      <w:r>
        <w:rPr>
          <w:rFonts w:hint="eastAsia" w:asciiTheme="minorEastAsia" w:hAnsiTheme="minorEastAsia" w:eastAsiaTheme="minorEastAsia" w:cstheme="minorEastAsia"/>
          <w:color w:val="auto"/>
          <w:sz w:val="24"/>
          <w:szCs w:val="24"/>
          <w:highlight w:val="none"/>
        </w:rPr>
        <w:t>.2磋商文件中有实质性变动的，磋商小组应当以书面形式通知所有参加磋商的供应商。磋商过程中可能发生实质性变动的内容有采购需求中的项目要求和合同条款。</w:t>
      </w:r>
    </w:p>
    <w:p w14:paraId="4C31BA3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27.3供应商应当按照磋商文件的变动情况和磋商小组的要求重新提交响应文件，并由其法定代表人或委托代理人签字。</w:t>
      </w:r>
    </w:p>
    <w:p w14:paraId="29D151D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27</w:t>
      </w:r>
      <w:r>
        <w:rPr>
          <w:rFonts w:hint="eastAsia" w:asciiTheme="minorEastAsia" w:hAnsiTheme="minorEastAsia" w:eastAsiaTheme="minorEastAsia" w:cstheme="minorEastAsia"/>
          <w:color w:val="auto"/>
          <w:sz w:val="24"/>
          <w:szCs w:val="24"/>
          <w:highlight w:val="none"/>
        </w:rPr>
        <w:t>.4磋商文件能够详细列明采购标的的技术、服务要求的，磋商结束后，磋商小组应当要求所有实质性响应的供应商在规定时间内提交最后报价，提交最后报价的供应商不得少于3家。</w:t>
      </w:r>
    </w:p>
    <w:p w14:paraId="2EDF304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27</w:t>
      </w:r>
      <w:r>
        <w:rPr>
          <w:rFonts w:hint="eastAsia" w:asciiTheme="minorEastAsia" w:hAnsiTheme="minorEastAsia" w:eastAsiaTheme="minorEastAsia" w:cstheme="minorEastAsia"/>
          <w:color w:val="auto"/>
          <w:sz w:val="24"/>
          <w:szCs w:val="24"/>
          <w:highlight w:val="none"/>
        </w:rPr>
        <w:t>.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磋商管理办法》规定的相关情形的，提交最后报价的供应商可以为2家。</w:t>
      </w:r>
    </w:p>
    <w:p w14:paraId="47BB8D5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27</w:t>
      </w:r>
      <w:r>
        <w:rPr>
          <w:rFonts w:hint="eastAsia" w:asciiTheme="minorEastAsia" w:hAnsiTheme="minorEastAsia" w:eastAsiaTheme="minorEastAsia" w:cstheme="minorEastAsia"/>
          <w:color w:val="auto"/>
          <w:sz w:val="24"/>
          <w:szCs w:val="24"/>
          <w:highlight w:val="none"/>
        </w:rPr>
        <w:t>.6如磋商小组一致认为某个供应商的单价明显不合理，有降低质量、不能诚信履行的可能时，磋商小组有权决定是否通知供应商在规定期限内进行书面解释或提供相关证明材料。若已要求，而该供应商在规定期限内未做出解释、作出的解释不合理或不能提供证明材料的，经磋商小组取得一致意见后，可拒绝该报价。</w:t>
      </w:r>
    </w:p>
    <w:p w14:paraId="29D0E53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27</w:t>
      </w:r>
      <w:r>
        <w:rPr>
          <w:rFonts w:hint="eastAsia" w:asciiTheme="minorEastAsia" w:hAnsiTheme="minorEastAsia" w:eastAsiaTheme="minorEastAsia" w:cstheme="minorEastAsia"/>
          <w:color w:val="auto"/>
          <w:sz w:val="24"/>
          <w:szCs w:val="24"/>
          <w:highlight w:val="none"/>
        </w:rPr>
        <w:t>.7根据提交最后报价的供应商的响应文件和最后报价进行综合评分。标准如下:</w:t>
      </w:r>
    </w:p>
    <w:tbl>
      <w:tblPr>
        <w:tblStyle w:val="494"/>
        <w:tblW w:w="10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3460"/>
        <w:gridCol w:w="5880"/>
      </w:tblGrid>
      <w:tr w14:paraId="2B08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180" w:type="dxa"/>
            <w:gridSpan w:val="2"/>
            <w:vAlign w:val="top"/>
          </w:tcPr>
          <w:p w14:paraId="460A9F7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评审因素</w:t>
            </w:r>
          </w:p>
        </w:tc>
        <w:tc>
          <w:tcPr>
            <w:tcW w:w="5880" w:type="dxa"/>
            <w:vAlign w:val="top"/>
          </w:tcPr>
          <w:p w14:paraId="63CF1769">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评审标准</w:t>
            </w:r>
          </w:p>
        </w:tc>
      </w:tr>
      <w:tr w14:paraId="1168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0" w:type="dxa"/>
            <w:vMerge w:val="restart"/>
            <w:vAlign w:val="top"/>
          </w:tcPr>
          <w:p w14:paraId="5D724366">
            <w:pPr>
              <w:bidi w:val="0"/>
              <w:rPr>
                <w:rFonts w:hint="eastAsia" w:asciiTheme="minorEastAsia" w:hAnsiTheme="minorEastAsia" w:eastAsiaTheme="minorEastAsia" w:cstheme="minorEastAsia"/>
                <w:color w:val="auto"/>
                <w:sz w:val="24"/>
                <w:szCs w:val="24"/>
                <w:highlight w:val="none"/>
              </w:rPr>
            </w:pPr>
          </w:p>
          <w:p w14:paraId="7B58B90A">
            <w:pPr>
              <w:bidi w:val="0"/>
              <w:rPr>
                <w:rFonts w:hint="eastAsia" w:asciiTheme="minorEastAsia" w:hAnsiTheme="minorEastAsia" w:eastAsiaTheme="minorEastAsia" w:cstheme="minorEastAsia"/>
                <w:color w:val="auto"/>
                <w:sz w:val="24"/>
                <w:szCs w:val="24"/>
                <w:highlight w:val="none"/>
              </w:rPr>
            </w:pPr>
          </w:p>
          <w:p w14:paraId="646FEA7A">
            <w:pPr>
              <w:bidi w:val="0"/>
              <w:rPr>
                <w:rFonts w:hint="eastAsia" w:asciiTheme="minorEastAsia" w:hAnsiTheme="minorEastAsia" w:eastAsiaTheme="minorEastAsia" w:cstheme="minorEastAsia"/>
                <w:color w:val="auto"/>
                <w:sz w:val="24"/>
                <w:szCs w:val="24"/>
                <w:highlight w:val="none"/>
              </w:rPr>
            </w:pPr>
          </w:p>
          <w:p w14:paraId="76157B24">
            <w:pPr>
              <w:bidi w:val="0"/>
              <w:rPr>
                <w:rFonts w:hint="eastAsia" w:asciiTheme="minorEastAsia" w:hAnsiTheme="minorEastAsia" w:eastAsiaTheme="minorEastAsia" w:cstheme="minorEastAsia"/>
                <w:color w:val="auto"/>
                <w:sz w:val="24"/>
                <w:szCs w:val="24"/>
                <w:highlight w:val="none"/>
              </w:rPr>
            </w:pPr>
          </w:p>
          <w:p w14:paraId="35857C61">
            <w:pPr>
              <w:bidi w:val="0"/>
              <w:rPr>
                <w:rFonts w:hint="eastAsia" w:asciiTheme="minorEastAsia" w:hAnsiTheme="minorEastAsia" w:eastAsiaTheme="minorEastAsia" w:cstheme="minorEastAsia"/>
                <w:color w:val="auto"/>
                <w:sz w:val="24"/>
                <w:szCs w:val="24"/>
                <w:highlight w:val="none"/>
              </w:rPr>
            </w:pPr>
          </w:p>
          <w:p w14:paraId="02053A57">
            <w:pPr>
              <w:bidi w:val="0"/>
              <w:rPr>
                <w:rFonts w:hint="eastAsia" w:asciiTheme="minorEastAsia" w:hAnsiTheme="minorEastAsia" w:eastAsiaTheme="minorEastAsia" w:cstheme="minorEastAsia"/>
                <w:color w:val="auto"/>
                <w:sz w:val="24"/>
                <w:szCs w:val="24"/>
                <w:highlight w:val="none"/>
              </w:rPr>
            </w:pPr>
          </w:p>
          <w:p w14:paraId="67609D59">
            <w:pPr>
              <w:bidi w:val="0"/>
              <w:rPr>
                <w:rFonts w:hint="eastAsia" w:asciiTheme="minorEastAsia" w:hAnsiTheme="minorEastAsia" w:eastAsiaTheme="minorEastAsia" w:cstheme="minorEastAsia"/>
                <w:color w:val="auto"/>
                <w:sz w:val="24"/>
                <w:szCs w:val="24"/>
                <w:highlight w:val="none"/>
              </w:rPr>
            </w:pPr>
          </w:p>
          <w:p w14:paraId="3D238EA8">
            <w:pPr>
              <w:bidi w:val="0"/>
              <w:rPr>
                <w:rFonts w:hint="eastAsia" w:asciiTheme="minorEastAsia" w:hAnsiTheme="minorEastAsia" w:eastAsiaTheme="minorEastAsia" w:cstheme="minorEastAsia"/>
                <w:color w:val="auto"/>
                <w:sz w:val="24"/>
                <w:szCs w:val="24"/>
                <w:highlight w:val="none"/>
              </w:rPr>
            </w:pPr>
          </w:p>
          <w:p w14:paraId="1907A547">
            <w:pPr>
              <w:bidi w:val="0"/>
              <w:rPr>
                <w:rFonts w:hint="eastAsia" w:asciiTheme="minorEastAsia" w:hAnsiTheme="minorEastAsia" w:eastAsiaTheme="minorEastAsia" w:cstheme="minorEastAsia"/>
                <w:color w:val="auto"/>
                <w:sz w:val="24"/>
                <w:szCs w:val="24"/>
                <w:highlight w:val="none"/>
              </w:rPr>
            </w:pPr>
          </w:p>
          <w:p w14:paraId="060CB106">
            <w:pPr>
              <w:bidi w:val="0"/>
              <w:rPr>
                <w:rFonts w:hint="eastAsia" w:asciiTheme="minorEastAsia" w:hAnsiTheme="minorEastAsia" w:eastAsiaTheme="minorEastAsia" w:cstheme="minorEastAsia"/>
                <w:color w:val="auto"/>
                <w:sz w:val="24"/>
                <w:szCs w:val="24"/>
                <w:highlight w:val="none"/>
              </w:rPr>
            </w:pPr>
          </w:p>
          <w:p w14:paraId="227B9F25">
            <w:pPr>
              <w:bidi w:val="0"/>
              <w:rPr>
                <w:rFonts w:hint="eastAsia" w:asciiTheme="minorEastAsia" w:hAnsiTheme="minorEastAsia" w:eastAsiaTheme="minorEastAsia" w:cstheme="minorEastAsia"/>
                <w:color w:val="auto"/>
                <w:sz w:val="24"/>
                <w:szCs w:val="24"/>
                <w:highlight w:val="none"/>
              </w:rPr>
            </w:pPr>
          </w:p>
          <w:p w14:paraId="61110121">
            <w:pPr>
              <w:bidi w:val="0"/>
              <w:rPr>
                <w:rFonts w:hint="eastAsia" w:asciiTheme="minorEastAsia" w:hAnsiTheme="minorEastAsia" w:eastAsiaTheme="minorEastAsia" w:cstheme="minorEastAsia"/>
                <w:color w:val="auto"/>
                <w:sz w:val="24"/>
                <w:szCs w:val="24"/>
                <w:highlight w:val="none"/>
              </w:rPr>
            </w:pPr>
          </w:p>
          <w:p w14:paraId="55D61A37">
            <w:pPr>
              <w:bidi w:val="0"/>
              <w:rPr>
                <w:rFonts w:hint="eastAsia" w:asciiTheme="minorEastAsia" w:hAnsiTheme="minorEastAsia" w:eastAsiaTheme="minorEastAsia" w:cstheme="minorEastAsia"/>
                <w:color w:val="auto"/>
                <w:sz w:val="24"/>
                <w:szCs w:val="24"/>
                <w:highlight w:val="none"/>
              </w:rPr>
            </w:pPr>
          </w:p>
          <w:p w14:paraId="24989343">
            <w:pPr>
              <w:bidi w:val="0"/>
              <w:rPr>
                <w:rFonts w:hint="eastAsia" w:asciiTheme="minorEastAsia" w:hAnsiTheme="minorEastAsia" w:eastAsiaTheme="minorEastAsia" w:cstheme="minorEastAsia"/>
                <w:color w:val="auto"/>
                <w:sz w:val="24"/>
                <w:szCs w:val="24"/>
                <w:highlight w:val="none"/>
              </w:rPr>
            </w:pPr>
          </w:p>
          <w:p w14:paraId="205BDD2E">
            <w:pPr>
              <w:bidi w:val="0"/>
              <w:rPr>
                <w:rFonts w:hint="eastAsia" w:asciiTheme="minorEastAsia" w:hAnsiTheme="minorEastAsia" w:eastAsiaTheme="minorEastAsia" w:cstheme="minorEastAsia"/>
                <w:color w:val="auto"/>
                <w:sz w:val="24"/>
                <w:szCs w:val="24"/>
                <w:highlight w:val="none"/>
              </w:rPr>
            </w:pPr>
          </w:p>
          <w:p w14:paraId="4C52392F">
            <w:pPr>
              <w:bidi w:val="0"/>
              <w:rPr>
                <w:rFonts w:hint="eastAsia" w:asciiTheme="minorEastAsia" w:hAnsiTheme="minorEastAsia" w:eastAsiaTheme="minorEastAsia" w:cstheme="minorEastAsia"/>
                <w:color w:val="auto"/>
                <w:sz w:val="24"/>
                <w:szCs w:val="24"/>
                <w:highlight w:val="none"/>
              </w:rPr>
            </w:pPr>
          </w:p>
          <w:p w14:paraId="0D2B6A96">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 评审 标准</w:t>
            </w:r>
          </w:p>
        </w:tc>
        <w:tc>
          <w:tcPr>
            <w:tcW w:w="3460" w:type="dxa"/>
            <w:vAlign w:val="top"/>
          </w:tcPr>
          <w:p w14:paraId="75BD953B">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w:t>
            </w:r>
          </w:p>
        </w:tc>
        <w:tc>
          <w:tcPr>
            <w:tcW w:w="5880" w:type="dxa"/>
            <w:vAlign w:val="top"/>
          </w:tcPr>
          <w:p w14:paraId="4A622F3F">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具有有效的营业执照</w:t>
            </w:r>
          </w:p>
        </w:tc>
      </w:tr>
      <w:tr w14:paraId="3848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0" w:type="dxa"/>
            <w:vMerge w:val="continue"/>
            <w:vAlign w:val="top"/>
          </w:tcPr>
          <w:p w14:paraId="3CF7ADE8">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011429DF">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具有良好的商业信誉和健全的财务会计管理制度</w:t>
            </w:r>
          </w:p>
        </w:tc>
        <w:tc>
          <w:tcPr>
            <w:tcW w:w="5880" w:type="dxa"/>
            <w:vAlign w:val="top"/>
          </w:tcPr>
          <w:p w14:paraId="0DAE9887">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提供近三年任意一年</w:t>
            </w:r>
            <w:r>
              <w:rPr>
                <w:rFonts w:hint="eastAsia" w:asciiTheme="minorEastAsia" w:hAnsiTheme="minorEastAsia" w:eastAsiaTheme="minorEastAsia" w:cstheme="minorEastAsia"/>
                <w:color w:val="auto"/>
                <w:sz w:val="24"/>
                <w:szCs w:val="24"/>
                <w:highlight w:val="none"/>
              </w:rPr>
              <w:t>合格的财务审计报告；若企业成立年份不足一年，则需提供开户行出具的资信证明</w:t>
            </w:r>
          </w:p>
        </w:tc>
      </w:tr>
      <w:tr w14:paraId="024FA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4EEB27FC">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6C775A9B">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具有履行合同所必须的设备和专业技术能力</w:t>
            </w:r>
          </w:p>
        </w:tc>
        <w:tc>
          <w:tcPr>
            <w:tcW w:w="5880" w:type="dxa"/>
            <w:vAlign w:val="top"/>
          </w:tcPr>
          <w:p w14:paraId="28C4CB57">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供应商对该项内容进行承诺，否则视为资格审查不通过</w:t>
            </w:r>
          </w:p>
        </w:tc>
      </w:tr>
      <w:tr w14:paraId="47C4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0" w:type="dxa"/>
            <w:vMerge w:val="continue"/>
            <w:vAlign w:val="top"/>
          </w:tcPr>
          <w:p w14:paraId="60EBBF27">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39DD6B32">
            <w:pPr>
              <w:bidi w:val="0"/>
              <w:rPr>
                <w:rFonts w:hint="eastAsia" w:asciiTheme="minorEastAsia" w:hAnsiTheme="minorEastAsia" w:eastAsiaTheme="minorEastAsia" w:cstheme="minorEastAsia"/>
                <w:color w:val="auto"/>
                <w:sz w:val="24"/>
                <w:szCs w:val="24"/>
                <w:highlight w:val="none"/>
              </w:rPr>
            </w:pPr>
          </w:p>
          <w:p w14:paraId="74A68CED">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有依法缴纳税收和社会保障资金的良好记录</w:t>
            </w:r>
          </w:p>
        </w:tc>
        <w:tc>
          <w:tcPr>
            <w:tcW w:w="5880" w:type="dxa"/>
            <w:vAlign w:val="top"/>
          </w:tcPr>
          <w:p w14:paraId="4B47E6E8">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年以来连续</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个月依法缴纳税收和社会保障资金的证明资料，依法免税或不需要缴纳社会保障资金的投标人，应提供相应文件证明其依法免税或不需要缴纳社会保障资金</w:t>
            </w:r>
          </w:p>
        </w:tc>
      </w:tr>
      <w:tr w14:paraId="27D7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44F03C5F">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13945600">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参加政府采购活动前三年内，在经营活动中没有重大违法记录</w:t>
            </w:r>
          </w:p>
        </w:tc>
        <w:tc>
          <w:tcPr>
            <w:tcW w:w="5880" w:type="dxa"/>
            <w:vAlign w:val="top"/>
          </w:tcPr>
          <w:p w14:paraId="5E807159">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供应商对该项内容进行承诺，否则视为资格审查不通过</w:t>
            </w:r>
          </w:p>
        </w:tc>
      </w:tr>
      <w:tr w14:paraId="6195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720" w:type="dxa"/>
            <w:vMerge w:val="continue"/>
            <w:vAlign w:val="top"/>
          </w:tcPr>
          <w:p w14:paraId="4F1A1887">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322AD401">
            <w:pPr>
              <w:bidi w:val="0"/>
              <w:rPr>
                <w:rFonts w:hint="eastAsia" w:asciiTheme="minorEastAsia" w:hAnsiTheme="minorEastAsia" w:eastAsiaTheme="minorEastAsia" w:cstheme="minorEastAsia"/>
                <w:color w:val="auto"/>
                <w:sz w:val="24"/>
                <w:szCs w:val="24"/>
                <w:highlight w:val="none"/>
              </w:rPr>
            </w:pPr>
          </w:p>
          <w:p w14:paraId="0826D6DC">
            <w:pPr>
              <w:bidi w:val="0"/>
              <w:rPr>
                <w:rFonts w:hint="eastAsia" w:asciiTheme="minorEastAsia" w:hAnsiTheme="minorEastAsia" w:eastAsiaTheme="minorEastAsia" w:cstheme="minorEastAsia"/>
                <w:color w:val="auto"/>
                <w:sz w:val="24"/>
                <w:szCs w:val="24"/>
                <w:highlight w:val="none"/>
              </w:rPr>
            </w:pPr>
          </w:p>
          <w:p w14:paraId="7F7F63F9">
            <w:pPr>
              <w:bidi w:val="0"/>
              <w:rPr>
                <w:rFonts w:hint="eastAsia" w:asciiTheme="minorEastAsia" w:hAnsiTheme="minorEastAsia" w:eastAsiaTheme="minorEastAsia" w:cstheme="minorEastAsia"/>
                <w:color w:val="auto"/>
                <w:sz w:val="24"/>
                <w:szCs w:val="24"/>
                <w:highlight w:val="none"/>
              </w:rPr>
            </w:pPr>
          </w:p>
          <w:p w14:paraId="1F53F38D">
            <w:pPr>
              <w:bidi w:val="0"/>
              <w:rPr>
                <w:rFonts w:hint="eastAsia" w:asciiTheme="minorEastAsia" w:hAnsiTheme="minorEastAsia" w:eastAsiaTheme="minorEastAsia" w:cstheme="minorEastAsia"/>
                <w:color w:val="auto"/>
                <w:sz w:val="24"/>
                <w:szCs w:val="24"/>
                <w:highlight w:val="none"/>
              </w:rPr>
            </w:pPr>
          </w:p>
          <w:p w14:paraId="629DDC0D">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信用查询</w:t>
            </w:r>
          </w:p>
        </w:tc>
        <w:tc>
          <w:tcPr>
            <w:tcW w:w="5880" w:type="dxa"/>
            <w:vAlign w:val="top"/>
          </w:tcPr>
          <w:p w14:paraId="6B6640F0">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根据《关于在政府采购活动中查询及使用信用记录有关问题的通知》(财库[2016]125号)的规定，对列入失信被执行人、税收违法黑名单【查询渠道：“信用中国”网站（</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"http://www.creditchina.gov.cn/"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www.creditchina.gov.cn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）】，政府采购严重违法失信行为记录名单【查询渠道：中国政府采购网（www.ccgp.gov.cn）】的供应商，拒绝参与本项目政府采购活动。</w:t>
            </w:r>
          </w:p>
        </w:tc>
      </w:tr>
      <w:tr w14:paraId="4859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0" w:type="dxa"/>
            <w:vMerge w:val="continue"/>
            <w:vAlign w:val="top"/>
          </w:tcPr>
          <w:p w14:paraId="1DA77329">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19B5ACD4">
            <w:pPr>
              <w:bidi w:val="0"/>
              <w:rPr>
                <w:rFonts w:hint="eastAsia" w:asciiTheme="minorEastAsia" w:hAnsiTheme="minorEastAsia" w:eastAsiaTheme="minorEastAsia" w:cstheme="minorEastAsia"/>
                <w:color w:val="auto"/>
                <w:sz w:val="24"/>
                <w:szCs w:val="24"/>
                <w:highlight w:val="none"/>
              </w:rPr>
            </w:pPr>
          </w:p>
          <w:p w14:paraId="750D7533">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其他要求</w:t>
            </w:r>
          </w:p>
        </w:tc>
        <w:tc>
          <w:tcPr>
            <w:tcW w:w="5880" w:type="dxa"/>
            <w:vAlign w:val="top"/>
          </w:tcPr>
          <w:p w14:paraId="7967BC77">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单位负责人为同一人或存在控股、管理关系的不同单位，不得参加同一标段投标，否则相关投标均无效。</w:t>
            </w:r>
          </w:p>
        </w:tc>
      </w:tr>
      <w:tr w14:paraId="33B25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0" w:type="dxa"/>
            <w:vMerge w:val="continue"/>
            <w:vAlign w:val="top"/>
          </w:tcPr>
          <w:p w14:paraId="59B62E14">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0911F33A">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联合体投标</w:t>
            </w:r>
          </w:p>
        </w:tc>
        <w:tc>
          <w:tcPr>
            <w:tcW w:w="5880" w:type="dxa"/>
            <w:vAlign w:val="top"/>
          </w:tcPr>
          <w:p w14:paraId="5459AD0A">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本项目不接受联合体投标，</w:t>
            </w:r>
            <w:r>
              <w:rPr>
                <w:rFonts w:hint="eastAsia" w:asciiTheme="minorEastAsia" w:hAnsiTheme="minorEastAsia" w:eastAsiaTheme="minorEastAsia" w:cstheme="minorEastAsia"/>
                <w:color w:val="auto"/>
                <w:sz w:val="24"/>
                <w:szCs w:val="24"/>
                <w:highlight w:val="none"/>
              </w:rPr>
              <w:t>供应商对该项内容进行承诺，否则视为资格审查不通过</w:t>
            </w:r>
          </w:p>
        </w:tc>
      </w:tr>
      <w:tr w14:paraId="5209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20" w:type="dxa"/>
            <w:vMerge w:val="restart"/>
            <w:vAlign w:val="top"/>
          </w:tcPr>
          <w:p w14:paraId="718CDC19">
            <w:pPr>
              <w:bidi w:val="0"/>
              <w:ind w:left="0" w:leftChars="0" w:firstLine="0" w:firstLineChars="0"/>
              <w:rPr>
                <w:rFonts w:hint="eastAsia" w:asciiTheme="minorEastAsia" w:hAnsiTheme="minorEastAsia" w:eastAsiaTheme="minorEastAsia" w:cstheme="minorEastAsia"/>
                <w:color w:val="auto"/>
                <w:sz w:val="24"/>
                <w:szCs w:val="24"/>
                <w:highlight w:val="none"/>
              </w:rPr>
            </w:pPr>
          </w:p>
          <w:p w14:paraId="3E9FB293">
            <w:pPr>
              <w:bidi w:val="0"/>
              <w:ind w:left="0" w:leftChars="0" w:firstLine="0" w:firstLineChars="0"/>
              <w:rPr>
                <w:rFonts w:hint="eastAsia" w:asciiTheme="minorEastAsia" w:hAnsiTheme="minorEastAsia" w:eastAsiaTheme="minorEastAsia" w:cstheme="minorEastAsia"/>
                <w:color w:val="auto"/>
                <w:sz w:val="24"/>
                <w:szCs w:val="24"/>
                <w:highlight w:val="none"/>
              </w:rPr>
            </w:pPr>
          </w:p>
          <w:p w14:paraId="754CB4C9">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642D53C7">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性评</w:t>
            </w:r>
          </w:p>
          <w:p w14:paraId="6A17D5D5">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审标</w:t>
            </w:r>
          </w:p>
          <w:p w14:paraId="278640D7">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准</w:t>
            </w:r>
          </w:p>
        </w:tc>
        <w:tc>
          <w:tcPr>
            <w:tcW w:w="3460" w:type="dxa"/>
            <w:vAlign w:val="top"/>
          </w:tcPr>
          <w:p w14:paraId="71158785">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p>
        </w:tc>
        <w:tc>
          <w:tcPr>
            <w:tcW w:w="5880" w:type="dxa"/>
            <w:vAlign w:val="top"/>
          </w:tcPr>
          <w:p w14:paraId="06A0EDA2">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与营业执照一致</w:t>
            </w:r>
          </w:p>
        </w:tc>
      </w:tr>
      <w:tr w14:paraId="2D85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0" w:type="dxa"/>
            <w:vMerge w:val="continue"/>
            <w:vAlign w:val="top"/>
          </w:tcPr>
          <w:p w14:paraId="7A3EA284">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2CBE2125">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投标文件签字盖章</w:t>
            </w:r>
          </w:p>
        </w:tc>
        <w:tc>
          <w:tcPr>
            <w:tcW w:w="5880" w:type="dxa"/>
            <w:vAlign w:val="top"/>
          </w:tcPr>
          <w:p w14:paraId="1419F840">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按招标文件格式要求签字盖章</w:t>
            </w:r>
          </w:p>
        </w:tc>
      </w:tr>
      <w:tr w14:paraId="44AC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20" w:type="dxa"/>
            <w:vMerge w:val="continue"/>
            <w:vAlign w:val="top"/>
          </w:tcPr>
          <w:p w14:paraId="5EAA5E9B">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615F0746">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投标文件格式</w:t>
            </w:r>
          </w:p>
        </w:tc>
        <w:tc>
          <w:tcPr>
            <w:tcW w:w="5880" w:type="dxa"/>
            <w:vAlign w:val="top"/>
          </w:tcPr>
          <w:p w14:paraId="2E7D155B">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符合“投标文件格式 ”的要求</w:t>
            </w:r>
          </w:p>
        </w:tc>
      </w:tr>
      <w:tr w14:paraId="7116B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20" w:type="dxa"/>
            <w:vMerge w:val="continue"/>
            <w:vAlign w:val="top"/>
          </w:tcPr>
          <w:p w14:paraId="30207DAD">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6F4CADDC">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5880" w:type="dxa"/>
            <w:vAlign w:val="top"/>
          </w:tcPr>
          <w:p w14:paraId="08685818">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投标报价应低于或等于最高投标限价</w:t>
            </w:r>
          </w:p>
        </w:tc>
      </w:tr>
      <w:tr w14:paraId="0F8A6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0" w:type="dxa"/>
            <w:vMerge w:val="continue"/>
            <w:vAlign w:val="top"/>
          </w:tcPr>
          <w:p w14:paraId="22860E86">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6986D4B6">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5880" w:type="dxa"/>
            <w:vAlign w:val="top"/>
          </w:tcPr>
          <w:p w14:paraId="4035CBDB">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 ”规定</w:t>
            </w:r>
          </w:p>
        </w:tc>
      </w:tr>
      <w:tr w14:paraId="59E5B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2F390722">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0E4804BC">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交货及安装期</w:t>
            </w:r>
          </w:p>
        </w:tc>
        <w:tc>
          <w:tcPr>
            <w:tcW w:w="5880" w:type="dxa"/>
            <w:vAlign w:val="top"/>
          </w:tcPr>
          <w:p w14:paraId="7243E417">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 ”规定</w:t>
            </w:r>
          </w:p>
        </w:tc>
      </w:tr>
      <w:tr w14:paraId="37788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20" w:type="dxa"/>
            <w:vMerge w:val="continue"/>
            <w:vAlign w:val="top"/>
          </w:tcPr>
          <w:p w14:paraId="3B544E86">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66BE0F0D">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5880" w:type="dxa"/>
            <w:vAlign w:val="top"/>
          </w:tcPr>
          <w:p w14:paraId="77E5F3A5">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 ”规定</w:t>
            </w:r>
          </w:p>
        </w:tc>
      </w:tr>
      <w:tr w14:paraId="56A6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04CF1FE6">
            <w:pPr>
              <w:bidi w:val="0"/>
              <w:rPr>
                <w:rFonts w:hint="eastAsia" w:asciiTheme="minorEastAsia" w:hAnsiTheme="minorEastAsia" w:eastAsiaTheme="minorEastAsia" w:cstheme="minorEastAsia"/>
                <w:color w:val="auto"/>
                <w:sz w:val="24"/>
                <w:szCs w:val="24"/>
                <w:highlight w:val="none"/>
              </w:rPr>
            </w:pPr>
          </w:p>
        </w:tc>
        <w:tc>
          <w:tcPr>
            <w:tcW w:w="3460" w:type="dxa"/>
            <w:vAlign w:val="top"/>
          </w:tcPr>
          <w:p w14:paraId="536E7F05">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质保期</w:t>
            </w:r>
          </w:p>
        </w:tc>
        <w:tc>
          <w:tcPr>
            <w:tcW w:w="5880" w:type="dxa"/>
            <w:vAlign w:val="top"/>
          </w:tcPr>
          <w:p w14:paraId="3AFDCC89">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 ”规定</w:t>
            </w:r>
          </w:p>
        </w:tc>
      </w:tr>
      <w:tr w14:paraId="4E22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42A9A75C">
            <w:pPr>
              <w:bidi w:val="0"/>
              <w:rPr>
                <w:rFonts w:hint="eastAsia" w:asciiTheme="minorEastAsia" w:hAnsiTheme="minorEastAsia" w:eastAsiaTheme="minorEastAsia" w:cstheme="minorEastAsia"/>
                <w:color w:val="auto"/>
                <w:sz w:val="24"/>
                <w:szCs w:val="24"/>
                <w:highlight w:val="none"/>
              </w:rPr>
            </w:pPr>
          </w:p>
        </w:tc>
        <w:tc>
          <w:tcPr>
            <w:tcW w:w="3460" w:type="dxa"/>
            <w:vAlign w:val="center"/>
          </w:tcPr>
          <w:p w14:paraId="46B43F8D">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投标文件制作机器码</w:t>
            </w:r>
          </w:p>
        </w:tc>
        <w:tc>
          <w:tcPr>
            <w:tcW w:w="5880" w:type="dxa"/>
            <w:vAlign w:val="center"/>
          </w:tcPr>
          <w:p w14:paraId="67EE8B4A">
            <w:pPr>
              <w:bidi w:val="0"/>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未与其他响应人的投标文件制作机器码一致</w:t>
            </w:r>
          </w:p>
        </w:tc>
      </w:tr>
    </w:tbl>
    <w:p w14:paraId="20D2C905">
      <w:pPr>
        <w:bidi w:val="0"/>
        <w:ind w:left="0" w:leftChars="0" w:firstLine="0" w:firstLineChars="0"/>
        <w:rPr>
          <w:rFonts w:hint="eastAsia" w:asciiTheme="minorEastAsia" w:hAnsiTheme="minorEastAsia" w:eastAsiaTheme="minorEastAsia" w:cstheme="minorEastAsia"/>
          <w:color w:val="auto"/>
          <w:sz w:val="24"/>
          <w:szCs w:val="24"/>
          <w:highlight w:val="none"/>
        </w:rPr>
        <w:sectPr>
          <w:footerReference r:id="rId11" w:type="default"/>
          <w:pgSz w:w="11906" w:h="16839"/>
          <w:pgMar w:top="1431" w:right="920" w:bottom="1363" w:left="920" w:header="0" w:footer="1198" w:gutter="0"/>
          <w:pgNumType w:fmt="decimal"/>
          <w:cols w:space="720" w:num="1"/>
        </w:sectPr>
      </w:pPr>
      <w:bookmarkStart w:id="323" w:name="_GoBack"/>
      <w:bookmarkEnd w:id="323"/>
    </w:p>
    <w:p w14:paraId="65A9B741">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评标具体方法和标准：</w:t>
      </w:r>
    </w:p>
    <w:tbl>
      <w:tblPr>
        <w:tblStyle w:val="494"/>
        <w:tblW w:w="9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76"/>
        <w:gridCol w:w="7559"/>
      </w:tblGrid>
      <w:tr w14:paraId="4103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2172" w:type="dxa"/>
            <w:gridSpan w:val="2"/>
            <w:vAlign w:val="top"/>
          </w:tcPr>
          <w:p w14:paraId="606E63DE">
            <w:pPr>
              <w:bidi w:val="0"/>
              <w:rPr>
                <w:rFonts w:hint="eastAsia" w:ascii="宋体" w:hAnsi="宋体" w:eastAsia="宋体" w:cs="宋体"/>
                <w:color w:val="auto"/>
                <w:sz w:val="24"/>
                <w:szCs w:val="24"/>
                <w:highlight w:val="none"/>
              </w:rPr>
            </w:pPr>
          </w:p>
          <w:p w14:paraId="18D3251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163B1A8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 100 分）</w:t>
            </w:r>
          </w:p>
        </w:tc>
        <w:tc>
          <w:tcPr>
            <w:tcW w:w="7559" w:type="dxa"/>
            <w:vAlign w:val="top"/>
          </w:tcPr>
          <w:p w14:paraId="1D77039F">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报价部分：30 分</w:t>
            </w:r>
          </w:p>
          <w:p w14:paraId="1827F51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 xml:space="preserve"> 分</w:t>
            </w:r>
          </w:p>
          <w:p w14:paraId="32F10C5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综合部分：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 分</w:t>
            </w:r>
          </w:p>
        </w:tc>
      </w:tr>
      <w:tr w14:paraId="6EAC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96" w:type="dxa"/>
            <w:vAlign w:val="top"/>
          </w:tcPr>
          <w:p w14:paraId="40D4D92C">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评审分项</w:t>
            </w:r>
          </w:p>
        </w:tc>
        <w:tc>
          <w:tcPr>
            <w:tcW w:w="1076" w:type="dxa"/>
            <w:vAlign w:val="top"/>
          </w:tcPr>
          <w:p w14:paraId="60C6FC66">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7559" w:type="dxa"/>
            <w:vAlign w:val="top"/>
          </w:tcPr>
          <w:p w14:paraId="5E751FE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16FC4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096" w:type="dxa"/>
            <w:vAlign w:val="top"/>
          </w:tcPr>
          <w:p w14:paraId="41C73AF5">
            <w:pPr>
              <w:bidi w:val="0"/>
              <w:rPr>
                <w:rFonts w:hint="eastAsia" w:ascii="宋体" w:hAnsi="宋体" w:eastAsia="宋体" w:cs="宋体"/>
                <w:color w:val="auto"/>
                <w:sz w:val="24"/>
                <w:szCs w:val="24"/>
                <w:highlight w:val="none"/>
              </w:rPr>
            </w:pPr>
          </w:p>
          <w:p w14:paraId="73B929B5">
            <w:pPr>
              <w:bidi w:val="0"/>
              <w:rPr>
                <w:rFonts w:hint="eastAsia" w:ascii="宋体" w:hAnsi="宋体" w:eastAsia="宋体" w:cs="宋体"/>
                <w:color w:val="auto"/>
                <w:sz w:val="24"/>
                <w:szCs w:val="24"/>
                <w:highlight w:val="none"/>
              </w:rPr>
            </w:pPr>
          </w:p>
          <w:p w14:paraId="21CDFBD0">
            <w:pPr>
              <w:bidi w:val="0"/>
              <w:rPr>
                <w:rFonts w:hint="eastAsia" w:ascii="宋体" w:hAnsi="宋体" w:eastAsia="宋体" w:cs="宋体"/>
                <w:color w:val="auto"/>
                <w:sz w:val="24"/>
                <w:szCs w:val="24"/>
                <w:highlight w:val="none"/>
              </w:rPr>
            </w:pPr>
          </w:p>
          <w:p w14:paraId="0DDE7EF8">
            <w:pPr>
              <w:bidi w:val="0"/>
              <w:rPr>
                <w:rFonts w:hint="eastAsia" w:ascii="宋体" w:hAnsi="宋体" w:eastAsia="宋体" w:cs="宋体"/>
                <w:color w:val="auto"/>
                <w:sz w:val="24"/>
                <w:szCs w:val="24"/>
                <w:highlight w:val="none"/>
              </w:rPr>
            </w:pPr>
          </w:p>
          <w:p w14:paraId="150DCF24">
            <w:pPr>
              <w:bidi w:val="0"/>
              <w:rPr>
                <w:rFonts w:hint="eastAsia" w:ascii="宋体" w:hAnsi="宋体" w:eastAsia="宋体" w:cs="宋体"/>
                <w:color w:val="auto"/>
                <w:sz w:val="24"/>
                <w:szCs w:val="24"/>
                <w:highlight w:val="none"/>
              </w:rPr>
            </w:pPr>
          </w:p>
          <w:p w14:paraId="2252039D">
            <w:pPr>
              <w:bidi w:val="0"/>
              <w:rPr>
                <w:rFonts w:hint="eastAsia" w:ascii="宋体" w:hAnsi="宋体" w:eastAsia="宋体" w:cs="宋体"/>
                <w:color w:val="auto"/>
                <w:sz w:val="24"/>
                <w:szCs w:val="24"/>
                <w:highlight w:val="none"/>
              </w:rPr>
            </w:pPr>
          </w:p>
          <w:p w14:paraId="75D1A6C0">
            <w:pPr>
              <w:bidi w:val="0"/>
              <w:ind w:left="0" w:leftChars="0" w:firstLine="0" w:firstLineChars="0"/>
              <w:rPr>
                <w:rFonts w:hint="eastAsia" w:ascii="宋体" w:hAnsi="宋体" w:eastAsia="宋体" w:cs="宋体"/>
                <w:color w:val="auto"/>
                <w:sz w:val="24"/>
                <w:szCs w:val="24"/>
                <w:highlight w:val="none"/>
              </w:rPr>
            </w:pPr>
          </w:p>
          <w:p w14:paraId="5B8E45E0">
            <w:pPr>
              <w:bidi w:val="0"/>
              <w:rPr>
                <w:rFonts w:hint="eastAsia" w:ascii="宋体" w:hAnsi="宋体" w:eastAsia="宋体" w:cs="宋体"/>
                <w:color w:val="auto"/>
                <w:sz w:val="24"/>
                <w:szCs w:val="24"/>
                <w:highlight w:val="none"/>
              </w:rPr>
            </w:pPr>
          </w:p>
          <w:p w14:paraId="4DFE312C">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30 分）</w:t>
            </w:r>
          </w:p>
        </w:tc>
        <w:tc>
          <w:tcPr>
            <w:tcW w:w="1076" w:type="dxa"/>
            <w:vAlign w:val="top"/>
          </w:tcPr>
          <w:p w14:paraId="13761661">
            <w:pPr>
              <w:bidi w:val="0"/>
              <w:rPr>
                <w:rFonts w:hint="eastAsia" w:ascii="宋体" w:hAnsi="宋体" w:eastAsia="宋体" w:cs="宋体"/>
                <w:color w:val="auto"/>
                <w:sz w:val="24"/>
                <w:szCs w:val="24"/>
                <w:highlight w:val="none"/>
              </w:rPr>
            </w:pPr>
          </w:p>
          <w:p w14:paraId="0CA5AA40">
            <w:pPr>
              <w:bidi w:val="0"/>
              <w:rPr>
                <w:rFonts w:hint="eastAsia" w:ascii="宋体" w:hAnsi="宋体" w:eastAsia="宋体" w:cs="宋体"/>
                <w:color w:val="auto"/>
                <w:sz w:val="24"/>
                <w:szCs w:val="24"/>
                <w:highlight w:val="none"/>
              </w:rPr>
            </w:pPr>
          </w:p>
          <w:p w14:paraId="0135F5A8">
            <w:pPr>
              <w:bidi w:val="0"/>
              <w:rPr>
                <w:rFonts w:hint="eastAsia" w:ascii="宋体" w:hAnsi="宋体" w:eastAsia="宋体" w:cs="宋体"/>
                <w:color w:val="auto"/>
                <w:sz w:val="24"/>
                <w:szCs w:val="24"/>
                <w:highlight w:val="none"/>
              </w:rPr>
            </w:pPr>
          </w:p>
          <w:p w14:paraId="6454F3B8">
            <w:pPr>
              <w:bidi w:val="0"/>
              <w:rPr>
                <w:rFonts w:hint="eastAsia" w:ascii="宋体" w:hAnsi="宋体" w:eastAsia="宋体" w:cs="宋体"/>
                <w:color w:val="auto"/>
                <w:sz w:val="24"/>
                <w:szCs w:val="24"/>
                <w:highlight w:val="none"/>
              </w:rPr>
            </w:pPr>
          </w:p>
          <w:p w14:paraId="74B31658">
            <w:pPr>
              <w:bidi w:val="0"/>
              <w:rPr>
                <w:rFonts w:hint="eastAsia" w:ascii="宋体" w:hAnsi="宋体" w:eastAsia="宋体" w:cs="宋体"/>
                <w:color w:val="auto"/>
                <w:sz w:val="24"/>
                <w:szCs w:val="24"/>
                <w:highlight w:val="none"/>
              </w:rPr>
            </w:pPr>
          </w:p>
          <w:p w14:paraId="1FCAF387">
            <w:pPr>
              <w:bidi w:val="0"/>
              <w:ind w:left="0" w:leftChars="0" w:firstLine="0" w:firstLineChars="0"/>
              <w:rPr>
                <w:rFonts w:hint="eastAsia" w:ascii="宋体" w:hAnsi="宋体" w:eastAsia="宋体" w:cs="宋体"/>
                <w:color w:val="auto"/>
                <w:sz w:val="24"/>
                <w:szCs w:val="24"/>
                <w:highlight w:val="none"/>
              </w:rPr>
            </w:pPr>
          </w:p>
          <w:p w14:paraId="3ED7A981">
            <w:pPr>
              <w:bidi w:val="0"/>
              <w:rPr>
                <w:rFonts w:hint="eastAsia" w:ascii="宋体" w:hAnsi="宋体" w:eastAsia="宋体" w:cs="宋体"/>
                <w:color w:val="auto"/>
                <w:sz w:val="24"/>
                <w:szCs w:val="24"/>
                <w:highlight w:val="none"/>
              </w:rPr>
            </w:pPr>
          </w:p>
          <w:p w14:paraId="2065770A">
            <w:pPr>
              <w:bidi w:val="0"/>
              <w:rPr>
                <w:rFonts w:hint="eastAsia" w:ascii="宋体" w:hAnsi="宋体" w:eastAsia="宋体" w:cs="宋体"/>
                <w:color w:val="auto"/>
                <w:sz w:val="24"/>
                <w:szCs w:val="24"/>
                <w:highlight w:val="none"/>
              </w:rPr>
            </w:pPr>
          </w:p>
          <w:p w14:paraId="1A545272">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投标报价得分计算方法</w:t>
            </w:r>
          </w:p>
        </w:tc>
        <w:tc>
          <w:tcPr>
            <w:tcW w:w="7559" w:type="dxa"/>
            <w:vAlign w:val="top"/>
          </w:tcPr>
          <w:p w14:paraId="6005FBE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w:t>
            </w:r>
          </w:p>
          <w:p w14:paraId="4EB94F5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评标基准价是满足招标文件要求且报价最低的投标报价,投标报价与评标基准价一致得满分。</w:t>
            </w:r>
          </w:p>
          <w:p w14:paraId="68309D2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F8D4D4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的报价明显低于其他通过资格审查投标人报价的，有可能影响产品质量或者不能诚信履约的，评标委员会将通过交易系统向该投标人发出通知，要求该投标人通过交易系统提供书面说明，并提交相关证明材料，投标人不能证明其报价合理性的，评标委员会将其投标文件作为无效投标文件处理。</w:t>
            </w:r>
          </w:p>
          <w:p w14:paraId="50E8694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（2）为了促进中小企业发展，根据《中华人民共和国政府采购法实施条例》第六条和财库［2020］46 号的规定，给予小型和微型企业产品（提供的所有投标产品均为小微企业生产产品）价格</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0%的价格扣除，用扣除后的价格参与评审，中小企业划型标准见《关于印发中小企业划型标准规定的通知》（工信部联企业［2011］300号）。</w:t>
            </w:r>
          </w:p>
          <w:p w14:paraId="65E7EB8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参加本项目的小微企业应当提供《中小企业声明函》。</w:t>
            </w:r>
          </w:p>
          <w:p w14:paraId="2742591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（3）根据财库［2020］46 号文件规定，在政府采购活动中，监狱企业视同小型、微型企业，享受预留份额、评审中价格扣除等政府采购促进中小企业发展的政府采购政策。向监狱企业釆购的金额，计入面向中小企业釆购的统计数据。监狱企业参加政府釆购活动时，应当提供由省级以上监狱管理局、戒毒管理局（含新疆生产建设兵团）出具的属于监狱企业的证明文件。</w:t>
            </w:r>
          </w:p>
          <w:p w14:paraId="2633D04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并对声明的真实性负责。</w:t>
            </w:r>
          </w:p>
        </w:tc>
      </w:tr>
      <w:tr w14:paraId="6E4C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096" w:type="dxa"/>
            <w:vMerge w:val="restart"/>
            <w:vAlign w:val="top"/>
          </w:tcPr>
          <w:p w14:paraId="5BA79426">
            <w:pPr>
              <w:bidi w:val="0"/>
              <w:rPr>
                <w:rFonts w:hint="eastAsia" w:ascii="宋体" w:hAnsi="宋体" w:eastAsia="宋体" w:cs="宋体"/>
                <w:color w:val="auto"/>
                <w:sz w:val="24"/>
                <w:szCs w:val="24"/>
                <w:highlight w:val="none"/>
              </w:rPr>
            </w:pPr>
          </w:p>
          <w:p w14:paraId="252FB1FE">
            <w:pPr>
              <w:bidi w:val="0"/>
              <w:rPr>
                <w:rFonts w:hint="eastAsia" w:ascii="宋体" w:hAnsi="宋体" w:eastAsia="宋体" w:cs="宋体"/>
                <w:color w:val="auto"/>
                <w:sz w:val="24"/>
                <w:szCs w:val="24"/>
                <w:highlight w:val="none"/>
              </w:rPr>
            </w:pPr>
          </w:p>
          <w:p w14:paraId="60A34BDE">
            <w:pPr>
              <w:bidi w:val="0"/>
              <w:rPr>
                <w:rFonts w:hint="eastAsia" w:ascii="宋体" w:hAnsi="宋体" w:eastAsia="宋体" w:cs="宋体"/>
                <w:color w:val="auto"/>
                <w:sz w:val="24"/>
                <w:szCs w:val="24"/>
                <w:highlight w:val="none"/>
              </w:rPr>
            </w:pPr>
          </w:p>
          <w:p w14:paraId="2C6BFC1D">
            <w:pPr>
              <w:bidi w:val="0"/>
              <w:rPr>
                <w:rFonts w:hint="eastAsia" w:ascii="宋体" w:hAnsi="宋体" w:eastAsia="宋体" w:cs="宋体"/>
                <w:color w:val="auto"/>
                <w:sz w:val="24"/>
                <w:szCs w:val="24"/>
                <w:highlight w:val="none"/>
              </w:rPr>
            </w:pPr>
          </w:p>
          <w:p w14:paraId="56811194">
            <w:pPr>
              <w:bidi w:val="0"/>
              <w:rPr>
                <w:rFonts w:hint="eastAsia" w:ascii="宋体" w:hAnsi="宋体" w:eastAsia="宋体" w:cs="宋体"/>
                <w:color w:val="auto"/>
                <w:sz w:val="24"/>
                <w:szCs w:val="24"/>
                <w:highlight w:val="none"/>
              </w:rPr>
            </w:pPr>
          </w:p>
          <w:p w14:paraId="130BBA19">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   （</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1076" w:type="dxa"/>
            <w:vAlign w:val="top"/>
          </w:tcPr>
          <w:p w14:paraId="263767CF">
            <w:pPr>
              <w:bidi w:val="0"/>
              <w:rPr>
                <w:rFonts w:hint="eastAsia" w:ascii="宋体" w:hAnsi="宋体" w:eastAsia="宋体" w:cs="宋体"/>
                <w:color w:val="auto"/>
                <w:sz w:val="24"/>
                <w:szCs w:val="24"/>
                <w:highlight w:val="none"/>
              </w:rPr>
            </w:pPr>
          </w:p>
          <w:p w14:paraId="2CBB030D">
            <w:pPr>
              <w:bidi w:val="0"/>
              <w:rPr>
                <w:rFonts w:hint="eastAsia" w:ascii="宋体" w:hAnsi="宋体" w:eastAsia="宋体" w:cs="宋体"/>
                <w:color w:val="auto"/>
                <w:sz w:val="24"/>
                <w:szCs w:val="24"/>
                <w:highlight w:val="none"/>
              </w:rPr>
            </w:pPr>
          </w:p>
          <w:p w14:paraId="354E67A8">
            <w:pPr>
              <w:bidi w:val="0"/>
              <w:rPr>
                <w:rFonts w:hint="eastAsia" w:ascii="宋体" w:hAnsi="宋体" w:eastAsia="宋体" w:cs="宋体"/>
                <w:color w:val="auto"/>
                <w:sz w:val="24"/>
                <w:szCs w:val="24"/>
                <w:highlight w:val="none"/>
              </w:rPr>
            </w:pPr>
          </w:p>
          <w:p w14:paraId="40212163">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559" w:type="dxa"/>
            <w:vAlign w:val="top"/>
          </w:tcPr>
          <w:p w14:paraId="41A8774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根据投标文件提供的货物技术偏离表情况进行评审，所投产品技术参数完全符合采购文件技术要求，得基础分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分。所投产品技术参数不满足采购文件中标注“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”的条款要求，每一项负偏离扣 2 分；所投产品技术参数不满足招标文件中未标注“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”的条款要求，每一项负偏离扣 1 分；扣完为止。（未提供相关技术参数要求复印件的，不得分）</w:t>
            </w:r>
          </w:p>
          <w:p w14:paraId="405624C8">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注：为了便于评标委员会审查评定，必须在技术偏离表的“证明材料页码”栏填写证明材料所在标书中的具体页码，未按要求提供证明材料或注明的，该项技术参数视为不满足。</w:t>
            </w:r>
          </w:p>
        </w:tc>
      </w:tr>
      <w:tr w14:paraId="2529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4CE9AA3C">
            <w:pPr>
              <w:bidi w:val="0"/>
              <w:rPr>
                <w:rFonts w:hint="eastAsia" w:ascii="宋体" w:hAnsi="宋体" w:eastAsia="宋体" w:cs="宋体"/>
                <w:color w:val="auto"/>
                <w:sz w:val="24"/>
                <w:szCs w:val="24"/>
                <w:highlight w:val="none"/>
              </w:rPr>
            </w:pPr>
          </w:p>
        </w:tc>
        <w:tc>
          <w:tcPr>
            <w:tcW w:w="1076" w:type="dxa"/>
            <w:vAlign w:val="top"/>
          </w:tcPr>
          <w:p w14:paraId="30CE6DF8">
            <w:pPr>
              <w:bidi w:val="0"/>
              <w:rPr>
                <w:rFonts w:hint="eastAsia" w:ascii="宋体" w:hAnsi="宋体" w:eastAsia="宋体" w:cs="宋体"/>
                <w:color w:val="auto"/>
                <w:sz w:val="24"/>
                <w:szCs w:val="24"/>
                <w:highlight w:val="none"/>
              </w:rPr>
            </w:pPr>
          </w:p>
          <w:p w14:paraId="14852CF0">
            <w:pPr>
              <w:bidi w:val="0"/>
              <w:rPr>
                <w:rFonts w:hint="eastAsia" w:ascii="宋体" w:hAnsi="宋体" w:eastAsia="宋体" w:cs="宋体"/>
                <w:color w:val="auto"/>
                <w:sz w:val="24"/>
                <w:szCs w:val="24"/>
                <w:highlight w:val="none"/>
              </w:rPr>
            </w:pPr>
          </w:p>
          <w:p w14:paraId="430524E3">
            <w:pPr>
              <w:bidi w:val="0"/>
              <w:rPr>
                <w:rFonts w:hint="eastAsia" w:ascii="宋体" w:hAnsi="宋体" w:eastAsia="宋体" w:cs="宋体"/>
                <w:color w:val="auto"/>
                <w:sz w:val="24"/>
                <w:szCs w:val="24"/>
                <w:highlight w:val="none"/>
              </w:rPr>
            </w:pPr>
          </w:p>
          <w:p w14:paraId="0095C4E8">
            <w:pPr>
              <w:bidi w:val="0"/>
              <w:ind w:left="0" w:leftChars="0" w:firstLine="0" w:firstLineChars="0"/>
              <w:rPr>
                <w:rFonts w:hint="eastAsia" w:ascii="宋体" w:hAnsi="宋体" w:eastAsia="宋体" w:cs="宋体"/>
                <w:color w:val="auto"/>
                <w:sz w:val="24"/>
                <w:szCs w:val="24"/>
                <w:highlight w:val="none"/>
              </w:rPr>
            </w:pPr>
          </w:p>
          <w:p w14:paraId="58ACE419">
            <w:pPr>
              <w:bidi w:val="0"/>
              <w:rPr>
                <w:rFonts w:hint="eastAsia" w:ascii="宋体" w:hAnsi="宋体" w:eastAsia="宋体" w:cs="宋体"/>
                <w:color w:val="auto"/>
                <w:sz w:val="24"/>
                <w:szCs w:val="24"/>
                <w:highlight w:val="none"/>
              </w:rPr>
            </w:pPr>
          </w:p>
          <w:p w14:paraId="4F12A768">
            <w:pPr>
              <w:bidi w:val="0"/>
              <w:rPr>
                <w:rFonts w:hint="eastAsia" w:ascii="宋体" w:hAnsi="宋体" w:eastAsia="宋体" w:cs="宋体"/>
                <w:color w:val="auto"/>
                <w:sz w:val="24"/>
                <w:szCs w:val="24"/>
                <w:highlight w:val="none"/>
              </w:rPr>
            </w:pPr>
          </w:p>
          <w:p w14:paraId="04C659AD">
            <w:pPr>
              <w:bidi w:val="0"/>
              <w:ind w:left="0" w:leftChars="0" w:firstLine="0" w:firstLineChars="0"/>
              <w:rPr>
                <w:rFonts w:hint="eastAsia" w:ascii="宋体" w:hAnsi="宋体" w:eastAsia="宋体" w:cs="宋体"/>
                <w:color w:val="auto"/>
                <w:sz w:val="24"/>
                <w:szCs w:val="24"/>
                <w:highlight w:val="none"/>
              </w:rPr>
            </w:pPr>
          </w:p>
          <w:p w14:paraId="1E5FBCE2">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实施方案(15分)</w:t>
            </w:r>
          </w:p>
        </w:tc>
        <w:tc>
          <w:tcPr>
            <w:tcW w:w="7559" w:type="dxa"/>
            <w:vAlign w:val="top"/>
          </w:tcPr>
          <w:p w14:paraId="3054CC8E">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评标委员会根据供应商提供的实施方案(实施计划、供货方案、安装调试方案、质量保证措施、人员安排、交货的组织方案及时间安排、备品备件状况等) 进行评分；(15分)</w:t>
            </w:r>
          </w:p>
          <w:p w14:paraId="5E5C03BC">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1.实施方案内容详实，方案科学、合理、安全，考虑周全，措施到位，针对性强，完全能够满足采购的需要的得15分；</w:t>
            </w:r>
          </w:p>
          <w:p w14:paraId="04E6A24C">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2.实施方案内容完整，方案比较科学、合理、安全，基本考虑周全，措施基本到位，针对性一般，基本满足采购的需要，但有个别细节需要进一步完善或提高的得10分；</w:t>
            </w:r>
          </w:p>
          <w:p w14:paraId="44F7F2E8">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3.实施方案符合招标文件要求涉及的方面，相关内容描述不详细，方案基本科学、合理、安全，考虑一般，措施基本到位，满足采购的需要较差，大部分细节需要进一步完善或提高的5分；</w:t>
            </w:r>
          </w:p>
          <w:p w14:paraId="27139D15">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4.实施方案不全，针对性差，整体思路混乱，可操作性差，大部分细节需要进一步完善或提高的1分；</w:t>
            </w:r>
          </w:p>
          <w:p w14:paraId="4A3F46CE">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5.不提供不得分。</w:t>
            </w:r>
          </w:p>
          <w:p w14:paraId="2B8F714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en-US"/>
              </w:rPr>
              <w:t>注：以上不累计得分。</w:t>
            </w:r>
          </w:p>
        </w:tc>
      </w:tr>
      <w:tr w14:paraId="51F0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1096" w:type="dxa"/>
            <w:vMerge w:val="restart"/>
            <w:vAlign w:val="top"/>
          </w:tcPr>
          <w:p w14:paraId="3604F8F7">
            <w:pPr>
              <w:bidi w:val="0"/>
              <w:rPr>
                <w:rFonts w:hint="eastAsia" w:ascii="宋体" w:hAnsi="宋体" w:eastAsia="宋体" w:cs="宋体"/>
                <w:color w:val="auto"/>
                <w:sz w:val="24"/>
                <w:szCs w:val="24"/>
                <w:highlight w:val="none"/>
              </w:rPr>
            </w:pPr>
          </w:p>
          <w:p w14:paraId="3FF1817A">
            <w:pPr>
              <w:bidi w:val="0"/>
              <w:rPr>
                <w:rFonts w:hint="eastAsia" w:ascii="宋体" w:hAnsi="宋体" w:eastAsia="宋体" w:cs="宋体"/>
                <w:color w:val="auto"/>
                <w:sz w:val="24"/>
                <w:szCs w:val="24"/>
                <w:highlight w:val="none"/>
              </w:rPr>
            </w:pPr>
          </w:p>
          <w:p w14:paraId="7598CE66">
            <w:pPr>
              <w:bidi w:val="0"/>
              <w:rPr>
                <w:rFonts w:hint="eastAsia" w:ascii="宋体" w:hAnsi="宋体" w:eastAsia="宋体" w:cs="宋体"/>
                <w:color w:val="auto"/>
                <w:sz w:val="24"/>
                <w:szCs w:val="24"/>
                <w:highlight w:val="none"/>
              </w:rPr>
            </w:pPr>
          </w:p>
          <w:p w14:paraId="494037B7">
            <w:pPr>
              <w:bidi w:val="0"/>
              <w:rPr>
                <w:rFonts w:hint="eastAsia" w:ascii="宋体" w:hAnsi="宋体" w:eastAsia="宋体" w:cs="宋体"/>
                <w:color w:val="auto"/>
                <w:sz w:val="24"/>
                <w:szCs w:val="24"/>
                <w:highlight w:val="none"/>
              </w:rPr>
            </w:pPr>
          </w:p>
          <w:p w14:paraId="33A6D56D">
            <w:pPr>
              <w:bidi w:val="0"/>
              <w:rPr>
                <w:rFonts w:hint="eastAsia" w:ascii="宋体" w:hAnsi="宋体" w:eastAsia="宋体" w:cs="宋体"/>
                <w:color w:val="auto"/>
                <w:sz w:val="24"/>
                <w:szCs w:val="24"/>
                <w:highlight w:val="none"/>
              </w:rPr>
            </w:pPr>
          </w:p>
          <w:p w14:paraId="26D95A80">
            <w:pPr>
              <w:bidi w:val="0"/>
              <w:rPr>
                <w:rFonts w:hint="eastAsia" w:ascii="宋体" w:hAnsi="宋体" w:eastAsia="宋体" w:cs="宋体"/>
                <w:color w:val="auto"/>
                <w:sz w:val="24"/>
                <w:szCs w:val="24"/>
                <w:highlight w:val="none"/>
              </w:rPr>
            </w:pPr>
          </w:p>
          <w:p w14:paraId="2923B899">
            <w:pPr>
              <w:bidi w:val="0"/>
              <w:rPr>
                <w:rFonts w:hint="eastAsia" w:ascii="宋体" w:hAnsi="宋体" w:eastAsia="宋体" w:cs="宋体"/>
                <w:color w:val="auto"/>
                <w:sz w:val="24"/>
                <w:szCs w:val="24"/>
                <w:highlight w:val="none"/>
              </w:rPr>
            </w:pPr>
          </w:p>
          <w:p w14:paraId="16A3FBB2">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综合部分（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 分）</w:t>
            </w:r>
          </w:p>
        </w:tc>
        <w:tc>
          <w:tcPr>
            <w:tcW w:w="1076" w:type="dxa"/>
            <w:vAlign w:val="top"/>
          </w:tcPr>
          <w:p w14:paraId="4F3A4AD4">
            <w:pPr>
              <w:bidi w:val="0"/>
              <w:ind w:left="0" w:leftChars="0" w:firstLine="0" w:firstLineChars="0"/>
              <w:rPr>
                <w:rFonts w:hint="eastAsia" w:ascii="宋体" w:hAnsi="宋体" w:eastAsia="宋体" w:cs="宋体"/>
                <w:color w:val="auto"/>
                <w:sz w:val="24"/>
                <w:szCs w:val="24"/>
                <w:highlight w:val="none"/>
              </w:rPr>
            </w:pPr>
          </w:p>
          <w:p w14:paraId="5A2C3C31">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7559" w:type="dxa"/>
            <w:vAlign w:val="top"/>
          </w:tcPr>
          <w:p w14:paraId="361AE64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月1日以来完成的类似项目，每份业绩得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分。（以合同签订时间为准，投标文件附中标通知书扫描件或合同扫描件，缺项不得分）</w:t>
            </w:r>
          </w:p>
        </w:tc>
      </w:tr>
      <w:tr w14:paraId="7288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2C582649">
            <w:pPr>
              <w:bidi w:val="0"/>
              <w:rPr>
                <w:rFonts w:hint="eastAsia" w:ascii="宋体" w:hAnsi="宋体" w:eastAsia="宋体" w:cs="宋体"/>
                <w:color w:val="auto"/>
                <w:sz w:val="24"/>
                <w:szCs w:val="24"/>
                <w:highlight w:val="none"/>
              </w:rPr>
            </w:pPr>
          </w:p>
        </w:tc>
        <w:tc>
          <w:tcPr>
            <w:tcW w:w="1076" w:type="dxa"/>
            <w:vAlign w:val="top"/>
          </w:tcPr>
          <w:p w14:paraId="1BB48F75">
            <w:pPr>
              <w:bidi w:val="0"/>
              <w:rPr>
                <w:rFonts w:hint="eastAsia" w:ascii="宋体" w:hAnsi="宋体" w:eastAsia="宋体" w:cs="宋体"/>
                <w:color w:val="auto"/>
                <w:sz w:val="24"/>
                <w:szCs w:val="24"/>
                <w:highlight w:val="none"/>
              </w:rPr>
            </w:pPr>
          </w:p>
          <w:p w14:paraId="708B34DA">
            <w:pPr>
              <w:bidi w:val="0"/>
              <w:rPr>
                <w:rFonts w:hint="eastAsia" w:ascii="宋体" w:hAnsi="宋体" w:eastAsia="宋体" w:cs="宋体"/>
                <w:color w:val="auto"/>
                <w:sz w:val="24"/>
                <w:szCs w:val="24"/>
                <w:highlight w:val="none"/>
              </w:rPr>
            </w:pPr>
          </w:p>
          <w:p w14:paraId="23A74487">
            <w:pPr>
              <w:bidi w:val="0"/>
              <w:rPr>
                <w:rFonts w:hint="eastAsia" w:ascii="宋体" w:hAnsi="宋体" w:eastAsia="宋体" w:cs="宋体"/>
                <w:color w:val="auto"/>
                <w:sz w:val="24"/>
                <w:szCs w:val="24"/>
                <w:highlight w:val="none"/>
              </w:rPr>
            </w:pPr>
          </w:p>
          <w:p w14:paraId="5142179E">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实力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7559" w:type="dxa"/>
            <w:vAlign w:val="top"/>
          </w:tcPr>
          <w:p w14:paraId="5BAC5326">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1.投标人</w:t>
            </w:r>
            <w:r>
              <w:rPr>
                <w:rFonts w:hint="eastAsia" w:ascii="宋体" w:hAnsi="宋体" w:eastAsia="宋体" w:cs="宋体"/>
                <w:color w:val="auto"/>
                <w:sz w:val="24"/>
                <w:szCs w:val="24"/>
                <w:highlight w:val="none"/>
                <w:lang w:val="en-US" w:eastAsia="zh-CN"/>
              </w:rPr>
              <w:t>或生产厂家</w:t>
            </w:r>
            <w:r>
              <w:rPr>
                <w:rFonts w:hint="eastAsia" w:ascii="宋体" w:hAnsi="宋体" w:eastAsia="宋体" w:cs="宋体"/>
                <w:color w:val="auto"/>
                <w:sz w:val="24"/>
                <w:szCs w:val="24"/>
                <w:highlight w:val="none"/>
                <w:lang w:val="en-US" w:eastAsia="en-US"/>
              </w:rPr>
              <w:t>具有效期内的ISO质量管理体系认证证书的，得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分；(提供相关证书扫描件)</w:t>
            </w:r>
          </w:p>
          <w:p w14:paraId="2AEC2C90">
            <w:pPr>
              <w:bidi w:val="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2.投标人</w:t>
            </w:r>
            <w:r>
              <w:rPr>
                <w:rFonts w:hint="eastAsia" w:ascii="宋体" w:hAnsi="宋体" w:eastAsia="宋体" w:cs="宋体"/>
                <w:color w:val="auto"/>
                <w:sz w:val="24"/>
                <w:szCs w:val="24"/>
                <w:highlight w:val="none"/>
                <w:lang w:val="en-US" w:eastAsia="zh-CN"/>
              </w:rPr>
              <w:t>或生产厂家</w:t>
            </w:r>
            <w:r>
              <w:rPr>
                <w:rFonts w:hint="eastAsia" w:ascii="宋体" w:hAnsi="宋体" w:eastAsia="宋体" w:cs="宋体"/>
                <w:color w:val="auto"/>
                <w:sz w:val="24"/>
                <w:szCs w:val="24"/>
                <w:highlight w:val="none"/>
                <w:lang w:val="en-US" w:eastAsia="en-US"/>
              </w:rPr>
              <w:t>具有效期内的ISO环境管理体系认证证书的，得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分；(提供相关证书扫描件)</w:t>
            </w:r>
          </w:p>
          <w:p w14:paraId="0D25D1B8">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3.投标人</w:t>
            </w:r>
            <w:r>
              <w:rPr>
                <w:rFonts w:hint="eastAsia" w:ascii="宋体" w:hAnsi="宋体" w:eastAsia="宋体" w:cs="宋体"/>
                <w:color w:val="auto"/>
                <w:sz w:val="24"/>
                <w:szCs w:val="24"/>
                <w:highlight w:val="none"/>
                <w:lang w:val="en-US" w:eastAsia="zh-CN"/>
              </w:rPr>
              <w:t>或生产厂家</w:t>
            </w:r>
            <w:r>
              <w:rPr>
                <w:rFonts w:hint="eastAsia" w:ascii="宋体" w:hAnsi="宋体" w:eastAsia="宋体" w:cs="宋体"/>
                <w:color w:val="auto"/>
                <w:sz w:val="24"/>
                <w:szCs w:val="24"/>
                <w:highlight w:val="none"/>
                <w:lang w:val="en-US" w:eastAsia="en-US"/>
              </w:rPr>
              <w:t>具有有效期内的ISO职业健康安全管理体系认证证书的，得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分；(提供相关证书扫描件)</w:t>
            </w:r>
          </w:p>
        </w:tc>
      </w:tr>
      <w:tr w14:paraId="72E6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96" w:type="dxa"/>
            <w:vMerge w:val="continue"/>
            <w:vAlign w:val="top"/>
          </w:tcPr>
          <w:p w14:paraId="48B2E81D">
            <w:pPr>
              <w:bidi w:val="0"/>
              <w:rPr>
                <w:rFonts w:hint="eastAsia" w:ascii="宋体" w:hAnsi="宋体" w:eastAsia="宋体" w:cs="宋体"/>
                <w:color w:val="auto"/>
                <w:sz w:val="24"/>
                <w:szCs w:val="24"/>
                <w:highlight w:val="none"/>
              </w:rPr>
            </w:pPr>
          </w:p>
        </w:tc>
        <w:tc>
          <w:tcPr>
            <w:tcW w:w="1076" w:type="dxa"/>
            <w:vAlign w:val="center"/>
          </w:tcPr>
          <w:p w14:paraId="2B2504DA">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设备维护保养计划和人员安排（5分）</w:t>
            </w:r>
          </w:p>
        </w:tc>
        <w:tc>
          <w:tcPr>
            <w:tcW w:w="7559" w:type="dxa"/>
            <w:vAlign w:val="center"/>
          </w:tcPr>
          <w:p w14:paraId="1F53CB9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根据投标人的设备维护保养计划和人员安排的合理性、科学性、及时性进行综合评分： </w:t>
            </w:r>
          </w:p>
          <w:p w14:paraId="77E316F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（1）内容详实全面、具体、科学、可实施性强的得5分； </w:t>
            </w:r>
          </w:p>
          <w:p w14:paraId="46FED97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（2）内容不详实、可行性一般的得3分； </w:t>
            </w:r>
          </w:p>
          <w:p w14:paraId="21795983">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（3）内容只有简单描述、可行性差的得1分。</w:t>
            </w:r>
          </w:p>
          <w:p w14:paraId="5E594CA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14:paraId="11D57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1096" w:type="dxa"/>
            <w:vMerge w:val="continue"/>
            <w:vAlign w:val="top"/>
          </w:tcPr>
          <w:p w14:paraId="464AA108">
            <w:pPr>
              <w:bidi w:val="0"/>
              <w:rPr>
                <w:rFonts w:hint="eastAsia" w:ascii="宋体" w:hAnsi="宋体" w:eastAsia="宋体" w:cs="宋体"/>
                <w:color w:val="auto"/>
                <w:sz w:val="24"/>
                <w:szCs w:val="24"/>
                <w:highlight w:val="none"/>
              </w:rPr>
            </w:pPr>
          </w:p>
        </w:tc>
        <w:tc>
          <w:tcPr>
            <w:tcW w:w="1076" w:type="dxa"/>
            <w:vAlign w:val="top"/>
          </w:tcPr>
          <w:p w14:paraId="154E7D64">
            <w:pPr>
              <w:bidi w:val="0"/>
              <w:rPr>
                <w:rFonts w:hint="eastAsia" w:ascii="宋体" w:hAnsi="宋体" w:eastAsia="宋体" w:cs="宋体"/>
                <w:color w:val="auto"/>
                <w:sz w:val="24"/>
                <w:szCs w:val="24"/>
                <w:highlight w:val="none"/>
              </w:rPr>
            </w:pPr>
          </w:p>
          <w:p w14:paraId="447F26B2">
            <w:pPr>
              <w:bidi w:val="0"/>
              <w:ind w:left="0" w:leftChars="0" w:firstLine="0" w:firstLineChars="0"/>
              <w:rPr>
                <w:rFonts w:hint="eastAsia" w:ascii="宋体" w:hAnsi="宋体" w:eastAsia="宋体" w:cs="宋体"/>
                <w:color w:val="auto"/>
                <w:sz w:val="24"/>
                <w:szCs w:val="24"/>
                <w:highlight w:val="none"/>
              </w:rPr>
            </w:pPr>
          </w:p>
          <w:p w14:paraId="10DF85E0">
            <w:pPr>
              <w:bidi w:val="0"/>
              <w:ind w:left="0" w:leftChars="0" w:firstLine="0" w:firstLineChars="0"/>
              <w:rPr>
                <w:rFonts w:hint="eastAsia" w:ascii="宋体" w:hAnsi="宋体" w:eastAsia="宋体" w:cs="宋体"/>
                <w:color w:val="auto"/>
                <w:sz w:val="24"/>
                <w:szCs w:val="24"/>
                <w:highlight w:val="none"/>
              </w:rPr>
            </w:pPr>
          </w:p>
          <w:p w14:paraId="79CEBFB5">
            <w:pPr>
              <w:bidi w:val="0"/>
              <w:ind w:left="0" w:leftChars="0" w:firstLine="0" w:firstLineChars="0"/>
              <w:rPr>
                <w:rFonts w:hint="eastAsia" w:ascii="宋体" w:hAnsi="宋体" w:eastAsia="宋体" w:cs="宋体"/>
                <w:color w:val="auto"/>
                <w:sz w:val="24"/>
                <w:szCs w:val="24"/>
                <w:highlight w:val="none"/>
              </w:rPr>
            </w:pPr>
          </w:p>
          <w:p w14:paraId="240F6C47">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7559" w:type="dxa"/>
            <w:vAlign w:val="top"/>
          </w:tcPr>
          <w:p w14:paraId="5499A26B">
            <w:pPr>
              <w:bidi w:val="0"/>
              <w:rPr>
                <w:rFonts w:hint="eastAsia" w:ascii="宋体" w:hAnsi="宋体" w:eastAsia="宋体" w:cs="宋体"/>
                <w:color w:val="auto"/>
                <w:sz w:val="24"/>
                <w:szCs w:val="24"/>
                <w:highlight w:val="none"/>
              </w:rPr>
            </w:pPr>
            <w:bookmarkStart w:id="72" w:name="OLE_LINK44"/>
            <w:r>
              <w:rPr>
                <w:rFonts w:hint="eastAsia" w:ascii="宋体" w:hAnsi="宋体" w:eastAsia="宋体" w:cs="宋体"/>
                <w:color w:val="auto"/>
                <w:sz w:val="24"/>
                <w:szCs w:val="24"/>
                <w:highlight w:val="none"/>
              </w:rPr>
              <w:t>根据供应商提出的售后服务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质保期内服务、响应时间、质保期外服务内容、本地化服务能力、故障应急处置方案、维修保养服务体系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维修响应及故障解决时间等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综合评审</w:t>
            </w:r>
            <w:r>
              <w:rPr>
                <w:rFonts w:hint="eastAsia" w:ascii="宋体" w:hAnsi="宋体" w:eastAsia="宋体" w:cs="宋体"/>
                <w:color w:val="auto"/>
                <w:sz w:val="24"/>
                <w:szCs w:val="24"/>
                <w:highlight w:val="none"/>
              </w:rPr>
              <w:t>。</w:t>
            </w:r>
          </w:p>
          <w:bookmarkEnd w:id="72"/>
          <w:p w14:paraId="3C093A6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方案内容完整且无缺陷的得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分，每缺少一项扣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扣完为止。</w:t>
            </w:r>
          </w:p>
        </w:tc>
      </w:tr>
      <w:tr w14:paraId="444F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96" w:type="dxa"/>
            <w:vMerge w:val="continue"/>
            <w:tcBorders>
              <w:bottom w:val="nil"/>
            </w:tcBorders>
            <w:vAlign w:val="top"/>
          </w:tcPr>
          <w:p w14:paraId="65CCA5C2">
            <w:pPr>
              <w:bidi w:val="0"/>
              <w:rPr>
                <w:rFonts w:hint="eastAsia" w:ascii="宋体" w:hAnsi="宋体" w:eastAsia="宋体" w:cs="宋体"/>
                <w:color w:val="auto"/>
                <w:sz w:val="24"/>
                <w:szCs w:val="24"/>
                <w:highlight w:val="none"/>
              </w:rPr>
            </w:pPr>
          </w:p>
        </w:tc>
        <w:tc>
          <w:tcPr>
            <w:tcW w:w="1076" w:type="dxa"/>
            <w:vAlign w:val="top"/>
          </w:tcPr>
          <w:p w14:paraId="7D0FE962">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7559" w:type="dxa"/>
            <w:vAlign w:val="top"/>
          </w:tcPr>
          <w:p w14:paraId="303E235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投标供应商符合质保期基本要求，质保期每增加</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highlight w:val="none"/>
              </w:rPr>
              <w:t>加 1分，最多加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3A90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6" w:type="dxa"/>
            <w:tcBorders>
              <w:top w:val="nil"/>
              <w:bottom w:val="nil"/>
            </w:tcBorders>
            <w:vAlign w:val="top"/>
          </w:tcPr>
          <w:p w14:paraId="4D292EE7">
            <w:pPr>
              <w:bidi w:val="0"/>
              <w:rPr>
                <w:rFonts w:hint="eastAsia" w:ascii="宋体" w:hAnsi="宋体" w:eastAsia="宋体" w:cs="宋体"/>
                <w:color w:val="auto"/>
                <w:sz w:val="24"/>
                <w:szCs w:val="24"/>
                <w:highlight w:val="none"/>
              </w:rPr>
            </w:pPr>
          </w:p>
        </w:tc>
        <w:tc>
          <w:tcPr>
            <w:tcW w:w="1076" w:type="dxa"/>
            <w:vAlign w:val="top"/>
          </w:tcPr>
          <w:p w14:paraId="1630AC08">
            <w:pPr>
              <w:bidi w:val="0"/>
              <w:ind w:left="0" w:leftChars="0" w:firstLine="0" w:firstLineChars="0"/>
              <w:rPr>
                <w:rFonts w:hint="eastAsia" w:ascii="宋体" w:hAnsi="宋体" w:eastAsia="宋体" w:cs="宋体"/>
                <w:color w:val="auto"/>
                <w:sz w:val="24"/>
                <w:szCs w:val="24"/>
                <w:highlight w:val="none"/>
              </w:rPr>
            </w:pPr>
          </w:p>
          <w:p w14:paraId="55F77A22">
            <w:pPr>
              <w:bidi w:val="0"/>
              <w:ind w:left="0" w:leftChars="0" w:firstLine="0" w:firstLineChars="0"/>
              <w:rPr>
                <w:rFonts w:hint="eastAsia" w:ascii="宋体" w:hAnsi="宋体" w:eastAsia="宋体" w:cs="宋体"/>
                <w:color w:val="auto"/>
                <w:sz w:val="24"/>
                <w:szCs w:val="24"/>
                <w:highlight w:val="none"/>
              </w:rPr>
            </w:pPr>
          </w:p>
          <w:p w14:paraId="1BFB35B6">
            <w:pPr>
              <w:bidi w:val="0"/>
              <w:ind w:left="0" w:leftChars="0" w:firstLine="0" w:firstLineChars="0"/>
              <w:rPr>
                <w:rFonts w:hint="eastAsia" w:ascii="宋体" w:hAnsi="宋体" w:eastAsia="宋体" w:cs="宋体"/>
                <w:color w:val="auto"/>
                <w:sz w:val="24"/>
                <w:szCs w:val="24"/>
                <w:highlight w:val="none"/>
              </w:rPr>
            </w:pPr>
          </w:p>
          <w:p w14:paraId="113107BE">
            <w:pPr>
              <w:bidi w:val="0"/>
              <w:ind w:left="0" w:leftChars="0" w:firstLine="0" w:firstLineChars="0"/>
              <w:rPr>
                <w:rFonts w:hint="eastAsia" w:ascii="宋体" w:hAnsi="宋体" w:eastAsia="宋体" w:cs="宋体"/>
                <w:color w:val="auto"/>
                <w:sz w:val="24"/>
                <w:szCs w:val="24"/>
                <w:highlight w:val="none"/>
              </w:rPr>
            </w:pPr>
          </w:p>
          <w:p w14:paraId="058DAA14">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节能环保（</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7559" w:type="dxa"/>
            <w:vAlign w:val="top"/>
          </w:tcPr>
          <w:p w14:paraId="7299826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政府强制采购节能产品外，拟供产品列入《节能产品政府采购品目清单》并提供国家确定的认证机构出具的、处于有效期之内的节能产品认证证书的（或中国政府采购网节能产品查询结果截图），每有一项得0.5分，最多得1分，不提供的得 0 分。</w:t>
            </w:r>
          </w:p>
          <w:p w14:paraId="2455B8D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（2）拟供产品列入《环境标志产品政府采购品目清单》并提供国家确定的认证机构出具的、处于有效期之内的环境标志产品认证证书或中国政府采购网环境标志产品查询结果截图，每有一项得0.5分，最多得 1分，不提供的得 0 分。</w:t>
            </w:r>
          </w:p>
        </w:tc>
      </w:tr>
      <w:tr w14:paraId="7150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96" w:type="dxa"/>
            <w:tcBorders>
              <w:top w:val="nil"/>
            </w:tcBorders>
            <w:vAlign w:val="top"/>
          </w:tcPr>
          <w:p w14:paraId="7521A72C">
            <w:pPr>
              <w:bidi w:val="0"/>
              <w:rPr>
                <w:rFonts w:hint="eastAsia" w:ascii="宋体" w:hAnsi="宋体" w:eastAsia="宋体" w:cs="宋体"/>
                <w:color w:val="auto"/>
                <w:sz w:val="24"/>
                <w:szCs w:val="24"/>
                <w:highlight w:val="none"/>
              </w:rPr>
            </w:pPr>
          </w:p>
        </w:tc>
        <w:tc>
          <w:tcPr>
            <w:tcW w:w="1076" w:type="dxa"/>
            <w:vAlign w:val="top"/>
          </w:tcPr>
          <w:p w14:paraId="3137606D">
            <w:pPr>
              <w:bidi w:val="0"/>
              <w:ind w:left="0" w:leftChars="0" w:firstLine="0" w:firstLineChars="0"/>
              <w:rPr>
                <w:rFonts w:hint="eastAsia" w:ascii="宋体" w:hAnsi="宋体" w:eastAsia="宋体" w:cs="宋体"/>
                <w:color w:val="auto"/>
                <w:sz w:val="24"/>
                <w:szCs w:val="24"/>
                <w:highlight w:val="none"/>
              </w:rPr>
            </w:pPr>
          </w:p>
          <w:p w14:paraId="2B118654">
            <w:pPr>
              <w:bidi w:val="0"/>
              <w:ind w:left="0" w:leftChars="0" w:firstLine="0" w:firstLineChars="0"/>
              <w:rPr>
                <w:rFonts w:hint="eastAsia" w:ascii="宋体" w:hAnsi="宋体" w:eastAsia="宋体" w:cs="宋体"/>
                <w:color w:val="auto"/>
                <w:sz w:val="24"/>
                <w:szCs w:val="24"/>
                <w:highlight w:val="none"/>
              </w:rPr>
            </w:pPr>
          </w:p>
          <w:p w14:paraId="6F1DE4A9">
            <w:p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培训方案（5分）</w:t>
            </w:r>
          </w:p>
          <w:p w14:paraId="42BE5ACD">
            <w:pPr>
              <w:bidi w:val="0"/>
              <w:ind w:left="0" w:leftChars="0" w:firstLine="0" w:firstLineChars="0"/>
              <w:rPr>
                <w:rFonts w:hint="eastAsia" w:ascii="宋体" w:hAnsi="宋体" w:eastAsia="宋体" w:cs="宋体"/>
                <w:color w:val="auto"/>
                <w:sz w:val="24"/>
                <w:szCs w:val="24"/>
                <w:highlight w:val="none"/>
              </w:rPr>
            </w:pPr>
          </w:p>
        </w:tc>
        <w:tc>
          <w:tcPr>
            <w:tcW w:w="7559" w:type="dxa"/>
            <w:vAlign w:val="top"/>
          </w:tcPr>
          <w:p w14:paraId="552C911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根据供应商提供培训方案，主要包括对培训计划及方案的描述，能结合项目要求，提供培训目的、培训周期、培训承诺、培训体系、培训原则、培训考核等方面进行打分。</w:t>
            </w:r>
          </w:p>
          <w:p w14:paraId="51D5AEFC">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培训方案内容具体全面、可行性高、针对性强的得5分；</w:t>
            </w:r>
          </w:p>
          <w:p w14:paraId="1C21379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培训方案内容较详细、可行性较高、针对性较强得3分；</w:t>
            </w:r>
          </w:p>
          <w:p w14:paraId="266D113F">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培训方案内容不详细、可行性较差、针对性较差得1分；</w:t>
            </w:r>
          </w:p>
          <w:p w14:paraId="2525C30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未针对本项目描述或没有的得0分。</w:t>
            </w:r>
          </w:p>
        </w:tc>
      </w:tr>
    </w:tbl>
    <w:p w14:paraId="59521D25">
      <w:pPr>
        <w:spacing w:line="360" w:lineRule="auto"/>
        <w:ind w:firstLine="480" w:firstLineChars="200"/>
        <w:rPr>
          <w:rFonts w:hint="eastAsia" w:ascii="宋体" w:hAnsi="宋体" w:eastAsia="宋体" w:cs="宋体"/>
          <w:bCs/>
          <w:color w:val="auto"/>
          <w:sz w:val="24"/>
          <w:szCs w:val="24"/>
          <w:highlight w:val="none"/>
        </w:rPr>
      </w:pPr>
    </w:p>
    <w:p w14:paraId="2CC99BF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w:t>
      </w:r>
      <w:r>
        <w:rPr>
          <w:rFonts w:hint="eastAsia" w:ascii="宋体" w:hAnsi="宋体" w:eastAsia="宋体" w:cs="宋体"/>
          <w:color w:val="auto"/>
          <w:sz w:val="24"/>
          <w:szCs w:val="24"/>
          <w:highlight w:val="none"/>
        </w:rPr>
        <w:t>.8评审结束后，按照评审得分由高到低顺序推荐3名成交候选供应商，如符合《磋商管理办法》规定的相关情形的，推荐的成交候选供应商可以为2家。评审得分相同的，按照最后报价由低到高的顺序推荐，评审得分且最后报价相同的，按照技术指标优劣顺序推荐，并编写评审报告，评审报告经磋商小组全体成员签字确认。</w:t>
      </w:r>
    </w:p>
    <w:p w14:paraId="286D33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27</w:t>
      </w:r>
      <w:r>
        <w:rPr>
          <w:rFonts w:hint="eastAsia" w:ascii="宋体" w:hAnsi="宋体" w:eastAsia="宋体" w:cs="宋体"/>
          <w:color w:val="auto"/>
          <w:sz w:val="24"/>
          <w:szCs w:val="24"/>
          <w:highlight w:val="none"/>
        </w:rPr>
        <w:t>.9磋商小组经评审，认为所有响应文件都不符合磋商文件要求的，可以否决所有报价，采购人应当依法重新采购。</w:t>
      </w:r>
    </w:p>
    <w:p w14:paraId="6A42BC5B">
      <w:pPr>
        <w:pStyle w:val="4"/>
        <w:bidi w:val="0"/>
        <w:rPr>
          <w:rFonts w:hint="eastAsia" w:ascii="宋体" w:hAnsi="宋体" w:eastAsia="宋体" w:cs="宋体"/>
          <w:color w:val="auto"/>
          <w:sz w:val="24"/>
          <w:szCs w:val="24"/>
          <w:highlight w:val="none"/>
        </w:rPr>
      </w:pPr>
      <w:bookmarkStart w:id="73" w:name="_Toc449115779"/>
      <w:bookmarkStart w:id="74" w:name="_Toc449027479"/>
      <w:r>
        <w:rPr>
          <w:rFonts w:hint="eastAsia" w:ascii="宋体" w:hAnsi="宋体" w:eastAsia="宋体" w:cs="宋体"/>
          <w:color w:val="auto"/>
          <w:sz w:val="24"/>
          <w:szCs w:val="24"/>
          <w:highlight w:val="none"/>
        </w:rPr>
        <w:t>八、成交信息</w:t>
      </w:r>
      <w:bookmarkEnd w:id="73"/>
      <w:bookmarkEnd w:id="74"/>
    </w:p>
    <w:p w14:paraId="3753CDDE">
      <w:pPr>
        <w:spacing w:line="360" w:lineRule="auto"/>
        <w:ind w:firstLine="482" w:firstLineChars="200"/>
        <w:jc w:val="left"/>
        <w:rPr>
          <w:rFonts w:hint="eastAsia" w:ascii="宋体" w:hAnsi="宋体" w:eastAsia="宋体" w:cs="宋体"/>
          <w:b/>
          <w:color w:val="auto"/>
          <w:sz w:val="24"/>
          <w:szCs w:val="24"/>
          <w:highlight w:val="none"/>
        </w:rPr>
      </w:pPr>
      <w:bookmarkStart w:id="75" w:name="_Toc120344792"/>
      <w:bookmarkStart w:id="76" w:name="_Toc98041612"/>
      <w:bookmarkStart w:id="77" w:name="_Toc164567230"/>
      <w:r>
        <w:rPr>
          <w:rFonts w:hint="eastAsia" w:ascii="宋体" w:hAnsi="宋体" w:eastAsia="宋体" w:cs="宋体"/>
          <w:b/>
          <w:color w:val="auto"/>
          <w:sz w:val="24"/>
          <w:szCs w:val="24"/>
          <w:highlight w:val="none"/>
        </w:rPr>
        <w:t>28.成交信息</w:t>
      </w:r>
    </w:p>
    <w:p w14:paraId="4D2602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28.1采购人在评审结束后1个工作日内确定采购结果，并将采购结果在《河南省政府采购网》《郑州市公共资源交易中心》《上街区政府采购网》网上公告，同时向成交供应商发出成交通知书。</w:t>
      </w:r>
    </w:p>
    <w:p w14:paraId="097A1D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28.2对未成交供应商，采购代理机构将不予退还其响应文件；</w:t>
      </w:r>
    </w:p>
    <w:p w14:paraId="3C54DB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28.3《成交通知书》将作为签订合同的重要依据。</w:t>
      </w:r>
    </w:p>
    <w:p w14:paraId="226691B3">
      <w:pPr>
        <w:pStyle w:val="4"/>
        <w:bidi w:val="0"/>
        <w:rPr>
          <w:rFonts w:hint="eastAsia" w:ascii="宋体" w:hAnsi="宋体" w:eastAsia="宋体" w:cs="宋体"/>
          <w:color w:val="auto"/>
          <w:sz w:val="24"/>
          <w:szCs w:val="24"/>
          <w:highlight w:val="none"/>
        </w:rPr>
      </w:pPr>
      <w:bookmarkStart w:id="78" w:name="_Toc369002804"/>
      <w:bookmarkStart w:id="79" w:name="_Toc369002769"/>
      <w:bookmarkStart w:id="80" w:name="_Toc369002691"/>
      <w:bookmarkStart w:id="81" w:name="_Toc449115780"/>
      <w:bookmarkStart w:id="82" w:name="_Toc449027480"/>
      <w:r>
        <w:rPr>
          <w:rFonts w:hint="eastAsia" w:ascii="宋体" w:hAnsi="宋体" w:eastAsia="宋体" w:cs="宋体"/>
          <w:color w:val="auto"/>
          <w:sz w:val="24"/>
          <w:szCs w:val="24"/>
          <w:highlight w:val="none"/>
        </w:rPr>
        <w:t>九、</w:t>
      </w:r>
      <w:bookmarkEnd w:id="75"/>
      <w:bookmarkEnd w:id="76"/>
      <w:bookmarkEnd w:id="77"/>
      <w:r>
        <w:rPr>
          <w:rFonts w:hint="eastAsia" w:ascii="宋体" w:hAnsi="宋体" w:eastAsia="宋体" w:cs="宋体"/>
          <w:color w:val="auto"/>
          <w:sz w:val="24"/>
          <w:szCs w:val="24"/>
          <w:highlight w:val="none"/>
        </w:rPr>
        <w:t>授予合同</w:t>
      </w:r>
      <w:bookmarkEnd w:id="78"/>
      <w:bookmarkEnd w:id="79"/>
      <w:bookmarkEnd w:id="80"/>
      <w:bookmarkEnd w:id="81"/>
      <w:bookmarkEnd w:id="82"/>
    </w:p>
    <w:p w14:paraId="1AA55336">
      <w:pPr>
        <w:spacing w:line="360" w:lineRule="auto"/>
        <w:ind w:firstLine="465" w:firstLineChars="193"/>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29.</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采购人将把合同授予最大限度满足磋商文件要求且具有履行合同能力的并经公告合格的供应商。</w:t>
      </w:r>
    </w:p>
    <w:p w14:paraId="1DEEA70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30．签订书面合同</w:t>
      </w:r>
    </w:p>
    <w:p w14:paraId="5F24E9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30.1采购人和成交供应商应当自成交通知书发出之日起2个工作日内按照磋商文件和成交供应商的响应文件订立书面合同； </w:t>
      </w:r>
    </w:p>
    <w:p w14:paraId="3FAECC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成交供应商应按采购人指定的地点与其签订合同。与采购人签订书面合同后1个工作日内将合同复印或扫描件报送至招标代理机构。政府采购合同中涉及国家秘密、商业秘密的内容，成交供应商应提前告知招标代理机构。</w:t>
      </w:r>
    </w:p>
    <w:p w14:paraId="450220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30.3成交人因不可抗力或者自身原因不能履行政府采购合同的，采购人可以与排位在成交供应商之后第一位的成交候选人签订政府采购合同，也可以重新开展政府采购活动。</w:t>
      </w:r>
    </w:p>
    <w:p w14:paraId="7D3FC55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31．履约保证金（详见供应商须知前附表）</w:t>
      </w:r>
    </w:p>
    <w:p w14:paraId="0B90F8B6">
      <w:pPr>
        <w:spacing w:line="360" w:lineRule="auto"/>
        <w:ind w:firstLine="475" w:firstLineChars="19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32.</w:t>
      </w:r>
      <w:r>
        <w:rPr>
          <w:rFonts w:hint="eastAsia" w:ascii="宋体" w:hAnsi="宋体" w:eastAsia="宋体" w:cs="宋体"/>
          <w:b/>
          <w:bCs/>
          <w:color w:val="auto"/>
          <w:sz w:val="24"/>
          <w:szCs w:val="24"/>
          <w:highlight w:val="none"/>
        </w:rPr>
        <w:t>成交服务费</w:t>
      </w:r>
    </w:p>
    <w:p w14:paraId="0FE3C1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成交人在领取成交通知书时，应依据前附表的收费标准向采购代理机构一次性交纳成交服务费。</w:t>
      </w:r>
    </w:p>
    <w:p w14:paraId="3D56D5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缴纳方式：从成交供应商的基本户账户中以转账、电汇</w:t>
      </w:r>
      <w:r>
        <w:rPr>
          <w:rFonts w:hint="eastAsia" w:cs="宋体"/>
          <w:color w:val="auto"/>
          <w:sz w:val="24"/>
          <w:szCs w:val="24"/>
          <w:highlight w:val="none"/>
          <w:lang w:eastAsia="zh-CN"/>
        </w:rPr>
        <w:t>、</w:t>
      </w:r>
      <w:r>
        <w:rPr>
          <w:rFonts w:hint="eastAsia" w:cs="宋体"/>
          <w:color w:val="auto"/>
          <w:sz w:val="24"/>
          <w:szCs w:val="24"/>
          <w:highlight w:val="none"/>
          <w:lang w:val="en-US" w:eastAsia="zh-CN"/>
        </w:rPr>
        <w:t>现金</w:t>
      </w:r>
      <w:r>
        <w:rPr>
          <w:rFonts w:hint="eastAsia" w:ascii="宋体" w:hAnsi="宋体" w:eastAsia="宋体" w:cs="宋体"/>
          <w:color w:val="auto"/>
          <w:sz w:val="24"/>
          <w:szCs w:val="24"/>
          <w:highlight w:val="none"/>
        </w:rPr>
        <w:t>等形式</w:t>
      </w:r>
      <w:r>
        <w:rPr>
          <w:rFonts w:hint="eastAsia" w:cs="宋体"/>
          <w:color w:val="auto"/>
          <w:sz w:val="24"/>
          <w:szCs w:val="24"/>
          <w:highlight w:val="none"/>
          <w:lang w:val="en-US" w:eastAsia="zh-CN"/>
        </w:rPr>
        <w:t>支付</w:t>
      </w:r>
      <w:r>
        <w:rPr>
          <w:rFonts w:hint="eastAsia" w:ascii="宋体" w:hAnsi="宋体" w:eastAsia="宋体" w:cs="宋体"/>
          <w:color w:val="auto"/>
          <w:sz w:val="24"/>
          <w:szCs w:val="24"/>
          <w:highlight w:val="none"/>
        </w:rPr>
        <w:t>（汇款信息需注明：项目编号）。</w:t>
      </w:r>
    </w:p>
    <w:p w14:paraId="71E0324E">
      <w:pPr>
        <w:pStyle w:val="4"/>
        <w:bidi w:val="0"/>
        <w:rPr>
          <w:rFonts w:hint="eastAsia" w:ascii="宋体" w:hAnsi="宋体" w:eastAsia="宋体" w:cs="宋体"/>
          <w:color w:val="auto"/>
          <w:sz w:val="24"/>
          <w:szCs w:val="24"/>
          <w:highlight w:val="none"/>
        </w:rPr>
      </w:pPr>
      <w:bookmarkStart w:id="83" w:name="_Toc369002770"/>
      <w:bookmarkStart w:id="84" w:name="_Toc369002805"/>
      <w:bookmarkStart w:id="85" w:name="_Toc449027481"/>
      <w:bookmarkStart w:id="86" w:name="_Toc449115781"/>
      <w:bookmarkStart w:id="87" w:name="_Toc369002692"/>
      <w:r>
        <w:rPr>
          <w:rFonts w:hint="eastAsia" w:ascii="宋体" w:hAnsi="宋体" w:eastAsia="宋体" w:cs="宋体"/>
          <w:color w:val="auto"/>
          <w:sz w:val="24"/>
          <w:szCs w:val="24"/>
          <w:highlight w:val="none"/>
        </w:rPr>
        <w:t>十、付款方式</w:t>
      </w:r>
      <w:bookmarkEnd w:id="83"/>
      <w:bookmarkEnd w:id="84"/>
      <w:bookmarkEnd w:id="85"/>
      <w:bookmarkEnd w:id="86"/>
      <w:bookmarkEnd w:id="87"/>
    </w:p>
    <w:p w14:paraId="61B2F2C7">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33.付款方式：</w:t>
      </w:r>
      <w:bookmarkStart w:id="88" w:name="_Toc449115782"/>
      <w:bookmarkStart w:id="89" w:name="_Toc6487309"/>
      <w:bookmarkStart w:id="90" w:name="_Toc9604"/>
      <w:bookmarkStart w:id="91" w:name="_Toc349"/>
      <w:r>
        <w:rPr>
          <w:rFonts w:hint="eastAsia" w:cs="宋体"/>
          <w:color w:val="auto"/>
          <w:sz w:val="24"/>
          <w:szCs w:val="24"/>
          <w:highlight w:val="none"/>
          <w:lang w:eastAsia="zh-CN"/>
        </w:rPr>
        <w:t>项目完成供货、调试，经甲方组织验收合格第一年内支付70%合同额；第二年内支付20%合同额；第三年内，质保期结束后产品无质量等问题支付10%合同额（根据采购人要求开具发票）。</w:t>
      </w:r>
    </w:p>
    <w:p w14:paraId="17474521">
      <w:pPr>
        <w:rPr>
          <w:rFonts w:hint="eastAsia" w:ascii="宋体" w:hAnsi="宋体" w:eastAsia="宋体" w:cs="宋体"/>
          <w:color w:val="auto"/>
          <w:kern w:val="2"/>
          <w:sz w:val="24"/>
          <w:szCs w:val="24"/>
          <w:highlight w:val="none"/>
        </w:rPr>
      </w:pPr>
    </w:p>
    <w:p w14:paraId="4ED7D024">
      <w:pPr>
        <w:spacing w:before="63" w:line="224" w:lineRule="auto"/>
        <w:ind w:left="51"/>
        <w:rPr>
          <w:rFonts w:ascii="宋体" w:hAnsi="宋体" w:eastAsia="宋体" w:cs="宋体"/>
          <w:color w:val="auto"/>
          <w:spacing w:val="6"/>
          <w:sz w:val="31"/>
          <w:szCs w:val="31"/>
          <w:highlight w:val="none"/>
        </w:rPr>
      </w:pPr>
    </w:p>
    <w:p w14:paraId="21F7FA5C">
      <w:pPr>
        <w:spacing w:before="63" w:line="224" w:lineRule="auto"/>
        <w:ind w:left="51"/>
        <w:rPr>
          <w:rFonts w:ascii="宋体" w:hAnsi="宋体" w:eastAsia="宋体" w:cs="宋体"/>
          <w:color w:val="auto"/>
          <w:spacing w:val="6"/>
          <w:sz w:val="31"/>
          <w:szCs w:val="31"/>
          <w:highlight w:val="none"/>
        </w:rPr>
      </w:pPr>
    </w:p>
    <w:p w14:paraId="024329F6">
      <w:pPr>
        <w:spacing w:before="63" w:line="224" w:lineRule="auto"/>
        <w:ind w:left="51"/>
        <w:rPr>
          <w:rFonts w:ascii="宋体" w:hAnsi="宋体" w:eastAsia="宋体" w:cs="宋体"/>
          <w:color w:val="auto"/>
          <w:spacing w:val="6"/>
          <w:sz w:val="31"/>
          <w:szCs w:val="31"/>
          <w:highlight w:val="none"/>
        </w:rPr>
      </w:pPr>
    </w:p>
    <w:p w14:paraId="75B6653B">
      <w:pPr>
        <w:spacing w:before="63" w:line="224" w:lineRule="auto"/>
        <w:ind w:left="51"/>
        <w:rPr>
          <w:rFonts w:ascii="宋体" w:hAnsi="宋体" w:eastAsia="宋体" w:cs="宋体"/>
          <w:color w:val="auto"/>
          <w:spacing w:val="6"/>
          <w:sz w:val="31"/>
          <w:szCs w:val="31"/>
          <w:highlight w:val="none"/>
        </w:rPr>
      </w:pPr>
    </w:p>
    <w:p w14:paraId="53D889E8">
      <w:pPr>
        <w:spacing w:before="63" w:line="224" w:lineRule="auto"/>
        <w:ind w:left="51"/>
        <w:rPr>
          <w:rFonts w:ascii="宋体" w:hAnsi="宋体" w:eastAsia="宋体" w:cs="宋体"/>
          <w:color w:val="auto"/>
          <w:spacing w:val="6"/>
          <w:sz w:val="31"/>
          <w:szCs w:val="31"/>
          <w:highlight w:val="none"/>
        </w:rPr>
      </w:pPr>
    </w:p>
    <w:p w14:paraId="12EC176C">
      <w:pPr>
        <w:spacing w:before="63" w:line="224" w:lineRule="auto"/>
        <w:ind w:left="51"/>
        <w:rPr>
          <w:rFonts w:ascii="宋体" w:hAnsi="宋体" w:eastAsia="宋体" w:cs="宋体"/>
          <w:color w:val="auto"/>
          <w:spacing w:val="6"/>
          <w:sz w:val="31"/>
          <w:szCs w:val="31"/>
          <w:highlight w:val="none"/>
        </w:rPr>
      </w:pPr>
    </w:p>
    <w:p w14:paraId="070FA7AA">
      <w:pPr>
        <w:spacing w:before="63" w:line="224" w:lineRule="auto"/>
        <w:ind w:left="51"/>
        <w:rPr>
          <w:rFonts w:ascii="宋体" w:hAnsi="宋体" w:eastAsia="宋体" w:cs="宋体"/>
          <w:color w:val="auto"/>
          <w:spacing w:val="6"/>
          <w:sz w:val="31"/>
          <w:szCs w:val="31"/>
          <w:highlight w:val="none"/>
        </w:rPr>
      </w:pPr>
    </w:p>
    <w:p w14:paraId="563D61BE">
      <w:pPr>
        <w:spacing w:before="63" w:line="224" w:lineRule="auto"/>
        <w:ind w:left="51"/>
        <w:rPr>
          <w:rFonts w:ascii="宋体" w:hAnsi="宋体" w:eastAsia="宋体" w:cs="宋体"/>
          <w:color w:val="auto"/>
          <w:spacing w:val="6"/>
          <w:sz w:val="31"/>
          <w:szCs w:val="31"/>
          <w:highlight w:val="none"/>
        </w:rPr>
      </w:pPr>
    </w:p>
    <w:p w14:paraId="3607FB04">
      <w:pPr>
        <w:spacing w:before="63" w:line="224" w:lineRule="auto"/>
        <w:ind w:left="51"/>
        <w:rPr>
          <w:rFonts w:ascii="宋体" w:hAnsi="宋体" w:eastAsia="宋体" w:cs="宋体"/>
          <w:color w:val="auto"/>
          <w:spacing w:val="6"/>
          <w:sz w:val="31"/>
          <w:szCs w:val="31"/>
          <w:highlight w:val="none"/>
        </w:rPr>
      </w:pPr>
    </w:p>
    <w:p w14:paraId="6F7A2055">
      <w:pPr>
        <w:spacing w:before="63" w:line="224" w:lineRule="auto"/>
        <w:ind w:left="51"/>
        <w:rPr>
          <w:rFonts w:ascii="宋体" w:hAnsi="宋体" w:eastAsia="宋体" w:cs="宋体"/>
          <w:color w:val="auto"/>
          <w:spacing w:val="6"/>
          <w:sz w:val="31"/>
          <w:szCs w:val="31"/>
          <w:highlight w:val="none"/>
        </w:rPr>
      </w:pPr>
    </w:p>
    <w:p w14:paraId="7A5C575E">
      <w:pPr>
        <w:spacing w:before="63" w:line="224" w:lineRule="auto"/>
        <w:ind w:left="51"/>
        <w:rPr>
          <w:rFonts w:ascii="宋体" w:hAnsi="宋体" w:eastAsia="宋体" w:cs="宋体"/>
          <w:color w:val="auto"/>
          <w:spacing w:val="6"/>
          <w:sz w:val="31"/>
          <w:szCs w:val="31"/>
          <w:highlight w:val="none"/>
        </w:rPr>
      </w:pPr>
    </w:p>
    <w:p w14:paraId="165A1660">
      <w:pPr>
        <w:spacing w:before="63" w:line="224" w:lineRule="auto"/>
        <w:ind w:left="51"/>
        <w:rPr>
          <w:rFonts w:ascii="宋体" w:hAnsi="宋体" w:eastAsia="宋体" w:cs="宋体"/>
          <w:color w:val="auto"/>
          <w:spacing w:val="6"/>
          <w:sz w:val="31"/>
          <w:szCs w:val="31"/>
          <w:highlight w:val="none"/>
        </w:rPr>
      </w:pPr>
    </w:p>
    <w:p w14:paraId="049C2EFB">
      <w:pPr>
        <w:spacing w:before="63" w:line="224" w:lineRule="auto"/>
        <w:ind w:left="0" w:leftChars="0" w:firstLine="0" w:firstLineChars="0"/>
        <w:rPr>
          <w:rFonts w:ascii="宋体" w:hAnsi="宋体" w:eastAsia="宋体" w:cs="宋体"/>
          <w:color w:val="auto"/>
          <w:spacing w:val="6"/>
          <w:sz w:val="31"/>
          <w:szCs w:val="31"/>
          <w:highlight w:val="none"/>
        </w:rPr>
      </w:pPr>
    </w:p>
    <w:p w14:paraId="2B7024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附件：废标的条件</w:t>
      </w:r>
    </w:p>
    <w:p w14:paraId="3A3902D7">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AB089F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1.投标文件的关键内容字迹模糊，无法辨认的；</w:t>
      </w:r>
    </w:p>
    <w:p w14:paraId="7D746B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2.供应商递交两份或两份以上内容不同又未在投标文件中声明哪一份为有效 的投标文件的；</w:t>
      </w:r>
    </w:p>
    <w:p w14:paraId="455E69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3.未通过评标办法初步评审的；</w:t>
      </w:r>
    </w:p>
    <w:p w14:paraId="06D619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4.不按评标委员会要求澄清、说明或补正的； </w:t>
      </w:r>
    </w:p>
    <w:p w14:paraId="2CF391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5.投标有效期不满足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w:t>
      </w:r>
    </w:p>
    <w:p w14:paraId="5E1243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6.投标报价有算术性错误，供应商不接受修正价格的；</w:t>
      </w:r>
    </w:p>
    <w:p w14:paraId="1CF2B9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7.以他人的名义投标、以行贿手段谋取中标或者以其他弄虚作假方式投标的； </w:t>
      </w:r>
    </w:p>
    <w:p w14:paraId="4BFF39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8.属于串（围）标行为的；</w:t>
      </w:r>
    </w:p>
    <w:p w14:paraId="518F714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sectPr>
          <w:footerReference r:id="rId12" w:type="default"/>
          <w:pgSz w:w="11906" w:h="16839"/>
          <w:pgMar w:top="1440" w:right="1080" w:bottom="1440" w:left="1080" w:header="0" w:footer="0" w:gutter="0"/>
          <w:pgNumType w:fmt="decimal"/>
          <w:cols w:space="720" w:num="1"/>
        </w:sectPr>
      </w:pPr>
      <w:r>
        <w:rPr>
          <w:rFonts w:hint="eastAsia" w:ascii="宋体" w:hAnsi="宋体" w:eastAsia="宋体" w:cs="宋体"/>
          <w:color w:val="auto"/>
          <w:sz w:val="24"/>
          <w:szCs w:val="24"/>
          <w:highlight w:val="none"/>
        </w:rPr>
        <w:t>9.不符合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规定的其他实质性要求及相关法律、法规或规章规定可以否决投标的其他情形</w:t>
      </w:r>
      <w:r>
        <w:rPr>
          <w:rFonts w:hint="eastAsia" w:ascii="宋体" w:hAnsi="宋体" w:eastAsia="宋体" w:cs="宋体"/>
          <w:color w:val="auto"/>
          <w:sz w:val="24"/>
          <w:szCs w:val="24"/>
          <w:highlight w:val="none"/>
          <w:lang w:eastAsia="zh-CN"/>
        </w:rPr>
        <w:t>。</w:t>
      </w:r>
    </w:p>
    <w:p w14:paraId="5F9240C7">
      <w:pPr>
        <w:pStyle w:val="2"/>
        <w:numPr>
          <w:ilvl w:val="0"/>
          <w:numId w:val="0"/>
        </w:numPr>
        <w:jc w:val="center"/>
        <w:rPr>
          <w:rFonts w:hint="eastAsia" w:ascii="宋体" w:hAnsi="宋体" w:eastAsia="宋体" w:cs="宋体"/>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SA"/>
        </w:rPr>
        <w:t>第</w:t>
      </w:r>
      <w:r>
        <w:rPr>
          <w:rFonts w:hint="eastAsia" w:cs="宋体"/>
          <w:b/>
          <w:bCs w:val="0"/>
          <w:color w:val="auto"/>
          <w:kern w:val="2"/>
          <w:sz w:val="28"/>
          <w:szCs w:val="28"/>
          <w:highlight w:val="none"/>
          <w:lang w:val="en-US" w:eastAsia="zh-CN" w:bidi="ar-SA"/>
        </w:rPr>
        <w:t>三</w:t>
      </w:r>
      <w:r>
        <w:rPr>
          <w:rFonts w:hint="eastAsia" w:ascii="宋体" w:hAnsi="宋体" w:eastAsia="宋体" w:cs="宋体"/>
          <w:b/>
          <w:bCs w:val="0"/>
          <w:color w:val="auto"/>
          <w:kern w:val="2"/>
          <w:sz w:val="28"/>
          <w:szCs w:val="28"/>
          <w:highlight w:val="none"/>
          <w:lang w:val="en-US" w:eastAsia="zh-CN" w:bidi="ar-SA"/>
        </w:rPr>
        <w:t>章</w:t>
      </w:r>
      <w:r>
        <w:rPr>
          <w:rFonts w:hint="eastAsia" w:cs="宋体"/>
          <w:b/>
          <w:bCs w:val="0"/>
          <w:color w:val="auto"/>
          <w:kern w:val="2"/>
          <w:sz w:val="28"/>
          <w:szCs w:val="28"/>
          <w:highlight w:val="none"/>
          <w:lang w:val="en-US" w:eastAsia="zh-CN" w:bidi="ar-SA"/>
        </w:rPr>
        <w:t xml:space="preserve"> </w:t>
      </w:r>
      <w:r>
        <w:rPr>
          <w:rFonts w:hint="eastAsia" w:ascii="宋体" w:hAnsi="宋体" w:eastAsia="宋体" w:cs="宋体"/>
          <w:bCs w:val="0"/>
          <w:color w:val="auto"/>
          <w:kern w:val="2"/>
          <w:sz w:val="28"/>
          <w:szCs w:val="28"/>
          <w:highlight w:val="none"/>
        </w:rPr>
        <w:t>采购人需求及技术要求</w:t>
      </w:r>
    </w:p>
    <w:p w14:paraId="409BB9C4">
      <w:pPr>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一、技术参数要求</w:t>
      </w:r>
    </w:p>
    <w:tbl>
      <w:tblPr>
        <w:tblStyle w:val="62"/>
        <w:tblW w:w="880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
        <w:gridCol w:w="1023"/>
        <w:gridCol w:w="6171"/>
        <w:gridCol w:w="547"/>
        <w:gridCol w:w="539"/>
      </w:tblGrid>
      <w:tr w14:paraId="096DA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0" w:type="dxa"/>
            <w:noWrap w:val="0"/>
            <w:vAlign w:val="center"/>
          </w:tcPr>
          <w:p w14:paraId="51CE8108">
            <w:pPr>
              <w:widowControl w:val="0"/>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vertAlign w:val="baseline"/>
                <w:lang w:val="en-US" w:eastAsia="zh-CN"/>
              </w:rPr>
              <w:t>序号</w:t>
            </w:r>
          </w:p>
        </w:tc>
        <w:tc>
          <w:tcPr>
            <w:tcW w:w="1023" w:type="dxa"/>
            <w:noWrap w:val="0"/>
            <w:vAlign w:val="center"/>
          </w:tcPr>
          <w:p w14:paraId="20BB3FFB">
            <w:pPr>
              <w:widowControl w:val="0"/>
              <w:ind w:left="0" w:leftChars="0" w:firstLine="0" w:firstLineChars="0"/>
              <w:jc w:val="both"/>
              <w:rPr>
                <w:rFonts w:hint="eastAsia" w:ascii="宋体" w:hAnsi="宋体" w:eastAsia="宋体" w:cs="宋体"/>
                <w:b/>
                <w:color w:val="auto"/>
                <w:kern w:val="0"/>
                <w:sz w:val="24"/>
                <w:szCs w:val="24"/>
                <w:highlight w:val="none"/>
                <w:lang w:val="en-US" w:eastAsia="zh-CN" w:bidi="zh-CN"/>
              </w:rPr>
            </w:pPr>
            <w:r>
              <w:rPr>
                <w:rFonts w:hint="eastAsia" w:ascii="宋体" w:hAnsi="宋体" w:eastAsia="宋体" w:cs="宋体"/>
                <w:b/>
                <w:bCs/>
                <w:color w:val="auto"/>
                <w:sz w:val="24"/>
                <w:szCs w:val="24"/>
                <w:highlight w:val="none"/>
                <w:vertAlign w:val="baseline"/>
                <w:lang w:val="en-US" w:eastAsia="zh-CN"/>
              </w:rPr>
              <w:t>设备名称</w:t>
            </w:r>
          </w:p>
        </w:tc>
        <w:tc>
          <w:tcPr>
            <w:tcW w:w="6171" w:type="dxa"/>
            <w:noWrap w:val="0"/>
            <w:vAlign w:val="center"/>
          </w:tcPr>
          <w:p w14:paraId="6B1B5FB3">
            <w:pPr>
              <w:widowControl w:val="0"/>
              <w:ind w:left="0" w:leftChars="0" w:firstLine="0" w:firstLineChars="0"/>
              <w:jc w:val="center"/>
              <w:rPr>
                <w:rFonts w:hint="eastAsia" w:ascii="宋体" w:hAnsi="宋体" w:eastAsia="宋体" w:cs="宋体"/>
                <w:b/>
                <w:color w:val="auto"/>
                <w:kern w:val="0"/>
                <w:sz w:val="24"/>
                <w:szCs w:val="24"/>
                <w:highlight w:val="none"/>
                <w:lang w:val="en-US" w:eastAsia="zh-CN" w:bidi="zh-CN"/>
              </w:rPr>
            </w:pPr>
            <w:r>
              <w:rPr>
                <w:rFonts w:hint="eastAsia" w:ascii="宋体" w:hAnsi="宋体" w:eastAsia="宋体" w:cs="宋体"/>
                <w:b/>
                <w:bCs/>
                <w:color w:val="auto"/>
                <w:sz w:val="24"/>
                <w:szCs w:val="24"/>
                <w:highlight w:val="none"/>
                <w:vertAlign w:val="baseline"/>
                <w:lang w:val="en-US" w:eastAsia="zh-CN"/>
              </w:rPr>
              <w:t>规格参数</w:t>
            </w:r>
          </w:p>
        </w:tc>
        <w:tc>
          <w:tcPr>
            <w:tcW w:w="547" w:type="dxa"/>
            <w:noWrap w:val="0"/>
            <w:vAlign w:val="center"/>
          </w:tcPr>
          <w:p w14:paraId="0874A0EC">
            <w:pPr>
              <w:widowControl w:val="0"/>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vertAlign w:val="baseline"/>
                <w:lang w:val="en-US" w:eastAsia="zh-CN"/>
              </w:rPr>
              <w:t>单位</w:t>
            </w:r>
          </w:p>
        </w:tc>
        <w:tc>
          <w:tcPr>
            <w:tcW w:w="539" w:type="dxa"/>
            <w:noWrap w:val="0"/>
            <w:vAlign w:val="center"/>
          </w:tcPr>
          <w:p w14:paraId="5E6AFABA">
            <w:pPr>
              <w:widowControl w:val="0"/>
              <w:ind w:left="0" w:leftChars="0" w:firstLine="0" w:firstLineChars="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vertAlign w:val="baseline"/>
                <w:lang w:val="en-US" w:eastAsia="zh-CN"/>
              </w:rPr>
              <w:t>数量</w:t>
            </w:r>
          </w:p>
        </w:tc>
      </w:tr>
      <w:tr w14:paraId="2E31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0" w:type="dxa"/>
            <w:noWrap w:val="0"/>
            <w:vAlign w:val="center"/>
          </w:tcPr>
          <w:p w14:paraId="1CBF1D9C">
            <w:pPr>
              <w:widowControl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1</w:t>
            </w:r>
          </w:p>
        </w:tc>
        <w:tc>
          <w:tcPr>
            <w:tcW w:w="1023" w:type="dxa"/>
            <w:noWrap w:val="0"/>
            <w:vAlign w:val="center"/>
          </w:tcPr>
          <w:p w14:paraId="3B0DA93F">
            <w:pPr>
              <w:widowControl w:val="0"/>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智慧黑板</w:t>
            </w:r>
          </w:p>
        </w:tc>
        <w:tc>
          <w:tcPr>
            <w:tcW w:w="6171" w:type="dxa"/>
            <w:noWrap w:val="0"/>
            <w:vAlign w:val="top"/>
          </w:tcPr>
          <w:p w14:paraId="6054F8A0">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A.显示部分要求</w:t>
            </w:r>
          </w:p>
          <w:p w14:paraId="7B6F9D4B">
            <w:pPr>
              <w:widowControl w:val="0"/>
              <w:numPr>
                <w:ilvl w:val="0"/>
                <w:numId w:val="2"/>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显示尺寸≥86英寸，分辨率</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3840*2160。</w:t>
            </w:r>
          </w:p>
          <w:p w14:paraId="6B5ED37F">
            <w:pPr>
              <w:widowControl w:val="0"/>
              <w:numPr>
                <w:ilvl w:val="0"/>
                <w:numId w:val="2"/>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表面玻璃</w:t>
            </w:r>
            <w:r>
              <w:rPr>
                <w:rFonts w:hint="eastAsia" w:ascii="宋体" w:hAnsi="宋体" w:eastAsia="宋体" w:cs="宋体"/>
                <w:color w:val="auto"/>
                <w:sz w:val="24"/>
                <w:szCs w:val="24"/>
                <w:highlight w:val="none"/>
                <w:vertAlign w:val="baseline"/>
                <w:lang w:val="en-US" w:eastAsia="zh-CN"/>
              </w:rPr>
              <w:t>须</w:t>
            </w:r>
            <w:r>
              <w:rPr>
                <w:rFonts w:hint="eastAsia" w:ascii="宋体" w:hAnsi="宋体" w:eastAsia="宋体" w:cs="宋体"/>
                <w:color w:val="auto"/>
                <w:sz w:val="24"/>
                <w:szCs w:val="24"/>
                <w:highlight w:val="none"/>
                <w:vertAlign w:val="baseline"/>
              </w:rPr>
              <w:t>采用高强度钢化玻璃，防眩光，厚度</w:t>
            </w:r>
            <w:r>
              <w:rPr>
                <w:rFonts w:hint="eastAsia" w:ascii="宋体" w:hAnsi="宋体" w:eastAsia="宋体" w:cs="宋体"/>
                <w:color w:val="auto"/>
                <w:sz w:val="24"/>
                <w:szCs w:val="24"/>
                <w:highlight w:val="none"/>
                <w:vertAlign w:val="baseline"/>
                <w:lang w:val="en-US" w:eastAsia="zh-CN"/>
              </w:rPr>
              <w:t>不超过</w:t>
            </w:r>
            <w:r>
              <w:rPr>
                <w:rFonts w:hint="eastAsia" w:ascii="宋体" w:hAnsi="宋体" w:eastAsia="宋体" w:cs="宋体"/>
                <w:color w:val="auto"/>
                <w:sz w:val="24"/>
                <w:szCs w:val="24"/>
                <w:highlight w:val="none"/>
                <w:vertAlign w:val="baseline"/>
              </w:rPr>
              <w:t>3.</w:t>
            </w: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rPr>
              <w:t>mm，硬度</w:t>
            </w:r>
            <w:r>
              <w:rPr>
                <w:rFonts w:hint="eastAsia" w:ascii="宋体" w:hAnsi="宋体" w:eastAsia="宋体" w:cs="宋体"/>
                <w:color w:val="auto"/>
                <w:sz w:val="24"/>
                <w:szCs w:val="24"/>
                <w:highlight w:val="none"/>
                <w:vertAlign w:val="baseline"/>
                <w:lang w:val="en-US" w:eastAsia="zh-CN"/>
              </w:rPr>
              <w:t>不低于</w:t>
            </w:r>
            <w:r>
              <w:rPr>
                <w:rFonts w:hint="eastAsia" w:ascii="宋体" w:hAnsi="宋体" w:eastAsia="宋体" w:cs="宋体"/>
                <w:color w:val="auto"/>
                <w:sz w:val="24"/>
                <w:szCs w:val="24"/>
                <w:highlight w:val="none"/>
                <w:vertAlign w:val="baseline"/>
              </w:rPr>
              <w:t>莫氏7级。</w:t>
            </w:r>
          </w:p>
          <w:p w14:paraId="4F2CCD17">
            <w:pPr>
              <w:widowControl w:val="0"/>
              <w:numPr>
                <w:ilvl w:val="0"/>
                <w:numId w:val="2"/>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背光系统</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支持多级亮度调节，拍摄时画面无条纹闪烁。光源稳定无频闪，防止眼睛疲劳</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需具备开机默认防蓝光功能无需按键调节</w:t>
            </w:r>
            <w:r>
              <w:rPr>
                <w:rFonts w:hint="eastAsia" w:ascii="宋体" w:hAnsi="宋体" w:eastAsia="宋体" w:cs="宋体"/>
                <w:color w:val="auto"/>
                <w:sz w:val="24"/>
                <w:szCs w:val="24"/>
                <w:highlight w:val="none"/>
                <w:vertAlign w:val="baseline"/>
              </w:rPr>
              <w:t>。</w:t>
            </w:r>
          </w:p>
          <w:p w14:paraId="042C26C0">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B.触控部分要求</w:t>
            </w:r>
          </w:p>
          <w:p w14:paraId="60E46717">
            <w:pPr>
              <w:widowControl w:val="0"/>
              <w:numPr>
                <w:ilvl w:val="0"/>
                <w:numId w:val="3"/>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采用</w:t>
            </w:r>
            <w:r>
              <w:rPr>
                <w:rFonts w:hint="eastAsia" w:ascii="宋体" w:hAnsi="宋体" w:eastAsia="宋体" w:cs="宋体"/>
                <w:color w:val="auto"/>
                <w:sz w:val="24"/>
                <w:szCs w:val="24"/>
                <w:highlight w:val="none"/>
                <w:vertAlign w:val="baseline"/>
                <w:lang w:val="en-US" w:eastAsia="zh-CN"/>
              </w:rPr>
              <w:t>多点</w:t>
            </w:r>
            <w:r>
              <w:rPr>
                <w:rFonts w:hint="eastAsia" w:ascii="宋体" w:hAnsi="宋体" w:eastAsia="宋体" w:cs="宋体"/>
                <w:color w:val="auto"/>
                <w:sz w:val="24"/>
                <w:szCs w:val="24"/>
                <w:highlight w:val="none"/>
                <w:vertAlign w:val="baseline"/>
              </w:rPr>
              <w:t>触控技术，在</w:t>
            </w:r>
            <w:r>
              <w:rPr>
                <w:rFonts w:hint="eastAsia" w:ascii="宋体" w:hAnsi="宋体" w:eastAsia="宋体" w:cs="宋体"/>
                <w:color w:val="auto"/>
                <w:sz w:val="24"/>
                <w:szCs w:val="24"/>
                <w:highlight w:val="none"/>
                <w:vertAlign w:val="baseline"/>
                <w:lang w:val="en-US" w:eastAsia="zh-CN"/>
              </w:rPr>
              <w:t>安卓和WINDOWS</w:t>
            </w:r>
            <w:r>
              <w:rPr>
                <w:rFonts w:hint="eastAsia" w:ascii="宋体" w:hAnsi="宋体" w:eastAsia="宋体" w:cs="宋体"/>
                <w:color w:val="auto"/>
                <w:sz w:val="24"/>
                <w:szCs w:val="24"/>
                <w:highlight w:val="none"/>
                <w:vertAlign w:val="baseline"/>
              </w:rPr>
              <w:t>双系统下</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w:t>
            </w:r>
            <w:r>
              <w:rPr>
                <w:rFonts w:hint="eastAsia" w:ascii="宋体" w:hAnsi="宋体" w:eastAsia="宋体" w:cs="宋体"/>
                <w:color w:val="auto"/>
                <w:sz w:val="24"/>
                <w:szCs w:val="24"/>
                <w:highlight w:val="none"/>
                <w:vertAlign w:val="baseline"/>
                <w:lang w:val="en-US" w:eastAsia="zh-CN"/>
              </w:rPr>
              <w:t>不少于</w:t>
            </w:r>
            <w:r>
              <w:rPr>
                <w:rFonts w:hint="eastAsia" w:ascii="宋体" w:hAnsi="宋体" w:eastAsia="宋体" w:cs="宋体"/>
                <w:color w:val="auto"/>
                <w:sz w:val="24"/>
                <w:szCs w:val="24"/>
                <w:highlight w:val="none"/>
                <w:vertAlign w:val="baseline"/>
              </w:rPr>
              <w:t>40点触控</w:t>
            </w:r>
            <w:r>
              <w:rPr>
                <w:rFonts w:hint="eastAsia" w:ascii="宋体" w:hAnsi="宋体" w:eastAsia="宋体" w:cs="宋体"/>
                <w:color w:val="auto"/>
                <w:sz w:val="24"/>
                <w:szCs w:val="24"/>
                <w:highlight w:val="none"/>
                <w:vertAlign w:val="baseline"/>
                <w:lang w:val="en-US" w:eastAsia="zh-CN"/>
              </w:rPr>
              <w:t>和</w:t>
            </w:r>
            <w:r>
              <w:rPr>
                <w:rFonts w:hint="eastAsia" w:ascii="宋体" w:hAnsi="宋体" w:eastAsia="宋体" w:cs="宋体"/>
                <w:color w:val="auto"/>
                <w:sz w:val="24"/>
                <w:szCs w:val="24"/>
                <w:highlight w:val="none"/>
                <w:vertAlign w:val="baseline"/>
              </w:rPr>
              <w:t>书写</w:t>
            </w:r>
            <w:r>
              <w:rPr>
                <w:rFonts w:hint="eastAsia" w:ascii="宋体" w:hAnsi="宋体" w:eastAsia="宋体" w:cs="宋体"/>
                <w:color w:val="auto"/>
                <w:sz w:val="24"/>
                <w:szCs w:val="24"/>
                <w:highlight w:val="none"/>
                <w:vertAlign w:val="baseline"/>
                <w:lang w:val="en-US" w:eastAsia="zh-CN"/>
              </w:rPr>
              <w:t>；</w:t>
            </w:r>
          </w:p>
          <w:p w14:paraId="13C5D537">
            <w:pPr>
              <w:widowControl w:val="0"/>
              <w:numPr>
                <w:ilvl w:val="0"/>
                <w:numId w:val="0"/>
              </w:numPr>
              <w:ind w:leftChars="0"/>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C.整机安全性要求</w:t>
            </w:r>
          </w:p>
          <w:p w14:paraId="5F4CE850">
            <w:pPr>
              <w:widowControl w:val="0"/>
              <w:numPr>
                <w:ilvl w:val="0"/>
                <w:numId w:val="4"/>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整机</w:t>
            </w:r>
            <w:r>
              <w:rPr>
                <w:rFonts w:hint="eastAsia" w:ascii="宋体" w:hAnsi="宋体" w:eastAsia="宋体" w:cs="宋体"/>
                <w:color w:val="auto"/>
                <w:sz w:val="24"/>
                <w:szCs w:val="24"/>
                <w:highlight w:val="none"/>
                <w:vertAlign w:val="baseline"/>
                <w:lang w:val="en-US" w:eastAsia="zh-CN"/>
              </w:rPr>
              <w:t>需支持</w:t>
            </w:r>
            <w:r>
              <w:rPr>
                <w:rFonts w:hint="eastAsia" w:ascii="宋体" w:hAnsi="宋体" w:eastAsia="宋体" w:cs="宋体"/>
                <w:color w:val="auto"/>
                <w:sz w:val="24"/>
                <w:szCs w:val="24"/>
                <w:highlight w:val="none"/>
                <w:vertAlign w:val="baseline"/>
              </w:rPr>
              <w:t>硬件自检，包括对系统内存、存储、触控系统、光感系统、内置电脑、屏体信息、主板型号、CPU型号、CPU使用率、设备名称等进行状态提示及故障提示。</w:t>
            </w:r>
          </w:p>
          <w:p w14:paraId="36C80A62">
            <w:pPr>
              <w:widowControl w:val="0"/>
              <w:numPr>
                <w:ilvl w:val="0"/>
                <w:numId w:val="4"/>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满足GB 40070-2021儿童青少年学习用品近视防控卫生要求。（需提供</w:t>
            </w:r>
            <w:r>
              <w:rPr>
                <w:rFonts w:hint="eastAsia" w:ascii="宋体" w:hAnsi="宋体" w:eastAsia="宋体" w:cs="宋体"/>
                <w:color w:val="auto"/>
                <w:sz w:val="24"/>
                <w:szCs w:val="24"/>
                <w:highlight w:val="none"/>
                <w:vertAlign w:val="baseline"/>
                <w:lang w:val="en-US" w:eastAsia="zh-CN"/>
              </w:rPr>
              <w:t>对应的</w:t>
            </w:r>
            <w:r>
              <w:rPr>
                <w:rFonts w:hint="eastAsia" w:ascii="宋体" w:hAnsi="宋体" w:eastAsia="宋体" w:cs="宋体"/>
                <w:color w:val="auto"/>
                <w:sz w:val="24"/>
                <w:szCs w:val="24"/>
                <w:highlight w:val="none"/>
                <w:vertAlign w:val="baseline"/>
              </w:rPr>
              <w:t>证书并加盖公章）</w:t>
            </w:r>
          </w:p>
          <w:p w14:paraId="0638197D">
            <w:pPr>
              <w:widowControl w:val="0"/>
              <w:numPr>
                <w:ilvl w:val="0"/>
                <w:numId w:val="4"/>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支持纸质护眼模式，可实现画面纹理的实时调整；支持透明度调节与色温调节。</w:t>
            </w:r>
          </w:p>
          <w:p w14:paraId="68A087B9">
            <w:pPr>
              <w:widowControl w:val="0"/>
              <w:numPr>
                <w:ilvl w:val="0"/>
                <w:numId w:val="4"/>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★依据GB 21520-2023标准，</w:t>
            </w:r>
            <w:r>
              <w:rPr>
                <w:rFonts w:hint="eastAsia" w:ascii="宋体" w:hAnsi="宋体" w:eastAsia="宋体" w:cs="宋体"/>
                <w:color w:val="auto"/>
                <w:sz w:val="24"/>
                <w:szCs w:val="24"/>
                <w:highlight w:val="none"/>
                <w:vertAlign w:val="baseline"/>
                <w:lang w:val="en-US" w:eastAsia="zh-CN"/>
              </w:rPr>
              <w:t>设备</w:t>
            </w:r>
            <w:r>
              <w:rPr>
                <w:rFonts w:hint="eastAsia" w:ascii="宋体" w:hAnsi="宋体" w:eastAsia="宋体" w:cs="宋体"/>
                <w:color w:val="auto"/>
                <w:sz w:val="24"/>
                <w:szCs w:val="24"/>
                <w:highlight w:val="none"/>
                <w:vertAlign w:val="baseline"/>
              </w:rPr>
              <w:t>能效等级</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达到1级（需提供</w:t>
            </w:r>
            <w:r>
              <w:rPr>
                <w:rFonts w:hint="eastAsia" w:ascii="宋体" w:hAnsi="宋体" w:eastAsia="宋体" w:cs="宋体"/>
                <w:color w:val="auto"/>
                <w:sz w:val="24"/>
                <w:szCs w:val="24"/>
                <w:highlight w:val="none"/>
                <w:vertAlign w:val="baseline"/>
                <w:lang w:val="en-US" w:eastAsia="zh-CN"/>
              </w:rPr>
              <w:t>对应的</w:t>
            </w:r>
            <w:r>
              <w:rPr>
                <w:rFonts w:hint="eastAsia" w:ascii="宋体" w:hAnsi="宋体" w:eastAsia="宋体" w:cs="宋体"/>
                <w:color w:val="auto"/>
                <w:sz w:val="24"/>
                <w:szCs w:val="24"/>
                <w:highlight w:val="none"/>
                <w:vertAlign w:val="baseline"/>
              </w:rPr>
              <w:t>节能证书能效等级体现并加盖公章）。</w:t>
            </w:r>
          </w:p>
          <w:p w14:paraId="2C8CB7B7">
            <w:pPr>
              <w:widowControl w:val="0"/>
              <w:numPr>
                <w:ilvl w:val="0"/>
                <w:numId w:val="4"/>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具备屏体温度实时监控、高温预警及断电保护等功能。</w:t>
            </w:r>
          </w:p>
          <w:p w14:paraId="000125F3">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D.整机接口按键要求</w:t>
            </w:r>
          </w:p>
          <w:p w14:paraId="6C299AFB">
            <w:pPr>
              <w:widowControl w:val="0"/>
              <w:numPr>
                <w:ilvl w:val="0"/>
                <w:numId w:val="5"/>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★为方便外接拓展设备</w:t>
            </w: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前面板</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具备</w:t>
            </w:r>
            <w:r>
              <w:rPr>
                <w:rFonts w:hint="eastAsia" w:ascii="宋体" w:hAnsi="宋体" w:eastAsia="宋体" w:cs="宋体"/>
                <w:color w:val="auto"/>
                <w:sz w:val="24"/>
                <w:szCs w:val="24"/>
                <w:highlight w:val="none"/>
                <w:vertAlign w:val="baseline"/>
                <w:lang w:val="en-US" w:eastAsia="zh-CN"/>
              </w:rPr>
              <w:t>带相关标识的接口，不少于</w:t>
            </w:r>
            <w:r>
              <w:rPr>
                <w:rFonts w:hint="eastAsia" w:ascii="宋体" w:hAnsi="宋体" w:eastAsia="宋体" w:cs="宋体"/>
                <w:color w:val="auto"/>
                <w:sz w:val="24"/>
                <w:szCs w:val="24"/>
                <w:highlight w:val="none"/>
                <w:vertAlign w:val="baseline"/>
              </w:rPr>
              <w:t>2路USB3.0接口</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1路Type-C</w:t>
            </w:r>
            <w:r>
              <w:rPr>
                <w:rFonts w:hint="eastAsia" w:ascii="宋体" w:hAnsi="宋体" w:eastAsia="宋体" w:cs="宋体"/>
                <w:color w:val="auto"/>
                <w:sz w:val="24"/>
                <w:szCs w:val="24"/>
                <w:highlight w:val="none"/>
                <w:vertAlign w:val="baseline"/>
                <w:lang w:val="en-US" w:eastAsia="zh-CN"/>
              </w:rPr>
              <w:t>接口</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1路标准</w:t>
            </w:r>
            <w:r>
              <w:rPr>
                <w:rFonts w:hint="eastAsia" w:ascii="宋体" w:hAnsi="宋体" w:eastAsia="宋体" w:cs="宋体"/>
                <w:color w:val="auto"/>
                <w:sz w:val="24"/>
                <w:szCs w:val="24"/>
                <w:highlight w:val="none"/>
                <w:vertAlign w:val="baseline"/>
              </w:rPr>
              <w:t>HDMI接口。后置标配非扩展</w:t>
            </w:r>
            <w:r>
              <w:rPr>
                <w:rFonts w:hint="eastAsia" w:ascii="宋体" w:hAnsi="宋体" w:eastAsia="宋体" w:cs="宋体"/>
                <w:color w:val="auto"/>
                <w:sz w:val="24"/>
                <w:szCs w:val="24"/>
                <w:highlight w:val="none"/>
                <w:vertAlign w:val="baseline"/>
                <w:lang w:val="en-US" w:eastAsia="zh-CN"/>
              </w:rPr>
              <w:t>接口不少于2路</w:t>
            </w:r>
            <w:r>
              <w:rPr>
                <w:rFonts w:hint="eastAsia" w:ascii="宋体" w:hAnsi="宋体" w:eastAsia="宋体" w:cs="宋体"/>
                <w:color w:val="auto"/>
                <w:sz w:val="24"/>
                <w:szCs w:val="24"/>
                <w:highlight w:val="none"/>
                <w:vertAlign w:val="baseline"/>
              </w:rPr>
              <w:t>HDMI输入，</w:t>
            </w:r>
            <w:r>
              <w:rPr>
                <w:rFonts w:hint="eastAsia" w:ascii="宋体" w:hAnsi="宋体" w:eastAsia="宋体" w:cs="宋体"/>
                <w:color w:val="auto"/>
                <w:sz w:val="24"/>
                <w:szCs w:val="24"/>
                <w:highlight w:val="none"/>
                <w:vertAlign w:val="baseline"/>
                <w:lang w:val="en-US" w:eastAsia="zh-CN"/>
              </w:rPr>
              <w:t>1路</w:t>
            </w:r>
            <w:r>
              <w:rPr>
                <w:rFonts w:hint="eastAsia" w:ascii="宋体" w:hAnsi="宋体" w:eastAsia="宋体" w:cs="宋体"/>
                <w:color w:val="auto"/>
                <w:sz w:val="24"/>
                <w:szCs w:val="24"/>
                <w:highlight w:val="none"/>
                <w:vertAlign w:val="baseline"/>
              </w:rPr>
              <w:t>HDMI输出。（需提供CMA或CNAS认证检测机构出具的检测报告并加盖公章）</w:t>
            </w:r>
          </w:p>
          <w:p w14:paraId="071A4C1C">
            <w:pPr>
              <w:widowControl w:val="0"/>
              <w:numPr>
                <w:ilvl w:val="0"/>
                <w:numId w:val="5"/>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前置按键</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实现音量加减、窗口关闭、触控开关</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电脑还原按键等</w:t>
            </w:r>
            <w:r>
              <w:rPr>
                <w:rFonts w:hint="eastAsia" w:ascii="宋体" w:hAnsi="宋体" w:eastAsia="宋体" w:cs="宋体"/>
                <w:color w:val="auto"/>
                <w:sz w:val="24"/>
                <w:szCs w:val="24"/>
                <w:highlight w:val="none"/>
                <w:vertAlign w:val="baseline"/>
                <w:lang w:val="en-US" w:eastAsia="zh-CN"/>
              </w:rPr>
              <w:t>六个以上具有中文标识的常用按键</w:t>
            </w:r>
            <w:r>
              <w:rPr>
                <w:rFonts w:hint="eastAsia" w:ascii="宋体" w:hAnsi="宋体" w:eastAsia="宋体" w:cs="宋体"/>
                <w:color w:val="auto"/>
                <w:sz w:val="24"/>
                <w:szCs w:val="24"/>
                <w:highlight w:val="none"/>
                <w:vertAlign w:val="baseline"/>
              </w:rPr>
              <w:t>。(需提供CMA或CNAS认证检测机构出具的检测报告并加盖公章)</w:t>
            </w:r>
          </w:p>
          <w:p w14:paraId="7D82D569">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E.安卓系统要求</w:t>
            </w:r>
          </w:p>
          <w:p w14:paraId="14607B36">
            <w:pPr>
              <w:widowControl w:val="0"/>
              <w:numPr>
                <w:ilvl w:val="0"/>
                <w:numId w:val="6"/>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具备国产化芯片，</w:t>
            </w:r>
            <w:r>
              <w:rPr>
                <w:rFonts w:hint="eastAsia" w:ascii="宋体" w:hAnsi="宋体" w:eastAsia="宋体" w:cs="宋体"/>
                <w:color w:val="auto"/>
                <w:sz w:val="24"/>
                <w:szCs w:val="24"/>
                <w:highlight w:val="none"/>
                <w:vertAlign w:val="baseline"/>
                <w:lang w:val="en-US" w:eastAsia="zh-CN"/>
              </w:rPr>
              <w:t>不低于</w:t>
            </w:r>
            <w:r>
              <w:rPr>
                <w:rFonts w:hint="eastAsia" w:ascii="宋体" w:hAnsi="宋体" w:eastAsia="宋体" w:cs="宋体"/>
                <w:color w:val="auto"/>
                <w:sz w:val="24"/>
                <w:szCs w:val="24"/>
                <w:highlight w:val="none"/>
                <w:vertAlign w:val="baseline"/>
              </w:rPr>
              <w:t>8核CPU、4核GPU。</w:t>
            </w:r>
            <w:r>
              <w:rPr>
                <w:rFonts w:hint="eastAsia" w:ascii="宋体" w:hAnsi="宋体" w:eastAsia="宋体" w:cs="宋体"/>
                <w:color w:val="auto"/>
                <w:sz w:val="24"/>
                <w:szCs w:val="24"/>
                <w:highlight w:val="none"/>
                <w:vertAlign w:val="baseline"/>
                <w:lang w:val="en-US" w:eastAsia="zh-CN"/>
              </w:rPr>
              <w:t>安卓</w:t>
            </w:r>
            <w:r>
              <w:rPr>
                <w:rFonts w:hint="eastAsia" w:ascii="宋体" w:hAnsi="宋体" w:eastAsia="宋体" w:cs="宋体"/>
                <w:color w:val="auto"/>
                <w:sz w:val="24"/>
                <w:szCs w:val="24"/>
                <w:highlight w:val="none"/>
                <w:vertAlign w:val="baseline"/>
              </w:rPr>
              <w:t>系统版本</w:t>
            </w:r>
            <w:r>
              <w:rPr>
                <w:rFonts w:hint="eastAsia" w:ascii="宋体" w:hAnsi="宋体" w:eastAsia="宋体" w:cs="宋体"/>
                <w:color w:val="auto"/>
                <w:sz w:val="24"/>
                <w:szCs w:val="24"/>
                <w:highlight w:val="none"/>
                <w:vertAlign w:val="baseline"/>
                <w:lang w:val="en-US" w:eastAsia="zh-CN"/>
              </w:rPr>
              <w:t>不低于</w:t>
            </w:r>
            <w:r>
              <w:rPr>
                <w:rFonts w:hint="eastAsia" w:ascii="宋体" w:hAnsi="宋体" w:eastAsia="宋体" w:cs="宋体"/>
                <w:color w:val="auto"/>
                <w:sz w:val="24"/>
                <w:szCs w:val="24"/>
                <w:highlight w:val="none"/>
                <w:vertAlign w:val="baseline"/>
              </w:rPr>
              <w:t>14.0，内存</w:t>
            </w:r>
            <w:r>
              <w:rPr>
                <w:rFonts w:hint="eastAsia" w:ascii="宋体" w:hAnsi="宋体" w:eastAsia="宋体" w:cs="宋体"/>
                <w:color w:val="auto"/>
                <w:sz w:val="24"/>
                <w:szCs w:val="24"/>
                <w:highlight w:val="none"/>
                <w:vertAlign w:val="baseline"/>
                <w:lang w:val="en-US" w:eastAsia="zh-CN"/>
              </w:rPr>
              <w:t>不小于</w:t>
            </w:r>
            <w:r>
              <w:rPr>
                <w:rFonts w:hint="eastAsia" w:ascii="宋体" w:hAnsi="宋体" w:eastAsia="宋体" w:cs="宋体"/>
                <w:color w:val="auto"/>
                <w:sz w:val="24"/>
                <w:szCs w:val="24"/>
                <w:highlight w:val="none"/>
                <w:vertAlign w:val="baseline"/>
              </w:rPr>
              <w:t>2G，存储</w:t>
            </w:r>
            <w:r>
              <w:rPr>
                <w:rFonts w:hint="eastAsia" w:ascii="宋体" w:hAnsi="宋体" w:eastAsia="宋体" w:cs="宋体"/>
                <w:color w:val="auto"/>
                <w:sz w:val="24"/>
                <w:szCs w:val="24"/>
                <w:highlight w:val="none"/>
                <w:vertAlign w:val="baseline"/>
                <w:lang w:val="en-US" w:eastAsia="zh-CN"/>
              </w:rPr>
              <w:t>不小于</w:t>
            </w:r>
            <w:r>
              <w:rPr>
                <w:rFonts w:hint="eastAsia" w:ascii="宋体" w:hAnsi="宋体" w:eastAsia="宋体" w:cs="宋体"/>
                <w:color w:val="auto"/>
                <w:sz w:val="24"/>
                <w:szCs w:val="24"/>
                <w:highlight w:val="none"/>
                <w:vertAlign w:val="baseline"/>
              </w:rPr>
              <w:t>8G。</w:t>
            </w:r>
          </w:p>
          <w:p w14:paraId="1F9159C2">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F.整机音视频要求</w:t>
            </w:r>
          </w:p>
          <w:p w14:paraId="6DA4509D">
            <w:pPr>
              <w:widowControl w:val="0"/>
              <w:numPr>
                <w:ilvl w:val="0"/>
                <w:numId w:val="7"/>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采用2.2声道，</w:t>
            </w:r>
            <w:r>
              <w:rPr>
                <w:rFonts w:hint="eastAsia" w:ascii="宋体" w:hAnsi="宋体" w:eastAsia="宋体" w:cs="宋体"/>
                <w:color w:val="auto"/>
                <w:sz w:val="24"/>
                <w:szCs w:val="24"/>
                <w:highlight w:val="none"/>
                <w:vertAlign w:val="baseline"/>
                <w:lang w:val="en-US" w:eastAsia="zh-CN"/>
              </w:rPr>
              <w:t>不少于</w:t>
            </w:r>
            <w:r>
              <w:rPr>
                <w:rFonts w:hint="eastAsia" w:ascii="宋体" w:hAnsi="宋体" w:eastAsia="宋体" w:cs="宋体"/>
                <w:color w:val="auto"/>
                <w:sz w:val="24"/>
                <w:szCs w:val="24"/>
                <w:highlight w:val="none"/>
                <w:vertAlign w:val="baseline"/>
              </w:rPr>
              <w:t>6个发声单元，功率</w:t>
            </w:r>
            <w:r>
              <w:rPr>
                <w:rFonts w:hint="eastAsia" w:ascii="宋体" w:hAnsi="宋体" w:eastAsia="宋体" w:cs="宋体"/>
                <w:color w:val="auto"/>
                <w:sz w:val="24"/>
                <w:szCs w:val="24"/>
                <w:highlight w:val="none"/>
                <w:vertAlign w:val="baseline"/>
                <w:lang w:val="en-US" w:eastAsia="zh-CN"/>
              </w:rPr>
              <w:t>不小于</w:t>
            </w:r>
            <w:r>
              <w:rPr>
                <w:rFonts w:hint="eastAsia" w:ascii="宋体" w:hAnsi="宋体" w:eastAsia="宋体" w:cs="宋体"/>
                <w:color w:val="auto"/>
                <w:sz w:val="24"/>
                <w:szCs w:val="24"/>
                <w:highlight w:val="none"/>
                <w:vertAlign w:val="baseline"/>
              </w:rPr>
              <w:t>80W。</w:t>
            </w:r>
          </w:p>
          <w:p w14:paraId="73DF5351">
            <w:pPr>
              <w:widowControl w:val="0"/>
              <w:numPr>
                <w:ilvl w:val="0"/>
                <w:numId w:val="7"/>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内置一体化超高清摄像头，摄像头</w:t>
            </w:r>
            <w:r>
              <w:rPr>
                <w:rFonts w:hint="eastAsia" w:ascii="宋体" w:hAnsi="宋体" w:eastAsia="宋体" w:cs="宋体"/>
                <w:color w:val="auto"/>
                <w:sz w:val="24"/>
                <w:szCs w:val="24"/>
                <w:highlight w:val="none"/>
                <w:vertAlign w:val="baseline"/>
                <w:lang w:val="en-US" w:eastAsia="zh-CN"/>
              </w:rPr>
              <w:t>不低于4K且不低于</w:t>
            </w:r>
            <w:r>
              <w:rPr>
                <w:rFonts w:hint="eastAsia" w:ascii="宋体" w:hAnsi="宋体" w:eastAsia="宋体" w:cs="宋体"/>
                <w:color w:val="auto"/>
                <w:sz w:val="24"/>
                <w:szCs w:val="24"/>
                <w:highlight w:val="none"/>
                <w:vertAlign w:val="baseline"/>
              </w:rPr>
              <w:t>1</w:t>
            </w:r>
            <w:r>
              <w:rPr>
                <w:rFonts w:hint="eastAsia" w:ascii="宋体" w:hAnsi="宋体" w:eastAsia="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rPr>
              <w:t>00W像素</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rPr>
              <w:t>镜头</w:t>
            </w:r>
            <w:r>
              <w:rPr>
                <w:rFonts w:hint="eastAsia" w:ascii="宋体" w:hAnsi="宋体" w:eastAsia="宋体" w:cs="宋体"/>
                <w:color w:val="auto"/>
                <w:sz w:val="24"/>
                <w:szCs w:val="24"/>
                <w:highlight w:val="none"/>
                <w:vertAlign w:val="baseline"/>
                <w:lang w:val="en-US" w:eastAsia="zh-CN"/>
              </w:rPr>
              <w:t>能</w:t>
            </w:r>
            <w:r>
              <w:rPr>
                <w:rFonts w:hint="eastAsia" w:ascii="宋体" w:hAnsi="宋体" w:eastAsia="宋体" w:cs="宋体"/>
                <w:color w:val="auto"/>
                <w:sz w:val="24"/>
                <w:szCs w:val="24"/>
                <w:highlight w:val="none"/>
                <w:vertAlign w:val="baseline"/>
              </w:rPr>
              <w:t>向下倾斜</w:t>
            </w:r>
            <w:r>
              <w:rPr>
                <w:rFonts w:hint="eastAsia" w:ascii="宋体" w:hAnsi="宋体" w:eastAsia="宋体" w:cs="宋体"/>
                <w:color w:val="auto"/>
                <w:sz w:val="24"/>
                <w:szCs w:val="24"/>
                <w:highlight w:val="none"/>
                <w:vertAlign w:val="baseline"/>
                <w:lang w:eastAsia="zh-CN"/>
              </w:rPr>
              <w:t>。</w:t>
            </w:r>
          </w:p>
          <w:p w14:paraId="75A7FD1F">
            <w:pPr>
              <w:widowControl w:val="0"/>
              <w:numPr>
                <w:ilvl w:val="0"/>
                <w:numId w:val="7"/>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内置摄像头需</w:t>
            </w:r>
            <w:r>
              <w:rPr>
                <w:rFonts w:hint="eastAsia" w:ascii="宋体" w:hAnsi="宋体" w:eastAsia="宋体" w:cs="宋体"/>
                <w:color w:val="auto"/>
                <w:sz w:val="24"/>
                <w:szCs w:val="24"/>
                <w:highlight w:val="none"/>
                <w:vertAlign w:val="baseline"/>
              </w:rPr>
              <w:t>支持AI软件实现自动点名点数功能，支持远程巡课功能，具备指示灯工作状态提示。</w:t>
            </w:r>
          </w:p>
          <w:p w14:paraId="7E080465">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G.其他与教学相关的常用功能</w:t>
            </w:r>
          </w:p>
          <w:p w14:paraId="094ACCB4">
            <w:pPr>
              <w:widowControl w:val="0"/>
              <w:numPr>
                <w:ilvl w:val="0"/>
                <w:numId w:val="8"/>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具有可放置书写笔、粉笔、水性笔</w:t>
            </w:r>
            <w:r>
              <w:rPr>
                <w:rFonts w:hint="eastAsia" w:ascii="宋体" w:hAnsi="宋体" w:eastAsia="宋体" w:cs="宋体"/>
                <w:color w:val="auto"/>
                <w:sz w:val="24"/>
                <w:szCs w:val="24"/>
                <w:highlight w:val="none"/>
                <w:vertAlign w:val="baseline"/>
                <w:lang w:val="en-US" w:eastAsia="zh-CN"/>
              </w:rPr>
              <w:t>的</w:t>
            </w:r>
            <w:r>
              <w:rPr>
                <w:rFonts w:hint="eastAsia" w:ascii="宋体" w:hAnsi="宋体" w:eastAsia="宋体" w:cs="宋体"/>
                <w:color w:val="auto"/>
                <w:sz w:val="24"/>
                <w:szCs w:val="24"/>
                <w:highlight w:val="none"/>
                <w:vertAlign w:val="baseline"/>
              </w:rPr>
              <w:t>笔槽，笔槽具有漏灰孔设计。</w:t>
            </w:r>
          </w:p>
          <w:p w14:paraId="69E8448B">
            <w:pPr>
              <w:widowControl w:val="0"/>
              <w:numPr>
                <w:ilvl w:val="0"/>
                <w:numId w:val="8"/>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在任意信号源下向上滑动，可调用快捷设置菜单；无需切换系统可快速调节Windows和</w:t>
            </w:r>
            <w:r>
              <w:rPr>
                <w:rFonts w:hint="eastAsia" w:ascii="宋体" w:hAnsi="宋体" w:eastAsia="宋体" w:cs="宋体"/>
                <w:color w:val="auto"/>
                <w:sz w:val="24"/>
                <w:szCs w:val="24"/>
                <w:highlight w:val="none"/>
                <w:vertAlign w:val="baseline"/>
                <w:lang w:val="en-US" w:eastAsia="zh-CN"/>
              </w:rPr>
              <w:t>安卓</w:t>
            </w:r>
            <w:r>
              <w:rPr>
                <w:rFonts w:hint="eastAsia" w:ascii="宋体" w:hAnsi="宋体" w:eastAsia="宋体" w:cs="宋体"/>
                <w:color w:val="auto"/>
                <w:sz w:val="24"/>
                <w:szCs w:val="24"/>
                <w:highlight w:val="none"/>
                <w:vertAlign w:val="baseline"/>
              </w:rPr>
              <w:t>的设置，如声音、亮度、网络等</w:t>
            </w:r>
            <w:r>
              <w:rPr>
                <w:rFonts w:hint="eastAsia" w:ascii="宋体" w:hAnsi="宋体" w:eastAsia="宋体" w:cs="宋体"/>
                <w:color w:val="auto"/>
                <w:sz w:val="24"/>
                <w:szCs w:val="24"/>
                <w:highlight w:val="none"/>
                <w:vertAlign w:val="baseline"/>
                <w:lang w:val="en-US" w:eastAsia="zh-CN"/>
              </w:rPr>
              <w:t>常用功能</w:t>
            </w:r>
            <w:r>
              <w:rPr>
                <w:rFonts w:hint="eastAsia" w:ascii="宋体" w:hAnsi="宋体" w:eastAsia="宋体" w:cs="宋体"/>
                <w:color w:val="auto"/>
                <w:sz w:val="24"/>
                <w:szCs w:val="24"/>
                <w:highlight w:val="none"/>
                <w:vertAlign w:val="baseline"/>
              </w:rPr>
              <w:t>。</w:t>
            </w:r>
          </w:p>
          <w:p w14:paraId="7C10B2D3">
            <w:pPr>
              <w:widowControl w:val="0"/>
              <w:numPr>
                <w:ilvl w:val="0"/>
                <w:numId w:val="8"/>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左右两侧</w:t>
            </w:r>
            <w:r>
              <w:rPr>
                <w:rFonts w:hint="eastAsia" w:ascii="宋体" w:hAnsi="宋体" w:eastAsia="宋体" w:cs="宋体"/>
                <w:color w:val="auto"/>
                <w:sz w:val="24"/>
                <w:szCs w:val="24"/>
                <w:highlight w:val="none"/>
                <w:vertAlign w:val="baseline"/>
                <w:lang w:val="en-US" w:eastAsia="zh-CN"/>
              </w:rPr>
              <w:t>需各具备不少于10个</w:t>
            </w:r>
            <w:r>
              <w:rPr>
                <w:rFonts w:hint="eastAsia" w:ascii="宋体" w:hAnsi="宋体" w:eastAsia="宋体" w:cs="宋体"/>
                <w:color w:val="auto"/>
                <w:sz w:val="24"/>
                <w:szCs w:val="24"/>
                <w:highlight w:val="none"/>
                <w:vertAlign w:val="baseline"/>
              </w:rPr>
              <w:t>与教学应用密切相关的快捷键，支持自定义设置时间</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显示模式</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单侧显示、双侧同时显示，快捷键至少</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具</w:t>
            </w:r>
            <w:r>
              <w:rPr>
                <w:rFonts w:hint="eastAsia" w:ascii="宋体" w:hAnsi="宋体" w:eastAsia="宋体" w:cs="宋体"/>
                <w:color w:val="auto"/>
                <w:sz w:val="24"/>
                <w:szCs w:val="24"/>
                <w:highlight w:val="none"/>
                <w:vertAlign w:val="baseline"/>
                <w:lang w:val="en-US" w:eastAsia="zh-CN"/>
              </w:rPr>
              <w:t>备</w:t>
            </w:r>
            <w:r>
              <w:rPr>
                <w:rFonts w:hint="eastAsia" w:ascii="宋体" w:hAnsi="宋体" w:eastAsia="宋体" w:cs="宋体"/>
                <w:color w:val="auto"/>
                <w:sz w:val="24"/>
                <w:szCs w:val="24"/>
                <w:highlight w:val="none"/>
                <w:vertAlign w:val="baseline"/>
              </w:rPr>
              <w:t>关闭窗口、展台、桌面、多屏互动等教学常用</w:t>
            </w:r>
            <w:r>
              <w:rPr>
                <w:rFonts w:hint="eastAsia" w:ascii="宋体" w:hAnsi="宋体" w:eastAsia="宋体" w:cs="宋体"/>
                <w:color w:val="auto"/>
                <w:sz w:val="24"/>
                <w:szCs w:val="24"/>
                <w:highlight w:val="none"/>
                <w:vertAlign w:val="baseline"/>
                <w:lang w:val="en-US" w:eastAsia="zh-CN"/>
              </w:rPr>
              <w:t>功能</w:t>
            </w:r>
            <w:r>
              <w:rPr>
                <w:rFonts w:hint="eastAsia" w:ascii="宋体" w:hAnsi="宋体" w:eastAsia="宋体" w:cs="宋体"/>
                <w:color w:val="auto"/>
                <w:sz w:val="24"/>
                <w:szCs w:val="24"/>
                <w:highlight w:val="none"/>
                <w:vertAlign w:val="baseline"/>
              </w:rPr>
              <w:t>。</w:t>
            </w:r>
          </w:p>
          <w:p w14:paraId="20BB9223">
            <w:pPr>
              <w:widowControl w:val="0"/>
              <w:numPr>
                <w:ilvl w:val="0"/>
                <w:numId w:val="8"/>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具有</w:t>
            </w:r>
            <w:r>
              <w:rPr>
                <w:rFonts w:hint="eastAsia" w:ascii="宋体" w:hAnsi="宋体" w:eastAsia="宋体" w:cs="宋体"/>
                <w:color w:val="auto"/>
                <w:sz w:val="24"/>
                <w:szCs w:val="24"/>
                <w:highlight w:val="none"/>
                <w:vertAlign w:val="baseline"/>
                <w:lang w:val="en-US" w:eastAsia="zh-CN"/>
              </w:rPr>
              <w:t>快捷</w:t>
            </w:r>
            <w:r>
              <w:rPr>
                <w:rFonts w:hint="eastAsia" w:ascii="宋体" w:hAnsi="宋体" w:eastAsia="宋体" w:cs="宋体"/>
                <w:color w:val="auto"/>
                <w:sz w:val="24"/>
                <w:szCs w:val="24"/>
                <w:highlight w:val="none"/>
                <w:vertAlign w:val="baseline"/>
              </w:rPr>
              <w:t>悬浮菜单，</w:t>
            </w:r>
            <w:r>
              <w:rPr>
                <w:rFonts w:hint="eastAsia" w:ascii="宋体" w:hAnsi="宋体" w:eastAsia="宋体" w:cs="宋体"/>
                <w:color w:val="auto"/>
                <w:sz w:val="24"/>
                <w:szCs w:val="24"/>
                <w:highlight w:val="none"/>
                <w:vertAlign w:val="baseline"/>
                <w:lang w:val="en-US" w:eastAsia="zh-CN"/>
              </w:rPr>
              <w:t>通过两指长按能</w:t>
            </w:r>
            <w:r>
              <w:rPr>
                <w:rFonts w:hint="eastAsia" w:ascii="宋体" w:hAnsi="宋体" w:eastAsia="宋体" w:cs="宋体"/>
                <w:color w:val="auto"/>
                <w:sz w:val="24"/>
                <w:szCs w:val="24"/>
                <w:highlight w:val="none"/>
                <w:vertAlign w:val="baseline"/>
              </w:rPr>
              <w:t>快速移动悬浮菜单至按压位置，悬浮菜单</w:t>
            </w:r>
            <w:r>
              <w:rPr>
                <w:rFonts w:hint="eastAsia" w:ascii="宋体" w:hAnsi="宋体" w:eastAsia="宋体" w:cs="宋体"/>
                <w:color w:val="auto"/>
                <w:sz w:val="24"/>
                <w:szCs w:val="24"/>
                <w:highlight w:val="none"/>
                <w:vertAlign w:val="baseline"/>
                <w:lang w:val="en-US" w:eastAsia="zh-CN"/>
              </w:rPr>
              <w:t>能</w:t>
            </w:r>
            <w:r>
              <w:rPr>
                <w:rFonts w:hint="eastAsia" w:ascii="宋体" w:hAnsi="宋体" w:eastAsia="宋体" w:cs="宋体"/>
                <w:color w:val="auto"/>
                <w:sz w:val="24"/>
                <w:szCs w:val="24"/>
                <w:highlight w:val="none"/>
                <w:vertAlign w:val="baseline"/>
              </w:rPr>
              <w:t>进行自定义分组，</w:t>
            </w:r>
            <w:r>
              <w:rPr>
                <w:rFonts w:hint="eastAsia" w:ascii="宋体" w:hAnsi="宋体" w:eastAsia="宋体" w:cs="宋体"/>
                <w:color w:val="auto"/>
                <w:sz w:val="24"/>
                <w:szCs w:val="24"/>
                <w:highlight w:val="none"/>
                <w:vertAlign w:val="baseline"/>
                <w:lang w:val="en-US" w:eastAsia="zh-CN"/>
              </w:rPr>
              <w:t>能够</w:t>
            </w:r>
            <w:r>
              <w:rPr>
                <w:rFonts w:hint="eastAsia" w:ascii="宋体" w:hAnsi="宋体" w:eastAsia="宋体" w:cs="宋体"/>
                <w:color w:val="auto"/>
                <w:sz w:val="24"/>
                <w:szCs w:val="24"/>
                <w:highlight w:val="none"/>
                <w:vertAlign w:val="baseline"/>
              </w:rPr>
              <w:t>添加不少于</w:t>
            </w:r>
            <w:r>
              <w:rPr>
                <w:rFonts w:hint="eastAsia" w:ascii="宋体" w:hAnsi="宋体" w:eastAsia="宋体" w:cs="宋体"/>
                <w:color w:val="auto"/>
                <w:sz w:val="24"/>
                <w:szCs w:val="24"/>
                <w:highlight w:val="none"/>
                <w:vertAlign w:val="baseline"/>
                <w:lang w:val="en-US" w:eastAsia="zh-CN"/>
              </w:rPr>
              <w:t>三十</w:t>
            </w:r>
            <w:r>
              <w:rPr>
                <w:rFonts w:hint="eastAsia" w:ascii="宋体" w:hAnsi="宋体" w:eastAsia="宋体" w:cs="宋体"/>
                <w:color w:val="auto"/>
                <w:sz w:val="24"/>
                <w:szCs w:val="24"/>
                <w:highlight w:val="none"/>
                <w:vertAlign w:val="baseline"/>
              </w:rPr>
              <w:t>个应用。</w:t>
            </w:r>
          </w:p>
          <w:p w14:paraId="743E8FAB">
            <w:pPr>
              <w:widowControl w:val="0"/>
              <w:numPr>
                <w:ilvl w:val="0"/>
                <w:numId w:val="8"/>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支持手势实现悬浮窗快速调用、屏幕息屏或亮屏、屏幕下移、多任务等功能，方便</w:t>
            </w:r>
            <w:r>
              <w:rPr>
                <w:rFonts w:hint="eastAsia" w:ascii="宋体" w:hAnsi="宋体" w:eastAsia="宋体" w:cs="宋体"/>
                <w:color w:val="auto"/>
                <w:sz w:val="24"/>
                <w:szCs w:val="24"/>
                <w:highlight w:val="none"/>
                <w:vertAlign w:val="baseline"/>
                <w:lang w:val="en-US" w:eastAsia="zh-CN"/>
              </w:rPr>
              <w:t>课堂</w:t>
            </w:r>
            <w:r>
              <w:rPr>
                <w:rFonts w:hint="eastAsia" w:ascii="宋体" w:hAnsi="宋体" w:eastAsia="宋体" w:cs="宋体"/>
                <w:color w:val="auto"/>
                <w:sz w:val="24"/>
                <w:szCs w:val="24"/>
                <w:highlight w:val="none"/>
                <w:vertAlign w:val="baseline"/>
              </w:rPr>
              <w:t>操作。</w:t>
            </w:r>
          </w:p>
          <w:p w14:paraId="17F62A5B">
            <w:pPr>
              <w:widowControl w:val="0"/>
              <w:numPr>
                <w:ilvl w:val="0"/>
                <w:numId w:val="8"/>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智慧黑板</w:t>
            </w:r>
            <w:r>
              <w:rPr>
                <w:rFonts w:hint="eastAsia" w:ascii="宋体" w:hAnsi="宋体" w:eastAsia="宋体" w:cs="宋体"/>
                <w:color w:val="auto"/>
                <w:sz w:val="24"/>
                <w:szCs w:val="24"/>
                <w:highlight w:val="none"/>
                <w:vertAlign w:val="baseline"/>
              </w:rPr>
              <w:t>支持远程升级，及时给用户推送新版应用。</w:t>
            </w:r>
          </w:p>
          <w:p w14:paraId="793393D9">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H.书写侧板要求</w:t>
            </w:r>
          </w:p>
          <w:p w14:paraId="7F78A86E">
            <w:pPr>
              <w:widowControl w:val="0"/>
              <w:numPr>
                <w:ilvl w:val="0"/>
                <w:numId w:val="9"/>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书写侧板板面支持磁性材质教具吸附。</w:t>
            </w:r>
          </w:p>
          <w:p w14:paraId="4C43BCE2">
            <w:pPr>
              <w:widowControl w:val="0"/>
              <w:numPr>
                <w:ilvl w:val="0"/>
                <w:numId w:val="9"/>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书写侧板板面光泽度需符合 GB28231-2011 标准，不高于8光泽度以免产生眩光。</w:t>
            </w:r>
          </w:p>
          <w:p w14:paraId="37062952">
            <w:pPr>
              <w:widowControl w:val="0"/>
              <w:numPr>
                <w:ilvl w:val="0"/>
                <w:numId w:val="9"/>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书写侧板板面符合 GB/T9286-2021标准，支持色漆和清漆漆膜的划格试验，脱漆面积不明显大于 5%达到0级标准。</w:t>
            </w:r>
          </w:p>
          <w:p w14:paraId="7E442EEC">
            <w:pPr>
              <w:widowControl w:val="0"/>
              <w:numPr>
                <w:ilvl w:val="0"/>
                <w:numId w:val="9"/>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书写侧板板面抗冲击性需符合GB/T 1732-2020标准，漆膜耐冲击无裂纹现象。</w:t>
            </w:r>
          </w:p>
          <w:p w14:paraId="41AE45B4">
            <w:pPr>
              <w:widowControl w:val="0"/>
              <w:numPr>
                <w:ilvl w:val="0"/>
                <w:numId w:val="9"/>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书写侧板无按键</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需支持板书记忆功能，板面</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支持各类书写笔，</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将侧板上的板书实时同步至黑板主屏显示，</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直接保存至本地，并进行二维码分享。</w:t>
            </w:r>
          </w:p>
          <w:p w14:paraId="40357AC1">
            <w:pPr>
              <w:widowControl w:val="0"/>
              <w:numPr>
                <w:ilvl w:val="0"/>
                <w:numId w:val="9"/>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书写侧板</w:t>
            </w:r>
            <w:r>
              <w:rPr>
                <w:rFonts w:hint="eastAsia" w:ascii="宋体" w:hAnsi="宋体" w:eastAsia="宋体" w:cs="宋体"/>
                <w:color w:val="auto"/>
                <w:sz w:val="24"/>
                <w:szCs w:val="24"/>
                <w:highlight w:val="none"/>
                <w:vertAlign w:val="baseline"/>
                <w:lang w:val="en-US" w:eastAsia="zh-CN"/>
              </w:rPr>
              <w:t>能</w:t>
            </w:r>
            <w:r>
              <w:rPr>
                <w:rFonts w:hint="eastAsia" w:ascii="宋体" w:hAnsi="宋体" w:eastAsia="宋体" w:cs="宋体"/>
                <w:color w:val="auto"/>
                <w:sz w:val="24"/>
                <w:szCs w:val="24"/>
                <w:highlight w:val="none"/>
                <w:vertAlign w:val="baseline"/>
              </w:rPr>
              <w:t>智能</w:t>
            </w:r>
            <w:r>
              <w:rPr>
                <w:rFonts w:hint="eastAsia" w:ascii="宋体" w:hAnsi="宋体" w:eastAsia="宋体" w:cs="宋体"/>
                <w:color w:val="auto"/>
                <w:sz w:val="24"/>
                <w:szCs w:val="24"/>
                <w:highlight w:val="none"/>
                <w:vertAlign w:val="baseline"/>
                <w:lang w:val="en-US" w:eastAsia="zh-CN"/>
              </w:rPr>
              <w:t>感应</w:t>
            </w:r>
            <w:r>
              <w:rPr>
                <w:rFonts w:hint="eastAsia" w:ascii="宋体" w:hAnsi="宋体" w:eastAsia="宋体" w:cs="宋体"/>
                <w:color w:val="auto"/>
                <w:sz w:val="24"/>
                <w:szCs w:val="24"/>
                <w:highlight w:val="none"/>
                <w:vertAlign w:val="baseline"/>
              </w:rPr>
              <w:t>指关节与粉笔对板面的操作，指关节敲击书写板面</w:t>
            </w:r>
            <w:r>
              <w:rPr>
                <w:rFonts w:hint="eastAsia" w:ascii="宋体" w:hAnsi="宋体" w:eastAsia="宋体" w:cs="宋体"/>
                <w:color w:val="auto"/>
                <w:sz w:val="24"/>
                <w:szCs w:val="24"/>
                <w:highlight w:val="none"/>
                <w:vertAlign w:val="baseline"/>
                <w:lang w:val="en-US" w:eastAsia="zh-CN"/>
              </w:rPr>
              <w:t>能</w:t>
            </w:r>
            <w:r>
              <w:rPr>
                <w:rFonts w:hint="eastAsia" w:ascii="宋体" w:hAnsi="宋体" w:eastAsia="宋体" w:cs="宋体"/>
                <w:color w:val="auto"/>
                <w:sz w:val="24"/>
                <w:szCs w:val="24"/>
                <w:highlight w:val="none"/>
                <w:vertAlign w:val="baseline"/>
              </w:rPr>
              <w:t>快速启动板书记忆</w:t>
            </w:r>
            <w:r>
              <w:rPr>
                <w:rFonts w:hint="eastAsia" w:ascii="宋体" w:hAnsi="宋体" w:eastAsia="宋体" w:cs="宋体"/>
                <w:color w:val="auto"/>
                <w:sz w:val="24"/>
                <w:szCs w:val="24"/>
                <w:highlight w:val="none"/>
                <w:vertAlign w:val="baseline"/>
                <w:lang w:val="en-US" w:eastAsia="zh-CN"/>
              </w:rPr>
              <w:t>功能</w:t>
            </w:r>
            <w:r>
              <w:rPr>
                <w:rFonts w:hint="eastAsia" w:ascii="宋体" w:hAnsi="宋体" w:eastAsia="宋体" w:cs="宋体"/>
                <w:color w:val="auto"/>
                <w:sz w:val="24"/>
                <w:szCs w:val="24"/>
                <w:highlight w:val="none"/>
                <w:vertAlign w:val="baseline"/>
              </w:rPr>
              <w:t>。</w:t>
            </w:r>
          </w:p>
          <w:p w14:paraId="4B1C4BBC">
            <w:pPr>
              <w:widowControl w:val="0"/>
              <w:numPr>
                <w:ilvl w:val="0"/>
                <w:numId w:val="9"/>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书写侧板与显示触摸屏为同品牌一体化设计，板书面积最大化，</w:t>
            </w:r>
            <w:r>
              <w:rPr>
                <w:rFonts w:hint="eastAsia" w:ascii="宋体" w:hAnsi="宋体" w:eastAsia="宋体" w:cs="宋体"/>
                <w:color w:val="auto"/>
                <w:sz w:val="24"/>
                <w:szCs w:val="24"/>
                <w:highlight w:val="none"/>
                <w:vertAlign w:val="baseline"/>
              </w:rPr>
              <w:t>整体</w:t>
            </w:r>
            <w:r>
              <w:rPr>
                <w:rFonts w:hint="eastAsia" w:ascii="宋体" w:hAnsi="宋体" w:eastAsia="宋体" w:cs="宋体"/>
                <w:color w:val="auto"/>
                <w:sz w:val="24"/>
                <w:szCs w:val="24"/>
                <w:highlight w:val="none"/>
                <w:vertAlign w:val="baseline"/>
                <w:lang w:val="en-US" w:eastAsia="zh-CN"/>
              </w:rPr>
              <w:t>为三拼接，长</w:t>
            </w:r>
            <w:r>
              <w:rPr>
                <w:rFonts w:hint="eastAsia" w:ascii="宋体" w:hAnsi="宋体" w:eastAsia="宋体" w:cs="宋体"/>
                <w:color w:val="auto"/>
                <w:sz w:val="24"/>
                <w:szCs w:val="24"/>
                <w:highlight w:val="none"/>
                <w:vertAlign w:val="baseline"/>
              </w:rPr>
              <w:t>度不小于4</w:t>
            </w:r>
            <w:r>
              <w:rPr>
                <w:rFonts w:hint="eastAsia"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rPr>
              <w:t>00mm。</w:t>
            </w:r>
          </w:p>
          <w:p w14:paraId="1A2F7865">
            <w:pPr>
              <w:widowControl w:val="0"/>
              <w:numPr>
                <w:ilvl w:val="0"/>
                <w:numId w:val="0"/>
              </w:numPr>
              <w:ind w:left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I.内置电脑配置要求</w:t>
            </w:r>
          </w:p>
          <w:p w14:paraId="7F3C2F3A">
            <w:pPr>
              <w:widowControl w:val="0"/>
              <w:numPr>
                <w:ilvl w:val="0"/>
                <w:numId w:val="10"/>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整机需易于维护，满足80pin通用标准接口，卡扣设计。</w:t>
            </w:r>
          </w:p>
          <w:p w14:paraId="76E094B0">
            <w:pPr>
              <w:widowControl w:val="0"/>
              <w:numPr>
                <w:ilvl w:val="0"/>
                <w:numId w:val="10"/>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芯片采用不低于第12代及以上平台I5处理器，8核12线程，内存不低于16G DDR4，硬盘不低于512G SSD固态。内置电脑具备独立复位按键。</w:t>
            </w:r>
          </w:p>
          <w:p w14:paraId="339A1EB3">
            <w:pPr>
              <w:widowControl w:val="0"/>
              <w:numPr>
                <w:ilvl w:val="0"/>
                <w:numId w:val="10"/>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整机非外扩展接口，不少于六个USB接口；输出接口不少于1路HDMI、1路3.5mm圆孔接口、2路LED状态指示灯、1路line out、1路RJ45。</w:t>
            </w:r>
          </w:p>
          <w:p w14:paraId="4004E116">
            <w:pPr>
              <w:widowControl w:val="0"/>
              <w:numPr>
                <w:ilvl w:val="0"/>
                <w:numId w:val="10"/>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支持对接各类通用的开放式人工智能大模型应用，用以辅助和优化教师备授课等人机交互和教学管理等工作。</w:t>
            </w:r>
          </w:p>
          <w:p w14:paraId="3E3999A2">
            <w:pPr>
              <w:widowControl w:val="0"/>
              <w:numPr>
                <w:ilvl w:val="0"/>
                <w:numId w:val="0"/>
              </w:numPr>
              <w:ind w:left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J.教学软件功能要求</w:t>
            </w:r>
          </w:p>
          <w:p w14:paraId="6957EEC6">
            <w:pPr>
              <w:widowControl w:val="0"/>
              <w:ind w:left="0" w:leftChars="0" w:firstLine="0"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备课模式</w:t>
            </w:r>
          </w:p>
          <w:p w14:paraId="79F8AC26">
            <w:pPr>
              <w:widowControl w:val="0"/>
              <w:numPr>
                <w:ilvl w:val="0"/>
                <w:numId w:val="11"/>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教师</w:t>
            </w:r>
            <w:r>
              <w:rPr>
                <w:rFonts w:hint="eastAsia" w:ascii="宋体" w:hAnsi="宋体" w:eastAsia="宋体" w:cs="宋体"/>
                <w:color w:val="auto"/>
                <w:sz w:val="24"/>
                <w:szCs w:val="24"/>
                <w:highlight w:val="none"/>
                <w:vertAlign w:val="baseline"/>
              </w:rPr>
              <w:t>个人账号无需完成特定任务，即可获取不少于200GB云端存储空间，可扩展至3TB</w:t>
            </w:r>
            <w:r>
              <w:rPr>
                <w:rFonts w:hint="eastAsia" w:ascii="宋体" w:hAnsi="宋体" w:eastAsia="宋体" w:cs="宋体"/>
                <w:color w:val="auto"/>
                <w:sz w:val="24"/>
                <w:szCs w:val="24"/>
                <w:highlight w:val="none"/>
                <w:vertAlign w:val="baseline"/>
                <w:lang w:val="en-US" w:eastAsia="zh-CN"/>
              </w:rPr>
              <w:t>或以上</w:t>
            </w:r>
            <w:r>
              <w:rPr>
                <w:rFonts w:hint="eastAsia" w:ascii="宋体" w:hAnsi="宋体" w:eastAsia="宋体" w:cs="宋体"/>
                <w:color w:val="auto"/>
                <w:sz w:val="24"/>
                <w:szCs w:val="24"/>
                <w:highlight w:val="none"/>
                <w:vertAlign w:val="baseline"/>
              </w:rPr>
              <w:t>云存储空间。</w:t>
            </w:r>
          </w:p>
          <w:p w14:paraId="6A82D3DD">
            <w:pPr>
              <w:widowControl w:val="0"/>
              <w:numPr>
                <w:ilvl w:val="0"/>
                <w:numId w:val="11"/>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提供预置的课件素材，允许</w:t>
            </w:r>
            <w:r>
              <w:rPr>
                <w:rFonts w:hint="eastAsia" w:ascii="宋体" w:hAnsi="宋体" w:eastAsia="宋体" w:cs="宋体"/>
                <w:color w:val="auto"/>
                <w:sz w:val="24"/>
                <w:szCs w:val="24"/>
                <w:highlight w:val="none"/>
                <w:vertAlign w:val="baseline"/>
                <w:lang w:val="en-US" w:eastAsia="zh-CN"/>
              </w:rPr>
              <w:t>教师</w:t>
            </w:r>
            <w:r>
              <w:rPr>
                <w:rFonts w:hint="eastAsia" w:ascii="宋体" w:hAnsi="宋体" w:eastAsia="宋体" w:cs="宋体"/>
                <w:color w:val="auto"/>
                <w:sz w:val="24"/>
                <w:szCs w:val="24"/>
                <w:highlight w:val="none"/>
                <w:vertAlign w:val="baseline"/>
              </w:rPr>
              <w:t>在网页端、移动端、电脑端进行内容的选择与组合，快速生成课件并浏览，所有制作的课件均实时保存至云端，登录即可查看。</w:t>
            </w:r>
          </w:p>
          <w:p w14:paraId="2358AA6F">
            <w:pPr>
              <w:widowControl w:val="0"/>
              <w:numPr>
                <w:ilvl w:val="0"/>
                <w:numId w:val="11"/>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w:t>
            </w:r>
            <w:r>
              <w:rPr>
                <w:rFonts w:hint="eastAsia" w:ascii="宋体" w:hAnsi="宋体" w:eastAsia="宋体" w:cs="宋体"/>
                <w:color w:val="auto"/>
                <w:sz w:val="24"/>
                <w:szCs w:val="24"/>
                <w:highlight w:val="none"/>
                <w:vertAlign w:val="baseline"/>
                <w:lang w:val="en-US" w:eastAsia="zh-CN"/>
              </w:rPr>
              <w:t>教师</w:t>
            </w:r>
            <w:r>
              <w:rPr>
                <w:rFonts w:hint="eastAsia" w:ascii="宋体" w:hAnsi="宋体" w:eastAsia="宋体" w:cs="宋体"/>
                <w:color w:val="auto"/>
                <w:sz w:val="24"/>
                <w:szCs w:val="24"/>
                <w:highlight w:val="none"/>
                <w:vertAlign w:val="baseline"/>
              </w:rPr>
              <w:t>根据教材章节目录、知识点选择对应的教学内容。</w:t>
            </w:r>
            <w:r>
              <w:rPr>
                <w:rFonts w:hint="eastAsia" w:ascii="宋体" w:hAnsi="宋体" w:eastAsia="宋体" w:cs="宋体"/>
                <w:color w:val="auto"/>
                <w:sz w:val="24"/>
                <w:szCs w:val="24"/>
                <w:highlight w:val="none"/>
                <w:vertAlign w:val="baseline"/>
                <w:lang w:val="en-US" w:eastAsia="zh-CN"/>
              </w:rPr>
              <w:t>教师</w:t>
            </w:r>
            <w:r>
              <w:rPr>
                <w:rFonts w:hint="eastAsia" w:ascii="宋体" w:hAnsi="宋体" w:eastAsia="宋体" w:cs="宋体"/>
                <w:color w:val="auto"/>
                <w:sz w:val="24"/>
                <w:szCs w:val="24"/>
                <w:highlight w:val="none"/>
                <w:vertAlign w:val="baseline"/>
              </w:rPr>
              <w:t>仅需要按每个教学环节选择所需的教学模块即可快速生成一份课件。每个课时均提供过量的教学内容模块，满足</w:t>
            </w:r>
            <w:r>
              <w:rPr>
                <w:rFonts w:hint="eastAsia" w:ascii="宋体" w:hAnsi="宋体" w:eastAsia="宋体" w:cs="宋体"/>
                <w:color w:val="auto"/>
                <w:sz w:val="24"/>
                <w:szCs w:val="24"/>
                <w:highlight w:val="none"/>
                <w:vertAlign w:val="baseline"/>
                <w:lang w:val="en-US" w:eastAsia="zh-CN"/>
              </w:rPr>
              <w:t>教师</w:t>
            </w:r>
            <w:r>
              <w:rPr>
                <w:rFonts w:hint="eastAsia" w:ascii="宋体" w:hAnsi="宋体" w:eastAsia="宋体" w:cs="宋体"/>
                <w:color w:val="auto"/>
                <w:sz w:val="24"/>
                <w:szCs w:val="24"/>
                <w:highlight w:val="none"/>
                <w:vertAlign w:val="baseline"/>
              </w:rPr>
              <w:t>的个性化需求。</w:t>
            </w:r>
          </w:p>
          <w:p w14:paraId="797BEA2B">
            <w:pPr>
              <w:widowControl w:val="0"/>
              <w:numPr>
                <w:ilvl w:val="0"/>
                <w:numId w:val="11"/>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提供模块化的课件素材和教案，课件支持组选：课堂导入，知识讲解，例题与变式，拓展延伸，课外活动等。</w:t>
            </w:r>
          </w:p>
          <w:p w14:paraId="019C74FF">
            <w:pPr>
              <w:widowControl w:val="0"/>
              <w:numPr>
                <w:ilvl w:val="0"/>
                <w:numId w:val="11"/>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插入音频，对音频的剪辑，可拖动或输入音频的开始和结束位置。插入表格，表格支持设置行列数，在表格上可以进行行列的添加、删除、合并和拆分，可编辑文字格式和表格格式。插入思维导图，包括逻辑图、鱼骨图和组织结构图，思维导图可添加同级节点、下级节点、上级节点，可编辑文字格式和思维导图格式。</w:t>
            </w:r>
          </w:p>
          <w:p w14:paraId="07993E5D">
            <w:pPr>
              <w:widowControl w:val="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授课模式</w:t>
            </w:r>
          </w:p>
          <w:p w14:paraId="1F53BD79">
            <w:pPr>
              <w:widowControl w:val="0"/>
              <w:numPr>
                <w:ilvl w:val="0"/>
                <w:numId w:val="12"/>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支持显示文件、工具和应用的便捷入口，当开始批注且有笔迹时，自动隐藏便捷入口，清除笔迹时，自动恢复显示便捷入口。</w:t>
            </w:r>
          </w:p>
          <w:p w14:paraId="7AE4D631">
            <w:pPr>
              <w:widowControl w:val="0"/>
              <w:numPr>
                <w:ilvl w:val="0"/>
                <w:numId w:val="12"/>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w:t>
            </w:r>
            <w:r>
              <w:rPr>
                <w:rFonts w:hint="eastAsia" w:ascii="宋体" w:hAnsi="宋体" w:eastAsia="宋体" w:cs="宋体"/>
                <w:color w:val="auto"/>
                <w:sz w:val="24"/>
                <w:szCs w:val="24"/>
                <w:highlight w:val="none"/>
                <w:vertAlign w:val="baseline"/>
                <w:lang w:val="en-US" w:eastAsia="zh-CN"/>
              </w:rPr>
              <w:t>多种</w:t>
            </w:r>
            <w:r>
              <w:rPr>
                <w:rFonts w:hint="eastAsia" w:ascii="宋体" w:hAnsi="宋体" w:eastAsia="宋体" w:cs="宋体"/>
                <w:color w:val="auto"/>
                <w:sz w:val="24"/>
                <w:szCs w:val="24"/>
                <w:highlight w:val="none"/>
                <w:vertAlign w:val="baseline"/>
              </w:rPr>
              <w:t>教辅工具，包含截图、时钟、放大镜、聚光灯、黑屏、随机数、骰子和大转盘</w:t>
            </w:r>
            <w:r>
              <w:rPr>
                <w:rFonts w:hint="eastAsia" w:ascii="宋体" w:hAnsi="宋体" w:eastAsia="宋体" w:cs="宋体"/>
                <w:color w:val="auto"/>
                <w:sz w:val="24"/>
                <w:szCs w:val="24"/>
                <w:highlight w:val="none"/>
                <w:vertAlign w:val="baseline"/>
                <w:lang w:val="en-US" w:eastAsia="zh-CN"/>
              </w:rPr>
              <w:t>等</w:t>
            </w:r>
            <w:r>
              <w:rPr>
                <w:rFonts w:hint="eastAsia" w:ascii="宋体" w:hAnsi="宋体" w:eastAsia="宋体" w:cs="宋体"/>
                <w:color w:val="auto"/>
                <w:sz w:val="24"/>
                <w:szCs w:val="24"/>
                <w:highlight w:val="none"/>
                <w:vertAlign w:val="baseline"/>
              </w:rPr>
              <w:t>。</w:t>
            </w:r>
          </w:p>
          <w:p w14:paraId="089CDFD9">
            <w:pPr>
              <w:widowControl w:val="0"/>
              <w:numPr>
                <w:ilvl w:val="0"/>
                <w:numId w:val="12"/>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支持打开本机文件、U盘文件等本地文件；不需导入，可直接打开本地视频、音频、图片、离线教学课件、PPT</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PPTX、PDF文件、DOC</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DOCX文件及swf文件</w:t>
            </w:r>
            <w:r>
              <w:rPr>
                <w:rFonts w:hint="eastAsia" w:ascii="宋体" w:hAnsi="宋体" w:eastAsia="宋体" w:cs="宋体"/>
                <w:color w:val="auto"/>
                <w:sz w:val="24"/>
                <w:szCs w:val="24"/>
                <w:highlight w:val="none"/>
                <w:vertAlign w:val="baseline"/>
                <w:lang w:val="en-US" w:eastAsia="zh-CN"/>
              </w:rPr>
              <w:t>等</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w:t>
            </w:r>
            <w:r>
              <w:rPr>
                <w:rFonts w:hint="eastAsia" w:ascii="宋体" w:hAnsi="宋体" w:eastAsia="宋体" w:cs="宋体"/>
                <w:color w:val="auto"/>
                <w:sz w:val="24"/>
                <w:szCs w:val="24"/>
                <w:highlight w:val="none"/>
                <w:vertAlign w:val="baseline"/>
                <w:lang w:val="en-US" w:eastAsia="zh-CN"/>
              </w:rPr>
              <w:t>多</w:t>
            </w:r>
            <w:r>
              <w:rPr>
                <w:rFonts w:hint="eastAsia" w:ascii="宋体" w:hAnsi="宋体" w:eastAsia="宋体" w:cs="宋体"/>
                <w:color w:val="auto"/>
                <w:sz w:val="24"/>
                <w:szCs w:val="24"/>
                <w:highlight w:val="none"/>
                <w:vertAlign w:val="baseline"/>
              </w:rPr>
              <w:t>个文件窗口同屏播放显示，满足多素材授课需求。支持批注的文件类型包含PPT</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PPTX、图片、PDF、DOC</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DOCX。</w:t>
            </w:r>
          </w:p>
          <w:p w14:paraId="02DDD8F5">
            <w:pPr>
              <w:widowControl w:val="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录课助手</w:t>
            </w:r>
          </w:p>
          <w:p w14:paraId="1CFC2BCC">
            <w:pPr>
              <w:widowControl w:val="0"/>
              <w:numPr>
                <w:ilvl w:val="0"/>
                <w:numId w:val="13"/>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支持屏幕、屏幕+摄像头等多种形式的录制，也可结合录播系统进行全景录制。</w:t>
            </w: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支持对视频清晰度的调整，提供高清、超清、超高清的切换，方便在手机、电脑或者大屏上观看。</w:t>
            </w:r>
          </w:p>
          <w:p w14:paraId="1B4FC440">
            <w:pPr>
              <w:widowControl w:val="0"/>
              <w:numPr>
                <w:ilvl w:val="0"/>
                <w:numId w:val="13"/>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需支持</w:t>
            </w:r>
            <w:r>
              <w:rPr>
                <w:rFonts w:hint="eastAsia" w:ascii="宋体" w:hAnsi="宋体" w:eastAsia="宋体" w:cs="宋体"/>
                <w:color w:val="auto"/>
                <w:sz w:val="24"/>
                <w:szCs w:val="24"/>
                <w:highlight w:val="none"/>
                <w:vertAlign w:val="baseline"/>
              </w:rPr>
              <w:t>快速录制，可移动，</w:t>
            </w:r>
            <w:r>
              <w:rPr>
                <w:rFonts w:hint="eastAsia" w:ascii="宋体" w:hAnsi="宋体" w:eastAsia="宋体" w:cs="宋体"/>
                <w:color w:val="auto"/>
                <w:sz w:val="24"/>
                <w:szCs w:val="24"/>
                <w:highlight w:val="none"/>
                <w:vertAlign w:val="baseline"/>
                <w:lang w:val="en-US" w:eastAsia="zh-CN"/>
              </w:rPr>
              <w:t>三秒</w:t>
            </w:r>
            <w:r>
              <w:rPr>
                <w:rFonts w:hint="eastAsia" w:ascii="宋体" w:hAnsi="宋体" w:eastAsia="宋体" w:cs="宋体"/>
                <w:color w:val="auto"/>
                <w:sz w:val="24"/>
                <w:szCs w:val="24"/>
                <w:highlight w:val="none"/>
                <w:vertAlign w:val="baseline"/>
              </w:rPr>
              <w:t>无操作即变为半透明；可实时查看录制进度，进行暂停、 开始、结束操作。</w:t>
            </w:r>
          </w:p>
          <w:p w14:paraId="0779752B">
            <w:pPr>
              <w:widowControl w:val="0"/>
              <w:numPr>
                <w:ilvl w:val="0"/>
                <w:numId w:val="13"/>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需</w:t>
            </w:r>
            <w:r>
              <w:rPr>
                <w:rFonts w:hint="eastAsia" w:ascii="宋体" w:hAnsi="宋体" w:eastAsia="宋体" w:cs="宋体"/>
                <w:color w:val="auto"/>
                <w:sz w:val="24"/>
                <w:szCs w:val="24"/>
                <w:highlight w:val="none"/>
                <w:vertAlign w:val="baseline"/>
              </w:rPr>
              <w:t>支持随时开启分享功能，实现即时直播，听课端无需下载软件，扫描二维码即可进入直播课堂并进行互动。开通直播后生成直播海报、直播码，易于分享，多人观看无压力，且支持手机端、PC端观看直播，可实现课堂实时评论。</w:t>
            </w:r>
          </w:p>
          <w:p w14:paraId="1F486680">
            <w:pPr>
              <w:widowControl w:val="0"/>
              <w:numPr>
                <w:ilvl w:val="0"/>
                <w:numId w:val="13"/>
              </w:numPr>
              <w:ind w:left="425" w:leftChars="0" w:hanging="425" w:firstLineChars="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在桌面及摄像头录制场景下，能自动侦测摄像头，可识别出展台摄像头，同时支持摄像头 画面的切换、移动及大小的调整。录制视频可自动保存在本地，也可上传至云端教师空间，结束录制即生成回看视频，可快速浏览录制情况。</w:t>
            </w:r>
          </w:p>
          <w:p w14:paraId="6D869E6F">
            <w:pPr>
              <w:widowControl w:val="0"/>
              <w:numPr>
                <w:ilvl w:val="0"/>
                <w:numId w:val="13"/>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t>录制列表支持按时间查找所有已录制视频并可查看录制详情，包括录制日期、文件大小、 上传状态，同时可扫码回看所有已上传视频。录制视频支持点播、分享、编辑等功能，也可将视频共享到学校空间，方便校本资源的建设和管理。</w:t>
            </w:r>
          </w:p>
        </w:tc>
        <w:tc>
          <w:tcPr>
            <w:tcW w:w="547" w:type="dxa"/>
            <w:noWrap w:val="0"/>
            <w:vAlign w:val="center"/>
          </w:tcPr>
          <w:p w14:paraId="7753DEF2">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套</w:t>
            </w:r>
          </w:p>
        </w:tc>
        <w:tc>
          <w:tcPr>
            <w:tcW w:w="539" w:type="dxa"/>
            <w:noWrap w:val="0"/>
            <w:vAlign w:val="center"/>
          </w:tcPr>
          <w:p w14:paraId="074CB155">
            <w:pPr>
              <w:widowControl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30</w:t>
            </w:r>
          </w:p>
        </w:tc>
      </w:tr>
      <w:tr w14:paraId="4EE3D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520" w:type="dxa"/>
            <w:noWrap w:val="0"/>
            <w:vAlign w:val="center"/>
          </w:tcPr>
          <w:p w14:paraId="1CE085B8">
            <w:pPr>
              <w:widowControl w:val="0"/>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2</w:t>
            </w:r>
          </w:p>
        </w:tc>
        <w:tc>
          <w:tcPr>
            <w:tcW w:w="1023" w:type="dxa"/>
            <w:noWrap w:val="0"/>
            <w:vAlign w:val="center"/>
          </w:tcPr>
          <w:p w14:paraId="09F23C42">
            <w:pPr>
              <w:widowControl w:val="0"/>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中小学德育平台</w:t>
            </w:r>
          </w:p>
        </w:tc>
        <w:tc>
          <w:tcPr>
            <w:tcW w:w="6171" w:type="dxa"/>
            <w:noWrap w:val="0"/>
            <w:vAlign w:val="top"/>
          </w:tcPr>
          <w:p w14:paraId="322F55D0">
            <w:pPr>
              <w:widowControl w:val="0"/>
              <w:numPr>
                <w:ilvl w:val="0"/>
                <w:numId w:val="14"/>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系统资源符合国家《中小学德育工作指南》的总体和学段目标要求，系统内容栏目至少包括党史学习、 德育视频、学科参考、班主任工作、德育示范校、活动专区、实践基地等主架构栏目。其中德育视频中的精品资源至少包括理想信念教育、社会主义核心价值观教育、中华优秀传统文化教育、生态文明教育和心理健康教育等主题架构。</w:t>
            </w:r>
          </w:p>
          <w:p w14:paraId="4FE23948">
            <w:pPr>
              <w:widowControl w:val="0"/>
              <w:numPr>
                <w:ilvl w:val="0"/>
                <w:numId w:val="14"/>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初装教学资源条目数不少于4000条，总播出时长不少于300小时,其中精品资源不少于1600条。</w:t>
            </w:r>
          </w:p>
          <w:p w14:paraId="5CBF3DD7">
            <w:pPr>
              <w:widowControl w:val="0"/>
              <w:numPr>
                <w:ilvl w:val="0"/>
                <w:numId w:val="14"/>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支持互联网云端及本地化部署双模式，本地化部署时内容可一键升级，无需手动导入。</w:t>
            </w:r>
          </w:p>
          <w:p w14:paraId="5030718E">
            <w:pPr>
              <w:widowControl w:val="0"/>
              <w:numPr>
                <w:ilvl w:val="0"/>
                <w:numId w:val="14"/>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精品资源视频在线播放时不借助第三方编辑工具可方便教师备课时剪切并下载保存于本地。（提供软件功能截图）</w:t>
            </w:r>
          </w:p>
          <w:p w14:paraId="0E17EAE2">
            <w:pPr>
              <w:widowControl w:val="0"/>
              <w:numPr>
                <w:ilvl w:val="0"/>
                <w:numId w:val="14"/>
              </w:numPr>
              <w:ind w:left="425" w:leftChars="0" w:hanging="425"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德育视频栏目包含德育大讲堂和精品资源两个模块，其中精品资源视频，分类清晰准确，视频资源来源渠道规范、权威（需提供标注视频出版社和出版号的页面截图）。</w:t>
            </w:r>
          </w:p>
          <w:p w14:paraId="094E19F5">
            <w:pPr>
              <w:widowControl w:val="0"/>
              <w:numPr>
                <w:ilvl w:val="0"/>
                <w:numId w:val="14"/>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系统栏目需包含针对班主任的“班会案例”和“班主任培训”等版块，“班会案例”需包括说课资源、可二次加工的PPT课件和教学设计。“班会案例资源”按五大主题进行分类展示。“班主任培训”资源内容须包含班主任基本素养、班主任工作专题研讨、优秀班会案例三个部分，总课时数不少于50课时。（提供软件功能截图）</w:t>
            </w:r>
          </w:p>
        </w:tc>
        <w:tc>
          <w:tcPr>
            <w:tcW w:w="547" w:type="dxa"/>
            <w:noWrap w:val="0"/>
            <w:vAlign w:val="center"/>
          </w:tcPr>
          <w:p w14:paraId="33F763B8">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套</w:t>
            </w:r>
          </w:p>
        </w:tc>
        <w:tc>
          <w:tcPr>
            <w:tcW w:w="539" w:type="dxa"/>
            <w:noWrap w:val="0"/>
            <w:vAlign w:val="center"/>
          </w:tcPr>
          <w:p w14:paraId="3024C8B4">
            <w:pPr>
              <w:widowControl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30</w:t>
            </w:r>
          </w:p>
        </w:tc>
      </w:tr>
      <w:tr w14:paraId="13026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0" w:type="dxa"/>
            <w:noWrap w:val="0"/>
            <w:vAlign w:val="center"/>
          </w:tcPr>
          <w:p w14:paraId="76C94032">
            <w:pPr>
              <w:widowControl w:val="0"/>
              <w:ind w:left="0" w:leftChars="0" w:firstLine="0" w:firstLineChars="0"/>
              <w:jc w:val="both"/>
              <w:rPr>
                <w:rFonts w:hint="eastAsia" w:ascii="宋体" w:hAnsi="宋体" w:eastAsia="宋体" w:cs="宋体"/>
                <w:color w:val="auto"/>
                <w:w w:val="99"/>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3</w:t>
            </w:r>
          </w:p>
        </w:tc>
        <w:tc>
          <w:tcPr>
            <w:tcW w:w="1023" w:type="dxa"/>
            <w:noWrap w:val="0"/>
            <w:vAlign w:val="center"/>
          </w:tcPr>
          <w:p w14:paraId="7F2BEB2C">
            <w:pPr>
              <w:widowControl w:val="0"/>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多媒体运维管理软件</w:t>
            </w:r>
          </w:p>
        </w:tc>
        <w:tc>
          <w:tcPr>
            <w:tcW w:w="6171" w:type="dxa"/>
            <w:noWrap w:val="0"/>
            <w:vAlign w:val="top"/>
          </w:tcPr>
          <w:p w14:paraId="41065C41">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★支持B /S管理架构，可通过移动设备通过网页方式对机房进行远程管理，包括远程开关机、时间同步、系统切换、消息广播等操作；（提供具备CNAS标识的产品功能测试报告</w:t>
            </w:r>
            <w:r>
              <w:rPr>
                <w:rFonts w:hint="eastAsia" w:ascii="宋体" w:hAnsi="宋体" w:eastAsia="宋体" w:cs="宋体"/>
                <w:color w:val="auto"/>
                <w:sz w:val="24"/>
                <w:szCs w:val="24"/>
                <w:highlight w:val="none"/>
                <w:lang w:val="en-US" w:eastAsia="zh-CN"/>
              </w:rPr>
              <w:t>复印件加盖厂家公章</w:t>
            </w:r>
            <w:r>
              <w:rPr>
                <w:rFonts w:hint="eastAsia" w:ascii="宋体" w:hAnsi="宋体" w:eastAsia="宋体" w:cs="宋体"/>
                <w:color w:val="auto"/>
                <w:sz w:val="24"/>
                <w:szCs w:val="24"/>
                <w:highlight w:val="none"/>
              </w:rPr>
              <w:t xml:space="preserve">）   </w:t>
            </w:r>
          </w:p>
          <w:p w14:paraId="418D7FA4">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支持对Ubuntu、Redhat、Centos、Fedora等系统的立即还原和ip地址自动分配</w:t>
            </w:r>
            <w:r>
              <w:rPr>
                <w:rFonts w:hint="eastAsia" w:ascii="宋体" w:hAnsi="宋体" w:eastAsia="宋体" w:cs="宋体"/>
                <w:color w:val="auto"/>
                <w:sz w:val="24"/>
                <w:szCs w:val="24"/>
                <w:highlight w:val="none"/>
                <w:lang w:eastAsia="zh-CN"/>
              </w:rPr>
              <w:t>；</w:t>
            </w:r>
          </w:p>
          <w:p w14:paraId="055CA120">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支持电脑本地硬盘操作系统（</w:t>
            </w:r>
            <w:r>
              <w:rPr>
                <w:rFonts w:hint="eastAsia" w:ascii="宋体" w:hAnsi="宋体" w:eastAsia="宋体" w:cs="宋体"/>
                <w:color w:val="auto"/>
                <w:sz w:val="24"/>
                <w:szCs w:val="24"/>
                <w:highlight w:val="none"/>
                <w:lang w:val="en-US" w:eastAsia="zh-CN"/>
              </w:rPr>
              <w:t>windows</w:t>
            </w:r>
            <w:r>
              <w:rPr>
                <w:rFonts w:hint="eastAsia" w:ascii="宋体" w:hAnsi="宋体" w:eastAsia="宋体" w:cs="宋体"/>
                <w:color w:val="auto"/>
                <w:sz w:val="24"/>
                <w:szCs w:val="24"/>
                <w:highlight w:val="none"/>
              </w:rPr>
              <w:t>\linux）的立即还原和还原点瞬间创建</w:t>
            </w:r>
            <w:r>
              <w:rPr>
                <w:rFonts w:hint="eastAsia" w:ascii="宋体" w:hAnsi="宋体" w:eastAsia="宋体" w:cs="宋体"/>
                <w:color w:val="auto"/>
                <w:sz w:val="24"/>
                <w:szCs w:val="24"/>
                <w:highlight w:val="none"/>
                <w:lang w:eastAsia="zh-CN"/>
              </w:rPr>
              <w:t>；</w:t>
            </w:r>
          </w:p>
          <w:p w14:paraId="2A5A7E30">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支持MBR分区系统和GPT分区系统混合安装,可支持60个以上的不同操作系统</w:t>
            </w:r>
            <w:r>
              <w:rPr>
                <w:rFonts w:hint="eastAsia" w:ascii="宋体" w:hAnsi="宋体" w:eastAsia="宋体" w:cs="宋体"/>
                <w:color w:val="auto"/>
                <w:sz w:val="24"/>
                <w:szCs w:val="24"/>
                <w:highlight w:val="none"/>
                <w:lang w:eastAsia="zh-CN"/>
              </w:rPr>
              <w:t>；</w:t>
            </w:r>
          </w:p>
          <w:p w14:paraId="29BFC5EB">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★支持对客户端内多块硬盘进行分区、系统装载、还原、还原方式设置，满足多硬盘系统还原和管理；（提供具备CNAS标识的产品功能测试报告</w:t>
            </w:r>
            <w:r>
              <w:rPr>
                <w:rFonts w:hint="eastAsia" w:ascii="宋体" w:hAnsi="宋体" w:eastAsia="宋体" w:cs="宋体"/>
                <w:color w:val="auto"/>
                <w:sz w:val="24"/>
                <w:szCs w:val="24"/>
                <w:highlight w:val="none"/>
                <w:lang w:val="en-US" w:eastAsia="zh-CN"/>
              </w:rPr>
              <w:t>复印件加盖厂家公章</w:t>
            </w:r>
            <w:r>
              <w:rPr>
                <w:rFonts w:hint="eastAsia" w:ascii="宋体" w:hAnsi="宋体" w:eastAsia="宋体" w:cs="宋体"/>
                <w:color w:val="auto"/>
                <w:sz w:val="24"/>
                <w:szCs w:val="24"/>
                <w:highlight w:val="none"/>
              </w:rPr>
              <w:t xml:space="preserve">）   </w:t>
            </w:r>
          </w:p>
          <w:p w14:paraId="0215B208">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支持从WINDOWS界面对1000台以上的电脑进行数据差异拷贝，非增量拷贝、变量拷贝、进度同步等上一代部署方式。根据网络状况可选择广播、组播、单播等方式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（提供功能界面截图并加盖原厂公章）</w:t>
            </w:r>
          </w:p>
          <w:p w14:paraId="71E544B5">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支持差异拷贝接收端网络环境检测，可检测接收端网卡连接速度，提前发现问题网点，排查处理影响差异拷贝的终端；</w:t>
            </w:r>
          </w:p>
          <w:p w14:paraId="34C84F38">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支持操作系统分权管理，可分配不同的管理员管理不同的操作系统</w:t>
            </w:r>
            <w:r>
              <w:rPr>
                <w:rFonts w:hint="eastAsia" w:ascii="宋体" w:hAnsi="宋体" w:eastAsia="宋体" w:cs="宋体"/>
                <w:color w:val="auto"/>
                <w:sz w:val="24"/>
                <w:szCs w:val="24"/>
                <w:highlight w:val="none"/>
                <w:lang w:eastAsia="zh-CN"/>
              </w:rPr>
              <w:t>；</w:t>
            </w:r>
          </w:p>
          <w:p w14:paraId="7099FBA2">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★支持学期课表的编辑，可设置学期开始和结束时间，按学期课表时间自动启动相应的操作系统，支持操作系统拖拽式导入学期课表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(提供功能界面截图并加盖原厂公章)</w:t>
            </w:r>
          </w:p>
          <w:p w14:paraId="799A2BEB">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管理员可给教师单独分配用户名和密码，教师可凭此用户名和密码在教学的电脑上瞬间创建自己独立的备课系统，其他人员不可见，也不影响正常的教学系统</w:t>
            </w:r>
            <w:r>
              <w:rPr>
                <w:rFonts w:hint="eastAsia" w:ascii="宋体" w:hAnsi="宋体" w:eastAsia="宋体" w:cs="宋体"/>
                <w:color w:val="auto"/>
                <w:sz w:val="24"/>
                <w:szCs w:val="24"/>
                <w:highlight w:val="none"/>
                <w:lang w:eastAsia="zh-CN"/>
              </w:rPr>
              <w:t>；</w:t>
            </w:r>
          </w:p>
          <w:p w14:paraId="49B01D52">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支持将当前的教学系统，无需新增分区的情况下瞬间复制一个不保护的系统，用于学生自主实验或计算机等级考试</w:t>
            </w:r>
            <w:r>
              <w:rPr>
                <w:rFonts w:hint="eastAsia" w:ascii="宋体" w:hAnsi="宋体" w:eastAsia="宋体" w:cs="宋体"/>
                <w:color w:val="auto"/>
                <w:sz w:val="24"/>
                <w:szCs w:val="24"/>
                <w:highlight w:val="none"/>
                <w:lang w:eastAsia="zh-CN"/>
              </w:rPr>
              <w:t>；</w:t>
            </w:r>
          </w:p>
          <w:p w14:paraId="2B288F5A">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支持文件夹穿透，可在当前保护的分区下设定一个开放的文件夹,保存更新设置，重启分区还原其它数据还原，此文件夹中的数据不还原。</w:t>
            </w:r>
          </w:p>
          <w:p w14:paraId="1BC42CBE">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支持批量修改Windows用户登录名、计算机名和IP地址；   </w:t>
            </w:r>
          </w:p>
          <w:p w14:paraId="1C7C7EAA">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支持硬件虚拟化功能，针对硬件识别码的软件可实现软件统一注册，大幅度降低激活软件带来的工作量；</w:t>
            </w:r>
          </w:p>
          <w:p w14:paraId="038CBDE3">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支持流量限制策略，能够设定上行流量、下行流量，并可设置流量限制生效时间；</w:t>
            </w:r>
          </w:p>
          <w:p w14:paraId="5957C968">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支持网络限制策略，能够设定禁用外网或禁用全部网络，并支持设置例外，例外类型包括ip地址、网址、端口，并设置生效时间区间，能够精确到秒，支持按天执行、按周执行、按月执行</w:t>
            </w:r>
            <w:r>
              <w:rPr>
                <w:rFonts w:hint="eastAsia" w:ascii="宋体" w:hAnsi="宋体" w:eastAsia="宋体" w:cs="宋体"/>
                <w:color w:val="auto"/>
                <w:sz w:val="24"/>
                <w:szCs w:val="24"/>
                <w:highlight w:val="none"/>
                <w:lang w:eastAsia="zh-CN"/>
              </w:rPr>
              <w:t>；</w:t>
            </w:r>
          </w:p>
          <w:p w14:paraId="4A077A10">
            <w:pPr>
              <w:widowControl w:val="0"/>
              <w:numPr>
                <w:ilvl w:val="0"/>
                <w:numId w:val="1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能够针对学生软件使用、上网操作进行记录，并支持按照应用、访问网址进行查询，能够根据时间段进行搜索，搜索时间精确到秒，针对上网操作，能够展示网址及网站标题信息，支持表格导出</w:t>
            </w:r>
            <w:r>
              <w:rPr>
                <w:rFonts w:hint="eastAsia" w:ascii="宋体" w:hAnsi="宋体" w:eastAsia="宋体" w:cs="宋体"/>
                <w:color w:val="auto"/>
                <w:sz w:val="24"/>
                <w:szCs w:val="24"/>
                <w:highlight w:val="none"/>
                <w:lang w:eastAsia="zh-CN"/>
              </w:rPr>
              <w:t>；</w:t>
            </w:r>
          </w:p>
          <w:p w14:paraId="656B45D8">
            <w:pPr>
              <w:widowControl w:val="0"/>
              <w:numPr>
                <w:ilvl w:val="0"/>
                <w:numId w:val="15"/>
              </w:numPr>
              <w:ind w:left="425" w:leftChars="0" w:hanging="425"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(提供功能界面截图并加盖原厂公章)</w:t>
            </w:r>
          </w:p>
        </w:tc>
        <w:tc>
          <w:tcPr>
            <w:tcW w:w="547" w:type="dxa"/>
            <w:noWrap w:val="0"/>
            <w:vAlign w:val="center"/>
          </w:tcPr>
          <w:p w14:paraId="194E9D3E">
            <w:pPr>
              <w:widowControl w:val="0"/>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套</w:t>
            </w:r>
          </w:p>
        </w:tc>
        <w:tc>
          <w:tcPr>
            <w:tcW w:w="539" w:type="dxa"/>
            <w:noWrap w:val="0"/>
            <w:vAlign w:val="center"/>
          </w:tcPr>
          <w:p w14:paraId="23537B98">
            <w:pPr>
              <w:widowControl w:val="0"/>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30</w:t>
            </w:r>
          </w:p>
        </w:tc>
      </w:tr>
      <w:tr w14:paraId="5665B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7" w:hRule="atLeast"/>
        </w:trPr>
        <w:tc>
          <w:tcPr>
            <w:tcW w:w="520" w:type="dxa"/>
            <w:noWrap w:val="0"/>
            <w:vAlign w:val="center"/>
          </w:tcPr>
          <w:p w14:paraId="366CFD93">
            <w:pPr>
              <w:widowControl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w:t>
            </w:r>
          </w:p>
        </w:tc>
        <w:tc>
          <w:tcPr>
            <w:tcW w:w="1023" w:type="dxa"/>
            <w:noWrap w:val="0"/>
            <w:vAlign w:val="center"/>
          </w:tcPr>
          <w:p w14:paraId="201E30C1">
            <w:pPr>
              <w:widowControl w:val="0"/>
              <w:ind w:left="0" w:leftChars="0" w:firstLine="0" w:firstLineChars="0"/>
              <w:jc w:val="both"/>
              <w:rPr>
                <w:rFonts w:hint="eastAsia" w:ascii="宋体" w:hAnsi="宋体" w:eastAsia="宋体" w:cs="宋体"/>
                <w:color w:val="auto"/>
                <w:sz w:val="24"/>
                <w:szCs w:val="24"/>
                <w:highlight w:val="none"/>
                <w:vertAlign w:val="baseline"/>
                <w:lang w:val="en-US" w:eastAsia="zh-CN"/>
              </w:rPr>
            </w:pPr>
          </w:p>
          <w:p w14:paraId="697370AB">
            <w:pPr>
              <w:widowControl w:val="0"/>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集中管理控制平台</w:t>
            </w:r>
          </w:p>
        </w:tc>
        <w:tc>
          <w:tcPr>
            <w:tcW w:w="6171" w:type="dxa"/>
            <w:noWrap w:val="0"/>
            <w:vAlign w:val="top"/>
          </w:tcPr>
          <w:p w14:paraId="16BA1B93">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后台控制端采用 B/S 架构设计，可在 Windows、Linux</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Android、IOS 等多种不同的操作系统上通过网页浏览器登录进行操作。平台支持本地化和云端两种部署方式。</w:t>
            </w:r>
          </w:p>
          <w:p w14:paraId="3164EE01">
            <w:pPr>
              <w:widowControl w:val="0"/>
              <w:numPr>
                <w:ilvl w:val="0"/>
                <w:numId w:val="16"/>
              </w:numPr>
              <w:ind w:left="425" w:leftChars="0" w:hanging="425"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多层级管理：可设置不同权限的管理员，分配地点管理校园设备；账号与云端账号统一，根据手机号自动获取信息。</w:t>
            </w:r>
          </w:p>
          <w:p w14:paraId="1FD1781A">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看校园内所有设备的状态，包括在线、离线状态，教室名称、内存使用率、CPU使用率、C盘使用率，支持按照设备类型、设备名称进行查询筛选；支持按列表展示以及按缩略图展示；支持一键查看设备已安装应用情况，支持查看</w:t>
            </w:r>
            <w:r>
              <w:rPr>
                <w:rFonts w:hint="eastAsia" w:ascii="宋体" w:hAnsi="宋体" w:eastAsia="宋体" w:cs="宋体"/>
                <w:color w:val="auto"/>
                <w:sz w:val="24"/>
                <w:szCs w:val="24"/>
                <w:highlight w:val="none"/>
                <w:lang w:val="en-US" w:eastAsia="zh-CN"/>
              </w:rPr>
              <w:t>操作系统</w:t>
            </w:r>
            <w:r>
              <w:rPr>
                <w:rFonts w:hint="eastAsia" w:ascii="宋体" w:hAnsi="宋体" w:eastAsia="宋体" w:cs="宋体"/>
                <w:color w:val="auto"/>
                <w:sz w:val="24"/>
                <w:szCs w:val="24"/>
                <w:highlight w:val="none"/>
              </w:rPr>
              <w:t>激活状态，支持查看</w:t>
            </w:r>
            <w:r>
              <w:rPr>
                <w:rFonts w:hint="eastAsia" w:ascii="宋体" w:hAnsi="宋体" w:eastAsia="宋体" w:cs="宋体"/>
                <w:color w:val="auto"/>
                <w:sz w:val="24"/>
                <w:szCs w:val="24"/>
                <w:highlight w:val="none"/>
                <w:lang w:val="en-US" w:eastAsia="zh-CN"/>
              </w:rPr>
              <w:t>办公软件</w:t>
            </w:r>
            <w:r>
              <w:rPr>
                <w:rFonts w:hint="eastAsia" w:ascii="宋体" w:hAnsi="宋体" w:eastAsia="宋体" w:cs="宋体"/>
                <w:color w:val="auto"/>
                <w:sz w:val="24"/>
                <w:szCs w:val="24"/>
                <w:highlight w:val="none"/>
              </w:rPr>
              <w:t>激活状态，支持查看</w:t>
            </w:r>
            <w:r>
              <w:rPr>
                <w:rFonts w:hint="eastAsia" w:ascii="宋体" w:hAnsi="宋体" w:eastAsia="宋体" w:cs="宋体"/>
                <w:color w:val="auto"/>
                <w:sz w:val="24"/>
                <w:szCs w:val="24"/>
                <w:highlight w:val="none"/>
                <w:lang w:val="en-US" w:eastAsia="zh-CN"/>
              </w:rPr>
              <w:t>操作系统</w:t>
            </w:r>
            <w:r>
              <w:rPr>
                <w:rFonts w:hint="eastAsia" w:ascii="宋体" w:hAnsi="宋体" w:eastAsia="宋体" w:cs="宋体"/>
                <w:color w:val="auto"/>
                <w:sz w:val="24"/>
                <w:szCs w:val="24"/>
                <w:highlight w:val="none"/>
              </w:rPr>
              <w:t>版本信息，支持查看设备IP地址，支持查看当前设备序列号、声音及显示设置模式。</w:t>
            </w:r>
          </w:p>
          <w:p w14:paraId="0F803061">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时操作控制：批量对选定的受控设备进行关机、重启、触控切换（屏幕触控锁定、解锁），童锁切换、信号源切换、音量调节、打铃操作，一键锁屏设置，支持一键开启系统还原功能，一键系统备份，一键设置显示模式，显示模式支持标准、鲜艳、明亮、护眼，一键支持声音模式设置，声音模式至少包含标准、教师、会议、影院四种场景设置，支持一键设置系统桌面壁纸。</w:t>
            </w:r>
          </w:p>
          <w:p w14:paraId="262D21EF">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时操作控制：可远程对选定的设备做定时关机、定时打铃、定时切换信号源、定时信息发布，实现单次、每日循环、每周循环、每月循环的定时控制。支持定时操作列表查询，并可对具体某项定时操作进行再次编辑。</w:t>
            </w:r>
          </w:p>
          <w:p w14:paraId="60F83DAD">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开机锁屏：支持一键批量设置开机锁屏功能，一键修改锁屏密码，一键禁用密码锁屏、一键设置锁屏极速、普通模式，支持自定义锁屏功能生效时间，支持一键设置锁屏壁纸，支持自定锁屏壁纸设置。</w:t>
            </w:r>
          </w:p>
          <w:p w14:paraId="01BF4475">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冰点管控：可按场地、设备状态、设备名称对冰点管控设备进行重启、批量冻结、批量解冻，可对单台设备或多台设备进行批量设置，可冻结单个盘符或多个盘符，统计开启冰点设备总数</w:t>
            </w:r>
          </w:p>
          <w:p w14:paraId="0C2F45AB">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发布信息：可即时向任意选定的设备发布纯文本信息，支持常驻桌面型、滚动发布型及气泡弹出提示，可设置播放时长，支持再次编辑；支持设置字体及字体颜色。</w:t>
            </w:r>
          </w:p>
          <w:p w14:paraId="2AB9230D">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文件分发：支持多文件推送至任意选定的设备，包括文本、图片、pdf、word、excel、ppt、flash、音视频。</w:t>
            </w:r>
          </w:p>
          <w:p w14:paraId="3635CC13">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远程巡课：默认查看当前屏幕画面，实时监控当前设备桌面，支持同时查看设备不少于</w:t>
            </w:r>
            <w:r>
              <w:rPr>
                <w:rFonts w:hint="eastAsia" w:ascii="宋体" w:hAnsi="宋体" w:eastAsia="宋体" w:cs="宋体"/>
                <w:color w:val="auto"/>
                <w:sz w:val="24"/>
                <w:szCs w:val="24"/>
                <w:highlight w:val="none"/>
                <w:lang w:val="en-US" w:eastAsia="zh-CN"/>
              </w:rPr>
              <w:t>六十</w:t>
            </w:r>
            <w:r>
              <w:rPr>
                <w:rFonts w:hint="eastAsia" w:ascii="宋体" w:hAnsi="宋体" w:eastAsia="宋体" w:cs="宋体"/>
                <w:color w:val="auto"/>
                <w:sz w:val="24"/>
                <w:szCs w:val="24"/>
                <w:highlight w:val="none"/>
              </w:rPr>
              <w:t>台；可切换摄像头画面，支持学生画面、教师画面同步教室声音；无需部署本地巡课服务器。</w:t>
            </w:r>
          </w:p>
          <w:p w14:paraId="3FD750AB">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支持查看摄像头直播画面，</w:t>
            </w:r>
            <w:r>
              <w:rPr>
                <w:rFonts w:hint="eastAsia" w:ascii="宋体" w:hAnsi="宋体" w:eastAsia="宋体" w:cs="宋体"/>
                <w:color w:val="auto"/>
                <w:sz w:val="24"/>
                <w:szCs w:val="24"/>
                <w:highlight w:val="none"/>
                <w:lang w:val="en-US" w:eastAsia="zh-CN"/>
              </w:rPr>
              <w:t>多</w:t>
            </w:r>
            <w:r>
              <w:rPr>
                <w:rFonts w:hint="eastAsia" w:ascii="宋体" w:hAnsi="宋体" w:eastAsia="宋体" w:cs="宋体"/>
                <w:color w:val="auto"/>
                <w:sz w:val="24"/>
                <w:szCs w:val="24"/>
                <w:highlight w:val="none"/>
              </w:rPr>
              <w:t>路视频流显示画面，支持轮巡。</w:t>
            </w:r>
          </w:p>
          <w:p w14:paraId="04684827">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视频直播：本地无需部署直播服务器，无需绑定IP地址，云端直接开启直播；可预约直播，选择日期、时间进行预约；直播开始时，接收端弹出10秒倒计时提醒，直播时间结束时，自动关闭直播。</w:t>
            </w:r>
          </w:p>
          <w:p w14:paraId="0C8D8F2E">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课间文化：选择音/视频下发至</w:t>
            </w:r>
            <w:r>
              <w:rPr>
                <w:rFonts w:hint="eastAsia" w:ascii="宋体" w:hAnsi="宋体" w:eastAsia="宋体" w:cs="宋体"/>
                <w:color w:val="auto"/>
                <w:sz w:val="24"/>
                <w:szCs w:val="24"/>
                <w:highlight w:val="none"/>
                <w:lang w:val="en-US" w:eastAsia="zh-CN"/>
              </w:rPr>
              <w:t>显示屏</w:t>
            </w:r>
            <w:r>
              <w:rPr>
                <w:rFonts w:hint="eastAsia" w:ascii="宋体" w:hAnsi="宋体" w:eastAsia="宋体" w:cs="宋体"/>
                <w:color w:val="auto"/>
                <w:sz w:val="24"/>
                <w:szCs w:val="24"/>
                <w:highlight w:val="none"/>
              </w:rPr>
              <w:t>，自定义时间自动播放；单次播放，每日/每周/每月定时播放；无需部署本地服务器。</w:t>
            </w:r>
          </w:p>
          <w:p w14:paraId="2B2715FD">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文字信息：可即时向任意选定的设备发布纯文本信息，支持常驻桌面型、滚动发布型及气泡弹出提示，可设置播放时长，支持再次编辑；支持设置字体及字体颜色；发布信息后，平台会筛查内容是否含有违规或敏感信息，若无则可发布，若有则会提醒进行修改。下发任何形式的课间文化均需要审核员进行审核，审核员通过才能完成下发任务。</w:t>
            </w:r>
          </w:p>
          <w:p w14:paraId="37464381">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以图文形式对设备的使用情况进行数据统计，可以按照一定时间周期进行统计，也支持按日、周、月进行统计。</w:t>
            </w:r>
          </w:p>
          <w:p w14:paraId="3CE0844D">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统计内容包括设备数量、设备开机率、设备开机时长、软件使用活跃度、设备活跃度排行、设备使用时长分布、设备在线数量、学科使用情况等，支持以统计图表显示及以excel格式导出。</w:t>
            </w:r>
          </w:p>
          <w:p w14:paraId="635BCC77">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区级管理员可查看该区域下所有学校设备数据，校级管理员可查看本校所有设备数据。</w:t>
            </w:r>
          </w:p>
          <w:p w14:paraId="50959CC6">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学校信息：支持查看学校信息，学校编号、设备授权数量、学校地址、校管理员名称、联系电话等。</w:t>
            </w:r>
          </w:p>
          <w:p w14:paraId="056D4D58">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分组设置：可对学校的所有设备按年级或楼层等进行任意分组设置，并可以对分组进行修改、删除等操作；支持分组属性定义“教室”，包含多媒体教室、语音室、实验室、普通教室等类型。</w:t>
            </w:r>
          </w:p>
          <w:p w14:paraId="0F3002D4">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设备设置：支持按照设备类型、设备名称等进行筛选；支持批量查看设备名称、班级名称、设备类型、设备编码、设备序列号；支持批量移动设备、导出设备列表、批量删除设备。</w:t>
            </w:r>
          </w:p>
          <w:p w14:paraId="21D92864">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设置：支持查看姓名、账号、分组权限，支持手机号开通，编辑、批量删除等功能。</w:t>
            </w:r>
          </w:p>
          <w:p w14:paraId="336B18B4">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综合设置：远程巡课画面分辨率以及码率，并可配置校本资源URL链接。</w:t>
            </w:r>
          </w:p>
          <w:p w14:paraId="53A74BE4">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查看设备当前在线数、设备总台数、在线率、开机率。</w:t>
            </w:r>
          </w:p>
          <w:p w14:paraId="13FD6418">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实时查看全校设备使用情况：如设备活跃度、软件使用排行、设备在线数量、设备使用时长分布等。</w:t>
            </w:r>
          </w:p>
          <w:p w14:paraId="4E2170C1">
            <w:pPr>
              <w:widowControl w:val="0"/>
              <w:numPr>
                <w:ilvl w:val="0"/>
                <w:numId w:val="1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查看管理员基本信息：账户、角色、学校；查看设备控制命令异常数。</w:t>
            </w:r>
          </w:p>
          <w:p w14:paraId="6DC5A1CE">
            <w:pPr>
              <w:widowControl w:val="0"/>
              <w:numPr>
                <w:ilvl w:val="0"/>
                <w:numId w:val="0"/>
              </w:numPr>
              <w:ind w:lef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26.</w:t>
            </w:r>
            <w:r>
              <w:rPr>
                <w:rFonts w:hint="eastAsia" w:ascii="宋体" w:hAnsi="宋体" w:eastAsia="宋体" w:cs="宋体"/>
                <w:color w:val="auto"/>
                <w:sz w:val="24"/>
                <w:szCs w:val="24"/>
                <w:highlight w:val="none"/>
              </w:rPr>
              <w:t>支持在线设备数据报表一键导出PDF，可按日、周、月分别导出数据报表，并支持一键转发微信。</w:t>
            </w:r>
          </w:p>
        </w:tc>
        <w:tc>
          <w:tcPr>
            <w:tcW w:w="547" w:type="dxa"/>
            <w:noWrap w:val="0"/>
            <w:vAlign w:val="center"/>
          </w:tcPr>
          <w:p w14:paraId="1EE88C29">
            <w:pPr>
              <w:widowControl w:val="0"/>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套</w:t>
            </w:r>
          </w:p>
        </w:tc>
        <w:tc>
          <w:tcPr>
            <w:tcW w:w="539" w:type="dxa"/>
            <w:noWrap w:val="0"/>
            <w:vAlign w:val="center"/>
          </w:tcPr>
          <w:p w14:paraId="5EDE2614">
            <w:pPr>
              <w:widowControl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1</w:t>
            </w:r>
          </w:p>
        </w:tc>
      </w:tr>
      <w:tr w14:paraId="106DF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7" w:hRule="atLeast"/>
        </w:trPr>
        <w:tc>
          <w:tcPr>
            <w:tcW w:w="520" w:type="dxa"/>
            <w:noWrap w:val="0"/>
            <w:vAlign w:val="center"/>
          </w:tcPr>
          <w:p w14:paraId="16080BEC">
            <w:pPr>
              <w:widowControl w:val="0"/>
              <w:ind w:left="0" w:leftChars="0" w:firstLine="0" w:firstLineChars="0"/>
              <w:jc w:val="center"/>
              <w:rPr>
                <w:rFonts w:hint="default"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5</w:t>
            </w:r>
          </w:p>
        </w:tc>
        <w:tc>
          <w:tcPr>
            <w:tcW w:w="1023" w:type="dxa"/>
            <w:noWrap w:val="0"/>
            <w:vAlign w:val="center"/>
          </w:tcPr>
          <w:p w14:paraId="06B86936">
            <w:pPr>
              <w:widowControl w:val="0"/>
              <w:ind w:left="0" w:lef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视频展台</w:t>
            </w:r>
          </w:p>
        </w:tc>
        <w:tc>
          <w:tcPr>
            <w:tcW w:w="6171" w:type="dxa"/>
            <w:noWrap w:val="0"/>
            <w:vAlign w:val="top"/>
          </w:tcPr>
          <w:p w14:paraId="7D416233">
            <w:pPr>
              <w:widowControl w:val="0"/>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.整机采用高清摄像头设计，镜头≥1600W像素，分辨率（解析度）≥4624×3468，画面展示更加清晰。（需提供CMA或CNAS认证检测机构出具的检测报告并加盖公章）</w:t>
            </w:r>
          </w:p>
          <w:p w14:paraId="6274B7F1">
            <w:pPr>
              <w:widowControl w:val="0"/>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4.变焦：12倍数字变焦</w:t>
            </w:r>
          </w:p>
          <w:p w14:paraId="309D9B18">
            <w:pPr>
              <w:widowControl w:val="0"/>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5.图像色彩：24位及以上。</w:t>
            </w:r>
          </w:p>
          <w:p w14:paraId="3FFBFC8C">
            <w:pPr>
              <w:widowControl w:val="0"/>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6.摄像头支持JPG图片拍摄及MP4视频录制。</w:t>
            </w:r>
          </w:p>
          <w:p w14:paraId="57393206">
            <w:pPr>
              <w:widowControl w:val="0"/>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7.整机内置高灵敏麦克风，满足教学录制需求。</w:t>
            </w:r>
          </w:p>
          <w:p w14:paraId="0EF77347">
            <w:pPr>
              <w:widowControl w:val="0"/>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8.具备LED补光灯按键和拍照按键。</w:t>
            </w:r>
          </w:p>
          <w:p w14:paraId="6DAC0784">
            <w:pPr>
              <w:widowControl w:val="0"/>
              <w:numPr>
                <w:ilvl w:val="0"/>
                <w:numId w:val="0"/>
              </w:numPr>
              <w:ind w:leftChars="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9.拍摄幅面：A4及以上。</w:t>
            </w:r>
          </w:p>
        </w:tc>
        <w:tc>
          <w:tcPr>
            <w:tcW w:w="547" w:type="dxa"/>
            <w:noWrap w:val="0"/>
            <w:vAlign w:val="center"/>
          </w:tcPr>
          <w:p w14:paraId="4CF248EB">
            <w:pPr>
              <w:widowControl w:val="0"/>
              <w:ind w:left="0" w:leftChars="0" w:firstLine="0" w:firstLineChars="0"/>
              <w:jc w:val="both"/>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台</w:t>
            </w:r>
          </w:p>
        </w:tc>
        <w:tc>
          <w:tcPr>
            <w:tcW w:w="539" w:type="dxa"/>
            <w:noWrap w:val="0"/>
            <w:vAlign w:val="center"/>
          </w:tcPr>
          <w:p w14:paraId="31BAD2BA">
            <w:pPr>
              <w:widowControl w:val="0"/>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30</w:t>
            </w:r>
          </w:p>
        </w:tc>
      </w:tr>
    </w:tbl>
    <w:p w14:paraId="056BDB90">
      <w:pPr>
        <w:snapToGrid w:val="0"/>
        <w:spacing w:line="360" w:lineRule="auto"/>
        <w:rPr>
          <w:rFonts w:hint="eastAsia" w:ascii="宋体" w:hAnsi="宋体" w:eastAsia="宋体" w:cs="宋体"/>
          <w:b/>
          <w:bCs/>
          <w:color w:val="auto"/>
          <w:sz w:val="24"/>
          <w:szCs w:val="24"/>
          <w:highlight w:val="none"/>
        </w:rPr>
      </w:pPr>
    </w:p>
    <w:p w14:paraId="19192BB4">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二、报价要求</w:t>
      </w:r>
    </w:p>
    <w:p w14:paraId="2F57CC4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1、供应商在满足技术要求和性能的前提下可投同档次或优于上述参数、性能和质量的货物。</w:t>
      </w:r>
    </w:p>
    <w:p w14:paraId="157A68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p w14:paraId="5FF19F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磋商文件中的重要技术条款，供应商应在响应文件中提供其报价产品满足磋商文件重要技术条款要求的客观证据材料作为响应文件的一部分，以证明供应商真实并实质性响应磋商文件的重要技术条款。未按要求提供的，磋商小组将认定不满足该项要求。</w:t>
      </w:r>
    </w:p>
    <w:p w14:paraId="1DDF265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客观证据材料包括：国家认可的检验检测认证机构出具的认证证书、检测报告；报价产品制造商公开发布的印刷技术资料（彩页或技术白皮书），或者报价产品制造商官网发布的技术资料打印件或扫描件（并提供网址）；或者评标委员会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0142033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供应商应如实描述所投产品的技术参数和性能，不得完全复制粘贴上表技术参数和性能描述。因完全复制粘贴上表技术参数和性能描述而产生的不利于供应商的评审风险由供应商自行承担。</w:t>
      </w:r>
    </w:p>
    <w:p w14:paraId="397D2C12">
      <w:pPr>
        <w:adjustRightInd w:val="0"/>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三、不允许负偏离的实质性条件：</w:t>
      </w:r>
    </w:p>
    <w:p w14:paraId="78A470A2">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采购内容及数量：</w:t>
      </w:r>
      <w:r>
        <w:rPr>
          <w:rFonts w:hint="eastAsia" w:ascii="宋体" w:hAnsi="宋体" w:eastAsia="宋体" w:cs="宋体"/>
          <w:color w:val="auto"/>
          <w:sz w:val="24"/>
          <w:szCs w:val="24"/>
          <w:highlight w:val="none"/>
          <w:lang w:eastAsia="zh-CN"/>
        </w:rPr>
        <w:t>郑州市上街区教育局采购智慧黑板及教室护眼灯设备</w:t>
      </w:r>
      <w:r>
        <w:rPr>
          <w:rFonts w:hint="eastAsia" w:ascii="宋体" w:hAnsi="宋体" w:eastAsia="宋体" w:cs="宋体"/>
          <w:color w:val="auto"/>
          <w:sz w:val="24"/>
          <w:szCs w:val="24"/>
          <w:highlight w:val="none"/>
          <w:lang w:val="en-US" w:eastAsia="zh-CN"/>
        </w:rPr>
        <w:t>购置，其中：</w:t>
      </w:r>
      <w:r>
        <w:rPr>
          <w:rFonts w:hint="eastAsia" w:ascii="宋体" w:hAnsi="宋体" w:eastAsia="宋体" w:cs="宋体"/>
          <w:color w:val="auto"/>
          <w:sz w:val="24"/>
          <w:szCs w:val="24"/>
          <w:highlight w:val="none"/>
        </w:rPr>
        <w:t>智慧黑板采购、安装及</w:t>
      </w: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共30套，含拆除原有的教学设备30套并安装到指定位置；</w:t>
      </w:r>
      <w:r>
        <w:rPr>
          <w:rFonts w:hint="eastAsia" w:ascii="宋体" w:hAnsi="宋体" w:eastAsia="宋体" w:cs="宋体"/>
          <w:color w:val="auto"/>
          <w:sz w:val="24"/>
          <w:szCs w:val="24"/>
          <w:highlight w:val="none"/>
        </w:rPr>
        <w:t>LED 教室护眼灯、LED 黑板护眼灯、辅材及安装</w:t>
      </w:r>
      <w:r>
        <w:rPr>
          <w:rFonts w:hint="eastAsia" w:ascii="宋体" w:hAnsi="宋体" w:eastAsia="宋体" w:cs="宋体"/>
          <w:color w:val="auto"/>
          <w:sz w:val="24"/>
          <w:szCs w:val="24"/>
          <w:highlight w:val="none"/>
          <w:lang w:val="en-US" w:eastAsia="zh-CN"/>
        </w:rPr>
        <w:t>共40套（9个护眼灯+3个黑板灯为一套）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具体要求详见招标文件第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采购人需求及技术要求</w:t>
      </w:r>
      <w:r>
        <w:rPr>
          <w:rFonts w:hint="eastAsia" w:ascii="宋体" w:hAnsi="宋体" w:eastAsia="宋体" w:cs="宋体"/>
          <w:color w:val="auto"/>
          <w:sz w:val="24"/>
          <w:szCs w:val="24"/>
          <w:highlight w:val="none"/>
        </w:rPr>
        <w:t>；</w:t>
      </w:r>
    </w:p>
    <w:p w14:paraId="2E3C4AE7">
      <w:pPr>
        <w:pStyle w:val="24"/>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交货期：合同签订后30天内交付使用；</w:t>
      </w:r>
    </w:p>
    <w:p w14:paraId="6F121DF2">
      <w:pPr>
        <w:pStyle w:val="24"/>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质量要求：合格，符合国家及行业相关规范和标准；</w:t>
      </w:r>
    </w:p>
    <w:p w14:paraId="1DD05449">
      <w:pPr>
        <w:pStyle w:val="24"/>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验收标准：按国家行业标准验收</w:t>
      </w:r>
      <w:r>
        <w:rPr>
          <w:rFonts w:hint="eastAsia" w:ascii="宋体" w:hAnsi="宋体" w:eastAsia="宋体" w:cs="宋体"/>
          <w:color w:val="auto"/>
          <w:sz w:val="24"/>
          <w:szCs w:val="24"/>
          <w:highlight w:val="none"/>
          <w:lang w:eastAsia="zh-CN"/>
        </w:rPr>
        <w:t>；</w:t>
      </w:r>
    </w:p>
    <w:p w14:paraId="5A1A9B8E">
      <w:pPr>
        <w:pStyle w:val="24"/>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交货地点：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指定地点；</w:t>
      </w:r>
    </w:p>
    <w:p w14:paraId="5A3EF1BA">
      <w:pPr>
        <w:pStyle w:val="24"/>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质保期：</w:t>
      </w:r>
      <w:r>
        <w:rPr>
          <w:rFonts w:hint="eastAsia" w:ascii="宋体" w:hAnsi="宋体" w:eastAsia="宋体" w:cs="宋体"/>
          <w:color w:val="auto"/>
          <w:sz w:val="24"/>
          <w:szCs w:val="24"/>
          <w:highlight w:val="none"/>
          <w:lang w:val="en-US" w:eastAsia="zh-CN"/>
        </w:rPr>
        <w:t>免费质保3</w:t>
      </w:r>
      <w:r>
        <w:rPr>
          <w:rFonts w:hint="eastAsia" w:ascii="宋体" w:hAnsi="宋体" w:eastAsia="宋体" w:cs="宋体"/>
          <w:color w:val="auto"/>
          <w:sz w:val="24"/>
          <w:szCs w:val="24"/>
          <w:highlight w:val="none"/>
          <w:lang w:eastAsia="zh-CN"/>
        </w:rPr>
        <w:t>年；</w:t>
      </w:r>
    </w:p>
    <w:p w14:paraId="722E133E">
      <w:pPr>
        <w:pStyle w:val="24"/>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7、合同履行期限：合同签订后30天内交付使用。</w:t>
      </w:r>
    </w:p>
    <w:p w14:paraId="110C9BE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付款方式</w:t>
      </w:r>
      <w:bookmarkStart w:id="92" w:name="OLE_LINK25"/>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项目完成供货、调试，经甲方组织验收合格</w:t>
      </w:r>
      <w:r>
        <w:rPr>
          <w:rFonts w:hint="eastAsia" w:ascii="宋体" w:hAnsi="宋体" w:eastAsia="宋体" w:cs="宋体"/>
          <w:color w:val="auto"/>
          <w:sz w:val="24"/>
          <w:szCs w:val="24"/>
          <w:highlight w:val="none"/>
          <w:lang w:val="en-US" w:eastAsia="zh-CN"/>
        </w:rPr>
        <w:t>第一年内支付</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0%合同额；第二年内支付</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0%合同额；第三年内，质保期结束后产品无质量等问题支付10%合同额。</w:t>
      </w:r>
      <w:r>
        <w:rPr>
          <w:rFonts w:hint="eastAsia" w:ascii="宋体" w:hAnsi="宋体" w:eastAsia="宋体" w:cs="宋体"/>
          <w:bCs/>
          <w:color w:val="auto"/>
          <w:sz w:val="24"/>
          <w:szCs w:val="24"/>
          <w:highlight w:val="none"/>
        </w:rPr>
        <w:t>（根据采购人要求开具发票）。</w:t>
      </w:r>
    </w:p>
    <w:bookmarkEnd w:id="92"/>
    <w:p w14:paraId="24E708B2">
      <w:pPr>
        <w:adjustRightInd w:val="0"/>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四、其他要求</w:t>
      </w:r>
    </w:p>
    <w:p w14:paraId="2793CF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（一）供应商资格要求见供应商须知前附表。如资格证明文件遇年检、换证，则必须提供法定年检、换证单位出具的有效证明文件。</w:t>
      </w:r>
    </w:p>
    <w:p w14:paraId="02F7F61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须提供符合国家质量标准、部颁标准、行业标准或本磋商文件规定标准的、供货渠道合法的全新原装合格正品（包括零部件），如安装或配置软件的，须为正版软件。所提供的货物应当同时符合国家有关安全、卫生、环保规定。</w:t>
      </w:r>
    </w:p>
    <w:p w14:paraId="386196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响应报价是履行合同的最终报价，无特别注明，均为人民币报价。应包括本采购项目所包含的货物、软件、标准附件、备品备件、专用工具、图纸资料、技术服务，包装、仓储、运输、装卸、保险、税金，货到就位以及安装、调试、培训、保修等一切税金和费用。</w:t>
      </w:r>
    </w:p>
    <w:p w14:paraId="20E4358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（四）供应商对每种产品只允许有一种报价，采购人不接受有任何选择报价的报价。</w:t>
      </w:r>
    </w:p>
    <w:p w14:paraId="23EAD98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（五）采购人在授予成交人合同时，保留对货物数量予以增减的权利。供应商不得在此情况下对响应文件作出修改，如单价、交货期、售后服务等。</w:t>
      </w:r>
    </w:p>
    <w:p w14:paraId="39867AB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（六）合同签订：合同由采购人与成交人签订。</w:t>
      </w:r>
    </w:p>
    <w:p w14:paraId="4FE8C0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（七）交货要求：</w:t>
      </w:r>
    </w:p>
    <w:p w14:paraId="6C71066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1、交货期：见供应商须知前附表。超出磋商文件规定交货期的报价将不被接受。</w:t>
      </w:r>
    </w:p>
    <w:p w14:paraId="275FCD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2、交货地点：见供应商须知前附表。</w:t>
      </w:r>
    </w:p>
    <w:p w14:paraId="4284AB2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3、供应商应严格按照产品的制造、安装、检测及验收标准执行。</w:t>
      </w:r>
    </w:p>
    <w:p w14:paraId="3F6C1C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4、提供制造商完整的随机技术资料、装箱单、合格证、使用和维修手册等。</w:t>
      </w:r>
    </w:p>
    <w:p w14:paraId="4091F43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（八）包装和发运</w:t>
      </w:r>
    </w:p>
    <w:p w14:paraId="0D424B8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1、货物的包装和发运须符合货物特性要求；</w:t>
      </w:r>
    </w:p>
    <w:p w14:paraId="1DC44C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2、为了保证货物在长途运输和装卸过程中的安全，货物包装应符合国家或行业标准规定。由于包装不善导致货物锈蚀、缺失或损坏，由成交人承担一切责任。</w:t>
      </w:r>
    </w:p>
    <w:p w14:paraId="4C0088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（九）培训要求</w:t>
      </w:r>
    </w:p>
    <w:p w14:paraId="0D0B169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通过培训使采购人相关人员掌握有关的使用、维护和管理方法，达到能独立进行管理、一般故障处理、日常检测和维护等工作的目标。</w:t>
      </w:r>
    </w:p>
    <w:p w14:paraId="0137A53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（十）售后服务要求</w:t>
      </w:r>
    </w:p>
    <w:p w14:paraId="68776B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1、供应商提供设备的质量保证期为自设备安装调试完毕且验收合格之日起3年。若国家有明确规定的质量保证期高于此质量保证期的，执行国家规定。</w:t>
      </w:r>
    </w:p>
    <w:p w14:paraId="35685D3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供应商应提供相关设备的售后服务支持。对采购人所反映的任何问题在1小时之内做出响应，在24小时之内赶到现场实地解决问题。若问题在24小时内无法解决，乙方应在1日内免费提供备用货物，直至货物恢复正常。</w:t>
      </w:r>
    </w:p>
    <w:p w14:paraId="5AB442EC">
      <w:pPr>
        <w:adjustRightInd w:val="0"/>
        <w:snapToGrid w:val="0"/>
        <w:spacing w:line="360" w:lineRule="auto"/>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rPr>
        <w:t>（十一）履约验收：采购人</w:t>
      </w:r>
      <w:bookmarkStart w:id="93" w:name="OLE_LINK4"/>
      <w:r>
        <w:rPr>
          <w:rFonts w:hint="eastAsia" w:ascii="宋体" w:hAnsi="宋体" w:eastAsia="宋体" w:cs="宋体"/>
          <w:color w:val="auto"/>
          <w:sz w:val="24"/>
          <w:szCs w:val="24"/>
          <w:highlight w:val="none"/>
        </w:rPr>
        <w:t>根据国家有关规定、磋商文件、成交人的响应文件以及合同约定的内容和验收标准</w:t>
      </w:r>
      <w:bookmarkEnd w:id="93"/>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委托第三方依法取得检测、认证资质的机构</w:t>
      </w:r>
      <w:r>
        <w:rPr>
          <w:rFonts w:hint="eastAsia" w:ascii="宋体" w:hAnsi="宋体" w:eastAsia="宋体" w:cs="宋体"/>
          <w:color w:val="auto"/>
          <w:sz w:val="24"/>
          <w:szCs w:val="24"/>
          <w:highlight w:val="none"/>
        </w:rPr>
        <w:t>进行验收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产生检验检测费用，</w:t>
      </w:r>
      <w:r>
        <w:rPr>
          <w:rFonts w:hint="eastAsia" w:ascii="宋体" w:hAnsi="宋体" w:eastAsia="宋体" w:cs="宋体"/>
          <w:color w:val="auto"/>
          <w:sz w:val="24"/>
          <w:szCs w:val="24"/>
          <w:highlight w:val="none"/>
          <w:lang w:val="en-US" w:eastAsia="zh-CN"/>
        </w:rPr>
        <w:t>均包含在本次采购预算内，</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承担。验收情况作为支付货款的依据。</w:t>
      </w:r>
      <w:r>
        <w:rPr>
          <w:rFonts w:hint="eastAsia" w:ascii="宋体" w:hAnsi="宋体" w:eastAsia="宋体" w:cs="宋体"/>
          <w:color w:val="auto"/>
          <w:sz w:val="24"/>
          <w:szCs w:val="24"/>
          <w:highlight w:val="none"/>
          <w:lang w:val="en-US" w:eastAsia="zh-CN"/>
        </w:rPr>
        <w:t>对于供应商未按约定提供货物的，采购人应当依法追究其违约责任。</w:t>
      </w:r>
    </w:p>
    <w:p w14:paraId="62252EDB">
      <w:pPr>
        <w:rPr>
          <w:rFonts w:hint="eastAsia" w:ascii="宋体" w:hAnsi="宋体" w:eastAsia="宋体" w:cs="宋体"/>
          <w:color w:val="auto"/>
          <w:kern w:val="2"/>
          <w:szCs w:val="32"/>
          <w:highlight w:val="none"/>
        </w:rPr>
      </w:pPr>
      <w:r>
        <w:rPr>
          <w:rFonts w:hint="eastAsia" w:ascii="宋体" w:hAnsi="宋体" w:eastAsia="宋体" w:cs="宋体"/>
          <w:color w:val="auto"/>
          <w:kern w:val="2"/>
          <w:szCs w:val="32"/>
          <w:highlight w:val="none"/>
        </w:rPr>
        <w:br w:type="page"/>
      </w:r>
    </w:p>
    <w:p w14:paraId="41AAFE48">
      <w:pPr>
        <w:pStyle w:val="2"/>
        <w:rPr>
          <w:rFonts w:hint="eastAsia" w:ascii="宋体" w:hAnsi="宋体" w:eastAsia="宋体" w:cs="宋体"/>
          <w:color w:val="auto"/>
          <w:highlight w:val="none"/>
        </w:rPr>
      </w:pPr>
      <w:r>
        <w:rPr>
          <w:rFonts w:hint="eastAsia" w:ascii="宋体" w:hAnsi="宋体" w:eastAsia="宋体" w:cs="宋体"/>
          <w:color w:val="auto"/>
          <w:kern w:val="2"/>
          <w:szCs w:val="32"/>
          <w:highlight w:val="none"/>
        </w:rPr>
        <w:t xml:space="preserve">第四章  </w:t>
      </w:r>
      <w:bookmarkEnd w:id="88"/>
      <w:r>
        <w:rPr>
          <w:rFonts w:hint="eastAsia" w:ascii="宋体" w:hAnsi="宋体" w:eastAsia="宋体" w:cs="宋体"/>
          <w:color w:val="auto"/>
          <w:kern w:val="2"/>
          <w:szCs w:val="32"/>
          <w:highlight w:val="none"/>
        </w:rPr>
        <w:t>合同协议书（格式）</w:t>
      </w:r>
      <w:bookmarkEnd w:id="89"/>
      <w:bookmarkEnd w:id="90"/>
      <w:bookmarkEnd w:id="91"/>
      <w:bookmarkStart w:id="94" w:name="_Toc449115783"/>
    </w:p>
    <w:p w14:paraId="0775939F">
      <w:pPr>
        <w:bidi w:val="0"/>
        <w:jc w:val="center"/>
        <w:rPr>
          <w:rFonts w:hint="eastAsia"/>
          <w:color w:val="auto"/>
          <w:highlight w:val="none"/>
        </w:rPr>
      </w:pPr>
      <w:bookmarkStart w:id="95" w:name="_Toc17817"/>
      <w:bookmarkStart w:id="96" w:name="_Toc6487310"/>
      <w:r>
        <w:rPr>
          <w:color w:val="auto"/>
          <w:highlight w:val="none"/>
        </w:rPr>
        <w:t>政府采购合同</w:t>
      </w:r>
      <w:r>
        <w:rPr>
          <w:rFonts w:hint="eastAsia"/>
          <w:color w:val="auto"/>
          <w:highlight w:val="none"/>
        </w:rPr>
        <w:t>参考范本</w:t>
      </w:r>
    </w:p>
    <w:p w14:paraId="28FA78FA">
      <w:pPr>
        <w:bidi w:val="0"/>
        <w:jc w:val="center"/>
        <w:rPr>
          <w:rFonts w:hint="eastAsia"/>
          <w:color w:val="auto"/>
          <w:highlight w:val="none"/>
        </w:rPr>
      </w:pPr>
      <w:r>
        <w:rPr>
          <w:rFonts w:hint="eastAsia"/>
          <w:color w:val="auto"/>
          <w:highlight w:val="none"/>
        </w:rPr>
        <w:t>（货物类）</w:t>
      </w:r>
    </w:p>
    <w:p w14:paraId="7A646A78">
      <w:pPr>
        <w:rPr>
          <w:rFonts w:ascii="仿宋" w:hAnsi="仿宋" w:eastAsia="仿宋"/>
          <w:color w:val="auto"/>
          <w:highlight w:val="none"/>
        </w:rPr>
      </w:pPr>
    </w:p>
    <w:p w14:paraId="54F8384A">
      <w:pPr>
        <w:rPr>
          <w:rFonts w:hint="eastAsia" w:ascii="仿宋" w:hAnsi="仿宋" w:eastAsia="仿宋"/>
          <w:color w:val="auto"/>
          <w:highlight w:val="none"/>
          <w:lang w:val="zh-CN"/>
        </w:rPr>
      </w:pPr>
    </w:p>
    <w:p w14:paraId="41F559FC">
      <w:pPr>
        <w:autoSpaceDE w:val="0"/>
        <w:autoSpaceDN w:val="0"/>
        <w:adjustRightInd w:val="0"/>
        <w:jc w:val="left"/>
        <w:rPr>
          <w:rFonts w:ascii="仿宋" w:hAnsi="仿宋" w:eastAsia="仿宋"/>
          <w:color w:val="auto"/>
          <w:kern w:val="0"/>
          <w:sz w:val="24"/>
          <w:highlight w:val="none"/>
          <w:lang w:val="zh-CN"/>
        </w:rPr>
      </w:pPr>
    </w:p>
    <w:p w14:paraId="5F912685">
      <w:pPr>
        <w:autoSpaceDE w:val="0"/>
        <w:autoSpaceDN w:val="0"/>
        <w:adjustRightInd w:val="0"/>
        <w:jc w:val="center"/>
        <w:rPr>
          <w:rFonts w:hint="eastAsia" w:ascii="宋体" w:hAnsi="宋体" w:eastAsia="宋体" w:cs="宋体"/>
          <w:color w:val="auto"/>
          <w:kern w:val="0"/>
          <w:sz w:val="24"/>
          <w:szCs w:val="24"/>
          <w:highlight w:val="none"/>
          <w:lang w:val="zh-CN"/>
        </w:rPr>
      </w:pPr>
      <w:r>
        <w:rPr>
          <w:rFonts w:hint="eastAsia" w:ascii="仿宋" w:hAnsi="仿宋" w:eastAsia="仿宋"/>
          <w:b/>
          <w:color w:val="auto"/>
          <w:kern w:val="0"/>
          <w:sz w:val="24"/>
          <w:highlight w:val="none"/>
          <w:lang w:val="zh-CN"/>
        </w:rPr>
        <w:br w:type="page"/>
      </w:r>
      <w:r>
        <w:rPr>
          <w:rFonts w:hint="eastAsia" w:ascii="宋体" w:hAnsi="宋体" w:eastAsia="宋体" w:cs="宋体"/>
          <w:b/>
          <w:color w:val="auto"/>
          <w:kern w:val="0"/>
          <w:sz w:val="24"/>
          <w:szCs w:val="24"/>
          <w:highlight w:val="none"/>
          <w:lang w:val="zh-CN"/>
        </w:rPr>
        <w:t>第一部分 合同书</w:t>
      </w:r>
    </w:p>
    <w:p w14:paraId="4BB4D125">
      <w:pPr>
        <w:spacing w:before="120" w:line="22" w:lineRule="atLeast"/>
        <w:ind w:left="0" w:leftChars="0" w:firstLine="0" w:firstLineChars="0"/>
        <w:rPr>
          <w:rFonts w:hint="eastAsia" w:ascii="宋体" w:hAnsi="宋体" w:eastAsia="宋体" w:cs="宋体"/>
          <w:color w:val="auto"/>
          <w:sz w:val="24"/>
          <w:szCs w:val="24"/>
          <w:highlight w:val="none"/>
        </w:rPr>
      </w:pPr>
    </w:p>
    <w:p w14:paraId="64668181">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郑州市郑州市上街区教育局采购智慧黑板及教室护眼灯设备项目</w:t>
      </w:r>
      <w:r>
        <w:rPr>
          <w:rFonts w:hint="eastAsia" w:ascii="宋体" w:hAnsi="宋体" w:eastAsia="宋体" w:cs="宋体"/>
          <w:color w:val="auto"/>
          <w:sz w:val="24"/>
          <w:szCs w:val="24"/>
          <w:highlight w:val="none"/>
          <w:u w:val="single"/>
        </w:rPr>
        <w:t xml:space="preserve">    </w:t>
      </w:r>
    </w:p>
    <w:p w14:paraId="057B37A4">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郑州市上街区教育局                   </w:t>
      </w:r>
    </w:p>
    <w:p w14:paraId="730CD491">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22028905">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45A2A88D">
      <w:pPr>
        <w:spacing w:before="120" w:line="22"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F30BD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郑州市上街区教育局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竞争性磋商方式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郑州市上街区教育局采购智慧黑板及教室护眼灯设备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lang w:val="en-US" w:eastAsia="zh-CN"/>
        </w:rPr>
        <w:t>评标委员会</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被采购人确定</w:t>
      </w:r>
      <w:r>
        <w:rPr>
          <w:rFonts w:hint="eastAsia" w:ascii="宋体" w:hAnsi="宋体" w:eastAsia="宋体" w:cs="宋体"/>
          <w:color w:val="auto"/>
          <w:sz w:val="24"/>
          <w:szCs w:val="24"/>
          <w:highlight w:val="none"/>
          <w:u w:val="single"/>
        </w:rPr>
        <w:t xml:space="preserve">   （成交供应商名称）  </w:t>
      </w:r>
      <w:r>
        <w:rPr>
          <w:rFonts w:hint="eastAsia" w:ascii="宋体" w:hAnsi="宋体" w:eastAsia="宋体" w:cs="宋体"/>
          <w:color w:val="auto"/>
          <w:sz w:val="24"/>
          <w:szCs w:val="24"/>
          <w:highlight w:val="none"/>
        </w:rPr>
        <w:t>为该项目</w:t>
      </w:r>
      <w:r>
        <w:rPr>
          <w:rFonts w:hint="eastAsia" w:ascii="宋体" w:hAnsi="宋体" w:eastAsia="宋体" w:cs="宋体"/>
          <w:color w:val="auto"/>
          <w:sz w:val="24"/>
          <w:szCs w:val="24"/>
          <w:highlight w:val="none"/>
          <w:lang w:val="en-US" w:eastAsia="zh-CN"/>
        </w:rPr>
        <w:t>A包</w:t>
      </w:r>
      <w:r>
        <w:rPr>
          <w:rFonts w:hint="eastAsia" w:ascii="宋体" w:hAnsi="宋体" w:eastAsia="宋体" w:cs="宋体"/>
          <w:color w:val="auto"/>
          <w:sz w:val="24"/>
          <w:szCs w:val="24"/>
          <w:highlight w:val="none"/>
        </w:rPr>
        <w:t>成交供应商。现于成交通知书发出之日起2个工作日内，按照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文件确定的事项签订本合同。</w:t>
      </w:r>
    </w:p>
    <w:p w14:paraId="15CBFB7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郑州市上街区教育局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（成交供应商名称）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6F93ABB5">
      <w:pPr>
        <w:rPr>
          <w:rFonts w:hint="eastAsia" w:ascii="宋体" w:hAnsi="宋体" w:eastAsia="宋体" w:cs="宋体"/>
          <w:color w:val="auto"/>
          <w:sz w:val="24"/>
          <w:szCs w:val="24"/>
          <w:highlight w:val="none"/>
        </w:rPr>
      </w:pPr>
    </w:p>
    <w:p w14:paraId="3FD52555">
      <w:pPr>
        <w:spacing w:line="560" w:lineRule="exact"/>
        <w:ind w:firstLine="482" w:firstLineChars="200"/>
        <w:outlineLvl w:val="0"/>
        <w:rPr>
          <w:rFonts w:hint="eastAsia" w:ascii="宋体" w:hAnsi="宋体" w:eastAsia="宋体" w:cs="宋体"/>
          <w:b/>
          <w:color w:val="auto"/>
          <w:sz w:val="24"/>
          <w:szCs w:val="24"/>
          <w:highlight w:val="none"/>
        </w:rPr>
      </w:pPr>
      <w:bookmarkStart w:id="97" w:name="_Toc82613304"/>
      <w:bookmarkStart w:id="98" w:name="_Toc24059"/>
      <w:bookmarkStart w:id="99" w:name="_Toc3029"/>
      <w:bookmarkStart w:id="100" w:name="_Toc2232"/>
      <w:r>
        <w:rPr>
          <w:rFonts w:hint="eastAsia" w:ascii="宋体" w:hAnsi="宋体" w:eastAsia="宋体" w:cs="宋体"/>
          <w:b/>
          <w:color w:val="auto"/>
          <w:sz w:val="24"/>
          <w:szCs w:val="24"/>
          <w:highlight w:val="none"/>
        </w:rPr>
        <w:t>1.1 合同组成部分</w:t>
      </w:r>
      <w:bookmarkEnd w:id="97"/>
      <w:bookmarkEnd w:id="98"/>
      <w:bookmarkEnd w:id="99"/>
      <w:bookmarkEnd w:id="100"/>
    </w:p>
    <w:p w14:paraId="16525F1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416A7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5F642E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成交通知书；</w:t>
      </w:r>
    </w:p>
    <w:p w14:paraId="242BD3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文件（含澄清或者说明文件）；</w:t>
      </w:r>
    </w:p>
    <w:p w14:paraId="32DFA1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文件（含澄清或者修改文件）；</w:t>
      </w:r>
    </w:p>
    <w:p w14:paraId="538627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14:paraId="55624FBE">
      <w:pPr>
        <w:spacing w:line="240" w:lineRule="auto"/>
        <w:ind w:firstLine="482" w:firstLineChars="200"/>
        <w:jc w:val="left"/>
        <w:outlineLvl w:val="0"/>
        <w:rPr>
          <w:rFonts w:hint="eastAsia" w:ascii="宋体" w:hAnsi="宋体" w:eastAsia="宋体" w:cs="宋体"/>
          <w:b/>
          <w:color w:val="auto"/>
          <w:sz w:val="24"/>
          <w:szCs w:val="24"/>
          <w:highlight w:val="none"/>
        </w:rPr>
      </w:pPr>
      <w:bookmarkStart w:id="101" w:name="_Toc21295"/>
      <w:bookmarkStart w:id="102" w:name="_Toc24300"/>
      <w:bookmarkStart w:id="103" w:name="_Toc82613305"/>
      <w:bookmarkStart w:id="104" w:name="_Toc27126"/>
      <w:r>
        <w:rPr>
          <w:rFonts w:hint="eastAsia" w:ascii="宋体" w:hAnsi="宋体" w:eastAsia="宋体" w:cs="宋体"/>
          <w:b/>
          <w:color w:val="auto"/>
          <w:sz w:val="24"/>
          <w:szCs w:val="24"/>
          <w:highlight w:val="none"/>
        </w:rPr>
        <w:t>1.2 货物</w:t>
      </w:r>
      <w:bookmarkEnd w:id="101"/>
      <w:bookmarkEnd w:id="102"/>
      <w:bookmarkEnd w:id="103"/>
      <w:bookmarkEnd w:id="104"/>
    </w:p>
    <w:p w14:paraId="128F1E5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货物名称：</w:t>
      </w:r>
      <w:r>
        <w:rPr>
          <w:rFonts w:hint="eastAsia" w:ascii="宋体" w:hAnsi="宋体" w:eastAsia="宋体" w:cs="宋体"/>
          <w:color w:val="auto"/>
          <w:sz w:val="24"/>
          <w:szCs w:val="24"/>
          <w:highlight w:val="none"/>
          <w:lang w:eastAsia="zh-CN"/>
        </w:rPr>
        <w:t>郑州市上街区教育局采购智慧黑板及教室护眼灯设备项目</w:t>
      </w:r>
      <w:r>
        <w:rPr>
          <w:rFonts w:hint="eastAsia" w:ascii="宋体" w:hAnsi="宋体" w:eastAsia="宋体" w:cs="宋体"/>
          <w:color w:val="auto"/>
          <w:sz w:val="24"/>
          <w:szCs w:val="24"/>
          <w:highlight w:val="none"/>
        </w:rPr>
        <w:t xml:space="preserve">       </w:t>
      </w:r>
    </w:p>
    <w:p w14:paraId="5CCFB02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w:t>
      </w:r>
      <w:r>
        <w:rPr>
          <w:rFonts w:hint="eastAsia" w:ascii="宋体" w:hAnsi="宋体" w:eastAsia="宋体" w:cs="宋体"/>
          <w:bCs/>
          <w:color w:val="auto"/>
          <w:sz w:val="24"/>
          <w:szCs w:val="24"/>
          <w:highlight w:val="none"/>
        </w:rPr>
        <w:t>采购内容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郑州市上街区教育局采购智慧黑板及教室护眼灯设备</w:t>
      </w:r>
      <w:r>
        <w:rPr>
          <w:rFonts w:hint="eastAsia" w:ascii="宋体" w:hAnsi="宋体" w:eastAsia="宋体" w:cs="宋体"/>
          <w:b w:val="0"/>
          <w:bCs w:val="0"/>
          <w:color w:val="auto"/>
          <w:sz w:val="24"/>
          <w:szCs w:val="24"/>
          <w:highlight w:val="none"/>
          <w:lang w:val="en-US" w:eastAsia="zh-CN"/>
        </w:rPr>
        <w:t>购置，其中：</w:t>
      </w:r>
      <w:r>
        <w:rPr>
          <w:rFonts w:hint="eastAsia" w:ascii="宋体" w:hAnsi="宋体" w:eastAsia="宋体" w:cs="宋体"/>
          <w:b w:val="0"/>
          <w:bCs w:val="0"/>
          <w:color w:val="auto"/>
          <w:sz w:val="24"/>
          <w:szCs w:val="24"/>
          <w:highlight w:val="none"/>
        </w:rPr>
        <w:t>智慧黑板采购、安装及</w:t>
      </w:r>
      <w:r>
        <w:rPr>
          <w:rFonts w:hint="eastAsia" w:ascii="宋体" w:hAnsi="宋体" w:eastAsia="宋体" w:cs="宋体"/>
          <w:b w:val="0"/>
          <w:bCs w:val="0"/>
          <w:color w:val="auto"/>
          <w:sz w:val="24"/>
          <w:szCs w:val="24"/>
          <w:highlight w:val="none"/>
          <w:lang w:val="en-US" w:eastAsia="zh-CN"/>
        </w:rPr>
        <w:t>售后</w:t>
      </w:r>
      <w:r>
        <w:rPr>
          <w:rFonts w:hint="eastAsia" w:ascii="宋体" w:hAnsi="宋体" w:eastAsia="宋体" w:cs="宋体"/>
          <w:b w:val="0"/>
          <w:bCs w:val="0"/>
          <w:color w:val="auto"/>
          <w:sz w:val="24"/>
          <w:szCs w:val="24"/>
          <w:highlight w:val="none"/>
        </w:rPr>
        <w:t>服务</w:t>
      </w:r>
      <w:r>
        <w:rPr>
          <w:rFonts w:hint="eastAsia" w:ascii="宋体" w:hAnsi="宋体" w:eastAsia="宋体" w:cs="宋体"/>
          <w:b w:val="0"/>
          <w:bCs w:val="0"/>
          <w:color w:val="auto"/>
          <w:sz w:val="24"/>
          <w:szCs w:val="24"/>
          <w:highlight w:val="none"/>
          <w:lang w:val="en-US" w:eastAsia="zh-CN"/>
        </w:rPr>
        <w:t>共30套，含拆除原有的教学设备30套并安装到指定位置；</w:t>
      </w:r>
      <w:r>
        <w:rPr>
          <w:rFonts w:hint="eastAsia" w:ascii="宋体" w:hAnsi="宋体" w:eastAsia="宋体" w:cs="宋体"/>
          <w:b w:val="0"/>
          <w:bCs w:val="0"/>
          <w:color w:val="auto"/>
          <w:sz w:val="24"/>
          <w:szCs w:val="24"/>
          <w:highlight w:val="none"/>
        </w:rPr>
        <w:t>LED 教室护眼灯、LED 黑板护眼灯、辅材及安装</w:t>
      </w:r>
      <w:r>
        <w:rPr>
          <w:rFonts w:hint="eastAsia" w:ascii="宋体" w:hAnsi="宋体" w:eastAsia="宋体" w:cs="宋体"/>
          <w:b w:val="0"/>
          <w:bCs w:val="0"/>
          <w:color w:val="auto"/>
          <w:sz w:val="24"/>
          <w:szCs w:val="24"/>
          <w:highlight w:val="none"/>
          <w:lang w:val="en-US" w:eastAsia="zh-CN"/>
        </w:rPr>
        <w:t>共40套（9个护眼灯+3个黑板灯为一套）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具体要求详见招标文件第</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章技术参数及要求；</w:t>
      </w:r>
    </w:p>
    <w:p w14:paraId="6E65D15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质量要求：</w:t>
      </w:r>
      <w:r>
        <w:rPr>
          <w:rFonts w:hint="eastAsia" w:ascii="宋体" w:hAnsi="宋体" w:eastAsia="宋体" w:cs="宋体"/>
          <w:color w:val="auto"/>
          <w:sz w:val="24"/>
          <w:szCs w:val="24"/>
          <w:highlight w:val="none"/>
          <w:u w:val="single"/>
        </w:rPr>
        <w:t>合格，符合国家及行业相关标准</w:t>
      </w:r>
      <w:r>
        <w:rPr>
          <w:rFonts w:hint="eastAsia" w:ascii="宋体" w:hAnsi="宋体" w:eastAsia="宋体" w:cs="宋体"/>
          <w:color w:val="auto"/>
          <w:sz w:val="24"/>
          <w:szCs w:val="24"/>
          <w:highlight w:val="none"/>
        </w:rPr>
        <w:t>。</w:t>
      </w:r>
    </w:p>
    <w:p w14:paraId="7302B006">
      <w:pPr>
        <w:spacing w:line="560" w:lineRule="exact"/>
        <w:ind w:firstLine="482" w:firstLineChars="200"/>
        <w:outlineLvl w:val="0"/>
        <w:rPr>
          <w:rFonts w:hint="eastAsia" w:ascii="宋体" w:hAnsi="宋体" w:eastAsia="宋体" w:cs="宋体"/>
          <w:b/>
          <w:color w:val="auto"/>
          <w:sz w:val="24"/>
          <w:szCs w:val="24"/>
          <w:highlight w:val="none"/>
        </w:rPr>
      </w:pPr>
      <w:bookmarkStart w:id="105" w:name="_Toc82613306"/>
      <w:bookmarkStart w:id="106" w:name="_Toc21551"/>
      <w:bookmarkStart w:id="107" w:name="_Toc21631"/>
      <w:bookmarkStart w:id="108" w:name="_Toc23292"/>
      <w:r>
        <w:rPr>
          <w:rFonts w:hint="eastAsia" w:ascii="宋体" w:hAnsi="宋体" w:eastAsia="宋体" w:cs="宋体"/>
          <w:b/>
          <w:color w:val="auto"/>
          <w:sz w:val="24"/>
          <w:szCs w:val="24"/>
          <w:highlight w:val="none"/>
        </w:rPr>
        <w:t>1.3 价款</w:t>
      </w:r>
      <w:bookmarkEnd w:id="105"/>
      <w:bookmarkEnd w:id="106"/>
      <w:bookmarkEnd w:id="107"/>
      <w:bookmarkEnd w:id="108"/>
    </w:p>
    <w:p w14:paraId="15969C9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2CE5C7DF">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2A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37D170">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noWrap w:val="0"/>
            <w:vAlign w:val="center"/>
          </w:tcPr>
          <w:p w14:paraId="1D1F3B32">
            <w:pPr>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noWrap w:val="0"/>
            <w:vAlign w:val="center"/>
          </w:tcPr>
          <w:p w14:paraId="006BD805">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2526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6DC850C">
            <w:pPr>
              <w:spacing w:line="560" w:lineRule="exact"/>
              <w:ind w:firstLine="200"/>
              <w:jc w:val="center"/>
              <w:rPr>
                <w:rFonts w:hint="eastAsia" w:ascii="宋体" w:hAnsi="宋体" w:eastAsia="宋体" w:cs="宋体"/>
                <w:color w:val="auto"/>
                <w:sz w:val="24"/>
                <w:szCs w:val="24"/>
                <w:highlight w:val="none"/>
              </w:rPr>
            </w:pPr>
          </w:p>
        </w:tc>
        <w:tc>
          <w:tcPr>
            <w:tcW w:w="3402" w:type="dxa"/>
            <w:noWrap w:val="0"/>
            <w:vAlign w:val="center"/>
          </w:tcPr>
          <w:p w14:paraId="41196B63">
            <w:pPr>
              <w:spacing w:line="560" w:lineRule="exact"/>
              <w:ind w:firstLine="200"/>
              <w:jc w:val="center"/>
              <w:rPr>
                <w:rFonts w:hint="eastAsia" w:ascii="宋体" w:hAnsi="宋体" w:eastAsia="宋体" w:cs="宋体"/>
                <w:color w:val="auto"/>
                <w:sz w:val="24"/>
                <w:szCs w:val="24"/>
                <w:highlight w:val="none"/>
              </w:rPr>
            </w:pPr>
          </w:p>
        </w:tc>
        <w:tc>
          <w:tcPr>
            <w:tcW w:w="2552" w:type="dxa"/>
            <w:noWrap w:val="0"/>
            <w:vAlign w:val="center"/>
          </w:tcPr>
          <w:p w14:paraId="57BEAD0A">
            <w:pPr>
              <w:spacing w:line="560" w:lineRule="exact"/>
              <w:ind w:firstLine="200"/>
              <w:jc w:val="center"/>
              <w:rPr>
                <w:rFonts w:hint="eastAsia" w:ascii="宋体" w:hAnsi="宋体" w:eastAsia="宋体" w:cs="宋体"/>
                <w:color w:val="auto"/>
                <w:sz w:val="24"/>
                <w:szCs w:val="24"/>
                <w:highlight w:val="none"/>
              </w:rPr>
            </w:pPr>
          </w:p>
        </w:tc>
      </w:tr>
      <w:tr w14:paraId="672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6EF551">
            <w:pPr>
              <w:spacing w:line="560" w:lineRule="exact"/>
              <w:ind w:firstLine="200"/>
              <w:jc w:val="center"/>
              <w:rPr>
                <w:rFonts w:hint="eastAsia" w:ascii="宋体" w:hAnsi="宋体" w:eastAsia="宋体" w:cs="宋体"/>
                <w:color w:val="auto"/>
                <w:sz w:val="24"/>
                <w:szCs w:val="24"/>
                <w:highlight w:val="none"/>
              </w:rPr>
            </w:pPr>
          </w:p>
        </w:tc>
        <w:tc>
          <w:tcPr>
            <w:tcW w:w="3402" w:type="dxa"/>
            <w:noWrap w:val="0"/>
            <w:vAlign w:val="center"/>
          </w:tcPr>
          <w:p w14:paraId="2E8C27AB">
            <w:pPr>
              <w:spacing w:line="560" w:lineRule="exact"/>
              <w:ind w:firstLine="200"/>
              <w:jc w:val="center"/>
              <w:rPr>
                <w:rFonts w:hint="eastAsia" w:ascii="宋体" w:hAnsi="宋体" w:eastAsia="宋体" w:cs="宋体"/>
                <w:color w:val="auto"/>
                <w:sz w:val="24"/>
                <w:szCs w:val="24"/>
                <w:highlight w:val="none"/>
              </w:rPr>
            </w:pPr>
          </w:p>
        </w:tc>
        <w:tc>
          <w:tcPr>
            <w:tcW w:w="2552" w:type="dxa"/>
            <w:noWrap w:val="0"/>
            <w:vAlign w:val="center"/>
          </w:tcPr>
          <w:p w14:paraId="528698E9">
            <w:pPr>
              <w:spacing w:line="560" w:lineRule="exact"/>
              <w:ind w:firstLine="200"/>
              <w:jc w:val="center"/>
              <w:rPr>
                <w:rFonts w:hint="eastAsia" w:ascii="宋体" w:hAnsi="宋体" w:eastAsia="宋体" w:cs="宋体"/>
                <w:color w:val="auto"/>
                <w:sz w:val="24"/>
                <w:szCs w:val="24"/>
                <w:highlight w:val="none"/>
              </w:rPr>
            </w:pPr>
          </w:p>
        </w:tc>
      </w:tr>
      <w:tr w14:paraId="681C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F9E9EE8">
            <w:pPr>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noWrap w:val="0"/>
            <w:vAlign w:val="center"/>
          </w:tcPr>
          <w:p w14:paraId="6D896F01">
            <w:pPr>
              <w:spacing w:line="560" w:lineRule="exact"/>
              <w:ind w:firstLine="200"/>
              <w:jc w:val="center"/>
              <w:rPr>
                <w:rFonts w:hint="eastAsia" w:ascii="宋体" w:hAnsi="宋体" w:eastAsia="宋体" w:cs="宋体"/>
                <w:color w:val="auto"/>
                <w:sz w:val="24"/>
                <w:szCs w:val="24"/>
                <w:highlight w:val="none"/>
              </w:rPr>
            </w:pPr>
          </w:p>
        </w:tc>
      </w:tr>
    </w:tbl>
    <w:p w14:paraId="7E4112AE">
      <w:pPr>
        <w:spacing w:line="560" w:lineRule="exact"/>
        <w:ind w:firstLine="482" w:firstLineChars="200"/>
        <w:outlineLvl w:val="0"/>
        <w:rPr>
          <w:rFonts w:hint="eastAsia" w:ascii="宋体" w:hAnsi="宋体" w:eastAsia="宋体" w:cs="宋体"/>
          <w:b/>
          <w:color w:val="auto"/>
          <w:sz w:val="24"/>
          <w:szCs w:val="24"/>
          <w:highlight w:val="none"/>
        </w:rPr>
      </w:pPr>
      <w:bookmarkStart w:id="109" w:name="_Toc1814"/>
      <w:bookmarkStart w:id="110" w:name="_Toc22618"/>
      <w:bookmarkStart w:id="111" w:name="_Toc10340"/>
      <w:bookmarkStart w:id="112" w:name="_Toc82613307"/>
      <w:r>
        <w:rPr>
          <w:rFonts w:hint="eastAsia" w:ascii="宋体" w:hAnsi="宋体" w:eastAsia="宋体" w:cs="宋体"/>
          <w:b/>
          <w:color w:val="auto"/>
          <w:sz w:val="24"/>
          <w:szCs w:val="24"/>
          <w:highlight w:val="none"/>
        </w:rPr>
        <w:t>1.4 付款方式和发票开具方式</w:t>
      </w:r>
      <w:bookmarkEnd w:id="109"/>
      <w:bookmarkEnd w:id="110"/>
      <w:bookmarkEnd w:id="111"/>
      <w:bookmarkEnd w:id="112"/>
    </w:p>
    <w:p w14:paraId="52C2DB32">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 付款方式：</w:t>
      </w:r>
      <w:r>
        <w:rPr>
          <w:rFonts w:hint="eastAsia" w:ascii="宋体" w:hAnsi="宋体" w:eastAsia="宋体" w:cs="宋体"/>
          <w:color w:val="auto"/>
          <w:sz w:val="24"/>
          <w:highlight w:val="none"/>
        </w:rPr>
        <w:t>项目完成供货、调试，经甲方组织验收合格</w:t>
      </w:r>
      <w:r>
        <w:rPr>
          <w:rFonts w:hint="eastAsia" w:ascii="宋体" w:hAnsi="宋体" w:eastAsia="宋体" w:cs="宋体"/>
          <w:color w:val="auto"/>
          <w:sz w:val="24"/>
          <w:highlight w:val="none"/>
          <w:lang w:val="en-US" w:eastAsia="zh-CN"/>
        </w:rPr>
        <w:t>第一年内支付</w:t>
      </w:r>
      <w:r>
        <w:rPr>
          <w:rFonts w:hint="eastAsia" w:cs="宋体"/>
          <w:color w:val="auto"/>
          <w:sz w:val="24"/>
          <w:highlight w:val="none"/>
          <w:lang w:val="en-US" w:eastAsia="zh-CN"/>
        </w:rPr>
        <w:t>7</w:t>
      </w:r>
      <w:r>
        <w:rPr>
          <w:rFonts w:hint="eastAsia" w:ascii="宋体" w:hAnsi="宋体" w:eastAsia="宋体" w:cs="宋体"/>
          <w:color w:val="auto"/>
          <w:sz w:val="24"/>
          <w:highlight w:val="none"/>
          <w:lang w:val="en-US" w:eastAsia="zh-CN"/>
        </w:rPr>
        <w:t>0%合同额；第二年内支付</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0%合同额；第三年内，质保期结束后产品无质量等问题支付10%合同额</w:t>
      </w:r>
      <w:r>
        <w:rPr>
          <w:rFonts w:hint="eastAsia" w:ascii="宋体" w:hAnsi="宋体" w:eastAsia="宋体" w:cs="宋体"/>
          <w:color w:val="auto"/>
          <w:sz w:val="24"/>
          <w:highlight w:val="none"/>
        </w:rPr>
        <w:t>（根据采购人要求开具发票）</w:t>
      </w:r>
      <w:r>
        <w:rPr>
          <w:rFonts w:hint="eastAsia" w:ascii="宋体" w:hAnsi="宋体" w:eastAsia="宋体" w:cs="宋体"/>
          <w:color w:val="auto"/>
          <w:sz w:val="24"/>
          <w:szCs w:val="24"/>
          <w:highlight w:val="none"/>
        </w:rPr>
        <w:t>（根据采购人要求开具发票）。</w:t>
      </w:r>
    </w:p>
    <w:p w14:paraId="755D8E4E">
      <w:pPr>
        <w:spacing w:line="56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注：乙方知悉本设备采购为政府采购。设备款所有支付根据财政支付到账情况，按比例支付。</w:t>
      </w:r>
    </w:p>
    <w:p w14:paraId="1959CFC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根据采购人要求开据发票  </w:t>
      </w:r>
      <w:r>
        <w:rPr>
          <w:rFonts w:hint="eastAsia" w:ascii="宋体" w:hAnsi="宋体" w:eastAsia="宋体" w:cs="宋体"/>
          <w:color w:val="auto"/>
          <w:sz w:val="24"/>
          <w:szCs w:val="24"/>
          <w:highlight w:val="none"/>
        </w:rPr>
        <w:t>。</w:t>
      </w:r>
    </w:p>
    <w:p w14:paraId="25D4B7C4">
      <w:pPr>
        <w:spacing w:line="560" w:lineRule="exact"/>
        <w:ind w:firstLine="482" w:firstLineChars="200"/>
        <w:outlineLvl w:val="0"/>
        <w:rPr>
          <w:rFonts w:hint="eastAsia" w:ascii="宋体" w:hAnsi="宋体" w:eastAsia="宋体" w:cs="宋体"/>
          <w:b/>
          <w:color w:val="auto"/>
          <w:sz w:val="24"/>
          <w:szCs w:val="24"/>
          <w:highlight w:val="none"/>
        </w:rPr>
      </w:pPr>
      <w:bookmarkStart w:id="113" w:name="_Toc2846"/>
      <w:bookmarkStart w:id="114" w:name="_Toc82613308"/>
      <w:bookmarkStart w:id="115" w:name="_Toc19304"/>
      <w:bookmarkStart w:id="116" w:name="_Toc32071"/>
      <w:r>
        <w:rPr>
          <w:rFonts w:hint="eastAsia" w:ascii="宋体" w:hAnsi="宋体" w:eastAsia="宋体" w:cs="宋体"/>
          <w:b/>
          <w:color w:val="auto"/>
          <w:sz w:val="24"/>
          <w:szCs w:val="24"/>
          <w:highlight w:val="none"/>
        </w:rPr>
        <w:t>1.5 货物交付期限、地点和方式</w:t>
      </w:r>
      <w:bookmarkEnd w:id="113"/>
      <w:bookmarkEnd w:id="114"/>
      <w:bookmarkEnd w:id="115"/>
      <w:bookmarkEnd w:id="116"/>
    </w:p>
    <w:p w14:paraId="371D6E2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交付期限：</w:t>
      </w:r>
      <w:r>
        <w:rPr>
          <w:rFonts w:hint="eastAsia" w:ascii="宋体" w:hAnsi="宋体" w:eastAsia="宋体" w:cs="宋体"/>
          <w:color w:val="auto"/>
          <w:sz w:val="24"/>
          <w:szCs w:val="24"/>
          <w:highlight w:val="none"/>
          <w:u w:val="single"/>
        </w:rPr>
        <w:t xml:space="preserve">  合同签订后</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天内交付使用 </w:t>
      </w:r>
      <w:r>
        <w:rPr>
          <w:rFonts w:hint="eastAsia" w:ascii="宋体" w:hAnsi="宋体" w:eastAsia="宋体" w:cs="宋体"/>
          <w:color w:val="auto"/>
          <w:sz w:val="24"/>
          <w:szCs w:val="24"/>
          <w:highlight w:val="none"/>
        </w:rPr>
        <w:t>；</w:t>
      </w:r>
    </w:p>
    <w:p w14:paraId="36DC4C1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交付地点：</w:t>
      </w:r>
      <w:r>
        <w:rPr>
          <w:rFonts w:hint="eastAsia" w:ascii="宋体" w:hAnsi="宋体" w:eastAsia="宋体" w:cs="宋体"/>
          <w:color w:val="auto"/>
          <w:sz w:val="24"/>
          <w:szCs w:val="24"/>
          <w:highlight w:val="none"/>
          <w:u w:val="single"/>
        </w:rPr>
        <w:t xml:space="preserve">   郑州市上街区教育局指定地点    </w:t>
      </w:r>
      <w:r>
        <w:rPr>
          <w:rFonts w:hint="eastAsia" w:ascii="宋体" w:hAnsi="宋体" w:eastAsia="宋体" w:cs="宋体"/>
          <w:color w:val="auto"/>
          <w:sz w:val="24"/>
          <w:szCs w:val="24"/>
          <w:highlight w:val="none"/>
        </w:rPr>
        <w:t>；</w:t>
      </w:r>
    </w:p>
    <w:p w14:paraId="3FA0055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交付方式：</w:t>
      </w:r>
      <w:r>
        <w:rPr>
          <w:rFonts w:hint="eastAsia" w:ascii="宋体" w:hAnsi="宋体" w:eastAsia="宋体" w:cs="宋体"/>
          <w:color w:val="auto"/>
          <w:sz w:val="24"/>
          <w:szCs w:val="24"/>
          <w:highlight w:val="none"/>
          <w:u w:val="single"/>
        </w:rPr>
        <w:t xml:space="preserve">　　现场交付     　      </w:t>
      </w:r>
      <w:r>
        <w:rPr>
          <w:rFonts w:hint="eastAsia" w:ascii="宋体" w:hAnsi="宋体" w:eastAsia="宋体" w:cs="宋体"/>
          <w:color w:val="auto"/>
          <w:sz w:val="24"/>
          <w:szCs w:val="24"/>
          <w:highlight w:val="none"/>
        </w:rPr>
        <w:t>。</w:t>
      </w:r>
    </w:p>
    <w:p w14:paraId="4F2E87EC">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1.5合同验收</w:t>
      </w:r>
    </w:p>
    <w:p w14:paraId="65C79F17">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w:t>
      </w:r>
      <w:r>
        <w:rPr>
          <w:rFonts w:hint="default" w:ascii="宋体" w:hAnsi="宋体" w:eastAsia="宋体" w:cs="宋体"/>
          <w:color w:val="auto"/>
          <w:sz w:val="24"/>
          <w:szCs w:val="24"/>
          <w:highlight w:val="none"/>
          <w:lang w:val="en-US" w:eastAsia="zh-CN"/>
        </w:rPr>
        <w:t>验收组织方式：</w:t>
      </w:r>
    </w:p>
    <w:p w14:paraId="29AD2D6E">
      <w:pPr>
        <w:spacing w:line="560" w:lineRule="exact"/>
        <w:ind w:firstLine="952" w:firstLineChars="400"/>
        <w:rPr>
          <w:rFonts w:hint="default" w:ascii="宋体" w:hAnsi="宋体" w:eastAsia="宋体" w:cs="宋体"/>
          <w:color w:val="auto"/>
          <w:sz w:val="24"/>
          <w:szCs w:val="24"/>
          <w:highlight w:val="none"/>
          <w:lang w:val="en-US" w:eastAsia="zh-CN"/>
        </w:rPr>
      </w:pP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自行组织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委托第三方组织 </w:t>
      </w:r>
    </w:p>
    <w:p w14:paraId="1BDB6850">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验收主体：</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 xml:space="preserve">                  </w:t>
      </w:r>
    </w:p>
    <w:p w14:paraId="593C41EE">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是否邀请本项目的其他供应商参加验收：</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是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否 </w:t>
      </w:r>
    </w:p>
    <w:p w14:paraId="3F789FF9">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是否邀请专家参加验收：</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是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否</w:t>
      </w:r>
    </w:p>
    <w:p w14:paraId="44ED1A18">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是否邀请服务对象参加验收：</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是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否</w:t>
      </w:r>
    </w:p>
    <w:p w14:paraId="037544B3">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是否邀请第三方检测机构参加验收：</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是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否</w:t>
      </w:r>
    </w:p>
    <w:p w14:paraId="1FD8837B">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是否进行抽查检测：</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是，抽查比例：</w:t>
      </w:r>
      <w:r>
        <w:rPr>
          <w:rFonts w:hint="default" w:ascii="宋体" w:hAnsi="宋体" w:eastAsia="宋体" w:cs="宋体"/>
          <w:color w:val="auto"/>
          <w:sz w:val="24"/>
          <w:szCs w:val="24"/>
          <w:highlight w:val="none"/>
          <w:u w:val="single"/>
          <w:lang w:val="en-US" w:eastAsia="zh-CN"/>
        </w:rPr>
        <w:t xml:space="preserve">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否</w:t>
      </w:r>
    </w:p>
    <w:p w14:paraId="008EE02C">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是否存在破坏性检测：</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是，（应明确对被破坏的检测产品的处理方式）</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否</w:t>
      </w:r>
    </w:p>
    <w:p w14:paraId="18B0C536">
      <w:pPr>
        <w:spacing w:line="560" w:lineRule="exact"/>
        <w:ind w:firstLine="960" w:firstLineChars="4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验收组织的其他事项：</w:t>
      </w:r>
      <w:r>
        <w:rPr>
          <w:rFonts w:hint="eastAsia" w:ascii="宋体" w:hAnsi="宋体" w:eastAsia="宋体" w:cs="宋体"/>
          <w:color w:val="auto"/>
          <w:sz w:val="24"/>
          <w:szCs w:val="24"/>
          <w:highlight w:val="none"/>
          <w:u w:val="single"/>
          <w:lang w:val="en-US" w:eastAsia="zh-CN"/>
        </w:rPr>
        <w:t xml:space="preserve">  （本项目验收过程中产生的一切费用，均包含在合同额内，包括但不限于第三方服务费等）  </w:t>
      </w:r>
      <w:r>
        <w:rPr>
          <w:rFonts w:hint="default" w:ascii="宋体" w:hAnsi="宋体" w:eastAsia="宋体" w:cs="宋体"/>
          <w:color w:val="auto"/>
          <w:sz w:val="24"/>
          <w:szCs w:val="24"/>
          <w:highlight w:val="none"/>
          <w:lang w:val="en-US" w:eastAsia="zh-CN"/>
        </w:rPr>
        <w:t xml:space="preserve">                </w:t>
      </w:r>
    </w:p>
    <w:p w14:paraId="4C00E800">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w:t>
      </w:r>
      <w:r>
        <w:rPr>
          <w:rFonts w:hint="default" w:ascii="宋体" w:hAnsi="宋体" w:eastAsia="宋体" w:cs="宋体"/>
          <w:color w:val="auto"/>
          <w:sz w:val="24"/>
          <w:szCs w:val="24"/>
          <w:highlight w:val="none"/>
          <w:lang w:val="en-US" w:eastAsia="zh-CN"/>
        </w:rPr>
        <w:t xml:space="preserve">履约验收时间：（计划于何时验收/供应商提出验收申请之日起   日内组织验收） </w:t>
      </w:r>
    </w:p>
    <w:p w14:paraId="73888910">
      <w:pPr>
        <w:numPr>
          <w:ilvl w:val="0"/>
          <w:numId w:val="0"/>
        </w:numPr>
        <w:spacing w:line="560" w:lineRule="exact"/>
        <w:ind w:firstLine="480" w:firstLineChars="200"/>
        <w:rPr>
          <w:rFonts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lang w:val="en-US" w:eastAsia="zh-CN"/>
        </w:rPr>
        <w:t>1.5.3</w:t>
      </w:r>
      <w:r>
        <w:rPr>
          <w:rFonts w:hint="default" w:ascii="宋体" w:hAnsi="宋体" w:eastAsia="宋体" w:cs="宋体"/>
          <w:color w:val="auto"/>
          <w:sz w:val="24"/>
          <w:szCs w:val="24"/>
          <w:highlight w:val="none"/>
          <w:lang w:val="en-US" w:eastAsia="zh-CN"/>
        </w:rPr>
        <w:t>履约验收方式：</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一次性验收</w:t>
      </w:r>
      <w:r>
        <w:rPr>
          <w:rFonts w:hint="eastAsia" w:ascii="宋体" w:hAnsi="宋体" w:eastAsia="宋体" w:cs="宋体"/>
          <w:color w:val="auto"/>
          <w:sz w:val="24"/>
          <w:szCs w:val="24"/>
          <w:highlight w:val="none"/>
          <w:lang w:val="en-US" w:eastAsia="zh-CN"/>
        </w:rPr>
        <w:t xml:space="preserve">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分期/分项验收：</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2"/>
          <w:sz w:val="24"/>
          <w:szCs w:val="24"/>
          <w:highlight w:val="none"/>
          <w:u w:val="single" w:color="auto"/>
        </w:rPr>
        <w:t>（</w:t>
      </w:r>
      <w:r>
        <w:rPr>
          <w:rFonts w:ascii="宋体" w:hAnsi="宋体" w:eastAsia="宋体" w:cs="宋体"/>
          <w:color w:val="auto"/>
          <w:sz w:val="24"/>
          <w:szCs w:val="24"/>
          <w:highlight w:val="none"/>
          <w:u w:val="single" w:color="auto"/>
        </w:rPr>
        <w:t xml:space="preserve">应明确分期/分项验收的工作安排）   </w:t>
      </w:r>
    </w:p>
    <w:p w14:paraId="62CC6265">
      <w:pPr>
        <w:numPr>
          <w:ilvl w:val="0"/>
          <w:numId w:val="0"/>
        </w:num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1.5.4</w:t>
      </w:r>
      <w:r>
        <w:rPr>
          <w:rFonts w:hint="default" w:ascii="宋体" w:hAnsi="宋体" w:eastAsia="宋体" w:cs="宋体"/>
          <w:color w:val="auto"/>
          <w:sz w:val="24"/>
          <w:szCs w:val="24"/>
          <w:highlight w:val="none"/>
          <w:lang w:val="en-US" w:eastAsia="zh-CN"/>
        </w:rPr>
        <w:t>履约验收程序：</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 xml:space="preserve">                                          </w:t>
      </w:r>
    </w:p>
    <w:p w14:paraId="20BC6D23">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w:t>
      </w:r>
      <w:r>
        <w:rPr>
          <w:rFonts w:hint="default" w:ascii="宋体" w:hAnsi="宋体" w:eastAsia="宋体" w:cs="宋体"/>
          <w:color w:val="auto"/>
          <w:sz w:val="24"/>
          <w:szCs w:val="24"/>
          <w:highlight w:val="none"/>
          <w:lang w:val="en-US" w:eastAsia="zh-CN"/>
        </w:rPr>
        <w:t>履约验收的内容：</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 xml:space="preserve">                          </w:t>
      </w:r>
    </w:p>
    <w:p w14:paraId="42AD3C07">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1.5.6</w:t>
      </w:r>
      <w:r>
        <w:rPr>
          <w:rFonts w:hint="default" w:ascii="宋体" w:hAnsi="宋体" w:eastAsia="宋体" w:cs="宋体"/>
          <w:color w:val="auto"/>
          <w:sz w:val="24"/>
          <w:szCs w:val="24"/>
          <w:highlight w:val="none"/>
          <w:lang w:val="en-US" w:eastAsia="zh-CN"/>
        </w:rPr>
        <w:t xml:space="preserve">履约验收标准： </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 xml:space="preserve">                                         </w:t>
      </w:r>
    </w:p>
    <w:p w14:paraId="453638BB">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1.5.7</w:t>
      </w:r>
      <w:r>
        <w:rPr>
          <w:rFonts w:hint="default" w:ascii="宋体" w:hAnsi="宋体" w:eastAsia="宋体" w:cs="宋体"/>
          <w:color w:val="auto"/>
          <w:sz w:val="24"/>
          <w:szCs w:val="24"/>
          <w:highlight w:val="none"/>
          <w:lang w:val="en-US" w:eastAsia="zh-CN"/>
        </w:rPr>
        <w:t>是否以采购活动中供应商提供的样品作为参考：</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 xml:space="preserve">是  </w:t>
      </w:r>
      <w:r>
        <w:rPr>
          <w:rFonts w:ascii="Wingdings" w:hAnsi="Wingdings" w:eastAsia="Wingdings" w:cs="Wingdings"/>
          <w:color w:val="auto"/>
          <w:spacing w:val="-1"/>
          <w:sz w:val="24"/>
          <w:szCs w:val="24"/>
          <w:highlight w:val="none"/>
        </w:rPr>
        <w:t>o</w:t>
      </w:r>
      <w:r>
        <w:rPr>
          <w:rFonts w:hint="default" w:ascii="宋体" w:hAnsi="宋体" w:eastAsia="宋体" w:cs="宋体"/>
          <w:color w:val="auto"/>
          <w:sz w:val="24"/>
          <w:szCs w:val="24"/>
          <w:highlight w:val="none"/>
          <w:lang w:val="en-US" w:eastAsia="zh-CN"/>
        </w:rPr>
        <w:t>否</w:t>
      </w:r>
    </w:p>
    <w:p w14:paraId="23522838">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1.5.8</w:t>
      </w:r>
      <w:r>
        <w:rPr>
          <w:rFonts w:hint="default" w:ascii="宋体" w:hAnsi="宋体" w:eastAsia="宋体" w:cs="宋体"/>
          <w:color w:val="auto"/>
          <w:sz w:val="24"/>
          <w:szCs w:val="24"/>
          <w:highlight w:val="none"/>
          <w:lang w:val="en-US" w:eastAsia="zh-CN"/>
        </w:rPr>
        <w:t>履约验收其他事项：</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 xml:space="preserve">         </w:t>
      </w:r>
    </w:p>
    <w:p w14:paraId="0C3B1559">
      <w:pPr>
        <w:spacing w:line="560" w:lineRule="exact"/>
        <w:ind w:firstLine="482" w:firstLineChars="200"/>
        <w:outlineLvl w:val="0"/>
        <w:rPr>
          <w:rFonts w:hint="eastAsia" w:ascii="宋体" w:hAnsi="宋体" w:eastAsia="宋体" w:cs="宋体"/>
          <w:b/>
          <w:color w:val="auto"/>
          <w:sz w:val="24"/>
          <w:szCs w:val="24"/>
          <w:highlight w:val="none"/>
        </w:rPr>
      </w:pPr>
      <w:bookmarkStart w:id="117" w:name="_Toc21423"/>
      <w:bookmarkStart w:id="118" w:name="_Toc27250"/>
      <w:bookmarkStart w:id="119" w:name="_Toc19554"/>
      <w:bookmarkStart w:id="120" w:name="_Toc82613309"/>
      <w:r>
        <w:rPr>
          <w:rFonts w:hint="eastAsia" w:ascii="宋体" w:hAnsi="宋体" w:eastAsia="宋体" w:cs="宋体"/>
          <w:b/>
          <w:color w:val="auto"/>
          <w:sz w:val="24"/>
          <w:szCs w:val="24"/>
          <w:highlight w:val="none"/>
        </w:rPr>
        <w:t>1.6 违约责任</w:t>
      </w:r>
      <w:bookmarkEnd w:id="117"/>
      <w:bookmarkEnd w:id="118"/>
      <w:bookmarkEnd w:id="119"/>
      <w:bookmarkEnd w:id="120"/>
    </w:p>
    <w:p w14:paraId="340655F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14:paraId="02A24B0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64350E7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31710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166054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B676D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51E359A">
      <w:pPr>
        <w:spacing w:line="560" w:lineRule="exact"/>
        <w:ind w:firstLine="482" w:firstLineChars="200"/>
        <w:outlineLvl w:val="0"/>
        <w:rPr>
          <w:rFonts w:hint="eastAsia" w:ascii="宋体" w:hAnsi="宋体" w:eastAsia="宋体" w:cs="宋体"/>
          <w:b/>
          <w:color w:val="auto"/>
          <w:sz w:val="24"/>
          <w:szCs w:val="24"/>
          <w:highlight w:val="none"/>
        </w:rPr>
      </w:pPr>
      <w:bookmarkStart w:id="121" w:name="_Toc28375"/>
      <w:bookmarkStart w:id="122" w:name="_Toc16021"/>
      <w:bookmarkStart w:id="123" w:name="_Toc15583"/>
      <w:bookmarkStart w:id="124" w:name="_Toc82613310"/>
      <w:r>
        <w:rPr>
          <w:rFonts w:hint="eastAsia" w:ascii="宋体" w:hAnsi="宋体" w:eastAsia="宋体" w:cs="宋体"/>
          <w:b/>
          <w:color w:val="auto"/>
          <w:sz w:val="24"/>
          <w:szCs w:val="24"/>
          <w:highlight w:val="none"/>
        </w:rPr>
        <w:t>1.7 合同争议的解决</w:t>
      </w:r>
      <w:bookmarkEnd w:id="121"/>
      <w:bookmarkEnd w:id="122"/>
      <w:bookmarkEnd w:id="123"/>
      <w:bookmarkEnd w:id="124"/>
    </w:p>
    <w:p w14:paraId="73B4DF2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2588096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郑州市  </w:t>
      </w:r>
      <w:r>
        <w:rPr>
          <w:rFonts w:hint="eastAsia" w:ascii="宋体" w:hAnsi="宋体" w:eastAsia="宋体" w:cs="宋体"/>
          <w:color w:val="auto"/>
          <w:sz w:val="24"/>
          <w:szCs w:val="24"/>
          <w:highlight w:val="none"/>
        </w:rPr>
        <w:t>仲裁委员会依申请仲裁时其现行有效的仲裁规则裁决；</w:t>
      </w:r>
    </w:p>
    <w:p w14:paraId="7D25ECA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项目所在地  </w:t>
      </w:r>
      <w:r>
        <w:rPr>
          <w:rFonts w:hint="eastAsia" w:ascii="宋体" w:hAnsi="宋体" w:eastAsia="宋体" w:cs="宋体"/>
          <w:color w:val="auto"/>
          <w:sz w:val="24"/>
          <w:szCs w:val="24"/>
          <w:highlight w:val="none"/>
        </w:rPr>
        <w:t>人民法院起诉。</w:t>
      </w:r>
    </w:p>
    <w:p w14:paraId="3FC41419">
      <w:pPr>
        <w:spacing w:line="560" w:lineRule="exact"/>
        <w:ind w:firstLine="482" w:firstLineChars="200"/>
        <w:outlineLvl w:val="0"/>
        <w:rPr>
          <w:rFonts w:hint="eastAsia" w:ascii="宋体" w:hAnsi="宋体" w:eastAsia="宋体" w:cs="宋体"/>
          <w:b/>
          <w:color w:val="auto"/>
          <w:sz w:val="24"/>
          <w:szCs w:val="24"/>
          <w:highlight w:val="none"/>
        </w:rPr>
      </w:pPr>
      <w:bookmarkStart w:id="125" w:name="_Toc82613311"/>
      <w:bookmarkStart w:id="126" w:name="_Toc15322"/>
      <w:bookmarkStart w:id="127" w:name="_Toc11173"/>
      <w:bookmarkStart w:id="128" w:name="_Toc7245"/>
      <w:r>
        <w:rPr>
          <w:rFonts w:hint="eastAsia" w:ascii="宋体" w:hAnsi="宋体" w:eastAsia="宋体" w:cs="宋体"/>
          <w:b/>
          <w:color w:val="auto"/>
          <w:sz w:val="24"/>
          <w:szCs w:val="24"/>
          <w:highlight w:val="none"/>
        </w:rPr>
        <w:t>1.8 合同生效</w:t>
      </w:r>
      <w:bookmarkEnd w:id="125"/>
      <w:bookmarkEnd w:id="126"/>
      <w:bookmarkEnd w:id="127"/>
      <w:bookmarkEnd w:id="128"/>
    </w:p>
    <w:p w14:paraId="2089F8BE">
      <w:pPr>
        <w:spacing w:line="5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14:paraId="3A3F26B8">
      <w:pPr>
        <w:autoSpaceDE w:val="0"/>
        <w:autoSpaceDN w:val="0"/>
        <w:adjustRightInd w:val="0"/>
        <w:spacing w:line="560" w:lineRule="exact"/>
        <w:rPr>
          <w:rFonts w:hint="eastAsia" w:ascii="宋体" w:hAnsi="宋体" w:eastAsia="宋体" w:cs="宋体"/>
          <w:color w:val="auto"/>
          <w:sz w:val="24"/>
          <w:szCs w:val="24"/>
          <w:highlight w:val="none"/>
          <w:lang w:val="zh-CN"/>
        </w:rPr>
      </w:pPr>
    </w:p>
    <w:p w14:paraId="71FA9B1B">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14:paraId="7BB5C904">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14:paraId="6FD898AA">
      <w:pPr>
        <w:autoSpaceDE w:val="0"/>
        <w:autoSpaceDN w:val="0"/>
        <w:adjustRightInd w:val="0"/>
        <w:spacing w:line="560" w:lineRule="exact"/>
        <w:rPr>
          <w:rFonts w:hint="eastAsia" w:ascii="宋体" w:hAnsi="宋体" w:eastAsia="宋体" w:cs="宋体"/>
          <w:color w:val="auto"/>
          <w:sz w:val="24"/>
          <w:szCs w:val="24"/>
          <w:highlight w:val="none"/>
          <w:lang w:val="zh-CN"/>
        </w:rPr>
      </w:pPr>
    </w:p>
    <w:p w14:paraId="70817E64">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14:paraId="35D79D28">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法定代表人（单位负责人）或               法定代表人（单位负责人）</w:t>
      </w:r>
    </w:p>
    <w:p w14:paraId="7145A0D8">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授权代表（签字或盖章                     或授权代表（签字或盖章）: </w:t>
      </w:r>
    </w:p>
    <w:p w14:paraId="511FA023">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14:paraId="3361215B">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14:paraId="312A8F22">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14:paraId="12692E1A">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14:paraId="6D27F705">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14:paraId="7A7BBE48">
      <w:pPr>
        <w:autoSpaceDE w:val="0"/>
        <w:autoSpaceDN w:val="0"/>
        <w:adjustRightIn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14:paraId="7A9578AD">
      <w:pPr>
        <w:autoSpaceDE w:val="0"/>
        <w:autoSpaceDN w:val="0"/>
        <w:adjustRightIn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14:paraId="3A5B7C3B">
      <w:pPr>
        <w:autoSpaceDE w:val="0"/>
        <w:autoSpaceDN w:val="0"/>
        <w:adjustRightIn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14:paraId="3890E3D8">
      <w:pPr>
        <w:autoSpaceDE w:val="0"/>
        <w:autoSpaceDN w:val="0"/>
        <w:adjustRightIn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14:paraId="49C86B0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2F7D9C6">
      <w:pPr>
        <w:autoSpaceDE w:val="0"/>
        <w:autoSpaceDN w:val="0"/>
        <w:adjustRightInd w:val="0"/>
        <w:spacing w:line="560" w:lineRule="exact"/>
        <w:ind w:firstLine="200"/>
        <w:jc w:val="center"/>
        <w:rPr>
          <w:rFonts w:hint="eastAsia" w:ascii="宋体" w:hAnsi="宋体" w:eastAsia="宋体" w:cs="宋体"/>
          <w:b/>
          <w:i w:val="0"/>
          <w:iCs w:val="0"/>
          <w:color w:val="auto"/>
          <w:kern w:val="0"/>
          <w:sz w:val="24"/>
          <w:szCs w:val="24"/>
          <w:highlight w:val="none"/>
          <w:lang w:val="zh-CN"/>
        </w:rPr>
      </w:pPr>
      <w:r>
        <w:rPr>
          <w:rFonts w:hint="eastAsia" w:ascii="宋体" w:hAnsi="宋体" w:eastAsia="宋体" w:cs="宋体"/>
          <w:b/>
          <w:i w:val="0"/>
          <w:iCs w:val="0"/>
          <w:color w:val="auto"/>
          <w:kern w:val="0"/>
          <w:sz w:val="24"/>
          <w:szCs w:val="24"/>
          <w:highlight w:val="none"/>
          <w:lang w:val="zh-CN"/>
        </w:rPr>
        <w:t>第二部分 合同一般条款</w:t>
      </w:r>
    </w:p>
    <w:p w14:paraId="4EB3658C">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129" w:name="_Ref467378404"/>
      <w:bookmarkStart w:id="130" w:name="_Ref467379195"/>
      <w:bookmarkStart w:id="131" w:name="_Toc259093669"/>
      <w:bookmarkStart w:id="132" w:name="_Toc19614"/>
      <w:bookmarkStart w:id="133" w:name="_Ref467379214"/>
      <w:bookmarkStart w:id="134" w:name="_Toc16917"/>
      <w:bookmarkStart w:id="135" w:name="_Ref467379101"/>
      <w:bookmarkStart w:id="136" w:name="_Toc279701240"/>
      <w:bookmarkStart w:id="137" w:name="_Ref467379225"/>
      <w:bookmarkStart w:id="138" w:name="_Ref467378463"/>
      <w:bookmarkStart w:id="139" w:name="_Ref467378499"/>
      <w:bookmarkStart w:id="140" w:name="_Toc28763"/>
      <w:bookmarkStart w:id="141" w:name="_Ref467379109"/>
      <w:bookmarkStart w:id="142" w:name="_Ref467379205"/>
      <w:bookmarkStart w:id="143" w:name="_Toc82613312"/>
      <w:bookmarkStart w:id="144" w:name="_Toc487900349"/>
      <w:bookmarkStart w:id="145" w:name="_Ref467379094"/>
      <w:r>
        <w:rPr>
          <w:rFonts w:hint="eastAsia" w:ascii="宋体" w:hAnsi="宋体" w:eastAsia="宋体" w:cs="宋体"/>
          <w:b/>
          <w:i w:val="0"/>
          <w:iCs w:val="0"/>
          <w:color w:val="auto"/>
          <w:sz w:val="24"/>
          <w:szCs w:val="24"/>
          <w:highlight w:val="none"/>
        </w:rPr>
        <w:t>2.1定义</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C5CD926">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4EB34EDF">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2.1.1“合同”系指采购人和成交供应商签订的载明双方当事人所达成的协议，并包括所有的附件、附录和构成合同的其他文件。</w:t>
      </w:r>
    </w:p>
    <w:p w14:paraId="207D7A51">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2.1.2“合同价”系指根据合同约定，成交供应商在完全履行合同义务后，采购人应支付给成交供应商的价格。</w:t>
      </w:r>
    </w:p>
    <w:p w14:paraId="4A104F8B">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54FF87A3">
      <w:pPr>
        <w:spacing w:line="560" w:lineRule="exact"/>
        <w:ind w:firstLine="480" w:firstLineChars="200"/>
        <w:rPr>
          <w:rFonts w:hint="eastAsia" w:ascii="宋体" w:hAnsi="宋体" w:eastAsia="宋体" w:cs="宋体"/>
          <w:i w:val="0"/>
          <w:iCs w:val="0"/>
          <w:color w:val="auto"/>
          <w:sz w:val="24"/>
          <w:szCs w:val="24"/>
          <w:highlight w:val="none"/>
        </w:rPr>
      </w:pPr>
      <w:bookmarkStart w:id="146" w:name="_Ref467378840"/>
      <w:r>
        <w:rPr>
          <w:rFonts w:hint="eastAsia" w:ascii="宋体" w:hAnsi="宋体" w:eastAsia="宋体" w:cs="宋体"/>
          <w:i w:val="0"/>
          <w:iCs w:val="0"/>
          <w:color w:val="auto"/>
          <w:sz w:val="24"/>
          <w:szCs w:val="24"/>
          <w:highlight w:val="none"/>
        </w:rPr>
        <w:t>2.1.4“甲方”系指与成交供应商签署合同的采购人</w:t>
      </w:r>
      <w:bookmarkEnd w:id="146"/>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37DB88D9">
      <w:pPr>
        <w:spacing w:line="560" w:lineRule="exact"/>
        <w:ind w:firstLine="480" w:firstLineChars="200"/>
        <w:rPr>
          <w:rFonts w:hint="eastAsia" w:ascii="宋体" w:hAnsi="宋体" w:eastAsia="宋体" w:cs="宋体"/>
          <w:i w:val="0"/>
          <w:iCs w:val="0"/>
          <w:color w:val="auto"/>
          <w:sz w:val="24"/>
          <w:szCs w:val="24"/>
          <w:highlight w:val="none"/>
        </w:rPr>
      </w:pPr>
      <w:bookmarkStart w:id="147" w:name="_Ref467379400"/>
      <w:r>
        <w:rPr>
          <w:rFonts w:hint="eastAsia" w:ascii="宋体" w:hAnsi="宋体" w:eastAsia="宋体" w:cs="宋体"/>
          <w:i w:val="0"/>
          <w:iCs w:val="0"/>
          <w:color w:val="auto"/>
          <w:sz w:val="24"/>
          <w:szCs w:val="24"/>
          <w:highlight w:val="none"/>
        </w:rPr>
        <w:t>2.1.5“乙方”系指根据合同约定交付货物的成交供应商</w:t>
      </w:r>
      <w:bookmarkEnd w:id="147"/>
      <w:r>
        <w:rPr>
          <w:rFonts w:hint="eastAsia" w:ascii="宋体" w:hAnsi="宋体" w:eastAsia="宋体" w:cs="宋体"/>
          <w:i w:val="0"/>
          <w:iCs w:val="0"/>
          <w:color w:val="auto"/>
          <w:sz w:val="24"/>
          <w:szCs w:val="24"/>
          <w:highlight w:val="none"/>
        </w:rPr>
        <w:t>。</w:t>
      </w:r>
    </w:p>
    <w:p w14:paraId="7748A307">
      <w:pPr>
        <w:spacing w:line="560" w:lineRule="exact"/>
        <w:ind w:firstLine="480" w:firstLineChars="200"/>
        <w:rPr>
          <w:rFonts w:hint="eastAsia" w:ascii="宋体" w:hAnsi="宋体" w:eastAsia="宋体" w:cs="宋体"/>
          <w:i w:val="0"/>
          <w:iCs w:val="0"/>
          <w:color w:val="auto"/>
          <w:sz w:val="24"/>
          <w:szCs w:val="24"/>
          <w:highlight w:val="none"/>
        </w:rPr>
      </w:pPr>
      <w:bookmarkStart w:id="148" w:name="_Ref467379436"/>
      <w:r>
        <w:rPr>
          <w:rFonts w:hint="eastAsia" w:ascii="宋体" w:hAnsi="宋体" w:eastAsia="宋体" w:cs="宋体"/>
          <w:i w:val="0"/>
          <w:iCs w:val="0"/>
          <w:color w:val="auto"/>
          <w:sz w:val="24"/>
          <w:szCs w:val="24"/>
          <w:highlight w:val="none"/>
        </w:rPr>
        <w:t>2.1.6“现场”系指合同约定货物将要运至或者安装的地点。</w:t>
      </w:r>
      <w:bookmarkEnd w:id="148"/>
    </w:p>
    <w:p w14:paraId="6986643D">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149" w:name="_Toc487900350"/>
      <w:bookmarkStart w:id="150" w:name="_Toc32504"/>
      <w:bookmarkStart w:id="151" w:name="_Toc27635"/>
      <w:bookmarkStart w:id="152" w:name="_Toc279701241"/>
      <w:bookmarkStart w:id="153" w:name="_Toc259093670"/>
      <w:bookmarkStart w:id="154" w:name="_Toc82613313"/>
      <w:bookmarkStart w:id="155" w:name="_Toc13336"/>
      <w:r>
        <w:rPr>
          <w:rFonts w:hint="eastAsia" w:ascii="宋体" w:hAnsi="宋体" w:eastAsia="宋体" w:cs="宋体"/>
          <w:b/>
          <w:i w:val="0"/>
          <w:iCs w:val="0"/>
          <w:color w:val="auto"/>
          <w:sz w:val="24"/>
          <w:szCs w:val="24"/>
          <w:highlight w:val="none"/>
        </w:rPr>
        <w:t>2.2 技术规范</w:t>
      </w:r>
      <w:bookmarkEnd w:id="149"/>
      <w:bookmarkEnd w:id="150"/>
      <w:bookmarkEnd w:id="151"/>
      <w:bookmarkEnd w:id="152"/>
      <w:bookmarkEnd w:id="153"/>
      <w:bookmarkEnd w:id="154"/>
      <w:bookmarkEnd w:id="155"/>
    </w:p>
    <w:p w14:paraId="62FC6C18">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FEC921">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156" w:name="_Toc487900351"/>
      <w:bookmarkStart w:id="157" w:name="_Toc9829"/>
      <w:bookmarkStart w:id="158" w:name="_Toc259093671"/>
      <w:bookmarkStart w:id="159" w:name="_Toc27853"/>
      <w:bookmarkStart w:id="160" w:name="_Toc279701242"/>
      <w:bookmarkStart w:id="161" w:name="_Toc82613314"/>
      <w:bookmarkStart w:id="162" w:name="_Toc31634"/>
      <w:r>
        <w:rPr>
          <w:rFonts w:hint="eastAsia" w:ascii="宋体" w:hAnsi="宋体" w:eastAsia="宋体" w:cs="宋体"/>
          <w:b/>
          <w:i w:val="0"/>
          <w:iCs w:val="0"/>
          <w:color w:val="auto"/>
          <w:sz w:val="24"/>
          <w:szCs w:val="24"/>
          <w:highlight w:val="none"/>
        </w:rPr>
        <w:t>2.3知识产权</w:t>
      </w:r>
      <w:bookmarkEnd w:id="156"/>
      <w:bookmarkEnd w:id="157"/>
      <w:bookmarkEnd w:id="158"/>
      <w:bookmarkEnd w:id="159"/>
      <w:bookmarkEnd w:id="160"/>
      <w:bookmarkEnd w:id="161"/>
      <w:bookmarkEnd w:id="162"/>
    </w:p>
    <w:p w14:paraId="5338065B">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C55C0B5">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5FFFEEAC">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163" w:name="_Toc82613315"/>
      <w:bookmarkStart w:id="164" w:name="_Toc4194"/>
      <w:bookmarkStart w:id="165" w:name="_Toc29149"/>
      <w:bookmarkStart w:id="166" w:name="_Toc11932"/>
      <w:r>
        <w:rPr>
          <w:rFonts w:hint="eastAsia" w:ascii="宋体" w:hAnsi="宋体" w:eastAsia="宋体" w:cs="宋体"/>
          <w:b/>
          <w:i w:val="0"/>
          <w:iCs w:val="0"/>
          <w:color w:val="auto"/>
          <w:sz w:val="24"/>
          <w:szCs w:val="24"/>
          <w:highlight w:val="none"/>
        </w:rPr>
        <w:t>2.4包装和装运</w:t>
      </w:r>
      <w:bookmarkEnd w:id="163"/>
      <w:bookmarkEnd w:id="164"/>
      <w:bookmarkEnd w:id="165"/>
      <w:bookmarkEnd w:id="166"/>
    </w:p>
    <w:p w14:paraId="066C546F">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2.4.1除</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AB33A84">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2.4.2装运货物的要求和通知，详见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4FF402F8">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167" w:name="_Toc487900354"/>
      <w:bookmarkStart w:id="168" w:name="_Ref467379542"/>
      <w:bookmarkStart w:id="169" w:name="_Toc259093674"/>
      <w:bookmarkStart w:id="170" w:name="_Toc279701245"/>
      <w:bookmarkStart w:id="171" w:name="_Ref467378541"/>
      <w:bookmarkStart w:id="172" w:name="_Ref467379536"/>
      <w:bookmarkStart w:id="173" w:name="_Ref467379527"/>
      <w:bookmarkStart w:id="174" w:name="_Ref467378591"/>
      <w:bookmarkStart w:id="175" w:name="_Toc19074"/>
      <w:bookmarkStart w:id="176" w:name="_Toc82613316"/>
      <w:bookmarkStart w:id="177" w:name="_Toc30272"/>
      <w:bookmarkStart w:id="178" w:name="_Toc26182"/>
      <w:r>
        <w:rPr>
          <w:rFonts w:hint="eastAsia" w:ascii="宋体" w:hAnsi="宋体" w:eastAsia="宋体" w:cs="宋体"/>
          <w:b/>
          <w:i w:val="0"/>
          <w:iCs w:val="0"/>
          <w:color w:val="auto"/>
          <w:sz w:val="24"/>
          <w:szCs w:val="24"/>
          <w:highlight w:val="none"/>
        </w:rPr>
        <w:t>2.</w:t>
      </w:r>
      <w:bookmarkEnd w:id="167"/>
      <w:bookmarkEnd w:id="168"/>
      <w:bookmarkEnd w:id="169"/>
      <w:bookmarkEnd w:id="170"/>
      <w:bookmarkEnd w:id="171"/>
      <w:bookmarkEnd w:id="172"/>
      <w:bookmarkEnd w:id="173"/>
      <w:bookmarkEnd w:id="174"/>
      <w:r>
        <w:rPr>
          <w:rFonts w:hint="eastAsia" w:ascii="宋体" w:hAnsi="宋体" w:eastAsia="宋体" w:cs="宋体"/>
          <w:b/>
          <w:i w:val="0"/>
          <w:iCs w:val="0"/>
          <w:color w:val="auto"/>
          <w:sz w:val="24"/>
          <w:szCs w:val="24"/>
          <w:highlight w:val="none"/>
        </w:rPr>
        <w:t>5履约检查和问题反馈</w:t>
      </w:r>
      <w:bookmarkEnd w:id="175"/>
      <w:bookmarkEnd w:id="176"/>
      <w:bookmarkEnd w:id="177"/>
      <w:bookmarkEnd w:id="178"/>
    </w:p>
    <w:p w14:paraId="7A6811E3">
      <w:pPr>
        <w:spacing w:line="560" w:lineRule="exact"/>
        <w:ind w:firstLine="480" w:firstLineChars="200"/>
        <w:rPr>
          <w:rFonts w:hint="eastAsia" w:ascii="宋体" w:hAnsi="宋体" w:eastAsia="宋体" w:cs="宋体"/>
          <w:i w:val="0"/>
          <w:iCs w:val="0"/>
          <w:color w:val="auto"/>
          <w:sz w:val="24"/>
          <w:szCs w:val="24"/>
          <w:highlight w:val="none"/>
        </w:rPr>
      </w:pPr>
      <w:bookmarkStart w:id="179" w:name="_Ref467379657"/>
      <w:r>
        <w:rPr>
          <w:rFonts w:hint="eastAsia" w:ascii="宋体" w:hAnsi="宋体" w:eastAsia="宋体" w:cs="宋体"/>
          <w:i w:val="0"/>
          <w:iCs w:val="0"/>
          <w:color w:val="auto"/>
          <w:sz w:val="24"/>
          <w:szCs w:val="24"/>
          <w:highlight w:val="none"/>
        </w:rPr>
        <w:t>2.5.1</w:t>
      </w:r>
      <w:bookmarkEnd w:id="179"/>
      <w:bookmarkStart w:id="180" w:name="_Toc186431854"/>
      <w:bookmarkStart w:id="181" w:name="_Toc259093676"/>
      <w:bookmarkStart w:id="182" w:name="_Ref467379807"/>
      <w:bookmarkStart w:id="183" w:name="_Toc279701247"/>
      <w:bookmarkStart w:id="184" w:name="_Ref467379793"/>
      <w:bookmarkStart w:id="185" w:name="_Toc487900357"/>
      <w:r>
        <w:rPr>
          <w:rFonts w:hint="eastAsia" w:ascii="宋体" w:hAnsi="宋体" w:eastAsia="宋体" w:cs="宋体"/>
          <w:i w:val="0"/>
          <w:iCs w:val="0"/>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506F00C4">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2.5.2合同履行期间，甲方有权将履行过程中出现的问题反馈给乙方，双方当事人应以书面形式约定需要完善和改进的内容</w:t>
      </w:r>
      <w:bookmarkEnd w:id="180"/>
      <w:bookmarkStart w:id="186" w:name="_Toc186431855"/>
      <w:r>
        <w:rPr>
          <w:rFonts w:hint="eastAsia" w:ascii="宋体" w:hAnsi="宋体" w:eastAsia="宋体" w:cs="宋体"/>
          <w:i w:val="0"/>
          <w:iCs w:val="0"/>
          <w:color w:val="auto"/>
          <w:sz w:val="24"/>
          <w:szCs w:val="24"/>
          <w:highlight w:val="none"/>
        </w:rPr>
        <w:t>。</w:t>
      </w:r>
    </w:p>
    <w:bookmarkEnd w:id="186"/>
    <w:p w14:paraId="46CCAC7B">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187" w:name="_Toc19219"/>
      <w:bookmarkStart w:id="188" w:name="_Toc82613317"/>
      <w:bookmarkStart w:id="189" w:name="_Toc7836"/>
      <w:bookmarkStart w:id="190" w:name="_Toc28451"/>
      <w:r>
        <w:rPr>
          <w:rFonts w:hint="eastAsia" w:ascii="宋体" w:hAnsi="宋体" w:eastAsia="宋体" w:cs="宋体"/>
          <w:b/>
          <w:i w:val="0"/>
          <w:iCs w:val="0"/>
          <w:color w:val="auto"/>
          <w:sz w:val="24"/>
          <w:szCs w:val="24"/>
          <w:highlight w:val="none"/>
        </w:rPr>
        <w:t>2.6结算方式和付款条件</w:t>
      </w:r>
      <w:bookmarkEnd w:id="181"/>
      <w:bookmarkEnd w:id="182"/>
      <w:bookmarkEnd w:id="183"/>
      <w:bookmarkEnd w:id="184"/>
      <w:bookmarkEnd w:id="185"/>
      <w:bookmarkEnd w:id="187"/>
      <w:bookmarkEnd w:id="188"/>
      <w:bookmarkEnd w:id="189"/>
      <w:bookmarkEnd w:id="190"/>
    </w:p>
    <w:p w14:paraId="2278151B">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1B6B7FF3">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191" w:name="_Ref467379863"/>
      <w:bookmarkStart w:id="192" w:name="_Ref467379852"/>
      <w:bookmarkStart w:id="193" w:name="_Toc279701248"/>
      <w:bookmarkStart w:id="194" w:name="_Ref467379923"/>
      <w:bookmarkStart w:id="195" w:name="_Toc487900358"/>
      <w:bookmarkStart w:id="196" w:name="_Toc259093677"/>
      <w:bookmarkStart w:id="197" w:name="_Toc774"/>
      <w:bookmarkStart w:id="198" w:name="_Toc16110"/>
      <w:bookmarkStart w:id="199" w:name="_Toc82613318"/>
      <w:bookmarkStart w:id="200" w:name="_Toc3225"/>
      <w:r>
        <w:rPr>
          <w:rFonts w:hint="eastAsia" w:ascii="宋体" w:hAnsi="宋体" w:eastAsia="宋体" w:cs="宋体"/>
          <w:b/>
          <w:i w:val="0"/>
          <w:iCs w:val="0"/>
          <w:color w:val="auto"/>
          <w:sz w:val="24"/>
          <w:szCs w:val="24"/>
          <w:highlight w:val="none"/>
        </w:rPr>
        <w:t>2.7技术资料</w:t>
      </w:r>
      <w:bookmarkEnd w:id="191"/>
      <w:bookmarkEnd w:id="192"/>
      <w:bookmarkEnd w:id="193"/>
      <w:bookmarkEnd w:id="194"/>
      <w:bookmarkEnd w:id="195"/>
      <w:bookmarkEnd w:id="196"/>
      <w:r>
        <w:rPr>
          <w:rFonts w:hint="eastAsia" w:ascii="宋体" w:hAnsi="宋体" w:eastAsia="宋体" w:cs="宋体"/>
          <w:b/>
          <w:i w:val="0"/>
          <w:iCs w:val="0"/>
          <w:color w:val="auto"/>
          <w:sz w:val="24"/>
          <w:szCs w:val="24"/>
          <w:highlight w:val="none"/>
        </w:rPr>
        <w:t>和保密义务</w:t>
      </w:r>
      <w:bookmarkEnd w:id="197"/>
      <w:bookmarkEnd w:id="198"/>
      <w:bookmarkEnd w:id="199"/>
      <w:bookmarkEnd w:id="200"/>
    </w:p>
    <w:p w14:paraId="7B4C2EFB">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2.7.1乙方有权依据合同约定和项目需要，向甲方了解有关情况，调阅有关资料等，甲方应予积极配合；</w:t>
      </w:r>
    </w:p>
    <w:p w14:paraId="4D6A6CB9">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2.7.2乙方有义务妥善保管和保护由甲方提供的前款信息和资料等；</w:t>
      </w:r>
    </w:p>
    <w:p w14:paraId="2E7A8C0D">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7B3A02">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01" w:name="_Toc82613319"/>
      <w:bookmarkStart w:id="202" w:name="_Toc7860"/>
      <w:r>
        <w:rPr>
          <w:rFonts w:hint="eastAsia" w:ascii="宋体" w:hAnsi="宋体" w:eastAsia="宋体" w:cs="宋体"/>
          <w:b/>
          <w:i w:val="0"/>
          <w:iCs w:val="0"/>
          <w:color w:val="auto"/>
          <w:sz w:val="24"/>
          <w:szCs w:val="24"/>
          <w:highlight w:val="none"/>
        </w:rPr>
        <w:t>2.8质量保证</w:t>
      </w:r>
      <w:bookmarkEnd w:id="201"/>
      <w:bookmarkEnd w:id="202"/>
    </w:p>
    <w:p w14:paraId="73393BFF">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2.8.1乙方应建立和完善履行合同的内部质量保证体系，并提供相关内部规章制度给甲方，以便甲方进行监督检查；</w:t>
      </w:r>
    </w:p>
    <w:p w14:paraId="12815526">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2.8.2乙方应保证履行合同的人员数量和素质、软件和硬件设备的配置、场地、环境和设施等满足全面履行合同的要求，并应接受甲方的监督检查。</w:t>
      </w:r>
    </w:p>
    <w:p w14:paraId="24372403">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03" w:name="_Toc82613320"/>
      <w:bookmarkStart w:id="204" w:name="_Toc17244"/>
      <w:bookmarkStart w:id="205" w:name="_Toc259093681"/>
      <w:bookmarkStart w:id="206" w:name="_Toc279701252"/>
      <w:bookmarkStart w:id="207" w:name="_Toc487900362"/>
      <w:r>
        <w:rPr>
          <w:rFonts w:hint="eastAsia" w:ascii="宋体" w:hAnsi="宋体" w:eastAsia="宋体" w:cs="宋体"/>
          <w:b/>
          <w:i w:val="0"/>
          <w:iCs w:val="0"/>
          <w:color w:val="auto"/>
          <w:sz w:val="24"/>
          <w:szCs w:val="24"/>
          <w:highlight w:val="none"/>
        </w:rPr>
        <w:t>2.9货物的风险负担</w:t>
      </w:r>
      <w:bookmarkEnd w:id="203"/>
      <w:bookmarkEnd w:id="204"/>
    </w:p>
    <w:p w14:paraId="61A528AF">
      <w:pPr>
        <w:spacing w:line="560" w:lineRule="exact"/>
        <w:ind w:firstLine="480" w:firstLineChars="200"/>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货物或者在途货物或者交付给第一承运人后的货物毁损、灭失的风险负担详见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17FBC961">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08" w:name="_Toc14055"/>
      <w:bookmarkStart w:id="209" w:name="_Toc82613321"/>
      <w:r>
        <w:rPr>
          <w:rFonts w:hint="eastAsia" w:ascii="宋体" w:hAnsi="宋体" w:eastAsia="宋体" w:cs="宋体"/>
          <w:b/>
          <w:i w:val="0"/>
          <w:iCs w:val="0"/>
          <w:color w:val="auto"/>
          <w:sz w:val="24"/>
          <w:szCs w:val="24"/>
          <w:highlight w:val="none"/>
        </w:rPr>
        <w:t>2.10延迟交货</w:t>
      </w:r>
      <w:bookmarkEnd w:id="205"/>
      <w:bookmarkEnd w:id="206"/>
      <w:bookmarkEnd w:id="207"/>
      <w:bookmarkEnd w:id="208"/>
      <w:bookmarkEnd w:id="209"/>
    </w:p>
    <w:p w14:paraId="0F7E7CF5">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2DA8324">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10" w:name="_Toc82613322"/>
      <w:bookmarkStart w:id="211" w:name="_Toc7502"/>
      <w:bookmarkStart w:id="212" w:name="_Toc279701254"/>
      <w:bookmarkStart w:id="213" w:name="_Toc487900364"/>
      <w:bookmarkStart w:id="214" w:name="_Ref467378121"/>
      <w:bookmarkStart w:id="215" w:name="_Toc259093683"/>
      <w:r>
        <w:rPr>
          <w:rFonts w:hint="eastAsia" w:ascii="宋体" w:hAnsi="宋体" w:eastAsia="宋体" w:cs="宋体"/>
          <w:b/>
          <w:i w:val="0"/>
          <w:iCs w:val="0"/>
          <w:color w:val="auto"/>
          <w:sz w:val="24"/>
          <w:szCs w:val="24"/>
          <w:highlight w:val="none"/>
        </w:rPr>
        <w:t>2.11合同变更</w:t>
      </w:r>
      <w:bookmarkEnd w:id="210"/>
      <w:bookmarkEnd w:id="211"/>
    </w:p>
    <w:p w14:paraId="30636434">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40D17673">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216" w:name="_Toc279701259"/>
      <w:bookmarkStart w:id="217" w:name="_Toc259093688"/>
      <w:bookmarkStart w:id="218" w:name="_Toc487900369"/>
    </w:p>
    <w:p w14:paraId="3FBBAA0B">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19" w:name="_Toc10366"/>
      <w:bookmarkStart w:id="220" w:name="_Toc82613323"/>
      <w:bookmarkStart w:id="221" w:name="_Toc15237"/>
      <w:bookmarkStart w:id="222" w:name="_Toc22955"/>
      <w:r>
        <w:rPr>
          <w:rFonts w:hint="eastAsia" w:ascii="宋体" w:hAnsi="宋体" w:eastAsia="宋体" w:cs="宋体"/>
          <w:b/>
          <w:i w:val="0"/>
          <w:iCs w:val="0"/>
          <w:color w:val="auto"/>
          <w:sz w:val="24"/>
          <w:szCs w:val="24"/>
          <w:highlight w:val="none"/>
        </w:rPr>
        <w:t>2.12合同转让</w:t>
      </w:r>
      <w:bookmarkEnd w:id="216"/>
      <w:bookmarkEnd w:id="217"/>
      <w:bookmarkEnd w:id="218"/>
      <w:r>
        <w:rPr>
          <w:rFonts w:hint="eastAsia" w:ascii="宋体" w:hAnsi="宋体" w:eastAsia="宋体" w:cs="宋体"/>
          <w:b/>
          <w:i w:val="0"/>
          <w:iCs w:val="0"/>
          <w:color w:val="auto"/>
          <w:sz w:val="24"/>
          <w:szCs w:val="24"/>
          <w:highlight w:val="none"/>
        </w:rPr>
        <w:t>和分包</w:t>
      </w:r>
      <w:bookmarkEnd w:id="219"/>
      <w:bookmarkEnd w:id="220"/>
      <w:bookmarkEnd w:id="221"/>
      <w:bookmarkEnd w:id="222"/>
    </w:p>
    <w:p w14:paraId="28F52C56">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86F42E9">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23" w:name="_Toc14066"/>
      <w:bookmarkStart w:id="224" w:name="_Toc16508"/>
      <w:bookmarkStart w:id="225" w:name="_Toc82613324"/>
      <w:bookmarkStart w:id="226" w:name="_Toc13566"/>
      <w:r>
        <w:rPr>
          <w:rFonts w:hint="eastAsia" w:ascii="宋体" w:hAnsi="宋体" w:eastAsia="宋体" w:cs="宋体"/>
          <w:b/>
          <w:i w:val="0"/>
          <w:iCs w:val="0"/>
          <w:color w:val="auto"/>
          <w:sz w:val="24"/>
          <w:szCs w:val="24"/>
          <w:highlight w:val="none"/>
        </w:rPr>
        <w:t>2.13不可抗力</w:t>
      </w:r>
      <w:bookmarkEnd w:id="223"/>
      <w:bookmarkEnd w:id="224"/>
      <w:bookmarkEnd w:id="225"/>
      <w:bookmarkEnd w:id="226"/>
    </w:p>
    <w:p w14:paraId="61D06A9D">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2.13.1如果任何一方遭遇法律规定的不可抗力，致使合同履行受阻时，履行合同的期限应予延长，延长的期限应相当于不可抗力所影响的时间；</w:t>
      </w:r>
    </w:p>
    <w:p w14:paraId="4FD3F915">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2.13.2因不可抗力致使不能实现合同目的的，当事人可以解除合同；</w:t>
      </w:r>
    </w:p>
    <w:p w14:paraId="7AAA9422">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2.13.3因不可抗力致使合同有变更必要的，双方当事人应在</w:t>
      </w:r>
      <w:r>
        <w:rPr>
          <w:rFonts w:hint="eastAsia" w:ascii="宋体" w:hAnsi="宋体" w:eastAsia="宋体" w:cs="宋体"/>
          <w:b/>
          <w:i w:val="0"/>
          <w:iCs w:val="0"/>
          <w:color w:val="auto"/>
          <w:sz w:val="24"/>
          <w:szCs w:val="24"/>
          <w:highlight w:val="none"/>
          <w:u w:val="single"/>
        </w:rPr>
        <w:t>5个工作日</w:t>
      </w:r>
      <w:r>
        <w:rPr>
          <w:rFonts w:hint="eastAsia" w:ascii="宋体" w:hAnsi="宋体" w:eastAsia="宋体" w:cs="宋体"/>
          <w:i w:val="0"/>
          <w:iCs w:val="0"/>
          <w:color w:val="auto"/>
          <w:sz w:val="24"/>
          <w:szCs w:val="24"/>
          <w:highlight w:val="none"/>
        </w:rPr>
        <w:t>内以书面形式变更合同；</w:t>
      </w:r>
    </w:p>
    <w:p w14:paraId="35F4F624">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2.13.4受不可抗力影响的一方在不可抗力发生后，应在</w:t>
      </w:r>
      <w:r>
        <w:rPr>
          <w:rFonts w:hint="eastAsia" w:ascii="宋体" w:hAnsi="宋体" w:eastAsia="宋体" w:cs="宋体"/>
          <w:b/>
          <w:i w:val="0"/>
          <w:iCs w:val="0"/>
          <w:color w:val="auto"/>
          <w:sz w:val="24"/>
          <w:szCs w:val="24"/>
          <w:highlight w:val="none"/>
          <w:u w:val="single"/>
        </w:rPr>
        <w:t>5个工作日</w:t>
      </w:r>
      <w:r>
        <w:rPr>
          <w:rFonts w:hint="eastAsia" w:ascii="宋体" w:hAnsi="宋体" w:eastAsia="宋体" w:cs="宋体"/>
          <w:i w:val="0"/>
          <w:iCs w:val="0"/>
          <w:color w:val="auto"/>
          <w:sz w:val="24"/>
          <w:szCs w:val="24"/>
          <w:highlight w:val="none"/>
        </w:rPr>
        <w:t>内以书面形式通知对方当事人，并在</w:t>
      </w:r>
      <w:r>
        <w:rPr>
          <w:rFonts w:hint="eastAsia" w:ascii="宋体" w:hAnsi="宋体" w:eastAsia="宋体" w:cs="宋体"/>
          <w:b/>
          <w:i w:val="0"/>
          <w:iCs w:val="0"/>
          <w:color w:val="auto"/>
          <w:sz w:val="24"/>
          <w:szCs w:val="24"/>
          <w:highlight w:val="none"/>
          <w:u w:val="single"/>
        </w:rPr>
        <w:t>5个工作日</w:t>
      </w:r>
      <w:r>
        <w:rPr>
          <w:rFonts w:hint="eastAsia" w:ascii="宋体" w:hAnsi="宋体" w:eastAsia="宋体" w:cs="宋体"/>
          <w:i w:val="0"/>
          <w:iCs w:val="0"/>
          <w:color w:val="auto"/>
          <w:sz w:val="24"/>
          <w:szCs w:val="24"/>
          <w:highlight w:val="none"/>
        </w:rPr>
        <w:t>内，将有关部门出具的证明文件送达对方当事人。</w:t>
      </w:r>
    </w:p>
    <w:p w14:paraId="0F63BCAF">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27" w:name="_Toc487900365"/>
      <w:bookmarkStart w:id="228" w:name="_Toc259093684"/>
      <w:bookmarkStart w:id="229" w:name="_Toc279701255"/>
      <w:bookmarkStart w:id="230" w:name="_Toc689"/>
      <w:bookmarkStart w:id="231" w:name="_Toc82613325"/>
      <w:bookmarkStart w:id="232" w:name="_Toc30676"/>
      <w:bookmarkStart w:id="233" w:name="_Toc6969"/>
      <w:r>
        <w:rPr>
          <w:rFonts w:hint="eastAsia" w:ascii="宋体" w:hAnsi="宋体" w:eastAsia="宋体" w:cs="宋体"/>
          <w:b/>
          <w:i w:val="0"/>
          <w:iCs w:val="0"/>
          <w:color w:val="auto"/>
          <w:sz w:val="24"/>
          <w:szCs w:val="24"/>
          <w:highlight w:val="none"/>
        </w:rPr>
        <w:t>2.14税费</w:t>
      </w:r>
      <w:bookmarkEnd w:id="227"/>
      <w:bookmarkEnd w:id="228"/>
      <w:bookmarkEnd w:id="229"/>
      <w:bookmarkEnd w:id="230"/>
      <w:bookmarkEnd w:id="231"/>
      <w:bookmarkEnd w:id="232"/>
      <w:bookmarkEnd w:id="233"/>
    </w:p>
    <w:p w14:paraId="481EA66D">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w:t>
      </w:r>
    </w:p>
    <w:p w14:paraId="2F6FB53A">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34" w:name="_Toc16959"/>
      <w:bookmarkStart w:id="235" w:name="_Toc259093687"/>
      <w:bookmarkStart w:id="236" w:name="_Toc82613326"/>
      <w:bookmarkStart w:id="237" w:name="_Toc8298"/>
      <w:bookmarkStart w:id="238" w:name="_Toc279701258"/>
      <w:bookmarkStart w:id="239" w:name="_Toc7102"/>
      <w:bookmarkStart w:id="240" w:name="_Toc487900368"/>
      <w:r>
        <w:rPr>
          <w:rFonts w:hint="eastAsia" w:ascii="宋体" w:hAnsi="宋体" w:eastAsia="宋体" w:cs="宋体"/>
          <w:b/>
          <w:i w:val="0"/>
          <w:iCs w:val="0"/>
          <w:color w:val="auto"/>
          <w:sz w:val="24"/>
          <w:szCs w:val="24"/>
          <w:highlight w:val="none"/>
        </w:rPr>
        <w:t>2.15乙方破产</w:t>
      </w:r>
      <w:bookmarkEnd w:id="234"/>
      <w:bookmarkEnd w:id="235"/>
      <w:bookmarkEnd w:id="236"/>
      <w:bookmarkEnd w:id="237"/>
      <w:bookmarkEnd w:id="238"/>
      <w:bookmarkEnd w:id="239"/>
      <w:bookmarkEnd w:id="240"/>
    </w:p>
    <w:p w14:paraId="1C714F2B">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76E4EDB">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41" w:name="_Toc29333"/>
      <w:bookmarkStart w:id="242" w:name="_Toc15387"/>
      <w:bookmarkStart w:id="243" w:name="_Toc82613327"/>
      <w:bookmarkStart w:id="244" w:name="_Toc6134"/>
      <w:r>
        <w:rPr>
          <w:rFonts w:hint="eastAsia" w:ascii="宋体" w:hAnsi="宋体" w:eastAsia="宋体" w:cs="宋体"/>
          <w:b/>
          <w:i w:val="0"/>
          <w:iCs w:val="0"/>
          <w:color w:val="auto"/>
          <w:sz w:val="24"/>
          <w:szCs w:val="24"/>
          <w:highlight w:val="none"/>
        </w:rPr>
        <w:t>2.16合同中止、终止</w:t>
      </w:r>
      <w:bookmarkEnd w:id="241"/>
      <w:bookmarkEnd w:id="242"/>
      <w:bookmarkEnd w:id="243"/>
      <w:bookmarkEnd w:id="244"/>
    </w:p>
    <w:p w14:paraId="657632A6">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2.16.1双方当事人不得擅自中止或者终止合同；</w:t>
      </w:r>
    </w:p>
    <w:p w14:paraId="60C3AA12">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1CDF2826">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45" w:name="_Toc6596"/>
      <w:bookmarkStart w:id="246" w:name="_Toc14563"/>
      <w:bookmarkStart w:id="247" w:name="_Toc1125"/>
      <w:bookmarkStart w:id="248" w:name="_Toc82613328"/>
      <w:r>
        <w:rPr>
          <w:rFonts w:hint="eastAsia" w:ascii="宋体" w:hAnsi="宋体" w:eastAsia="宋体" w:cs="宋体"/>
          <w:b/>
          <w:i w:val="0"/>
          <w:iCs w:val="0"/>
          <w:color w:val="auto"/>
          <w:sz w:val="24"/>
          <w:szCs w:val="24"/>
          <w:highlight w:val="none"/>
        </w:rPr>
        <w:t>2.17 检验和验收</w:t>
      </w:r>
      <w:bookmarkEnd w:id="245"/>
      <w:bookmarkEnd w:id="246"/>
      <w:bookmarkEnd w:id="247"/>
      <w:bookmarkEnd w:id="248"/>
    </w:p>
    <w:p w14:paraId="38C480A3">
      <w:pPr>
        <w:tabs>
          <w:tab w:val="left" w:pos="360"/>
          <w:tab w:val="left" w:pos="540"/>
          <w:tab w:val="left" w:pos="1080"/>
        </w:tabs>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val="0"/>
          <w:iCs w:val="0"/>
          <w:color w:val="auto"/>
          <w:sz w:val="24"/>
          <w:szCs w:val="24"/>
          <w:highlight w:val="none"/>
          <w:u w:val="single"/>
        </w:rPr>
        <w:t>5个工作日</w:t>
      </w:r>
      <w:r>
        <w:rPr>
          <w:rFonts w:hint="eastAsia" w:ascii="宋体" w:hAnsi="宋体" w:eastAsia="宋体" w:cs="宋体"/>
          <w:i w:val="0"/>
          <w:iCs w:val="0"/>
          <w:color w:val="auto"/>
          <w:sz w:val="24"/>
          <w:szCs w:val="24"/>
          <w:highlight w:val="none"/>
        </w:rPr>
        <w:t>内组织验收，并可依法邀请相关方参加，验收应出具验收书。</w:t>
      </w:r>
    </w:p>
    <w:p w14:paraId="6903F2CD">
      <w:pPr>
        <w:tabs>
          <w:tab w:val="left" w:pos="360"/>
          <w:tab w:val="left" w:pos="540"/>
          <w:tab w:val="left" w:pos="1080"/>
        </w:tabs>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2.17.2合同期满或者履行完毕后，甲方有权组织（包括依法邀请国家认可的质量检测机构参加</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由此产生的一切费用，包含在合同额内</w:t>
      </w:r>
      <w:r>
        <w:rPr>
          <w:rFonts w:hint="eastAsia" w:ascii="宋体" w:hAnsi="宋体" w:eastAsia="宋体" w:cs="宋体"/>
          <w:i w:val="0"/>
          <w:iCs w:val="0"/>
          <w:color w:val="auto"/>
          <w:sz w:val="24"/>
          <w:szCs w:val="24"/>
          <w:highlight w:val="none"/>
        </w:rPr>
        <w:t>）对乙方履约的验收，即：按照合同约定的技术、服务、安全标准，组织对每一项技术、服务、安全标准的履约情况的验收，并出具验收书。</w:t>
      </w:r>
    </w:p>
    <w:p w14:paraId="2C397AA1">
      <w:pPr>
        <w:tabs>
          <w:tab w:val="left" w:pos="360"/>
          <w:tab w:val="left" w:pos="540"/>
          <w:tab w:val="left" w:pos="1080"/>
        </w:tabs>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212"/>
    <w:bookmarkEnd w:id="213"/>
    <w:bookmarkEnd w:id="214"/>
    <w:bookmarkEnd w:id="215"/>
    <w:p w14:paraId="7AC23A75">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49" w:name="_Toc487900371"/>
      <w:bookmarkStart w:id="250" w:name="_Toc259093690"/>
      <w:bookmarkStart w:id="251" w:name="_Toc279701261"/>
      <w:bookmarkStart w:id="252" w:name="_Toc25182"/>
      <w:bookmarkStart w:id="253" w:name="_Toc19604"/>
      <w:bookmarkStart w:id="254" w:name="_Toc11284"/>
      <w:bookmarkStart w:id="255" w:name="_Toc82613329"/>
      <w:r>
        <w:rPr>
          <w:rFonts w:hint="eastAsia" w:ascii="宋体" w:hAnsi="宋体" w:eastAsia="宋体" w:cs="宋体"/>
          <w:b/>
          <w:i w:val="0"/>
          <w:iCs w:val="0"/>
          <w:color w:val="auto"/>
          <w:sz w:val="24"/>
          <w:szCs w:val="24"/>
          <w:highlight w:val="none"/>
        </w:rPr>
        <w:t>2.18通知</w:t>
      </w:r>
      <w:bookmarkEnd w:id="249"/>
      <w:bookmarkEnd w:id="250"/>
      <w:bookmarkEnd w:id="251"/>
      <w:r>
        <w:rPr>
          <w:rFonts w:hint="eastAsia" w:ascii="宋体" w:hAnsi="宋体" w:eastAsia="宋体" w:cs="宋体"/>
          <w:b/>
          <w:i w:val="0"/>
          <w:iCs w:val="0"/>
          <w:color w:val="auto"/>
          <w:sz w:val="24"/>
          <w:szCs w:val="24"/>
          <w:highlight w:val="none"/>
        </w:rPr>
        <w:t>和送达</w:t>
      </w:r>
      <w:bookmarkEnd w:id="252"/>
      <w:bookmarkEnd w:id="253"/>
      <w:bookmarkEnd w:id="254"/>
      <w:bookmarkEnd w:id="255"/>
    </w:p>
    <w:p w14:paraId="4459B69F">
      <w:pPr>
        <w:spacing w:line="560" w:lineRule="exact"/>
        <w:ind w:firstLine="480" w:firstLineChars="200"/>
        <w:rPr>
          <w:rFonts w:hint="eastAsia" w:ascii="宋体" w:hAnsi="宋体" w:eastAsia="宋体" w:cs="宋体"/>
          <w:i w:val="0"/>
          <w:iCs w:val="0"/>
          <w:color w:val="auto"/>
          <w:sz w:val="24"/>
          <w:szCs w:val="24"/>
          <w:highlight w:val="none"/>
        </w:rPr>
      </w:pPr>
      <w:bookmarkStart w:id="256" w:name="_Toc6698"/>
      <w:bookmarkStart w:id="257" w:name="_Toc3135"/>
      <w:bookmarkStart w:id="258" w:name="_Toc259093691"/>
      <w:bookmarkStart w:id="259" w:name="_Toc279701262"/>
      <w:bookmarkStart w:id="260" w:name="_Toc487900372"/>
      <w:r>
        <w:rPr>
          <w:rFonts w:hint="eastAsia" w:ascii="宋体" w:hAnsi="宋体" w:eastAsia="宋体" w:cs="宋体"/>
          <w:i w:val="0"/>
          <w:iCs w:val="0"/>
          <w:color w:val="auto"/>
          <w:sz w:val="24"/>
          <w:szCs w:val="24"/>
          <w:highlight w:val="none"/>
        </w:rPr>
        <w:t>2.18.1任何一方因履行合同而以合同第一部分尾部所列明的地址发出的所有通知、文件、材料，均视为已向对方当事人送达；任何一方变更上述送达方式或者地址的，应于</w:t>
      </w:r>
      <w:r>
        <w:rPr>
          <w:rFonts w:hint="eastAsia" w:ascii="宋体" w:hAnsi="宋体" w:eastAsia="宋体" w:cs="宋体"/>
          <w:i w:val="0"/>
          <w:iCs w:val="0"/>
          <w:color w:val="auto"/>
          <w:sz w:val="24"/>
          <w:szCs w:val="24"/>
          <w:highlight w:val="none"/>
          <w:u w:val="single"/>
        </w:rPr>
        <w:t xml:space="preserve"> 2 </w:t>
      </w:r>
      <w:r>
        <w:rPr>
          <w:rFonts w:hint="eastAsia" w:ascii="宋体" w:hAnsi="宋体" w:eastAsia="宋体" w:cs="宋体"/>
          <w:i w:val="0"/>
          <w:iCs w:val="0"/>
          <w:color w:val="auto"/>
          <w:sz w:val="24"/>
          <w:szCs w:val="24"/>
          <w:highlight w:val="none"/>
        </w:rPr>
        <w:t>个工作日内书面通知对方当事人，在对方当事人收到有关变更通知之前，变更前的约定送达方式或者地址仍视为有效。</w:t>
      </w:r>
      <w:bookmarkEnd w:id="256"/>
      <w:bookmarkEnd w:id="257"/>
    </w:p>
    <w:p w14:paraId="17F0CD38">
      <w:pPr>
        <w:spacing w:line="560" w:lineRule="exact"/>
        <w:ind w:firstLine="480" w:firstLineChars="200"/>
        <w:rPr>
          <w:rFonts w:hint="eastAsia" w:ascii="宋体" w:hAnsi="宋体" w:eastAsia="宋体" w:cs="宋体"/>
          <w:i w:val="0"/>
          <w:iCs w:val="0"/>
          <w:color w:val="auto"/>
          <w:sz w:val="24"/>
          <w:szCs w:val="24"/>
          <w:highlight w:val="none"/>
        </w:rPr>
      </w:pPr>
      <w:bookmarkStart w:id="261" w:name="_Toc23128"/>
      <w:bookmarkStart w:id="262" w:name="_Toc23294"/>
      <w:r>
        <w:rPr>
          <w:rFonts w:hint="eastAsia" w:ascii="宋体" w:hAnsi="宋体" w:eastAsia="宋体" w:cs="宋体"/>
          <w:i w:val="0"/>
          <w:iCs w:val="0"/>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1"/>
      <w:bookmarkEnd w:id="262"/>
    </w:p>
    <w:p w14:paraId="3196582B">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63" w:name="_Toc18540"/>
      <w:bookmarkStart w:id="264" w:name="_Toc30599"/>
      <w:bookmarkStart w:id="265" w:name="_Toc4355"/>
      <w:bookmarkStart w:id="266" w:name="_Toc82613330"/>
      <w:r>
        <w:rPr>
          <w:rFonts w:hint="eastAsia" w:ascii="宋体" w:hAnsi="宋体" w:eastAsia="宋体" w:cs="宋体"/>
          <w:b/>
          <w:i w:val="0"/>
          <w:iCs w:val="0"/>
          <w:color w:val="auto"/>
          <w:sz w:val="24"/>
          <w:szCs w:val="24"/>
          <w:highlight w:val="none"/>
        </w:rPr>
        <w:t>2.19计量单位</w:t>
      </w:r>
      <w:bookmarkEnd w:id="258"/>
      <w:bookmarkEnd w:id="259"/>
      <w:bookmarkEnd w:id="260"/>
      <w:bookmarkEnd w:id="263"/>
      <w:bookmarkEnd w:id="264"/>
      <w:bookmarkEnd w:id="265"/>
      <w:bookmarkEnd w:id="266"/>
    </w:p>
    <w:p w14:paraId="1FE513AD">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除技术规范中另有规定外,合同的计量单位均使用国家法定计量单位。</w:t>
      </w:r>
    </w:p>
    <w:p w14:paraId="255B75A1">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67" w:name="_Toc82613331"/>
      <w:bookmarkStart w:id="268" w:name="_Toc487900373"/>
      <w:bookmarkStart w:id="269" w:name="_Toc12773"/>
      <w:bookmarkStart w:id="270" w:name="_Toc18567"/>
      <w:bookmarkStart w:id="271" w:name="_Toc279701263"/>
      <w:bookmarkStart w:id="272" w:name="_Toc10330"/>
      <w:bookmarkStart w:id="273" w:name="_Toc259093692"/>
      <w:r>
        <w:rPr>
          <w:rFonts w:hint="eastAsia" w:ascii="宋体" w:hAnsi="宋体" w:eastAsia="宋体" w:cs="宋体"/>
          <w:b/>
          <w:i w:val="0"/>
          <w:iCs w:val="0"/>
          <w:color w:val="auto"/>
          <w:sz w:val="24"/>
          <w:szCs w:val="24"/>
          <w:highlight w:val="none"/>
        </w:rPr>
        <w:t>2.20合同使用的文字和适用的法律</w:t>
      </w:r>
      <w:bookmarkEnd w:id="267"/>
      <w:bookmarkEnd w:id="268"/>
      <w:bookmarkEnd w:id="269"/>
      <w:bookmarkEnd w:id="270"/>
      <w:bookmarkEnd w:id="271"/>
      <w:bookmarkEnd w:id="272"/>
      <w:bookmarkEnd w:id="273"/>
    </w:p>
    <w:p w14:paraId="6A246B93">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2.20.1合同使用汉语书就、变更和解释；</w:t>
      </w:r>
    </w:p>
    <w:p w14:paraId="75A4CC08">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2.20.2合同适用中华人民共和国法律。</w:t>
      </w:r>
    </w:p>
    <w:p w14:paraId="38FA97D0">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74" w:name="_Toc259093693"/>
      <w:bookmarkStart w:id="275" w:name="_Toc16673"/>
      <w:bookmarkStart w:id="276" w:name="_Toc82613332"/>
      <w:bookmarkStart w:id="277" w:name="_Toc12004"/>
      <w:bookmarkStart w:id="278" w:name="_Toc279701264"/>
      <w:bookmarkStart w:id="279" w:name="_Toc3148"/>
      <w:bookmarkStart w:id="280" w:name="_Toc487900374"/>
      <w:r>
        <w:rPr>
          <w:rFonts w:hint="eastAsia" w:ascii="宋体" w:hAnsi="宋体" w:eastAsia="宋体" w:cs="宋体"/>
          <w:b/>
          <w:i w:val="0"/>
          <w:iCs w:val="0"/>
          <w:color w:val="auto"/>
          <w:sz w:val="24"/>
          <w:szCs w:val="24"/>
          <w:highlight w:val="none"/>
        </w:rPr>
        <w:t>2.21履约保证金</w:t>
      </w:r>
      <w:bookmarkEnd w:id="274"/>
      <w:bookmarkEnd w:id="275"/>
      <w:bookmarkEnd w:id="276"/>
      <w:bookmarkEnd w:id="277"/>
      <w:bookmarkEnd w:id="278"/>
      <w:bookmarkEnd w:id="279"/>
    </w:p>
    <w:p w14:paraId="2B824324">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2.21.1履约保证金：无，成交后按要求向采购人提供书面履约承诺书。</w:t>
      </w:r>
    </w:p>
    <w:p w14:paraId="6BFD6D14">
      <w:pPr>
        <w:spacing w:line="560" w:lineRule="exact"/>
        <w:ind w:firstLine="482" w:firstLineChars="200"/>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2.22其他约定</w:t>
      </w:r>
    </w:p>
    <w:bookmarkEnd w:id="280"/>
    <w:p w14:paraId="424F55F4">
      <w:pPr>
        <w:spacing w:line="560" w:lineRule="exact"/>
        <w:ind w:firstLine="482" w:firstLineChars="200"/>
        <w:outlineLvl w:val="0"/>
        <w:rPr>
          <w:rFonts w:hint="eastAsia" w:ascii="宋体" w:hAnsi="宋体" w:eastAsia="宋体" w:cs="宋体"/>
          <w:b/>
          <w:i w:val="0"/>
          <w:iCs w:val="0"/>
          <w:color w:val="auto"/>
          <w:sz w:val="24"/>
          <w:szCs w:val="24"/>
          <w:highlight w:val="none"/>
        </w:rPr>
      </w:pPr>
      <w:bookmarkStart w:id="281" w:name="_Toc19890"/>
      <w:bookmarkStart w:id="282" w:name="_Toc14001"/>
      <w:bookmarkStart w:id="283" w:name="_Toc6885"/>
      <w:bookmarkStart w:id="284" w:name="_Toc82613333"/>
      <w:r>
        <w:rPr>
          <w:rFonts w:hint="eastAsia" w:ascii="宋体" w:hAnsi="宋体" w:eastAsia="宋体" w:cs="宋体"/>
          <w:b/>
          <w:i w:val="0"/>
          <w:iCs w:val="0"/>
          <w:color w:val="auto"/>
          <w:sz w:val="24"/>
          <w:szCs w:val="24"/>
          <w:highlight w:val="none"/>
        </w:rPr>
        <w:t>2.23合同份数</w:t>
      </w:r>
      <w:bookmarkEnd w:id="281"/>
      <w:bookmarkEnd w:id="282"/>
      <w:bookmarkEnd w:id="283"/>
      <w:bookmarkEnd w:id="284"/>
    </w:p>
    <w:p w14:paraId="237E6A00">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7D08B50D">
      <w:pPr>
        <w:autoSpaceDE w:val="0"/>
        <w:autoSpaceDN w:val="0"/>
        <w:adjustRightInd w:val="0"/>
        <w:spacing w:line="560" w:lineRule="exact"/>
        <w:jc w:val="center"/>
        <w:rPr>
          <w:rFonts w:hint="eastAsia" w:ascii="宋体" w:hAnsi="宋体" w:eastAsia="宋体" w:cs="宋体"/>
          <w:b/>
          <w:color w:val="auto"/>
          <w:kern w:val="0"/>
          <w:sz w:val="24"/>
          <w:highlight w:val="none"/>
          <w:lang w:val="zh-CN"/>
        </w:rPr>
      </w:pPr>
      <w:r>
        <w:rPr>
          <w:rFonts w:ascii="仿宋" w:hAnsi="仿宋" w:eastAsia="仿宋"/>
          <w:color w:val="auto"/>
          <w:kern w:val="0"/>
          <w:sz w:val="24"/>
          <w:highlight w:val="none"/>
          <w:lang w:val="zh-CN"/>
        </w:rPr>
        <w:br w:type="page"/>
      </w:r>
      <w:bookmarkStart w:id="285" w:name="_Toc331685784"/>
      <w:r>
        <w:rPr>
          <w:rFonts w:hint="eastAsia" w:ascii="宋体" w:hAnsi="宋体" w:eastAsia="宋体" w:cs="宋体"/>
          <w:b/>
          <w:color w:val="auto"/>
          <w:kern w:val="0"/>
          <w:sz w:val="24"/>
          <w:highlight w:val="none"/>
          <w:lang w:val="zh-CN"/>
        </w:rPr>
        <w:t>第三部分  合同专用条款</w:t>
      </w:r>
      <w:bookmarkEnd w:id="285"/>
    </w:p>
    <w:p w14:paraId="7094AEA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FDE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52F85DD">
            <w:pPr>
              <w:spacing w:line="560" w:lineRule="exact"/>
              <w:ind w:left="0" w:leftChars="0" w:firstLine="0" w:firstLineChars="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noWrap w:val="0"/>
            <w:vAlign w:val="center"/>
          </w:tcPr>
          <w:p w14:paraId="2E875A26">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4877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801" w:type="dxa"/>
            <w:tcBorders>
              <w:left w:val="single" w:color="auto" w:sz="4" w:space="0"/>
            </w:tcBorders>
            <w:noWrap w:val="0"/>
            <w:vAlign w:val="center"/>
          </w:tcPr>
          <w:p w14:paraId="750530F8">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633" w:type="dxa"/>
            <w:noWrap w:val="0"/>
            <w:vAlign w:val="center"/>
          </w:tcPr>
          <w:p w14:paraId="0173B1F1">
            <w:pPr>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具有知识产权的计算机软件等货物的知识产权归属：甲方具有使用权。</w:t>
            </w:r>
          </w:p>
        </w:tc>
      </w:tr>
      <w:tr w14:paraId="5C85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B4D9DCE">
            <w:pPr>
              <w:spacing w:line="56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p>
        </w:tc>
        <w:tc>
          <w:tcPr>
            <w:tcW w:w="7633" w:type="dxa"/>
            <w:noWrap w:val="0"/>
            <w:vAlign w:val="center"/>
          </w:tcPr>
          <w:p w14:paraId="5C0D3FF2">
            <w:pPr>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合同货物的装运要求：</w:t>
            </w:r>
          </w:p>
          <w:p w14:paraId="7EF6AD49">
            <w:pPr>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1.保险、运费：应包含在报价中。</w:t>
            </w:r>
          </w:p>
          <w:p w14:paraId="10570405">
            <w:pPr>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2.合同履行期限（交货期）：合同签订后30天内交付使用。</w:t>
            </w:r>
          </w:p>
          <w:p w14:paraId="741A98B3">
            <w:pPr>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3.交货地点（项目现场）：郑州市上街区教育局指定地点。</w:t>
            </w:r>
          </w:p>
        </w:tc>
      </w:tr>
      <w:tr w14:paraId="5866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BD2884">
            <w:pPr>
              <w:spacing w:line="56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p>
        </w:tc>
        <w:tc>
          <w:tcPr>
            <w:tcW w:w="7633" w:type="dxa"/>
            <w:noWrap w:val="0"/>
            <w:vAlign w:val="center"/>
          </w:tcPr>
          <w:p w14:paraId="1290BC7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结算方式：转账</w:t>
            </w:r>
          </w:p>
          <w:p w14:paraId="5C74F513">
            <w:pPr>
              <w:spacing w:line="360" w:lineRule="auto"/>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付款方式：</w:t>
            </w:r>
            <w:r>
              <w:rPr>
                <w:rFonts w:hint="eastAsia" w:ascii="宋体" w:hAnsi="宋体" w:eastAsia="宋体" w:cs="宋体"/>
                <w:color w:val="auto"/>
                <w:sz w:val="24"/>
                <w:highlight w:val="none"/>
                <w:lang w:eastAsia="zh-CN"/>
              </w:rPr>
              <w:t>项目完成供货、调试，经甲方组织验收合格第一年内支付70%合同额；第二年内支付20%合同额；第三年内，质保期结束后产品无质量等问题支付10%合同额（根据采购人要求开具发票）。</w:t>
            </w:r>
          </w:p>
        </w:tc>
      </w:tr>
      <w:tr w14:paraId="745C3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2A17CFB">
            <w:pPr>
              <w:spacing w:line="56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2.9</w:t>
            </w:r>
          </w:p>
        </w:tc>
        <w:tc>
          <w:tcPr>
            <w:tcW w:w="7633" w:type="dxa"/>
            <w:noWrap w:val="0"/>
            <w:vAlign w:val="center"/>
          </w:tcPr>
          <w:p w14:paraId="2396D9F8">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货物的风险负担：交付</w:t>
            </w:r>
            <w:r>
              <w:rPr>
                <w:rFonts w:hint="eastAsia" w:cs="宋体"/>
                <w:color w:val="auto"/>
                <w:sz w:val="24"/>
                <w:highlight w:val="none"/>
                <w:lang w:eastAsia="zh-CN"/>
              </w:rPr>
              <w:t>、</w:t>
            </w:r>
            <w:r>
              <w:rPr>
                <w:rFonts w:hint="eastAsia" w:cs="宋体"/>
                <w:color w:val="auto"/>
                <w:sz w:val="24"/>
                <w:highlight w:val="none"/>
                <w:lang w:val="en-US" w:eastAsia="zh-CN"/>
              </w:rPr>
              <w:t>安装</w:t>
            </w:r>
            <w:r>
              <w:rPr>
                <w:rFonts w:hint="eastAsia" w:ascii="宋体" w:hAnsi="宋体" w:eastAsia="宋体" w:cs="宋体"/>
                <w:color w:val="auto"/>
                <w:sz w:val="24"/>
                <w:highlight w:val="none"/>
              </w:rPr>
              <w:t>使用前的毁损、灭失</w:t>
            </w:r>
            <w:r>
              <w:rPr>
                <w:rFonts w:hint="eastAsia" w:cs="宋体"/>
                <w:color w:val="auto"/>
                <w:sz w:val="24"/>
                <w:highlight w:val="none"/>
                <w:lang w:eastAsia="zh-CN"/>
              </w:rPr>
              <w:t>、</w:t>
            </w:r>
            <w:r>
              <w:rPr>
                <w:rFonts w:hint="eastAsia" w:cs="宋体"/>
                <w:color w:val="auto"/>
                <w:sz w:val="24"/>
                <w:highlight w:val="none"/>
                <w:lang w:val="en-US" w:eastAsia="zh-CN"/>
              </w:rPr>
              <w:t>安装过程的施工人员及货物安全问题等</w:t>
            </w:r>
            <w:r>
              <w:rPr>
                <w:rFonts w:hint="eastAsia" w:ascii="宋体" w:hAnsi="宋体" w:eastAsia="宋体" w:cs="宋体"/>
                <w:color w:val="auto"/>
                <w:sz w:val="24"/>
                <w:highlight w:val="none"/>
              </w:rPr>
              <w:t>风险均由乙方承担。</w:t>
            </w:r>
          </w:p>
        </w:tc>
      </w:tr>
      <w:tr w14:paraId="5ECB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83F085">
            <w:pPr>
              <w:spacing w:line="56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2.17.3</w:t>
            </w:r>
          </w:p>
        </w:tc>
        <w:tc>
          <w:tcPr>
            <w:tcW w:w="7633" w:type="dxa"/>
            <w:noWrap w:val="0"/>
            <w:vAlign w:val="center"/>
          </w:tcPr>
          <w:p w14:paraId="34A422CC">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检验和验收标准、程序等具体内容以及前述验收书的效力：双方约定。</w:t>
            </w:r>
          </w:p>
        </w:tc>
      </w:tr>
      <w:tr w14:paraId="7DE2C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8777321">
            <w:pPr>
              <w:spacing w:line="56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2.21.1</w:t>
            </w:r>
          </w:p>
        </w:tc>
        <w:tc>
          <w:tcPr>
            <w:tcW w:w="7633" w:type="dxa"/>
            <w:noWrap w:val="0"/>
            <w:vAlign w:val="center"/>
          </w:tcPr>
          <w:p w14:paraId="0B6D2DE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履约保证金：无，成交后成交人向采购人提供履约承诺书。</w:t>
            </w:r>
          </w:p>
        </w:tc>
      </w:tr>
      <w:tr w14:paraId="0C72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DF27020">
            <w:pPr>
              <w:spacing w:line="56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p>
        </w:tc>
        <w:tc>
          <w:tcPr>
            <w:tcW w:w="7633" w:type="dxa"/>
            <w:noWrap w:val="0"/>
            <w:vAlign w:val="center"/>
          </w:tcPr>
          <w:p w14:paraId="6D00C443">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其他约定：</w:t>
            </w:r>
            <w:r>
              <w:rPr>
                <w:rFonts w:hint="eastAsia" w:ascii="宋体" w:hAnsi="宋体" w:eastAsia="宋体" w:cs="宋体"/>
                <w:color w:val="auto"/>
                <w:sz w:val="24"/>
                <w:szCs w:val="24"/>
                <w:highlight w:val="none"/>
                <w:u w:val="none"/>
                <w:lang w:val="en-US" w:eastAsia="zh-CN"/>
              </w:rPr>
              <w:t>项目验收过程中产生的一切费用，均包含在合同额内，包括但不限于第三方服务费等</w:t>
            </w:r>
          </w:p>
        </w:tc>
      </w:tr>
      <w:tr w14:paraId="63410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54D778F">
            <w:pPr>
              <w:spacing w:line="56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2.23</w:t>
            </w:r>
          </w:p>
        </w:tc>
        <w:tc>
          <w:tcPr>
            <w:tcW w:w="7633" w:type="dxa"/>
            <w:noWrap w:val="0"/>
            <w:vAlign w:val="center"/>
          </w:tcPr>
          <w:p w14:paraId="729657B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本合同</w:t>
            </w:r>
            <w:r>
              <w:rPr>
                <w:rFonts w:hint="eastAsia" w:ascii="宋体" w:hAnsi="宋体" w:eastAsia="宋体" w:cs="宋体"/>
                <w:color w:val="auto"/>
                <w:sz w:val="24"/>
                <w:highlight w:val="none"/>
              </w:rPr>
              <w:t>一式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份，甲乙双方各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经甲乙双方授权代表签字，并加盖公章后生效</w:t>
            </w:r>
            <w:r>
              <w:rPr>
                <w:rFonts w:hint="eastAsia" w:ascii="宋体" w:hAnsi="宋体" w:eastAsia="宋体" w:cs="宋体"/>
                <w:color w:val="auto"/>
                <w:sz w:val="24"/>
                <w:highlight w:val="none"/>
              </w:rPr>
              <w:t>。</w:t>
            </w:r>
          </w:p>
        </w:tc>
      </w:tr>
    </w:tbl>
    <w:p w14:paraId="1EED636C">
      <w:pPr>
        <w:spacing w:line="360" w:lineRule="auto"/>
        <w:rPr>
          <w:rFonts w:hint="eastAsia" w:ascii="仿宋" w:hAnsi="仿宋" w:eastAsia="仿宋" w:cs="宋体"/>
          <w:color w:val="auto"/>
          <w:szCs w:val="21"/>
          <w:highlight w:val="none"/>
        </w:rPr>
      </w:pPr>
    </w:p>
    <w:p w14:paraId="281B104A">
      <w:pPr>
        <w:spacing w:line="480" w:lineRule="auto"/>
        <w:ind w:left="0" w:leftChars="0" w:firstLine="0" w:firstLineChars="0"/>
        <w:jc w:val="left"/>
        <w:rPr>
          <w:rFonts w:hint="eastAsia" w:ascii="宋体" w:hAnsi="宋体" w:eastAsia="宋体" w:cs="宋体"/>
          <w:color w:val="auto"/>
          <w:szCs w:val="21"/>
          <w:highlight w:val="none"/>
          <w:lang w:val="zh-CN"/>
        </w:rPr>
      </w:pPr>
    </w:p>
    <w:p w14:paraId="5CB1358A">
      <w:pPr>
        <w:spacing w:line="480" w:lineRule="auto"/>
        <w:ind w:left="0" w:leftChars="0" w:firstLine="0" w:firstLineChars="0"/>
        <w:jc w:val="left"/>
        <w:rPr>
          <w:rFonts w:hint="eastAsia" w:ascii="宋体" w:hAnsi="宋体" w:eastAsia="宋体" w:cs="宋体"/>
          <w:color w:val="auto"/>
          <w:szCs w:val="21"/>
          <w:highlight w:val="none"/>
          <w:lang w:val="zh-CN"/>
        </w:rPr>
      </w:pPr>
    </w:p>
    <w:p w14:paraId="77E7BE98">
      <w:pPr>
        <w:spacing w:line="480" w:lineRule="auto"/>
        <w:ind w:left="0" w:leftChars="0" w:firstLine="0" w:firstLineChars="0"/>
        <w:jc w:val="left"/>
        <w:rPr>
          <w:rFonts w:hint="eastAsia" w:ascii="宋体" w:hAnsi="宋体" w:eastAsia="宋体" w:cs="宋体"/>
          <w:color w:val="auto"/>
          <w:szCs w:val="21"/>
          <w:highlight w:val="none"/>
          <w:lang w:val="zh-CN"/>
        </w:rPr>
      </w:pPr>
    </w:p>
    <w:p w14:paraId="3F4BD439">
      <w:pPr>
        <w:spacing w:line="480" w:lineRule="auto"/>
        <w:ind w:left="0" w:leftChars="0" w:firstLine="0" w:firstLineChars="0"/>
        <w:jc w:val="left"/>
        <w:rPr>
          <w:rFonts w:hint="eastAsia" w:ascii="宋体" w:hAnsi="宋体" w:eastAsia="宋体" w:cs="宋体"/>
          <w:color w:val="auto"/>
          <w:szCs w:val="21"/>
          <w:highlight w:val="none"/>
          <w:lang w:val="zh-CN"/>
        </w:rPr>
      </w:pPr>
    </w:p>
    <w:p w14:paraId="0A9867EB">
      <w:pPr>
        <w:spacing w:line="480" w:lineRule="auto"/>
        <w:ind w:left="0" w:leftChars="0" w:firstLine="0" w:firstLineChars="0"/>
        <w:jc w:val="left"/>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附件</w:t>
      </w:r>
      <w:r>
        <w:rPr>
          <w:rFonts w:hint="eastAsia" w:ascii="宋体" w:hAnsi="宋体" w:eastAsia="宋体" w:cs="宋体"/>
          <w:color w:val="auto"/>
          <w:sz w:val="24"/>
          <w:szCs w:val="20"/>
          <w:highlight w:val="none"/>
        </w:rPr>
        <w:t>一：</w:t>
      </w:r>
    </w:p>
    <w:p w14:paraId="5FFE30A8">
      <w:pPr>
        <w:spacing w:line="48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政府采购合同融资意向征求函</w:t>
      </w:r>
    </w:p>
    <w:p w14:paraId="5D16230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减轻中小企业资金成本运行压力，缓解中小微企业融资难、融资贵问题，促进中小微企业健康发展，省、市、区积极研究出台了《深入推进政府采购合同融资工作实施方案》（豫财办﹝2020）33号）、《河南省政府采购合同融资工作实施方案》（豫财购〔2017〕10号）等一系列支持中小微企业政府采购合同融资政策。</w:t>
      </w:r>
    </w:p>
    <w:p w14:paraId="1BE90FCA">
      <w:pPr>
        <w:spacing w:line="480" w:lineRule="auto"/>
        <w:ind w:firstLine="480" w:firstLineChars="200"/>
        <w:rPr>
          <w:rFonts w:hint="eastAsia" w:ascii="宋体" w:hAnsi="宋体" w:eastAsia="宋体" w:cs="宋体"/>
          <w:color w:val="auto"/>
          <w:sz w:val="24"/>
          <w:szCs w:val="24"/>
          <w:highlight w:val="none"/>
        </w:rPr>
      </w:pPr>
    </w:p>
    <w:p w14:paraId="2ED1263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请问是否了解或者知晓相关政策？</w:t>
      </w:r>
    </w:p>
    <w:p w14:paraId="4F19A89D">
      <w:pPr>
        <w:spacing w:line="480" w:lineRule="auto"/>
        <w:ind w:firstLine="480" w:firstLineChars="200"/>
        <w:rPr>
          <w:rFonts w:hint="eastAsia" w:ascii="宋体" w:hAnsi="宋体" w:eastAsia="宋体" w:cs="宋体"/>
          <w:color w:val="auto"/>
          <w:sz w:val="24"/>
          <w:szCs w:val="24"/>
          <w:highlight w:val="none"/>
        </w:rPr>
      </w:pPr>
    </w:p>
    <w:p w14:paraId="48F7ABD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请问您是否有合同融资意向？</w:t>
      </w:r>
    </w:p>
    <w:p w14:paraId="7E24D237">
      <w:pPr>
        <w:spacing w:line="480" w:lineRule="auto"/>
        <w:ind w:firstLine="480" w:firstLineChars="200"/>
        <w:rPr>
          <w:rFonts w:hint="eastAsia" w:ascii="宋体" w:hAnsi="宋体" w:eastAsia="宋体" w:cs="宋体"/>
          <w:color w:val="auto"/>
          <w:sz w:val="24"/>
          <w:szCs w:val="24"/>
          <w:highlight w:val="none"/>
        </w:rPr>
      </w:pPr>
    </w:p>
    <w:p w14:paraId="576AD464">
      <w:pPr>
        <w:spacing w:line="480" w:lineRule="auto"/>
        <w:ind w:firstLine="480" w:firstLineChars="200"/>
        <w:rPr>
          <w:rFonts w:hint="eastAsia" w:ascii="宋体" w:hAnsi="宋体" w:eastAsia="宋体" w:cs="宋体"/>
          <w:color w:val="auto"/>
          <w:sz w:val="24"/>
          <w:szCs w:val="24"/>
          <w:highlight w:val="none"/>
        </w:rPr>
      </w:pPr>
    </w:p>
    <w:p w14:paraId="2A4730F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成交供应商名称（盖章）：</w:t>
      </w:r>
    </w:p>
    <w:p w14:paraId="09E7961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供应商联系方式：</w:t>
      </w:r>
    </w:p>
    <w:p w14:paraId="3426009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成交供应商地址：</w:t>
      </w:r>
    </w:p>
    <w:p w14:paraId="24CB148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669D998">
      <w:pPr>
        <w:pStyle w:val="2"/>
        <w:bidi w:val="0"/>
        <w:rPr>
          <w:rFonts w:hint="eastAsia"/>
          <w:color w:val="auto"/>
          <w:highlight w:val="none"/>
        </w:rPr>
      </w:pPr>
      <w:r>
        <w:rPr>
          <w:rFonts w:hint="eastAsia" w:ascii="宋体" w:hAnsi="宋体" w:eastAsia="宋体" w:cs="宋体"/>
          <w:color w:val="auto"/>
          <w:szCs w:val="21"/>
          <w:highlight w:val="none"/>
        </w:rPr>
        <w:br w:type="page"/>
      </w:r>
      <w:bookmarkStart w:id="286" w:name="_Toc7002"/>
      <w:r>
        <w:rPr>
          <w:rFonts w:hint="eastAsia"/>
          <w:color w:val="auto"/>
          <w:highlight w:val="none"/>
          <w:lang w:val="en-US" w:eastAsia="zh-CN"/>
        </w:rPr>
        <w:t>第五章  响应文件部分格式</w:t>
      </w:r>
      <w:bookmarkEnd w:id="94"/>
      <w:bookmarkEnd w:id="95"/>
      <w:bookmarkEnd w:id="96"/>
      <w:bookmarkEnd w:id="286"/>
    </w:p>
    <w:p w14:paraId="21193397">
      <w:pPr>
        <w:spacing w:before="130" w:line="219" w:lineRule="auto"/>
        <w:ind w:left="0" w:leftChars="0" w:firstLine="0" w:firstLineChars="0"/>
        <w:jc w:val="center"/>
        <w:rPr>
          <w:rFonts w:hint="eastAsia" w:ascii="宋体" w:hAnsi="宋体" w:cs="宋体"/>
          <w:b/>
          <w:bCs/>
          <w:color w:val="auto"/>
          <w:spacing w:val="-4"/>
          <w:sz w:val="40"/>
          <w:szCs w:val="40"/>
          <w:highlight w:val="none"/>
          <w:lang w:eastAsia="zh-CN"/>
        </w:rPr>
      </w:pPr>
      <w:r>
        <w:rPr>
          <w:rFonts w:hint="eastAsia" w:ascii="宋体" w:hAnsi="宋体" w:cs="宋体"/>
          <w:b/>
          <w:bCs/>
          <w:color w:val="auto"/>
          <w:spacing w:val="-4"/>
          <w:sz w:val="40"/>
          <w:szCs w:val="40"/>
          <w:highlight w:val="none"/>
          <w:lang w:eastAsia="zh-CN"/>
        </w:rPr>
        <w:t>郑州市上街区教育局采购智慧黑板及教室护眼灯</w:t>
      </w:r>
    </w:p>
    <w:p w14:paraId="5096FC04">
      <w:pPr>
        <w:spacing w:before="130" w:line="219" w:lineRule="auto"/>
        <w:ind w:left="0" w:leftChars="0" w:firstLine="0" w:firstLineChars="0"/>
        <w:jc w:val="center"/>
        <w:rPr>
          <w:rFonts w:hint="eastAsia" w:ascii="宋体" w:hAnsi="宋体" w:eastAsia="宋体" w:cs="宋体"/>
          <w:color w:val="auto"/>
          <w:sz w:val="40"/>
          <w:szCs w:val="40"/>
          <w:highlight w:val="none"/>
          <w:lang w:eastAsia="zh-CN"/>
        </w:rPr>
      </w:pPr>
      <w:r>
        <w:rPr>
          <w:rFonts w:hint="eastAsia" w:ascii="宋体" w:hAnsi="宋体" w:cs="宋体"/>
          <w:b/>
          <w:bCs/>
          <w:color w:val="auto"/>
          <w:spacing w:val="-4"/>
          <w:sz w:val="40"/>
          <w:szCs w:val="40"/>
          <w:highlight w:val="none"/>
          <w:lang w:eastAsia="zh-CN"/>
        </w:rPr>
        <w:t>设备项目</w:t>
      </w:r>
    </w:p>
    <w:p w14:paraId="76C0FAB6">
      <w:pPr>
        <w:pStyle w:val="24"/>
        <w:spacing w:line="241" w:lineRule="auto"/>
        <w:rPr>
          <w:color w:val="auto"/>
          <w:highlight w:val="none"/>
        </w:rPr>
      </w:pPr>
    </w:p>
    <w:p w14:paraId="2E9D0F1B">
      <w:pPr>
        <w:pStyle w:val="24"/>
        <w:spacing w:line="241" w:lineRule="auto"/>
        <w:rPr>
          <w:color w:val="auto"/>
          <w:highlight w:val="none"/>
        </w:rPr>
      </w:pPr>
    </w:p>
    <w:p w14:paraId="20326394">
      <w:pPr>
        <w:pStyle w:val="24"/>
        <w:spacing w:line="242" w:lineRule="auto"/>
        <w:ind w:left="0" w:leftChars="0" w:firstLine="0" w:firstLineChars="0"/>
        <w:rPr>
          <w:color w:val="auto"/>
          <w:highlight w:val="none"/>
        </w:rPr>
      </w:pPr>
    </w:p>
    <w:p w14:paraId="5407000B">
      <w:pPr>
        <w:pStyle w:val="24"/>
        <w:spacing w:line="242" w:lineRule="auto"/>
        <w:rPr>
          <w:color w:val="auto"/>
          <w:highlight w:val="none"/>
        </w:rPr>
      </w:pPr>
    </w:p>
    <w:p w14:paraId="12D6D69E">
      <w:pPr>
        <w:pStyle w:val="24"/>
        <w:spacing w:line="242" w:lineRule="auto"/>
        <w:rPr>
          <w:color w:val="auto"/>
          <w:highlight w:val="none"/>
        </w:rPr>
      </w:pPr>
    </w:p>
    <w:p w14:paraId="3130544A">
      <w:pPr>
        <w:spacing w:before="169" w:line="220" w:lineRule="auto"/>
        <w:ind w:left="0" w:leftChars="0" w:firstLine="0" w:firstLineChars="0"/>
        <w:jc w:val="center"/>
        <w:rPr>
          <w:rFonts w:ascii="宋体" w:hAnsi="宋体" w:eastAsia="宋体" w:cs="宋体"/>
          <w:color w:val="auto"/>
          <w:sz w:val="52"/>
          <w:szCs w:val="52"/>
          <w:highlight w:val="none"/>
        </w:rPr>
      </w:pPr>
      <w:r>
        <w:rPr>
          <w:rFonts w:hint="eastAsia" w:ascii="宋体" w:hAnsi="宋体" w:eastAsia="宋体" w:cs="宋体"/>
          <w:b/>
          <w:bCs/>
          <w:color w:val="auto"/>
          <w:spacing w:val="-24"/>
          <w:sz w:val="52"/>
          <w:szCs w:val="52"/>
          <w:highlight w:val="none"/>
          <w:lang w:val="en-US" w:eastAsia="zh-CN"/>
        </w:rPr>
        <w:t>响   应</w:t>
      </w:r>
      <w:r>
        <w:rPr>
          <w:rFonts w:ascii="宋体" w:hAnsi="宋体" w:eastAsia="宋体" w:cs="宋体"/>
          <w:color w:val="auto"/>
          <w:spacing w:val="13"/>
          <w:sz w:val="52"/>
          <w:szCs w:val="52"/>
          <w:highlight w:val="none"/>
        </w:rPr>
        <w:t xml:space="preserve">  </w:t>
      </w:r>
      <w:r>
        <w:rPr>
          <w:rFonts w:ascii="宋体" w:hAnsi="宋体" w:eastAsia="宋体" w:cs="宋体"/>
          <w:b/>
          <w:bCs/>
          <w:color w:val="auto"/>
          <w:spacing w:val="-24"/>
          <w:sz w:val="52"/>
          <w:szCs w:val="52"/>
          <w:highlight w:val="none"/>
        </w:rPr>
        <w:t>文</w:t>
      </w:r>
      <w:r>
        <w:rPr>
          <w:rFonts w:ascii="宋体" w:hAnsi="宋体" w:eastAsia="宋体" w:cs="宋体"/>
          <w:color w:val="auto"/>
          <w:spacing w:val="11"/>
          <w:sz w:val="52"/>
          <w:szCs w:val="52"/>
          <w:highlight w:val="none"/>
        </w:rPr>
        <w:t xml:space="preserve">  </w:t>
      </w:r>
      <w:r>
        <w:rPr>
          <w:rFonts w:ascii="宋体" w:hAnsi="宋体" w:eastAsia="宋体" w:cs="宋体"/>
          <w:b/>
          <w:bCs/>
          <w:color w:val="auto"/>
          <w:spacing w:val="-24"/>
          <w:sz w:val="52"/>
          <w:szCs w:val="52"/>
          <w:highlight w:val="none"/>
        </w:rPr>
        <w:t>件</w:t>
      </w:r>
    </w:p>
    <w:p w14:paraId="031DDE3A">
      <w:pPr>
        <w:spacing w:before="283" w:line="219" w:lineRule="auto"/>
        <w:ind w:left="3293"/>
        <w:rPr>
          <w:rFonts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lang w:val="en-US" w:eastAsia="zh-CN"/>
        </w:rPr>
        <w:t>项目</w:t>
      </w:r>
      <w:r>
        <w:rPr>
          <w:rFonts w:ascii="宋体" w:hAnsi="宋体" w:eastAsia="宋体" w:cs="宋体"/>
          <w:b/>
          <w:bCs/>
          <w:color w:val="auto"/>
          <w:spacing w:val="-5"/>
          <w:sz w:val="28"/>
          <w:szCs w:val="28"/>
          <w:highlight w:val="none"/>
        </w:rPr>
        <w:t>编号：</w:t>
      </w:r>
    </w:p>
    <w:p w14:paraId="0D66B8B4">
      <w:pPr>
        <w:spacing w:before="283" w:line="219" w:lineRule="auto"/>
        <w:ind w:left="3293"/>
        <w:rPr>
          <w:rFonts w:hint="default" w:ascii="宋体" w:hAnsi="宋体" w:eastAsia="宋体" w:cs="宋体"/>
          <w:b/>
          <w:bCs/>
          <w:color w:val="auto"/>
          <w:spacing w:val="-5"/>
          <w:sz w:val="28"/>
          <w:szCs w:val="28"/>
          <w:highlight w:val="none"/>
          <w:lang w:val="en-US" w:eastAsia="zh-CN"/>
        </w:rPr>
      </w:pPr>
      <w:r>
        <w:rPr>
          <w:rFonts w:hint="eastAsia" w:ascii="宋体" w:hAnsi="宋体" w:cs="宋体"/>
          <w:b/>
          <w:bCs/>
          <w:color w:val="auto"/>
          <w:spacing w:val="-5"/>
          <w:sz w:val="28"/>
          <w:szCs w:val="28"/>
          <w:highlight w:val="none"/>
          <w:lang w:val="en-US" w:eastAsia="zh-CN"/>
        </w:rPr>
        <w:t>包号：</w:t>
      </w:r>
    </w:p>
    <w:p w14:paraId="4F4E4E1E">
      <w:pPr>
        <w:pStyle w:val="24"/>
        <w:spacing w:line="241" w:lineRule="auto"/>
        <w:rPr>
          <w:color w:val="auto"/>
          <w:highlight w:val="none"/>
        </w:rPr>
      </w:pPr>
    </w:p>
    <w:p w14:paraId="1DD28F48">
      <w:pPr>
        <w:pStyle w:val="24"/>
        <w:spacing w:line="241" w:lineRule="auto"/>
        <w:rPr>
          <w:color w:val="auto"/>
          <w:highlight w:val="none"/>
        </w:rPr>
      </w:pPr>
    </w:p>
    <w:p w14:paraId="103BFE18">
      <w:pPr>
        <w:pStyle w:val="24"/>
        <w:spacing w:line="241" w:lineRule="auto"/>
        <w:rPr>
          <w:color w:val="auto"/>
          <w:highlight w:val="none"/>
        </w:rPr>
      </w:pPr>
    </w:p>
    <w:p w14:paraId="5BE511EE">
      <w:pPr>
        <w:pStyle w:val="24"/>
        <w:spacing w:line="241" w:lineRule="auto"/>
        <w:rPr>
          <w:color w:val="auto"/>
          <w:highlight w:val="none"/>
        </w:rPr>
      </w:pPr>
    </w:p>
    <w:p w14:paraId="226B12C9">
      <w:pPr>
        <w:pStyle w:val="24"/>
        <w:spacing w:line="241" w:lineRule="auto"/>
        <w:rPr>
          <w:color w:val="auto"/>
          <w:highlight w:val="none"/>
        </w:rPr>
      </w:pPr>
    </w:p>
    <w:p w14:paraId="673728D5">
      <w:pPr>
        <w:pStyle w:val="24"/>
        <w:spacing w:line="241" w:lineRule="auto"/>
        <w:rPr>
          <w:color w:val="auto"/>
          <w:highlight w:val="none"/>
        </w:rPr>
      </w:pPr>
    </w:p>
    <w:p w14:paraId="6C8EBC68">
      <w:pPr>
        <w:pStyle w:val="24"/>
        <w:spacing w:line="241" w:lineRule="auto"/>
        <w:rPr>
          <w:color w:val="auto"/>
          <w:highlight w:val="none"/>
        </w:rPr>
      </w:pPr>
    </w:p>
    <w:p w14:paraId="716A377A">
      <w:pPr>
        <w:pStyle w:val="24"/>
        <w:spacing w:line="241" w:lineRule="auto"/>
        <w:ind w:left="0" w:leftChars="0" w:firstLine="0" w:firstLineChars="0"/>
        <w:rPr>
          <w:color w:val="auto"/>
          <w:highlight w:val="none"/>
        </w:rPr>
      </w:pPr>
    </w:p>
    <w:p w14:paraId="718E2D8F">
      <w:pPr>
        <w:pStyle w:val="24"/>
        <w:spacing w:line="241" w:lineRule="auto"/>
        <w:rPr>
          <w:color w:val="auto"/>
          <w:highlight w:val="none"/>
        </w:rPr>
      </w:pPr>
    </w:p>
    <w:p w14:paraId="48DE1425">
      <w:pPr>
        <w:spacing w:before="91" w:line="398" w:lineRule="auto"/>
        <w:ind w:right="722"/>
        <w:jc w:val="center"/>
        <w:rPr>
          <w:rFonts w:hint="eastAsia" w:ascii="宋体" w:hAnsi="宋体" w:eastAsia="宋体" w:cs="宋体"/>
          <w:color w:val="auto"/>
          <w:sz w:val="28"/>
          <w:szCs w:val="28"/>
          <w:highlight w:val="none"/>
          <w:u w:val="single" w:color="auto"/>
        </w:rPr>
      </w:pPr>
      <w:r>
        <w:rPr>
          <w:rFonts w:ascii="宋体" w:hAnsi="宋体" w:eastAsia="宋体" w:cs="宋体"/>
          <w:b/>
          <w:bCs/>
          <w:color w:val="auto"/>
          <w:spacing w:val="-4"/>
          <w:sz w:val="28"/>
          <w:szCs w:val="28"/>
          <w:highlight w:val="none"/>
        </w:rPr>
        <w:t>供应商名称</w:t>
      </w:r>
      <w:r>
        <w:rPr>
          <w:rFonts w:ascii="宋体" w:hAnsi="宋体" w:eastAsia="宋体" w:cs="宋体"/>
          <w:b/>
          <w:bCs/>
          <w:color w:val="auto"/>
          <w:spacing w:val="-23"/>
          <w:sz w:val="28"/>
          <w:szCs w:val="28"/>
          <w:highlight w:val="none"/>
        </w:rPr>
        <w:t>：</w:t>
      </w:r>
      <w:r>
        <w:rPr>
          <w:rFonts w:ascii="宋体" w:hAnsi="宋体" w:eastAsia="宋体" w:cs="宋体"/>
          <w:color w:val="auto"/>
          <w:sz w:val="28"/>
          <w:szCs w:val="28"/>
          <w:highlight w:val="none"/>
          <w:u w:val="single" w:color="auto"/>
        </w:rPr>
        <w:t xml:space="preserve">                 </w:t>
      </w:r>
      <w:r>
        <w:rPr>
          <w:rFonts w:hint="eastAsia" w:ascii="宋体" w:hAnsi="宋体" w:eastAsia="宋体" w:cs="宋体"/>
          <w:b/>
          <w:bCs/>
          <w:color w:val="auto"/>
          <w:sz w:val="28"/>
          <w:szCs w:val="28"/>
          <w:highlight w:val="none"/>
          <w:u w:val="none" w:color="auto"/>
        </w:rPr>
        <w:t>（加盖电子签章）</w:t>
      </w:r>
    </w:p>
    <w:p w14:paraId="737E4267">
      <w:pPr>
        <w:spacing w:before="91" w:line="398" w:lineRule="auto"/>
        <w:ind w:right="722"/>
        <w:jc w:val="center"/>
        <w:rPr>
          <w:rFonts w:ascii="宋体" w:hAnsi="宋体" w:eastAsia="宋体" w:cs="宋体"/>
          <w:b/>
          <w:bCs/>
          <w:color w:val="auto"/>
          <w:sz w:val="28"/>
          <w:szCs w:val="28"/>
          <w:highlight w:val="none"/>
          <w:u w:val="none" w:color="auto"/>
        </w:rPr>
      </w:pPr>
      <w:r>
        <w:rPr>
          <w:rFonts w:ascii="宋体" w:hAnsi="宋体" w:eastAsia="宋体" w:cs="宋体"/>
          <w:b/>
          <w:bCs/>
          <w:color w:val="auto"/>
          <w:spacing w:val="-4"/>
          <w:sz w:val="28"/>
          <w:szCs w:val="28"/>
          <w:highlight w:val="none"/>
        </w:rPr>
        <w:t>法定代表人或其委托代理人</w:t>
      </w:r>
      <w:r>
        <w:rPr>
          <w:rFonts w:ascii="宋体" w:hAnsi="宋体" w:eastAsia="宋体" w:cs="宋体"/>
          <w:b/>
          <w:bCs/>
          <w:color w:val="auto"/>
          <w:spacing w:val="-19"/>
          <w:sz w:val="28"/>
          <w:szCs w:val="28"/>
          <w:highlight w:val="none"/>
        </w:rPr>
        <w:t>：</w:t>
      </w:r>
      <w:r>
        <w:rPr>
          <w:rFonts w:ascii="宋体" w:hAnsi="宋体" w:eastAsia="宋体" w:cs="宋体"/>
          <w:color w:val="auto"/>
          <w:sz w:val="28"/>
          <w:szCs w:val="28"/>
          <w:highlight w:val="none"/>
          <w:u w:val="single" w:color="auto"/>
        </w:rPr>
        <w:t xml:space="preserve">       </w:t>
      </w:r>
      <w:r>
        <w:rPr>
          <w:rFonts w:hint="eastAsia" w:ascii="宋体" w:hAnsi="宋体" w:eastAsia="宋体" w:cs="宋体"/>
          <w:b/>
          <w:bCs/>
          <w:color w:val="auto"/>
          <w:sz w:val="28"/>
          <w:szCs w:val="28"/>
          <w:highlight w:val="none"/>
          <w:u w:val="none" w:color="auto"/>
        </w:rPr>
        <w:t>（签字或电子签章）</w:t>
      </w:r>
    </w:p>
    <w:p w14:paraId="4FAB6534">
      <w:pPr>
        <w:spacing w:before="42" w:line="220" w:lineRule="auto"/>
        <w:jc w:val="center"/>
        <w:rPr>
          <w:rFonts w:hint="eastAsia" w:ascii="宋体" w:hAnsi="宋体" w:eastAsia="宋体" w:cs="宋体"/>
          <w:color w:val="auto"/>
          <w:sz w:val="28"/>
          <w:szCs w:val="28"/>
          <w:highlight w:val="none"/>
          <w:lang w:val="en-US" w:eastAsia="zh-CN"/>
        </w:rPr>
        <w:sectPr>
          <w:footerReference r:id="rId13" w:type="default"/>
          <w:pgSz w:w="11906" w:h="16839"/>
          <w:pgMar w:top="1431" w:right="1137" w:bottom="1363" w:left="1156" w:header="0" w:footer="1198" w:gutter="0"/>
          <w:pgNumType w:fmt="decimal"/>
          <w:cols w:space="720" w:num="1"/>
        </w:sectPr>
      </w:pPr>
      <w:r>
        <w:rPr>
          <w:rFonts w:ascii="宋体" w:hAnsi="宋体" w:eastAsia="宋体" w:cs="宋体"/>
          <w:b/>
          <w:bCs/>
          <w:color w:val="auto"/>
          <w:spacing w:val="-20"/>
          <w:sz w:val="28"/>
          <w:szCs w:val="28"/>
          <w:highlight w:val="none"/>
        </w:rPr>
        <w:t>日</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20"/>
          <w:sz w:val="28"/>
          <w:szCs w:val="28"/>
          <w:highlight w:val="none"/>
        </w:rPr>
        <w:t>期：</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2"/>
          <w:sz w:val="28"/>
          <w:szCs w:val="28"/>
          <w:highlight w:val="none"/>
        </w:rPr>
        <w:t xml:space="preserve"> </w:t>
      </w:r>
      <w:r>
        <w:rPr>
          <w:rFonts w:ascii="宋体" w:hAnsi="宋体" w:eastAsia="宋体" w:cs="宋体"/>
          <w:b/>
          <w:bCs/>
          <w:color w:val="auto"/>
          <w:spacing w:val="-20"/>
          <w:sz w:val="28"/>
          <w:szCs w:val="28"/>
          <w:highlight w:val="none"/>
        </w:rPr>
        <w:t>年</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18"/>
          <w:sz w:val="28"/>
          <w:szCs w:val="28"/>
          <w:highlight w:val="none"/>
        </w:rPr>
        <w:t xml:space="preserve"> </w:t>
      </w:r>
      <w:r>
        <w:rPr>
          <w:rFonts w:ascii="宋体" w:hAnsi="宋体" w:eastAsia="宋体" w:cs="宋体"/>
          <w:b/>
          <w:bCs/>
          <w:color w:val="auto"/>
          <w:spacing w:val="-20"/>
          <w:sz w:val="28"/>
          <w:szCs w:val="28"/>
          <w:highlight w:val="none"/>
        </w:rPr>
        <w:t>月</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77"/>
          <w:sz w:val="28"/>
          <w:szCs w:val="28"/>
          <w:highlight w:val="none"/>
        </w:rPr>
        <w:t xml:space="preserve"> </w:t>
      </w:r>
      <w:r>
        <w:rPr>
          <w:rFonts w:hint="eastAsia" w:ascii="宋体" w:hAnsi="宋体" w:eastAsia="宋体" w:cs="宋体"/>
          <w:color w:val="auto"/>
          <w:spacing w:val="-77"/>
          <w:sz w:val="28"/>
          <w:szCs w:val="28"/>
          <w:highlight w:val="none"/>
          <w:lang w:val="en-US" w:eastAsia="zh-CN"/>
        </w:rPr>
        <w:t>日</w:t>
      </w:r>
    </w:p>
    <w:p w14:paraId="5EA5F8F8">
      <w:pPr>
        <w:pStyle w:val="3"/>
        <w:bidi w:val="0"/>
        <w:ind w:left="0" w:leftChars="0" w:firstLine="0" w:firstLineChars="0"/>
        <w:jc w:val="center"/>
        <w:rPr>
          <w:rFonts w:hint="eastAsia"/>
          <w:color w:val="auto"/>
          <w:highlight w:val="none"/>
        </w:rPr>
      </w:pPr>
      <w:bookmarkStart w:id="287" w:name="OLE_LINK48"/>
      <w:r>
        <w:rPr>
          <w:rFonts w:hint="eastAsia"/>
          <w:color w:val="auto"/>
          <w:highlight w:val="none"/>
          <w:lang w:val="en-US" w:eastAsia="zh-CN"/>
        </w:rPr>
        <w:t>1.</w:t>
      </w:r>
      <w:r>
        <w:rPr>
          <w:rFonts w:hint="eastAsia"/>
          <w:color w:val="auto"/>
          <w:highlight w:val="none"/>
        </w:rPr>
        <w:t>报 价 函</w:t>
      </w:r>
    </w:p>
    <w:p w14:paraId="3836F81D">
      <w:pPr>
        <w:bidi w:val="0"/>
        <w:rPr>
          <w:rFonts w:hint="eastAsia"/>
          <w:color w:val="auto"/>
          <w:sz w:val="24"/>
          <w:szCs w:val="24"/>
          <w:highlight w:val="none"/>
          <w:u w:val="single"/>
          <w:lang w:val="en-US" w:eastAsia="zh-CN"/>
        </w:rPr>
      </w:pPr>
      <w:r>
        <w:rPr>
          <w:rFonts w:hint="eastAsia"/>
          <w:color w:val="auto"/>
          <w:sz w:val="24"/>
          <w:szCs w:val="24"/>
          <w:highlight w:val="none"/>
        </w:rPr>
        <w:t>（采购人）：</w:t>
      </w:r>
      <w:r>
        <w:rPr>
          <w:rFonts w:hint="eastAsia"/>
          <w:color w:val="auto"/>
          <w:sz w:val="24"/>
          <w:szCs w:val="24"/>
          <w:highlight w:val="none"/>
          <w:u w:val="single"/>
          <w:lang w:val="en-US" w:eastAsia="zh-CN"/>
        </w:rPr>
        <w:t xml:space="preserve">            </w:t>
      </w:r>
    </w:p>
    <w:p w14:paraId="3B950DEB">
      <w:pPr>
        <w:bidi w:val="0"/>
        <w:rPr>
          <w:rFonts w:hint="eastAsia"/>
          <w:color w:val="auto"/>
          <w:sz w:val="24"/>
          <w:szCs w:val="24"/>
          <w:highlight w:val="none"/>
        </w:rPr>
      </w:pPr>
      <w:r>
        <w:rPr>
          <w:rFonts w:hint="eastAsia"/>
          <w:color w:val="auto"/>
          <w:sz w:val="24"/>
          <w:szCs w:val="24"/>
          <w:highlight w:val="none"/>
        </w:rPr>
        <w:t>经研究，我们决定参加（项目名称</w:t>
      </w:r>
      <w:r>
        <w:rPr>
          <w:rFonts w:hint="eastAsia"/>
          <w:color w:val="auto"/>
          <w:sz w:val="24"/>
          <w:szCs w:val="24"/>
          <w:highlight w:val="none"/>
          <w:lang w:val="en-US" w:eastAsia="zh-CN"/>
        </w:rPr>
        <w:t>及包号</w:t>
      </w:r>
      <w:r>
        <w:rPr>
          <w:rFonts w:hint="eastAsia"/>
          <w:color w:val="auto"/>
          <w:sz w:val="24"/>
          <w:szCs w:val="24"/>
          <w:highlight w:val="none"/>
        </w:rPr>
        <w:t>：</w:t>
      </w:r>
      <w:r>
        <w:rPr>
          <w:rFonts w:hint="eastAsia"/>
          <w:color w:val="auto"/>
          <w:sz w:val="24"/>
          <w:szCs w:val="24"/>
          <w:highlight w:val="none"/>
          <w:u w:val="single"/>
          <w:lang w:val="en-US" w:eastAsia="zh-CN"/>
        </w:rPr>
        <w:t xml:space="preserve">            </w:t>
      </w:r>
      <w:r>
        <w:rPr>
          <w:rFonts w:hint="eastAsia"/>
          <w:color w:val="auto"/>
          <w:sz w:val="24"/>
          <w:szCs w:val="24"/>
          <w:highlight w:val="none"/>
        </w:rPr>
        <w:t>）（项目编号：</w:t>
      </w:r>
      <w:r>
        <w:rPr>
          <w:rFonts w:hint="eastAsia"/>
          <w:color w:val="auto"/>
          <w:sz w:val="24"/>
          <w:szCs w:val="24"/>
          <w:highlight w:val="none"/>
          <w:u w:val="single"/>
          <w:lang w:val="en-US" w:eastAsia="zh-CN"/>
        </w:rPr>
        <w:t xml:space="preserve">            </w:t>
      </w:r>
      <w:r>
        <w:rPr>
          <w:rFonts w:hint="eastAsia"/>
          <w:color w:val="auto"/>
          <w:sz w:val="24"/>
          <w:szCs w:val="24"/>
          <w:highlight w:val="none"/>
        </w:rPr>
        <w:t>）采购活动并提交响应文件。为此，我方郑重声明以下诸点，并负法律责任。</w:t>
      </w:r>
    </w:p>
    <w:p w14:paraId="368BC87B">
      <w:pPr>
        <w:bidi w:val="0"/>
        <w:rPr>
          <w:rFonts w:hint="eastAsia"/>
          <w:color w:val="auto"/>
          <w:sz w:val="24"/>
          <w:szCs w:val="24"/>
          <w:highlight w:val="none"/>
        </w:rPr>
      </w:pPr>
      <w:r>
        <w:rPr>
          <w:rFonts w:hint="eastAsia"/>
          <w:color w:val="auto"/>
          <w:sz w:val="24"/>
          <w:szCs w:val="24"/>
          <w:highlight w:val="none"/>
        </w:rPr>
        <w:t>1.按磋商文件规定的各项要求，经我单位研究磋商文件后，我方愿以       （大写）</w:t>
      </w:r>
      <w:r>
        <w:rPr>
          <w:rFonts w:hint="eastAsia"/>
          <w:color w:val="auto"/>
          <w:sz w:val="24"/>
          <w:szCs w:val="24"/>
          <w:highlight w:val="none"/>
          <w:u w:val="single"/>
          <w:lang w:val="en-US" w:eastAsia="zh-CN"/>
        </w:rPr>
        <w:t xml:space="preserve">            </w:t>
      </w:r>
      <w:r>
        <w:rPr>
          <w:rFonts w:hint="eastAsia"/>
          <w:color w:val="auto"/>
          <w:sz w:val="24"/>
          <w:szCs w:val="24"/>
          <w:highlight w:val="none"/>
        </w:rPr>
        <w:t>（小写）</w:t>
      </w:r>
      <w:r>
        <w:rPr>
          <w:rFonts w:hint="eastAsia"/>
          <w:color w:val="auto"/>
          <w:sz w:val="24"/>
          <w:szCs w:val="24"/>
          <w:highlight w:val="none"/>
          <w:u w:val="single"/>
          <w:lang w:val="en-US" w:eastAsia="zh-CN"/>
        </w:rPr>
        <w:t xml:space="preserve">            </w:t>
      </w:r>
      <w:r>
        <w:rPr>
          <w:rFonts w:hint="eastAsia"/>
          <w:color w:val="auto"/>
          <w:sz w:val="24"/>
          <w:szCs w:val="24"/>
          <w:highlight w:val="none"/>
        </w:rPr>
        <w:t>的响应总价，按磋商文件的要求提供本次采购范围内的全部服务及其伴随服务。</w:t>
      </w:r>
    </w:p>
    <w:p w14:paraId="36FDD4C7">
      <w:pPr>
        <w:bidi w:val="0"/>
        <w:rPr>
          <w:rFonts w:hint="eastAsia"/>
          <w:color w:val="auto"/>
          <w:sz w:val="24"/>
          <w:szCs w:val="24"/>
          <w:highlight w:val="none"/>
        </w:rPr>
      </w:pPr>
      <w:r>
        <w:rPr>
          <w:rFonts w:hint="eastAsia"/>
          <w:color w:val="auto"/>
          <w:sz w:val="24"/>
          <w:szCs w:val="24"/>
          <w:highlight w:val="none"/>
        </w:rPr>
        <w:t>2.如果我们的报价文件被接受，我们将履行磋商文件中规定的每一项要求，并按我们响应文件中的承诺按期、按质、按量提供咨询及其伴随服务。</w:t>
      </w:r>
    </w:p>
    <w:p w14:paraId="5AAC91A1">
      <w:pPr>
        <w:bidi w:val="0"/>
        <w:rPr>
          <w:rFonts w:hint="eastAsia"/>
          <w:color w:val="auto"/>
          <w:sz w:val="24"/>
          <w:szCs w:val="24"/>
          <w:highlight w:val="none"/>
        </w:rPr>
      </w:pPr>
      <w:r>
        <w:rPr>
          <w:rFonts w:hint="eastAsia"/>
          <w:color w:val="auto"/>
          <w:sz w:val="24"/>
          <w:szCs w:val="24"/>
          <w:highlight w:val="none"/>
        </w:rPr>
        <w:t>3.若我方成交，我们保证向采购代理机构按相关收费标准交纳成交服务费。</w:t>
      </w:r>
    </w:p>
    <w:p w14:paraId="4779D82D">
      <w:pPr>
        <w:bidi w:val="0"/>
        <w:rPr>
          <w:rFonts w:hint="eastAsia"/>
          <w:color w:val="auto"/>
          <w:sz w:val="24"/>
          <w:szCs w:val="24"/>
          <w:highlight w:val="none"/>
        </w:rPr>
      </w:pPr>
      <w:r>
        <w:rPr>
          <w:rFonts w:hint="eastAsia"/>
          <w:color w:val="auto"/>
          <w:sz w:val="24"/>
          <w:szCs w:val="24"/>
          <w:highlight w:val="none"/>
        </w:rPr>
        <w:t>4.我们已经详细审阅和理解了本磋商文件，包括修改、补充的文件（如果有的话）和有关附件，我方同意放弃对这方面有不明及误解的权利。</w:t>
      </w:r>
    </w:p>
    <w:p w14:paraId="0F88848E">
      <w:pPr>
        <w:bidi w:val="0"/>
        <w:rPr>
          <w:rFonts w:hint="eastAsia"/>
          <w:color w:val="auto"/>
          <w:sz w:val="24"/>
          <w:szCs w:val="24"/>
          <w:highlight w:val="none"/>
        </w:rPr>
      </w:pPr>
      <w:r>
        <w:rPr>
          <w:rFonts w:hint="eastAsia"/>
          <w:color w:val="auto"/>
          <w:sz w:val="24"/>
          <w:szCs w:val="24"/>
          <w:highlight w:val="none"/>
        </w:rPr>
        <w:t>5.我方具有独立承担民事责任的能力</w:t>
      </w:r>
      <w:r>
        <w:rPr>
          <w:rFonts w:hint="eastAsia"/>
          <w:color w:val="auto"/>
          <w:sz w:val="24"/>
          <w:szCs w:val="24"/>
          <w:highlight w:val="none"/>
          <w:lang w:eastAsia="zh-CN"/>
        </w:rPr>
        <w:t>，</w:t>
      </w:r>
      <w:r>
        <w:rPr>
          <w:rFonts w:hint="eastAsia"/>
          <w:color w:val="auto"/>
          <w:sz w:val="24"/>
          <w:szCs w:val="24"/>
          <w:highlight w:val="none"/>
        </w:rPr>
        <w:t>愿按《中华人民共和国民法典》履行自己的全部责任。</w:t>
      </w:r>
    </w:p>
    <w:p w14:paraId="09A5BA4C">
      <w:pPr>
        <w:bidi w:val="0"/>
        <w:rPr>
          <w:rFonts w:hint="eastAsia"/>
          <w:color w:val="auto"/>
          <w:sz w:val="24"/>
          <w:szCs w:val="24"/>
          <w:highlight w:val="none"/>
        </w:rPr>
      </w:pPr>
      <w:r>
        <w:rPr>
          <w:rFonts w:hint="eastAsia"/>
          <w:color w:val="auto"/>
          <w:sz w:val="24"/>
          <w:szCs w:val="24"/>
          <w:highlight w:val="none"/>
        </w:rPr>
        <w:t>6.我们同意按磋商文件规定遵守贵机构有关采购的各项规定。</w:t>
      </w:r>
    </w:p>
    <w:p w14:paraId="617A13D3">
      <w:pPr>
        <w:bidi w:val="0"/>
        <w:rPr>
          <w:rFonts w:hint="eastAsia"/>
          <w:color w:val="auto"/>
          <w:sz w:val="24"/>
          <w:szCs w:val="24"/>
          <w:highlight w:val="none"/>
        </w:rPr>
      </w:pPr>
      <w:r>
        <w:rPr>
          <w:rFonts w:hint="eastAsia"/>
          <w:color w:val="auto"/>
          <w:sz w:val="24"/>
          <w:szCs w:val="24"/>
          <w:highlight w:val="none"/>
        </w:rPr>
        <w:t>7.我方的响应文件有效期为自响应文件提交截止之日起</w:t>
      </w:r>
      <w:r>
        <w:rPr>
          <w:rFonts w:hint="eastAsia"/>
          <w:color w:val="auto"/>
          <w:sz w:val="24"/>
          <w:szCs w:val="24"/>
          <w:highlight w:val="none"/>
          <w:u w:val="single"/>
        </w:rPr>
        <w:t xml:space="preserve">   60   </w:t>
      </w:r>
      <w:r>
        <w:rPr>
          <w:rFonts w:hint="eastAsia"/>
          <w:color w:val="auto"/>
          <w:sz w:val="24"/>
          <w:szCs w:val="24"/>
          <w:highlight w:val="none"/>
        </w:rPr>
        <w:t>日历天，若我方成交，我方的响应文件有效期延长至合同履行后。</w:t>
      </w:r>
    </w:p>
    <w:p w14:paraId="02FCAAD0">
      <w:pPr>
        <w:bidi w:val="0"/>
        <w:rPr>
          <w:rFonts w:hint="eastAsia"/>
          <w:color w:val="auto"/>
          <w:sz w:val="24"/>
          <w:szCs w:val="24"/>
          <w:highlight w:val="none"/>
        </w:rPr>
      </w:pPr>
      <w:r>
        <w:rPr>
          <w:rFonts w:hint="eastAsia"/>
          <w:color w:val="auto"/>
          <w:sz w:val="24"/>
          <w:szCs w:val="24"/>
          <w:highlight w:val="none"/>
        </w:rPr>
        <w:t>供应商单位全称：</w:t>
      </w:r>
      <w:r>
        <w:rPr>
          <w:rFonts w:hint="eastAsia"/>
          <w:color w:val="auto"/>
          <w:sz w:val="24"/>
          <w:szCs w:val="24"/>
          <w:highlight w:val="none"/>
          <w:u w:val="single"/>
          <w:lang w:val="en-US" w:eastAsia="zh-CN"/>
        </w:rPr>
        <w:t xml:space="preserve">                        </w:t>
      </w:r>
      <w:r>
        <w:rPr>
          <w:rFonts w:hint="eastAsia"/>
          <w:color w:val="auto"/>
          <w:sz w:val="24"/>
          <w:szCs w:val="24"/>
          <w:highlight w:val="none"/>
        </w:rPr>
        <w:t>（盖章）</w:t>
      </w:r>
    </w:p>
    <w:p w14:paraId="77CC3A7E">
      <w:pPr>
        <w:bidi w:val="0"/>
        <w:rPr>
          <w:rFonts w:hint="eastAsia"/>
          <w:color w:val="auto"/>
          <w:sz w:val="24"/>
          <w:szCs w:val="24"/>
          <w:highlight w:val="none"/>
        </w:rPr>
      </w:pPr>
      <w:r>
        <w:rPr>
          <w:rFonts w:hint="eastAsia"/>
          <w:color w:val="auto"/>
          <w:sz w:val="24"/>
          <w:szCs w:val="24"/>
          <w:highlight w:val="none"/>
        </w:rPr>
        <w:t>法定代表人或委托代理人（签字或盖章）：</w:t>
      </w:r>
      <w:r>
        <w:rPr>
          <w:rFonts w:hint="eastAsia"/>
          <w:color w:val="auto"/>
          <w:sz w:val="24"/>
          <w:szCs w:val="24"/>
          <w:highlight w:val="none"/>
          <w:u w:val="single"/>
        </w:rPr>
        <w:t xml:space="preserve">          </w:t>
      </w:r>
      <w:r>
        <w:rPr>
          <w:rFonts w:hint="eastAsia"/>
          <w:color w:val="auto"/>
          <w:sz w:val="24"/>
          <w:szCs w:val="24"/>
          <w:highlight w:val="none"/>
        </w:rPr>
        <w:t xml:space="preserve">                  </w:t>
      </w:r>
    </w:p>
    <w:p w14:paraId="489A16B6">
      <w:pPr>
        <w:bidi w:val="0"/>
        <w:rPr>
          <w:rFonts w:hint="eastAsia"/>
          <w:color w:val="auto"/>
          <w:sz w:val="24"/>
          <w:szCs w:val="24"/>
          <w:highlight w:val="none"/>
        </w:rPr>
      </w:pPr>
      <w:r>
        <w:rPr>
          <w:rFonts w:hint="eastAsia"/>
          <w:color w:val="auto"/>
          <w:sz w:val="24"/>
          <w:szCs w:val="24"/>
          <w:highlight w:val="none"/>
          <w:lang w:val="en-US" w:eastAsia="zh-CN"/>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0EC78572">
      <w:pPr>
        <w:bidi w:val="0"/>
        <w:rPr>
          <w:rFonts w:hint="eastAsia"/>
          <w:color w:val="auto"/>
          <w:sz w:val="24"/>
          <w:szCs w:val="24"/>
          <w:highlight w:val="none"/>
        </w:rPr>
      </w:pPr>
    </w:p>
    <w:p w14:paraId="538366E0">
      <w:pPr>
        <w:bidi w:val="0"/>
        <w:rPr>
          <w:rFonts w:hint="eastAsia"/>
          <w:color w:val="auto"/>
          <w:sz w:val="24"/>
          <w:szCs w:val="24"/>
          <w:highlight w:val="none"/>
        </w:rPr>
      </w:pPr>
    </w:p>
    <w:p w14:paraId="2F11C31B">
      <w:pPr>
        <w:bidi w:val="0"/>
        <w:rPr>
          <w:rFonts w:hint="eastAsia"/>
          <w:color w:val="auto"/>
          <w:sz w:val="24"/>
          <w:szCs w:val="24"/>
          <w:highlight w:val="none"/>
        </w:rPr>
      </w:pPr>
    </w:p>
    <w:p w14:paraId="3271773A">
      <w:pPr>
        <w:bidi w:val="0"/>
        <w:rPr>
          <w:rFonts w:hint="eastAsia"/>
          <w:color w:val="auto"/>
          <w:sz w:val="24"/>
          <w:szCs w:val="24"/>
          <w:highlight w:val="none"/>
        </w:rPr>
      </w:pPr>
    </w:p>
    <w:p w14:paraId="564BAF9B">
      <w:pPr>
        <w:bidi w:val="0"/>
        <w:rPr>
          <w:rFonts w:hint="eastAsia"/>
          <w:color w:val="auto"/>
          <w:sz w:val="24"/>
          <w:szCs w:val="24"/>
          <w:highlight w:val="none"/>
        </w:rPr>
      </w:pPr>
    </w:p>
    <w:p w14:paraId="3517CE58">
      <w:pPr>
        <w:pStyle w:val="3"/>
        <w:bidi w:val="0"/>
        <w:jc w:val="center"/>
        <w:rPr>
          <w:rFonts w:hint="default"/>
          <w:color w:val="auto"/>
          <w:highlight w:val="none"/>
          <w:lang w:val="en-US" w:eastAsia="zh-CN"/>
        </w:rPr>
      </w:pPr>
      <w:r>
        <w:rPr>
          <w:rFonts w:hint="eastAsia"/>
          <w:color w:val="auto"/>
          <w:highlight w:val="none"/>
          <w:lang w:val="en-US" w:eastAsia="zh-CN"/>
        </w:rPr>
        <w:t>2、报价一览表</w:t>
      </w:r>
    </w:p>
    <w:p w14:paraId="0CFC1C95">
      <w:pPr>
        <w:bidi w:val="0"/>
        <w:ind w:left="0" w:leftChars="0" w:firstLine="0" w:firstLineChars="0"/>
        <w:rPr>
          <w:rFonts w:hint="eastAsia"/>
          <w:color w:val="auto"/>
          <w:sz w:val="24"/>
          <w:szCs w:val="24"/>
          <w:highlight w:val="none"/>
        </w:rPr>
      </w:pPr>
      <w:r>
        <w:rPr>
          <w:rFonts w:hint="eastAsia"/>
          <w:color w:val="auto"/>
          <w:sz w:val="24"/>
          <w:szCs w:val="24"/>
          <w:highlight w:val="none"/>
        </w:rPr>
        <w:t xml:space="preserve">分包编号： </w:t>
      </w:r>
    </w:p>
    <w:p w14:paraId="67860907">
      <w:pPr>
        <w:bidi w:val="0"/>
        <w:ind w:left="0" w:leftChars="0" w:firstLine="0" w:firstLineChars="0"/>
        <w:rPr>
          <w:color w:val="auto"/>
          <w:sz w:val="24"/>
          <w:szCs w:val="24"/>
          <w:highlight w:val="none"/>
        </w:rPr>
      </w:pPr>
      <w:r>
        <w:rPr>
          <w:rFonts w:hint="eastAsia"/>
          <w:color w:val="auto"/>
          <w:sz w:val="24"/>
          <w:szCs w:val="24"/>
          <w:highlight w:val="none"/>
        </w:rPr>
        <w:t xml:space="preserve">分包名称：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408"/>
      </w:tblGrid>
      <w:tr w14:paraId="598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765" w:type="dxa"/>
            <w:noWrap w:val="0"/>
            <w:vAlign w:val="center"/>
          </w:tcPr>
          <w:p w14:paraId="4DEE1603">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7408" w:type="dxa"/>
            <w:noWrap w:val="0"/>
            <w:vAlign w:val="center"/>
          </w:tcPr>
          <w:p w14:paraId="4CE9080F">
            <w:pPr>
              <w:tabs>
                <w:tab w:val="left" w:pos="3408"/>
                <w:tab w:val="left" w:pos="10035"/>
              </w:tabs>
              <w:spacing w:line="360" w:lineRule="auto"/>
              <w:ind w:firstLine="787" w:firstLineChars="328"/>
              <w:rPr>
                <w:rFonts w:hint="eastAsia" w:ascii="宋体" w:hAnsi="宋体" w:eastAsia="宋体" w:cs="宋体"/>
                <w:color w:val="auto"/>
                <w:sz w:val="24"/>
                <w:szCs w:val="24"/>
                <w:highlight w:val="none"/>
                <w:u w:val="single"/>
              </w:rPr>
            </w:pPr>
          </w:p>
        </w:tc>
      </w:tr>
      <w:tr w14:paraId="5E5C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65" w:type="dxa"/>
            <w:vMerge w:val="restart"/>
            <w:noWrap w:val="0"/>
            <w:vAlign w:val="center"/>
          </w:tcPr>
          <w:p w14:paraId="70EDA532">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响应总报价</w:t>
            </w:r>
          </w:p>
        </w:tc>
        <w:tc>
          <w:tcPr>
            <w:tcW w:w="7408" w:type="dxa"/>
            <w:noWrap w:val="0"/>
            <w:vAlign w:val="center"/>
          </w:tcPr>
          <w:p w14:paraId="390E2B9C">
            <w:pPr>
              <w:tabs>
                <w:tab w:val="left" w:pos="3408"/>
                <w:tab w:val="left" w:pos="10035"/>
              </w:tabs>
              <w:spacing w:line="360" w:lineRule="auto"/>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tc>
      </w:tr>
      <w:tr w14:paraId="65AB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65" w:type="dxa"/>
            <w:vMerge w:val="continue"/>
            <w:noWrap w:val="0"/>
            <w:vAlign w:val="center"/>
          </w:tcPr>
          <w:p w14:paraId="7B60CA16">
            <w:pPr>
              <w:tabs>
                <w:tab w:val="left" w:pos="3408"/>
                <w:tab w:val="left" w:pos="10035"/>
              </w:tabs>
              <w:spacing w:line="360" w:lineRule="auto"/>
              <w:jc w:val="center"/>
              <w:rPr>
                <w:rFonts w:hint="eastAsia" w:ascii="宋体" w:hAnsi="宋体" w:eastAsia="宋体" w:cs="宋体"/>
                <w:color w:val="auto"/>
                <w:sz w:val="24"/>
                <w:szCs w:val="24"/>
                <w:highlight w:val="none"/>
              </w:rPr>
            </w:pPr>
          </w:p>
        </w:tc>
        <w:tc>
          <w:tcPr>
            <w:tcW w:w="7408" w:type="dxa"/>
            <w:noWrap w:val="0"/>
            <w:vAlign w:val="center"/>
          </w:tcPr>
          <w:p w14:paraId="0DB618FE">
            <w:pPr>
              <w:tabs>
                <w:tab w:val="left" w:pos="3408"/>
                <w:tab w:val="left" w:pos="10035"/>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0E4C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65" w:type="dxa"/>
            <w:noWrap w:val="0"/>
            <w:vAlign w:val="center"/>
          </w:tcPr>
          <w:p w14:paraId="13D64AAE">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7408" w:type="dxa"/>
            <w:noWrap w:val="0"/>
            <w:vAlign w:val="center"/>
          </w:tcPr>
          <w:p w14:paraId="7656EF73">
            <w:pPr>
              <w:tabs>
                <w:tab w:val="left" w:pos="3408"/>
                <w:tab w:val="left" w:pos="10035"/>
              </w:tabs>
              <w:spacing w:line="360" w:lineRule="auto"/>
              <w:ind w:firstLine="240" w:firstLineChars="100"/>
              <w:rPr>
                <w:rFonts w:hint="eastAsia" w:ascii="宋体" w:hAnsi="宋体" w:eastAsia="宋体" w:cs="宋体"/>
                <w:color w:val="auto"/>
                <w:sz w:val="24"/>
                <w:szCs w:val="24"/>
                <w:highlight w:val="none"/>
              </w:rPr>
            </w:pPr>
          </w:p>
        </w:tc>
      </w:tr>
      <w:tr w14:paraId="2372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65" w:type="dxa"/>
            <w:noWrap w:val="0"/>
            <w:vAlign w:val="center"/>
          </w:tcPr>
          <w:p w14:paraId="339C32D6">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408" w:type="dxa"/>
            <w:noWrap w:val="0"/>
            <w:vAlign w:val="center"/>
          </w:tcPr>
          <w:p w14:paraId="41FE5C2F">
            <w:pPr>
              <w:tabs>
                <w:tab w:val="left" w:pos="3408"/>
                <w:tab w:val="left" w:pos="10035"/>
              </w:tabs>
              <w:spacing w:line="360" w:lineRule="auto"/>
              <w:rPr>
                <w:rFonts w:hint="eastAsia" w:ascii="宋体" w:hAnsi="宋体" w:eastAsia="宋体" w:cs="宋体"/>
                <w:color w:val="auto"/>
                <w:sz w:val="24"/>
                <w:szCs w:val="24"/>
                <w:highlight w:val="none"/>
              </w:rPr>
            </w:pPr>
          </w:p>
        </w:tc>
      </w:tr>
      <w:tr w14:paraId="4BC7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65" w:type="dxa"/>
            <w:noWrap w:val="0"/>
            <w:vAlign w:val="center"/>
          </w:tcPr>
          <w:p w14:paraId="3DBBA6D7">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7408" w:type="dxa"/>
            <w:noWrap w:val="0"/>
            <w:vAlign w:val="center"/>
          </w:tcPr>
          <w:p w14:paraId="56E87FA9">
            <w:pPr>
              <w:tabs>
                <w:tab w:val="left" w:pos="3408"/>
                <w:tab w:val="left" w:pos="10035"/>
              </w:tabs>
              <w:spacing w:line="360" w:lineRule="auto"/>
              <w:rPr>
                <w:rFonts w:hint="eastAsia" w:ascii="宋体" w:hAnsi="宋体" w:eastAsia="宋体" w:cs="宋体"/>
                <w:color w:val="auto"/>
                <w:sz w:val="24"/>
                <w:szCs w:val="24"/>
                <w:highlight w:val="none"/>
              </w:rPr>
            </w:pPr>
          </w:p>
        </w:tc>
      </w:tr>
      <w:tr w14:paraId="00A5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2E3F4C92">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408" w:type="dxa"/>
            <w:noWrap w:val="0"/>
            <w:vAlign w:val="center"/>
          </w:tcPr>
          <w:p w14:paraId="3D6635D3">
            <w:pPr>
              <w:widowControl/>
              <w:wordWrap w:val="0"/>
              <w:spacing w:line="360" w:lineRule="auto"/>
              <w:jc w:val="left"/>
              <w:rPr>
                <w:rFonts w:hint="eastAsia" w:ascii="宋体" w:hAnsi="宋体" w:eastAsia="宋体" w:cs="宋体"/>
                <w:color w:val="auto"/>
                <w:sz w:val="24"/>
                <w:szCs w:val="24"/>
                <w:highlight w:val="none"/>
              </w:rPr>
            </w:pPr>
          </w:p>
        </w:tc>
      </w:tr>
      <w:tr w14:paraId="28AE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5C704325">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7408" w:type="dxa"/>
            <w:noWrap w:val="0"/>
            <w:vAlign w:val="center"/>
          </w:tcPr>
          <w:p w14:paraId="21DA8F1C">
            <w:pPr>
              <w:widowControl/>
              <w:wordWrap w:val="0"/>
              <w:spacing w:line="360" w:lineRule="auto"/>
              <w:jc w:val="left"/>
              <w:rPr>
                <w:rFonts w:hint="eastAsia" w:ascii="宋体" w:hAnsi="宋体" w:eastAsia="宋体" w:cs="宋体"/>
                <w:color w:val="auto"/>
                <w:sz w:val="24"/>
                <w:szCs w:val="24"/>
                <w:highlight w:val="none"/>
              </w:rPr>
            </w:pPr>
          </w:p>
        </w:tc>
      </w:tr>
      <w:tr w14:paraId="3B9F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7DF5A1FA">
            <w:pPr>
              <w:tabs>
                <w:tab w:val="left" w:pos="3408"/>
                <w:tab w:val="left" w:pos="10035"/>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其他优惠条件</w:t>
            </w:r>
          </w:p>
        </w:tc>
        <w:tc>
          <w:tcPr>
            <w:tcW w:w="7408" w:type="dxa"/>
            <w:noWrap w:val="0"/>
            <w:vAlign w:val="center"/>
          </w:tcPr>
          <w:p w14:paraId="0850CFAA">
            <w:pPr>
              <w:tabs>
                <w:tab w:val="left" w:pos="3408"/>
                <w:tab w:val="left" w:pos="10035"/>
              </w:tabs>
              <w:spacing w:line="360" w:lineRule="auto"/>
              <w:rPr>
                <w:rFonts w:hint="eastAsia" w:ascii="宋体" w:hAnsi="宋体" w:eastAsia="宋体" w:cs="宋体"/>
                <w:color w:val="auto"/>
                <w:sz w:val="24"/>
                <w:szCs w:val="24"/>
                <w:highlight w:val="none"/>
              </w:rPr>
            </w:pPr>
          </w:p>
        </w:tc>
      </w:tr>
    </w:tbl>
    <w:p w14:paraId="22211E54">
      <w:pPr>
        <w:spacing w:line="360" w:lineRule="auto"/>
        <w:ind w:firstLine="360" w:firstLineChars="150"/>
        <w:rPr>
          <w:rFonts w:hint="eastAsia" w:ascii="宋体" w:hAnsi="宋体" w:eastAsia="宋体" w:cs="宋体"/>
          <w:color w:val="auto"/>
          <w:sz w:val="24"/>
          <w:szCs w:val="24"/>
          <w:highlight w:val="none"/>
        </w:rPr>
      </w:pPr>
    </w:p>
    <w:p w14:paraId="0278FBB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2A2EEAA4">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供应商法定代表人或委托代理人（签字或盖章）：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49FF4B0">
      <w:pPr>
        <w:spacing w:line="360" w:lineRule="auto"/>
        <w:ind w:left="0" w:leftChars="0" w:firstLine="240" w:firstLineChars="1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    年   月   日</w:t>
      </w:r>
      <w:r>
        <w:rPr>
          <w:rFonts w:hint="eastAsia" w:ascii="宋体" w:hAnsi="宋体" w:eastAsia="宋体" w:cs="宋体"/>
          <w:b/>
          <w:color w:val="auto"/>
          <w:sz w:val="24"/>
          <w:szCs w:val="24"/>
          <w:highlight w:val="none"/>
        </w:rPr>
        <w:br w:type="page"/>
      </w:r>
      <w:bookmarkStart w:id="288" w:name="_Toc288060363"/>
      <w:bookmarkStart w:id="289" w:name="_Toc288203201"/>
    </w:p>
    <w:p w14:paraId="03DB0783">
      <w:pPr>
        <w:pStyle w:val="3"/>
        <w:bidi w:val="0"/>
        <w:jc w:val="center"/>
        <w:rPr>
          <w:rFonts w:hint="eastAsia"/>
          <w:color w:val="auto"/>
          <w:highlight w:val="none"/>
        </w:rPr>
      </w:pPr>
      <w:r>
        <w:rPr>
          <w:rFonts w:hint="eastAsia"/>
          <w:color w:val="auto"/>
          <w:highlight w:val="none"/>
        </w:rPr>
        <w:t>3.分项报价明细表</w:t>
      </w:r>
    </w:p>
    <w:p w14:paraId="417D67F5">
      <w:pPr>
        <w:pStyle w:val="33"/>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（格式自拟）</w:t>
      </w:r>
    </w:p>
    <w:p w14:paraId="5E786BDA">
      <w:pPr>
        <w:pStyle w:val="33"/>
        <w:spacing w:line="360" w:lineRule="auto"/>
        <w:rPr>
          <w:rFonts w:hint="eastAsia" w:ascii="宋体" w:hAnsi="宋体" w:eastAsia="宋体" w:cs="宋体"/>
          <w:bCs/>
          <w:color w:val="auto"/>
          <w:sz w:val="24"/>
          <w:szCs w:val="20"/>
          <w:highlight w:val="none"/>
        </w:rPr>
      </w:pPr>
    </w:p>
    <w:p w14:paraId="2D592E91">
      <w:pPr>
        <w:pStyle w:val="33"/>
        <w:spacing w:line="360" w:lineRule="auto"/>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rPr>
        <w:t>供应商名称（盖章）：</w:t>
      </w:r>
      <w:r>
        <w:rPr>
          <w:rFonts w:hint="eastAsia" w:ascii="宋体" w:hAnsi="宋体" w:eastAsia="宋体" w:cs="宋体"/>
          <w:bCs/>
          <w:color w:val="auto"/>
          <w:sz w:val="24"/>
          <w:szCs w:val="20"/>
          <w:highlight w:val="none"/>
          <w:u w:val="single"/>
          <w:lang w:val="en-US" w:eastAsia="zh-CN"/>
        </w:rPr>
        <w:t xml:space="preserve">             </w:t>
      </w:r>
    </w:p>
    <w:p w14:paraId="5DF18893">
      <w:pPr>
        <w:pStyle w:val="33"/>
        <w:spacing w:line="360" w:lineRule="auto"/>
        <w:rPr>
          <w:rFonts w:hint="eastAsia" w:ascii="宋体" w:hAnsi="宋体" w:eastAsia="宋体" w:cs="宋体"/>
          <w:bCs/>
          <w:color w:val="auto"/>
          <w:sz w:val="24"/>
          <w:szCs w:val="20"/>
          <w:highlight w:val="none"/>
          <w:u w:val="single"/>
          <w:lang w:val="en-US" w:eastAsia="zh-CN"/>
        </w:rPr>
      </w:pPr>
      <w:r>
        <w:rPr>
          <w:rFonts w:hint="eastAsia" w:ascii="宋体" w:hAnsi="宋体" w:eastAsia="宋体" w:cs="宋体"/>
          <w:color w:val="auto"/>
          <w:sz w:val="24"/>
          <w:szCs w:val="20"/>
          <w:highlight w:val="none"/>
        </w:rPr>
        <w:t>供应商法定代表人或委托代理人（签字或盖章）：</w:t>
      </w:r>
      <w:r>
        <w:rPr>
          <w:rFonts w:hint="eastAsia" w:ascii="宋体" w:hAnsi="宋体" w:eastAsia="宋体" w:cs="宋体"/>
          <w:color w:val="auto"/>
          <w:sz w:val="24"/>
          <w:szCs w:val="20"/>
          <w:highlight w:val="none"/>
          <w:u w:val="single"/>
          <w:lang w:val="en-US" w:eastAsia="zh-CN"/>
        </w:rPr>
        <w:t xml:space="preserve">               </w:t>
      </w:r>
    </w:p>
    <w:p w14:paraId="5A44E709">
      <w:pP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日期：</w:t>
      </w:r>
      <w:r>
        <w:rPr>
          <w:rFonts w:hint="eastAsia" w:ascii="宋体" w:hAnsi="宋体" w:eastAsia="宋体" w:cs="宋体"/>
          <w:color w:val="auto"/>
          <w:sz w:val="24"/>
          <w:szCs w:val="20"/>
          <w:highlight w:val="none"/>
        </w:rPr>
        <w:t xml:space="preserve">    年   月   日</w:t>
      </w:r>
    </w:p>
    <w:p w14:paraId="34697E70">
      <w:pPr>
        <w:pStyle w:val="25"/>
        <w:tabs>
          <w:tab w:val="left" w:pos="6400"/>
        </w:tabs>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AD218A9">
      <w:pPr>
        <w:pStyle w:val="3"/>
        <w:bidi w:val="0"/>
        <w:jc w:val="center"/>
        <w:rPr>
          <w:rFonts w:hint="eastAsia"/>
          <w:color w:val="auto"/>
          <w:highlight w:val="none"/>
        </w:rPr>
      </w:pPr>
      <w:r>
        <w:rPr>
          <w:rFonts w:hint="eastAsia"/>
          <w:color w:val="auto"/>
          <w:highlight w:val="none"/>
          <w:lang w:val="en-US" w:eastAsia="zh-CN"/>
        </w:rPr>
        <w:t>4.</w:t>
      </w:r>
      <w:r>
        <w:rPr>
          <w:rFonts w:hint="eastAsia"/>
          <w:color w:val="auto"/>
          <w:highlight w:val="none"/>
        </w:rPr>
        <w:t>技术规格和商务条款偏差表</w:t>
      </w:r>
    </w:p>
    <w:p w14:paraId="644D045E">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此处内容由供应商自拟</w:t>
      </w:r>
    </w:p>
    <w:p w14:paraId="020F6E22">
      <w:pPr>
        <w:adjustRightInd w:val="0"/>
        <w:snapToGrid w:val="0"/>
        <w:spacing w:line="360" w:lineRule="auto"/>
        <w:ind w:firstLine="480" w:firstLineChars="200"/>
        <w:jc w:val="left"/>
        <w:rPr>
          <w:rFonts w:hint="eastAsia" w:ascii="宋体" w:hAnsi="宋体" w:eastAsia="宋体" w:cs="宋体"/>
          <w:color w:val="auto"/>
          <w:sz w:val="24"/>
          <w:szCs w:val="20"/>
          <w:highlight w:val="none"/>
        </w:rPr>
      </w:pPr>
    </w:p>
    <w:p w14:paraId="25F5BCF8">
      <w:pPr>
        <w:adjustRightInd w:val="0"/>
        <w:snapToGrid w:val="0"/>
        <w:spacing w:line="360" w:lineRule="auto"/>
        <w:ind w:firstLine="480" w:firstLineChars="200"/>
        <w:jc w:val="left"/>
        <w:rPr>
          <w:rFonts w:hint="eastAsia" w:ascii="宋体" w:hAnsi="宋体" w:eastAsia="宋体" w:cs="宋体"/>
          <w:color w:val="auto"/>
          <w:sz w:val="24"/>
          <w:szCs w:val="20"/>
          <w:highlight w:val="none"/>
        </w:rPr>
      </w:pPr>
    </w:p>
    <w:p w14:paraId="26178394">
      <w:pPr>
        <w:adjustRightInd w:val="0"/>
        <w:snapToGrid w:val="0"/>
        <w:spacing w:line="360" w:lineRule="auto"/>
        <w:ind w:firstLine="480" w:firstLineChars="200"/>
        <w:jc w:val="left"/>
        <w:rPr>
          <w:rFonts w:hint="eastAsia" w:ascii="宋体" w:hAnsi="宋体" w:eastAsia="宋体" w:cs="宋体"/>
          <w:color w:val="auto"/>
          <w:sz w:val="24"/>
          <w:szCs w:val="20"/>
          <w:highlight w:val="none"/>
        </w:rPr>
      </w:pPr>
    </w:p>
    <w:p w14:paraId="265ACF69">
      <w:pPr>
        <w:rPr>
          <w:rFonts w:hint="eastAsia" w:ascii="宋体" w:hAnsi="宋体" w:eastAsia="宋体" w:cs="宋体"/>
          <w:b/>
          <w:color w:val="auto"/>
          <w:sz w:val="24"/>
          <w:szCs w:val="20"/>
          <w:highlight w:val="none"/>
        </w:rPr>
      </w:pPr>
    </w:p>
    <w:p w14:paraId="01E64A5A">
      <w:pPr>
        <w:rPr>
          <w:rFonts w:hint="eastAsia" w:ascii="宋体" w:hAnsi="宋体" w:eastAsia="宋体" w:cs="宋体"/>
          <w:b/>
          <w:color w:val="auto"/>
          <w:sz w:val="24"/>
          <w:szCs w:val="20"/>
          <w:highlight w:val="none"/>
        </w:rPr>
      </w:pPr>
    </w:p>
    <w:p w14:paraId="642BE3DF">
      <w:pPr>
        <w:snapToGrid w:val="0"/>
        <w:spacing w:line="48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供应商名称（盖章）：</w:t>
      </w:r>
      <w:r>
        <w:rPr>
          <w:rFonts w:hint="eastAsia" w:ascii="宋体" w:hAnsi="宋体" w:eastAsia="宋体" w:cs="宋体"/>
          <w:bCs/>
          <w:color w:val="auto"/>
          <w:sz w:val="24"/>
          <w:szCs w:val="24"/>
          <w:highlight w:val="none"/>
          <w:u w:val="single"/>
          <w:lang w:val="en-US" w:eastAsia="zh-CN"/>
        </w:rPr>
        <w:t xml:space="preserve">             </w:t>
      </w:r>
    </w:p>
    <w:p w14:paraId="6A80C823">
      <w:pPr>
        <w:snapToGrid w:val="0"/>
        <w:spacing w:line="48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法定代表人（单位负责人）或</w:t>
      </w:r>
      <w:r>
        <w:rPr>
          <w:rFonts w:hint="eastAsia" w:ascii="宋体" w:hAnsi="宋体" w:eastAsia="宋体" w:cs="宋体"/>
          <w:color w:val="auto"/>
          <w:sz w:val="24"/>
          <w:szCs w:val="24"/>
          <w:highlight w:val="none"/>
        </w:rPr>
        <w:t>委托代理人</w:t>
      </w:r>
      <w:r>
        <w:rPr>
          <w:rFonts w:hint="eastAsia" w:ascii="宋体" w:hAnsi="宋体" w:eastAsia="宋体" w:cs="宋体"/>
          <w:bCs/>
          <w:color w:val="auto"/>
          <w:sz w:val="24"/>
          <w:szCs w:val="24"/>
          <w:highlight w:val="none"/>
        </w:rPr>
        <w:t>（签字或盖章）：</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 xml:space="preserve"> </w:t>
      </w:r>
    </w:p>
    <w:p w14:paraId="5F0461EE">
      <w:pPr>
        <w:snapToGrid w:val="0"/>
        <w:spacing w:line="480" w:lineRule="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日期：</w:t>
      </w:r>
      <w:r>
        <w:rPr>
          <w:rFonts w:hint="eastAsia" w:ascii="宋体" w:hAnsi="宋体" w:eastAsia="宋体" w:cs="宋体"/>
          <w:color w:val="auto"/>
          <w:sz w:val="24"/>
          <w:szCs w:val="20"/>
          <w:highlight w:val="none"/>
        </w:rPr>
        <w:t xml:space="preserve">    年   月   日</w:t>
      </w:r>
    </w:p>
    <w:p w14:paraId="0804B861">
      <w:pPr>
        <w:pStyle w:val="25"/>
        <w:tabs>
          <w:tab w:val="left" w:pos="6400"/>
        </w:tabs>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br w:type="page"/>
      </w:r>
      <w:bookmarkEnd w:id="288"/>
      <w:bookmarkEnd w:id="289"/>
    </w:p>
    <w:p w14:paraId="653FEAA0">
      <w:pPr>
        <w:pStyle w:val="3"/>
        <w:bidi w:val="0"/>
        <w:jc w:val="center"/>
        <w:rPr>
          <w:rFonts w:hint="eastAsia"/>
          <w:color w:val="auto"/>
          <w:highlight w:val="none"/>
        </w:rPr>
      </w:pPr>
      <w:bookmarkStart w:id="290" w:name="_Toc449027499"/>
      <w:bookmarkStart w:id="291" w:name="_Toc449027585"/>
      <w:bookmarkStart w:id="292" w:name="_Toc388519770"/>
      <w:bookmarkStart w:id="293" w:name="_Toc365563076"/>
      <w:bookmarkStart w:id="294" w:name="_Toc317255555"/>
      <w:bookmarkStart w:id="295" w:name="_Toc419901236"/>
      <w:r>
        <w:rPr>
          <w:rFonts w:hint="eastAsia"/>
          <w:color w:val="auto"/>
          <w:highlight w:val="none"/>
        </w:rPr>
        <w:t>5.资格审查资料</w:t>
      </w:r>
      <w:bookmarkEnd w:id="290"/>
      <w:bookmarkEnd w:id="291"/>
      <w:bookmarkEnd w:id="292"/>
      <w:bookmarkEnd w:id="293"/>
      <w:bookmarkEnd w:id="294"/>
      <w:bookmarkEnd w:id="295"/>
    </w:p>
    <w:p w14:paraId="31EB5034">
      <w:pPr>
        <w:spacing w:line="360" w:lineRule="auto"/>
        <w:ind w:firstLine="616" w:firstLineChars="257"/>
        <w:rPr>
          <w:rFonts w:hint="eastAsia" w:asciiTheme="minorEastAsia" w:hAnsiTheme="minorEastAsia" w:eastAsiaTheme="minorEastAsia" w:cstheme="minorEastAsia"/>
          <w:color w:val="auto"/>
          <w:sz w:val="24"/>
          <w:szCs w:val="24"/>
          <w:highlight w:val="none"/>
        </w:rPr>
      </w:pPr>
      <w:bookmarkStart w:id="296" w:name="_Toc134505104"/>
      <w:bookmarkStart w:id="297" w:name="_Toc128391206"/>
      <w:bookmarkStart w:id="298" w:name="_Toc128391562"/>
      <w:bookmarkStart w:id="299" w:name="_Toc128397559"/>
      <w:r>
        <w:rPr>
          <w:rFonts w:hint="eastAsia" w:asciiTheme="minorEastAsia" w:hAnsiTheme="minorEastAsia" w:eastAsiaTheme="minorEastAsia" w:cstheme="minorEastAsia"/>
          <w:color w:val="auto"/>
          <w:sz w:val="24"/>
          <w:szCs w:val="24"/>
          <w:highlight w:val="none"/>
        </w:rPr>
        <w:t>（1）营业执照扫描件；</w:t>
      </w:r>
    </w:p>
    <w:p w14:paraId="72D1E831">
      <w:pPr>
        <w:spacing w:line="360" w:lineRule="auto"/>
        <w:ind w:firstLine="616" w:firstLineChars="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（2）法定代表人身份证明及法定代表人授权委托书（法定代表人授权委托书须附法定代表人及委托代理人身份证扫描件）；</w:t>
      </w:r>
    </w:p>
    <w:p w14:paraId="79FA885A">
      <w:pPr>
        <w:jc w:val="center"/>
        <w:rPr>
          <w:rFonts w:hint="eastAsia" w:asciiTheme="minorEastAsia" w:hAnsiTheme="minorEastAsia" w:eastAsiaTheme="minorEastAsia" w:cstheme="minorEastAsia"/>
          <w:b/>
          <w:bCs/>
          <w:color w:val="auto"/>
          <w:sz w:val="24"/>
          <w:szCs w:val="24"/>
          <w:highlight w:val="none"/>
        </w:rPr>
      </w:pPr>
      <w:bookmarkStart w:id="300" w:name="_Toc449027581"/>
      <w:bookmarkStart w:id="301" w:name="_Toc388519766"/>
      <w:bookmarkStart w:id="302" w:name="_Toc449027495"/>
      <w:bookmarkStart w:id="303" w:name="_Toc419901232"/>
      <w:r>
        <w:rPr>
          <w:rFonts w:hint="eastAsia" w:asciiTheme="minorEastAsia" w:hAnsiTheme="minorEastAsia" w:eastAsiaTheme="minorEastAsia" w:cstheme="minorEastAsia"/>
          <w:b/>
          <w:bCs/>
          <w:color w:val="auto"/>
          <w:sz w:val="24"/>
          <w:szCs w:val="24"/>
          <w:highlight w:val="none"/>
        </w:rPr>
        <w:t>法定代表人身份证明</w:t>
      </w:r>
      <w:bookmarkEnd w:id="300"/>
      <w:bookmarkEnd w:id="301"/>
      <w:bookmarkEnd w:id="302"/>
      <w:bookmarkEnd w:id="303"/>
    </w:p>
    <w:p w14:paraId="24A99405">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D68A144">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单位类型：</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581D17C">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7C0C41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999AEC5">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营业期限：</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4DC6B4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9E95AD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（供应商名称）的法定代表人。</w:t>
      </w:r>
    </w:p>
    <w:p w14:paraId="3229BED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22B3B583">
      <w:pPr>
        <w:spacing w:line="60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（盖章）</w:t>
      </w:r>
    </w:p>
    <w:p w14:paraId="096FC759">
      <w:pPr>
        <w:snapToGrid w:val="0"/>
        <w:spacing w:line="600" w:lineRule="auto"/>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日</w:t>
      </w:r>
    </w:p>
    <w:p w14:paraId="234A3DF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BBEEAA5">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p>
    <w:p w14:paraId="263B94D3">
      <w:pPr>
        <w:jc w:val="center"/>
        <w:rPr>
          <w:rFonts w:hint="eastAsia" w:asciiTheme="minorEastAsia" w:hAnsiTheme="minorEastAsia" w:eastAsiaTheme="minorEastAsia" w:cstheme="minorEastAsia"/>
          <w:b/>
          <w:color w:val="auto"/>
          <w:sz w:val="24"/>
          <w:szCs w:val="24"/>
          <w:highlight w:val="none"/>
        </w:rPr>
      </w:pPr>
      <w:bookmarkStart w:id="304" w:name="_Toc419901234"/>
      <w:bookmarkStart w:id="305" w:name="_Toc449027497"/>
      <w:bookmarkStart w:id="306" w:name="_Toc317255553"/>
      <w:bookmarkStart w:id="307" w:name="_Toc449027583"/>
      <w:bookmarkStart w:id="308" w:name="_Toc365563074"/>
      <w:bookmarkStart w:id="309" w:name="_Toc388519768"/>
      <w:r>
        <w:rPr>
          <w:rFonts w:hint="eastAsia" w:asciiTheme="minorEastAsia" w:hAnsiTheme="minorEastAsia" w:eastAsiaTheme="minorEastAsia" w:cstheme="minorEastAsia"/>
          <w:b/>
          <w:color w:val="auto"/>
          <w:sz w:val="24"/>
          <w:szCs w:val="24"/>
          <w:highlight w:val="none"/>
        </w:rPr>
        <w:t>法定代表人授权委托书</w:t>
      </w:r>
      <w:bookmarkEnd w:id="304"/>
      <w:bookmarkEnd w:id="305"/>
      <w:bookmarkEnd w:id="306"/>
      <w:bookmarkEnd w:id="307"/>
      <w:bookmarkEnd w:id="308"/>
      <w:bookmarkEnd w:id="309"/>
    </w:p>
    <w:p w14:paraId="7A79E31F">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310" w:name="_Toc288203194"/>
      <w:bookmarkStart w:id="311" w:name="_Toc288060355"/>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（姓名）系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（供应商名称）的法定代表人，现授权委托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（姓名、职务）为我单位授权代理人，以本单位的名义参加</w:t>
      </w:r>
      <w:r>
        <w:rPr>
          <w:rFonts w:hint="eastAsia" w:asciiTheme="minorEastAsia" w:hAnsiTheme="minorEastAsia" w:eastAsiaTheme="minorEastAsia" w:cstheme="minorEastAsia"/>
          <w:color w:val="auto"/>
          <w:sz w:val="24"/>
          <w:szCs w:val="24"/>
          <w:highlight w:val="none"/>
          <w:lang w:eastAsia="zh-CN"/>
        </w:rPr>
        <w:t>河南广信项目管理有限公司</w:t>
      </w:r>
      <w:r>
        <w:rPr>
          <w:rFonts w:hint="eastAsia" w:asciiTheme="minorEastAsia" w:hAnsiTheme="minorEastAsia" w:eastAsiaTheme="minorEastAsia" w:cstheme="minorEastAsia"/>
          <w:color w:val="auto"/>
          <w:sz w:val="24"/>
          <w:szCs w:val="24"/>
          <w:highlight w:val="none"/>
        </w:rPr>
        <w:t>组织的</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项目编号     </w:t>
      </w:r>
      <w:r>
        <w:rPr>
          <w:rFonts w:hint="eastAsia" w:asciiTheme="minorEastAsia" w:hAnsiTheme="minorEastAsia" w:eastAsiaTheme="minorEastAsia" w:cstheme="minorEastAsia"/>
          <w:color w:val="auto"/>
          <w:sz w:val="24"/>
          <w:szCs w:val="24"/>
          <w:highlight w:val="none"/>
        </w:rPr>
        <w:t>）的采购活动。委托代理人在磋商过程中所签署的一切文件和处理与之有关的一切事务，我均予以承认。</w:t>
      </w:r>
      <w:bookmarkEnd w:id="310"/>
      <w:bookmarkEnd w:id="311"/>
    </w:p>
    <w:p w14:paraId="67088416">
      <w:pPr>
        <w:spacing w:line="360" w:lineRule="auto"/>
        <w:ind w:firstLine="410" w:firstLineChars="1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授权代理人无转委托权。特此委托。</w:t>
      </w:r>
    </w:p>
    <w:p w14:paraId="3CEAAC3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委托期限：自委托之日起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3810D1C4">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917F16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附：法定代表人及委托代理人身份证扫描件（正面、反面）</w:t>
      </w:r>
    </w:p>
    <w:p w14:paraId="7CF2A7C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44C74FF8">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465BD15">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0F7814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25B88CD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p>
    <w:p w14:paraId="6179D93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4D95489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委托代理人（签字或盖章）：</w:t>
      </w:r>
      <w:r>
        <w:rPr>
          <w:rFonts w:hint="eastAsia" w:asciiTheme="minorEastAsia" w:hAnsiTheme="minorEastAsia" w:eastAsiaTheme="minorEastAsia" w:cstheme="minorEastAsia"/>
          <w:color w:val="auto"/>
          <w:sz w:val="24"/>
          <w:szCs w:val="24"/>
          <w:highlight w:val="none"/>
          <w:u w:val="single"/>
        </w:rPr>
        <w:t xml:space="preserve">                               </w:t>
      </w:r>
    </w:p>
    <w:p w14:paraId="0A5437DE">
      <w:pPr>
        <w:pStyle w:val="2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3829962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C461C36">
      <w:pPr>
        <w:bidi w:val="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br w:type="page"/>
      </w:r>
      <w:bookmarkEnd w:id="296"/>
      <w:bookmarkEnd w:id="297"/>
      <w:bookmarkEnd w:id="298"/>
      <w:bookmarkEnd w:id="299"/>
      <w:bookmarkStart w:id="312" w:name="_Toc388519791"/>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cs="宋体"/>
          <w:color w:val="auto"/>
          <w:sz w:val="24"/>
          <w:szCs w:val="24"/>
          <w:highlight w:val="none"/>
          <w:lang w:eastAsia="zh-CN"/>
        </w:rPr>
        <w:t>；</w:t>
      </w:r>
    </w:p>
    <w:p w14:paraId="544031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6718B21">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（4）具有依法缴纳税收和社会保障资金的良好记录（提供202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年以来连续6个月依法缴纳税收和社会保障资金的证明资料，依法免税或不需要缴纳社会保障资金的投标人，应提供相应文件证明其依法免税或不需要缴纳社会保障资金）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eastAsia="zh-CN"/>
        </w:rPr>
        <w:t>；</w:t>
      </w:r>
    </w:p>
    <w:p w14:paraId="43D265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EA608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（5）参加政府采购活动前三年内，在经营活动中没有重大违法记录（提供书面承诺书，格式自理）；</w:t>
      </w:r>
    </w:p>
    <w:p w14:paraId="327550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DBFA8E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13714F2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3294535B">
      <w:pPr>
        <w:bidi w:val="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根据《关于在政府采购活动中查询及使用信用记录有关问题的通知》(财库[2016]125 号) 的规定，对列入失信被执行人、</w:t>
      </w:r>
      <w:r>
        <w:rPr>
          <w:rFonts w:hint="eastAsia" w:ascii="宋体" w:hAnsi="宋体" w:eastAsia="宋体" w:cs="宋体"/>
          <w:color w:val="auto"/>
          <w:sz w:val="24"/>
          <w:szCs w:val="20"/>
          <w:highlight w:val="none"/>
        </w:rPr>
        <w:t>重大税收违法失信主体</w:t>
      </w:r>
      <w:r>
        <w:rPr>
          <w:rFonts w:hint="eastAsia" w:ascii="宋体" w:hAnsi="宋体" w:eastAsia="宋体" w:cs="宋体"/>
          <w:color w:val="auto"/>
          <w:sz w:val="24"/>
          <w:szCs w:val="24"/>
          <w:highlight w:val="none"/>
        </w:rPr>
        <w:t>【查询渠道：“信用中国”网站（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）】，政府采购严重违法失信行为记录名单【查询渠道：中国政府采购网（www.ccgp.gov.cn）】的供应商，拒绝参与本项目政府采购活动。投标人需提供投标单位信用记录查询结果网页截图。</w:t>
      </w:r>
    </w:p>
    <w:p w14:paraId="3D5AA9B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262D3F62">
      <w:pPr>
        <w:bidi w:val="0"/>
        <w:rPr>
          <w:rFonts w:hint="eastAsia" w:ascii="宋体" w:hAnsi="宋体" w:eastAsia="宋体" w:cs="宋体"/>
          <w:color w:val="auto"/>
          <w:sz w:val="24"/>
          <w:szCs w:val="20"/>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单位负责人为同一人或存在控股、管理关系的不同单位，不得参加同一标段投标，否则相关投标均无效。</w:t>
      </w:r>
    </w:p>
    <w:p w14:paraId="6D063295">
      <w:pPr>
        <w:spacing w:line="360" w:lineRule="auto"/>
        <w:rPr>
          <w:rFonts w:hint="eastAsia" w:asciiTheme="minorEastAsia" w:hAnsiTheme="minorEastAsia" w:eastAsiaTheme="minorEastAsia" w:cstheme="minorEastAsia"/>
          <w:color w:val="auto"/>
          <w:sz w:val="21"/>
          <w:szCs w:val="21"/>
          <w:highlight w:val="none"/>
        </w:rPr>
      </w:pPr>
    </w:p>
    <w:p w14:paraId="6376468B">
      <w:pPr>
        <w:pStyle w:val="24"/>
        <w:rPr>
          <w:rFonts w:hint="eastAsia" w:asciiTheme="minorEastAsia" w:hAnsiTheme="minorEastAsia" w:eastAsiaTheme="minorEastAsia" w:cstheme="minorEastAsia"/>
          <w:color w:val="auto"/>
          <w:sz w:val="24"/>
          <w:szCs w:val="24"/>
          <w:highlight w:val="none"/>
          <w:lang w:eastAsia="zh-CN"/>
        </w:rPr>
      </w:pPr>
    </w:p>
    <w:p w14:paraId="63A17E59">
      <w:pPr>
        <w:pStyle w:val="3"/>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6.磋商承诺函</w:t>
      </w:r>
    </w:p>
    <w:p w14:paraId="32DA32B5">
      <w:pPr>
        <w:spacing w:line="36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我单位就</w:t>
      </w:r>
      <w:r>
        <w:rPr>
          <w:rFonts w:hint="eastAsia" w:asciiTheme="minorEastAsia" w:hAnsiTheme="minorEastAsia" w:eastAsiaTheme="minorEastAsia" w:cstheme="minorEastAsia"/>
          <w:color w:val="auto"/>
          <w:sz w:val="24"/>
          <w:szCs w:val="24"/>
          <w:highlight w:val="none"/>
          <w:u w:val="single"/>
        </w:rPr>
        <w:t xml:space="preserve">   （项目名称） </w:t>
      </w:r>
      <w:r>
        <w:rPr>
          <w:rFonts w:hint="eastAsia" w:asciiTheme="minorEastAsia" w:hAnsiTheme="minorEastAsia" w:eastAsiaTheme="minorEastAsia" w:cstheme="minorEastAsia"/>
          <w:color w:val="auto"/>
          <w:sz w:val="24"/>
          <w:szCs w:val="24"/>
          <w:highlight w:val="none"/>
        </w:rPr>
        <w:t>作如下承诺：</w:t>
      </w:r>
    </w:p>
    <w:p w14:paraId="3515BAB2">
      <w:pPr>
        <w:spacing w:line="36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承诺事项：</w:t>
      </w:r>
    </w:p>
    <w:p w14:paraId="15433C6C">
      <w:pPr>
        <w:spacing w:line="36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（1）我单位参加本次采购活动，不存在与单位负责人为同一人或者存在直接控股管理关系的其他供应商参与同一合同项下的投标活动行为；</w:t>
      </w:r>
    </w:p>
    <w:p w14:paraId="43ECFE67">
      <w:pPr>
        <w:spacing w:line="360" w:lineRule="auto"/>
        <w:ind w:firstLine="55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（2）我单位在本次响应文件中提供的所有内容、资料、陈述是真实的、有效的、合法的；</w:t>
      </w:r>
      <w:r>
        <w:rPr>
          <w:rFonts w:hint="eastAsia" w:asciiTheme="minorEastAsia" w:hAnsiTheme="minorEastAsia" w:eastAsiaTheme="minorEastAsia" w:cstheme="minorEastAsia"/>
          <w:color w:val="auto"/>
          <w:sz w:val="24"/>
          <w:szCs w:val="24"/>
          <w:highlight w:val="none"/>
          <w:lang w:val="en-US" w:eastAsia="zh-CN"/>
        </w:rPr>
        <w:t>我单位不存在磋商文件“供应商须知前附表第23条”规定的响应文件无效的情形；</w:t>
      </w:r>
    </w:p>
    <w:p w14:paraId="61FEE0BF">
      <w:pPr>
        <w:spacing w:line="36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（3）若我单位成交，我方保证在领取成交通知书前按照竞争性磋商文件要求向采购代理机构缴纳成交服务费；</w:t>
      </w:r>
    </w:p>
    <w:p w14:paraId="02BFC1CB">
      <w:pPr>
        <w:spacing w:line="36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（4）若我单位成交，我方保证在成交通知书规定的时间内签订合同。</w:t>
      </w:r>
    </w:p>
    <w:p w14:paraId="5AF228CE">
      <w:pPr>
        <w:spacing w:line="360" w:lineRule="auto"/>
        <w:ind w:firstLine="555"/>
        <w:rPr>
          <w:rFonts w:hint="eastAsia" w:asciiTheme="minorEastAsia" w:hAnsiTheme="minorEastAsia" w:eastAsiaTheme="minorEastAsia" w:cstheme="minorEastAsia"/>
          <w:color w:val="auto"/>
          <w:sz w:val="24"/>
          <w:szCs w:val="24"/>
          <w:highlight w:val="none"/>
          <w:lang w:eastAsia="zh-CN"/>
        </w:rPr>
      </w:pPr>
    </w:p>
    <w:p w14:paraId="1F877FE2">
      <w:pPr>
        <w:spacing w:line="36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若我单位违背以上承诺，采购人可取消我单位成交资格，且产生的一切法律后果和责任由我单位承担。</w:t>
      </w:r>
    </w:p>
    <w:p w14:paraId="503B3571">
      <w:pPr>
        <w:spacing w:line="360" w:lineRule="auto"/>
        <w:ind w:firstLine="555"/>
        <w:rPr>
          <w:rFonts w:hint="eastAsia" w:asciiTheme="minorEastAsia" w:hAnsiTheme="minorEastAsia" w:eastAsiaTheme="minorEastAsia" w:cstheme="minorEastAsia"/>
          <w:color w:val="auto"/>
          <w:sz w:val="24"/>
          <w:szCs w:val="24"/>
          <w:highlight w:val="none"/>
        </w:rPr>
      </w:pPr>
    </w:p>
    <w:p w14:paraId="606BA264">
      <w:pPr>
        <w:pStyle w:val="16"/>
        <w:wordWrap w:val="0"/>
        <w:adjustRightInd w:val="0"/>
        <w:snapToGrid w:val="0"/>
        <w:spacing w:before="100" w:beforeLines="50" w:beforeAutospacing="1" w:after="100" w:afterLines="50" w:afterAutospacing="1"/>
        <w:ind w:right="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供应商名称（盖章）：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406F2BE">
      <w:pPr>
        <w:pStyle w:val="16"/>
        <w:wordWrap w:val="0"/>
        <w:adjustRightInd w:val="0"/>
        <w:snapToGrid w:val="0"/>
        <w:spacing w:before="100" w:beforeLines="50" w:beforeAutospacing="1" w:after="100" w:afterLines="50" w:afterAutospacing="1"/>
        <w:ind w:right="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供应商法定代表人</w:t>
      </w:r>
      <w:r>
        <w:rPr>
          <w:rFonts w:hint="eastAsia" w:asciiTheme="minorEastAsia" w:hAnsiTheme="minorEastAsia" w:eastAsiaTheme="minorEastAsia" w:cstheme="minorEastAsia"/>
          <w:color w:val="auto"/>
          <w:sz w:val="24"/>
          <w:szCs w:val="24"/>
          <w:highlight w:val="none"/>
          <w:lang w:val="en-US" w:eastAsia="zh-CN"/>
        </w:rPr>
        <w:t>或委托代理人</w:t>
      </w:r>
      <w:r>
        <w:rPr>
          <w:rFonts w:hint="eastAsia" w:asciiTheme="minorEastAsia" w:hAnsiTheme="minorEastAsia" w:eastAsiaTheme="minorEastAsia" w:cstheme="minorEastAsia"/>
          <w:color w:val="auto"/>
          <w:sz w:val="24"/>
          <w:szCs w:val="24"/>
          <w:highlight w:val="none"/>
        </w:rPr>
        <w:t>（签字或盖章）：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ADD9E1A">
      <w:pPr>
        <w:pStyle w:val="259"/>
        <w:tabs>
          <w:tab w:val="left" w:pos="748"/>
        </w:tabs>
        <w:autoSpaceDE w:val="0"/>
        <w:autoSpaceDN w:val="0"/>
        <w:spacing w:before="1"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208B0043">
      <w:pPr>
        <w:pStyle w:val="33"/>
        <w:spacing w:line="360" w:lineRule="auto"/>
        <w:jc w:val="center"/>
        <w:rPr>
          <w:rFonts w:hint="eastAsia" w:asciiTheme="minorEastAsia" w:hAnsiTheme="minorEastAsia" w:eastAsiaTheme="minorEastAsia" w:cstheme="minorEastAsia"/>
          <w:b/>
          <w:bCs/>
          <w:color w:val="auto"/>
          <w:sz w:val="24"/>
          <w:szCs w:val="24"/>
          <w:highlight w:val="none"/>
        </w:rPr>
      </w:pPr>
    </w:p>
    <w:p w14:paraId="55AE2E8A">
      <w:pPr>
        <w:pStyle w:val="3"/>
        <w:bidi w:val="0"/>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7.商务评分资料</w:t>
      </w:r>
    </w:p>
    <w:p w14:paraId="6E97DB7B">
      <w:pPr>
        <w:pStyle w:val="33"/>
        <w:spacing w:line="520" w:lineRule="exact"/>
        <w:rPr>
          <w:rFonts w:hint="eastAsia" w:asciiTheme="minorEastAsia" w:hAnsiTheme="minorEastAsia" w:eastAsiaTheme="minorEastAsia" w:cstheme="minorEastAsia"/>
          <w:b/>
          <w:color w:val="auto"/>
          <w:sz w:val="24"/>
          <w:szCs w:val="24"/>
          <w:highlight w:val="none"/>
        </w:rPr>
      </w:pPr>
    </w:p>
    <w:p w14:paraId="72E6935E">
      <w:pPr>
        <w:pStyle w:val="3"/>
        <w:bidi w:val="0"/>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8.技术评分资料</w:t>
      </w:r>
    </w:p>
    <w:p w14:paraId="0811A2F5">
      <w:pPr>
        <w:pStyle w:val="33"/>
        <w:spacing w:line="520" w:lineRule="exact"/>
        <w:rPr>
          <w:rFonts w:hint="eastAsia" w:asciiTheme="minorEastAsia" w:hAnsiTheme="minorEastAsia" w:eastAsiaTheme="minorEastAsia" w:cstheme="minorEastAsia"/>
          <w:b/>
          <w:color w:val="auto"/>
          <w:sz w:val="24"/>
          <w:szCs w:val="24"/>
          <w:highlight w:val="none"/>
        </w:rPr>
      </w:pPr>
    </w:p>
    <w:p w14:paraId="3F34B2A0">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312"/>
    <w:p w14:paraId="7CF96A3E">
      <w:pPr>
        <w:pStyle w:val="16"/>
        <w:spacing w:line="360" w:lineRule="auto"/>
        <w:ind w:firstLine="422"/>
        <w:jc w:val="center"/>
        <w:rPr>
          <w:rFonts w:hint="eastAsia" w:asciiTheme="minorEastAsia" w:hAnsiTheme="minorEastAsia" w:eastAsiaTheme="minorEastAsia" w:cstheme="minorEastAsia"/>
          <w:b/>
          <w:color w:val="auto"/>
          <w:sz w:val="24"/>
          <w:szCs w:val="24"/>
          <w:highlight w:val="none"/>
        </w:rPr>
      </w:pPr>
      <w:bookmarkStart w:id="313" w:name="_Toc419901263"/>
      <w:bookmarkStart w:id="314" w:name="_Toc449027514"/>
      <w:bookmarkStart w:id="315" w:name="_Toc388519794"/>
      <w:bookmarkStart w:id="316" w:name="_Toc449027600"/>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.反商业贿赂承诺书</w:t>
      </w:r>
      <w:bookmarkEnd w:id="313"/>
      <w:bookmarkEnd w:id="314"/>
      <w:bookmarkEnd w:id="315"/>
      <w:bookmarkEnd w:id="316"/>
    </w:p>
    <w:p w14:paraId="7A4367F8">
      <w:pPr>
        <w:autoSpaceDE w:val="0"/>
        <w:autoSpaceDN w:val="0"/>
        <w:adjustRightInd w:val="0"/>
        <w:spacing w:line="360" w:lineRule="auto"/>
        <w:rPr>
          <w:rFonts w:hint="eastAsia" w:asciiTheme="minorEastAsia" w:hAnsiTheme="minorEastAsia" w:eastAsiaTheme="minorEastAsia" w:cstheme="minorEastAsia"/>
          <w:bCs/>
          <w:color w:val="auto"/>
          <w:spacing w:val="10"/>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我公司承诺</w:t>
      </w:r>
      <w:r>
        <w:rPr>
          <w:rFonts w:hint="eastAsia" w:asciiTheme="minorEastAsia" w:hAnsiTheme="minorEastAsia" w:eastAsiaTheme="minorEastAsia" w:cstheme="minorEastAsia"/>
          <w:bCs/>
          <w:color w:val="auto"/>
          <w:spacing w:val="10"/>
          <w:kern w:val="0"/>
          <w:sz w:val="24"/>
          <w:szCs w:val="24"/>
          <w:highlight w:val="none"/>
        </w:rPr>
        <w:t>：</w:t>
      </w:r>
    </w:p>
    <w:p w14:paraId="279E29CD">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在</w:t>
      </w:r>
      <w:r>
        <w:rPr>
          <w:rFonts w:hint="eastAsia" w:asciiTheme="minorEastAsia" w:hAnsiTheme="minorEastAsia" w:eastAsiaTheme="minorEastAsia" w:cstheme="minorEastAsia"/>
          <w:bCs/>
          <w:color w:val="auto"/>
          <w:kern w:val="0"/>
          <w:sz w:val="24"/>
          <w:szCs w:val="24"/>
          <w:highlight w:val="none"/>
          <w:u w:val="single"/>
          <w:lang w:eastAsia="zh-CN"/>
        </w:rPr>
        <w:t>郑州市上街区教育局采购智慧黑板及教室护眼灯设备项目</w:t>
      </w:r>
      <w:r>
        <w:rPr>
          <w:rFonts w:hint="eastAsia" w:asciiTheme="minorEastAsia" w:hAnsiTheme="minorEastAsia" w:eastAsiaTheme="minorEastAsia" w:cstheme="minorEastAsia"/>
          <w:bCs/>
          <w:color w:val="auto"/>
          <w:kern w:val="0"/>
          <w:sz w:val="24"/>
          <w:szCs w:val="24"/>
          <w:highlight w:val="none"/>
        </w:rPr>
        <w:t>竞争性磋商活动中，我公司保证做到：</w:t>
      </w:r>
    </w:p>
    <w:p w14:paraId="48486995">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一、公平竞争参加本次磋商活动。</w:t>
      </w:r>
    </w:p>
    <w:p w14:paraId="5CA2ECB0">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2FD3544F">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三、若出现上述行为，我公司及参与磋商的工作人员愿意接受按照国家法律法规等有关规定给予的处罚。</w:t>
      </w:r>
    </w:p>
    <w:p w14:paraId="14AEA3E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729A2F1C">
      <w:pPr>
        <w:autoSpaceDE w:val="0"/>
        <w:autoSpaceDN w:val="0"/>
        <w:adjustRightInd w:val="0"/>
        <w:spacing w:line="360" w:lineRule="auto"/>
        <w:ind w:firstLine="480" w:firstLineChars="200"/>
        <w:jc w:val="left"/>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盖章</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bCs/>
          <w:color w:val="auto"/>
          <w:kern w:val="0"/>
          <w:sz w:val="24"/>
          <w:szCs w:val="24"/>
          <w:highlight w:val="none"/>
          <w:u w:val="single"/>
          <w:lang w:val="en-US" w:eastAsia="zh-CN"/>
        </w:rPr>
        <w:t xml:space="preserve">               </w:t>
      </w:r>
    </w:p>
    <w:p w14:paraId="71BC15CE">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p>
    <w:p w14:paraId="6FD335A1">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法定代表人或委托代理人（签字或盖章）：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4E6411C">
      <w:pPr>
        <w:autoSpaceDE w:val="0"/>
        <w:autoSpaceDN w:val="0"/>
        <w:adjustRightInd w:val="0"/>
        <w:spacing w:line="360" w:lineRule="auto"/>
        <w:jc w:val="left"/>
        <w:rPr>
          <w:rFonts w:hint="eastAsia" w:asciiTheme="minorEastAsia" w:hAnsiTheme="minorEastAsia" w:eastAsiaTheme="minorEastAsia" w:cstheme="minorEastAsia"/>
          <w:bCs/>
          <w:color w:val="auto"/>
          <w:kern w:val="0"/>
          <w:sz w:val="24"/>
          <w:szCs w:val="24"/>
          <w:highlight w:val="none"/>
        </w:rPr>
      </w:pPr>
    </w:p>
    <w:p w14:paraId="4B5DD694">
      <w:pPr>
        <w:pStyle w:val="259"/>
        <w:tabs>
          <w:tab w:val="left" w:pos="748"/>
        </w:tabs>
        <w:autoSpaceDE w:val="0"/>
        <w:autoSpaceDN w:val="0"/>
        <w:spacing w:before="1" w:line="480" w:lineRule="auto"/>
        <w:rPr>
          <w:rFonts w:hint="eastAsia" w:asciiTheme="minorEastAsia" w:hAnsiTheme="minorEastAsia" w:eastAsiaTheme="minorEastAsia" w:cstheme="minorEastAsia"/>
          <w:color w:val="auto"/>
          <w:sz w:val="24"/>
          <w:szCs w:val="24"/>
          <w:highlight w:val="none"/>
        </w:rPr>
      </w:pPr>
      <w:bookmarkStart w:id="317" w:name="_Toc388519795"/>
      <w:bookmarkStart w:id="318" w:name="_Toc419901264"/>
      <w:r>
        <w:rPr>
          <w:rFonts w:hint="eastAsia" w:asciiTheme="minorEastAsia" w:hAnsiTheme="minorEastAsia" w:eastAsiaTheme="minorEastAsia" w:cstheme="minorEastAsia"/>
          <w:color w:val="auto"/>
          <w:sz w:val="24"/>
          <w:szCs w:val="24"/>
          <w:highlight w:val="none"/>
        </w:rPr>
        <w:t>日期：    年   月   日</w:t>
      </w:r>
    </w:p>
    <w:p w14:paraId="19862088">
      <w:pPr>
        <w:pStyle w:val="25"/>
        <w:tabs>
          <w:tab w:val="left" w:pos="6400"/>
        </w:tabs>
        <w:adjustRightInd w:val="0"/>
        <w:snapToGrid w:val="0"/>
        <w:spacing w:line="360" w:lineRule="auto"/>
        <w:ind w:left="0" w:leftChars="0"/>
        <w:rPr>
          <w:rFonts w:hint="eastAsia" w:asciiTheme="minorEastAsia" w:hAnsiTheme="minorEastAsia" w:eastAsiaTheme="minorEastAsia" w:cstheme="minorEastAsia"/>
          <w:b/>
          <w:color w:val="auto"/>
          <w:sz w:val="24"/>
          <w:szCs w:val="24"/>
          <w:highlight w:val="none"/>
        </w:rPr>
      </w:pPr>
    </w:p>
    <w:p w14:paraId="258BE457">
      <w:pPr>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br w:type="page"/>
      </w:r>
      <w:bookmarkEnd w:id="317"/>
      <w:bookmarkEnd w:id="318"/>
      <w:r>
        <w:rPr>
          <w:rFonts w:hint="eastAsia" w:asciiTheme="minorEastAsia" w:hAnsiTheme="minorEastAsia" w:eastAsiaTheme="minorEastAsia" w:cstheme="minorEastAsia"/>
          <w:b/>
          <w:color w:val="auto"/>
          <w:sz w:val="24"/>
          <w:szCs w:val="24"/>
          <w:highlight w:val="none"/>
        </w:rPr>
        <w:t>10.中小企业声明函</w:t>
      </w:r>
      <w:r>
        <w:rPr>
          <w:rFonts w:hint="eastAsia" w:asciiTheme="minorEastAsia" w:hAnsiTheme="minorEastAsia" w:eastAsiaTheme="minorEastAsia" w:cstheme="minorEastAsia"/>
          <w:b/>
          <w:color w:val="auto"/>
          <w:sz w:val="24"/>
          <w:szCs w:val="24"/>
          <w:highlight w:val="none"/>
          <w:lang w:eastAsia="zh-CN"/>
        </w:rPr>
        <w:t>（大型企业可不提供此项）</w:t>
      </w:r>
    </w:p>
    <w:p w14:paraId="42E817BA">
      <w:pPr>
        <w:pStyle w:val="24"/>
        <w:spacing w:line="328" w:lineRule="auto"/>
        <w:ind w:right="420" w:firstLine="708"/>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本公司郑重声明，根据《政府采购促进中小企业发展管理办法》（财库﹝2020﹞46 号）的规定，本公司参加</w:t>
      </w:r>
      <w:r>
        <w:rPr>
          <w:rFonts w:hint="eastAsia" w:asciiTheme="minorEastAsia" w:hAnsiTheme="minorEastAsia" w:eastAsiaTheme="minorEastAsia" w:cstheme="minorEastAsia"/>
          <w:color w:val="auto"/>
          <w:spacing w:val="-4"/>
          <w:sz w:val="24"/>
          <w:szCs w:val="24"/>
          <w:highlight w:val="none"/>
          <w:u w:val="single"/>
        </w:rPr>
        <w:t xml:space="preserve"> 郑州市上街区教育局</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u w:val="single"/>
          <w:lang w:eastAsia="zh-CN"/>
        </w:rPr>
        <w:t>郑州市上街区教育局采购智慧黑板及教室护眼灯设备项目</w:t>
      </w:r>
      <w:r>
        <w:rPr>
          <w:rFonts w:hint="eastAsia" w:asciiTheme="minorEastAsia" w:hAnsiTheme="minorEastAsia" w:eastAsiaTheme="minorEastAsia" w:cstheme="minorEastAsia"/>
          <w:color w:val="auto"/>
          <w:spacing w:val="-4"/>
          <w:sz w:val="24"/>
          <w:szCs w:val="24"/>
          <w:highlight w:val="none"/>
        </w:rPr>
        <w:t>采购活动，提供的货物全部由符合政策要求的中小企业制造。相关企业（含联合体中的中小企业、签订分包意向协议的中小企业）的具体情况如下：</w:t>
      </w:r>
    </w:p>
    <w:p w14:paraId="31C6CCD6">
      <w:pPr>
        <w:pStyle w:val="24"/>
        <w:spacing w:line="328" w:lineRule="auto"/>
        <w:ind w:right="420" w:firstLine="708"/>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1. </w:t>
      </w:r>
      <w:r>
        <w:rPr>
          <w:rFonts w:hint="eastAsia" w:asciiTheme="minorEastAsia" w:hAnsiTheme="minorEastAsia" w:eastAsiaTheme="minorEastAsia" w:cstheme="minorEastAsia"/>
          <w:color w:val="auto"/>
          <w:spacing w:val="-4"/>
          <w:sz w:val="24"/>
          <w:szCs w:val="24"/>
          <w:highlight w:val="none"/>
          <w:u w:val="single"/>
        </w:rPr>
        <w:t>（标的名称）</w:t>
      </w:r>
      <w:r>
        <w:rPr>
          <w:rFonts w:hint="eastAsia" w:asciiTheme="minorEastAsia" w:hAnsiTheme="minorEastAsia" w:eastAsiaTheme="minorEastAsia" w:cstheme="minorEastAsia"/>
          <w:color w:val="auto"/>
          <w:spacing w:val="-4"/>
          <w:sz w:val="24"/>
          <w:szCs w:val="24"/>
          <w:highlight w:val="none"/>
        </w:rPr>
        <w:t xml:space="preserve"> ，属于</w:t>
      </w:r>
      <w:r>
        <w:rPr>
          <w:rFonts w:hint="eastAsia" w:asciiTheme="minorEastAsia" w:hAnsiTheme="minorEastAsia" w:eastAsiaTheme="minorEastAsia" w:cstheme="minorEastAsia"/>
          <w:color w:val="auto"/>
          <w:spacing w:val="-4"/>
          <w:sz w:val="24"/>
          <w:szCs w:val="24"/>
          <w:highlight w:val="none"/>
          <w:u w:val="single"/>
        </w:rPr>
        <w:t xml:space="preserve">工业  </w:t>
      </w:r>
      <w:r>
        <w:rPr>
          <w:rFonts w:hint="eastAsia" w:asciiTheme="minorEastAsia" w:hAnsiTheme="minorEastAsia" w:eastAsiaTheme="minorEastAsia" w:cstheme="minorEastAsia"/>
          <w:color w:val="auto"/>
          <w:spacing w:val="-4"/>
          <w:sz w:val="24"/>
          <w:szCs w:val="24"/>
          <w:highlight w:val="none"/>
        </w:rPr>
        <w:t>行业 ；制造商为</w:t>
      </w:r>
      <w:r>
        <w:rPr>
          <w:rFonts w:hint="eastAsia" w:asciiTheme="minorEastAsia" w:hAnsiTheme="minorEastAsia" w:eastAsiaTheme="minorEastAsia" w:cstheme="minorEastAsia"/>
          <w:color w:val="auto"/>
          <w:spacing w:val="-4"/>
          <w:sz w:val="24"/>
          <w:szCs w:val="24"/>
          <w:highlight w:val="none"/>
          <w:u w:val="single"/>
        </w:rPr>
        <w:t xml:space="preserve"> （企业名称）</w:t>
      </w:r>
      <w:r>
        <w:rPr>
          <w:rFonts w:hint="eastAsia" w:asciiTheme="minorEastAsia" w:hAnsiTheme="minorEastAsia" w:eastAsiaTheme="minorEastAsia" w:cstheme="minorEastAsia"/>
          <w:color w:val="auto"/>
          <w:spacing w:val="-4"/>
          <w:sz w:val="24"/>
          <w:szCs w:val="24"/>
          <w:highlight w:val="none"/>
        </w:rPr>
        <w:t xml:space="preserve"> ，从业人员</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人，营业收入为</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万元，资产总额为 </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万元，属于</w:t>
      </w:r>
      <w:r>
        <w:rPr>
          <w:rFonts w:hint="eastAsia" w:asciiTheme="minorEastAsia" w:hAnsiTheme="minorEastAsia" w:eastAsiaTheme="minorEastAsia" w:cstheme="minorEastAsia"/>
          <w:color w:val="auto"/>
          <w:spacing w:val="-4"/>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4"/>
          <w:sz w:val="24"/>
          <w:szCs w:val="24"/>
          <w:highlight w:val="none"/>
        </w:rPr>
        <w:t xml:space="preserve"> ；</w:t>
      </w:r>
    </w:p>
    <w:p w14:paraId="1766850B">
      <w:pPr>
        <w:pStyle w:val="24"/>
        <w:spacing w:line="328" w:lineRule="auto"/>
        <w:ind w:right="420" w:firstLine="708"/>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2. </w:t>
      </w:r>
      <w:r>
        <w:rPr>
          <w:rFonts w:hint="eastAsia" w:asciiTheme="minorEastAsia" w:hAnsiTheme="minorEastAsia" w:eastAsiaTheme="minorEastAsia" w:cstheme="minorEastAsia"/>
          <w:color w:val="auto"/>
          <w:spacing w:val="-4"/>
          <w:sz w:val="24"/>
          <w:szCs w:val="24"/>
          <w:highlight w:val="none"/>
          <w:u w:val="single"/>
        </w:rPr>
        <w:t>（标的名称）</w:t>
      </w:r>
      <w:r>
        <w:rPr>
          <w:rFonts w:hint="eastAsia" w:asciiTheme="minorEastAsia" w:hAnsiTheme="minorEastAsia" w:eastAsiaTheme="minorEastAsia" w:cstheme="minorEastAsia"/>
          <w:color w:val="auto"/>
          <w:spacing w:val="-4"/>
          <w:sz w:val="24"/>
          <w:szCs w:val="24"/>
          <w:highlight w:val="none"/>
        </w:rPr>
        <w:t xml:space="preserve"> ，属于</w:t>
      </w:r>
      <w:r>
        <w:rPr>
          <w:rFonts w:hint="eastAsia" w:asciiTheme="minorEastAsia" w:hAnsiTheme="minorEastAsia" w:eastAsiaTheme="minorEastAsia" w:cstheme="minorEastAsia"/>
          <w:color w:val="auto"/>
          <w:spacing w:val="-4"/>
          <w:sz w:val="24"/>
          <w:szCs w:val="24"/>
          <w:highlight w:val="none"/>
          <w:u w:val="single"/>
        </w:rPr>
        <w:t xml:space="preserve">工业  </w:t>
      </w:r>
      <w:r>
        <w:rPr>
          <w:rFonts w:hint="eastAsia" w:asciiTheme="minorEastAsia" w:hAnsiTheme="minorEastAsia" w:eastAsiaTheme="minorEastAsia" w:cstheme="minorEastAsia"/>
          <w:color w:val="auto"/>
          <w:spacing w:val="-4"/>
          <w:sz w:val="24"/>
          <w:szCs w:val="24"/>
          <w:highlight w:val="none"/>
        </w:rPr>
        <w:t>行业 ；制造商为</w:t>
      </w:r>
      <w:r>
        <w:rPr>
          <w:rFonts w:hint="eastAsia" w:asciiTheme="minorEastAsia" w:hAnsiTheme="minorEastAsia" w:eastAsiaTheme="minorEastAsia" w:cstheme="minorEastAsia"/>
          <w:color w:val="auto"/>
          <w:spacing w:val="-4"/>
          <w:sz w:val="24"/>
          <w:szCs w:val="24"/>
          <w:highlight w:val="none"/>
          <w:u w:val="single"/>
        </w:rPr>
        <w:t xml:space="preserve"> （企业名称）</w:t>
      </w:r>
      <w:r>
        <w:rPr>
          <w:rFonts w:hint="eastAsia" w:asciiTheme="minorEastAsia" w:hAnsiTheme="minorEastAsia" w:eastAsiaTheme="minorEastAsia" w:cstheme="minorEastAsia"/>
          <w:color w:val="auto"/>
          <w:spacing w:val="-4"/>
          <w:sz w:val="24"/>
          <w:szCs w:val="24"/>
          <w:highlight w:val="none"/>
        </w:rPr>
        <w:t xml:space="preserve"> ，从业人员</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人，营业收入为</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万元，资产总额为 </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万元，属于</w:t>
      </w:r>
      <w:r>
        <w:rPr>
          <w:rFonts w:hint="eastAsia" w:asciiTheme="minorEastAsia" w:hAnsiTheme="minorEastAsia" w:eastAsiaTheme="minorEastAsia" w:cstheme="minorEastAsia"/>
          <w:color w:val="auto"/>
          <w:spacing w:val="-4"/>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4"/>
          <w:sz w:val="24"/>
          <w:szCs w:val="24"/>
          <w:highlight w:val="none"/>
        </w:rPr>
        <w:t xml:space="preserve"> ；</w:t>
      </w:r>
    </w:p>
    <w:p w14:paraId="4E31951C">
      <w:pPr>
        <w:pStyle w:val="24"/>
        <w:spacing w:line="328" w:lineRule="auto"/>
        <w:ind w:right="420" w:firstLine="708"/>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w:t>
      </w:r>
    </w:p>
    <w:p w14:paraId="745AD43B">
      <w:pPr>
        <w:pStyle w:val="24"/>
        <w:spacing w:line="328" w:lineRule="auto"/>
        <w:ind w:right="420" w:firstLine="708"/>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54254E0B">
      <w:pPr>
        <w:pStyle w:val="24"/>
        <w:spacing w:line="328" w:lineRule="auto"/>
        <w:ind w:right="420" w:firstLine="708"/>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38E4AE8">
      <w:pPr>
        <w:pStyle w:val="24"/>
        <w:spacing w:before="29" w:line="316" w:lineRule="auto"/>
        <w:ind w:left="4060" w:right="2166"/>
        <w:rPr>
          <w:rFonts w:hint="eastAsia" w:asciiTheme="minorEastAsia" w:hAnsiTheme="minorEastAsia" w:eastAsiaTheme="minorEastAsia" w:cstheme="minorEastAsia"/>
          <w:color w:val="auto"/>
          <w:w w:val="99"/>
          <w:sz w:val="24"/>
          <w:szCs w:val="24"/>
          <w:highlight w:val="none"/>
        </w:rPr>
      </w:pPr>
    </w:p>
    <w:p w14:paraId="2E7E63E0">
      <w:pPr>
        <w:pStyle w:val="24"/>
        <w:spacing w:before="29" w:line="316" w:lineRule="auto"/>
        <w:ind w:left="4060" w:right="2166"/>
        <w:rPr>
          <w:rFonts w:hint="eastAsia" w:asciiTheme="minorEastAsia" w:hAnsiTheme="minorEastAsia" w:eastAsiaTheme="minorEastAsia" w:cstheme="minorEastAsia"/>
          <w:color w:val="auto"/>
          <w:w w:val="99"/>
          <w:sz w:val="24"/>
          <w:szCs w:val="24"/>
          <w:highlight w:val="none"/>
        </w:rPr>
      </w:pPr>
    </w:p>
    <w:p w14:paraId="65EF92A2">
      <w:pPr>
        <w:pStyle w:val="24"/>
        <w:spacing w:before="29" w:line="316" w:lineRule="auto"/>
        <w:ind w:left="4060" w:right="2166"/>
        <w:rPr>
          <w:rFonts w:hint="eastAsia" w:asciiTheme="minorEastAsia" w:hAnsiTheme="minorEastAsia" w:eastAsiaTheme="minorEastAsia" w:cstheme="minorEastAsia"/>
          <w:color w:val="auto"/>
          <w:spacing w:val="-8"/>
          <w:w w:val="99"/>
          <w:sz w:val="24"/>
          <w:szCs w:val="24"/>
          <w:highlight w:val="none"/>
        </w:rPr>
      </w:pPr>
      <w:r>
        <w:rPr>
          <w:rFonts w:hint="eastAsia" w:asciiTheme="minorEastAsia" w:hAnsiTheme="minorEastAsia" w:eastAsiaTheme="minorEastAsia" w:cstheme="minorEastAsia"/>
          <w:color w:val="auto"/>
          <w:w w:val="99"/>
          <w:sz w:val="24"/>
          <w:szCs w:val="24"/>
          <w:highlight w:val="none"/>
        </w:rPr>
        <w:t>企业名称</w:t>
      </w:r>
      <w:r>
        <w:rPr>
          <w:rFonts w:hint="eastAsia" w:asciiTheme="minorEastAsia" w:hAnsiTheme="minorEastAsia" w:eastAsiaTheme="minorEastAsia" w:cstheme="minorEastAsia"/>
          <w:color w:val="auto"/>
          <w:spacing w:val="2"/>
          <w:w w:val="99"/>
          <w:sz w:val="24"/>
          <w:szCs w:val="24"/>
          <w:highlight w:val="none"/>
        </w:rPr>
        <w:t>（</w:t>
      </w:r>
      <w:r>
        <w:rPr>
          <w:rFonts w:hint="eastAsia" w:asciiTheme="minorEastAsia" w:hAnsiTheme="minorEastAsia" w:eastAsiaTheme="minorEastAsia" w:cstheme="minorEastAsia"/>
          <w:color w:val="auto"/>
          <w:w w:val="99"/>
          <w:sz w:val="24"/>
          <w:szCs w:val="24"/>
          <w:highlight w:val="none"/>
        </w:rPr>
        <w:t>盖章</w:t>
      </w:r>
      <w:r>
        <w:rPr>
          <w:rFonts w:hint="eastAsia" w:asciiTheme="minorEastAsia" w:hAnsiTheme="minorEastAsia" w:eastAsiaTheme="minorEastAsia" w:cstheme="minorEastAsia"/>
          <w:color w:val="auto"/>
          <w:spacing w:val="2"/>
          <w:w w:val="99"/>
          <w:sz w:val="24"/>
          <w:szCs w:val="24"/>
          <w:highlight w:val="none"/>
        </w:rPr>
        <w:t>）：</w:t>
      </w:r>
    </w:p>
    <w:p w14:paraId="6F6D5DC6">
      <w:pPr>
        <w:bidi w:val="0"/>
        <w:ind w:firstLine="4080" w:firstLineChars="17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    年   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0A0F980B">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34A4CB07">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471CAAE6">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4B551103">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501474E5">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182822C0">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457C79D7">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5F3CD058">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13F37AE7">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546FFCD4">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7E75AC03">
      <w:pPr>
        <w:pStyle w:val="16"/>
        <w:spacing w:line="360" w:lineRule="auto"/>
        <w:ind w:right="42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残疾人福利性单位声明函（非残疾人福利性单位可不附此项） </w:t>
      </w:r>
    </w:p>
    <w:p w14:paraId="74E286D1">
      <w:pPr>
        <w:pStyle w:val="16"/>
        <w:spacing w:line="360" w:lineRule="auto"/>
        <w:ind w:right="420" w:firstLine="0" w:firstLineChars="0"/>
        <w:rPr>
          <w:rFonts w:hint="eastAsia" w:asciiTheme="minorEastAsia" w:hAnsiTheme="minorEastAsia" w:eastAsiaTheme="minorEastAsia" w:cstheme="minorEastAsia"/>
          <w:bCs/>
          <w:color w:val="auto"/>
          <w:sz w:val="24"/>
          <w:szCs w:val="24"/>
          <w:highlight w:val="none"/>
          <w:lang w:eastAsia="zh-CN"/>
        </w:rPr>
      </w:pPr>
    </w:p>
    <w:p w14:paraId="38E685B0">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kern w:val="0"/>
          <w:sz w:val="24"/>
          <w:szCs w:val="24"/>
          <w:highlight w:val="none"/>
          <w:u w:val="single"/>
          <w:lang w:bidi="ar"/>
        </w:rPr>
        <w:t>（采购单位名称）</w:t>
      </w:r>
      <w:r>
        <w:rPr>
          <w:rFonts w:hint="eastAsia" w:asciiTheme="minorEastAsia" w:hAnsiTheme="minorEastAsia" w:eastAsiaTheme="minorEastAsia" w:cstheme="minorEastAsia"/>
          <w:color w:val="auto"/>
          <w:kern w:val="0"/>
          <w:sz w:val="24"/>
          <w:szCs w:val="24"/>
          <w:highlight w:val="none"/>
          <w:lang w:bidi="ar"/>
        </w:rPr>
        <w:t>单位的</w:t>
      </w:r>
      <w:r>
        <w:rPr>
          <w:rFonts w:hint="eastAsia" w:asciiTheme="minorEastAsia" w:hAnsiTheme="minorEastAsia" w:eastAsiaTheme="minorEastAsia" w:cstheme="minorEastAsia"/>
          <w:color w:val="auto"/>
          <w:kern w:val="0"/>
          <w:sz w:val="24"/>
          <w:szCs w:val="24"/>
          <w:highlight w:val="none"/>
          <w:u w:val="single"/>
          <w:lang w:bidi="ar"/>
        </w:rPr>
        <w:t xml:space="preserve">      （项目名称）          </w:t>
      </w:r>
      <w:r>
        <w:rPr>
          <w:rFonts w:hint="eastAsia" w:asciiTheme="minorEastAsia" w:hAnsiTheme="minorEastAsia" w:eastAsiaTheme="minorEastAsia" w:cstheme="minorEastAsia"/>
          <w:color w:val="auto"/>
          <w:kern w:val="0"/>
          <w:sz w:val="24"/>
          <w:szCs w:val="24"/>
          <w:highlight w:val="none"/>
          <w:lang w:bidi="ar"/>
        </w:rPr>
        <w:t>采购活动由本单位提供服务。</w:t>
      </w:r>
    </w:p>
    <w:p w14:paraId="76CF1348">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本单位对上述声明的真实性负责。如有虚假，将依法承担相应责任。</w:t>
      </w:r>
    </w:p>
    <w:p w14:paraId="0C8EA832">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单位名称（盖章）：</w:t>
      </w:r>
    </w:p>
    <w:p w14:paraId="585E5B5D">
      <w:pPr>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rPr>
        <w:t xml:space="preserve">    年   月   日</w:t>
      </w:r>
    </w:p>
    <w:p w14:paraId="64264802">
      <w:pPr>
        <w:pStyle w:val="16"/>
        <w:spacing w:line="360" w:lineRule="auto"/>
        <w:ind w:right="420"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省级以上监狱管理局、戒毒管理局（含新疆生产建设兵团）出具的属于监狱企业的证明文件</w:t>
      </w:r>
    </w:p>
    <w:p w14:paraId="26DFF7CE">
      <w:pPr>
        <w:spacing w:line="360" w:lineRule="auto"/>
        <w:jc w:val="center"/>
        <w:rPr>
          <w:rFonts w:hint="eastAsia" w:asciiTheme="minorEastAsia" w:hAnsiTheme="minorEastAsia" w:eastAsiaTheme="minorEastAsia" w:cstheme="minorEastAsia"/>
          <w:b/>
          <w:color w:val="auto"/>
          <w:sz w:val="24"/>
          <w:szCs w:val="24"/>
          <w:highlight w:val="none"/>
        </w:rPr>
      </w:pPr>
    </w:p>
    <w:p w14:paraId="3F0D258A">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920B739">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供应商认为需要提交的其他证明材料</w:t>
      </w:r>
    </w:p>
    <w:p w14:paraId="271408BA">
      <w:pPr>
        <w:jc w:val="center"/>
        <w:rPr>
          <w:rFonts w:hint="eastAsia" w:asciiTheme="minorEastAsia" w:hAnsiTheme="minorEastAsia" w:eastAsiaTheme="minorEastAsia" w:cstheme="minorEastAsia"/>
          <w:b/>
          <w:color w:val="auto"/>
          <w:sz w:val="24"/>
          <w:szCs w:val="24"/>
          <w:highlight w:val="none"/>
        </w:rPr>
      </w:pPr>
      <w:bookmarkStart w:id="319" w:name="_Toc394334708"/>
      <w:bookmarkStart w:id="320" w:name="_Toc394334464"/>
      <w:bookmarkStart w:id="321" w:name="_Toc428782251"/>
      <w:bookmarkStart w:id="322" w:name="_Toc411427419"/>
    </w:p>
    <w:p w14:paraId="078280FD">
      <w:pPr>
        <w:jc w:val="center"/>
        <w:rPr>
          <w:rFonts w:hint="eastAsia" w:asciiTheme="minorEastAsia" w:hAnsiTheme="minorEastAsia" w:eastAsiaTheme="minorEastAsia" w:cstheme="minorEastAsia"/>
          <w:b/>
          <w:color w:val="auto"/>
          <w:sz w:val="24"/>
          <w:szCs w:val="24"/>
          <w:highlight w:val="none"/>
        </w:rPr>
      </w:pPr>
    </w:p>
    <w:bookmarkEnd w:id="287"/>
    <w:bookmarkEnd w:id="319"/>
    <w:bookmarkEnd w:id="320"/>
    <w:bookmarkEnd w:id="321"/>
    <w:bookmarkEnd w:id="322"/>
    <w:p w14:paraId="72C77535">
      <w:pPr>
        <w:pStyle w:val="25"/>
        <w:tabs>
          <w:tab w:val="left" w:pos="6400"/>
        </w:tabs>
        <w:adjustRightInd w:val="0"/>
        <w:snapToGrid w:val="0"/>
        <w:spacing w:line="360" w:lineRule="auto"/>
        <w:ind w:left="0" w:leftChars="0"/>
        <w:rPr>
          <w:rFonts w:hint="eastAsia" w:asciiTheme="minorEastAsia" w:hAnsiTheme="minorEastAsia" w:eastAsiaTheme="minorEastAsia" w:cstheme="minorEastAsia"/>
          <w:b/>
          <w:color w:val="auto"/>
          <w:kern w:val="0"/>
          <w:sz w:val="24"/>
          <w:szCs w:val="24"/>
          <w:highlight w:val="none"/>
        </w:rPr>
      </w:pPr>
    </w:p>
    <w:sectPr>
      <w:footerReference r:id="rId15" w:type="first"/>
      <w:footerReference r:id="rId14" w:type="default"/>
      <w:pgSz w:w="11906" w:h="16838"/>
      <w:pgMar w:top="1418" w:right="828" w:bottom="1418" w:left="1418" w:header="851" w:footer="1191"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lotter">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昆仑仿宋">
    <w:altName w:val="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INMAB J+ Univers">
    <w:altName w:val="黑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6A93">
    <w:pPr>
      <w:pStyle w:val="39"/>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E9CD">
    <w:pPr>
      <w:pStyle w:val="39"/>
      <w:pBdr>
        <w:top w:val="none" w:color="auto" w:sz="0"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1C40">
    <w:pPr>
      <w:pStyle w:val="3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A42A">
    <w:pPr>
      <w:spacing w:line="169" w:lineRule="auto"/>
      <w:ind w:left="495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1640E">
                          <w:pPr>
                            <w:pStyle w:val="3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41640E">
                    <w:pPr>
                      <w:pStyle w:val="3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982A">
    <w:pPr>
      <w:pStyle w:val="24"/>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F407">
    <w:pPr>
      <w:spacing w:line="169" w:lineRule="auto"/>
      <w:ind w:left="4713"/>
      <w:rPr>
        <w:rFonts w:ascii="Calibri" w:hAnsi="Calibri" w:eastAsia="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29AF">
    <w:pPr>
      <w:pStyle w:val="39"/>
      <w:pBdr>
        <w:top w:val="single" w:color="auto" w:sz="4" w:space="0"/>
      </w:pBdr>
      <w:tabs>
        <w:tab w:val="left" w:pos="3191"/>
        <w:tab w:val="clear" w:pos="4153"/>
      </w:tabs>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1E8CF">
                          <w:pPr>
                            <w:pStyle w:val="3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81E8CF">
                    <w:pPr>
                      <w:pStyle w:val="39"/>
                    </w:pPr>
                  </w:p>
                </w:txbxContent>
              </v:textbox>
            </v:shape>
          </w:pict>
        </mc:Fallback>
      </mc:AlternateContent>
    </w:r>
    <w:r>
      <w:rPr>
        <w:rFonts w:hint="eastAsia" w:ascii="仿宋" w:hAnsi="仿宋" w:eastAsia="仿宋" w:cs="仿宋"/>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F01B">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66A5">
    <w:pPr>
      <w:pStyle w:val="40"/>
      <w:pBdr>
        <w:bottom w:val="none" w:color="auto" w:sz="0" w:space="1"/>
      </w:pBdr>
      <w:jc w:val="left"/>
      <w:rPr>
        <w:rFonts w:hint="eastAsia" w:ascii="仿宋" w:hAnsi="仿宋" w:eastAsia="仿宋" w:cs="仿宋"/>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9D62">
    <w:pPr>
      <w:pStyle w:val="40"/>
      <w:pBdr>
        <w:bottom w:val="none" w:color="auto" w:sz="0" w:space="1"/>
      </w:pBdr>
      <w:jc w:val="left"/>
    </w:pPr>
    <w:r>
      <w:rPr>
        <w:rFonts w:hint="eastAsia" w:ascii="宋体" w:hAnsi="宋体"/>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EA39">
    <w:pPr>
      <w:pStyle w:val="4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96825"/>
    <w:multiLevelType w:val="singleLevel"/>
    <w:tmpl w:val="8EA96825"/>
    <w:lvl w:ilvl="0" w:tentative="0">
      <w:start w:val="1"/>
      <w:numFmt w:val="decimal"/>
      <w:lvlText w:val="%1."/>
      <w:lvlJc w:val="left"/>
      <w:pPr>
        <w:ind w:left="425" w:hanging="425"/>
      </w:pPr>
      <w:rPr>
        <w:rFonts w:hint="default"/>
      </w:rPr>
    </w:lvl>
  </w:abstractNum>
  <w:abstractNum w:abstractNumId="1">
    <w:nsid w:val="9068A1D3"/>
    <w:multiLevelType w:val="singleLevel"/>
    <w:tmpl w:val="9068A1D3"/>
    <w:lvl w:ilvl="0" w:tentative="0">
      <w:start w:val="1"/>
      <w:numFmt w:val="decimal"/>
      <w:lvlText w:val="%1."/>
      <w:lvlJc w:val="left"/>
      <w:pPr>
        <w:ind w:left="425" w:hanging="425"/>
      </w:pPr>
      <w:rPr>
        <w:rFonts w:hint="default"/>
      </w:rPr>
    </w:lvl>
  </w:abstractNum>
  <w:abstractNum w:abstractNumId="2">
    <w:nsid w:val="A2AC4150"/>
    <w:multiLevelType w:val="singleLevel"/>
    <w:tmpl w:val="A2AC4150"/>
    <w:lvl w:ilvl="0" w:tentative="0">
      <w:start w:val="1"/>
      <w:numFmt w:val="decimal"/>
      <w:suff w:val="nothing"/>
      <w:lvlText w:val="（%1）"/>
      <w:lvlJc w:val="left"/>
    </w:lvl>
  </w:abstractNum>
  <w:abstractNum w:abstractNumId="3">
    <w:nsid w:val="AFCD6606"/>
    <w:multiLevelType w:val="singleLevel"/>
    <w:tmpl w:val="AFCD6606"/>
    <w:lvl w:ilvl="0" w:tentative="0">
      <w:start w:val="1"/>
      <w:numFmt w:val="decimal"/>
      <w:lvlText w:val="%1."/>
      <w:lvlJc w:val="left"/>
      <w:pPr>
        <w:ind w:left="425" w:hanging="425"/>
      </w:pPr>
      <w:rPr>
        <w:rFonts w:hint="default"/>
      </w:rPr>
    </w:lvl>
  </w:abstractNum>
  <w:abstractNum w:abstractNumId="4">
    <w:nsid w:val="B3AB1A26"/>
    <w:multiLevelType w:val="singleLevel"/>
    <w:tmpl w:val="B3AB1A26"/>
    <w:lvl w:ilvl="0" w:tentative="0">
      <w:start w:val="1"/>
      <w:numFmt w:val="decimal"/>
      <w:lvlText w:val="%1."/>
      <w:lvlJc w:val="left"/>
      <w:pPr>
        <w:ind w:left="425" w:hanging="425"/>
      </w:pPr>
      <w:rPr>
        <w:rFonts w:hint="default"/>
      </w:rPr>
    </w:lvl>
  </w:abstractNum>
  <w:abstractNum w:abstractNumId="5">
    <w:nsid w:val="F5A7221A"/>
    <w:multiLevelType w:val="singleLevel"/>
    <w:tmpl w:val="F5A7221A"/>
    <w:lvl w:ilvl="0" w:tentative="0">
      <w:start w:val="1"/>
      <w:numFmt w:val="decimal"/>
      <w:lvlText w:val="%1."/>
      <w:lvlJc w:val="left"/>
      <w:pPr>
        <w:ind w:left="425" w:hanging="425"/>
      </w:pPr>
      <w:rPr>
        <w:rFonts w:hint="default"/>
      </w:rPr>
    </w:lvl>
  </w:abstractNum>
  <w:abstractNum w:abstractNumId="6">
    <w:nsid w:val="F6437067"/>
    <w:multiLevelType w:val="singleLevel"/>
    <w:tmpl w:val="F6437067"/>
    <w:lvl w:ilvl="0" w:tentative="0">
      <w:start w:val="1"/>
      <w:numFmt w:val="decimal"/>
      <w:lvlText w:val="%1."/>
      <w:lvlJc w:val="left"/>
      <w:pPr>
        <w:ind w:left="425" w:hanging="425"/>
      </w:pPr>
      <w:rPr>
        <w:rFonts w:hint="default"/>
      </w:rPr>
    </w:lvl>
  </w:abstractNum>
  <w:abstractNum w:abstractNumId="7">
    <w:nsid w:val="F9FCD5C8"/>
    <w:multiLevelType w:val="singleLevel"/>
    <w:tmpl w:val="F9FCD5C8"/>
    <w:lvl w:ilvl="0" w:tentative="0">
      <w:start w:val="1"/>
      <w:numFmt w:val="decimal"/>
      <w:lvlText w:val="%1."/>
      <w:lvlJc w:val="left"/>
      <w:pPr>
        <w:ind w:left="425" w:hanging="425"/>
      </w:pPr>
      <w:rPr>
        <w:rFonts w:hint="default"/>
      </w:rPr>
    </w:lvl>
  </w:abstractNum>
  <w:abstractNum w:abstractNumId="8">
    <w:nsid w:val="FC3FCD4E"/>
    <w:multiLevelType w:val="singleLevel"/>
    <w:tmpl w:val="FC3FCD4E"/>
    <w:lvl w:ilvl="0" w:tentative="0">
      <w:start w:val="1"/>
      <w:numFmt w:val="decimal"/>
      <w:lvlText w:val="%1."/>
      <w:lvlJc w:val="left"/>
      <w:pPr>
        <w:ind w:left="425" w:hanging="425"/>
      </w:pPr>
      <w:rPr>
        <w:rFonts w:hint="default"/>
      </w:rPr>
    </w:lvl>
  </w:abstractNum>
  <w:abstractNum w:abstractNumId="9">
    <w:nsid w:val="FF680B9C"/>
    <w:multiLevelType w:val="singleLevel"/>
    <w:tmpl w:val="FF680B9C"/>
    <w:lvl w:ilvl="0" w:tentative="0">
      <w:start w:val="1"/>
      <w:numFmt w:val="decimal"/>
      <w:lvlText w:val="%1."/>
      <w:lvlJc w:val="left"/>
      <w:pPr>
        <w:ind w:left="425" w:hanging="425"/>
      </w:pPr>
      <w:rPr>
        <w:rFonts w:hint="default"/>
      </w:rPr>
    </w:lvl>
  </w:abstractNum>
  <w:abstractNum w:abstractNumId="10">
    <w:nsid w:val="0597E56D"/>
    <w:multiLevelType w:val="singleLevel"/>
    <w:tmpl w:val="0597E56D"/>
    <w:lvl w:ilvl="0" w:tentative="0">
      <w:start w:val="1"/>
      <w:numFmt w:val="decimal"/>
      <w:lvlText w:val="%1."/>
      <w:lvlJc w:val="left"/>
      <w:pPr>
        <w:ind w:left="425" w:hanging="425"/>
      </w:pPr>
      <w:rPr>
        <w:rFonts w:hint="default"/>
      </w:rPr>
    </w:lvl>
  </w:abstractNum>
  <w:abstractNum w:abstractNumId="11">
    <w:nsid w:val="0B55BE50"/>
    <w:multiLevelType w:val="singleLevel"/>
    <w:tmpl w:val="0B55BE50"/>
    <w:lvl w:ilvl="0" w:tentative="0">
      <w:start w:val="1"/>
      <w:numFmt w:val="decimal"/>
      <w:lvlText w:val="%1."/>
      <w:lvlJc w:val="left"/>
      <w:pPr>
        <w:ind w:left="425" w:hanging="425"/>
      </w:pPr>
      <w:rPr>
        <w:rFonts w:hint="default"/>
      </w:rPr>
    </w:lvl>
  </w:abstractNum>
  <w:abstractNum w:abstractNumId="12">
    <w:nsid w:val="1ABE5A97"/>
    <w:multiLevelType w:val="singleLevel"/>
    <w:tmpl w:val="1ABE5A97"/>
    <w:lvl w:ilvl="0" w:tentative="0">
      <w:start w:val="1"/>
      <w:numFmt w:val="decimal"/>
      <w:lvlText w:val="%1."/>
      <w:lvlJc w:val="left"/>
      <w:pPr>
        <w:ind w:left="425" w:hanging="425"/>
      </w:pPr>
      <w:rPr>
        <w:rFonts w:hint="default"/>
      </w:rPr>
    </w:lvl>
  </w:abstractNum>
  <w:abstractNum w:abstractNumId="13">
    <w:nsid w:val="1B3D7029"/>
    <w:multiLevelType w:val="singleLevel"/>
    <w:tmpl w:val="1B3D7029"/>
    <w:lvl w:ilvl="0" w:tentative="0">
      <w:start w:val="1"/>
      <w:numFmt w:val="decimal"/>
      <w:lvlText w:val="%1."/>
      <w:lvlJc w:val="left"/>
      <w:pPr>
        <w:ind w:left="425" w:hanging="425"/>
      </w:pPr>
      <w:rPr>
        <w:rFonts w:hint="default"/>
      </w:rPr>
    </w:lvl>
  </w:abstractNum>
  <w:abstractNum w:abstractNumId="14">
    <w:nsid w:val="1B8C72BD"/>
    <w:multiLevelType w:val="singleLevel"/>
    <w:tmpl w:val="1B8C72BD"/>
    <w:lvl w:ilvl="0" w:tentative="0">
      <w:start w:val="1"/>
      <w:numFmt w:val="decimal"/>
      <w:lvlText w:val="%1."/>
      <w:lvlJc w:val="left"/>
      <w:pPr>
        <w:ind w:left="425" w:hanging="425"/>
      </w:pPr>
      <w:rPr>
        <w:rFonts w:hint="default"/>
      </w:rPr>
    </w:lvl>
  </w:abstractNum>
  <w:abstractNum w:abstractNumId="15">
    <w:nsid w:val="36319AA0"/>
    <w:multiLevelType w:val="singleLevel"/>
    <w:tmpl w:val="36319AA0"/>
    <w:lvl w:ilvl="0" w:tentative="0">
      <w:start w:val="1"/>
      <w:numFmt w:val="decimal"/>
      <w:lvlText w:val="%1."/>
      <w:lvlJc w:val="left"/>
      <w:pPr>
        <w:ind w:left="425" w:hanging="425"/>
      </w:pPr>
      <w:rPr>
        <w:rFonts w:hint="default"/>
      </w:rPr>
    </w:lvl>
  </w:abstractNum>
  <w:num w:numId="1">
    <w:abstractNumId w:val="2"/>
  </w:num>
  <w:num w:numId="2">
    <w:abstractNumId w:val="8"/>
  </w:num>
  <w:num w:numId="3">
    <w:abstractNumId w:val="4"/>
  </w:num>
  <w:num w:numId="4">
    <w:abstractNumId w:val="15"/>
  </w:num>
  <w:num w:numId="5">
    <w:abstractNumId w:val="11"/>
  </w:num>
  <w:num w:numId="6">
    <w:abstractNumId w:val="5"/>
  </w:num>
  <w:num w:numId="7">
    <w:abstractNumId w:val="9"/>
  </w:num>
  <w:num w:numId="8">
    <w:abstractNumId w:val="7"/>
  </w:num>
  <w:num w:numId="9">
    <w:abstractNumId w:val="1"/>
  </w:num>
  <w:num w:numId="10">
    <w:abstractNumId w:val="10"/>
  </w:num>
  <w:num w:numId="11">
    <w:abstractNumId w:val="14"/>
  </w:num>
  <w:num w:numId="12">
    <w:abstractNumId w:val="12"/>
  </w:num>
  <w:num w:numId="13">
    <w:abstractNumId w:val="6"/>
  </w:num>
  <w:num w:numId="14">
    <w:abstractNumId w:val="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zM0MzVjZGM1ZGIxOTViOTNlODFhNTZjNDQ3YTAifQ=="/>
  </w:docVars>
  <w:rsids>
    <w:rsidRoot w:val="00172A27"/>
    <w:rsid w:val="0000067B"/>
    <w:rsid w:val="000017BE"/>
    <w:rsid w:val="00002545"/>
    <w:rsid w:val="00004969"/>
    <w:rsid w:val="000062E1"/>
    <w:rsid w:val="00010DCD"/>
    <w:rsid w:val="0001267D"/>
    <w:rsid w:val="00013071"/>
    <w:rsid w:val="00013100"/>
    <w:rsid w:val="00015C6C"/>
    <w:rsid w:val="0002037D"/>
    <w:rsid w:val="0002138D"/>
    <w:rsid w:val="00021AD4"/>
    <w:rsid w:val="00021B9D"/>
    <w:rsid w:val="00023230"/>
    <w:rsid w:val="00025872"/>
    <w:rsid w:val="000265CC"/>
    <w:rsid w:val="00031E76"/>
    <w:rsid w:val="000337A8"/>
    <w:rsid w:val="00036A09"/>
    <w:rsid w:val="00036A45"/>
    <w:rsid w:val="00036EF2"/>
    <w:rsid w:val="0003760C"/>
    <w:rsid w:val="000428B0"/>
    <w:rsid w:val="0004296F"/>
    <w:rsid w:val="00042B0E"/>
    <w:rsid w:val="00042BDC"/>
    <w:rsid w:val="00043326"/>
    <w:rsid w:val="000435D9"/>
    <w:rsid w:val="00043C2B"/>
    <w:rsid w:val="000463DD"/>
    <w:rsid w:val="00047751"/>
    <w:rsid w:val="00047F24"/>
    <w:rsid w:val="00050D6C"/>
    <w:rsid w:val="00051165"/>
    <w:rsid w:val="000522C8"/>
    <w:rsid w:val="000522CE"/>
    <w:rsid w:val="00052487"/>
    <w:rsid w:val="00052AB2"/>
    <w:rsid w:val="0005461F"/>
    <w:rsid w:val="00054A4B"/>
    <w:rsid w:val="000565D3"/>
    <w:rsid w:val="00056C79"/>
    <w:rsid w:val="000575E1"/>
    <w:rsid w:val="00057BA9"/>
    <w:rsid w:val="000633E2"/>
    <w:rsid w:val="00063F4F"/>
    <w:rsid w:val="00064563"/>
    <w:rsid w:val="00065A9C"/>
    <w:rsid w:val="00066F79"/>
    <w:rsid w:val="00072185"/>
    <w:rsid w:val="000756B5"/>
    <w:rsid w:val="00075F1E"/>
    <w:rsid w:val="00076E90"/>
    <w:rsid w:val="00077C84"/>
    <w:rsid w:val="00081567"/>
    <w:rsid w:val="00082B4B"/>
    <w:rsid w:val="00083713"/>
    <w:rsid w:val="00083FF6"/>
    <w:rsid w:val="000852E6"/>
    <w:rsid w:val="00085684"/>
    <w:rsid w:val="0009307A"/>
    <w:rsid w:val="000934B4"/>
    <w:rsid w:val="00094BAD"/>
    <w:rsid w:val="000974DA"/>
    <w:rsid w:val="000A05C8"/>
    <w:rsid w:val="000A0CE8"/>
    <w:rsid w:val="000A24D2"/>
    <w:rsid w:val="000A256F"/>
    <w:rsid w:val="000A3594"/>
    <w:rsid w:val="000A49BC"/>
    <w:rsid w:val="000A5217"/>
    <w:rsid w:val="000A6E32"/>
    <w:rsid w:val="000A76AC"/>
    <w:rsid w:val="000B0008"/>
    <w:rsid w:val="000B4512"/>
    <w:rsid w:val="000B58C8"/>
    <w:rsid w:val="000C1F28"/>
    <w:rsid w:val="000C317F"/>
    <w:rsid w:val="000C36FA"/>
    <w:rsid w:val="000C37AA"/>
    <w:rsid w:val="000C49DD"/>
    <w:rsid w:val="000C5340"/>
    <w:rsid w:val="000C5FBC"/>
    <w:rsid w:val="000C675F"/>
    <w:rsid w:val="000C7A60"/>
    <w:rsid w:val="000D1C55"/>
    <w:rsid w:val="000D3159"/>
    <w:rsid w:val="000D3A60"/>
    <w:rsid w:val="000D491C"/>
    <w:rsid w:val="000D5D5C"/>
    <w:rsid w:val="000E1077"/>
    <w:rsid w:val="000E27A7"/>
    <w:rsid w:val="000E2AB9"/>
    <w:rsid w:val="000E42B5"/>
    <w:rsid w:val="000E6023"/>
    <w:rsid w:val="000E7644"/>
    <w:rsid w:val="000F1387"/>
    <w:rsid w:val="000F18A5"/>
    <w:rsid w:val="000F1C48"/>
    <w:rsid w:val="000F204D"/>
    <w:rsid w:val="000F2D7C"/>
    <w:rsid w:val="000F3559"/>
    <w:rsid w:val="000F38C0"/>
    <w:rsid w:val="000F50A5"/>
    <w:rsid w:val="000F57F4"/>
    <w:rsid w:val="000F5F0B"/>
    <w:rsid w:val="000F645B"/>
    <w:rsid w:val="00101D32"/>
    <w:rsid w:val="00102135"/>
    <w:rsid w:val="001026C8"/>
    <w:rsid w:val="00102D26"/>
    <w:rsid w:val="001048FB"/>
    <w:rsid w:val="001056B3"/>
    <w:rsid w:val="0010584B"/>
    <w:rsid w:val="001058D1"/>
    <w:rsid w:val="001068C9"/>
    <w:rsid w:val="00107127"/>
    <w:rsid w:val="00110BAE"/>
    <w:rsid w:val="00112C7A"/>
    <w:rsid w:val="00113250"/>
    <w:rsid w:val="001148EB"/>
    <w:rsid w:val="00115BDD"/>
    <w:rsid w:val="00121A37"/>
    <w:rsid w:val="0012220E"/>
    <w:rsid w:val="00122545"/>
    <w:rsid w:val="0012486D"/>
    <w:rsid w:val="00126AF9"/>
    <w:rsid w:val="001271B9"/>
    <w:rsid w:val="00134C81"/>
    <w:rsid w:val="00141316"/>
    <w:rsid w:val="00141EA7"/>
    <w:rsid w:val="00143DD7"/>
    <w:rsid w:val="0014483F"/>
    <w:rsid w:val="00146114"/>
    <w:rsid w:val="001466FB"/>
    <w:rsid w:val="00146FD7"/>
    <w:rsid w:val="00147CAE"/>
    <w:rsid w:val="00152ACD"/>
    <w:rsid w:val="00155B71"/>
    <w:rsid w:val="0015660C"/>
    <w:rsid w:val="00156FA3"/>
    <w:rsid w:val="00162412"/>
    <w:rsid w:val="0016503D"/>
    <w:rsid w:val="00166214"/>
    <w:rsid w:val="0016635D"/>
    <w:rsid w:val="00172A27"/>
    <w:rsid w:val="0017425D"/>
    <w:rsid w:val="00174F78"/>
    <w:rsid w:val="00175983"/>
    <w:rsid w:val="00175D66"/>
    <w:rsid w:val="001765F5"/>
    <w:rsid w:val="00181ACF"/>
    <w:rsid w:val="001840E8"/>
    <w:rsid w:val="001844DD"/>
    <w:rsid w:val="0018511A"/>
    <w:rsid w:val="00187DED"/>
    <w:rsid w:val="0019038B"/>
    <w:rsid w:val="001909B4"/>
    <w:rsid w:val="0019126C"/>
    <w:rsid w:val="001919C7"/>
    <w:rsid w:val="001920B2"/>
    <w:rsid w:val="00193B0F"/>
    <w:rsid w:val="00196C80"/>
    <w:rsid w:val="00196C89"/>
    <w:rsid w:val="00197E02"/>
    <w:rsid w:val="001A4216"/>
    <w:rsid w:val="001A5FBE"/>
    <w:rsid w:val="001A638C"/>
    <w:rsid w:val="001B259C"/>
    <w:rsid w:val="001B28D0"/>
    <w:rsid w:val="001B2EA2"/>
    <w:rsid w:val="001C2389"/>
    <w:rsid w:val="001C2761"/>
    <w:rsid w:val="001C383E"/>
    <w:rsid w:val="001C3C54"/>
    <w:rsid w:val="001C7C88"/>
    <w:rsid w:val="001D06E2"/>
    <w:rsid w:val="001D0ABE"/>
    <w:rsid w:val="001D1E43"/>
    <w:rsid w:val="001D4BDD"/>
    <w:rsid w:val="001D4C4C"/>
    <w:rsid w:val="001D4FAF"/>
    <w:rsid w:val="001D6595"/>
    <w:rsid w:val="001D6E17"/>
    <w:rsid w:val="001E0BF1"/>
    <w:rsid w:val="001E3088"/>
    <w:rsid w:val="001E595D"/>
    <w:rsid w:val="001E6880"/>
    <w:rsid w:val="001F0708"/>
    <w:rsid w:val="001F2AFC"/>
    <w:rsid w:val="001F3247"/>
    <w:rsid w:val="001F4876"/>
    <w:rsid w:val="001F5280"/>
    <w:rsid w:val="001F68B9"/>
    <w:rsid w:val="001F6EE3"/>
    <w:rsid w:val="001F7430"/>
    <w:rsid w:val="00200228"/>
    <w:rsid w:val="0020025A"/>
    <w:rsid w:val="0020031D"/>
    <w:rsid w:val="00200562"/>
    <w:rsid w:val="00202E01"/>
    <w:rsid w:val="00202F98"/>
    <w:rsid w:val="00203ECE"/>
    <w:rsid w:val="002042A4"/>
    <w:rsid w:val="00205079"/>
    <w:rsid w:val="00205243"/>
    <w:rsid w:val="00207514"/>
    <w:rsid w:val="00211D52"/>
    <w:rsid w:val="00214187"/>
    <w:rsid w:val="00215E03"/>
    <w:rsid w:val="00216652"/>
    <w:rsid w:val="0022029B"/>
    <w:rsid w:val="00220E72"/>
    <w:rsid w:val="00222E98"/>
    <w:rsid w:val="0022400B"/>
    <w:rsid w:val="002260AE"/>
    <w:rsid w:val="00226295"/>
    <w:rsid w:val="002309F1"/>
    <w:rsid w:val="00233370"/>
    <w:rsid w:val="002335ED"/>
    <w:rsid w:val="00233C3C"/>
    <w:rsid w:val="00234C4A"/>
    <w:rsid w:val="00235DC5"/>
    <w:rsid w:val="002409C9"/>
    <w:rsid w:val="00241ADC"/>
    <w:rsid w:val="00251335"/>
    <w:rsid w:val="00251FFD"/>
    <w:rsid w:val="00252572"/>
    <w:rsid w:val="00252581"/>
    <w:rsid w:val="00253CAB"/>
    <w:rsid w:val="00254102"/>
    <w:rsid w:val="002549C8"/>
    <w:rsid w:val="00254DFB"/>
    <w:rsid w:val="002569CB"/>
    <w:rsid w:val="00256D3A"/>
    <w:rsid w:val="00257714"/>
    <w:rsid w:val="00260234"/>
    <w:rsid w:val="002620EA"/>
    <w:rsid w:val="002645E2"/>
    <w:rsid w:val="002665B3"/>
    <w:rsid w:val="0027123A"/>
    <w:rsid w:val="00271A7A"/>
    <w:rsid w:val="00272077"/>
    <w:rsid w:val="002730FB"/>
    <w:rsid w:val="002735B9"/>
    <w:rsid w:val="00275C70"/>
    <w:rsid w:val="00281719"/>
    <w:rsid w:val="00281DB1"/>
    <w:rsid w:val="002828C1"/>
    <w:rsid w:val="002839B0"/>
    <w:rsid w:val="00283BB1"/>
    <w:rsid w:val="00286C8F"/>
    <w:rsid w:val="002912FC"/>
    <w:rsid w:val="002A0DB7"/>
    <w:rsid w:val="002A0E61"/>
    <w:rsid w:val="002A140A"/>
    <w:rsid w:val="002A499E"/>
    <w:rsid w:val="002A73E1"/>
    <w:rsid w:val="002B0D8F"/>
    <w:rsid w:val="002B6EC5"/>
    <w:rsid w:val="002C1638"/>
    <w:rsid w:val="002C335D"/>
    <w:rsid w:val="002C3BE7"/>
    <w:rsid w:val="002C4422"/>
    <w:rsid w:val="002C453F"/>
    <w:rsid w:val="002C59CC"/>
    <w:rsid w:val="002C76D5"/>
    <w:rsid w:val="002D2753"/>
    <w:rsid w:val="002D33E4"/>
    <w:rsid w:val="002D4E4B"/>
    <w:rsid w:val="002D5515"/>
    <w:rsid w:val="002D5B57"/>
    <w:rsid w:val="002E0205"/>
    <w:rsid w:val="002E1E68"/>
    <w:rsid w:val="002E7480"/>
    <w:rsid w:val="002F0E5B"/>
    <w:rsid w:val="002F161B"/>
    <w:rsid w:val="002F352A"/>
    <w:rsid w:val="002F51CB"/>
    <w:rsid w:val="002F76F1"/>
    <w:rsid w:val="0030092C"/>
    <w:rsid w:val="00301AA3"/>
    <w:rsid w:val="00303174"/>
    <w:rsid w:val="003036CD"/>
    <w:rsid w:val="003077C8"/>
    <w:rsid w:val="003113A9"/>
    <w:rsid w:val="00315302"/>
    <w:rsid w:val="00315715"/>
    <w:rsid w:val="0031609D"/>
    <w:rsid w:val="0031618E"/>
    <w:rsid w:val="00316EB2"/>
    <w:rsid w:val="00317617"/>
    <w:rsid w:val="00317D50"/>
    <w:rsid w:val="00320156"/>
    <w:rsid w:val="00320B45"/>
    <w:rsid w:val="00321352"/>
    <w:rsid w:val="00322293"/>
    <w:rsid w:val="003241D7"/>
    <w:rsid w:val="00324233"/>
    <w:rsid w:val="00324D76"/>
    <w:rsid w:val="003264A3"/>
    <w:rsid w:val="00326E95"/>
    <w:rsid w:val="003272CE"/>
    <w:rsid w:val="00331D2A"/>
    <w:rsid w:val="00335741"/>
    <w:rsid w:val="00335ABA"/>
    <w:rsid w:val="00335BB5"/>
    <w:rsid w:val="00341AB6"/>
    <w:rsid w:val="003426E9"/>
    <w:rsid w:val="00342715"/>
    <w:rsid w:val="00346782"/>
    <w:rsid w:val="003468B8"/>
    <w:rsid w:val="00346991"/>
    <w:rsid w:val="00347A6B"/>
    <w:rsid w:val="00352A38"/>
    <w:rsid w:val="00353DA9"/>
    <w:rsid w:val="0035633B"/>
    <w:rsid w:val="0036005E"/>
    <w:rsid w:val="00360360"/>
    <w:rsid w:val="00360547"/>
    <w:rsid w:val="003606AA"/>
    <w:rsid w:val="00360BD3"/>
    <w:rsid w:val="00361856"/>
    <w:rsid w:val="00361C09"/>
    <w:rsid w:val="00372480"/>
    <w:rsid w:val="00374BDF"/>
    <w:rsid w:val="003761ED"/>
    <w:rsid w:val="00377424"/>
    <w:rsid w:val="00381567"/>
    <w:rsid w:val="00382123"/>
    <w:rsid w:val="0038252F"/>
    <w:rsid w:val="00384112"/>
    <w:rsid w:val="00384448"/>
    <w:rsid w:val="00384616"/>
    <w:rsid w:val="00384958"/>
    <w:rsid w:val="0038534D"/>
    <w:rsid w:val="003853E0"/>
    <w:rsid w:val="00385429"/>
    <w:rsid w:val="00385511"/>
    <w:rsid w:val="00385711"/>
    <w:rsid w:val="00390ACA"/>
    <w:rsid w:val="00391576"/>
    <w:rsid w:val="00393A9F"/>
    <w:rsid w:val="00393E6B"/>
    <w:rsid w:val="00395BF5"/>
    <w:rsid w:val="003968B1"/>
    <w:rsid w:val="00397BD1"/>
    <w:rsid w:val="003A0A6E"/>
    <w:rsid w:val="003A233A"/>
    <w:rsid w:val="003A3169"/>
    <w:rsid w:val="003A5731"/>
    <w:rsid w:val="003A65DA"/>
    <w:rsid w:val="003A69C0"/>
    <w:rsid w:val="003A745E"/>
    <w:rsid w:val="003B00B7"/>
    <w:rsid w:val="003B0580"/>
    <w:rsid w:val="003B09D5"/>
    <w:rsid w:val="003B0FE8"/>
    <w:rsid w:val="003B6A3B"/>
    <w:rsid w:val="003B70E3"/>
    <w:rsid w:val="003C011E"/>
    <w:rsid w:val="003C069F"/>
    <w:rsid w:val="003C159B"/>
    <w:rsid w:val="003C194E"/>
    <w:rsid w:val="003C1AE3"/>
    <w:rsid w:val="003C3539"/>
    <w:rsid w:val="003C379D"/>
    <w:rsid w:val="003C3D33"/>
    <w:rsid w:val="003C3FD4"/>
    <w:rsid w:val="003C54F1"/>
    <w:rsid w:val="003C6DBA"/>
    <w:rsid w:val="003C79AC"/>
    <w:rsid w:val="003D2118"/>
    <w:rsid w:val="003D3D8C"/>
    <w:rsid w:val="003D4148"/>
    <w:rsid w:val="003E0CA9"/>
    <w:rsid w:val="003E1E37"/>
    <w:rsid w:val="003E1E59"/>
    <w:rsid w:val="003E2C2F"/>
    <w:rsid w:val="003E44AF"/>
    <w:rsid w:val="003E4DEF"/>
    <w:rsid w:val="003E5ADA"/>
    <w:rsid w:val="003E5B50"/>
    <w:rsid w:val="003F151B"/>
    <w:rsid w:val="003F1750"/>
    <w:rsid w:val="003F3412"/>
    <w:rsid w:val="003F4F29"/>
    <w:rsid w:val="003F6D3E"/>
    <w:rsid w:val="003F773C"/>
    <w:rsid w:val="004002B7"/>
    <w:rsid w:val="00400787"/>
    <w:rsid w:val="00400C22"/>
    <w:rsid w:val="00401E74"/>
    <w:rsid w:val="0040281A"/>
    <w:rsid w:val="00404A12"/>
    <w:rsid w:val="00405790"/>
    <w:rsid w:val="00405816"/>
    <w:rsid w:val="00407799"/>
    <w:rsid w:val="0041340F"/>
    <w:rsid w:val="00413A66"/>
    <w:rsid w:val="004141DA"/>
    <w:rsid w:val="00415414"/>
    <w:rsid w:val="00416044"/>
    <w:rsid w:val="0041697B"/>
    <w:rsid w:val="00417F20"/>
    <w:rsid w:val="00420D76"/>
    <w:rsid w:val="00421FF8"/>
    <w:rsid w:val="0042475E"/>
    <w:rsid w:val="004247F6"/>
    <w:rsid w:val="00425863"/>
    <w:rsid w:val="004342B6"/>
    <w:rsid w:val="004418A0"/>
    <w:rsid w:val="00442AEB"/>
    <w:rsid w:val="004442CE"/>
    <w:rsid w:val="00444923"/>
    <w:rsid w:val="00450619"/>
    <w:rsid w:val="0045079C"/>
    <w:rsid w:val="00451187"/>
    <w:rsid w:val="00452814"/>
    <w:rsid w:val="00453B00"/>
    <w:rsid w:val="00453B10"/>
    <w:rsid w:val="00453C61"/>
    <w:rsid w:val="0045470C"/>
    <w:rsid w:val="004603C5"/>
    <w:rsid w:val="0046170B"/>
    <w:rsid w:val="0046195D"/>
    <w:rsid w:val="004626DD"/>
    <w:rsid w:val="004632EE"/>
    <w:rsid w:val="00463B71"/>
    <w:rsid w:val="00465431"/>
    <w:rsid w:val="0047390F"/>
    <w:rsid w:val="00475624"/>
    <w:rsid w:val="00477118"/>
    <w:rsid w:val="004777C2"/>
    <w:rsid w:val="00480C2E"/>
    <w:rsid w:val="00485EC0"/>
    <w:rsid w:val="0049635B"/>
    <w:rsid w:val="00496B17"/>
    <w:rsid w:val="004A0E75"/>
    <w:rsid w:val="004A151F"/>
    <w:rsid w:val="004A6266"/>
    <w:rsid w:val="004A6DB8"/>
    <w:rsid w:val="004A7099"/>
    <w:rsid w:val="004A7646"/>
    <w:rsid w:val="004B01A1"/>
    <w:rsid w:val="004B36DC"/>
    <w:rsid w:val="004C1A99"/>
    <w:rsid w:val="004C2961"/>
    <w:rsid w:val="004C3C2A"/>
    <w:rsid w:val="004C44D0"/>
    <w:rsid w:val="004C49D1"/>
    <w:rsid w:val="004C570B"/>
    <w:rsid w:val="004C5A99"/>
    <w:rsid w:val="004C5AE3"/>
    <w:rsid w:val="004D1D1E"/>
    <w:rsid w:val="004D47FC"/>
    <w:rsid w:val="004D5216"/>
    <w:rsid w:val="004D5CE6"/>
    <w:rsid w:val="004D6069"/>
    <w:rsid w:val="004E01B8"/>
    <w:rsid w:val="004E06B9"/>
    <w:rsid w:val="004E18E5"/>
    <w:rsid w:val="004E24A0"/>
    <w:rsid w:val="004E3533"/>
    <w:rsid w:val="004E37F5"/>
    <w:rsid w:val="004E3BD6"/>
    <w:rsid w:val="004E53FC"/>
    <w:rsid w:val="004F0A72"/>
    <w:rsid w:val="004F1B29"/>
    <w:rsid w:val="004F344A"/>
    <w:rsid w:val="004F56CB"/>
    <w:rsid w:val="004F7116"/>
    <w:rsid w:val="004F7D69"/>
    <w:rsid w:val="0050036C"/>
    <w:rsid w:val="005029FB"/>
    <w:rsid w:val="00512C62"/>
    <w:rsid w:val="0051652D"/>
    <w:rsid w:val="00516D7D"/>
    <w:rsid w:val="0051704B"/>
    <w:rsid w:val="005201BA"/>
    <w:rsid w:val="00521A88"/>
    <w:rsid w:val="0052360C"/>
    <w:rsid w:val="005249BC"/>
    <w:rsid w:val="00526B23"/>
    <w:rsid w:val="005306D7"/>
    <w:rsid w:val="00530FFC"/>
    <w:rsid w:val="00531161"/>
    <w:rsid w:val="00531382"/>
    <w:rsid w:val="00532240"/>
    <w:rsid w:val="005409C3"/>
    <w:rsid w:val="00541B3D"/>
    <w:rsid w:val="0054362D"/>
    <w:rsid w:val="005439F3"/>
    <w:rsid w:val="005461A6"/>
    <w:rsid w:val="005469AB"/>
    <w:rsid w:val="00546C3B"/>
    <w:rsid w:val="00553ECB"/>
    <w:rsid w:val="00554EBC"/>
    <w:rsid w:val="005557F0"/>
    <w:rsid w:val="00555E3B"/>
    <w:rsid w:val="005565EB"/>
    <w:rsid w:val="00557C25"/>
    <w:rsid w:val="00560BE4"/>
    <w:rsid w:val="00564563"/>
    <w:rsid w:val="0056684C"/>
    <w:rsid w:val="00566A67"/>
    <w:rsid w:val="005678CE"/>
    <w:rsid w:val="00570731"/>
    <w:rsid w:val="00572A30"/>
    <w:rsid w:val="005800EA"/>
    <w:rsid w:val="00581329"/>
    <w:rsid w:val="00582580"/>
    <w:rsid w:val="005847D2"/>
    <w:rsid w:val="00592D9C"/>
    <w:rsid w:val="0059409F"/>
    <w:rsid w:val="00596170"/>
    <w:rsid w:val="00597FDD"/>
    <w:rsid w:val="005A22F0"/>
    <w:rsid w:val="005A2B5E"/>
    <w:rsid w:val="005A2C45"/>
    <w:rsid w:val="005A33D5"/>
    <w:rsid w:val="005A37DA"/>
    <w:rsid w:val="005A52BB"/>
    <w:rsid w:val="005A69F2"/>
    <w:rsid w:val="005B038A"/>
    <w:rsid w:val="005B2875"/>
    <w:rsid w:val="005B29F8"/>
    <w:rsid w:val="005B2A56"/>
    <w:rsid w:val="005B3CA9"/>
    <w:rsid w:val="005C2543"/>
    <w:rsid w:val="005C4365"/>
    <w:rsid w:val="005C4E1F"/>
    <w:rsid w:val="005C61DF"/>
    <w:rsid w:val="005D0B6A"/>
    <w:rsid w:val="005D0CE1"/>
    <w:rsid w:val="005D227E"/>
    <w:rsid w:val="005D3C8E"/>
    <w:rsid w:val="005D588B"/>
    <w:rsid w:val="005E0DBC"/>
    <w:rsid w:val="005E2B65"/>
    <w:rsid w:val="005E6D83"/>
    <w:rsid w:val="005F2F13"/>
    <w:rsid w:val="005F3944"/>
    <w:rsid w:val="005F3F01"/>
    <w:rsid w:val="005F5DEF"/>
    <w:rsid w:val="006007F7"/>
    <w:rsid w:val="006013FD"/>
    <w:rsid w:val="006015F5"/>
    <w:rsid w:val="0060448D"/>
    <w:rsid w:val="006115DD"/>
    <w:rsid w:val="006138EC"/>
    <w:rsid w:val="006158C4"/>
    <w:rsid w:val="0061596E"/>
    <w:rsid w:val="00621FA0"/>
    <w:rsid w:val="006248A7"/>
    <w:rsid w:val="00630D08"/>
    <w:rsid w:val="006318E3"/>
    <w:rsid w:val="0063318A"/>
    <w:rsid w:val="006335C9"/>
    <w:rsid w:val="0063418B"/>
    <w:rsid w:val="006362F9"/>
    <w:rsid w:val="0063645A"/>
    <w:rsid w:val="00637A30"/>
    <w:rsid w:val="00641308"/>
    <w:rsid w:val="006419FF"/>
    <w:rsid w:val="006429E7"/>
    <w:rsid w:val="00644150"/>
    <w:rsid w:val="006463A9"/>
    <w:rsid w:val="00652F54"/>
    <w:rsid w:val="00654D36"/>
    <w:rsid w:val="006562AE"/>
    <w:rsid w:val="00656936"/>
    <w:rsid w:val="006572B4"/>
    <w:rsid w:val="0066061F"/>
    <w:rsid w:val="00660B34"/>
    <w:rsid w:val="00661BBC"/>
    <w:rsid w:val="00666FF7"/>
    <w:rsid w:val="006733CC"/>
    <w:rsid w:val="0067572E"/>
    <w:rsid w:val="006764D8"/>
    <w:rsid w:val="006766C8"/>
    <w:rsid w:val="00677246"/>
    <w:rsid w:val="00680380"/>
    <w:rsid w:val="0068399C"/>
    <w:rsid w:val="006849AE"/>
    <w:rsid w:val="00685555"/>
    <w:rsid w:val="0068773C"/>
    <w:rsid w:val="00690495"/>
    <w:rsid w:val="00693141"/>
    <w:rsid w:val="00694ADD"/>
    <w:rsid w:val="00696642"/>
    <w:rsid w:val="00696B87"/>
    <w:rsid w:val="006A2E63"/>
    <w:rsid w:val="006A2E76"/>
    <w:rsid w:val="006A4400"/>
    <w:rsid w:val="006A5D62"/>
    <w:rsid w:val="006B083C"/>
    <w:rsid w:val="006B0C8A"/>
    <w:rsid w:val="006B3724"/>
    <w:rsid w:val="006B3D3D"/>
    <w:rsid w:val="006B3DF7"/>
    <w:rsid w:val="006B438D"/>
    <w:rsid w:val="006B6BC0"/>
    <w:rsid w:val="006C1BDE"/>
    <w:rsid w:val="006C3A01"/>
    <w:rsid w:val="006C4B51"/>
    <w:rsid w:val="006C4D69"/>
    <w:rsid w:val="006C641C"/>
    <w:rsid w:val="006C6BFD"/>
    <w:rsid w:val="006D2A01"/>
    <w:rsid w:val="006D4984"/>
    <w:rsid w:val="006E234D"/>
    <w:rsid w:val="006E472A"/>
    <w:rsid w:val="006F0840"/>
    <w:rsid w:val="006F18EA"/>
    <w:rsid w:val="006F1B6A"/>
    <w:rsid w:val="006F25CB"/>
    <w:rsid w:val="006F7A93"/>
    <w:rsid w:val="006F7FB1"/>
    <w:rsid w:val="0070035D"/>
    <w:rsid w:val="007003C2"/>
    <w:rsid w:val="00702A87"/>
    <w:rsid w:val="007035B6"/>
    <w:rsid w:val="00704044"/>
    <w:rsid w:val="00704BE2"/>
    <w:rsid w:val="00705AB4"/>
    <w:rsid w:val="007108CC"/>
    <w:rsid w:val="0071263B"/>
    <w:rsid w:val="00714590"/>
    <w:rsid w:val="00714871"/>
    <w:rsid w:val="00721F39"/>
    <w:rsid w:val="007248EE"/>
    <w:rsid w:val="00725A2D"/>
    <w:rsid w:val="00730375"/>
    <w:rsid w:val="007309C3"/>
    <w:rsid w:val="007413A6"/>
    <w:rsid w:val="00744D43"/>
    <w:rsid w:val="00750AF5"/>
    <w:rsid w:val="0075110C"/>
    <w:rsid w:val="00752AEB"/>
    <w:rsid w:val="00754043"/>
    <w:rsid w:val="0076027E"/>
    <w:rsid w:val="0076301B"/>
    <w:rsid w:val="007652D6"/>
    <w:rsid w:val="007654E2"/>
    <w:rsid w:val="00767656"/>
    <w:rsid w:val="00767F12"/>
    <w:rsid w:val="00770F03"/>
    <w:rsid w:val="0077182E"/>
    <w:rsid w:val="0077491C"/>
    <w:rsid w:val="00775681"/>
    <w:rsid w:val="00775B48"/>
    <w:rsid w:val="00784348"/>
    <w:rsid w:val="0078638F"/>
    <w:rsid w:val="0078646B"/>
    <w:rsid w:val="0079248E"/>
    <w:rsid w:val="00792B6C"/>
    <w:rsid w:val="00795063"/>
    <w:rsid w:val="00795480"/>
    <w:rsid w:val="00797391"/>
    <w:rsid w:val="00797FE8"/>
    <w:rsid w:val="007A225B"/>
    <w:rsid w:val="007A26A6"/>
    <w:rsid w:val="007A2B98"/>
    <w:rsid w:val="007A4227"/>
    <w:rsid w:val="007A789A"/>
    <w:rsid w:val="007B0554"/>
    <w:rsid w:val="007B0658"/>
    <w:rsid w:val="007B1444"/>
    <w:rsid w:val="007B1BAE"/>
    <w:rsid w:val="007B2AD4"/>
    <w:rsid w:val="007B47D4"/>
    <w:rsid w:val="007B5526"/>
    <w:rsid w:val="007B5A3E"/>
    <w:rsid w:val="007B5B57"/>
    <w:rsid w:val="007C0315"/>
    <w:rsid w:val="007C0BDA"/>
    <w:rsid w:val="007C2CFE"/>
    <w:rsid w:val="007C3D3A"/>
    <w:rsid w:val="007C4E23"/>
    <w:rsid w:val="007C52B0"/>
    <w:rsid w:val="007C7783"/>
    <w:rsid w:val="007D346B"/>
    <w:rsid w:val="007D3740"/>
    <w:rsid w:val="007D3960"/>
    <w:rsid w:val="007D41F1"/>
    <w:rsid w:val="007D4ABA"/>
    <w:rsid w:val="007D67C9"/>
    <w:rsid w:val="007D6836"/>
    <w:rsid w:val="007D6E4F"/>
    <w:rsid w:val="007D7D6C"/>
    <w:rsid w:val="007E043C"/>
    <w:rsid w:val="007E1250"/>
    <w:rsid w:val="007E2A14"/>
    <w:rsid w:val="007E3ED5"/>
    <w:rsid w:val="007E4EF9"/>
    <w:rsid w:val="007E5709"/>
    <w:rsid w:val="007F3A4D"/>
    <w:rsid w:val="007F4FEB"/>
    <w:rsid w:val="007F55DB"/>
    <w:rsid w:val="007F6085"/>
    <w:rsid w:val="007F6873"/>
    <w:rsid w:val="007F6C8D"/>
    <w:rsid w:val="007F6D5D"/>
    <w:rsid w:val="007F71B3"/>
    <w:rsid w:val="00804B70"/>
    <w:rsid w:val="00805F88"/>
    <w:rsid w:val="008123D7"/>
    <w:rsid w:val="008136DD"/>
    <w:rsid w:val="00815620"/>
    <w:rsid w:val="008203A0"/>
    <w:rsid w:val="0082284A"/>
    <w:rsid w:val="008248B1"/>
    <w:rsid w:val="008251E9"/>
    <w:rsid w:val="0082558D"/>
    <w:rsid w:val="00826080"/>
    <w:rsid w:val="0083147C"/>
    <w:rsid w:val="00832ADD"/>
    <w:rsid w:val="0084052F"/>
    <w:rsid w:val="00842FF3"/>
    <w:rsid w:val="00850C67"/>
    <w:rsid w:val="00851646"/>
    <w:rsid w:val="00851BA6"/>
    <w:rsid w:val="00853BE1"/>
    <w:rsid w:val="00862869"/>
    <w:rsid w:val="0086405D"/>
    <w:rsid w:val="00864E62"/>
    <w:rsid w:val="008658F8"/>
    <w:rsid w:val="00865F8F"/>
    <w:rsid w:val="00866133"/>
    <w:rsid w:val="00867391"/>
    <w:rsid w:val="00870ABA"/>
    <w:rsid w:val="00871153"/>
    <w:rsid w:val="00871413"/>
    <w:rsid w:val="00871A86"/>
    <w:rsid w:val="00872A28"/>
    <w:rsid w:val="008738B6"/>
    <w:rsid w:val="008741CE"/>
    <w:rsid w:val="00876DD1"/>
    <w:rsid w:val="00876DEF"/>
    <w:rsid w:val="00877959"/>
    <w:rsid w:val="008806BC"/>
    <w:rsid w:val="0088129C"/>
    <w:rsid w:val="00881537"/>
    <w:rsid w:val="008842E8"/>
    <w:rsid w:val="0088483F"/>
    <w:rsid w:val="00884BD1"/>
    <w:rsid w:val="00884DEE"/>
    <w:rsid w:val="00886335"/>
    <w:rsid w:val="00887514"/>
    <w:rsid w:val="00890ACE"/>
    <w:rsid w:val="00894415"/>
    <w:rsid w:val="00895E62"/>
    <w:rsid w:val="008973BC"/>
    <w:rsid w:val="008976C5"/>
    <w:rsid w:val="00897F1E"/>
    <w:rsid w:val="008A08AD"/>
    <w:rsid w:val="008A0D13"/>
    <w:rsid w:val="008A25C5"/>
    <w:rsid w:val="008A2AB3"/>
    <w:rsid w:val="008A55AA"/>
    <w:rsid w:val="008A57ED"/>
    <w:rsid w:val="008B0F68"/>
    <w:rsid w:val="008B16CA"/>
    <w:rsid w:val="008B1BC2"/>
    <w:rsid w:val="008B3FF9"/>
    <w:rsid w:val="008B42A1"/>
    <w:rsid w:val="008B4EA8"/>
    <w:rsid w:val="008B7528"/>
    <w:rsid w:val="008B7B70"/>
    <w:rsid w:val="008C0782"/>
    <w:rsid w:val="008C3B6F"/>
    <w:rsid w:val="008C437F"/>
    <w:rsid w:val="008C4755"/>
    <w:rsid w:val="008C6B72"/>
    <w:rsid w:val="008C7965"/>
    <w:rsid w:val="008D007D"/>
    <w:rsid w:val="008D037E"/>
    <w:rsid w:val="008D0811"/>
    <w:rsid w:val="008D087B"/>
    <w:rsid w:val="008D2BF5"/>
    <w:rsid w:val="008D5F41"/>
    <w:rsid w:val="008D746D"/>
    <w:rsid w:val="008E1E6A"/>
    <w:rsid w:val="008E3C93"/>
    <w:rsid w:val="008E69DB"/>
    <w:rsid w:val="008F1FE8"/>
    <w:rsid w:val="008F4DDC"/>
    <w:rsid w:val="008F56D5"/>
    <w:rsid w:val="008F5C52"/>
    <w:rsid w:val="008F5E53"/>
    <w:rsid w:val="008F6337"/>
    <w:rsid w:val="009001BF"/>
    <w:rsid w:val="00901827"/>
    <w:rsid w:val="0090194E"/>
    <w:rsid w:val="009022E3"/>
    <w:rsid w:val="009029A8"/>
    <w:rsid w:val="00904FF4"/>
    <w:rsid w:val="00905D4E"/>
    <w:rsid w:val="00907203"/>
    <w:rsid w:val="0090755A"/>
    <w:rsid w:val="00907906"/>
    <w:rsid w:val="0091014D"/>
    <w:rsid w:val="00914CFE"/>
    <w:rsid w:val="00915CF2"/>
    <w:rsid w:val="009173F8"/>
    <w:rsid w:val="00917ED8"/>
    <w:rsid w:val="00921C80"/>
    <w:rsid w:val="00922EF6"/>
    <w:rsid w:val="00923594"/>
    <w:rsid w:val="0092395F"/>
    <w:rsid w:val="009239CA"/>
    <w:rsid w:val="00932DC0"/>
    <w:rsid w:val="00934148"/>
    <w:rsid w:val="009361B6"/>
    <w:rsid w:val="009426EC"/>
    <w:rsid w:val="00942B9D"/>
    <w:rsid w:val="00942D84"/>
    <w:rsid w:val="00943C74"/>
    <w:rsid w:val="00944A80"/>
    <w:rsid w:val="0095027B"/>
    <w:rsid w:val="0095095F"/>
    <w:rsid w:val="00950B49"/>
    <w:rsid w:val="00951852"/>
    <w:rsid w:val="00952103"/>
    <w:rsid w:val="009543B3"/>
    <w:rsid w:val="00955A74"/>
    <w:rsid w:val="009635E2"/>
    <w:rsid w:val="00964E6C"/>
    <w:rsid w:val="0096718E"/>
    <w:rsid w:val="00971F90"/>
    <w:rsid w:val="0097620E"/>
    <w:rsid w:val="00976D96"/>
    <w:rsid w:val="00983464"/>
    <w:rsid w:val="00985AAD"/>
    <w:rsid w:val="0098660F"/>
    <w:rsid w:val="00987F26"/>
    <w:rsid w:val="00990C3C"/>
    <w:rsid w:val="00990D7F"/>
    <w:rsid w:val="009911B0"/>
    <w:rsid w:val="00992FE1"/>
    <w:rsid w:val="00993218"/>
    <w:rsid w:val="00997405"/>
    <w:rsid w:val="0099750F"/>
    <w:rsid w:val="00997D0F"/>
    <w:rsid w:val="00997FCA"/>
    <w:rsid w:val="009A1D29"/>
    <w:rsid w:val="009A29DF"/>
    <w:rsid w:val="009A4C13"/>
    <w:rsid w:val="009B1EB2"/>
    <w:rsid w:val="009B458A"/>
    <w:rsid w:val="009B4D20"/>
    <w:rsid w:val="009B65C4"/>
    <w:rsid w:val="009B6B3A"/>
    <w:rsid w:val="009C5F51"/>
    <w:rsid w:val="009C5FB8"/>
    <w:rsid w:val="009C6A84"/>
    <w:rsid w:val="009C7D7E"/>
    <w:rsid w:val="009D20C3"/>
    <w:rsid w:val="009D4883"/>
    <w:rsid w:val="009D4AFC"/>
    <w:rsid w:val="009D6F13"/>
    <w:rsid w:val="009E08D4"/>
    <w:rsid w:val="009E5281"/>
    <w:rsid w:val="009E6C3A"/>
    <w:rsid w:val="009E79D6"/>
    <w:rsid w:val="009E7A94"/>
    <w:rsid w:val="009F118A"/>
    <w:rsid w:val="009F30FB"/>
    <w:rsid w:val="009F378E"/>
    <w:rsid w:val="009F399B"/>
    <w:rsid w:val="009F5BB1"/>
    <w:rsid w:val="009F7719"/>
    <w:rsid w:val="00A0064B"/>
    <w:rsid w:val="00A01548"/>
    <w:rsid w:val="00A01B1C"/>
    <w:rsid w:val="00A03BC9"/>
    <w:rsid w:val="00A046FC"/>
    <w:rsid w:val="00A04DDF"/>
    <w:rsid w:val="00A073A1"/>
    <w:rsid w:val="00A10C76"/>
    <w:rsid w:val="00A114AE"/>
    <w:rsid w:val="00A1473F"/>
    <w:rsid w:val="00A16162"/>
    <w:rsid w:val="00A22B25"/>
    <w:rsid w:val="00A233A5"/>
    <w:rsid w:val="00A25566"/>
    <w:rsid w:val="00A26D78"/>
    <w:rsid w:val="00A27105"/>
    <w:rsid w:val="00A307A9"/>
    <w:rsid w:val="00A31D64"/>
    <w:rsid w:val="00A3287A"/>
    <w:rsid w:val="00A33A34"/>
    <w:rsid w:val="00A33D43"/>
    <w:rsid w:val="00A36EF9"/>
    <w:rsid w:val="00A3727F"/>
    <w:rsid w:val="00A400CD"/>
    <w:rsid w:val="00A40139"/>
    <w:rsid w:val="00A40C3A"/>
    <w:rsid w:val="00A40DBF"/>
    <w:rsid w:val="00A469E8"/>
    <w:rsid w:val="00A51A46"/>
    <w:rsid w:val="00A537E4"/>
    <w:rsid w:val="00A53F68"/>
    <w:rsid w:val="00A551F7"/>
    <w:rsid w:val="00A568C7"/>
    <w:rsid w:val="00A57A50"/>
    <w:rsid w:val="00A60EF4"/>
    <w:rsid w:val="00A60FEF"/>
    <w:rsid w:val="00A61475"/>
    <w:rsid w:val="00A61954"/>
    <w:rsid w:val="00A62AE4"/>
    <w:rsid w:val="00A62EB5"/>
    <w:rsid w:val="00A63ABA"/>
    <w:rsid w:val="00A63EBC"/>
    <w:rsid w:val="00A66877"/>
    <w:rsid w:val="00A6797A"/>
    <w:rsid w:val="00A7537A"/>
    <w:rsid w:val="00A756B4"/>
    <w:rsid w:val="00A75C10"/>
    <w:rsid w:val="00A80855"/>
    <w:rsid w:val="00A81886"/>
    <w:rsid w:val="00A82627"/>
    <w:rsid w:val="00A83C07"/>
    <w:rsid w:val="00A917AC"/>
    <w:rsid w:val="00A91831"/>
    <w:rsid w:val="00A939D7"/>
    <w:rsid w:val="00A9429B"/>
    <w:rsid w:val="00AA0490"/>
    <w:rsid w:val="00AA16D9"/>
    <w:rsid w:val="00AA7626"/>
    <w:rsid w:val="00AA77F7"/>
    <w:rsid w:val="00AB0106"/>
    <w:rsid w:val="00AB05EE"/>
    <w:rsid w:val="00AB0855"/>
    <w:rsid w:val="00AB3190"/>
    <w:rsid w:val="00AB4198"/>
    <w:rsid w:val="00AB5175"/>
    <w:rsid w:val="00AC31D9"/>
    <w:rsid w:val="00AC3E97"/>
    <w:rsid w:val="00AC4821"/>
    <w:rsid w:val="00AC55EA"/>
    <w:rsid w:val="00AC6473"/>
    <w:rsid w:val="00AC769E"/>
    <w:rsid w:val="00AC7D9B"/>
    <w:rsid w:val="00AD25BC"/>
    <w:rsid w:val="00AD3207"/>
    <w:rsid w:val="00AD4425"/>
    <w:rsid w:val="00AD61B7"/>
    <w:rsid w:val="00AD688F"/>
    <w:rsid w:val="00AD6A90"/>
    <w:rsid w:val="00AE35CB"/>
    <w:rsid w:val="00AE37E9"/>
    <w:rsid w:val="00AE5630"/>
    <w:rsid w:val="00AE63A6"/>
    <w:rsid w:val="00AF2077"/>
    <w:rsid w:val="00AF225E"/>
    <w:rsid w:val="00AF4764"/>
    <w:rsid w:val="00AF52B0"/>
    <w:rsid w:val="00AF69D6"/>
    <w:rsid w:val="00AF7EDE"/>
    <w:rsid w:val="00B019BE"/>
    <w:rsid w:val="00B03B4A"/>
    <w:rsid w:val="00B05C9E"/>
    <w:rsid w:val="00B06112"/>
    <w:rsid w:val="00B06BA7"/>
    <w:rsid w:val="00B07BE6"/>
    <w:rsid w:val="00B101C4"/>
    <w:rsid w:val="00B12571"/>
    <w:rsid w:val="00B1709C"/>
    <w:rsid w:val="00B20B05"/>
    <w:rsid w:val="00B23496"/>
    <w:rsid w:val="00B276F7"/>
    <w:rsid w:val="00B27832"/>
    <w:rsid w:val="00B30FBA"/>
    <w:rsid w:val="00B325FD"/>
    <w:rsid w:val="00B32D39"/>
    <w:rsid w:val="00B33A61"/>
    <w:rsid w:val="00B35A81"/>
    <w:rsid w:val="00B36053"/>
    <w:rsid w:val="00B37BCB"/>
    <w:rsid w:val="00B410ED"/>
    <w:rsid w:val="00B42980"/>
    <w:rsid w:val="00B4356F"/>
    <w:rsid w:val="00B43C8E"/>
    <w:rsid w:val="00B5083C"/>
    <w:rsid w:val="00B50EE9"/>
    <w:rsid w:val="00B51486"/>
    <w:rsid w:val="00B522B3"/>
    <w:rsid w:val="00B52B36"/>
    <w:rsid w:val="00B53505"/>
    <w:rsid w:val="00B5389D"/>
    <w:rsid w:val="00B619F3"/>
    <w:rsid w:val="00B636AD"/>
    <w:rsid w:val="00B641D7"/>
    <w:rsid w:val="00B64DF2"/>
    <w:rsid w:val="00B65DA8"/>
    <w:rsid w:val="00B66EAA"/>
    <w:rsid w:val="00B70A81"/>
    <w:rsid w:val="00B70C16"/>
    <w:rsid w:val="00B714EE"/>
    <w:rsid w:val="00B7523E"/>
    <w:rsid w:val="00B76CD7"/>
    <w:rsid w:val="00B85B49"/>
    <w:rsid w:val="00B86AA0"/>
    <w:rsid w:val="00B86CD0"/>
    <w:rsid w:val="00B90DDA"/>
    <w:rsid w:val="00B9418F"/>
    <w:rsid w:val="00B9587C"/>
    <w:rsid w:val="00B959C2"/>
    <w:rsid w:val="00B975A3"/>
    <w:rsid w:val="00BA10F3"/>
    <w:rsid w:val="00BA1603"/>
    <w:rsid w:val="00BA2E72"/>
    <w:rsid w:val="00BA30BB"/>
    <w:rsid w:val="00BA44BC"/>
    <w:rsid w:val="00BA64F0"/>
    <w:rsid w:val="00BA75D3"/>
    <w:rsid w:val="00BB2E56"/>
    <w:rsid w:val="00BB38F5"/>
    <w:rsid w:val="00BB4D5E"/>
    <w:rsid w:val="00BC0DB5"/>
    <w:rsid w:val="00BC2A83"/>
    <w:rsid w:val="00BC2F55"/>
    <w:rsid w:val="00BC3649"/>
    <w:rsid w:val="00BD14D1"/>
    <w:rsid w:val="00BD1692"/>
    <w:rsid w:val="00BD5542"/>
    <w:rsid w:val="00BD6652"/>
    <w:rsid w:val="00BD6723"/>
    <w:rsid w:val="00BD77E8"/>
    <w:rsid w:val="00BE101A"/>
    <w:rsid w:val="00BE118C"/>
    <w:rsid w:val="00BE16FA"/>
    <w:rsid w:val="00BE6C9E"/>
    <w:rsid w:val="00BF0EDE"/>
    <w:rsid w:val="00BF22C0"/>
    <w:rsid w:val="00BF2F84"/>
    <w:rsid w:val="00BF3C19"/>
    <w:rsid w:val="00BF52F1"/>
    <w:rsid w:val="00C02291"/>
    <w:rsid w:val="00C0398C"/>
    <w:rsid w:val="00C0434A"/>
    <w:rsid w:val="00C1069E"/>
    <w:rsid w:val="00C120A9"/>
    <w:rsid w:val="00C12433"/>
    <w:rsid w:val="00C126DF"/>
    <w:rsid w:val="00C14C3A"/>
    <w:rsid w:val="00C150D4"/>
    <w:rsid w:val="00C15AC6"/>
    <w:rsid w:val="00C20D12"/>
    <w:rsid w:val="00C218CD"/>
    <w:rsid w:val="00C31648"/>
    <w:rsid w:val="00C34B4B"/>
    <w:rsid w:val="00C403B0"/>
    <w:rsid w:val="00C41033"/>
    <w:rsid w:val="00C4184B"/>
    <w:rsid w:val="00C4386B"/>
    <w:rsid w:val="00C43E91"/>
    <w:rsid w:val="00C44894"/>
    <w:rsid w:val="00C454A9"/>
    <w:rsid w:val="00C4683F"/>
    <w:rsid w:val="00C5098C"/>
    <w:rsid w:val="00C541FE"/>
    <w:rsid w:val="00C5593B"/>
    <w:rsid w:val="00C571D7"/>
    <w:rsid w:val="00C62B13"/>
    <w:rsid w:val="00C62F89"/>
    <w:rsid w:val="00C65F52"/>
    <w:rsid w:val="00C6785E"/>
    <w:rsid w:val="00C73BCF"/>
    <w:rsid w:val="00C75C40"/>
    <w:rsid w:val="00C76FDA"/>
    <w:rsid w:val="00C777E3"/>
    <w:rsid w:val="00C812BC"/>
    <w:rsid w:val="00C816F1"/>
    <w:rsid w:val="00C82F34"/>
    <w:rsid w:val="00C83CCB"/>
    <w:rsid w:val="00C84092"/>
    <w:rsid w:val="00C84537"/>
    <w:rsid w:val="00C85C2E"/>
    <w:rsid w:val="00C8615D"/>
    <w:rsid w:val="00C92C27"/>
    <w:rsid w:val="00C94919"/>
    <w:rsid w:val="00C95ECB"/>
    <w:rsid w:val="00CA2622"/>
    <w:rsid w:val="00CA56CB"/>
    <w:rsid w:val="00CA6869"/>
    <w:rsid w:val="00CA6AE6"/>
    <w:rsid w:val="00CB02F0"/>
    <w:rsid w:val="00CB145B"/>
    <w:rsid w:val="00CB288A"/>
    <w:rsid w:val="00CB5073"/>
    <w:rsid w:val="00CB6EDC"/>
    <w:rsid w:val="00CC19EE"/>
    <w:rsid w:val="00CC4C14"/>
    <w:rsid w:val="00CC7879"/>
    <w:rsid w:val="00CD104F"/>
    <w:rsid w:val="00CD10B2"/>
    <w:rsid w:val="00CD1162"/>
    <w:rsid w:val="00CD34C9"/>
    <w:rsid w:val="00CD3879"/>
    <w:rsid w:val="00CD5351"/>
    <w:rsid w:val="00CD54ED"/>
    <w:rsid w:val="00CD797C"/>
    <w:rsid w:val="00CD7FFA"/>
    <w:rsid w:val="00CE2519"/>
    <w:rsid w:val="00CE2B88"/>
    <w:rsid w:val="00CE2E5F"/>
    <w:rsid w:val="00CE53FB"/>
    <w:rsid w:val="00CE5C33"/>
    <w:rsid w:val="00CE7509"/>
    <w:rsid w:val="00CF0FEF"/>
    <w:rsid w:val="00CF28EC"/>
    <w:rsid w:val="00CF2A2E"/>
    <w:rsid w:val="00CF2C19"/>
    <w:rsid w:val="00CF59DF"/>
    <w:rsid w:val="00CF64C0"/>
    <w:rsid w:val="00D05922"/>
    <w:rsid w:val="00D061EB"/>
    <w:rsid w:val="00D06B34"/>
    <w:rsid w:val="00D07440"/>
    <w:rsid w:val="00D1766C"/>
    <w:rsid w:val="00D17CC8"/>
    <w:rsid w:val="00D2229A"/>
    <w:rsid w:val="00D2235B"/>
    <w:rsid w:val="00D22F63"/>
    <w:rsid w:val="00D237A7"/>
    <w:rsid w:val="00D2518F"/>
    <w:rsid w:val="00D25E95"/>
    <w:rsid w:val="00D27B49"/>
    <w:rsid w:val="00D3052B"/>
    <w:rsid w:val="00D308C9"/>
    <w:rsid w:val="00D310DB"/>
    <w:rsid w:val="00D32415"/>
    <w:rsid w:val="00D32E13"/>
    <w:rsid w:val="00D33D48"/>
    <w:rsid w:val="00D355B6"/>
    <w:rsid w:val="00D41BC0"/>
    <w:rsid w:val="00D431A5"/>
    <w:rsid w:val="00D43255"/>
    <w:rsid w:val="00D4341D"/>
    <w:rsid w:val="00D4352A"/>
    <w:rsid w:val="00D45531"/>
    <w:rsid w:val="00D46144"/>
    <w:rsid w:val="00D466FA"/>
    <w:rsid w:val="00D475E8"/>
    <w:rsid w:val="00D53ECF"/>
    <w:rsid w:val="00D548C9"/>
    <w:rsid w:val="00D5738F"/>
    <w:rsid w:val="00D57607"/>
    <w:rsid w:val="00D57D14"/>
    <w:rsid w:val="00D601CF"/>
    <w:rsid w:val="00D623DE"/>
    <w:rsid w:val="00D635A4"/>
    <w:rsid w:val="00D64B64"/>
    <w:rsid w:val="00D64BFD"/>
    <w:rsid w:val="00D669C4"/>
    <w:rsid w:val="00D71A31"/>
    <w:rsid w:val="00D71FA1"/>
    <w:rsid w:val="00D7733A"/>
    <w:rsid w:val="00D77E7C"/>
    <w:rsid w:val="00D77EA6"/>
    <w:rsid w:val="00D80432"/>
    <w:rsid w:val="00D82C59"/>
    <w:rsid w:val="00D843FE"/>
    <w:rsid w:val="00D86E06"/>
    <w:rsid w:val="00D86EA4"/>
    <w:rsid w:val="00D96373"/>
    <w:rsid w:val="00D974CD"/>
    <w:rsid w:val="00D97B3F"/>
    <w:rsid w:val="00DA2CE7"/>
    <w:rsid w:val="00DA49E2"/>
    <w:rsid w:val="00DA5BB1"/>
    <w:rsid w:val="00DA6312"/>
    <w:rsid w:val="00DB0220"/>
    <w:rsid w:val="00DB135D"/>
    <w:rsid w:val="00DB1BAF"/>
    <w:rsid w:val="00DB28FE"/>
    <w:rsid w:val="00DB3359"/>
    <w:rsid w:val="00DB4B6D"/>
    <w:rsid w:val="00DB545C"/>
    <w:rsid w:val="00DB6775"/>
    <w:rsid w:val="00DC04D8"/>
    <w:rsid w:val="00DC0AF3"/>
    <w:rsid w:val="00DC0BFD"/>
    <w:rsid w:val="00DC0E92"/>
    <w:rsid w:val="00DC21FE"/>
    <w:rsid w:val="00DC3C5A"/>
    <w:rsid w:val="00DC3E86"/>
    <w:rsid w:val="00DC4A8A"/>
    <w:rsid w:val="00DD014B"/>
    <w:rsid w:val="00DD0EC4"/>
    <w:rsid w:val="00DD10D3"/>
    <w:rsid w:val="00DD1CB7"/>
    <w:rsid w:val="00DD3297"/>
    <w:rsid w:val="00DD3F5D"/>
    <w:rsid w:val="00DD422E"/>
    <w:rsid w:val="00DD54DD"/>
    <w:rsid w:val="00DD6328"/>
    <w:rsid w:val="00DE6004"/>
    <w:rsid w:val="00DE690A"/>
    <w:rsid w:val="00DF3795"/>
    <w:rsid w:val="00E00E3C"/>
    <w:rsid w:val="00E02B3F"/>
    <w:rsid w:val="00E03E5B"/>
    <w:rsid w:val="00E04233"/>
    <w:rsid w:val="00E05B23"/>
    <w:rsid w:val="00E13749"/>
    <w:rsid w:val="00E168F8"/>
    <w:rsid w:val="00E203BE"/>
    <w:rsid w:val="00E21EF3"/>
    <w:rsid w:val="00E223C1"/>
    <w:rsid w:val="00E22B0B"/>
    <w:rsid w:val="00E30A6B"/>
    <w:rsid w:val="00E31596"/>
    <w:rsid w:val="00E31F4F"/>
    <w:rsid w:val="00E36130"/>
    <w:rsid w:val="00E3680A"/>
    <w:rsid w:val="00E37391"/>
    <w:rsid w:val="00E41374"/>
    <w:rsid w:val="00E44C8A"/>
    <w:rsid w:val="00E44F60"/>
    <w:rsid w:val="00E45722"/>
    <w:rsid w:val="00E46404"/>
    <w:rsid w:val="00E50FD5"/>
    <w:rsid w:val="00E5316B"/>
    <w:rsid w:val="00E563EC"/>
    <w:rsid w:val="00E56461"/>
    <w:rsid w:val="00E6162B"/>
    <w:rsid w:val="00E62A3A"/>
    <w:rsid w:val="00E63327"/>
    <w:rsid w:val="00E6548E"/>
    <w:rsid w:val="00E67D72"/>
    <w:rsid w:val="00E71324"/>
    <w:rsid w:val="00E73848"/>
    <w:rsid w:val="00E74064"/>
    <w:rsid w:val="00E751A0"/>
    <w:rsid w:val="00E7710C"/>
    <w:rsid w:val="00E80675"/>
    <w:rsid w:val="00E82225"/>
    <w:rsid w:val="00E842BD"/>
    <w:rsid w:val="00E846BD"/>
    <w:rsid w:val="00E85C6B"/>
    <w:rsid w:val="00E860F7"/>
    <w:rsid w:val="00E87DAA"/>
    <w:rsid w:val="00E90366"/>
    <w:rsid w:val="00E90806"/>
    <w:rsid w:val="00E90C7F"/>
    <w:rsid w:val="00E91CB1"/>
    <w:rsid w:val="00E92897"/>
    <w:rsid w:val="00EA2BCF"/>
    <w:rsid w:val="00EA49A9"/>
    <w:rsid w:val="00EA5BCF"/>
    <w:rsid w:val="00EA6662"/>
    <w:rsid w:val="00EA6A49"/>
    <w:rsid w:val="00EA6F4D"/>
    <w:rsid w:val="00EB0231"/>
    <w:rsid w:val="00EB0ACC"/>
    <w:rsid w:val="00EB246C"/>
    <w:rsid w:val="00EB2E32"/>
    <w:rsid w:val="00EB3146"/>
    <w:rsid w:val="00EB466C"/>
    <w:rsid w:val="00EB4A1F"/>
    <w:rsid w:val="00EC4B00"/>
    <w:rsid w:val="00EC4BA5"/>
    <w:rsid w:val="00EC4C78"/>
    <w:rsid w:val="00EC5239"/>
    <w:rsid w:val="00EC688E"/>
    <w:rsid w:val="00EC7BB3"/>
    <w:rsid w:val="00ED2054"/>
    <w:rsid w:val="00ED503F"/>
    <w:rsid w:val="00EE214D"/>
    <w:rsid w:val="00EE2925"/>
    <w:rsid w:val="00EE3CE0"/>
    <w:rsid w:val="00EE4502"/>
    <w:rsid w:val="00EE5853"/>
    <w:rsid w:val="00EE59DF"/>
    <w:rsid w:val="00EE6B3A"/>
    <w:rsid w:val="00EE6BA8"/>
    <w:rsid w:val="00EF2279"/>
    <w:rsid w:val="00EF5F31"/>
    <w:rsid w:val="00EF7E60"/>
    <w:rsid w:val="00F00CD5"/>
    <w:rsid w:val="00F0176C"/>
    <w:rsid w:val="00F04F08"/>
    <w:rsid w:val="00F13AFB"/>
    <w:rsid w:val="00F14F43"/>
    <w:rsid w:val="00F15294"/>
    <w:rsid w:val="00F179F6"/>
    <w:rsid w:val="00F20427"/>
    <w:rsid w:val="00F2074E"/>
    <w:rsid w:val="00F21B6B"/>
    <w:rsid w:val="00F21C9A"/>
    <w:rsid w:val="00F2553C"/>
    <w:rsid w:val="00F26E87"/>
    <w:rsid w:val="00F30BC4"/>
    <w:rsid w:val="00F31253"/>
    <w:rsid w:val="00F316E7"/>
    <w:rsid w:val="00F32200"/>
    <w:rsid w:val="00F32A6B"/>
    <w:rsid w:val="00F32ABC"/>
    <w:rsid w:val="00F3314B"/>
    <w:rsid w:val="00F410C2"/>
    <w:rsid w:val="00F410E5"/>
    <w:rsid w:val="00F427F7"/>
    <w:rsid w:val="00F441C7"/>
    <w:rsid w:val="00F45068"/>
    <w:rsid w:val="00F45BA2"/>
    <w:rsid w:val="00F45DAA"/>
    <w:rsid w:val="00F45F2D"/>
    <w:rsid w:val="00F462EC"/>
    <w:rsid w:val="00F478F9"/>
    <w:rsid w:val="00F51509"/>
    <w:rsid w:val="00F520D0"/>
    <w:rsid w:val="00F56A02"/>
    <w:rsid w:val="00F6027C"/>
    <w:rsid w:val="00F619B5"/>
    <w:rsid w:val="00F61BBB"/>
    <w:rsid w:val="00F622ED"/>
    <w:rsid w:val="00F62DB3"/>
    <w:rsid w:val="00F649B1"/>
    <w:rsid w:val="00F64DA8"/>
    <w:rsid w:val="00F65FEC"/>
    <w:rsid w:val="00F66F33"/>
    <w:rsid w:val="00F676BF"/>
    <w:rsid w:val="00F70644"/>
    <w:rsid w:val="00F706AB"/>
    <w:rsid w:val="00F7267F"/>
    <w:rsid w:val="00F74076"/>
    <w:rsid w:val="00F751EE"/>
    <w:rsid w:val="00F75A93"/>
    <w:rsid w:val="00F8028D"/>
    <w:rsid w:val="00F81DF2"/>
    <w:rsid w:val="00F84A81"/>
    <w:rsid w:val="00F856EE"/>
    <w:rsid w:val="00F85E47"/>
    <w:rsid w:val="00F8749D"/>
    <w:rsid w:val="00F875D6"/>
    <w:rsid w:val="00F9100A"/>
    <w:rsid w:val="00F91E78"/>
    <w:rsid w:val="00F92B60"/>
    <w:rsid w:val="00F939DA"/>
    <w:rsid w:val="00F9568A"/>
    <w:rsid w:val="00F95A38"/>
    <w:rsid w:val="00FA21A7"/>
    <w:rsid w:val="00FA236F"/>
    <w:rsid w:val="00FA2D09"/>
    <w:rsid w:val="00FA4007"/>
    <w:rsid w:val="00FA564A"/>
    <w:rsid w:val="00FA6482"/>
    <w:rsid w:val="00FA6654"/>
    <w:rsid w:val="00FA7E4B"/>
    <w:rsid w:val="00FB02C2"/>
    <w:rsid w:val="00FB265D"/>
    <w:rsid w:val="00FB310B"/>
    <w:rsid w:val="00FB4039"/>
    <w:rsid w:val="00FB6E2C"/>
    <w:rsid w:val="00FC4E6C"/>
    <w:rsid w:val="00FD144A"/>
    <w:rsid w:val="00FD17FF"/>
    <w:rsid w:val="00FD3AF1"/>
    <w:rsid w:val="00FD5111"/>
    <w:rsid w:val="00FD5D95"/>
    <w:rsid w:val="00FD7BA7"/>
    <w:rsid w:val="00FE0AFC"/>
    <w:rsid w:val="00FE2F4C"/>
    <w:rsid w:val="00FE43B7"/>
    <w:rsid w:val="00FE4A0A"/>
    <w:rsid w:val="00FE664B"/>
    <w:rsid w:val="00FE6E4D"/>
    <w:rsid w:val="00FE6FB0"/>
    <w:rsid w:val="00FF06A6"/>
    <w:rsid w:val="00FF18D0"/>
    <w:rsid w:val="00FF2387"/>
    <w:rsid w:val="00FF3949"/>
    <w:rsid w:val="01051552"/>
    <w:rsid w:val="010C401E"/>
    <w:rsid w:val="018D2D1D"/>
    <w:rsid w:val="01D9277C"/>
    <w:rsid w:val="01DF4DE5"/>
    <w:rsid w:val="01FA4497"/>
    <w:rsid w:val="021870F5"/>
    <w:rsid w:val="02551261"/>
    <w:rsid w:val="02D46255"/>
    <w:rsid w:val="02FF416A"/>
    <w:rsid w:val="030024F3"/>
    <w:rsid w:val="033D58B6"/>
    <w:rsid w:val="03563DC3"/>
    <w:rsid w:val="038835EC"/>
    <w:rsid w:val="03910BD9"/>
    <w:rsid w:val="039B6FAB"/>
    <w:rsid w:val="040D6EEC"/>
    <w:rsid w:val="049C57A7"/>
    <w:rsid w:val="04C70F86"/>
    <w:rsid w:val="04EC1D5B"/>
    <w:rsid w:val="050A1D55"/>
    <w:rsid w:val="05137A7B"/>
    <w:rsid w:val="059144D7"/>
    <w:rsid w:val="05AA66D8"/>
    <w:rsid w:val="05D73F11"/>
    <w:rsid w:val="05DA41A5"/>
    <w:rsid w:val="062F2316"/>
    <w:rsid w:val="064C60C8"/>
    <w:rsid w:val="06B279FC"/>
    <w:rsid w:val="071E6B81"/>
    <w:rsid w:val="072076D8"/>
    <w:rsid w:val="0752095C"/>
    <w:rsid w:val="075D5D2A"/>
    <w:rsid w:val="07D61A3A"/>
    <w:rsid w:val="081E1BB7"/>
    <w:rsid w:val="08453735"/>
    <w:rsid w:val="08493759"/>
    <w:rsid w:val="087B2F53"/>
    <w:rsid w:val="08A66030"/>
    <w:rsid w:val="08A953A1"/>
    <w:rsid w:val="08C057F9"/>
    <w:rsid w:val="08E34E91"/>
    <w:rsid w:val="0935786A"/>
    <w:rsid w:val="093C38FD"/>
    <w:rsid w:val="09737CAB"/>
    <w:rsid w:val="097C6F47"/>
    <w:rsid w:val="099D722B"/>
    <w:rsid w:val="09AD68CE"/>
    <w:rsid w:val="09B67E6F"/>
    <w:rsid w:val="09D8583F"/>
    <w:rsid w:val="09F96A96"/>
    <w:rsid w:val="0A09098D"/>
    <w:rsid w:val="0A204576"/>
    <w:rsid w:val="0A9719C2"/>
    <w:rsid w:val="0B09201A"/>
    <w:rsid w:val="0B1A222C"/>
    <w:rsid w:val="0B35326C"/>
    <w:rsid w:val="0BA12D78"/>
    <w:rsid w:val="0C012DA7"/>
    <w:rsid w:val="0C274043"/>
    <w:rsid w:val="0C675732"/>
    <w:rsid w:val="0CA77331"/>
    <w:rsid w:val="0CA956E7"/>
    <w:rsid w:val="0CAB5C2D"/>
    <w:rsid w:val="0CC700D3"/>
    <w:rsid w:val="0D365E9A"/>
    <w:rsid w:val="0D7309EE"/>
    <w:rsid w:val="0D7D7253"/>
    <w:rsid w:val="0DD6249F"/>
    <w:rsid w:val="0E2110C6"/>
    <w:rsid w:val="0E2B3F92"/>
    <w:rsid w:val="0E501A85"/>
    <w:rsid w:val="0E835517"/>
    <w:rsid w:val="0E85748C"/>
    <w:rsid w:val="0E9C279A"/>
    <w:rsid w:val="0EE05C31"/>
    <w:rsid w:val="0EE278CF"/>
    <w:rsid w:val="0F2B1363"/>
    <w:rsid w:val="0F36189B"/>
    <w:rsid w:val="0F3916A8"/>
    <w:rsid w:val="0F50652F"/>
    <w:rsid w:val="0F6E398D"/>
    <w:rsid w:val="0F8328BB"/>
    <w:rsid w:val="0FE47DC0"/>
    <w:rsid w:val="0FF14F96"/>
    <w:rsid w:val="101E5995"/>
    <w:rsid w:val="1023254A"/>
    <w:rsid w:val="10E83133"/>
    <w:rsid w:val="10EB0663"/>
    <w:rsid w:val="110D0283"/>
    <w:rsid w:val="11263892"/>
    <w:rsid w:val="11591AA2"/>
    <w:rsid w:val="11725BA6"/>
    <w:rsid w:val="118B764E"/>
    <w:rsid w:val="118C7AFA"/>
    <w:rsid w:val="11A42DD2"/>
    <w:rsid w:val="11BC6E80"/>
    <w:rsid w:val="11CD15AC"/>
    <w:rsid w:val="1217153B"/>
    <w:rsid w:val="122861E9"/>
    <w:rsid w:val="129B5A1B"/>
    <w:rsid w:val="12A72F95"/>
    <w:rsid w:val="13253048"/>
    <w:rsid w:val="132E2564"/>
    <w:rsid w:val="13B333F5"/>
    <w:rsid w:val="13C33ABB"/>
    <w:rsid w:val="13E02AD9"/>
    <w:rsid w:val="14041416"/>
    <w:rsid w:val="145A73FD"/>
    <w:rsid w:val="14A05BAB"/>
    <w:rsid w:val="14CC3677"/>
    <w:rsid w:val="14E81930"/>
    <w:rsid w:val="158879DE"/>
    <w:rsid w:val="15912327"/>
    <w:rsid w:val="1592616E"/>
    <w:rsid w:val="15C93F3E"/>
    <w:rsid w:val="15D51F3D"/>
    <w:rsid w:val="16113B83"/>
    <w:rsid w:val="16425A64"/>
    <w:rsid w:val="1648334C"/>
    <w:rsid w:val="168134D7"/>
    <w:rsid w:val="17211B5A"/>
    <w:rsid w:val="173F6184"/>
    <w:rsid w:val="17572BED"/>
    <w:rsid w:val="17586894"/>
    <w:rsid w:val="178C0B4E"/>
    <w:rsid w:val="17B35102"/>
    <w:rsid w:val="17D50A04"/>
    <w:rsid w:val="17D87B5B"/>
    <w:rsid w:val="18090A0A"/>
    <w:rsid w:val="183F43F5"/>
    <w:rsid w:val="18761BB3"/>
    <w:rsid w:val="18787590"/>
    <w:rsid w:val="188237F4"/>
    <w:rsid w:val="18CB71B5"/>
    <w:rsid w:val="18D87C96"/>
    <w:rsid w:val="1901601B"/>
    <w:rsid w:val="193F0DE0"/>
    <w:rsid w:val="197D2F15"/>
    <w:rsid w:val="19B32FED"/>
    <w:rsid w:val="19CF361D"/>
    <w:rsid w:val="19D61F5A"/>
    <w:rsid w:val="1A111925"/>
    <w:rsid w:val="1A310B82"/>
    <w:rsid w:val="1A3D4941"/>
    <w:rsid w:val="1A8D3EF5"/>
    <w:rsid w:val="1AA57685"/>
    <w:rsid w:val="1AAB43CF"/>
    <w:rsid w:val="1ABD3CE9"/>
    <w:rsid w:val="1B0C74AC"/>
    <w:rsid w:val="1B4019A4"/>
    <w:rsid w:val="1BD77296"/>
    <w:rsid w:val="1BE90206"/>
    <w:rsid w:val="1BF430BD"/>
    <w:rsid w:val="1C0750E5"/>
    <w:rsid w:val="1C515326"/>
    <w:rsid w:val="1D204548"/>
    <w:rsid w:val="1D332C6F"/>
    <w:rsid w:val="1D485319"/>
    <w:rsid w:val="1D6C0F89"/>
    <w:rsid w:val="1D885EC6"/>
    <w:rsid w:val="1DC270C1"/>
    <w:rsid w:val="1DEF7AE7"/>
    <w:rsid w:val="1E2843AB"/>
    <w:rsid w:val="1E3A7070"/>
    <w:rsid w:val="1E531058"/>
    <w:rsid w:val="1E5F62D5"/>
    <w:rsid w:val="1E7325D3"/>
    <w:rsid w:val="1EBF0C41"/>
    <w:rsid w:val="1ECD49D4"/>
    <w:rsid w:val="1EFD7EBB"/>
    <w:rsid w:val="1F136036"/>
    <w:rsid w:val="1F8D652A"/>
    <w:rsid w:val="1F9C381D"/>
    <w:rsid w:val="1FA45159"/>
    <w:rsid w:val="1FA8214F"/>
    <w:rsid w:val="1FA96EE5"/>
    <w:rsid w:val="1FB21EBC"/>
    <w:rsid w:val="1FF71EBB"/>
    <w:rsid w:val="20144886"/>
    <w:rsid w:val="20176124"/>
    <w:rsid w:val="202541D0"/>
    <w:rsid w:val="20642632"/>
    <w:rsid w:val="20B636AC"/>
    <w:rsid w:val="20C67A40"/>
    <w:rsid w:val="20EB4FD8"/>
    <w:rsid w:val="20EC02D1"/>
    <w:rsid w:val="21273475"/>
    <w:rsid w:val="214E0D73"/>
    <w:rsid w:val="21B43535"/>
    <w:rsid w:val="21C76111"/>
    <w:rsid w:val="22092BB0"/>
    <w:rsid w:val="22337238"/>
    <w:rsid w:val="22C16D9F"/>
    <w:rsid w:val="22DF110F"/>
    <w:rsid w:val="22E6084E"/>
    <w:rsid w:val="235E0D06"/>
    <w:rsid w:val="237C1972"/>
    <w:rsid w:val="238A1AE3"/>
    <w:rsid w:val="23C51637"/>
    <w:rsid w:val="23D30A42"/>
    <w:rsid w:val="23ED26E3"/>
    <w:rsid w:val="23F33EEC"/>
    <w:rsid w:val="240222D8"/>
    <w:rsid w:val="241A3733"/>
    <w:rsid w:val="243D2B9D"/>
    <w:rsid w:val="246D1F8B"/>
    <w:rsid w:val="24AE75DD"/>
    <w:rsid w:val="2532573C"/>
    <w:rsid w:val="25616155"/>
    <w:rsid w:val="2570282C"/>
    <w:rsid w:val="25BA65B3"/>
    <w:rsid w:val="25D127A4"/>
    <w:rsid w:val="26770C9B"/>
    <w:rsid w:val="26BC7DA7"/>
    <w:rsid w:val="26C2774B"/>
    <w:rsid w:val="26F51886"/>
    <w:rsid w:val="275D4D64"/>
    <w:rsid w:val="27B54836"/>
    <w:rsid w:val="27B673BC"/>
    <w:rsid w:val="27C106F7"/>
    <w:rsid w:val="28174EDE"/>
    <w:rsid w:val="289A0F2C"/>
    <w:rsid w:val="28A80317"/>
    <w:rsid w:val="28C446F3"/>
    <w:rsid w:val="28DD197D"/>
    <w:rsid w:val="28EC5A7D"/>
    <w:rsid w:val="28EC75AB"/>
    <w:rsid w:val="29657F00"/>
    <w:rsid w:val="29746910"/>
    <w:rsid w:val="29B13B40"/>
    <w:rsid w:val="2A333E93"/>
    <w:rsid w:val="2A4411BD"/>
    <w:rsid w:val="2A7E4D57"/>
    <w:rsid w:val="2A9011CB"/>
    <w:rsid w:val="2B151C02"/>
    <w:rsid w:val="2B4E73E5"/>
    <w:rsid w:val="2B5C6850"/>
    <w:rsid w:val="2B814E0C"/>
    <w:rsid w:val="2B9915AF"/>
    <w:rsid w:val="2BA379DC"/>
    <w:rsid w:val="2BD55728"/>
    <w:rsid w:val="2BEB4298"/>
    <w:rsid w:val="2C12130D"/>
    <w:rsid w:val="2C9B5CDF"/>
    <w:rsid w:val="2CA4779E"/>
    <w:rsid w:val="2D190AD7"/>
    <w:rsid w:val="2D614DF3"/>
    <w:rsid w:val="2DA603E7"/>
    <w:rsid w:val="2DB64C71"/>
    <w:rsid w:val="2DDF6F83"/>
    <w:rsid w:val="2E103922"/>
    <w:rsid w:val="2E894C2E"/>
    <w:rsid w:val="2EAE7829"/>
    <w:rsid w:val="2EAF5B59"/>
    <w:rsid w:val="2EDF50AF"/>
    <w:rsid w:val="2F0D0392"/>
    <w:rsid w:val="2F1C5804"/>
    <w:rsid w:val="2F1D1439"/>
    <w:rsid w:val="2F6E755A"/>
    <w:rsid w:val="2F9E782D"/>
    <w:rsid w:val="30440CA4"/>
    <w:rsid w:val="30450194"/>
    <w:rsid w:val="308A1AF1"/>
    <w:rsid w:val="30CA59A3"/>
    <w:rsid w:val="311002A4"/>
    <w:rsid w:val="31142EA5"/>
    <w:rsid w:val="31551D5A"/>
    <w:rsid w:val="316056FD"/>
    <w:rsid w:val="316675A7"/>
    <w:rsid w:val="3179282B"/>
    <w:rsid w:val="3197352A"/>
    <w:rsid w:val="31D35CAE"/>
    <w:rsid w:val="32633367"/>
    <w:rsid w:val="32967529"/>
    <w:rsid w:val="32B73329"/>
    <w:rsid w:val="333D5895"/>
    <w:rsid w:val="33526670"/>
    <w:rsid w:val="335B7289"/>
    <w:rsid w:val="33677ACD"/>
    <w:rsid w:val="3377532E"/>
    <w:rsid w:val="33AA336D"/>
    <w:rsid w:val="33AC7938"/>
    <w:rsid w:val="33E351F8"/>
    <w:rsid w:val="34941EB8"/>
    <w:rsid w:val="349C68AA"/>
    <w:rsid w:val="34A033BB"/>
    <w:rsid w:val="34C67E40"/>
    <w:rsid w:val="34F41CC8"/>
    <w:rsid w:val="3571412B"/>
    <w:rsid w:val="358B1EA0"/>
    <w:rsid w:val="35CD6837"/>
    <w:rsid w:val="36354732"/>
    <w:rsid w:val="36533F02"/>
    <w:rsid w:val="36C04073"/>
    <w:rsid w:val="37012291"/>
    <w:rsid w:val="37C66DFF"/>
    <w:rsid w:val="37EA6E4E"/>
    <w:rsid w:val="380B0529"/>
    <w:rsid w:val="38107388"/>
    <w:rsid w:val="383A2E5A"/>
    <w:rsid w:val="387B3E84"/>
    <w:rsid w:val="389B39E5"/>
    <w:rsid w:val="38D23B45"/>
    <w:rsid w:val="393120C6"/>
    <w:rsid w:val="393D0664"/>
    <w:rsid w:val="396064F0"/>
    <w:rsid w:val="39A304C2"/>
    <w:rsid w:val="39A83687"/>
    <w:rsid w:val="3A046740"/>
    <w:rsid w:val="3A3664CE"/>
    <w:rsid w:val="3A7B4E29"/>
    <w:rsid w:val="3AF76876"/>
    <w:rsid w:val="3B0621F0"/>
    <w:rsid w:val="3B305EC1"/>
    <w:rsid w:val="3B4853AA"/>
    <w:rsid w:val="3B4C77BB"/>
    <w:rsid w:val="3B77283C"/>
    <w:rsid w:val="3B794E83"/>
    <w:rsid w:val="3B8620A3"/>
    <w:rsid w:val="3BA81F4F"/>
    <w:rsid w:val="3BDF14C6"/>
    <w:rsid w:val="3C1E7599"/>
    <w:rsid w:val="3C1F70B4"/>
    <w:rsid w:val="3C2D0739"/>
    <w:rsid w:val="3C394B7E"/>
    <w:rsid w:val="3C3B286B"/>
    <w:rsid w:val="3C6D67D2"/>
    <w:rsid w:val="3C965AC1"/>
    <w:rsid w:val="3CE11ED5"/>
    <w:rsid w:val="3D432906"/>
    <w:rsid w:val="3D731D2D"/>
    <w:rsid w:val="3D7842D6"/>
    <w:rsid w:val="3DA31F45"/>
    <w:rsid w:val="3DAC528B"/>
    <w:rsid w:val="3DD14960"/>
    <w:rsid w:val="3DF5151A"/>
    <w:rsid w:val="3DF902FD"/>
    <w:rsid w:val="3E57304B"/>
    <w:rsid w:val="3E820DB3"/>
    <w:rsid w:val="3EC20E1E"/>
    <w:rsid w:val="3EC66F8D"/>
    <w:rsid w:val="3F10489B"/>
    <w:rsid w:val="3F6F41AB"/>
    <w:rsid w:val="3F78436B"/>
    <w:rsid w:val="3F894E0F"/>
    <w:rsid w:val="3FDD1404"/>
    <w:rsid w:val="4002512F"/>
    <w:rsid w:val="40035358"/>
    <w:rsid w:val="400D3F56"/>
    <w:rsid w:val="403B7942"/>
    <w:rsid w:val="40577963"/>
    <w:rsid w:val="40785D9F"/>
    <w:rsid w:val="40901C16"/>
    <w:rsid w:val="40D17390"/>
    <w:rsid w:val="40F13B3E"/>
    <w:rsid w:val="411D3F7E"/>
    <w:rsid w:val="41652B8A"/>
    <w:rsid w:val="4283791D"/>
    <w:rsid w:val="42C44DAD"/>
    <w:rsid w:val="42C82582"/>
    <w:rsid w:val="42D368AC"/>
    <w:rsid w:val="438576C5"/>
    <w:rsid w:val="43A018D7"/>
    <w:rsid w:val="4435389B"/>
    <w:rsid w:val="44617308"/>
    <w:rsid w:val="44663F5C"/>
    <w:rsid w:val="446F6636"/>
    <w:rsid w:val="4494073D"/>
    <w:rsid w:val="44AC2A30"/>
    <w:rsid w:val="44FE2D99"/>
    <w:rsid w:val="450505C8"/>
    <w:rsid w:val="45140605"/>
    <w:rsid w:val="45326813"/>
    <w:rsid w:val="454017A3"/>
    <w:rsid w:val="45D4223E"/>
    <w:rsid w:val="45F1419A"/>
    <w:rsid w:val="462D194E"/>
    <w:rsid w:val="463F7FFF"/>
    <w:rsid w:val="465C2DA9"/>
    <w:rsid w:val="46947B27"/>
    <w:rsid w:val="46A115CF"/>
    <w:rsid w:val="46BA4FBB"/>
    <w:rsid w:val="4721407E"/>
    <w:rsid w:val="47366F47"/>
    <w:rsid w:val="476747F8"/>
    <w:rsid w:val="477332F3"/>
    <w:rsid w:val="47752A66"/>
    <w:rsid w:val="478E171E"/>
    <w:rsid w:val="47A142BD"/>
    <w:rsid w:val="47E90E89"/>
    <w:rsid w:val="47EE7F4E"/>
    <w:rsid w:val="47FB4477"/>
    <w:rsid w:val="4830615E"/>
    <w:rsid w:val="48377A03"/>
    <w:rsid w:val="48422C3B"/>
    <w:rsid w:val="48931F3C"/>
    <w:rsid w:val="48E82213"/>
    <w:rsid w:val="490D38F4"/>
    <w:rsid w:val="496059B0"/>
    <w:rsid w:val="49613CB6"/>
    <w:rsid w:val="49A9781D"/>
    <w:rsid w:val="49B06B0D"/>
    <w:rsid w:val="49BF6A8D"/>
    <w:rsid w:val="49D07E05"/>
    <w:rsid w:val="49DB52D3"/>
    <w:rsid w:val="4A407568"/>
    <w:rsid w:val="4A5E5224"/>
    <w:rsid w:val="4A7B29B7"/>
    <w:rsid w:val="4AA778D9"/>
    <w:rsid w:val="4AA87CEC"/>
    <w:rsid w:val="4ABB0A18"/>
    <w:rsid w:val="4B74498D"/>
    <w:rsid w:val="4B8A2CF4"/>
    <w:rsid w:val="4BC8121D"/>
    <w:rsid w:val="4BD062FF"/>
    <w:rsid w:val="4BF6649C"/>
    <w:rsid w:val="4C1A4D2D"/>
    <w:rsid w:val="4C1C6505"/>
    <w:rsid w:val="4C486881"/>
    <w:rsid w:val="4C854292"/>
    <w:rsid w:val="4C9123C9"/>
    <w:rsid w:val="4CC417FE"/>
    <w:rsid w:val="4D075F51"/>
    <w:rsid w:val="4D15658B"/>
    <w:rsid w:val="4D8819CC"/>
    <w:rsid w:val="4DCD4D1A"/>
    <w:rsid w:val="4DD67383"/>
    <w:rsid w:val="4E1E4F93"/>
    <w:rsid w:val="4E3268FA"/>
    <w:rsid w:val="4E4D5E4E"/>
    <w:rsid w:val="4EAC7D51"/>
    <w:rsid w:val="4EE06665"/>
    <w:rsid w:val="4F1807A1"/>
    <w:rsid w:val="4F1F1614"/>
    <w:rsid w:val="4F2301F1"/>
    <w:rsid w:val="4F7E0097"/>
    <w:rsid w:val="4FBF192E"/>
    <w:rsid w:val="4FD3464E"/>
    <w:rsid w:val="50100B0E"/>
    <w:rsid w:val="50176A05"/>
    <w:rsid w:val="50275F04"/>
    <w:rsid w:val="50583EDE"/>
    <w:rsid w:val="508F30B7"/>
    <w:rsid w:val="50BE5B0E"/>
    <w:rsid w:val="50F63067"/>
    <w:rsid w:val="510F3732"/>
    <w:rsid w:val="514131F5"/>
    <w:rsid w:val="51445317"/>
    <w:rsid w:val="5150688B"/>
    <w:rsid w:val="51516B32"/>
    <w:rsid w:val="517F123E"/>
    <w:rsid w:val="51AF592C"/>
    <w:rsid w:val="51B92597"/>
    <w:rsid w:val="51DE1040"/>
    <w:rsid w:val="51DE38B7"/>
    <w:rsid w:val="5207213A"/>
    <w:rsid w:val="520C5BE3"/>
    <w:rsid w:val="52217151"/>
    <w:rsid w:val="523E546C"/>
    <w:rsid w:val="52732585"/>
    <w:rsid w:val="52991324"/>
    <w:rsid w:val="53147DE0"/>
    <w:rsid w:val="53231843"/>
    <w:rsid w:val="534D7F40"/>
    <w:rsid w:val="535C268C"/>
    <w:rsid w:val="53656364"/>
    <w:rsid w:val="537E5500"/>
    <w:rsid w:val="537E791B"/>
    <w:rsid w:val="53930EE0"/>
    <w:rsid w:val="53B028A6"/>
    <w:rsid w:val="53B11B8C"/>
    <w:rsid w:val="53C67F1F"/>
    <w:rsid w:val="53CE21FE"/>
    <w:rsid w:val="54453763"/>
    <w:rsid w:val="54906BD0"/>
    <w:rsid w:val="54CD125A"/>
    <w:rsid w:val="54CD38E7"/>
    <w:rsid w:val="54D34BF7"/>
    <w:rsid w:val="54DC5E7A"/>
    <w:rsid w:val="550F60B4"/>
    <w:rsid w:val="55265ADC"/>
    <w:rsid w:val="553906C3"/>
    <w:rsid w:val="555146E8"/>
    <w:rsid w:val="55604B95"/>
    <w:rsid w:val="5581373A"/>
    <w:rsid w:val="5581795E"/>
    <w:rsid w:val="55B33050"/>
    <w:rsid w:val="55BB0931"/>
    <w:rsid w:val="562D0E0C"/>
    <w:rsid w:val="56B57026"/>
    <w:rsid w:val="56DE4FA1"/>
    <w:rsid w:val="56E03121"/>
    <w:rsid w:val="56E514F2"/>
    <w:rsid w:val="56E863B2"/>
    <w:rsid w:val="56F45BA0"/>
    <w:rsid w:val="571101B6"/>
    <w:rsid w:val="573F094B"/>
    <w:rsid w:val="57410C42"/>
    <w:rsid w:val="57787C06"/>
    <w:rsid w:val="57EC4EBE"/>
    <w:rsid w:val="5846381D"/>
    <w:rsid w:val="589C704F"/>
    <w:rsid w:val="589E1E62"/>
    <w:rsid w:val="58B25D2C"/>
    <w:rsid w:val="58B76C83"/>
    <w:rsid w:val="590B13E0"/>
    <w:rsid w:val="592A6E15"/>
    <w:rsid w:val="592D3304"/>
    <w:rsid w:val="59552379"/>
    <w:rsid w:val="597833BE"/>
    <w:rsid w:val="59913786"/>
    <w:rsid w:val="59A81E72"/>
    <w:rsid w:val="59D25738"/>
    <w:rsid w:val="5A1503D0"/>
    <w:rsid w:val="5AEF428F"/>
    <w:rsid w:val="5B054643"/>
    <w:rsid w:val="5B1A2042"/>
    <w:rsid w:val="5B305D11"/>
    <w:rsid w:val="5B452462"/>
    <w:rsid w:val="5B720B19"/>
    <w:rsid w:val="5B846685"/>
    <w:rsid w:val="5BA50EF2"/>
    <w:rsid w:val="5C1A2FEE"/>
    <w:rsid w:val="5C220BE7"/>
    <w:rsid w:val="5C4216F0"/>
    <w:rsid w:val="5C4B57AE"/>
    <w:rsid w:val="5C615BD5"/>
    <w:rsid w:val="5C7D5797"/>
    <w:rsid w:val="5C826B63"/>
    <w:rsid w:val="5C827831"/>
    <w:rsid w:val="5CA76F23"/>
    <w:rsid w:val="5CA90439"/>
    <w:rsid w:val="5CC67CC6"/>
    <w:rsid w:val="5CEF12B0"/>
    <w:rsid w:val="5D06091D"/>
    <w:rsid w:val="5DCF44E3"/>
    <w:rsid w:val="5DF32873"/>
    <w:rsid w:val="5E12724D"/>
    <w:rsid w:val="5E2E256E"/>
    <w:rsid w:val="5E30779A"/>
    <w:rsid w:val="5E3B0EBB"/>
    <w:rsid w:val="5E494458"/>
    <w:rsid w:val="5E680D20"/>
    <w:rsid w:val="5E88007A"/>
    <w:rsid w:val="5E987D63"/>
    <w:rsid w:val="5EE1693E"/>
    <w:rsid w:val="5F0E7B24"/>
    <w:rsid w:val="5F9F59A4"/>
    <w:rsid w:val="5FB56B01"/>
    <w:rsid w:val="5FBA204D"/>
    <w:rsid w:val="5FDB7D71"/>
    <w:rsid w:val="5FE1706B"/>
    <w:rsid w:val="607D30F9"/>
    <w:rsid w:val="608019EE"/>
    <w:rsid w:val="608509C8"/>
    <w:rsid w:val="60AA64B3"/>
    <w:rsid w:val="60C8128E"/>
    <w:rsid w:val="61280534"/>
    <w:rsid w:val="615D7F61"/>
    <w:rsid w:val="616D55C9"/>
    <w:rsid w:val="61752959"/>
    <w:rsid w:val="61812E22"/>
    <w:rsid w:val="61953C32"/>
    <w:rsid w:val="61AE58DD"/>
    <w:rsid w:val="61B732B0"/>
    <w:rsid w:val="61E20C11"/>
    <w:rsid w:val="62346DD0"/>
    <w:rsid w:val="623A4AA5"/>
    <w:rsid w:val="62491EFB"/>
    <w:rsid w:val="630272FE"/>
    <w:rsid w:val="631B5380"/>
    <w:rsid w:val="63611717"/>
    <w:rsid w:val="63A63014"/>
    <w:rsid w:val="63D33837"/>
    <w:rsid w:val="640945D1"/>
    <w:rsid w:val="642D7E3E"/>
    <w:rsid w:val="6454244E"/>
    <w:rsid w:val="64593951"/>
    <w:rsid w:val="64A70F13"/>
    <w:rsid w:val="64AC67FF"/>
    <w:rsid w:val="64DE0B89"/>
    <w:rsid w:val="65031DA0"/>
    <w:rsid w:val="65383AFA"/>
    <w:rsid w:val="654E7072"/>
    <w:rsid w:val="65742A3B"/>
    <w:rsid w:val="65A25B19"/>
    <w:rsid w:val="65A85A2E"/>
    <w:rsid w:val="65BF0EC2"/>
    <w:rsid w:val="65C40089"/>
    <w:rsid w:val="65DD74A2"/>
    <w:rsid w:val="661141ED"/>
    <w:rsid w:val="669426A8"/>
    <w:rsid w:val="66D452BA"/>
    <w:rsid w:val="66F41A9E"/>
    <w:rsid w:val="66FD467C"/>
    <w:rsid w:val="67012127"/>
    <w:rsid w:val="671C067D"/>
    <w:rsid w:val="678E08E4"/>
    <w:rsid w:val="67B34848"/>
    <w:rsid w:val="67B77E5E"/>
    <w:rsid w:val="67E52E33"/>
    <w:rsid w:val="680145A0"/>
    <w:rsid w:val="683B4E38"/>
    <w:rsid w:val="687433B6"/>
    <w:rsid w:val="6881542A"/>
    <w:rsid w:val="6898057B"/>
    <w:rsid w:val="689E419E"/>
    <w:rsid w:val="68BD7890"/>
    <w:rsid w:val="68D14323"/>
    <w:rsid w:val="68FE4DC7"/>
    <w:rsid w:val="69277FD8"/>
    <w:rsid w:val="69421050"/>
    <w:rsid w:val="6942247E"/>
    <w:rsid w:val="69F52A29"/>
    <w:rsid w:val="6A2D0C00"/>
    <w:rsid w:val="6A5135AE"/>
    <w:rsid w:val="6A7B41A3"/>
    <w:rsid w:val="6A833B6A"/>
    <w:rsid w:val="6ADF5F80"/>
    <w:rsid w:val="6AE27DD9"/>
    <w:rsid w:val="6B283136"/>
    <w:rsid w:val="6B6E3D56"/>
    <w:rsid w:val="6B7F6DEE"/>
    <w:rsid w:val="6B7F7B9B"/>
    <w:rsid w:val="6BA44FAA"/>
    <w:rsid w:val="6BC756B1"/>
    <w:rsid w:val="6BDB224B"/>
    <w:rsid w:val="6BFD7675"/>
    <w:rsid w:val="6C752D38"/>
    <w:rsid w:val="6C7A300C"/>
    <w:rsid w:val="6CAF1831"/>
    <w:rsid w:val="6D414208"/>
    <w:rsid w:val="6D4240EC"/>
    <w:rsid w:val="6D854EA6"/>
    <w:rsid w:val="6DF565A7"/>
    <w:rsid w:val="6EAF00DC"/>
    <w:rsid w:val="6ECD7D56"/>
    <w:rsid w:val="6ED15B17"/>
    <w:rsid w:val="6F30397A"/>
    <w:rsid w:val="70321697"/>
    <w:rsid w:val="70394267"/>
    <w:rsid w:val="7043639A"/>
    <w:rsid w:val="705002F3"/>
    <w:rsid w:val="70A21C2E"/>
    <w:rsid w:val="70E42F09"/>
    <w:rsid w:val="70E77545"/>
    <w:rsid w:val="71001B63"/>
    <w:rsid w:val="710638E1"/>
    <w:rsid w:val="712D6B22"/>
    <w:rsid w:val="71825BF4"/>
    <w:rsid w:val="719650AE"/>
    <w:rsid w:val="71C559C9"/>
    <w:rsid w:val="71EC6609"/>
    <w:rsid w:val="71FD2464"/>
    <w:rsid w:val="720C6F4D"/>
    <w:rsid w:val="72432D23"/>
    <w:rsid w:val="72842DA5"/>
    <w:rsid w:val="72B64E4C"/>
    <w:rsid w:val="73256EBA"/>
    <w:rsid w:val="733C2B9A"/>
    <w:rsid w:val="736B3C89"/>
    <w:rsid w:val="73826973"/>
    <w:rsid w:val="73A6724C"/>
    <w:rsid w:val="73D7269B"/>
    <w:rsid w:val="74017DF2"/>
    <w:rsid w:val="74565F2B"/>
    <w:rsid w:val="748F1023"/>
    <w:rsid w:val="74FB1E29"/>
    <w:rsid w:val="75176920"/>
    <w:rsid w:val="75B564D1"/>
    <w:rsid w:val="75B96EF0"/>
    <w:rsid w:val="75F4396C"/>
    <w:rsid w:val="762D091D"/>
    <w:rsid w:val="76314B94"/>
    <w:rsid w:val="767C39FB"/>
    <w:rsid w:val="76CE2C3E"/>
    <w:rsid w:val="76D700A6"/>
    <w:rsid w:val="76E217B7"/>
    <w:rsid w:val="76F94C40"/>
    <w:rsid w:val="76FC41D2"/>
    <w:rsid w:val="7714644F"/>
    <w:rsid w:val="775E69E7"/>
    <w:rsid w:val="77903967"/>
    <w:rsid w:val="77FE59C2"/>
    <w:rsid w:val="78021E65"/>
    <w:rsid w:val="788D5DCC"/>
    <w:rsid w:val="789A0183"/>
    <w:rsid w:val="78DF6F7E"/>
    <w:rsid w:val="795D3451"/>
    <w:rsid w:val="797C2826"/>
    <w:rsid w:val="799405AF"/>
    <w:rsid w:val="799F0F7B"/>
    <w:rsid w:val="79E21DAE"/>
    <w:rsid w:val="79EB4E78"/>
    <w:rsid w:val="7A0A78F5"/>
    <w:rsid w:val="7A605ACF"/>
    <w:rsid w:val="7ACB7091"/>
    <w:rsid w:val="7AD33EA8"/>
    <w:rsid w:val="7B1C775B"/>
    <w:rsid w:val="7B5920C7"/>
    <w:rsid w:val="7B6E27B8"/>
    <w:rsid w:val="7B6E2B9B"/>
    <w:rsid w:val="7BAC361D"/>
    <w:rsid w:val="7C0C2346"/>
    <w:rsid w:val="7C340A7B"/>
    <w:rsid w:val="7C706C0F"/>
    <w:rsid w:val="7CB2717F"/>
    <w:rsid w:val="7CB82072"/>
    <w:rsid w:val="7CDF3512"/>
    <w:rsid w:val="7CE7324E"/>
    <w:rsid w:val="7CEA3206"/>
    <w:rsid w:val="7D3A0AC7"/>
    <w:rsid w:val="7DA26743"/>
    <w:rsid w:val="7DD90D1D"/>
    <w:rsid w:val="7E0F7C9C"/>
    <w:rsid w:val="7E5B0346"/>
    <w:rsid w:val="7E5E29AE"/>
    <w:rsid w:val="7E6841B2"/>
    <w:rsid w:val="7EE2045D"/>
    <w:rsid w:val="7EF35AD3"/>
    <w:rsid w:val="7F6442BC"/>
    <w:rsid w:val="7F8D69DE"/>
    <w:rsid w:val="7FAF14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宋体" w:hAnsi="宋体" w:eastAsia="宋体" w:cs="宋体"/>
      <w:kern w:val="2"/>
      <w:sz w:val="28"/>
      <w:szCs w:val="28"/>
      <w:lang w:val="en-US" w:eastAsia="zh-CN" w:bidi="ar-SA"/>
    </w:rPr>
  </w:style>
  <w:style w:type="paragraph" w:styleId="2">
    <w:name w:val="heading 1"/>
    <w:basedOn w:val="1"/>
    <w:next w:val="1"/>
    <w:link w:val="82"/>
    <w:qFormat/>
    <w:uiPriority w:val="0"/>
    <w:pPr>
      <w:keepNext/>
      <w:keepLines/>
      <w:spacing w:before="340" w:after="330"/>
      <w:jc w:val="center"/>
      <w:outlineLvl w:val="0"/>
    </w:pPr>
    <w:rPr>
      <w:rFonts w:eastAsia="宋体"/>
      <w:b/>
      <w:bCs/>
      <w:kern w:val="44"/>
      <w:sz w:val="28"/>
      <w:szCs w:val="44"/>
    </w:rPr>
  </w:style>
  <w:style w:type="paragraph" w:styleId="3">
    <w:name w:val="heading 2"/>
    <w:basedOn w:val="1"/>
    <w:next w:val="1"/>
    <w:link w:val="81"/>
    <w:qFormat/>
    <w:uiPriority w:val="0"/>
    <w:pPr>
      <w:keepNext/>
      <w:keepLines/>
      <w:spacing w:before="260" w:after="260" w:line="360" w:lineRule="auto"/>
      <w:outlineLvl w:val="1"/>
    </w:pPr>
    <w:rPr>
      <w:rFonts w:ascii="Arial" w:hAnsi="Arial" w:eastAsia="宋体"/>
      <w:b/>
      <w:bCs/>
      <w:sz w:val="28"/>
      <w:szCs w:val="32"/>
    </w:rPr>
  </w:style>
  <w:style w:type="paragraph" w:styleId="4">
    <w:name w:val="heading 3"/>
    <w:basedOn w:val="1"/>
    <w:next w:val="1"/>
    <w:link w:val="83"/>
    <w:qFormat/>
    <w:uiPriority w:val="0"/>
    <w:pPr>
      <w:keepNext/>
      <w:keepLines/>
      <w:spacing w:before="260" w:after="260" w:line="416" w:lineRule="auto"/>
      <w:outlineLvl w:val="2"/>
    </w:pPr>
    <w:rPr>
      <w:b/>
      <w:bCs/>
      <w:sz w:val="28"/>
      <w:szCs w:val="32"/>
    </w:rPr>
  </w:style>
  <w:style w:type="paragraph" w:styleId="5">
    <w:name w:val="heading 4"/>
    <w:basedOn w:val="1"/>
    <w:next w:val="1"/>
    <w:link w:val="84"/>
    <w:autoRedefine/>
    <w:qFormat/>
    <w:uiPriority w:val="0"/>
    <w:pPr>
      <w:keepNext/>
      <w:outlineLvl w:val="3"/>
    </w:pPr>
    <w:rPr>
      <w:sz w:val="32"/>
      <w:szCs w:val="20"/>
    </w:rPr>
  </w:style>
  <w:style w:type="paragraph" w:styleId="6">
    <w:name w:val="heading 5"/>
    <w:basedOn w:val="1"/>
    <w:next w:val="1"/>
    <w:link w:val="85"/>
    <w:autoRedefine/>
    <w:qFormat/>
    <w:uiPriority w:val="0"/>
    <w:pPr>
      <w:spacing w:before="120" w:line="60" w:lineRule="atLeast"/>
      <w:outlineLvl w:val="4"/>
    </w:pPr>
    <w:rPr>
      <w:rFonts w:ascii="Arial" w:hAnsi="Arial"/>
      <w:b/>
      <w:sz w:val="28"/>
      <w:szCs w:val="20"/>
    </w:rPr>
  </w:style>
  <w:style w:type="paragraph" w:styleId="7">
    <w:name w:val="heading 6"/>
    <w:basedOn w:val="1"/>
    <w:next w:val="1"/>
    <w:link w:val="86"/>
    <w:autoRedefine/>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87"/>
    <w:autoRedefine/>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88"/>
    <w:autoRedefine/>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89"/>
    <w:autoRedefine/>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4">
    <w:name w:val="Default Paragraph Font"/>
    <w:autoRedefine/>
    <w:unhideWhenUsed/>
    <w:qFormat/>
    <w:uiPriority w:val="1"/>
  </w:style>
  <w:style w:type="table" w:default="1" w:styleId="62">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jc w:val="left"/>
    </w:pPr>
    <w:rPr>
      <w:sz w:val="24"/>
    </w:rPr>
  </w:style>
  <w:style w:type="paragraph" w:styleId="12">
    <w:name w:val="toc 7"/>
    <w:basedOn w:val="1"/>
    <w:next w:val="1"/>
    <w:autoRedefine/>
    <w:qFormat/>
    <w:uiPriority w:val="0"/>
    <w:pPr>
      <w:ind w:left="1260"/>
      <w:jc w:val="left"/>
    </w:pPr>
    <w:rPr>
      <w:sz w:val="18"/>
      <w:szCs w:val="20"/>
    </w:rPr>
  </w:style>
  <w:style w:type="paragraph" w:styleId="13">
    <w:name w:val="Note Heading"/>
    <w:basedOn w:val="1"/>
    <w:next w:val="1"/>
    <w:link w:val="90"/>
    <w:autoRedefine/>
    <w:qFormat/>
    <w:uiPriority w:val="0"/>
    <w:pPr>
      <w:widowControl/>
      <w:spacing w:before="100" w:beforeAutospacing="1" w:after="100" w:afterAutospacing="1"/>
      <w:jc w:val="left"/>
    </w:pPr>
    <w:rPr>
      <w:rFonts w:ascii="宋体" w:hAnsi="宋体"/>
      <w:kern w:val="0"/>
      <w:sz w:val="24"/>
    </w:rPr>
  </w:style>
  <w:style w:type="paragraph" w:styleId="14">
    <w:name w:val="List Bullet 4"/>
    <w:basedOn w:val="1"/>
    <w:autoRedefine/>
    <w:qFormat/>
    <w:uiPriority w:val="0"/>
    <w:pPr>
      <w:tabs>
        <w:tab w:val="left" w:pos="435"/>
        <w:tab w:val="left" w:pos="1620"/>
      </w:tabs>
      <w:ind w:left="600" w:leftChars="600" w:hanging="200" w:hangingChars="200"/>
      <w:jc w:val="left"/>
    </w:pPr>
    <w:rPr>
      <w:sz w:val="24"/>
    </w:rPr>
  </w:style>
  <w:style w:type="paragraph" w:styleId="15">
    <w:name w:val="List Number"/>
    <w:basedOn w:val="1"/>
    <w:autoRedefine/>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91"/>
    <w:autoRedefine/>
    <w:qFormat/>
    <w:uiPriority w:val="0"/>
    <w:pPr>
      <w:ind w:firstLine="420" w:firstLineChars="200"/>
    </w:pPr>
    <w:rPr>
      <w:szCs w:val="20"/>
    </w:rPr>
  </w:style>
  <w:style w:type="paragraph" w:styleId="17">
    <w:name w:val="caption"/>
    <w:basedOn w:val="1"/>
    <w:next w:val="1"/>
    <w:autoRedefine/>
    <w:qFormat/>
    <w:uiPriority w:val="0"/>
    <w:pPr>
      <w:jc w:val="left"/>
    </w:pPr>
    <w:rPr>
      <w:rFonts w:ascii="Arial" w:hAnsi="Arial" w:eastAsia="黑体" w:cs="Arial"/>
      <w:sz w:val="20"/>
      <w:szCs w:val="20"/>
    </w:rPr>
  </w:style>
  <w:style w:type="paragraph" w:styleId="18">
    <w:name w:val="Document Map"/>
    <w:basedOn w:val="1"/>
    <w:link w:val="92"/>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szCs w:val="20"/>
    </w:rPr>
  </w:style>
  <w:style w:type="paragraph" w:styleId="20">
    <w:name w:val="annotation text"/>
    <w:basedOn w:val="1"/>
    <w:link w:val="93"/>
    <w:autoRedefine/>
    <w:qFormat/>
    <w:uiPriority w:val="0"/>
    <w:pPr>
      <w:jc w:val="left"/>
    </w:pPr>
  </w:style>
  <w:style w:type="paragraph" w:styleId="21">
    <w:name w:val="Salutation"/>
    <w:basedOn w:val="1"/>
    <w:next w:val="1"/>
    <w:link w:val="94"/>
    <w:autoRedefine/>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95"/>
    <w:autoRedefine/>
    <w:qFormat/>
    <w:uiPriority w:val="0"/>
    <w:rPr>
      <w:b/>
      <w:bCs/>
      <w:sz w:val="24"/>
    </w:rPr>
  </w:style>
  <w:style w:type="paragraph" w:styleId="23">
    <w:name w:val="List Bullet 3"/>
    <w:basedOn w:val="1"/>
    <w:autoRedefine/>
    <w:qFormat/>
    <w:uiPriority w:val="0"/>
    <w:pPr>
      <w:tabs>
        <w:tab w:val="left" w:pos="360"/>
        <w:tab w:val="left" w:pos="1200"/>
      </w:tabs>
      <w:ind w:left="400" w:leftChars="400" w:hanging="200" w:hangingChars="200"/>
      <w:jc w:val="left"/>
    </w:pPr>
    <w:rPr>
      <w:sz w:val="24"/>
    </w:rPr>
  </w:style>
  <w:style w:type="paragraph" w:styleId="24">
    <w:name w:val="Body Text"/>
    <w:basedOn w:val="1"/>
    <w:link w:val="96"/>
    <w:autoRedefine/>
    <w:qFormat/>
    <w:uiPriority w:val="0"/>
    <w:pPr>
      <w:spacing w:after="120"/>
    </w:pPr>
  </w:style>
  <w:style w:type="paragraph" w:styleId="25">
    <w:name w:val="Body Text Indent"/>
    <w:basedOn w:val="1"/>
    <w:link w:val="97"/>
    <w:autoRedefine/>
    <w:qFormat/>
    <w:uiPriority w:val="0"/>
    <w:pPr>
      <w:spacing w:after="120"/>
      <w:ind w:left="420" w:leftChars="200"/>
    </w:pPr>
  </w:style>
  <w:style w:type="paragraph" w:styleId="26">
    <w:name w:val="List 2"/>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7">
    <w:name w:val="List Continue"/>
    <w:basedOn w:val="1"/>
    <w:autoRedefine/>
    <w:qFormat/>
    <w:uiPriority w:val="0"/>
    <w:pPr>
      <w:spacing w:after="120"/>
      <w:ind w:left="420"/>
    </w:pPr>
    <w:rPr>
      <w:rFonts w:eastAsia="楷体_GB2312"/>
      <w:sz w:val="32"/>
      <w:szCs w:val="20"/>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widowControl/>
      <w:spacing w:line="0" w:lineRule="atLeast"/>
    </w:pPr>
    <w:rPr>
      <w:rFonts w:ascii="宋体" w:hAnsi="宋体"/>
      <w:kern w:val="0"/>
      <w:sz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0"/>
    <w:pPr>
      <w:ind w:left="840"/>
      <w:jc w:val="left"/>
    </w:pPr>
    <w:rPr>
      <w:sz w:val="18"/>
      <w:szCs w:val="20"/>
    </w:rPr>
  </w:style>
  <w:style w:type="paragraph" w:styleId="32">
    <w:name w:val="toc 3"/>
    <w:basedOn w:val="1"/>
    <w:next w:val="1"/>
    <w:qFormat/>
    <w:uiPriority w:val="39"/>
    <w:pPr>
      <w:ind w:left="840" w:leftChars="400"/>
    </w:pPr>
  </w:style>
  <w:style w:type="paragraph" w:styleId="33">
    <w:name w:val="Plain Text"/>
    <w:basedOn w:val="1"/>
    <w:link w:val="98"/>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4">
    <w:name w:val="toc 8"/>
    <w:basedOn w:val="1"/>
    <w:next w:val="1"/>
    <w:autoRedefine/>
    <w:qFormat/>
    <w:uiPriority w:val="0"/>
    <w:pPr>
      <w:ind w:left="1470"/>
      <w:jc w:val="left"/>
    </w:pPr>
    <w:rPr>
      <w:sz w:val="18"/>
      <w:szCs w:val="20"/>
    </w:rPr>
  </w:style>
  <w:style w:type="paragraph" w:styleId="35">
    <w:name w:val="Date"/>
    <w:basedOn w:val="1"/>
    <w:next w:val="1"/>
    <w:link w:val="99"/>
    <w:autoRedefine/>
    <w:qFormat/>
    <w:uiPriority w:val="0"/>
    <w:rPr>
      <w:sz w:val="24"/>
      <w:szCs w:val="20"/>
    </w:rPr>
  </w:style>
  <w:style w:type="paragraph" w:styleId="36">
    <w:name w:val="Body Text Indent 2"/>
    <w:basedOn w:val="1"/>
    <w:link w:val="100"/>
    <w:qFormat/>
    <w:uiPriority w:val="0"/>
    <w:pPr>
      <w:ind w:left="424" w:leftChars="202"/>
    </w:pPr>
    <w:rPr>
      <w:rFonts w:eastAsia="楷体_GB2312"/>
      <w:sz w:val="28"/>
    </w:rPr>
  </w:style>
  <w:style w:type="paragraph" w:styleId="37">
    <w:name w:val="endnote text"/>
    <w:basedOn w:val="1"/>
    <w:link w:val="101"/>
    <w:qFormat/>
    <w:uiPriority w:val="0"/>
    <w:pPr>
      <w:widowControl/>
      <w:snapToGrid w:val="0"/>
      <w:jc w:val="left"/>
    </w:pPr>
    <w:rPr>
      <w:kern w:val="0"/>
      <w:sz w:val="20"/>
      <w:szCs w:val="20"/>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widowControl/>
      <w:ind w:left="100" w:leftChars="2100"/>
      <w:jc w:val="left"/>
    </w:pPr>
    <w:rPr>
      <w:kern w:val="0"/>
      <w:sz w:val="20"/>
      <w:szCs w:val="20"/>
    </w:rPr>
  </w:style>
  <w:style w:type="paragraph" w:styleId="42">
    <w:name w:val="toc 1"/>
    <w:basedOn w:val="1"/>
    <w:next w:val="1"/>
    <w:qFormat/>
    <w:uiPriority w:val="39"/>
    <w:pPr>
      <w:tabs>
        <w:tab w:val="right" w:leader="dot" w:pos="9060"/>
      </w:tabs>
      <w:spacing w:line="480" w:lineRule="auto"/>
    </w:pPr>
    <w:rPr>
      <w:rFonts w:ascii="宋体" w:hAnsi="宋体" w:eastAsia="宋体"/>
      <w:b/>
      <w:caps/>
      <w:sz w:val="24"/>
    </w:rPr>
  </w:style>
  <w:style w:type="paragraph" w:styleId="43">
    <w:name w:val="toc 4"/>
    <w:basedOn w:val="1"/>
    <w:next w:val="1"/>
    <w:qFormat/>
    <w:uiPriority w:val="0"/>
    <w:pPr>
      <w:ind w:left="630"/>
      <w:jc w:val="left"/>
    </w:pPr>
    <w:rPr>
      <w:sz w:val="18"/>
      <w:szCs w:val="20"/>
    </w:rPr>
  </w:style>
  <w:style w:type="paragraph" w:styleId="44">
    <w:name w:val="index heading"/>
    <w:basedOn w:val="1"/>
    <w:next w:val="45"/>
    <w:qFormat/>
    <w:uiPriority w:val="0"/>
    <w:rPr>
      <w:szCs w:val="20"/>
    </w:rPr>
  </w:style>
  <w:style w:type="paragraph" w:styleId="45">
    <w:name w:val="index 1"/>
    <w:basedOn w:val="1"/>
    <w:next w:val="1"/>
    <w:qFormat/>
    <w:uiPriority w:val="0"/>
    <w:rPr>
      <w:szCs w:val="20"/>
    </w:rPr>
  </w:style>
  <w:style w:type="paragraph" w:styleId="46">
    <w:name w:val="List"/>
    <w:basedOn w:val="1"/>
    <w:qFormat/>
    <w:uiPriority w:val="0"/>
    <w:pPr>
      <w:ind w:left="420" w:hanging="420"/>
    </w:pPr>
    <w:rPr>
      <w:rFonts w:eastAsia="楷体_GB2312"/>
      <w:sz w:val="32"/>
      <w:szCs w:val="20"/>
    </w:rPr>
  </w:style>
  <w:style w:type="paragraph" w:styleId="47">
    <w:name w:val="footnote text"/>
    <w:basedOn w:val="1"/>
    <w:link w:val="106"/>
    <w:qFormat/>
    <w:uiPriority w:val="0"/>
    <w:pPr>
      <w:widowControl/>
      <w:jc w:val="left"/>
    </w:pPr>
    <w:rPr>
      <w:kern w:val="0"/>
      <w:sz w:val="20"/>
      <w:szCs w:val="20"/>
      <w:lang w:eastAsia="en-US"/>
    </w:rPr>
  </w:style>
  <w:style w:type="paragraph" w:styleId="48">
    <w:name w:val="toc 6"/>
    <w:basedOn w:val="1"/>
    <w:next w:val="1"/>
    <w:qFormat/>
    <w:uiPriority w:val="0"/>
    <w:pPr>
      <w:ind w:left="1050"/>
      <w:jc w:val="left"/>
    </w:pPr>
    <w:rPr>
      <w:sz w:val="18"/>
      <w:szCs w:val="20"/>
    </w:rPr>
  </w:style>
  <w:style w:type="paragraph" w:styleId="49">
    <w:name w:val="List 5"/>
    <w:basedOn w:val="1"/>
    <w:qFormat/>
    <w:uiPriority w:val="0"/>
    <w:pPr>
      <w:ind w:left="2100" w:hanging="420"/>
    </w:pPr>
    <w:rPr>
      <w:rFonts w:eastAsia="楷体_GB2312"/>
      <w:sz w:val="32"/>
      <w:szCs w:val="20"/>
    </w:rPr>
  </w:style>
  <w:style w:type="paragraph" w:styleId="50">
    <w:name w:val="Body Text Indent 3"/>
    <w:basedOn w:val="1"/>
    <w:link w:val="107"/>
    <w:qFormat/>
    <w:uiPriority w:val="0"/>
    <w:pPr>
      <w:ind w:left="425"/>
    </w:pPr>
    <w:rPr>
      <w:rFonts w:eastAsia="楷体_GB2312"/>
      <w:sz w:val="28"/>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1680"/>
      <w:jc w:val="left"/>
    </w:pPr>
    <w:rPr>
      <w:sz w:val="18"/>
      <w:szCs w:val="20"/>
    </w:rPr>
  </w:style>
  <w:style w:type="paragraph" w:styleId="53">
    <w:name w:val="Body Text 2"/>
    <w:basedOn w:val="1"/>
    <w:next w:val="24"/>
    <w:link w:val="108"/>
    <w:qFormat/>
    <w:uiPriority w:val="0"/>
    <w:pPr>
      <w:jc w:val="center"/>
    </w:pPr>
    <w:rPr>
      <w:rFonts w:ascii="楷体_GB2312" w:eastAsia="楷体_GB2312"/>
      <w:b/>
      <w:sz w:val="36"/>
      <w:szCs w:val="48"/>
    </w:rPr>
  </w:style>
  <w:style w:type="paragraph" w:styleId="54">
    <w:name w:val="List 4"/>
    <w:basedOn w:val="1"/>
    <w:qFormat/>
    <w:uiPriority w:val="0"/>
    <w:pPr>
      <w:ind w:left="1680" w:hanging="420"/>
    </w:pPr>
    <w:rPr>
      <w:rFonts w:eastAsia="楷体_GB2312"/>
      <w:sz w:val="32"/>
      <w:szCs w:val="20"/>
    </w:rPr>
  </w:style>
  <w:style w:type="paragraph" w:styleId="55">
    <w:name w:val="List Continue 2"/>
    <w:basedOn w:val="1"/>
    <w:qFormat/>
    <w:uiPriority w:val="0"/>
    <w:pPr>
      <w:spacing w:after="120"/>
      <w:ind w:left="840" w:leftChars="400"/>
      <w:jc w:val="left"/>
    </w:pPr>
    <w:rPr>
      <w:sz w:val="24"/>
    </w:rPr>
  </w:style>
  <w:style w:type="paragraph" w:styleId="56">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styleId="57">
    <w:name w:val="Normal (Web)"/>
    <w:basedOn w:val="1"/>
    <w:qFormat/>
    <w:uiPriority w:val="99"/>
    <w:rPr>
      <w:rFonts w:eastAsia="仿宋_GB2312"/>
      <w:sz w:val="24"/>
    </w:rPr>
  </w:style>
  <w:style w:type="paragraph" w:styleId="58">
    <w:name w:val="Title"/>
    <w:basedOn w:val="1"/>
    <w:link w:val="110"/>
    <w:qFormat/>
    <w:uiPriority w:val="0"/>
    <w:pPr>
      <w:spacing w:before="240" w:after="60"/>
      <w:jc w:val="center"/>
      <w:outlineLvl w:val="0"/>
    </w:pPr>
    <w:rPr>
      <w:rFonts w:ascii="Arial" w:hAnsi="Arial" w:eastAsia="隶书"/>
      <w:b/>
      <w:sz w:val="32"/>
      <w:szCs w:val="20"/>
    </w:rPr>
  </w:style>
  <w:style w:type="paragraph" w:styleId="59">
    <w:name w:val="annotation subject"/>
    <w:basedOn w:val="20"/>
    <w:next w:val="20"/>
    <w:link w:val="111"/>
    <w:qFormat/>
    <w:uiPriority w:val="0"/>
    <w:rPr>
      <w:b/>
      <w:bCs/>
    </w:rPr>
  </w:style>
  <w:style w:type="paragraph" w:styleId="60">
    <w:name w:val="Body Text First Indent"/>
    <w:basedOn w:val="24"/>
    <w:next w:val="1"/>
    <w:link w:val="112"/>
    <w:autoRedefine/>
    <w:qFormat/>
    <w:uiPriority w:val="0"/>
    <w:pPr>
      <w:ind w:firstLine="420"/>
    </w:pPr>
    <w:rPr>
      <w:rFonts w:eastAsia="楷体_GB2312"/>
      <w:sz w:val="32"/>
      <w:szCs w:val="20"/>
    </w:rPr>
  </w:style>
  <w:style w:type="paragraph" w:styleId="61">
    <w:name w:val="Body Text First Indent 2"/>
    <w:basedOn w:val="25"/>
    <w:link w:val="113"/>
    <w:autoRedefine/>
    <w:qFormat/>
    <w:uiPriority w:val="0"/>
    <w:pPr>
      <w:ind w:firstLine="420"/>
      <w:jc w:val="left"/>
    </w:pPr>
    <w:rPr>
      <w:szCs w:val="20"/>
    </w:rPr>
  </w:style>
  <w:style w:type="table" w:styleId="63">
    <w:name w:val="Table Grid"/>
    <w:basedOn w:val="6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bCs/>
    </w:rPr>
  </w:style>
  <w:style w:type="character" w:styleId="66">
    <w:name w:val="endnote reference"/>
    <w:autoRedefine/>
    <w:qFormat/>
    <w:uiPriority w:val="0"/>
    <w:rPr>
      <w:rFonts w:cs="Times New Roman"/>
      <w:vertAlign w:val="superscript"/>
    </w:rPr>
  </w:style>
  <w:style w:type="character" w:styleId="67">
    <w:name w:val="page number"/>
    <w:autoRedefine/>
    <w:qFormat/>
    <w:uiPriority w:val="0"/>
  </w:style>
  <w:style w:type="character" w:styleId="68">
    <w:name w:val="FollowedHyperlink"/>
    <w:autoRedefine/>
    <w:qFormat/>
    <w:uiPriority w:val="0"/>
    <w:rPr>
      <w:color w:val="333333"/>
      <w:u w:val="none"/>
    </w:rPr>
  </w:style>
  <w:style w:type="character" w:styleId="69">
    <w:name w:val="Emphasis"/>
    <w:basedOn w:val="64"/>
    <w:autoRedefine/>
    <w:qFormat/>
    <w:uiPriority w:val="0"/>
  </w:style>
  <w:style w:type="character" w:styleId="70">
    <w:name w:val="HTML Definition"/>
    <w:autoRedefine/>
    <w:qFormat/>
    <w:uiPriority w:val="0"/>
  </w:style>
  <w:style w:type="character" w:styleId="71">
    <w:name w:val="HTML Typewriter"/>
    <w:autoRedefine/>
    <w:qFormat/>
    <w:uiPriority w:val="0"/>
    <w:rPr>
      <w:rFonts w:hint="eastAsia" w:ascii="宋体" w:hAnsi="宋体" w:eastAsia="宋体" w:cs="宋体"/>
      <w:sz w:val="18"/>
      <w:szCs w:val="18"/>
    </w:rPr>
  </w:style>
  <w:style w:type="character" w:styleId="72">
    <w:name w:val="HTML Acronym"/>
    <w:basedOn w:val="64"/>
    <w:autoRedefine/>
    <w:qFormat/>
    <w:uiPriority w:val="0"/>
  </w:style>
  <w:style w:type="character" w:styleId="73">
    <w:name w:val="HTML Variable"/>
    <w:autoRedefine/>
    <w:qFormat/>
    <w:uiPriority w:val="0"/>
  </w:style>
  <w:style w:type="character" w:styleId="74">
    <w:name w:val="Hyperlink"/>
    <w:autoRedefine/>
    <w:qFormat/>
    <w:uiPriority w:val="99"/>
    <w:rPr>
      <w:color w:val="333333"/>
      <w:u w:val="none"/>
    </w:rPr>
  </w:style>
  <w:style w:type="character" w:styleId="75">
    <w:name w:val="HTML Code"/>
    <w:autoRedefine/>
    <w:qFormat/>
    <w:uiPriority w:val="0"/>
    <w:rPr>
      <w:rFonts w:ascii="monospace" w:hAnsi="monospace" w:eastAsia="monospace" w:cs="monospace"/>
      <w:sz w:val="24"/>
      <w:szCs w:val="24"/>
    </w:rPr>
  </w:style>
  <w:style w:type="character" w:styleId="76">
    <w:name w:val="annotation reference"/>
    <w:autoRedefine/>
    <w:qFormat/>
    <w:uiPriority w:val="0"/>
    <w:rPr>
      <w:sz w:val="21"/>
      <w:szCs w:val="21"/>
    </w:rPr>
  </w:style>
  <w:style w:type="character" w:styleId="77">
    <w:name w:val="HTML Cite"/>
    <w:autoRedefine/>
    <w:qFormat/>
    <w:uiPriority w:val="0"/>
  </w:style>
  <w:style w:type="character" w:styleId="78">
    <w:name w:val="footnote reference"/>
    <w:autoRedefine/>
    <w:qFormat/>
    <w:uiPriority w:val="0"/>
    <w:rPr>
      <w:rFonts w:cs="Times New Roman"/>
      <w:vertAlign w:val="superscript"/>
    </w:rPr>
  </w:style>
  <w:style w:type="character" w:styleId="79">
    <w:name w:val="HTML Keyboard"/>
    <w:autoRedefine/>
    <w:qFormat/>
    <w:uiPriority w:val="0"/>
    <w:rPr>
      <w:rFonts w:hint="default" w:ascii="monospace" w:hAnsi="monospace" w:eastAsia="monospace" w:cs="monospace"/>
      <w:sz w:val="24"/>
      <w:szCs w:val="24"/>
    </w:rPr>
  </w:style>
  <w:style w:type="character" w:styleId="80">
    <w:name w:val="HTML Sample"/>
    <w:autoRedefine/>
    <w:qFormat/>
    <w:uiPriority w:val="0"/>
    <w:rPr>
      <w:rFonts w:ascii="Courier New" w:hAnsi="Courier New" w:cs="Times New Roman"/>
    </w:rPr>
  </w:style>
  <w:style w:type="character" w:customStyle="1" w:styleId="81">
    <w:name w:val="标题 2 Char"/>
    <w:link w:val="3"/>
    <w:autoRedefine/>
    <w:qFormat/>
    <w:uiPriority w:val="0"/>
    <w:rPr>
      <w:rFonts w:ascii="Arial" w:hAnsi="Arial" w:eastAsia="宋体"/>
      <w:b/>
      <w:bCs/>
      <w:kern w:val="2"/>
      <w:sz w:val="28"/>
      <w:szCs w:val="32"/>
    </w:rPr>
  </w:style>
  <w:style w:type="character" w:customStyle="1" w:styleId="82">
    <w:name w:val="标题 1 Char"/>
    <w:link w:val="2"/>
    <w:autoRedefine/>
    <w:qFormat/>
    <w:uiPriority w:val="0"/>
    <w:rPr>
      <w:rFonts w:eastAsia="宋体"/>
      <w:b/>
      <w:bCs/>
      <w:kern w:val="44"/>
      <w:sz w:val="28"/>
      <w:szCs w:val="44"/>
    </w:rPr>
  </w:style>
  <w:style w:type="character" w:customStyle="1" w:styleId="83">
    <w:name w:val="标题 3 Char"/>
    <w:link w:val="4"/>
    <w:autoRedefine/>
    <w:qFormat/>
    <w:uiPriority w:val="0"/>
    <w:rPr>
      <w:rFonts w:eastAsia="宋体"/>
      <w:b/>
      <w:bCs/>
      <w:kern w:val="2"/>
      <w:sz w:val="28"/>
      <w:szCs w:val="32"/>
      <w:lang w:val="en-US" w:eastAsia="zh-CN" w:bidi="ar-SA"/>
    </w:rPr>
  </w:style>
  <w:style w:type="character" w:customStyle="1" w:styleId="84">
    <w:name w:val="标题 4 Char"/>
    <w:link w:val="5"/>
    <w:autoRedefine/>
    <w:qFormat/>
    <w:uiPriority w:val="0"/>
    <w:rPr>
      <w:kern w:val="2"/>
      <w:sz w:val="32"/>
    </w:rPr>
  </w:style>
  <w:style w:type="character" w:customStyle="1" w:styleId="85">
    <w:name w:val="标题 5 Char"/>
    <w:link w:val="6"/>
    <w:autoRedefine/>
    <w:qFormat/>
    <w:uiPriority w:val="0"/>
    <w:rPr>
      <w:rFonts w:ascii="Arial" w:hAnsi="Arial"/>
      <w:b/>
      <w:kern w:val="2"/>
      <w:sz w:val="28"/>
    </w:rPr>
  </w:style>
  <w:style w:type="character" w:customStyle="1" w:styleId="86">
    <w:name w:val="标题 6 Char"/>
    <w:link w:val="7"/>
    <w:autoRedefine/>
    <w:qFormat/>
    <w:uiPriority w:val="0"/>
    <w:rPr>
      <w:rFonts w:ascii="宋体" w:hAnsi="宋体"/>
      <w:b/>
      <w:kern w:val="2"/>
      <w:sz w:val="24"/>
    </w:rPr>
  </w:style>
  <w:style w:type="character" w:customStyle="1" w:styleId="87">
    <w:name w:val="标题 7 Char"/>
    <w:link w:val="8"/>
    <w:autoRedefine/>
    <w:qFormat/>
    <w:uiPriority w:val="0"/>
    <w:rPr>
      <w:rFonts w:ascii="宋体" w:eastAsia="仿宋_GB2312"/>
      <w:b/>
      <w:sz w:val="24"/>
    </w:rPr>
  </w:style>
  <w:style w:type="character" w:customStyle="1" w:styleId="88">
    <w:name w:val="标题 8 Char"/>
    <w:link w:val="9"/>
    <w:autoRedefine/>
    <w:qFormat/>
    <w:uiPriority w:val="0"/>
    <w:rPr>
      <w:rFonts w:ascii="Arial" w:hAnsi="Arial" w:eastAsia="黑体"/>
      <w:sz w:val="24"/>
    </w:rPr>
  </w:style>
  <w:style w:type="character" w:customStyle="1" w:styleId="89">
    <w:name w:val="标题 9 Char"/>
    <w:link w:val="10"/>
    <w:autoRedefine/>
    <w:qFormat/>
    <w:uiPriority w:val="0"/>
    <w:rPr>
      <w:rFonts w:ascii="Arial" w:hAnsi="Arial" w:eastAsia="黑体"/>
      <w:sz w:val="28"/>
    </w:rPr>
  </w:style>
  <w:style w:type="character" w:customStyle="1" w:styleId="90">
    <w:name w:val="注释标题 Char"/>
    <w:link w:val="13"/>
    <w:autoRedefine/>
    <w:qFormat/>
    <w:uiPriority w:val="0"/>
    <w:rPr>
      <w:rFonts w:ascii="宋体" w:hAnsi="宋体" w:cs="宋体"/>
      <w:sz w:val="24"/>
      <w:szCs w:val="24"/>
    </w:rPr>
  </w:style>
  <w:style w:type="character" w:customStyle="1" w:styleId="91">
    <w:name w:val="正文缩进 Char"/>
    <w:link w:val="16"/>
    <w:autoRedefine/>
    <w:qFormat/>
    <w:uiPriority w:val="0"/>
    <w:rPr>
      <w:kern w:val="2"/>
      <w:sz w:val="21"/>
    </w:rPr>
  </w:style>
  <w:style w:type="character" w:customStyle="1" w:styleId="92">
    <w:name w:val="文档结构图 Char"/>
    <w:link w:val="18"/>
    <w:autoRedefine/>
    <w:qFormat/>
    <w:uiPriority w:val="0"/>
    <w:rPr>
      <w:kern w:val="2"/>
      <w:sz w:val="21"/>
      <w:szCs w:val="24"/>
      <w:shd w:val="clear" w:color="auto" w:fill="000080"/>
    </w:rPr>
  </w:style>
  <w:style w:type="character" w:customStyle="1" w:styleId="93">
    <w:name w:val="批注文字 Char1"/>
    <w:link w:val="20"/>
    <w:autoRedefine/>
    <w:qFormat/>
    <w:uiPriority w:val="0"/>
    <w:rPr>
      <w:kern w:val="2"/>
      <w:sz w:val="21"/>
      <w:szCs w:val="24"/>
    </w:rPr>
  </w:style>
  <w:style w:type="character" w:customStyle="1" w:styleId="94">
    <w:name w:val="称呼 Char"/>
    <w:link w:val="21"/>
    <w:autoRedefine/>
    <w:qFormat/>
    <w:uiPriority w:val="0"/>
    <w:rPr>
      <w:rFonts w:ascii="宋体"/>
      <w:sz w:val="28"/>
    </w:rPr>
  </w:style>
  <w:style w:type="character" w:customStyle="1" w:styleId="95">
    <w:name w:val="正文文本 3 Char"/>
    <w:link w:val="22"/>
    <w:autoRedefine/>
    <w:qFormat/>
    <w:uiPriority w:val="0"/>
    <w:rPr>
      <w:b/>
      <w:bCs/>
      <w:kern w:val="2"/>
      <w:sz w:val="24"/>
      <w:szCs w:val="24"/>
    </w:rPr>
  </w:style>
  <w:style w:type="character" w:customStyle="1" w:styleId="96">
    <w:name w:val="正文文本 Char1"/>
    <w:link w:val="24"/>
    <w:autoRedefine/>
    <w:qFormat/>
    <w:uiPriority w:val="0"/>
    <w:rPr>
      <w:kern w:val="2"/>
      <w:sz w:val="21"/>
      <w:szCs w:val="24"/>
    </w:rPr>
  </w:style>
  <w:style w:type="character" w:customStyle="1" w:styleId="97">
    <w:name w:val="正文文本缩进 Char1"/>
    <w:link w:val="25"/>
    <w:autoRedefine/>
    <w:qFormat/>
    <w:uiPriority w:val="0"/>
    <w:rPr>
      <w:kern w:val="2"/>
      <w:sz w:val="21"/>
      <w:szCs w:val="24"/>
    </w:rPr>
  </w:style>
  <w:style w:type="character" w:customStyle="1" w:styleId="98">
    <w:name w:val="纯文本 Char"/>
    <w:link w:val="33"/>
    <w:autoRedefine/>
    <w:qFormat/>
    <w:uiPriority w:val="0"/>
    <w:rPr>
      <w:rFonts w:ascii="宋体" w:hAnsi="Courier New" w:eastAsia="宋体"/>
      <w:sz w:val="21"/>
      <w:szCs w:val="21"/>
      <w:lang w:val="en-US" w:eastAsia="zh-CN" w:bidi="ar-SA"/>
    </w:rPr>
  </w:style>
  <w:style w:type="character" w:customStyle="1" w:styleId="99">
    <w:name w:val="日期 Char"/>
    <w:link w:val="35"/>
    <w:autoRedefine/>
    <w:qFormat/>
    <w:uiPriority w:val="0"/>
    <w:rPr>
      <w:kern w:val="2"/>
      <w:sz w:val="24"/>
    </w:rPr>
  </w:style>
  <w:style w:type="character" w:customStyle="1" w:styleId="100">
    <w:name w:val="正文文本缩进 2 Char"/>
    <w:link w:val="36"/>
    <w:autoRedefine/>
    <w:qFormat/>
    <w:uiPriority w:val="0"/>
    <w:rPr>
      <w:rFonts w:eastAsia="楷体_GB2312"/>
      <w:kern w:val="2"/>
      <w:sz w:val="28"/>
      <w:szCs w:val="24"/>
    </w:rPr>
  </w:style>
  <w:style w:type="character" w:customStyle="1" w:styleId="101">
    <w:name w:val="尾注文本 Char"/>
    <w:link w:val="37"/>
    <w:autoRedefine/>
    <w:qFormat/>
    <w:uiPriority w:val="0"/>
  </w:style>
  <w:style w:type="character" w:customStyle="1" w:styleId="102">
    <w:name w:val="批注框文本 Char"/>
    <w:link w:val="38"/>
    <w:autoRedefine/>
    <w:qFormat/>
    <w:uiPriority w:val="0"/>
    <w:rPr>
      <w:kern w:val="2"/>
      <w:sz w:val="18"/>
      <w:szCs w:val="18"/>
    </w:rPr>
  </w:style>
  <w:style w:type="character" w:customStyle="1" w:styleId="103">
    <w:name w:val="页脚 Char"/>
    <w:link w:val="39"/>
    <w:autoRedefine/>
    <w:qFormat/>
    <w:uiPriority w:val="99"/>
    <w:rPr>
      <w:kern w:val="2"/>
      <w:sz w:val="18"/>
      <w:szCs w:val="18"/>
    </w:rPr>
  </w:style>
  <w:style w:type="character" w:customStyle="1" w:styleId="104">
    <w:name w:val="页眉 Char"/>
    <w:link w:val="40"/>
    <w:qFormat/>
    <w:uiPriority w:val="99"/>
    <w:rPr>
      <w:kern w:val="2"/>
      <w:sz w:val="18"/>
      <w:szCs w:val="18"/>
    </w:rPr>
  </w:style>
  <w:style w:type="character" w:customStyle="1" w:styleId="105">
    <w:name w:val="签名 Char"/>
    <w:link w:val="41"/>
    <w:autoRedefine/>
    <w:qFormat/>
    <w:uiPriority w:val="0"/>
  </w:style>
  <w:style w:type="character" w:customStyle="1" w:styleId="106">
    <w:name w:val="脚注文本 Char"/>
    <w:link w:val="47"/>
    <w:autoRedefine/>
    <w:qFormat/>
    <w:uiPriority w:val="0"/>
    <w:rPr>
      <w:lang w:eastAsia="en-US"/>
    </w:rPr>
  </w:style>
  <w:style w:type="character" w:customStyle="1" w:styleId="107">
    <w:name w:val="正文文本缩进 3 Char"/>
    <w:link w:val="50"/>
    <w:autoRedefine/>
    <w:qFormat/>
    <w:uiPriority w:val="0"/>
    <w:rPr>
      <w:rFonts w:eastAsia="楷体_GB2312"/>
      <w:kern w:val="2"/>
      <w:sz w:val="28"/>
      <w:szCs w:val="24"/>
    </w:rPr>
  </w:style>
  <w:style w:type="character" w:customStyle="1" w:styleId="108">
    <w:name w:val="正文文本 2 Char"/>
    <w:link w:val="53"/>
    <w:autoRedefine/>
    <w:qFormat/>
    <w:uiPriority w:val="0"/>
    <w:rPr>
      <w:rFonts w:ascii="楷体_GB2312" w:eastAsia="楷体_GB2312"/>
      <w:b/>
      <w:kern w:val="2"/>
      <w:sz w:val="36"/>
      <w:szCs w:val="48"/>
    </w:rPr>
  </w:style>
  <w:style w:type="character" w:customStyle="1" w:styleId="109">
    <w:name w:val="HTML 预设格式 Char"/>
    <w:link w:val="56"/>
    <w:autoRedefine/>
    <w:qFormat/>
    <w:uiPriority w:val="0"/>
    <w:rPr>
      <w:rFonts w:ascii="Arial Unicode MS" w:hAnsi="Arial Unicode MS" w:eastAsia="Courier New" w:cs="Courier New"/>
    </w:rPr>
  </w:style>
  <w:style w:type="character" w:customStyle="1" w:styleId="110">
    <w:name w:val="标题 Char"/>
    <w:link w:val="58"/>
    <w:autoRedefine/>
    <w:qFormat/>
    <w:uiPriority w:val="0"/>
    <w:rPr>
      <w:rFonts w:ascii="Arial" w:hAnsi="Arial" w:eastAsia="隶书"/>
      <w:b/>
      <w:kern w:val="2"/>
      <w:sz w:val="32"/>
    </w:rPr>
  </w:style>
  <w:style w:type="character" w:customStyle="1" w:styleId="111">
    <w:name w:val="批注主题 Char"/>
    <w:link w:val="59"/>
    <w:autoRedefine/>
    <w:qFormat/>
    <w:uiPriority w:val="0"/>
    <w:rPr>
      <w:b/>
      <w:bCs/>
      <w:kern w:val="2"/>
      <w:sz w:val="21"/>
      <w:szCs w:val="24"/>
      <w:lang w:bidi="ar-SA"/>
    </w:rPr>
  </w:style>
  <w:style w:type="character" w:customStyle="1" w:styleId="112">
    <w:name w:val="正文首行缩进 Char"/>
    <w:link w:val="60"/>
    <w:autoRedefine/>
    <w:qFormat/>
    <w:uiPriority w:val="0"/>
    <w:rPr>
      <w:rFonts w:eastAsia="楷体_GB2312"/>
      <w:kern w:val="2"/>
      <w:sz w:val="32"/>
    </w:rPr>
  </w:style>
  <w:style w:type="character" w:customStyle="1" w:styleId="113">
    <w:name w:val="正文首行缩进 2 Char"/>
    <w:link w:val="61"/>
    <w:autoRedefine/>
    <w:qFormat/>
    <w:uiPriority w:val="0"/>
    <w:rPr>
      <w:kern w:val="2"/>
      <w:sz w:val="21"/>
    </w:rPr>
  </w:style>
  <w:style w:type="paragraph" w:customStyle="1" w:styleId="11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5">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16">
    <w:name w:val="hover17"/>
    <w:basedOn w:val="64"/>
    <w:autoRedefine/>
    <w:qFormat/>
    <w:uiPriority w:val="0"/>
  </w:style>
  <w:style w:type="character" w:customStyle="1" w:styleId="117">
    <w:name w:val="标题 Char1"/>
    <w:autoRedefine/>
    <w:qFormat/>
    <w:uiPriority w:val="0"/>
    <w:rPr>
      <w:rFonts w:ascii="Cambria" w:hAnsi="Cambria" w:cs="Times New Roman"/>
      <w:b/>
      <w:bCs/>
      <w:kern w:val="2"/>
      <w:sz w:val="32"/>
      <w:szCs w:val="32"/>
    </w:rPr>
  </w:style>
  <w:style w:type="character" w:customStyle="1" w:styleId="118">
    <w:name w:val="style41"/>
    <w:autoRedefine/>
    <w:qFormat/>
    <w:uiPriority w:val="0"/>
    <w:rPr>
      <w:rFonts w:hint="eastAsia" w:ascii="新宋体" w:hAnsi="新宋体" w:eastAsia="新宋体"/>
      <w:sz w:val="21"/>
      <w:szCs w:val="21"/>
    </w:rPr>
  </w:style>
  <w:style w:type="character" w:customStyle="1" w:styleId="119">
    <w:name w:val="bds_more2"/>
    <w:autoRedefine/>
    <w:qFormat/>
    <w:uiPriority w:val="0"/>
  </w:style>
  <w:style w:type="character" w:customStyle="1" w:styleId="120">
    <w:name w:val="批注主题 Char1"/>
    <w:autoRedefine/>
    <w:qFormat/>
    <w:uiPriority w:val="0"/>
    <w:rPr>
      <w:b/>
      <w:bCs/>
      <w:kern w:val="2"/>
      <w:sz w:val="21"/>
      <w:szCs w:val="24"/>
    </w:rPr>
  </w:style>
  <w:style w:type="character" w:customStyle="1" w:styleId="121">
    <w:name w:val="尾注文本 Char1"/>
    <w:autoRedefine/>
    <w:qFormat/>
    <w:uiPriority w:val="0"/>
    <w:rPr>
      <w:kern w:val="2"/>
      <w:sz w:val="21"/>
      <w:szCs w:val="24"/>
    </w:rPr>
  </w:style>
  <w:style w:type="character" w:customStyle="1" w:styleId="122">
    <w:name w:val="正文文本缩进 Char"/>
    <w:autoRedefine/>
    <w:qFormat/>
    <w:uiPriority w:val="0"/>
    <w:rPr>
      <w:rFonts w:ascii="楷体_GB2312" w:eastAsia="楷体_GB2312"/>
      <w:sz w:val="28"/>
    </w:rPr>
  </w:style>
  <w:style w:type="character" w:customStyle="1" w:styleId="123">
    <w:name w:val="Anrede1IhrZeichen"/>
    <w:autoRedefine/>
    <w:qFormat/>
    <w:uiPriority w:val="0"/>
    <w:rPr>
      <w:rFonts w:ascii="Arial" w:hAnsi="Arial"/>
      <w:sz w:val="20"/>
    </w:rPr>
  </w:style>
  <w:style w:type="character" w:customStyle="1" w:styleId="124">
    <w:name w:val="Para head"/>
    <w:autoRedefine/>
    <w:qFormat/>
    <w:uiPriority w:val="0"/>
    <w:rPr>
      <w:rFonts w:ascii="Arial" w:hAnsi="Arial" w:cs="Times New Roman"/>
      <w:sz w:val="20"/>
    </w:rPr>
  </w:style>
  <w:style w:type="character" w:customStyle="1" w:styleId="125">
    <w:name w:val="t-tag"/>
    <w:autoRedefine/>
    <w:qFormat/>
    <w:uiPriority w:val="0"/>
    <w:rPr>
      <w:color w:val="FFFFFF"/>
      <w:sz w:val="18"/>
      <w:szCs w:val="18"/>
      <w:shd w:val="clear" w:color="auto" w:fill="FE8833"/>
    </w:rPr>
  </w:style>
  <w:style w:type="character" w:customStyle="1" w:styleId="126">
    <w:name w:val="Plain Text Char"/>
    <w:autoRedefine/>
    <w:qFormat/>
    <w:locked/>
    <w:uiPriority w:val="0"/>
    <w:rPr>
      <w:rFonts w:ascii="宋体" w:hAnsi="Courier New" w:eastAsia="宋体" w:cs="Times New Roman"/>
      <w:sz w:val="20"/>
      <w:szCs w:val="20"/>
    </w:rPr>
  </w:style>
  <w:style w:type="character" w:customStyle="1" w:styleId="127">
    <w:name w:val="称呼 Char1"/>
    <w:autoRedefine/>
    <w:qFormat/>
    <w:uiPriority w:val="0"/>
    <w:rPr>
      <w:kern w:val="2"/>
      <w:sz w:val="21"/>
      <w:szCs w:val="24"/>
    </w:rPr>
  </w:style>
  <w:style w:type="character" w:customStyle="1" w:styleId="128">
    <w:name w:val="Char Char1"/>
    <w:autoRedefine/>
    <w:qFormat/>
    <w:uiPriority w:val="0"/>
    <w:rPr>
      <w:sz w:val="18"/>
    </w:rPr>
  </w:style>
  <w:style w:type="character" w:customStyle="1" w:styleId="129">
    <w:name w:val="indent1 Char Char"/>
    <w:link w:val="130"/>
    <w:autoRedefine/>
    <w:qFormat/>
    <w:uiPriority w:val="0"/>
    <w:rPr>
      <w:rFonts w:ascii="宋体" w:hAnsi="宋体"/>
      <w:color w:val="5E5E5E"/>
      <w:sz w:val="18"/>
      <w:szCs w:val="18"/>
    </w:rPr>
  </w:style>
  <w:style w:type="paragraph" w:customStyle="1" w:styleId="130">
    <w:name w:val="indent1"/>
    <w:basedOn w:val="1"/>
    <w:link w:val="129"/>
    <w:autoRedefine/>
    <w:qFormat/>
    <w:uiPriority w:val="0"/>
    <w:pPr>
      <w:widowControl/>
      <w:spacing w:after="15" w:line="240" w:lineRule="atLeast"/>
      <w:ind w:firstLine="360"/>
      <w:jc w:val="left"/>
    </w:pPr>
    <w:rPr>
      <w:rFonts w:ascii="宋体" w:hAnsi="宋体"/>
      <w:color w:val="5E5E5E"/>
      <w:kern w:val="0"/>
      <w:sz w:val="18"/>
      <w:szCs w:val="18"/>
    </w:rPr>
  </w:style>
  <w:style w:type="character" w:customStyle="1" w:styleId="131">
    <w:name w:val="fr"/>
    <w:autoRedefine/>
    <w:qFormat/>
    <w:uiPriority w:val="0"/>
  </w:style>
  <w:style w:type="character" w:customStyle="1" w:styleId="132">
    <w:name w:val="text_121"/>
    <w:autoRedefine/>
    <w:qFormat/>
    <w:uiPriority w:val="0"/>
    <w:rPr>
      <w:rFonts w:ascii="s?" w:hAnsi="s?" w:cs="Times New Roman"/>
      <w:color w:val="000000"/>
      <w:spacing w:val="321"/>
      <w:sz w:val="15"/>
      <w:szCs w:val="15"/>
    </w:rPr>
  </w:style>
  <w:style w:type="character" w:customStyle="1" w:styleId="133">
    <w:name w:val="正文首行缩进 2 Char1"/>
    <w:qFormat/>
    <w:uiPriority w:val="0"/>
    <w:rPr>
      <w:rFonts w:ascii="楷体_GB2312" w:eastAsia="楷体_GB2312"/>
      <w:sz w:val="28"/>
    </w:rPr>
  </w:style>
  <w:style w:type="character" w:customStyle="1" w:styleId="134">
    <w:name w:val="font91"/>
    <w:qFormat/>
    <w:uiPriority w:val="0"/>
    <w:rPr>
      <w:rFonts w:cs="Times New Roman"/>
      <w:color w:val="000000"/>
      <w:sz w:val="18"/>
      <w:szCs w:val="18"/>
    </w:rPr>
  </w:style>
  <w:style w:type="character" w:customStyle="1" w:styleId="135">
    <w:name w:val="正文文字 Char"/>
    <w:qFormat/>
    <w:uiPriority w:val="0"/>
    <w:rPr>
      <w:rFonts w:eastAsia="宋体" w:cs="Times New Roman"/>
      <w:kern w:val="2"/>
      <w:sz w:val="30"/>
      <w:lang w:val="en-US" w:eastAsia="zh-CN"/>
    </w:rPr>
  </w:style>
  <w:style w:type="character" w:customStyle="1" w:styleId="136">
    <w:name w:val="Char Char Char Char Char Char Char Char Char Char Char Char Char"/>
    <w:autoRedefine/>
    <w:qFormat/>
    <w:uiPriority w:val="0"/>
    <w:rPr>
      <w:kern w:val="2"/>
      <w:sz w:val="18"/>
      <w:szCs w:val="18"/>
    </w:rPr>
  </w:style>
  <w:style w:type="character" w:customStyle="1" w:styleId="137">
    <w:name w:val="纯文本 Char1"/>
    <w:qFormat/>
    <w:uiPriority w:val="0"/>
    <w:rPr>
      <w:rFonts w:ascii="宋体" w:hAnsi="Courier New" w:eastAsia="宋体"/>
      <w:sz w:val="21"/>
      <w:szCs w:val="21"/>
      <w:lang w:val="en-US" w:eastAsia="zh-CN" w:bidi="ar-SA"/>
    </w:rPr>
  </w:style>
  <w:style w:type="character" w:customStyle="1" w:styleId="138">
    <w:name w:val="正文缩进 Char1"/>
    <w:qFormat/>
    <w:uiPriority w:val="0"/>
    <w:rPr>
      <w:kern w:val="2"/>
      <w:sz w:val="21"/>
    </w:rPr>
  </w:style>
  <w:style w:type="character" w:customStyle="1" w:styleId="139">
    <w:name w:val="apple-style-span"/>
    <w:qFormat/>
    <w:uiPriority w:val="0"/>
  </w:style>
  <w:style w:type="character" w:customStyle="1" w:styleId="140">
    <w:name w:val="批注文字 Char"/>
    <w:qFormat/>
    <w:uiPriority w:val="0"/>
    <w:rPr>
      <w:kern w:val="2"/>
      <w:sz w:val="21"/>
      <w:szCs w:val="24"/>
      <w:lang w:bidi="ar-SA"/>
    </w:rPr>
  </w:style>
  <w:style w:type="character" w:customStyle="1" w:styleId="141">
    <w:name w:val="no52"/>
    <w:qFormat/>
    <w:uiPriority w:val="0"/>
  </w:style>
  <w:style w:type="character" w:customStyle="1" w:styleId="142">
    <w:name w:val="Footer Char"/>
    <w:qFormat/>
    <w:locked/>
    <w:uiPriority w:val="0"/>
    <w:rPr>
      <w:rFonts w:cs="Times New Roman"/>
      <w:sz w:val="18"/>
      <w:szCs w:val="18"/>
    </w:rPr>
  </w:style>
  <w:style w:type="character" w:customStyle="1" w:styleId="143">
    <w:name w:val="称呼 Char2"/>
    <w:qFormat/>
    <w:uiPriority w:val="0"/>
    <w:rPr>
      <w:kern w:val="2"/>
      <w:sz w:val="21"/>
      <w:szCs w:val="24"/>
    </w:rPr>
  </w:style>
  <w:style w:type="character" w:customStyle="1" w:styleId="144">
    <w:name w:val="lineitems1"/>
    <w:autoRedefine/>
    <w:qFormat/>
    <w:uiPriority w:val="0"/>
    <w:rPr>
      <w:sz w:val="17"/>
      <w:szCs w:val="17"/>
    </w:rPr>
  </w:style>
  <w:style w:type="character" w:customStyle="1" w:styleId="145">
    <w:name w:val="style191"/>
    <w:autoRedefine/>
    <w:qFormat/>
    <w:uiPriority w:val="0"/>
    <w:rPr>
      <w:rFonts w:ascii="Arial" w:hAnsi="Arial" w:cs="Arial"/>
      <w:b/>
      <w:bCs/>
      <w:color w:val="888888"/>
      <w:sz w:val="21"/>
      <w:szCs w:val="21"/>
    </w:rPr>
  </w:style>
  <w:style w:type="character" w:customStyle="1" w:styleId="146">
    <w:name w:val="location"/>
    <w:autoRedefine/>
    <w:qFormat/>
    <w:uiPriority w:val="0"/>
  </w:style>
  <w:style w:type="character" w:customStyle="1" w:styleId="147">
    <w:name w:val="普通文字 Char1"/>
    <w:autoRedefine/>
    <w:qFormat/>
    <w:uiPriority w:val="0"/>
    <w:rPr>
      <w:rFonts w:ascii="宋体" w:hAnsi="Courier New" w:eastAsia="宋体"/>
      <w:kern w:val="2"/>
      <w:sz w:val="24"/>
      <w:lang w:val="en-US" w:eastAsia="zh-CN" w:bidi="ar-SA"/>
    </w:rPr>
  </w:style>
  <w:style w:type="character" w:customStyle="1" w:styleId="148">
    <w:name w:val="black1"/>
    <w:autoRedefine/>
    <w:qFormat/>
    <w:uiPriority w:val="0"/>
    <w:rPr>
      <w:rFonts w:cs="Times New Roman"/>
      <w:color w:val="000000"/>
      <w:spacing w:val="330"/>
    </w:rPr>
  </w:style>
  <w:style w:type="character" w:customStyle="1" w:styleId="149">
    <w:name w:val="正文文本 Char"/>
    <w:autoRedefine/>
    <w:qFormat/>
    <w:uiPriority w:val="0"/>
    <w:rPr>
      <w:kern w:val="2"/>
      <w:sz w:val="21"/>
      <w:szCs w:val="24"/>
    </w:rPr>
  </w:style>
  <w:style w:type="character" w:customStyle="1" w:styleId="150">
    <w:name w:val="Body Text Indent 2 Char"/>
    <w:autoRedefine/>
    <w:qFormat/>
    <w:locked/>
    <w:uiPriority w:val="0"/>
    <w:rPr>
      <w:rFonts w:ascii="Times New Roman" w:hAnsi="Times New Roman" w:eastAsia="宋体" w:cs="Times New Roman"/>
      <w:sz w:val="24"/>
      <w:szCs w:val="24"/>
    </w:rPr>
  </w:style>
  <w:style w:type="character" w:customStyle="1" w:styleId="151">
    <w:name w:val="签名 Char1"/>
    <w:autoRedefine/>
    <w:qFormat/>
    <w:uiPriority w:val="0"/>
    <w:rPr>
      <w:kern w:val="2"/>
      <w:sz w:val="21"/>
      <w:szCs w:val="24"/>
    </w:rPr>
  </w:style>
  <w:style w:type="character" w:customStyle="1" w:styleId="152">
    <w:name w:val="no42"/>
    <w:autoRedefine/>
    <w:qFormat/>
    <w:uiPriority w:val="0"/>
  </w:style>
  <w:style w:type="character" w:customStyle="1" w:styleId="153">
    <w:name w:val="脚注文本 Char1"/>
    <w:autoRedefine/>
    <w:qFormat/>
    <w:uiPriority w:val="0"/>
    <w:rPr>
      <w:kern w:val="2"/>
      <w:sz w:val="18"/>
      <w:szCs w:val="18"/>
    </w:rPr>
  </w:style>
  <w:style w:type="character" w:customStyle="1" w:styleId="154">
    <w:name w:val="标题 21 Char Char"/>
    <w:autoRedefine/>
    <w:qFormat/>
    <w:uiPriority w:val="0"/>
    <w:rPr>
      <w:rFonts w:ascii="宋体" w:eastAsia="宋体"/>
      <w:sz w:val="24"/>
    </w:rPr>
  </w:style>
  <w:style w:type="character" w:customStyle="1" w:styleId="155">
    <w:name w:val="bds_nopic"/>
    <w:autoRedefine/>
    <w:qFormat/>
    <w:uiPriority w:val="0"/>
  </w:style>
  <w:style w:type="character" w:customStyle="1" w:styleId="156">
    <w:name w:val="font61"/>
    <w:autoRedefine/>
    <w:qFormat/>
    <w:uiPriority w:val="0"/>
    <w:rPr>
      <w:rFonts w:hint="eastAsia" w:ascii="宋体" w:hAnsi="宋体" w:eastAsia="宋体" w:cs="宋体"/>
      <w:color w:val="000000"/>
      <w:sz w:val="20"/>
      <w:szCs w:val="20"/>
      <w:u w:val="none"/>
    </w:rPr>
  </w:style>
  <w:style w:type="character" w:customStyle="1" w:styleId="157">
    <w:name w:val="正文文本缩进 Char Char"/>
    <w:autoRedefine/>
    <w:qFormat/>
    <w:uiPriority w:val="0"/>
    <w:rPr>
      <w:rFonts w:eastAsia="宋体"/>
      <w:kern w:val="2"/>
      <w:sz w:val="24"/>
      <w:lang w:val="en-US" w:eastAsia="zh-CN" w:bidi="ar-SA"/>
    </w:rPr>
  </w:style>
  <w:style w:type="character" w:customStyle="1" w:styleId="158">
    <w:name w:val="标四 Char Char"/>
    <w:autoRedefine/>
    <w:qFormat/>
    <w:uiPriority w:val="0"/>
    <w:rPr>
      <w:rFonts w:ascii="仿宋_GB2312" w:hAnsi="Plotter" w:eastAsia="仿宋_GB2312" w:cs="Plotter"/>
      <w:kern w:val="2"/>
      <w:sz w:val="24"/>
      <w:szCs w:val="24"/>
      <w:lang w:val="en-US" w:eastAsia="zh-CN" w:bidi="ar-SA"/>
    </w:rPr>
  </w:style>
  <w:style w:type="character" w:customStyle="1" w:styleId="159">
    <w:name w:val="huei12b1"/>
    <w:autoRedefine/>
    <w:qFormat/>
    <w:uiPriority w:val="0"/>
    <w:rPr>
      <w:b/>
      <w:bCs/>
      <w:color w:val="333333"/>
      <w:sz w:val="18"/>
      <w:szCs w:val="18"/>
    </w:rPr>
  </w:style>
  <w:style w:type="character" w:customStyle="1" w:styleId="160">
    <w:name w:val="style51"/>
    <w:autoRedefine/>
    <w:qFormat/>
    <w:uiPriority w:val="0"/>
    <w:rPr>
      <w:color w:val="000000"/>
      <w:sz w:val="18"/>
      <w:szCs w:val="18"/>
    </w:rPr>
  </w:style>
  <w:style w:type="character" w:customStyle="1" w:styleId="161">
    <w:name w:val="first-child"/>
    <w:autoRedefine/>
    <w:qFormat/>
    <w:uiPriority w:val="0"/>
    <w:rPr>
      <w:color w:val="1F3149"/>
      <w:sz w:val="24"/>
      <w:szCs w:val="24"/>
    </w:rPr>
  </w:style>
  <w:style w:type="character" w:customStyle="1" w:styleId="162">
    <w:name w:val="font21"/>
    <w:autoRedefine/>
    <w:qFormat/>
    <w:uiPriority w:val="0"/>
    <w:rPr>
      <w:rFonts w:ascii="Arial" w:hAnsi="Arial" w:cs="Arial"/>
      <w:color w:val="000000"/>
      <w:sz w:val="24"/>
      <w:szCs w:val="24"/>
      <w:u w:val="none"/>
    </w:rPr>
  </w:style>
  <w:style w:type="character" w:customStyle="1" w:styleId="163">
    <w:name w:val="ui-bz-bg-hover1"/>
    <w:autoRedefine/>
    <w:qFormat/>
    <w:uiPriority w:val="0"/>
  </w:style>
  <w:style w:type="character" w:customStyle="1" w:styleId="164">
    <w:name w:val="Normal Char"/>
    <w:autoRedefine/>
    <w:qFormat/>
    <w:uiPriority w:val="0"/>
    <w:rPr>
      <w:rFonts w:ascii="宋体" w:eastAsia="宋体" w:cs="Times New Roman"/>
      <w:sz w:val="24"/>
      <w:lang w:val="en-US" w:eastAsia="zh-CN"/>
    </w:rPr>
  </w:style>
  <w:style w:type="character" w:customStyle="1" w:styleId="165">
    <w:name w:val="hui3"/>
    <w:autoRedefine/>
    <w:qFormat/>
    <w:uiPriority w:val="0"/>
    <w:rPr>
      <w:color w:val="333333"/>
    </w:rPr>
  </w:style>
  <w:style w:type="character" w:customStyle="1" w:styleId="166">
    <w:name w:val="no72"/>
    <w:autoRedefine/>
    <w:qFormat/>
    <w:uiPriority w:val="0"/>
  </w:style>
  <w:style w:type="character" w:customStyle="1" w:styleId="167">
    <w:name w:val="tpc_content1"/>
    <w:autoRedefine/>
    <w:qFormat/>
    <w:uiPriority w:val="0"/>
    <w:rPr>
      <w:sz w:val="20"/>
      <w:szCs w:val="20"/>
    </w:rPr>
  </w:style>
  <w:style w:type="character" w:customStyle="1" w:styleId="168">
    <w:name w:val="bds_more"/>
    <w:autoRedefine/>
    <w:qFormat/>
    <w:uiPriority w:val="0"/>
  </w:style>
  <w:style w:type="character" w:customStyle="1" w:styleId="169">
    <w:name w:val="标二 Char Char"/>
    <w:autoRedefine/>
    <w:qFormat/>
    <w:uiPriority w:val="0"/>
    <w:rPr>
      <w:rFonts w:ascii="黑体" w:hAnsi="Arial" w:eastAsia="黑体" w:cs="Plotter"/>
      <w:bCs/>
      <w:kern w:val="2"/>
      <w:sz w:val="30"/>
      <w:szCs w:val="30"/>
      <w:lang w:val="en-US" w:eastAsia="zh-CN" w:bidi="ar-SA"/>
    </w:rPr>
  </w:style>
  <w:style w:type="character" w:customStyle="1" w:styleId="170">
    <w:name w:val="尾注文本 Char2"/>
    <w:autoRedefine/>
    <w:qFormat/>
    <w:uiPriority w:val="0"/>
    <w:rPr>
      <w:kern w:val="2"/>
      <w:sz w:val="21"/>
      <w:szCs w:val="24"/>
    </w:rPr>
  </w:style>
  <w:style w:type="character" w:customStyle="1" w:styleId="171">
    <w:name w:val="f-star"/>
    <w:autoRedefine/>
    <w:qFormat/>
    <w:uiPriority w:val="0"/>
    <w:rPr>
      <w:color w:val="999999"/>
      <w:sz w:val="21"/>
      <w:szCs w:val="21"/>
    </w:rPr>
  </w:style>
  <w:style w:type="character" w:customStyle="1" w:styleId="172">
    <w:name w:val="main_tdbg_760"/>
    <w:autoRedefine/>
    <w:qFormat/>
    <w:uiPriority w:val="0"/>
  </w:style>
  <w:style w:type="character" w:customStyle="1" w:styleId="173">
    <w:name w:val="正文首行缩进 2 Char2"/>
    <w:autoRedefine/>
    <w:qFormat/>
    <w:uiPriority w:val="0"/>
    <w:rPr>
      <w:kern w:val="2"/>
      <w:sz w:val="21"/>
      <w:szCs w:val="24"/>
    </w:rPr>
  </w:style>
  <w:style w:type="character" w:customStyle="1" w:styleId="174">
    <w:name w:val="文章标题 Char Char"/>
    <w:autoRedefine/>
    <w:qFormat/>
    <w:uiPriority w:val="0"/>
    <w:rPr>
      <w:rFonts w:ascii="宋体" w:eastAsia="宋体"/>
    </w:rPr>
  </w:style>
  <w:style w:type="character" w:customStyle="1" w:styleId="175">
    <w:name w:val="first-child1"/>
    <w:autoRedefine/>
    <w:qFormat/>
    <w:uiPriority w:val="0"/>
    <w:rPr>
      <w:color w:val="1F3149"/>
      <w:sz w:val="24"/>
      <w:szCs w:val="24"/>
    </w:rPr>
  </w:style>
  <w:style w:type="character" w:customStyle="1" w:styleId="176">
    <w:name w:val="fontstyle01"/>
    <w:autoRedefine/>
    <w:qFormat/>
    <w:uiPriority w:val="0"/>
    <w:rPr>
      <w:rFonts w:hint="eastAsia" w:ascii="宋体" w:hAnsi="宋体" w:eastAsia="宋体"/>
      <w:color w:val="000000"/>
      <w:sz w:val="22"/>
      <w:szCs w:val="22"/>
    </w:rPr>
  </w:style>
  <w:style w:type="character" w:customStyle="1" w:styleId="177">
    <w:name w:val="样式1 Char Char"/>
    <w:link w:val="178"/>
    <w:autoRedefine/>
    <w:qFormat/>
    <w:locked/>
    <w:uiPriority w:val="0"/>
    <w:rPr>
      <w:kern w:val="2"/>
      <w:sz w:val="18"/>
      <w:szCs w:val="18"/>
    </w:rPr>
  </w:style>
  <w:style w:type="paragraph" w:customStyle="1" w:styleId="178">
    <w:name w:val="样式1"/>
    <w:basedOn w:val="40"/>
    <w:link w:val="177"/>
    <w:autoRedefine/>
    <w:qFormat/>
    <w:uiPriority w:val="0"/>
  </w:style>
  <w:style w:type="character" w:customStyle="1" w:styleId="179">
    <w:name w:val="Char Char Char Char Char"/>
    <w:autoRedefine/>
    <w:qFormat/>
    <w:uiPriority w:val="0"/>
    <w:rPr>
      <w:kern w:val="2"/>
      <w:sz w:val="18"/>
      <w:szCs w:val="18"/>
    </w:rPr>
  </w:style>
  <w:style w:type="character" w:customStyle="1" w:styleId="180">
    <w:name w:val="无间隔 Char"/>
    <w:link w:val="181"/>
    <w:autoRedefine/>
    <w:qFormat/>
    <w:locked/>
    <w:uiPriority w:val="0"/>
    <w:rPr>
      <w:kern w:val="2"/>
      <w:sz w:val="21"/>
      <w:szCs w:val="24"/>
      <w:lang w:val="en-US" w:eastAsia="zh-CN" w:bidi="ar-SA"/>
    </w:rPr>
  </w:style>
  <w:style w:type="paragraph" w:customStyle="1" w:styleId="181">
    <w:name w:val="No Spacing1"/>
    <w:link w:val="18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no62"/>
    <w:autoRedefine/>
    <w:qFormat/>
    <w:uiPriority w:val="0"/>
  </w:style>
  <w:style w:type="character" w:customStyle="1" w:styleId="183">
    <w:name w:val="签名 Char2"/>
    <w:autoRedefine/>
    <w:qFormat/>
    <w:uiPriority w:val="0"/>
    <w:rPr>
      <w:kern w:val="2"/>
      <w:sz w:val="21"/>
      <w:szCs w:val="24"/>
    </w:rPr>
  </w:style>
  <w:style w:type="character" w:customStyle="1" w:styleId="184">
    <w:name w:val="Heading 3 Char Char"/>
    <w:autoRedefine/>
    <w:qFormat/>
    <w:locked/>
    <w:uiPriority w:val="0"/>
    <w:rPr>
      <w:rFonts w:ascii="Plotter" w:hAnsi="Plotter" w:eastAsia="宋体" w:cs="Plotter"/>
      <w:b/>
      <w:bCs/>
      <w:sz w:val="32"/>
      <w:szCs w:val="32"/>
    </w:rPr>
  </w:style>
  <w:style w:type="character" w:customStyle="1" w:styleId="185">
    <w:name w:val="ca-51"/>
    <w:autoRedefine/>
    <w:qFormat/>
    <w:uiPriority w:val="0"/>
    <w:rPr>
      <w:rFonts w:hint="eastAsia" w:ascii="宋体" w:hAnsi="宋体" w:eastAsia="宋体"/>
      <w:sz w:val="24"/>
      <w:szCs w:val="24"/>
    </w:rPr>
  </w:style>
  <w:style w:type="character" w:customStyle="1" w:styleId="186">
    <w:name w:val="正文首行缩进 Char1"/>
    <w:autoRedefine/>
    <w:qFormat/>
    <w:uiPriority w:val="0"/>
    <w:rPr>
      <w:kern w:val="2"/>
      <w:sz w:val="21"/>
      <w:szCs w:val="24"/>
    </w:rPr>
  </w:style>
  <w:style w:type="character" w:customStyle="1" w:styleId="187">
    <w:name w:val="f141"/>
    <w:autoRedefine/>
    <w:qFormat/>
    <w:uiPriority w:val="0"/>
    <w:rPr>
      <w:sz w:val="21"/>
      <w:szCs w:val="21"/>
    </w:rPr>
  </w:style>
  <w:style w:type="character" w:customStyle="1" w:styleId="188">
    <w:name w:val="bds_more1"/>
    <w:autoRedefine/>
    <w:qFormat/>
    <w:uiPriority w:val="0"/>
    <w:rPr>
      <w:rFonts w:hint="eastAsia" w:ascii="宋体" w:hAnsi="宋体" w:eastAsia="宋体" w:cs="宋体"/>
    </w:rPr>
  </w:style>
  <w:style w:type="character" w:customStyle="1" w:styleId="189">
    <w:name w:val="icon_ds"/>
    <w:autoRedefine/>
    <w:qFormat/>
    <w:uiPriority w:val="0"/>
  </w:style>
  <w:style w:type="character" w:customStyle="1" w:styleId="190">
    <w:name w:val="font121"/>
    <w:autoRedefine/>
    <w:qFormat/>
    <w:uiPriority w:val="0"/>
    <w:rPr>
      <w:rFonts w:cs="Times New Roman"/>
      <w:spacing w:val="330"/>
      <w:sz w:val="18"/>
      <w:szCs w:val="18"/>
      <w:u w:val="none"/>
    </w:rPr>
  </w:style>
  <w:style w:type="character" w:customStyle="1" w:styleId="191">
    <w:name w:val="my正文 Char Char"/>
    <w:link w:val="192"/>
    <w:autoRedefine/>
    <w:qFormat/>
    <w:uiPriority w:val="0"/>
    <w:rPr>
      <w:kern w:val="2"/>
      <w:sz w:val="24"/>
      <w:szCs w:val="24"/>
    </w:rPr>
  </w:style>
  <w:style w:type="paragraph" w:customStyle="1" w:styleId="192">
    <w:name w:val="my正文"/>
    <w:basedOn w:val="1"/>
    <w:link w:val="191"/>
    <w:autoRedefine/>
    <w:qFormat/>
    <w:uiPriority w:val="0"/>
    <w:pPr>
      <w:spacing w:line="360" w:lineRule="auto"/>
      <w:ind w:firstLine="480" w:firstLineChars="200"/>
    </w:pPr>
    <w:rPr>
      <w:sz w:val="24"/>
    </w:rPr>
  </w:style>
  <w:style w:type="character" w:customStyle="1" w:styleId="193">
    <w:name w:val="my-notice1"/>
    <w:autoRedefine/>
    <w:qFormat/>
    <w:uiPriority w:val="0"/>
  </w:style>
  <w:style w:type="character" w:customStyle="1" w:styleId="194">
    <w:name w:val="org_name2"/>
    <w:autoRedefine/>
    <w:qFormat/>
    <w:uiPriority w:val="0"/>
  </w:style>
  <w:style w:type="character" w:customStyle="1" w:styleId="195">
    <w:name w:val="text1"/>
    <w:autoRedefine/>
    <w:qFormat/>
    <w:uiPriority w:val="0"/>
    <w:rPr>
      <w:color w:val="000000"/>
      <w:spacing w:val="432"/>
      <w:sz w:val="20"/>
      <w:szCs w:val="20"/>
    </w:rPr>
  </w:style>
  <w:style w:type="character" w:customStyle="1" w:styleId="196">
    <w:name w:val="正文 1 Char Char"/>
    <w:link w:val="197"/>
    <w:autoRedefine/>
    <w:qFormat/>
    <w:locked/>
    <w:uiPriority w:val="0"/>
    <w:rPr>
      <w:sz w:val="24"/>
    </w:rPr>
  </w:style>
  <w:style w:type="paragraph" w:customStyle="1" w:styleId="197">
    <w:name w:val="正文 1"/>
    <w:basedOn w:val="1"/>
    <w:link w:val="196"/>
    <w:autoRedefine/>
    <w:qFormat/>
    <w:uiPriority w:val="0"/>
    <w:pPr>
      <w:autoSpaceDE w:val="0"/>
      <w:autoSpaceDN w:val="0"/>
      <w:adjustRightInd w:val="0"/>
      <w:spacing w:before="80" w:after="80"/>
      <w:ind w:left="1417"/>
      <w:jc w:val="left"/>
    </w:pPr>
    <w:rPr>
      <w:kern w:val="0"/>
      <w:sz w:val="24"/>
      <w:szCs w:val="20"/>
    </w:rPr>
  </w:style>
  <w:style w:type="character" w:customStyle="1" w:styleId="198">
    <w:name w:val="标题 1 Char Char"/>
    <w:autoRedefine/>
    <w:qFormat/>
    <w:uiPriority w:val="0"/>
    <w:rPr>
      <w:rFonts w:hint="default" w:ascii="Times New Roman" w:hAnsi="Times New Roman" w:cs="Times New Roman"/>
      <w:b/>
      <w:kern w:val="44"/>
      <w:sz w:val="44"/>
    </w:rPr>
  </w:style>
  <w:style w:type="character" w:customStyle="1" w:styleId="199">
    <w:name w:val="proshowid1"/>
    <w:autoRedefine/>
    <w:qFormat/>
    <w:uiPriority w:val="0"/>
    <w:rPr>
      <w:b/>
      <w:bCs/>
      <w:color w:val="4C5D65"/>
    </w:rPr>
  </w:style>
  <w:style w:type="character" w:customStyle="1" w:styleId="200">
    <w:name w:val="orange"/>
    <w:qFormat/>
    <w:uiPriority w:val="0"/>
    <w:rPr>
      <w:color w:val="3FB58F"/>
    </w:rPr>
  </w:style>
  <w:style w:type="character" w:customStyle="1" w:styleId="201">
    <w:name w:val="五号正文（标准） Char Char"/>
    <w:autoRedefine/>
    <w:qFormat/>
    <w:uiPriority w:val="0"/>
    <w:rPr>
      <w:rFonts w:ascii="仿宋_GB2312" w:hAnsi="宋体" w:eastAsia="仿宋_GB2312" w:cs="Plotter"/>
      <w:kern w:val="2"/>
      <w:sz w:val="24"/>
      <w:szCs w:val="24"/>
      <w:lang w:val="en-US" w:eastAsia="zh-CN" w:bidi="ar-SA"/>
    </w:rPr>
  </w:style>
  <w:style w:type="character" w:customStyle="1" w:styleId="202">
    <w:name w:val="样式 标题 3h3Heading 3 -Level 3 HeadH + 段前: 0 磅 段后: 0 磅 Char Char"/>
    <w:link w:val="203"/>
    <w:qFormat/>
    <w:locked/>
    <w:uiPriority w:val="0"/>
    <w:rPr>
      <w:rFonts w:cs="宋体"/>
      <w:b/>
      <w:bCs/>
      <w:kern w:val="2"/>
      <w:sz w:val="24"/>
      <w:szCs w:val="24"/>
    </w:rPr>
  </w:style>
  <w:style w:type="paragraph" w:customStyle="1" w:styleId="203">
    <w:name w:val="样式 标题 3h3Heading 3 -Level 3 HeadH + 段前: 0 磅 段后: 0 磅"/>
    <w:basedOn w:val="4"/>
    <w:link w:val="202"/>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204">
    <w:name w:val="f71"/>
    <w:qFormat/>
    <w:uiPriority w:val="0"/>
    <w:rPr>
      <w:spacing w:val="375"/>
      <w:sz w:val="18"/>
      <w:szCs w:val="18"/>
    </w:rPr>
  </w:style>
  <w:style w:type="character" w:customStyle="1" w:styleId="205">
    <w:name w:val="font31"/>
    <w:qFormat/>
    <w:uiPriority w:val="0"/>
    <w:rPr>
      <w:rFonts w:hint="eastAsia" w:ascii="宋体" w:hAnsi="宋体" w:eastAsia="宋体" w:cs="宋体"/>
      <w:color w:val="000000"/>
      <w:sz w:val="18"/>
      <w:szCs w:val="18"/>
      <w:u w:val="none"/>
    </w:rPr>
  </w:style>
  <w:style w:type="character" w:customStyle="1" w:styleId="206">
    <w:name w:val="tip8"/>
    <w:qFormat/>
    <w:uiPriority w:val="0"/>
    <w:rPr>
      <w:vanish/>
      <w:color w:val="FF0000"/>
      <w:sz w:val="18"/>
      <w:szCs w:val="18"/>
    </w:rPr>
  </w:style>
  <w:style w:type="character" w:customStyle="1" w:styleId="207">
    <w:name w:val="ca-112"/>
    <w:qFormat/>
    <w:uiPriority w:val="0"/>
  </w:style>
  <w:style w:type="character" w:customStyle="1" w:styleId="208">
    <w:name w:val="top-icon"/>
    <w:autoRedefine/>
    <w:qFormat/>
    <w:uiPriority w:val="0"/>
  </w:style>
  <w:style w:type="character" w:customStyle="1" w:styleId="209">
    <w:name w:val="hover16"/>
    <w:qFormat/>
    <w:uiPriority w:val="0"/>
  </w:style>
  <w:style w:type="character" w:customStyle="1" w:styleId="210">
    <w:name w:val="样式 小四 段前: 3 磅 段后: 3 磅 行距: 1.5 倍行距 Char Char"/>
    <w:link w:val="211"/>
    <w:qFormat/>
    <w:locked/>
    <w:uiPriority w:val="0"/>
    <w:rPr>
      <w:rFonts w:cs="宋体"/>
      <w:kern w:val="2"/>
      <w:sz w:val="24"/>
    </w:rPr>
  </w:style>
  <w:style w:type="paragraph" w:customStyle="1" w:styleId="211">
    <w:name w:val="样式 小四 段前: 3 磅 段后: 3 磅 行距: 1.5 倍行距"/>
    <w:basedOn w:val="1"/>
    <w:link w:val="210"/>
    <w:qFormat/>
    <w:uiPriority w:val="0"/>
    <w:pPr>
      <w:spacing w:before="60" w:after="60"/>
      <w:ind w:firstLine="540" w:firstLineChars="225"/>
      <w:jc w:val="left"/>
    </w:pPr>
    <w:rPr>
      <w:sz w:val="24"/>
      <w:szCs w:val="20"/>
    </w:rPr>
  </w:style>
  <w:style w:type="character" w:customStyle="1" w:styleId="212">
    <w:name w:val="font1"/>
    <w:autoRedefine/>
    <w:qFormat/>
    <w:uiPriority w:val="0"/>
    <w:rPr>
      <w:rFonts w:cs="Times New Roman"/>
      <w:spacing w:val="300"/>
      <w:sz w:val="18"/>
      <w:szCs w:val="18"/>
    </w:rPr>
  </w:style>
  <w:style w:type="character" w:customStyle="1" w:styleId="213">
    <w:name w:val="style141"/>
    <w:autoRedefine/>
    <w:qFormat/>
    <w:uiPriority w:val="0"/>
    <w:rPr>
      <w:rFonts w:ascii="宋体" w:hAnsi="宋体" w:eastAsia="宋体" w:cs="Times New Roman"/>
      <w:b/>
      <w:bCs/>
      <w:color w:val="888888"/>
      <w:sz w:val="21"/>
      <w:szCs w:val="21"/>
    </w:rPr>
  </w:style>
  <w:style w:type="character" w:customStyle="1" w:styleId="214">
    <w:name w:val="point_normal"/>
    <w:qFormat/>
    <w:uiPriority w:val="0"/>
  </w:style>
  <w:style w:type="character" w:customStyle="1" w:styleId="215">
    <w:name w:val="正文-2 Char Char"/>
    <w:link w:val="216"/>
    <w:qFormat/>
    <w:uiPriority w:val="0"/>
    <w:rPr>
      <w:rFonts w:ascii="宋体"/>
      <w:kern w:val="2"/>
      <w:sz w:val="28"/>
      <w:szCs w:val="28"/>
    </w:rPr>
  </w:style>
  <w:style w:type="paragraph" w:customStyle="1" w:styleId="216">
    <w:name w:val="正文-2"/>
    <w:basedOn w:val="1"/>
    <w:link w:val="215"/>
    <w:qFormat/>
    <w:uiPriority w:val="0"/>
    <w:pPr>
      <w:spacing w:line="500" w:lineRule="exact"/>
      <w:ind w:firstLine="200" w:firstLineChars="200"/>
    </w:pPr>
    <w:rPr>
      <w:rFonts w:ascii="宋体"/>
      <w:sz w:val="28"/>
      <w:szCs w:val="28"/>
    </w:rPr>
  </w:style>
  <w:style w:type="character" w:customStyle="1" w:styleId="217">
    <w:name w:val="para"/>
    <w:qFormat/>
    <w:uiPriority w:val="0"/>
  </w:style>
  <w:style w:type="character" w:customStyle="1" w:styleId="218">
    <w:name w:val="文字 Char Char"/>
    <w:link w:val="219"/>
    <w:qFormat/>
    <w:locked/>
    <w:uiPriority w:val="0"/>
    <w:rPr>
      <w:rFonts w:ascii="宋体" w:hAnsi="宋体"/>
      <w:sz w:val="28"/>
    </w:rPr>
  </w:style>
  <w:style w:type="paragraph" w:customStyle="1" w:styleId="219">
    <w:name w:val="文字"/>
    <w:basedOn w:val="1"/>
    <w:link w:val="218"/>
    <w:autoRedefine/>
    <w:qFormat/>
    <w:uiPriority w:val="0"/>
    <w:pPr>
      <w:tabs>
        <w:tab w:val="left" w:pos="8520"/>
      </w:tabs>
      <w:spacing w:line="312" w:lineRule="auto"/>
      <w:ind w:right="-210" w:firstLine="556"/>
      <w:jc w:val="left"/>
    </w:pPr>
    <w:rPr>
      <w:rFonts w:ascii="宋体" w:hAnsi="宋体"/>
      <w:kern w:val="0"/>
      <w:sz w:val="28"/>
      <w:szCs w:val="20"/>
    </w:rPr>
  </w:style>
  <w:style w:type="character" w:customStyle="1" w:styleId="220">
    <w:name w:val="标三 Char Char"/>
    <w:qFormat/>
    <w:uiPriority w:val="0"/>
    <w:rPr>
      <w:rFonts w:ascii="黑体" w:hAnsi="Plotter" w:eastAsia="黑体" w:cs="Plotter"/>
      <w:b/>
      <w:bCs/>
      <w:kern w:val="2"/>
      <w:sz w:val="32"/>
      <w:szCs w:val="32"/>
      <w:lang w:val="en-US" w:eastAsia="zh-CN" w:bidi="ar-SA"/>
    </w:rPr>
  </w:style>
  <w:style w:type="character" w:customStyle="1" w:styleId="221">
    <w:name w:val="search_content1"/>
    <w:qFormat/>
    <w:uiPriority w:val="0"/>
    <w:rPr>
      <w:sz w:val="20"/>
      <w:szCs w:val="20"/>
    </w:rPr>
  </w:style>
  <w:style w:type="character" w:customStyle="1" w:styleId="222">
    <w:name w:val="v151"/>
    <w:qFormat/>
    <w:uiPriority w:val="0"/>
    <w:rPr>
      <w:rFonts w:cs="Times New Roman"/>
      <w:sz w:val="18"/>
      <w:szCs w:val="18"/>
    </w:rPr>
  </w:style>
  <w:style w:type="character" w:customStyle="1" w:styleId="223">
    <w:name w:val="text11"/>
    <w:autoRedefine/>
    <w:qFormat/>
    <w:uiPriority w:val="0"/>
    <w:rPr>
      <w:rFonts w:hint="default" w:ascii="Verdana" w:hAnsi="Verdana"/>
      <w:color w:val="4E4E4E"/>
      <w:spacing w:val="270"/>
      <w:sz w:val="18"/>
      <w:szCs w:val="18"/>
    </w:rPr>
  </w:style>
  <w:style w:type="character" w:customStyle="1" w:styleId="224">
    <w:name w:val="标五 Char Char"/>
    <w:qFormat/>
    <w:uiPriority w:val="0"/>
    <w:rPr>
      <w:rFonts w:ascii="仿宋_GB2312" w:hAnsi="Plotter" w:eastAsia="仿宋_GB2312" w:cs="Plotter"/>
      <w:kern w:val="2"/>
      <w:sz w:val="24"/>
      <w:szCs w:val="24"/>
      <w:lang w:val="en-US" w:eastAsia="zh-CN" w:bidi="ar-SA"/>
    </w:rPr>
  </w:style>
  <w:style w:type="character" w:customStyle="1" w:styleId="225">
    <w:name w:val="Normal Indent Char"/>
    <w:qFormat/>
    <w:locked/>
    <w:uiPriority w:val="0"/>
    <w:rPr>
      <w:rFonts w:ascii="Plotter" w:hAnsi="Plotter" w:eastAsia="宋体" w:cs="Times New Roman"/>
      <w:sz w:val="24"/>
      <w:szCs w:val="24"/>
    </w:rPr>
  </w:style>
  <w:style w:type="character" w:customStyle="1" w:styleId="226">
    <w:name w:val="标题 31 Char Char"/>
    <w:qFormat/>
    <w:uiPriority w:val="0"/>
    <w:rPr>
      <w:kern w:val="2"/>
    </w:rPr>
  </w:style>
  <w:style w:type="character" w:customStyle="1" w:styleId="227">
    <w:name w:val="font51"/>
    <w:qFormat/>
    <w:uiPriority w:val="0"/>
    <w:rPr>
      <w:rFonts w:hint="default" w:ascii="Times New Roman" w:hAnsi="Times New Roman" w:cs="Times New Roman"/>
      <w:color w:val="000000"/>
      <w:sz w:val="20"/>
      <w:szCs w:val="20"/>
      <w:u w:val="none"/>
    </w:rPr>
  </w:style>
  <w:style w:type="character" w:customStyle="1" w:styleId="228">
    <w:name w:val="hg1"/>
    <w:qFormat/>
    <w:uiPriority w:val="0"/>
    <w:rPr>
      <w:rFonts w:cs="Times New Roman"/>
      <w:spacing w:val="480"/>
      <w:sz w:val="24"/>
      <w:szCs w:val="24"/>
    </w:rPr>
  </w:style>
  <w:style w:type="character" w:customStyle="1" w:styleId="229">
    <w:name w:val="style8 style20"/>
    <w:qFormat/>
    <w:uiPriority w:val="0"/>
    <w:rPr>
      <w:rFonts w:cs="Times New Roman"/>
    </w:rPr>
  </w:style>
  <w:style w:type="character" w:customStyle="1" w:styleId="230">
    <w:name w:val="style61"/>
    <w:autoRedefine/>
    <w:qFormat/>
    <w:uiPriority w:val="0"/>
    <w:rPr>
      <w:rFonts w:ascii="Arial" w:hAnsi="Arial" w:cs="Arial"/>
      <w:b/>
      <w:bCs/>
      <w:color w:val="888888"/>
      <w:sz w:val="21"/>
      <w:szCs w:val="21"/>
    </w:rPr>
  </w:style>
  <w:style w:type="character" w:customStyle="1" w:styleId="231">
    <w:name w:val="ui-bz-bg-hover"/>
    <w:qFormat/>
    <w:uiPriority w:val="0"/>
    <w:rPr>
      <w:shd w:val="clear" w:color="auto" w:fill="000000"/>
    </w:rPr>
  </w:style>
  <w:style w:type="character" w:customStyle="1" w:styleId="232">
    <w:name w:val="xiadan"/>
    <w:qFormat/>
    <w:uiPriority w:val="0"/>
    <w:rPr>
      <w:shd w:val="clear" w:color="auto" w:fill="E4393C"/>
    </w:rPr>
  </w:style>
  <w:style w:type="character" w:customStyle="1" w:styleId="233">
    <w:name w:val="标题 3 Char Char"/>
    <w:qFormat/>
    <w:uiPriority w:val="0"/>
    <w:rPr>
      <w:rFonts w:ascii="宋体" w:hAnsi="宋体" w:cs="Arial"/>
    </w:rPr>
  </w:style>
  <w:style w:type="character" w:customStyle="1" w:styleId="234">
    <w:name w:val="正文文本 3 Char1"/>
    <w:autoRedefine/>
    <w:qFormat/>
    <w:uiPriority w:val="0"/>
    <w:rPr>
      <w:kern w:val="2"/>
      <w:sz w:val="16"/>
      <w:szCs w:val="16"/>
    </w:rPr>
  </w:style>
  <w:style w:type="character" w:customStyle="1" w:styleId="235">
    <w:name w:val="location1"/>
    <w:qFormat/>
    <w:uiPriority w:val="0"/>
    <w:rPr>
      <w:rFonts w:hint="default" w:ascii="Verdana" w:hAnsi="Verdana"/>
      <w:sz w:val="20"/>
      <w:szCs w:val="20"/>
    </w:rPr>
  </w:style>
  <w:style w:type="character" w:customStyle="1" w:styleId="236">
    <w:name w:val="icon_gys"/>
    <w:qFormat/>
    <w:uiPriority w:val="0"/>
    <w:rPr>
      <w:sz w:val="21"/>
      <w:szCs w:val="21"/>
    </w:rPr>
  </w:style>
  <w:style w:type="character" w:customStyle="1" w:styleId="237">
    <w:name w:val="样式8 Char Char"/>
    <w:qFormat/>
    <w:uiPriority w:val="0"/>
    <w:rPr>
      <w:rFonts w:ascii="宋体" w:hAnsi="宋体" w:eastAsia="宋体"/>
      <w:b/>
      <w:kern w:val="44"/>
      <w:sz w:val="32"/>
      <w:lang w:val="en-US" w:eastAsia="zh-CN" w:bidi="ar-SA"/>
    </w:rPr>
  </w:style>
  <w:style w:type="character" w:customStyle="1" w:styleId="238">
    <w:name w:val="正文（缩进） Char Char"/>
    <w:link w:val="239"/>
    <w:qFormat/>
    <w:uiPriority w:val="0"/>
    <w:rPr>
      <w:kern w:val="2"/>
      <w:sz w:val="24"/>
      <w:szCs w:val="24"/>
    </w:rPr>
  </w:style>
  <w:style w:type="paragraph" w:customStyle="1" w:styleId="239">
    <w:name w:val="正文（缩进）"/>
    <w:basedOn w:val="1"/>
    <w:link w:val="238"/>
    <w:qFormat/>
    <w:uiPriority w:val="0"/>
    <w:pPr>
      <w:spacing w:beforeLines="50" w:afterLines="50" w:line="360" w:lineRule="auto"/>
      <w:ind w:firstLine="480" w:firstLineChars="200"/>
    </w:pPr>
    <w:rPr>
      <w:sz w:val="24"/>
    </w:rPr>
  </w:style>
  <w:style w:type="character" w:customStyle="1" w:styleId="240">
    <w:name w:val="unnamed11"/>
    <w:qFormat/>
    <w:uiPriority w:val="0"/>
    <w:rPr>
      <w:rFonts w:cs="Times New Roman"/>
      <w:spacing w:val="280"/>
      <w:sz w:val="18"/>
      <w:szCs w:val="18"/>
    </w:rPr>
  </w:style>
  <w:style w:type="character" w:customStyle="1" w:styleId="241">
    <w:name w:val="icon_ds1"/>
    <w:autoRedefine/>
    <w:qFormat/>
    <w:uiPriority w:val="0"/>
    <w:rPr>
      <w:sz w:val="21"/>
      <w:szCs w:val="21"/>
    </w:rPr>
  </w:style>
  <w:style w:type="character" w:customStyle="1" w:styleId="242">
    <w:name w:val="c13px1"/>
    <w:qFormat/>
    <w:uiPriority w:val="0"/>
    <w:rPr>
      <w:rFonts w:cs="Times New Roman"/>
      <w:spacing w:val="480"/>
      <w:sz w:val="20"/>
      <w:szCs w:val="20"/>
    </w:rPr>
  </w:style>
  <w:style w:type="character" w:customStyle="1" w:styleId="243">
    <w:name w:val="my-class2"/>
    <w:qFormat/>
    <w:uiPriority w:val="0"/>
  </w:style>
  <w:style w:type="character" w:customStyle="1" w:styleId="244">
    <w:name w:val="l151"/>
    <w:qFormat/>
    <w:uiPriority w:val="0"/>
  </w:style>
  <w:style w:type="paragraph" w:customStyle="1" w:styleId="245">
    <w:name w:val="正文文字1"/>
    <w:basedOn w:val="1"/>
    <w:next w:val="50"/>
    <w:autoRedefine/>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246">
    <w:name w:val="样式10"/>
    <w:basedOn w:val="2"/>
    <w:next w:val="2"/>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247">
    <w:name w:val="样式 标题 2标题 1.1H2Heading 2 HiddenHeading 2 CCBSheading 2第一章 ..."/>
    <w:basedOn w:val="3"/>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248">
    <w:name w:val="标题2 + 居中"/>
    <w:basedOn w:val="2"/>
    <w:qFormat/>
    <w:uiPriority w:val="0"/>
    <w:pPr>
      <w:spacing w:before="0" w:after="0" w:line="360" w:lineRule="auto"/>
    </w:pPr>
    <w:rPr>
      <w:rFonts w:eastAsia="宋体"/>
      <w:b w:val="0"/>
      <w:sz w:val="44"/>
    </w:rPr>
  </w:style>
  <w:style w:type="paragraph" w:customStyle="1" w:styleId="249">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0">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251">
    <w:name w:val="编号二"/>
    <w:basedOn w:val="1"/>
    <w:qFormat/>
    <w:uiPriority w:val="0"/>
    <w:rPr>
      <w:szCs w:val="20"/>
    </w:rPr>
  </w:style>
  <w:style w:type="paragraph" w:customStyle="1" w:styleId="25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53">
    <w:name w:val="正文1"/>
    <w:basedOn w:val="1"/>
    <w:qFormat/>
    <w:uiPriority w:val="0"/>
    <w:pPr>
      <w:spacing w:line="360" w:lineRule="auto"/>
      <w:ind w:left="1260" w:leftChars="600" w:firstLine="540" w:firstLineChars="257"/>
    </w:pPr>
    <w:rPr>
      <w:rFonts w:ascii="宋体" w:hAnsi="宋体"/>
    </w:rPr>
  </w:style>
  <w:style w:type="paragraph" w:customStyle="1" w:styleId="254">
    <w:name w:val="xl69"/>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5">
    <w:name w:val="恒智正文"/>
    <w:basedOn w:val="1"/>
    <w:qFormat/>
    <w:uiPriority w:val="0"/>
    <w:pPr>
      <w:ind w:firstLine="540" w:firstLineChars="225"/>
      <w:jc w:val="left"/>
    </w:pPr>
    <w:rPr>
      <w:rFonts w:ascii="宋体" w:hAnsi="宋体"/>
      <w:sz w:val="24"/>
    </w:rPr>
  </w:style>
  <w:style w:type="paragraph" w:customStyle="1" w:styleId="256">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257">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58">
    <w:name w:val="样式 (西文) 宋体 行距: 1.5 倍行距"/>
    <w:basedOn w:val="1"/>
    <w:qFormat/>
    <w:uiPriority w:val="0"/>
    <w:pPr>
      <w:spacing w:line="360" w:lineRule="auto"/>
    </w:pPr>
    <w:rPr>
      <w:rFonts w:ascii="宋体" w:hAnsi="宋体"/>
      <w:szCs w:val="20"/>
    </w:rPr>
  </w:style>
  <w:style w:type="paragraph" w:customStyle="1" w:styleId="259">
    <w:name w:val="列出段落1"/>
    <w:basedOn w:val="1"/>
    <w:qFormat/>
    <w:uiPriority w:val="0"/>
    <w:pPr>
      <w:ind w:firstLine="420" w:firstLineChars="200"/>
    </w:pPr>
    <w:rPr>
      <w:szCs w:val="20"/>
    </w:rPr>
  </w:style>
  <w:style w:type="paragraph" w:customStyle="1" w:styleId="260">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61">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2">
    <w:name w:val="目录"/>
    <w:basedOn w:val="1"/>
    <w:next w:val="114"/>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63">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64">
    <w:name w:val="样式 样式 (中文) 仿宋_GB2312 四号 行距: 多倍行距 1.25 字行2 + 首行缩进:  2 字符"/>
    <w:basedOn w:val="1"/>
    <w:autoRedefine/>
    <w:qFormat/>
    <w:uiPriority w:val="0"/>
    <w:pPr>
      <w:snapToGrid w:val="0"/>
      <w:spacing w:line="300" w:lineRule="auto"/>
      <w:ind w:firstLine="560" w:firstLineChars="200"/>
    </w:pPr>
    <w:rPr>
      <w:rFonts w:eastAsia="仿宋_GB2312"/>
      <w:color w:val="000000"/>
      <w:kern w:val="0"/>
      <w:sz w:val="28"/>
      <w:szCs w:val="20"/>
    </w:rPr>
  </w:style>
  <w:style w:type="paragraph" w:customStyle="1" w:styleId="265">
    <w:name w:val="表项"/>
    <w:next w:val="266"/>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26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67">
    <w:name w:val="Char2"/>
    <w:basedOn w:val="18"/>
    <w:qFormat/>
    <w:uiPriority w:val="0"/>
    <w:rPr>
      <w:rFonts w:ascii="Tahoma" w:hAnsi="Tahoma"/>
      <w:sz w:val="24"/>
      <w:szCs w:val="20"/>
    </w:rPr>
  </w:style>
  <w:style w:type="paragraph" w:customStyle="1" w:styleId="268">
    <w:name w:val="_Style 224"/>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69">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0">
    <w:name w:val="样式9"/>
    <w:basedOn w:val="2"/>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271">
    <w:name w:val="框下空行"/>
    <w:basedOn w:val="1"/>
    <w:next w:val="1"/>
    <w:autoRedefine/>
    <w:qFormat/>
    <w:uiPriority w:val="0"/>
    <w:pPr>
      <w:widowControl/>
      <w:adjustRightInd w:val="0"/>
      <w:snapToGrid w:val="0"/>
      <w:spacing w:line="200" w:lineRule="exact"/>
      <w:ind w:left="680"/>
      <w:jc w:val="left"/>
    </w:pPr>
    <w:rPr>
      <w:sz w:val="18"/>
      <w:szCs w:val="20"/>
    </w:rPr>
  </w:style>
  <w:style w:type="paragraph" w:customStyle="1" w:styleId="272">
    <w:name w:val="Char2 Char Char Char"/>
    <w:basedOn w:val="1"/>
    <w:autoRedefine/>
    <w:qFormat/>
    <w:uiPriority w:val="0"/>
    <w:rPr>
      <w:rFonts w:ascii="仿宋_GB2312"/>
      <w:b/>
      <w:sz w:val="30"/>
      <w:szCs w:val="32"/>
    </w:rPr>
  </w:style>
  <w:style w:type="paragraph" w:customStyle="1" w:styleId="273">
    <w:name w:val="样式 USE 2 + 行距: 单倍行距"/>
    <w:basedOn w:val="274"/>
    <w:autoRedefine/>
    <w:qFormat/>
    <w:uiPriority w:val="0"/>
    <w:pPr>
      <w:tabs>
        <w:tab w:val="left" w:pos="360"/>
      </w:tabs>
    </w:pPr>
  </w:style>
  <w:style w:type="paragraph" w:customStyle="1" w:styleId="274">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5">
    <w:name w:val="标四"/>
    <w:next w:val="1"/>
    <w:autoRedefine/>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276">
    <w:name w:val="标题样式"/>
    <w:basedOn w:val="1"/>
    <w:qFormat/>
    <w:uiPriority w:val="0"/>
    <w:pPr>
      <w:tabs>
        <w:tab w:val="left" w:pos="420"/>
      </w:tabs>
      <w:jc w:val="left"/>
    </w:pPr>
    <w:rPr>
      <w:rFonts w:ascii="宋体" w:hAnsi="宋体"/>
      <w:sz w:val="24"/>
    </w:rPr>
  </w:style>
  <w:style w:type="paragraph" w:customStyle="1" w:styleId="277">
    <w:name w:val="表身（中）"/>
    <w:basedOn w:val="266"/>
    <w:qFormat/>
    <w:uiPriority w:val="0"/>
    <w:pPr>
      <w:jc w:val="center"/>
    </w:pPr>
  </w:style>
  <w:style w:type="paragraph" w:customStyle="1" w:styleId="278">
    <w:name w:val="缺省文本"/>
    <w:basedOn w:val="1"/>
    <w:qFormat/>
    <w:uiPriority w:val="0"/>
    <w:pPr>
      <w:autoSpaceDE w:val="0"/>
      <w:autoSpaceDN w:val="0"/>
      <w:adjustRightInd w:val="0"/>
      <w:jc w:val="left"/>
    </w:pPr>
    <w:rPr>
      <w:kern w:val="0"/>
      <w:sz w:val="24"/>
      <w:szCs w:val="20"/>
    </w:rPr>
  </w:style>
  <w:style w:type="paragraph" w:customStyle="1" w:styleId="279">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80">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281">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282">
    <w:name w:val="二级条标题"/>
    <w:basedOn w:val="283"/>
    <w:next w:val="284"/>
    <w:qFormat/>
    <w:uiPriority w:val="0"/>
    <w:pPr>
      <w:tabs>
        <w:tab w:val="left" w:pos="735"/>
      </w:tabs>
      <w:outlineLvl w:val="3"/>
    </w:pPr>
  </w:style>
  <w:style w:type="paragraph" w:customStyle="1" w:styleId="283">
    <w:name w:val="一级条标题"/>
    <w:next w:val="284"/>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2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5">
    <w:name w:val="USE 1"/>
    <w:basedOn w:val="1"/>
    <w:qFormat/>
    <w:uiPriority w:val="0"/>
    <w:pPr>
      <w:spacing w:line="200" w:lineRule="atLeast"/>
      <w:jc w:val="left"/>
    </w:pPr>
    <w:rPr>
      <w:rFonts w:ascii="宋体" w:hAnsi="宋体"/>
      <w:b/>
      <w:sz w:val="24"/>
      <w:szCs w:val="20"/>
    </w:rPr>
  </w:style>
  <w:style w:type="paragraph" w:customStyle="1" w:styleId="286">
    <w:name w:val="xl56"/>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7">
    <w:name w:val="样式 标题 3Level 3 HeadH3Heading 3 - oldh3sect1.2.3Head33l3...1"/>
    <w:basedOn w:val="4"/>
    <w:qFormat/>
    <w:uiPriority w:val="0"/>
    <w:pPr>
      <w:spacing w:line="413" w:lineRule="auto"/>
      <w:jc w:val="left"/>
      <w:outlineLvl w:val="9"/>
    </w:pPr>
    <w:rPr>
      <w:rFonts w:ascii="宋体" w:hAnsi="宋体"/>
      <w:bCs w:val="0"/>
      <w:sz w:val="24"/>
      <w:szCs w:val="20"/>
    </w:rPr>
  </w:style>
  <w:style w:type="paragraph" w:customStyle="1" w:styleId="288">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89">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290">
    <w:name w:val="菲页2"/>
    <w:basedOn w:val="4"/>
    <w:qFormat/>
    <w:uiPriority w:val="0"/>
    <w:pPr>
      <w:widowControl/>
      <w:spacing w:before="0" w:after="0" w:line="240" w:lineRule="auto"/>
      <w:jc w:val="center"/>
    </w:pPr>
    <w:rPr>
      <w:rFonts w:ascii="黑体" w:hAnsi="宋体" w:eastAsia="黑体"/>
      <w:b w:val="0"/>
      <w:bCs w:val="0"/>
      <w:sz w:val="44"/>
      <w:szCs w:val="20"/>
    </w:rPr>
  </w:style>
  <w:style w:type="paragraph" w:customStyle="1" w:styleId="291">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paragraph" w:customStyle="1" w:styleId="292">
    <w:name w:val="5"/>
    <w:basedOn w:val="1"/>
    <w:next w:val="53"/>
    <w:qFormat/>
    <w:uiPriority w:val="0"/>
    <w:pPr>
      <w:jc w:val="left"/>
    </w:pPr>
    <w:rPr>
      <w:rFonts w:cs="Plotter"/>
      <w:sz w:val="28"/>
      <w:szCs w:val="20"/>
    </w:rPr>
  </w:style>
  <w:style w:type="paragraph" w:customStyle="1" w:styleId="293">
    <w:name w:val="样式 USE 1 + 行距: 单倍行距"/>
    <w:basedOn w:val="285"/>
    <w:qFormat/>
    <w:uiPriority w:val="0"/>
    <w:pPr>
      <w:tabs>
        <w:tab w:val="left" w:pos="435"/>
      </w:tabs>
      <w:spacing w:line="180" w:lineRule="atLeast"/>
      <w:ind w:left="435" w:hanging="435"/>
    </w:pPr>
  </w:style>
  <w:style w:type="paragraph" w:customStyle="1" w:styleId="294">
    <w:name w:val="正文段"/>
    <w:basedOn w:val="1"/>
    <w:qFormat/>
    <w:uiPriority w:val="0"/>
    <w:pPr>
      <w:widowControl/>
      <w:adjustRightInd w:val="0"/>
      <w:spacing w:after="240" w:line="360" w:lineRule="atLeast"/>
      <w:jc w:val="left"/>
    </w:pPr>
    <w:rPr>
      <w:rFonts w:ascii="宋体"/>
      <w:kern w:val="0"/>
      <w:sz w:val="24"/>
      <w:szCs w:val="20"/>
    </w:rPr>
  </w:style>
  <w:style w:type="paragraph" w:customStyle="1" w:styleId="295">
    <w:name w:val="菲页(卷)"/>
    <w:basedOn w:val="2"/>
    <w:next w:val="253"/>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296">
    <w:name w:val="我的征文"/>
    <w:basedOn w:val="1"/>
    <w:qFormat/>
    <w:uiPriority w:val="0"/>
    <w:pPr>
      <w:tabs>
        <w:tab w:val="left" w:pos="851"/>
      </w:tabs>
      <w:spacing w:before="360" w:after="360"/>
      <w:ind w:left="851" w:right="113" w:hanging="851"/>
    </w:pPr>
  </w:style>
  <w:style w:type="paragraph" w:customStyle="1" w:styleId="297">
    <w:name w:val="列表1"/>
    <w:basedOn w:val="1"/>
    <w:autoRedefine/>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298">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299">
    <w:name w:val="Char Char Char2"/>
    <w:basedOn w:val="1"/>
    <w:qFormat/>
    <w:uiPriority w:val="0"/>
    <w:rPr>
      <w:rFonts w:ascii="Tahoma" w:hAnsi="Tahoma"/>
      <w:sz w:val="24"/>
      <w:szCs w:val="20"/>
    </w:rPr>
  </w:style>
  <w:style w:type="paragraph" w:customStyle="1" w:styleId="300">
    <w:name w:val="章标题"/>
    <w:next w:val="284"/>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01">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302">
    <w:name w:val="Char12"/>
    <w:basedOn w:val="1"/>
    <w:qFormat/>
    <w:uiPriority w:val="0"/>
    <w:rPr>
      <w:rFonts w:ascii="Tahoma" w:hAnsi="Tahoma"/>
      <w:sz w:val="24"/>
      <w:szCs w:val="20"/>
    </w:rPr>
  </w:style>
  <w:style w:type="paragraph" w:customStyle="1" w:styleId="30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04">
    <w:name w:val="xl36"/>
    <w:basedOn w:val="1"/>
    <w:autoRedefine/>
    <w:qFormat/>
    <w:uiPriority w:val="0"/>
    <w:pPr>
      <w:widowControl/>
      <w:spacing w:before="100" w:after="100"/>
      <w:jc w:val="center"/>
    </w:pPr>
    <w:rPr>
      <w:rFonts w:ascii="宋体" w:hAnsi="宋体"/>
      <w:kern w:val="0"/>
      <w:sz w:val="24"/>
      <w:szCs w:val="20"/>
    </w:rPr>
  </w:style>
  <w:style w:type="paragraph" w:customStyle="1" w:styleId="305">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306">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307">
    <w:name w:val="Char Char Char Char Char Char Char Char1"/>
    <w:basedOn w:val="1"/>
    <w:qFormat/>
    <w:uiPriority w:val="0"/>
    <w:pPr>
      <w:tabs>
        <w:tab w:val="left" w:pos="360"/>
      </w:tabs>
    </w:pPr>
    <w:rPr>
      <w:sz w:val="24"/>
    </w:rPr>
  </w:style>
  <w:style w:type="paragraph" w:customStyle="1" w:styleId="308">
    <w:name w:val="6"/>
    <w:basedOn w:val="1"/>
    <w:next w:val="33"/>
    <w:autoRedefine/>
    <w:qFormat/>
    <w:uiPriority w:val="0"/>
    <w:pPr>
      <w:jc w:val="left"/>
    </w:pPr>
    <w:rPr>
      <w:rFonts w:ascii="宋体" w:hAnsi="Courier New" w:cs="Plotter"/>
      <w:sz w:val="24"/>
      <w:szCs w:val="20"/>
    </w:rPr>
  </w:style>
  <w:style w:type="paragraph" w:customStyle="1" w:styleId="309">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310">
    <w:name w:val="xl71"/>
    <w:basedOn w:val="1"/>
    <w:autoRedefine/>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11">
    <w:name w:val="Char1 Char Char Char Char Char Char"/>
    <w:basedOn w:val="1"/>
    <w:qFormat/>
    <w:uiPriority w:val="0"/>
    <w:rPr>
      <w:rFonts w:ascii="Tahoma" w:hAnsi="Tahoma"/>
      <w:sz w:val="24"/>
      <w:szCs w:val="20"/>
    </w:rPr>
  </w:style>
  <w:style w:type="paragraph" w:customStyle="1" w:styleId="31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313">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314">
    <w:name w:val="彩色列表 - 强调文字颜色 11"/>
    <w:basedOn w:val="1"/>
    <w:autoRedefine/>
    <w:qFormat/>
    <w:uiPriority w:val="99"/>
    <w:pPr>
      <w:ind w:firstLine="420" w:firstLineChars="200"/>
    </w:pPr>
    <w:rPr>
      <w:rFonts w:ascii="Calibri" w:hAnsi="Calibri"/>
      <w:szCs w:val="22"/>
    </w:rPr>
  </w:style>
  <w:style w:type="paragraph" w:customStyle="1" w:styleId="315">
    <w:name w:val="样式 标题 4 + (西文) Times New Roman (中文) 宋体 (复杂脚本) Times New Roman..."/>
    <w:basedOn w:val="5"/>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317">
    <w:name w:val="样式12"/>
    <w:basedOn w:val="318"/>
    <w:qFormat/>
    <w:uiPriority w:val="0"/>
    <w:pPr>
      <w:tabs>
        <w:tab w:val="left" w:pos="0"/>
        <w:tab w:val="left" w:pos="719"/>
        <w:tab w:val="center" w:pos="4153"/>
        <w:tab w:val="right"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318">
    <w:name w:val="样式3"/>
    <w:basedOn w:val="39"/>
    <w:next w:val="39"/>
    <w:qFormat/>
    <w:uiPriority w:val="0"/>
    <w:pPr>
      <w:jc w:val="both"/>
    </w:pPr>
    <w:rPr>
      <w:kern w:val="0"/>
      <w:szCs w:val="20"/>
    </w:rPr>
  </w:style>
  <w:style w:type="paragraph" w:customStyle="1" w:styleId="319">
    <w:name w:val="Char Char Char Char Char Char Char Char Char Char Char Char Char Char Char Char"/>
    <w:basedOn w:val="1"/>
    <w:qFormat/>
    <w:uiPriority w:val="0"/>
    <w:pPr>
      <w:tabs>
        <w:tab w:val="left" w:pos="360"/>
      </w:tabs>
      <w:jc w:val="left"/>
    </w:pPr>
    <w:rPr>
      <w:sz w:val="24"/>
      <w:szCs w:val="20"/>
    </w:rPr>
  </w:style>
  <w:style w:type="paragraph" w:customStyle="1" w:styleId="320">
    <w:name w:val="Char11"/>
    <w:basedOn w:val="18"/>
    <w:qFormat/>
    <w:uiPriority w:val="0"/>
    <w:rPr>
      <w:rFonts w:ascii="Tahoma" w:hAnsi="Tahoma"/>
      <w:sz w:val="24"/>
      <w:szCs w:val="20"/>
    </w:rPr>
  </w:style>
  <w:style w:type="paragraph" w:customStyle="1" w:styleId="321">
    <w:name w:val="样式 标题 2【标题2】 + 宋体"/>
    <w:basedOn w:val="3"/>
    <w:autoRedefine/>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22">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23">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paragraph" w:customStyle="1" w:styleId="3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5">
    <w:name w:val="正文111"/>
    <w:basedOn w:val="1"/>
    <w:autoRedefine/>
    <w:qFormat/>
    <w:uiPriority w:val="0"/>
    <w:pPr>
      <w:spacing w:line="360" w:lineRule="auto"/>
      <w:ind w:left="1260" w:leftChars="600" w:firstLine="540" w:firstLineChars="257"/>
    </w:pPr>
    <w:rPr>
      <w:rFonts w:ascii="宋体" w:hAnsi="宋体"/>
    </w:rPr>
  </w:style>
  <w:style w:type="paragraph" w:customStyle="1" w:styleId="326">
    <w:name w:val="缺省文本:1"/>
    <w:basedOn w:val="1"/>
    <w:qFormat/>
    <w:uiPriority w:val="0"/>
    <w:pPr>
      <w:autoSpaceDE w:val="0"/>
      <w:autoSpaceDN w:val="0"/>
      <w:adjustRightInd w:val="0"/>
      <w:jc w:val="left"/>
    </w:pPr>
    <w:rPr>
      <w:rFonts w:ascii="宋体"/>
      <w:kern w:val="0"/>
      <w:sz w:val="24"/>
      <w:szCs w:val="20"/>
    </w:rPr>
  </w:style>
  <w:style w:type="paragraph" w:customStyle="1" w:styleId="32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8">
    <w:name w:val="p15"/>
    <w:basedOn w:val="1"/>
    <w:qFormat/>
    <w:uiPriority w:val="0"/>
    <w:pPr>
      <w:widowControl/>
      <w:ind w:firstLine="420"/>
      <w:jc w:val="left"/>
    </w:pPr>
    <w:rPr>
      <w:kern w:val="0"/>
      <w:sz w:val="20"/>
      <w:szCs w:val="20"/>
    </w:rPr>
  </w:style>
  <w:style w:type="paragraph" w:customStyle="1" w:styleId="329">
    <w:name w:val="Char Char Char Char Char Char Char Char Char Char Char"/>
    <w:basedOn w:val="1"/>
    <w:qFormat/>
    <w:uiPriority w:val="0"/>
    <w:rPr>
      <w:rFonts w:ascii="Tahoma" w:hAnsi="Tahoma"/>
      <w:sz w:val="24"/>
      <w:szCs w:val="20"/>
    </w:rPr>
  </w:style>
  <w:style w:type="paragraph" w:customStyle="1" w:styleId="330">
    <w:name w:val="表格文字"/>
    <w:basedOn w:val="1"/>
    <w:qFormat/>
    <w:uiPriority w:val="0"/>
    <w:pPr>
      <w:spacing w:line="360" w:lineRule="auto"/>
      <w:jc w:val="left"/>
    </w:pPr>
    <w:rPr>
      <w:rFonts w:ascii="Calibri" w:hAnsi="Calibri"/>
      <w:szCs w:val="21"/>
    </w:rPr>
  </w:style>
  <w:style w:type="paragraph" w:customStyle="1" w:styleId="331">
    <w:name w:val="节标题"/>
    <w:basedOn w:val="1"/>
    <w:qFormat/>
    <w:uiPriority w:val="0"/>
    <w:pPr>
      <w:ind w:firstLine="461" w:firstLineChars="192"/>
      <w:jc w:val="left"/>
    </w:pPr>
    <w:rPr>
      <w:rFonts w:ascii="黑体" w:eastAsia="黑体"/>
      <w:sz w:val="24"/>
    </w:rPr>
  </w:style>
  <w:style w:type="paragraph" w:customStyle="1" w:styleId="332">
    <w:name w:val="标题 32"/>
    <w:basedOn w:val="1"/>
    <w:next w:val="16"/>
    <w:qFormat/>
    <w:uiPriority w:val="0"/>
    <w:pPr>
      <w:widowControl/>
      <w:jc w:val="left"/>
    </w:pPr>
    <w:rPr>
      <w:sz w:val="24"/>
      <w:szCs w:val="20"/>
    </w:rPr>
  </w:style>
  <w:style w:type="paragraph" w:customStyle="1" w:styleId="333">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334">
    <w:name w:val="List Paragraph1"/>
    <w:basedOn w:val="1"/>
    <w:qFormat/>
    <w:uiPriority w:val="0"/>
    <w:pPr>
      <w:widowControl/>
      <w:ind w:firstLine="420"/>
      <w:jc w:val="left"/>
    </w:pPr>
    <w:rPr>
      <w:kern w:val="0"/>
      <w:sz w:val="20"/>
      <w:szCs w:val="20"/>
    </w:rPr>
  </w:style>
  <w:style w:type="paragraph" w:customStyle="1" w:styleId="335">
    <w:name w:val="2册标题4"/>
    <w:basedOn w:val="1"/>
    <w:next w:val="1"/>
    <w:autoRedefine/>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336">
    <w:name w:val="默认段落字体 Para Char Char Char Char Char Char Char Char Char Char"/>
    <w:basedOn w:val="18"/>
    <w:qFormat/>
    <w:uiPriority w:val="0"/>
    <w:rPr>
      <w:rFonts w:ascii="Tahoma" w:hAnsi="Tahoma"/>
      <w:sz w:val="24"/>
    </w:rPr>
  </w:style>
  <w:style w:type="paragraph" w:customStyle="1" w:styleId="337">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338">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339">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40">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41">
    <w:name w:val="maint"/>
    <w:basedOn w:val="1"/>
    <w:qFormat/>
    <w:uiPriority w:val="0"/>
    <w:pPr>
      <w:widowControl/>
      <w:jc w:val="left"/>
    </w:pPr>
    <w:rPr>
      <w:rFonts w:ascii="宋体" w:hAnsi="宋体" w:cs="宋体"/>
      <w:kern w:val="0"/>
      <w:sz w:val="24"/>
    </w:rPr>
  </w:style>
  <w:style w:type="paragraph" w:customStyle="1" w:styleId="342">
    <w:name w:val="表格"/>
    <w:basedOn w:val="1"/>
    <w:autoRedefine/>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343">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344">
    <w:name w:val="Char2 Char Char Char Char Char Char"/>
    <w:basedOn w:val="1"/>
    <w:qFormat/>
    <w:uiPriority w:val="0"/>
    <w:rPr>
      <w:rFonts w:ascii="仿宋_GB2312"/>
      <w:b/>
      <w:sz w:val="30"/>
      <w:szCs w:val="32"/>
    </w:rPr>
  </w:style>
  <w:style w:type="paragraph" w:customStyle="1" w:styleId="345">
    <w:name w:val="Char1 Char Char Char Char Char Char Char Char Char Char Char Char Char Char Char Char Char Char"/>
    <w:basedOn w:val="1"/>
    <w:qFormat/>
    <w:uiPriority w:val="0"/>
  </w:style>
  <w:style w:type="paragraph" w:customStyle="1" w:styleId="346">
    <w:name w:val="xl39"/>
    <w:basedOn w:val="1"/>
    <w:autoRedefine/>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47">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348">
    <w:name w:val="font7"/>
    <w:basedOn w:val="1"/>
    <w:qFormat/>
    <w:uiPriority w:val="0"/>
    <w:pPr>
      <w:widowControl/>
      <w:spacing w:before="100" w:beforeAutospacing="1" w:after="100" w:afterAutospacing="1"/>
      <w:jc w:val="left"/>
    </w:pPr>
    <w:rPr>
      <w:kern w:val="0"/>
      <w:sz w:val="22"/>
      <w:szCs w:val="22"/>
    </w:rPr>
  </w:style>
  <w:style w:type="paragraph" w:customStyle="1" w:styleId="349">
    <w:name w:val="Normal1"/>
    <w:basedOn w:val="2"/>
    <w:next w:val="2"/>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50">
    <w:name w:val="p0"/>
    <w:basedOn w:val="1"/>
    <w:qFormat/>
    <w:uiPriority w:val="0"/>
    <w:pPr>
      <w:widowControl/>
    </w:pPr>
    <w:rPr>
      <w:rFonts w:hint="eastAsia" w:ascii="宋体" w:hAnsi="宋体"/>
      <w:kern w:val="0"/>
      <w:szCs w:val="21"/>
    </w:rPr>
  </w:style>
  <w:style w:type="paragraph" w:customStyle="1" w:styleId="351">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52">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53">
    <w:name w:val="普通正文"/>
    <w:basedOn w:val="1"/>
    <w:autoRedefine/>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354">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55">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6">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57">
    <w:name w:val="f9"/>
    <w:basedOn w:val="1"/>
    <w:autoRedefine/>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358">
    <w:name w:val="样式5"/>
    <w:basedOn w:val="359"/>
    <w:qFormat/>
    <w:uiPriority w:val="0"/>
    <w:pPr>
      <w:keepNext/>
      <w:keepLines/>
      <w:tabs>
        <w:tab w:val="left" w:pos="567"/>
        <w:tab w:val="left" w:pos="1200"/>
        <w:tab w:val="center" w:pos="4153"/>
        <w:tab w:val="right" w:pos="8306"/>
      </w:tabs>
      <w:overflowPunct w:val="0"/>
      <w:snapToGrid/>
      <w:ind w:left="1200" w:leftChars="400" w:hanging="360" w:hangingChars="200"/>
      <w:outlineLvl w:val="0"/>
    </w:pPr>
    <w:rPr>
      <w:rFonts w:ascii="宋体" w:hAnsi="宋体"/>
      <w:b/>
      <w:sz w:val="24"/>
    </w:rPr>
  </w:style>
  <w:style w:type="paragraph" w:customStyle="1" w:styleId="359">
    <w:name w:val="样式4"/>
    <w:basedOn w:val="39"/>
    <w:next w:val="39"/>
    <w:qFormat/>
    <w:uiPriority w:val="0"/>
    <w:rPr>
      <w:kern w:val="0"/>
      <w:szCs w:val="20"/>
    </w:rPr>
  </w:style>
  <w:style w:type="paragraph" w:customStyle="1" w:styleId="360">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361">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62">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63">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364">
    <w:name w:val="样式 标题 3Level 3 HeadH3Heading 3 - oldh3sect1.2.3Head33l3...2"/>
    <w:basedOn w:val="4"/>
    <w:autoRedefine/>
    <w:qFormat/>
    <w:uiPriority w:val="0"/>
    <w:pPr>
      <w:spacing w:before="120" w:after="120" w:line="413" w:lineRule="auto"/>
      <w:jc w:val="center"/>
      <w:outlineLvl w:val="9"/>
    </w:pPr>
    <w:rPr>
      <w:rFonts w:ascii="宋体" w:hAnsi="宋体"/>
      <w:bCs w:val="0"/>
      <w:sz w:val="28"/>
      <w:szCs w:val="20"/>
    </w:rPr>
  </w:style>
  <w:style w:type="paragraph" w:customStyle="1" w:styleId="36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66">
    <w:name w:val="三级条标题"/>
    <w:basedOn w:val="282"/>
    <w:next w:val="284"/>
    <w:qFormat/>
    <w:uiPriority w:val="0"/>
    <w:pPr>
      <w:outlineLvl w:val="4"/>
    </w:pPr>
  </w:style>
  <w:style w:type="paragraph" w:customStyle="1" w:styleId="367">
    <w:name w:val="样式 标题 2 + 宋体 五号 行距: 单倍行距"/>
    <w:basedOn w:val="3"/>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8">
    <w:name w:val="font8"/>
    <w:basedOn w:val="1"/>
    <w:autoRedefine/>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369">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370">
    <w:name w:val="列出段落 Char Char"/>
    <w:basedOn w:val="1"/>
    <w:qFormat/>
    <w:uiPriority w:val="0"/>
    <w:pPr>
      <w:ind w:firstLine="420" w:firstLineChars="200"/>
    </w:pPr>
    <w:rPr>
      <w:szCs w:val="20"/>
    </w:rPr>
  </w:style>
  <w:style w:type="paragraph" w:customStyle="1" w:styleId="371">
    <w:name w:val="样式 标题 3Level 3 HeadH3Heading 3 - oldh3sect1.2.3Head33l3..."/>
    <w:basedOn w:val="4"/>
    <w:qFormat/>
    <w:uiPriority w:val="0"/>
    <w:pPr>
      <w:spacing w:line="300" w:lineRule="auto"/>
      <w:jc w:val="left"/>
      <w:outlineLvl w:val="9"/>
    </w:pPr>
    <w:rPr>
      <w:rFonts w:ascii="宋体" w:hAnsi="宋体"/>
      <w:bCs w:val="0"/>
      <w:sz w:val="28"/>
      <w:szCs w:val="20"/>
    </w:rPr>
  </w:style>
  <w:style w:type="paragraph" w:customStyle="1" w:styleId="372">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3">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74">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375">
    <w:name w:val="Char Char Char1"/>
    <w:basedOn w:val="1"/>
    <w:autoRedefine/>
    <w:qFormat/>
    <w:uiPriority w:val="0"/>
    <w:rPr>
      <w:rFonts w:ascii="Tahoma" w:hAnsi="Tahoma"/>
      <w:sz w:val="24"/>
      <w:szCs w:val="20"/>
    </w:rPr>
  </w:style>
  <w:style w:type="paragraph" w:customStyle="1" w:styleId="376">
    <w:name w:val="默认段落"/>
    <w:basedOn w:val="1"/>
    <w:qFormat/>
    <w:uiPriority w:val="0"/>
    <w:pPr>
      <w:spacing w:after="120" w:line="360" w:lineRule="auto"/>
      <w:ind w:firstLine="480" w:firstLineChars="200"/>
    </w:pPr>
    <w:rPr>
      <w:sz w:val="24"/>
      <w:szCs w:val="20"/>
    </w:rPr>
  </w:style>
  <w:style w:type="paragraph" w:customStyle="1" w:styleId="377">
    <w:name w:val="Char1"/>
    <w:basedOn w:val="18"/>
    <w:qFormat/>
    <w:uiPriority w:val="0"/>
    <w:rPr>
      <w:rFonts w:ascii="Tahoma" w:hAnsi="Tahoma"/>
      <w:sz w:val="24"/>
      <w:szCs w:val="20"/>
    </w:rPr>
  </w:style>
  <w:style w:type="paragraph" w:customStyle="1" w:styleId="378">
    <w:name w:val="样式 标题 2 + 左侧:  0 厘米 首行缩进:  0 厘米"/>
    <w:basedOn w:val="379"/>
    <w:qFormat/>
    <w:uiPriority w:val="0"/>
    <w:pPr>
      <w:tabs>
        <w:tab w:val="left" w:pos="425"/>
        <w:tab w:val="left" w:pos="851"/>
        <w:tab w:val="left" w:pos="1140"/>
      </w:tabs>
      <w:ind w:left="1140" w:hanging="240"/>
    </w:pPr>
  </w:style>
  <w:style w:type="paragraph" w:customStyle="1" w:styleId="379">
    <w:name w:val="标题 21"/>
    <w:basedOn w:val="1"/>
    <w:next w:val="16"/>
    <w:autoRedefine/>
    <w:qFormat/>
    <w:uiPriority w:val="0"/>
    <w:pPr>
      <w:tabs>
        <w:tab w:val="left" w:pos="851"/>
      </w:tabs>
      <w:ind w:left="840" w:hanging="420"/>
      <w:jc w:val="left"/>
    </w:pPr>
    <w:rPr>
      <w:rFonts w:ascii="宋体" w:hAnsi="宋体"/>
      <w:kern w:val="0"/>
      <w:sz w:val="24"/>
      <w:szCs w:val="20"/>
    </w:rPr>
  </w:style>
  <w:style w:type="paragraph" w:customStyle="1" w:styleId="380">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81">
    <w:name w:val="Char Char Char Char Char Char1 Char Char Char Char Char1"/>
    <w:basedOn w:val="18"/>
    <w:qFormat/>
    <w:uiPriority w:val="0"/>
    <w:pPr>
      <w:jc w:val="left"/>
    </w:pPr>
    <w:rPr>
      <w:rFonts w:ascii="Tahoma" w:hAnsi="Tahoma"/>
      <w:sz w:val="24"/>
    </w:rPr>
  </w:style>
  <w:style w:type="paragraph" w:customStyle="1" w:styleId="382">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3">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84">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85">
    <w:name w:val="菲页1"/>
    <w:basedOn w:val="3"/>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38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88">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389">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90">
    <w:name w:val="封面标准英文名称"/>
    <w:autoRedefine/>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391">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文章标题"/>
    <w:basedOn w:val="58"/>
    <w:next w:val="58"/>
    <w:qFormat/>
    <w:uiPriority w:val="0"/>
    <w:pPr>
      <w:widowControl/>
      <w:tabs>
        <w:tab w:val="left" w:pos="0"/>
      </w:tabs>
      <w:outlineLvl w:val="9"/>
    </w:pPr>
    <w:rPr>
      <w:rFonts w:ascii="宋体" w:hAnsi="宋体" w:eastAsia="宋体"/>
      <w:kern w:val="0"/>
    </w:rPr>
  </w:style>
  <w:style w:type="paragraph" w:customStyle="1" w:styleId="393">
    <w:name w:val="Char Char1 Char Char Char Char Char Char Char Char Char Char"/>
    <w:basedOn w:val="1"/>
    <w:qFormat/>
    <w:uiPriority w:val="0"/>
    <w:pPr>
      <w:jc w:val="left"/>
    </w:pPr>
    <w:rPr>
      <w:rFonts w:ascii="Tahoma" w:hAnsi="Tahoma"/>
      <w:sz w:val="24"/>
      <w:szCs w:val="20"/>
    </w:rPr>
  </w:style>
  <w:style w:type="paragraph" w:customStyle="1" w:styleId="394">
    <w:name w:val="四级标题"/>
    <w:basedOn w:val="35"/>
    <w:qFormat/>
    <w:uiPriority w:val="0"/>
    <w:pPr>
      <w:spacing w:line="360" w:lineRule="auto"/>
    </w:pPr>
    <w:rPr>
      <w:rFonts w:eastAsia="黑体"/>
    </w:rPr>
  </w:style>
  <w:style w:type="paragraph" w:customStyle="1" w:styleId="395">
    <w:name w:val="目录文字"/>
    <w:basedOn w:val="1"/>
    <w:qFormat/>
    <w:uiPriority w:val="0"/>
    <w:pPr>
      <w:widowControl/>
      <w:spacing w:line="480" w:lineRule="auto"/>
      <w:jc w:val="left"/>
    </w:pPr>
    <w:rPr>
      <w:rFonts w:ascii="宋体" w:hAnsi="宋体"/>
      <w:kern w:val="0"/>
      <w:sz w:val="24"/>
      <w:szCs w:val="20"/>
    </w:rPr>
  </w:style>
  <w:style w:type="paragraph" w:customStyle="1" w:styleId="396">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397">
    <w:name w:val="xl64"/>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8">
    <w:name w:val="Char Char Char Char Char Char1 Char Char Char Char Char"/>
    <w:basedOn w:val="18"/>
    <w:qFormat/>
    <w:uiPriority w:val="0"/>
    <w:pPr>
      <w:jc w:val="left"/>
    </w:pPr>
    <w:rPr>
      <w:rFonts w:ascii="Tahoma" w:hAnsi="Tahoma"/>
      <w:sz w:val="24"/>
    </w:rPr>
  </w:style>
  <w:style w:type="paragraph" w:customStyle="1" w:styleId="3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400">
    <w:name w:val="_Style 68"/>
    <w:basedOn w:val="1"/>
    <w:next w:val="24"/>
    <w:autoRedefine/>
    <w:qFormat/>
    <w:uiPriority w:val="0"/>
    <w:pPr>
      <w:spacing w:line="240" w:lineRule="atLeast"/>
      <w:jc w:val="left"/>
    </w:pPr>
    <w:rPr>
      <w:sz w:val="30"/>
      <w:szCs w:val="20"/>
    </w:rPr>
  </w:style>
  <w:style w:type="paragraph" w:customStyle="1" w:styleId="401">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403">
    <w:name w:val="保留正文"/>
    <w:basedOn w:val="24"/>
    <w:qFormat/>
    <w:uiPriority w:val="0"/>
    <w:pPr>
      <w:keepNext/>
      <w:spacing w:after="160"/>
    </w:pPr>
  </w:style>
  <w:style w:type="paragraph" w:customStyle="1" w:styleId="404">
    <w:name w:val="五号正文（标准）"/>
    <w:basedOn w:val="1"/>
    <w:qFormat/>
    <w:uiPriority w:val="0"/>
    <w:pPr>
      <w:jc w:val="left"/>
    </w:pPr>
    <w:rPr>
      <w:rFonts w:ascii="仿宋_GB2312" w:hAnsi="宋体" w:eastAsia="仿宋_GB2312" w:cs="Plotter"/>
      <w:sz w:val="24"/>
    </w:rPr>
  </w:style>
  <w:style w:type="paragraph" w:customStyle="1" w:styleId="405">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06">
    <w:name w:val="Char1 Char Char Char"/>
    <w:basedOn w:val="1"/>
    <w:qFormat/>
    <w:uiPriority w:val="0"/>
    <w:rPr>
      <w:rFonts w:ascii="Tahoma" w:hAnsi="Tahoma"/>
      <w:sz w:val="24"/>
      <w:szCs w:val="20"/>
    </w:rPr>
  </w:style>
  <w:style w:type="paragraph" w:customStyle="1" w:styleId="407">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8">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09">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410">
    <w:name w:val="Char Char Char Char Char Char Char Char Char Char Char Char Char Char Char Char1"/>
    <w:basedOn w:val="1"/>
    <w:qFormat/>
    <w:uiPriority w:val="0"/>
    <w:pPr>
      <w:tabs>
        <w:tab w:val="left" w:pos="360"/>
      </w:tabs>
      <w:jc w:val="left"/>
    </w:pPr>
    <w:rPr>
      <w:sz w:val="24"/>
      <w:szCs w:val="20"/>
    </w:rPr>
  </w:style>
  <w:style w:type="paragraph" w:customStyle="1" w:styleId="4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12">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13">
    <w:name w:val="样式2"/>
    <w:basedOn w:val="39"/>
    <w:qFormat/>
    <w:uiPriority w:val="0"/>
    <w:pPr>
      <w:jc w:val="both"/>
    </w:pPr>
    <w:rPr>
      <w:kern w:val="0"/>
      <w:szCs w:val="20"/>
    </w:rPr>
  </w:style>
  <w:style w:type="paragraph" w:customStyle="1" w:styleId="414">
    <w:name w:val="列出段落11"/>
    <w:basedOn w:val="1"/>
    <w:qFormat/>
    <w:uiPriority w:val="34"/>
    <w:pPr>
      <w:ind w:firstLine="420" w:firstLineChars="200"/>
    </w:pPr>
  </w:style>
  <w:style w:type="paragraph" w:customStyle="1" w:styleId="415">
    <w:name w:val="标题 33"/>
    <w:basedOn w:val="1"/>
    <w:qFormat/>
    <w:uiPriority w:val="0"/>
    <w:pPr>
      <w:widowControl/>
      <w:jc w:val="left"/>
    </w:pPr>
    <w:rPr>
      <w:kern w:val="0"/>
      <w:sz w:val="20"/>
      <w:szCs w:val="20"/>
    </w:rPr>
  </w:style>
  <w:style w:type="paragraph" w:customStyle="1" w:styleId="416">
    <w:name w:val="Char Char Char Char Char Char Char Char Char"/>
    <w:basedOn w:val="18"/>
    <w:qFormat/>
    <w:uiPriority w:val="0"/>
    <w:pPr>
      <w:jc w:val="left"/>
    </w:pPr>
    <w:rPr>
      <w:rFonts w:ascii="Tahoma" w:hAnsi="Tahoma"/>
      <w:sz w:val="24"/>
      <w:szCs w:val="20"/>
    </w:rPr>
  </w:style>
  <w:style w:type="paragraph" w:customStyle="1" w:styleId="417">
    <w:name w:val="三级标题"/>
    <w:basedOn w:val="1"/>
    <w:qFormat/>
    <w:uiPriority w:val="0"/>
    <w:pPr>
      <w:spacing w:line="360" w:lineRule="auto"/>
      <w:jc w:val="center"/>
    </w:pPr>
    <w:rPr>
      <w:rFonts w:eastAsia="黑体"/>
      <w:sz w:val="24"/>
      <w:szCs w:val="20"/>
    </w:rPr>
  </w:style>
  <w:style w:type="paragraph" w:customStyle="1" w:styleId="41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9">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0">
    <w:name w:val="默认段落字体 Para Char Char Char Char"/>
    <w:basedOn w:val="1"/>
    <w:qFormat/>
    <w:uiPriority w:val="0"/>
    <w:rPr>
      <w:szCs w:val="20"/>
    </w:rPr>
  </w:style>
  <w:style w:type="paragraph" w:customStyle="1" w:styleId="421">
    <w:name w:val="注："/>
    <w:next w:val="284"/>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styleId="422">
    <w:name w:val="List Paragraph"/>
    <w:basedOn w:val="1"/>
    <w:autoRedefine/>
    <w:qFormat/>
    <w:uiPriority w:val="1"/>
    <w:pPr>
      <w:ind w:left="747" w:hanging="526"/>
    </w:pPr>
    <w:rPr>
      <w:rFonts w:ascii="宋体" w:hAnsi="宋体" w:eastAsia="宋体" w:cs="宋体"/>
      <w:lang w:val="zh-CN" w:eastAsia="zh-CN" w:bidi="zh-CN"/>
    </w:rPr>
  </w:style>
  <w:style w:type="paragraph" w:customStyle="1" w:styleId="423">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4">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425">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426">
    <w:name w:val="样式 2册标题2 + 段前: 0.5 行 段后: 0.5 行"/>
    <w:basedOn w:val="374"/>
    <w:qFormat/>
    <w:uiPriority w:val="0"/>
    <w:pPr>
      <w:spacing w:beforeLines="0" w:line="240" w:lineRule="auto"/>
    </w:pPr>
    <w:rPr>
      <w:sz w:val="32"/>
    </w:rPr>
  </w:style>
  <w:style w:type="paragraph" w:customStyle="1" w:styleId="42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28">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30">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431">
    <w:name w:val="Char4"/>
    <w:basedOn w:val="1"/>
    <w:qFormat/>
    <w:uiPriority w:val="0"/>
    <w:rPr>
      <w:rFonts w:ascii="仿宋_GB2312" w:eastAsia="仿宋_GB2312"/>
      <w:b/>
      <w:sz w:val="32"/>
      <w:szCs w:val="32"/>
    </w:rPr>
  </w:style>
  <w:style w:type="paragraph" w:customStyle="1" w:styleId="432">
    <w:name w:val="标题 31"/>
    <w:basedOn w:val="253"/>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433">
    <w:name w:val="Bullet Level 1"/>
    <w:basedOn w:val="1"/>
    <w:autoRedefine/>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434">
    <w:name w:val="正文1.2"/>
    <w:basedOn w:val="1"/>
    <w:qFormat/>
    <w:uiPriority w:val="0"/>
    <w:pPr>
      <w:spacing w:line="288" w:lineRule="auto"/>
      <w:jc w:val="left"/>
    </w:pPr>
    <w:rPr>
      <w:rFonts w:ascii="宋体"/>
      <w:kern w:val="0"/>
      <w:sz w:val="28"/>
      <w:szCs w:val="20"/>
      <w:lang w:eastAsia="en-US"/>
    </w:rPr>
  </w:style>
  <w:style w:type="paragraph" w:customStyle="1" w:styleId="435">
    <w:name w:val="样式 表头 + 首行缩进:  2 字符"/>
    <w:basedOn w:val="1"/>
    <w:autoRedefine/>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436">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437">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8">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439">
    <w:name w:val="样式 宋体 行距: 1.5 倍行距"/>
    <w:basedOn w:val="1"/>
    <w:autoRedefine/>
    <w:qFormat/>
    <w:uiPriority w:val="0"/>
    <w:pPr>
      <w:tabs>
        <w:tab w:val="left" w:pos="360"/>
        <w:tab w:val="left" w:pos="420"/>
      </w:tabs>
      <w:ind w:left="360" w:hanging="360"/>
    </w:pPr>
    <w:rPr>
      <w:szCs w:val="20"/>
    </w:rPr>
  </w:style>
  <w:style w:type="paragraph" w:customStyle="1" w:styleId="440">
    <w:name w:val="样式6"/>
    <w:basedOn w:val="2"/>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41">
    <w:name w:val="符号标题3"/>
    <w:basedOn w:val="1"/>
    <w:qFormat/>
    <w:uiPriority w:val="0"/>
    <w:pPr>
      <w:spacing w:before="50"/>
      <w:ind w:firstLine="359" w:firstLineChars="171"/>
      <w:jc w:val="left"/>
    </w:pPr>
    <w:rPr>
      <w:rFonts w:ascii="宋体" w:hAnsi="宋体"/>
      <w:sz w:val="24"/>
    </w:rPr>
  </w:style>
  <w:style w:type="paragraph" w:customStyle="1" w:styleId="442">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443">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44">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445">
    <w:name w:val="默认段落字体 Para Char"/>
    <w:basedOn w:val="1"/>
    <w:qFormat/>
    <w:uiPriority w:val="0"/>
    <w:pPr>
      <w:tabs>
        <w:tab w:val="left" w:pos="360"/>
      </w:tabs>
      <w:ind w:left="420" w:hanging="420"/>
    </w:pPr>
    <w:rPr>
      <w:sz w:val="24"/>
    </w:rPr>
  </w:style>
  <w:style w:type="paragraph" w:customStyle="1" w:styleId="446">
    <w:name w:val="样式8"/>
    <w:basedOn w:val="1"/>
    <w:autoRedefine/>
    <w:qFormat/>
    <w:uiPriority w:val="0"/>
    <w:pPr>
      <w:tabs>
        <w:tab w:val="left" w:pos="720"/>
      </w:tabs>
      <w:spacing w:line="360" w:lineRule="auto"/>
      <w:ind w:left="720" w:hanging="720"/>
      <w:jc w:val="left"/>
      <w:outlineLvl w:val="0"/>
    </w:pPr>
    <w:rPr>
      <w:szCs w:val="20"/>
    </w:rPr>
  </w:style>
  <w:style w:type="paragraph" w:customStyle="1" w:styleId="447">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48">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449">
    <w:name w:val="样式 段后: 3 磅 行距: 1.5 倍行距"/>
    <w:basedOn w:val="1"/>
    <w:qFormat/>
    <w:uiPriority w:val="0"/>
    <w:pPr>
      <w:spacing w:after="60" w:line="360" w:lineRule="auto"/>
    </w:pPr>
    <w:rPr>
      <w:szCs w:val="20"/>
    </w:rPr>
  </w:style>
  <w:style w:type="paragraph" w:customStyle="1" w:styleId="450">
    <w:name w:val="Default Text"/>
    <w:basedOn w:val="1"/>
    <w:autoRedefine/>
    <w:qFormat/>
    <w:uiPriority w:val="0"/>
    <w:pPr>
      <w:autoSpaceDE w:val="0"/>
      <w:autoSpaceDN w:val="0"/>
      <w:adjustRightInd w:val="0"/>
      <w:jc w:val="left"/>
    </w:pPr>
    <w:rPr>
      <w:kern w:val="0"/>
      <w:sz w:val="24"/>
      <w:szCs w:val="20"/>
    </w:rPr>
  </w:style>
  <w:style w:type="paragraph" w:customStyle="1" w:styleId="451">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452">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5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5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55">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456">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457">
    <w:name w:val="CM41"/>
    <w:basedOn w:val="1"/>
    <w:next w:val="1"/>
    <w:autoRedefine/>
    <w:qFormat/>
    <w:uiPriority w:val="0"/>
    <w:pPr>
      <w:autoSpaceDE w:val="0"/>
      <w:autoSpaceDN w:val="0"/>
      <w:adjustRightInd w:val="0"/>
      <w:spacing w:line="468" w:lineRule="atLeast"/>
      <w:jc w:val="left"/>
    </w:pPr>
    <w:rPr>
      <w:rFonts w:ascii="宋体"/>
      <w:kern w:val="0"/>
      <w:sz w:val="24"/>
    </w:rPr>
  </w:style>
  <w:style w:type="paragraph" w:customStyle="1" w:styleId="458">
    <w:name w:val="Para 1"/>
    <w:basedOn w:val="24"/>
    <w:qFormat/>
    <w:uiPriority w:val="0"/>
    <w:pPr>
      <w:widowControl/>
      <w:ind w:left="720"/>
    </w:pPr>
    <w:rPr>
      <w:rFonts w:ascii="Arial" w:hAnsi="Arial"/>
      <w:kern w:val="0"/>
      <w:sz w:val="22"/>
      <w:szCs w:val="22"/>
      <w:lang w:eastAsia="en-US"/>
    </w:rPr>
  </w:style>
  <w:style w:type="paragraph" w:customStyle="1" w:styleId="459">
    <w:name w:val="Char Char Char"/>
    <w:basedOn w:val="1"/>
    <w:qFormat/>
    <w:uiPriority w:val="0"/>
    <w:rPr>
      <w:rFonts w:ascii="Tahoma" w:hAnsi="Tahoma"/>
      <w:sz w:val="24"/>
      <w:szCs w:val="20"/>
    </w:rPr>
  </w:style>
  <w:style w:type="paragraph" w:customStyle="1" w:styleId="460">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461">
    <w:name w:val="xl54"/>
    <w:basedOn w:val="1"/>
    <w:autoRedefine/>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62">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3">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64">
    <w:name w:val="1 Char Char Char Char"/>
    <w:basedOn w:val="1"/>
    <w:qFormat/>
    <w:uiPriority w:val="0"/>
    <w:rPr>
      <w:rFonts w:ascii="Tahoma" w:hAnsi="Tahoma"/>
      <w:sz w:val="24"/>
      <w:szCs w:val="20"/>
    </w:rPr>
  </w:style>
  <w:style w:type="paragraph" w:customStyle="1" w:styleId="465">
    <w:name w:val="Char Char Char Char Char Char Char"/>
    <w:basedOn w:val="1"/>
    <w:qFormat/>
    <w:uiPriority w:val="0"/>
    <w:pPr>
      <w:tabs>
        <w:tab w:val="left" w:pos="432"/>
      </w:tabs>
      <w:ind w:left="432" w:hanging="432"/>
    </w:pPr>
    <w:rPr>
      <w:rFonts w:ascii="Tahoma" w:hAnsi="Tahoma"/>
      <w:sz w:val="24"/>
      <w:szCs w:val="20"/>
    </w:rPr>
  </w:style>
  <w:style w:type="paragraph" w:customStyle="1" w:styleId="466">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7">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8">
    <w:name w:val="样式 标题 2标题 1.1H2Heading 2 HiddenHeading 2 CCBSheading 2第一章 ...1"/>
    <w:basedOn w:val="3"/>
    <w:autoRedefine/>
    <w:qFormat/>
    <w:uiPriority w:val="0"/>
    <w:pPr>
      <w:tabs>
        <w:tab w:val="left" w:pos="840"/>
      </w:tabs>
      <w:spacing w:before="156" w:after="156" w:line="360" w:lineRule="auto"/>
      <w:outlineLvl w:val="9"/>
    </w:pPr>
    <w:rPr>
      <w:rFonts w:eastAsia="宋体"/>
      <w:bCs w:val="0"/>
      <w:kern w:val="0"/>
      <w:sz w:val="21"/>
      <w:szCs w:val="20"/>
    </w:rPr>
  </w:style>
  <w:style w:type="paragraph" w:customStyle="1" w:styleId="469">
    <w:name w:val="标题 3正文"/>
    <w:basedOn w:val="1"/>
    <w:qFormat/>
    <w:uiPriority w:val="0"/>
    <w:pPr>
      <w:spacing w:beforeLines="50" w:line="440" w:lineRule="exact"/>
      <w:ind w:left="900"/>
      <w:jc w:val="left"/>
    </w:pPr>
    <w:rPr>
      <w:rFonts w:ascii="宋体" w:hAnsi="宋体"/>
      <w:sz w:val="24"/>
    </w:rPr>
  </w:style>
  <w:style w:type="paragraph" w:customStyle="1" w:styleId="470">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71">
    <w:name w:val="注"/>
    <w:basedOn w:val="114"/>
    <w:qFormat/>
    <w:uiPriority w:val="0"/>
    <w:rPr>
      <w:rFonts w:ascii="长城楷体" w:eastAsia="长城楷体"/>
      <w:sz w:val="21"/>
    </w:rPr>
  </w:style>
  <w:style w:type="paragraph" w:customStyle="1" w:styleId="472">
    <w:name w:val="Numbered list 2.3"/>
    <w:basedOn w:val="4"/>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473">
    <w:name w:val="Char3"/>
    <w:basedOn w:val="1"/>
    <w:qFormat/>
    <w:uiPriority w:val="0"/>
    <w:rPr>
      <w:rFonts w:ascii="Tahoma" w:hAnsi="Tahoma"/>
      <w:sz w:val="24"/>
      <w:szCs w:val="20"/>
    </w:rPr>
  </w:style>
  <w:style w:type="paragraph" w:customStyle="1" w:styleId="474">
    <w:name w:val="五级条标题"/>
    <w:basedOn w:val="475"/>
    <w:next w:val="284"/>
    <w:qFormat/>
    <w:uiPriority w:val="0"/>
    <w:pPr>
      <w:tabs>
        <w:tab w:val="left" w:pos="735"/>
      </w:tabs>
      <w:outlineLvl w:val="6"/>
    </w:pPr>
  </w:style>
  <w:style w:type="paragraph" w:customStyle="1" w:styleId="475">
    <w:name w:val="四级条标题"/>
    <w:basedOn w:val="366"/>
    <w:next w:val="284"/>
    <w:qFormat/>
    <w:uiPriority w:val="0"/>
    <w:pPr>
      <w:outlineLvl w:val="5"/>
    </w:pPr>
  </w:style>
  <w:style w:type="paragraph" w:customStyle="1" w:styleId="476">
    <w:name w:val="Char2 Char Char Char Char Char Char1"/>
    <w:basedOn w:val="1"/>
    <w:qFormat/>
    <w:uiPriority w:val="0"/>
    <w:rPr>
      <w:rFonts w:ascii="仿宋_GB2312"/>
      <w:b/>
      <w:sz w:val="30"/>
      <w:szCs w:val="32"/>
    </w:rPr>
  </w:style>
  <w:style w:type="paragraph" w:customStyle="1" w:styleId="4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8">
    <w:name w:val="项目1"/>
    <w:basedOn w:val="1"/>
    <w:autoRedefine/>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479">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80">
    <w:name w:val="样式 标题 2H2Heading 2 HiddenHeading 2 CCBS2nd levelh22Header..."/>
    <w:basedOn w:val="3"/>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481">
    <w:name w:val="标准1 段落"/>
    <w:basedOn w:val="1"/>
    <w:qFormat/>
    <w:uiPriority w:val="0"/>
    <w:pPr>
      <w:tabs>
        <w:tab w:val="left" w:pos="360"/>
      </w:tabs>
      <w:spacing w:beforeLines="50" w:line="360" w:lineRule="auto"/>
      <w:ind w:left="360" w:hanging="360"/>
    </w:pPr>
    <w:rPr>
      <w:sz w:val="24"/>
    </w:rPr>
  </w:style>
  <w:style w:type="paragraph" w:customStyle="1" w:styleId="482">
    <w:name w:val="xl42"/>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483">
    <w:name w:val="编号1"/>
    <w:basedOn w:val="1"/>
    <w:qFormat/>
    <w:uiPriority w:val="0"/>
    <w:pPr>
      <w:tabs>
        <w:tab w:val="left" w:pos="1344"/>
      </w:tabs>
      <w:spacing w:line="360" w:lineRule="auto"/>
      <w:outlineLvl w:val="0"/>
    </w:pPr>
    <w:rPr>
      <w:rFonts w:ascii="宋体" w:hAnsi="宋体"/>
      <w:sz w:val="24"/>
      <w:szCs w:val="20"/>
    </w:rPr>
  </w:style>
  <w:style w:type="paragraph" w:customStyle="1" w:styleId="484">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485">
    <w:name w:val="正文列表"/>
    <w:basedOn w:val="1"/>
    <w:qFormat/>
    <w:uiPriority w:val="0"/>
    <w:pPr>
      <w:spacing w:line="360" w:lineRule="auto"/>
      <w:jc w:val="center"/>
    </w:pPr>
    <w:rPr>
      <w:rFonts w:ascii="宋体" w:hAnsi="宋体"/>
      <w:kern w:val="0"/>
      <w:position w:val="24"/>
      <w:szCs w:val="20"/>
    </w:rPr>
  </w:style>
  <w:style w:type="paragraph" w:customStyle="1" w:styleId="486">
    <w:name w:val="样式 行距: 1.5 倍行距"/>
    <w:basedOn w:val="1"/>
    <w:qFormat/>
    <w:uiPriority w:val="0"/>
    <w:pPr>
      <w:spacing w:line="360" w:lineRule="auto"/>
    </w:pPr>
    <w:rPr>
      <w:rFonts w:ascii="宋体" w:hAnsi="宋体"/>
      <w:szCs w:val="20"/>
    </w:rPr>
  </w:style>
  <w:style w:type="paragraph" w:customStyle="1" w:styleId="487">
    <w:name w:val="样式7"/>
    <w:basedOn w:val="2"/>
    <w:next w:val="2"/>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88">
    <w:name w:val="首行缩进"/>
    <w:basedOn w:val="1"/>
    <w:autoRedefine/>
    <w:qFormat/>
    <w:uiPriority w:val="0"/>
    <w:pPr>
      <w:ind w:firstLine="480" w:firstLineChars="200"/>
    </w:pPr>
    <w:rPr>
      <w:rFonts w:ascii="Calibri" w:hAnsi="Calibri" w:cs="Times New Roman"/>
      <w:szCs w:val="22"/>
      <w:lang w:val="zh-CN"/>
    </w:rPr>
  </w:style>
  <w:style w:type="character" w:customStyle="1" w:styleId="489">
    <w:name w:val="hover18"/>
    <w:basedOn w:val="64"/>
    <w:qFormat/>
    <w:uiPriority w:val="0"/>
  </w:style>
  <w:style w:type="paragraph" w:customStyle="1" w:styleId="490">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491">
    <w:name w:val="无间隔1"/>
    <w:basedOn w:val="1"/>
    <w:qFormat/>
    <w:uiPriority w:val="99"/>
    <w:pPr>
      <w:spacing w:line="400" w:lineRule="exact"/>
    </w:pPr>
    <w:rPr>
      <w:rFonts w:ascii="Times New Roman" w:hAnsi="Times New Roman"/>
      <w:sz w:val="24"/>
      <w:szCs w:val="24"/>
    </w:rPr>
  </w:style>
  <w:style w:type="paragraph" w:customStyle="1" w:styleId="49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9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49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ontrol" Target="activeX/activeX2.xml"/><Relationship Id="rId18" Type="http://schemas.openxmlformats.org/officeDocument/2006/relationships/image" Target="media/image1.wmf"/><Relationship Id="rId17" Type="http://schemas.openxmlformats.org/officeDocument/2006/relationships/control" Target="activeX/activeX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27002</Words>
  <Characters>29295</Characters>
  <Lines>211</Lines>
  <Paragraphs>59</Paragraphs>
  <TotalTime>1</TotalTime>
  <ScaleCrop>false</ScaleCrop>
  <LinksUpToDate>false</LinksUpToDate>
  <CharactersWithSpaces>29762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2019-07-29T09:04:00Z</dcterms:created>
  <dc:creator>NTKO</dc:creator>
  <cp:lastModifiedBy>l</cp:lastModifiedBy>
  <cp:lastPrinted>2020-02-26T01:41:00Z</cp:lastPrinted>
  <dcterms:modified xsi:type="dcterms:W3CDTF">2025-07-17T11:42:05Z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6934649E3D8E4E6BB511A82FC5BCB39B_13</vt:lpwstr>
  </property>
  <property fmtid="{D5CDD505-2E9C-101B-9397-08002B2CF9AE}" pid="4" name="KSOTemplateDocerSaveRecord">
    <vt:lpwstr>eyJoZGlkIjoiMzEwNTM5NzYwMDRjMzkwZTVkZjY2ODkwMGIxNGU0OTUiLCJ1c2VySWQiOiIzNTczNzEyNzgifQ==</vt:lpwstr>
  </property>
</Properties>
</file>