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8900C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right="0"/>
        <w:rPr>
          <w:rFonts w:hint="eastAsia" w:ascii="仿宋" w:hAnsi="仿宋" w:eastAsia="仿宋" w:cs="仿宋"/>
          <w:i w:val="0"/>
          <w:iCs w:val="0"/>
          <w:caps w:val="0"/>
          <w:color w:val="333333"/>
          <w:spacing w:val="0"/>
          <w:sz w:val="32"/>
          <w:szCs w:val="32"/>
          <w:lang w:eastAsia="zh-CN"/>
        </w:rPr>
      </w:pPr>
      <w:bookmarkStart w:id="0" w:name="_GoBack"/>
      <w:r>
        <w:rPr>
          <w:rFonts w:hint="eastAsia" w:ascii="仿宋" w:hAnsi="仿宋" w:eastAsia="仿宋" w:cs="仿宋"/>
          <w:i w:val="0"/>
          <w:iCs w:val="0"/>
          <w:caps w:val="0"/>
          <w:color w:val="333333"/>
          <w:spacing w:val="0"/>
          <w:sz w:val="32"/>
          <w:szCs w:val="32"/>
          <w:shd w:val="clear" w:fill="FFFFFF"/>
          <w:lang w:val="en-US" w:eastAsia="zh-CN"/>
        </w:rPr>
        <w:t>B包（二次）</w:t>
      </w:r>
      <w:r>
        <w:rPr>
          <w:rFonts w:hint="eastAsia" w:ascii="仿宋" w:hAnsi="仿宋" w:eastAsia="仿宋" w:cs="仿宋"/>
          <w:i w:val="0"/>
          <w:iCs w:val="0"/>
          <w:caps w:val="0"/>
          <w:color w:val="333333"/>
          <w:spacing w:val="0"/>
          <w:sz w:val="32"/>
          <w:szCs w:val="32"/>
          <w:shd w:val="clear" w:fill="FFFFFF"/>
        </w:rPr>
        <w:t>未通过及原因</w:t>
      </w:r>
      <w:bookmarkEnd w:id="0"/>
      <w:r>
        <w:rPr>
          <w:rFonts w:hint="eastAsia" w:ascii="仿宋" w:hAnsi="仿宋" w:eastAsia="仿宋" w:cs="仿宋"/>
          <w:i w:val="0"/>
          <w:iCs w:val="0"/>
          <w:caps w:val="0"/>
          <w:color w:val="333333"/>
          <w:spacing w:val="0"/>
          <w:sz w:val="32"/>
          <w:szCs w:val="32"/>
          <w:shd w:val="clear" w:fill="FFFFFF"/>
          <w:lang w:eastAsia="zh-CN"/>
        </w:rPr>
        <w:t>：</w:t>
      </w:r>
    </w:p>
    <w:p w14:paraId="000DA031">
      <w:r>
        <w:rPr>
          <w:rFonts w:hint="eastAsia" w:ascii="仿宋" w:hAnsi="仿宋" w:eastAsia="仿宋" w:cs="仿宋"/>
          <w:i w:val="0"/>
          <w:iCs w:val="0"/>
          <w:caps w:val="0"/>
          <w:color w:val="333333"/>
          <w:spacing w:val="0"/>
          <w:sz w:val="32"/>
          <w:szCs w:val="32"/>
          <w:shd w:val="clear" w:fill="FFFFFF"/>
          <w:lang w:val="en-US" w:eastAsia="zh-CN"/>
        </w:rPr>
        <w:t>资格审查由采购人组成的资格审核小组根据招标文件要求对各投标企业资格证明文件等进行严格审查，其中河南金盾信安检测评估中心有限公司因为未按招标文件要求将具有良好的商业信誉和健全的财务会计制度的证明文件或承诺函（与主体库核对）、最近六个月任意月份依法缴纳社保资金的证明材料或承诺函（与主体库核对）、最近六个月任意月份依法纳税的证明材料或承诺函（与主体库核对）上传主体库，投标无效，没有通过资格审查，剩余所有投标单位均通过资格审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27B31A1"/>
    <w:rsid w:val="727B31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2026-02-03T07:32:00Z</dcterms:created>
  <dc:creator>menco</dc:creator>
  <cp:lastModifiedBy>menco</cp:lastModifiedBy>
  <dcterms:modified xsi:type="dcterms:W3CDTF">2026-02-03T07:32:27Z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F81F004AA8B6409A863EB518946B7914_11</vt:lpwstr>
  </property>
  <property fmtid="{D5CDD505-2E9C-101B-9397-08002B2CF9AE}" pid="4" name="KSOTemplateDocerSaveRecord">
    <vt:lpwstr>eyJoZGlkIjoiNzkyOTczMjc2ODYzMzhkNzQyMmQ3MzU2NDRmMzJkOTciLCJ1c2VySWQiOiIxMDg2NDE3ODY3In0=</vt:lpwstr>
  </property>
</Properties>
</file>