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480" w:lineRule="exact"/>
        <w:ind w:right="-72" w:rightChars="-30"/>
        <w:rPr>
          <w:rFonts w:hint="eastAsia" w:ascii="宋体" w:hAnsi="宋体" w:cs="宋体"/>
        </w:rPr>
      </w:pPr>
      <w:bookmarkStart w:id="0" w:name="_Toc16421"/>
      <w:r>
        <w:rPr>
          <w:rFonts w:hint="eastAsia" w:ascii="宋体" w:hAnsi="宋体" w:cs="宋体"/>
        </w:rPr>
        <w:t>第四章 采购需求</w:t>
      </w:r>
      <w:bookmarkEnd w:id="0"/>
    </w:p>
    <w:p>
      <w:pPr>
        <w:widowControl/>
        <w:adjustRightInd w:val="0"/>
        <w:spacing w:line="360" w:lineRule="auto"/>
        <w:rPr>
          <w:rFonts w:ascii="宋体" w:hAnsi="宋体"/>
          <w:b/>
          <w:kern w:val="0"/>
          <w:sz w:val="21"/>
          <w:szCs w:val="21"/>
        </w:rPr>
      </w:pPr>
      <w:r>
        <w:rPr>
          <w:rFonts w:hint="eastAsia" w:ascii="宋体" w:hAnsi="宋体"/>
          <w:b/>
          <w:kern w:val="0"/>
          <w:sz w:val="21"/>
          <w:szCs w:val="21"/>
        </w:rPr>
        <w:t>一、</w:t>
      </w:r>
      <w:r>
        <w:rPr>
          <w:rFonts w:ascii="宋体" w:hAnsi="宋体"/>
          <w:b/>
          <w:kern w:val="0"/>
          <w:sz w:val="21"/>
          <w:szCs w:val="21"/>
        </w:rPr>
        <w:t>相关说明</w:t>
      </w:r>
    </w:p>
    <w:p>
      <w:pPr>
        <w:widowControl/>
        <w:numPr>
          <w:ilvl w:val="2"/>
          <w:numId w:val="1"/>
        </w:numPr>
        <w:adjustRightInd w:val="0"/>
        <w:spacing w:line="360" w:lineRule="auto"/>
        <w:ind w:firstLine="420" w:firstLineChars="200"/>
        <w:jc w:val="left"/>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本次采购内容如果要求的某些技术标准低于国家标准，均以最新的国家标准为准。招标技术要求中未明确的技术标准也均不得低于国家标准；</w:t>
      </w:r>
    </w:p>
    <w:p>
      <w:pPr>
        <w:widowControl/>
        <w:numPr>
          <w:ilvl w:val="2"/>
          <w:numId w:val="1"/>
        </w:numPr>
        <w:adjustRightInd w:val="0"/>
        <w:spacing w:line="360" w:lineRule="auto"/>
        <w:ind w:firstLine="420" w:firstLineChars="200"/>
        <w:jc w:val="left"/>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rPr>
        <w:t>二、商务要求：</w:t>
      </w:r>
    </w:p>
    <w:p>
      <w:pPr>
        <w:spacing w:line="360" w:lineRule="auto"/>
        <w:ind w:firstLine="420" w:firstLineChars="200"/>
        <w:jc w:val="left"/>
        <w:rPr>
          <w:rFonts w:hint="eastAsia" w:ascii="宋体" w:hAnsi="宋体" w:eastAsia="宋体" w:cs="宋体"/>
          <w:sz w:val="21"/>
          <w:szCs w:val="21"/>
          <w:lang w:eastAsia="zh-CN"/>
        </w:rPr>
      </w:pPr>
      <w:r>
        <w:rPr>
          <w:rFonts w:hint="default" w:ascii="宋体" w:hAnsi="宋体" w:eastAsia="宋体" w:cs="宋体"/>
          <w:color w:val="auto"/>
          <w:kern w:val="2"/>
          <w:sz w:val="21"/>
          <w:szCs w:val="21"/>
          <w:lang w:val="en-US" w:eastAsia="zh-CN" w:bidi="ar-SA"/>
        </w:rPr>
        <w:t>1.</w:t>
      </w:r>
      <w:r>
        <w:rPr>
          <w:rFonts w:hint="eastAsia" w:ascii="宋体" w:hAnsi="宋体" w:eastAsia="宋体" w:cs="宋体"/>
          <w:sz w:val="21"/>
          <w:szCs w:val="21"/>
        </w:rPr>
        <w:t>合同履行期限：合同签订之日起180</w:t>
      </w:r>
      <w:r>
        <w:rPr>
          <w:rFonts w:hint="eastAsia" w:ascii="宋体" w:hAnsi="宋体" w:eastAsia="宋体" w:cs="宋体"/>
          <w:sz w:val="21"/>
          <w:szCs w:val="21"/>
          <w:lang w:val="en-US" w:eastAsia="zh-CN"/>
        </w:rPr>
        <w:t>日历天</w:t>
      </w:r>
    </w:p>
    <w:p>
      <w:pPr>
        <w:spacing w:line="360" w:lineRule="auto"/>
        <w:ind w:firstLine="420" w:firstLineChars="200"/>
        <w:jc w:val="left"/>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eastAsia="宋体" w:cs="宋体"/>
          <w:sz w:val="21"/>
          <w:szCs w:val="21"/>
        </w:rPr>
        <w:t>供货</w:t>
      </w:r>
      <w:r>
        <w:rPr>
          <w:rFonts w:hint="eastAsia" w:ascii="宋体" w:hAnsi="宋体" w:eastAsia="宋体" w:cs="宋体"/>
          <w:sz w:val="21"/>
          <w:szCs w:val="21"/>
          <w:lang w:eastAsia="zh-CN"/>
        </w:rPr>
        <w:t>（服务）</w:t>
      </w:r>
      <w:r>
        <w:rPr>
          <w:rFonts w:hint="eastAsia" w:ascii="宋体" w:hAnsi="宋体" w:eastAsia="宋体" w:cs="宋体"/>
          <w:sz w:val="21"/>
          <w:szCs w:val="21"/>
        </w:rPr>
        <w:t>地点：</w:t>
      </w:r>
      <w:r>
        <w:rPr>
          <w:rFonts w:hint="eastAsia" w:ascii="宋体" w:hAnsi="宋体" w:eastAsia="宋体" w:cs="宋体"/>
          <w:sz w:val="21"/>
          <w:szCs w:val="21"/>
          <w:lang w:val="en-US" w:eastAsia="zh-CN"/>
        </w:rPr>
        <w:t>武陟区域内</w:t>
      </w:r>
    </w:p>
    <w:p>
      <w:pPr>
        <w:spacing w:line="360" w:lineRule="auto"/>
        <w:ind w:firstLine="420" w:firstLineChars="200"/>
        <w:jc w:val="left"/>
        <w:rPr>
          <w:rFonts w:hint="eastAsia" w:ascii="宋体" w:hAnsi="宋体" w:eastAsia="宋体" w:cs="宋体"/>
          <w:sz w:val="21"/>
          <w:szCs w:val="21"/>
        </w:rPr>
      </w:pPr>
      <w:r>
        <w:rPr>
          <w:rFonts w:hint="default" w:ascii="宋体" w:hAnsi="宋体" w:eastAsia="宋体" w:cs="宋体"/>
          <w:sz w:val="21"/>
          <w:szCs w:val="21"/>
          <w:lang w:val="en-US" w:eastAsia="zh-CN"/>
        </w:rPr>
        <w:t>3.</w:t>
      </w:r>
      <w:r>
        <w:rPr>
          <w:rFonts w:hint="eastAsia" w:ascii="宋体" w:hAnsi="宋体" w:eastAsia="宋体" w:cs="宋体"/>
          <w:sz w:val="21"/>
          <w:szCs w:val="21"/>
        </w:rPr>
        <w:t>质量标准：符合国家现行及行业标准</w:t>
      </w:r>
    </w:p>
    <w:p>
      <w:pPr>
        <w:spacing w:line="360" w:lineRule="auto"/>
        <w:ind w:firstLine="420" w:firstLineChars="200"/>
        <w:jc w:val="left"/>
        <w:rPr>
          <w:rFonts w:hint="eastAsia" w:ascii="宋体" w:hAnsi="宋体" w:eastAsia="宋体" w:cs="宋体"/>
          <w:sz w:val="21"/>
          <w:szCs w:val="21"/>
        </w:rPr>
      </w:pPr>
      <w:r>
        <w:rPr>
          <w:rFonts w:hint="default" w:ascii="宋体" w:hAnsi="宋体" w:eastAsia="宋体" w:cs="宋体"/>
          <w:sz w:val="21"/>
          <w:szCs w:val="21"/>
          <w:lang w:val="en-US" w:eastAsia="zh-CN"/>
        </w:rPr>
        <w:t>4.</w:t>
      </w:r>
      <w:r>
        <w:rPr>
          <w:rFonts w:hint="eastAsia" w:ascii="宋体" w:hAnsi="宋体" w:eastAsia="宋体" w:cs="宋体"/>
          <w:sz w:val="21"/>
          <w:szCs w:val="21"/>
        </w:rPr>
        <w:t>质量保证期：一年</w:t>
      </w:r>
    </w:p>
    <w:p>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default" w:ascii="宋体" w:hAnsi="宋体" w:eastAsia="宋体" w:cs="宋体"/>
          <w:sz w:val="21"/>
          <w:szCs w:val="21"/>
          <w:lang w:val="en-US" w:eastAsia="zh-CN"/>
        </w:rPr>
        <w:t>.</w:t>
      </w:r>
      <w:r>
        <w:rPr>
          <w:rFonts w:hint="eastAsia" w:ascii="宋体" w:hAnsi="宋体" w:eastAsia="宋体" w:cs="宋体"/>
          <w:sz w:val="21"/>
          <w:szCs w:val="21"/>
        </w:rPr>
        <w:t>付款方式：合同生效后，乙方负责送货至甲方指定地点。货物全部到位，安装调试完成，经验收合格后，支付合同价款的90%； 剩余10%，一年后付清（无利息）。</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rPr>
        <w:t>三、其他要求：</w:t>
      </w:r>
    </w:p>
    <w:p>
      <w:pPr>
        <w:widowControl/>
        <w:shd w:val="clear" w:color="auto" w:fill="auto"/>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售后服务要求：</w:t>
      </w:r>
    </w:p>
    <w:p>
      <w:pPr>
        <w:widowControl/>
        <w:shd w:val="clear" w:color="auto" w:fill="auto"/>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eastAsia="zh-CN" w:bidi="ar"/>
        </w:rPr>
        <w:t>故障响应时间：7×24×365全年实施故障响应，接到故障通知后2小时内响应，24小时内到达现场维修并解决问题。</w:t>
      </w:r>
    </w:p>
    <w:p>
      <w:pPr>
        <w:widowControl/>
        <w:shd w:val="clear" w:color="auto" w:fill="auto"/>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eastAsia="zh-CN" w:bidi="ar"/>
        </w:rPr>
        <w:t>产品质量保证期从产品验收合格之日起计算，易损件及消耗品不在质保范围内。在质保期内，维修、保养、配件供应(消耗品除外)免费。</w:t>
      </w:r>
    </w:p>
    <w:p>
      <w:pPr>
        <w:widowControl/>
        <w:shd w:val="clear" w:color="auto" w:fill="auto"/>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3.</w:t>
      </w:r>
      <w:r>
        <w:rPr>
          <w:rFonts w:hint="eastAsia" w:ascii="宋体" w:hAnsi="宋体" w:eastAsia="宋体" w:cs="宋体"/>
          <w:color w:val="auto"/>
          <w:kern w:val="0"/>
          <w:sz w:val="21"/>
          <w:szCs w:val="21"/>
          <w:highlight w:val="none"/>
          <w:lang w:eastAsia="zh-CN" w:bidi="ar"/>
        </w:rPr>
        <w:t>如货物经</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两次维修仍不能达到约定的质量标准，视作</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未能按时交货，</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有权退货并追究</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的违约责任。</w:t>
      </w:r>
    </w:p>
    <w:p>
      <w:pPr>
        <w:widowControl/>
        <w:shd w:val="clear" w:color="auto" w:fill="auto"/>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eastAsia="zh-CN" w:bidi="ar"/>
        </w:rPr>
        <w:t>在</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未完全掌握设备使用技术前，</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须指派专人负责与</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联系售后服务事宜。</w:t>
      </w:r>
    </w:p>
    <w:p>
      <w:pPr>
        <w:widowControl/>
        <w:shd w:val="clear" w:color="auto" w:fill="auto"/>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eastAsia="zh-CN" w:bidi="ar"/>
        </w:rPr>
        <w:t>质保期外的售后服务按招标文件和</w:t>
      </w:r>
      <w:r>
        <w:rPr>
          <w:rFonts w:hint="eastAsia" w:ascii="宋体" w:hAnsi="宋体" w:eastAsia="宋体" w:cs="宋体"/>
          <w:color w:val="auto"/>
          <w:kern w:val="0"/>
          <w:sz w:val="21"/>
          <w:szCs w:val="21"/>
          <w:highlight w:val="none"/>
          <w:lang w:val="en-US" w:eastAsia="zh-CN" w:bidi="ar"/>
        </w:rPr>
        <w:t>供应商的</w:t>
      </w:r>
      <w:r>
        <w:rPr>
          <w:rFonts w:hint="eastAsia" w:ascii="宋体" w:hAnsi="宋体" w:eastAsia="宋体" w:cs="宋体"/>
          <w:color w:val="auto"/>
          <w:kern w:val="0"/>
          <w:sz w:val="21"/>
          <w:szCs w:val="21"/>
          <w:highlight w:val="none"/>
          <w:lang w:eastAsia="zh-CN" w:bidi="ar"/>
        </w:rPr>
        <w:t>投标文件执行，如招标文件没有规定，可由双方另行约定。</w:t>
      </w:r>
    </w:p>
    <w:p>
      <w:pPr>
        <w:widowControl/>
        <w:shd w:val="clear" w:color="auto" w:fill="auto"/>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w:t>
      </w:r>
      <w:r>
        <w:rPr>
          <w:rFonts w:hint="eastAsia" w:ascii="宋体" w:hAnsi="宋体" w:eastAsia="宋体" w:cs="宋体"/>
          <w:color w:val="auto"/>
          <w:kern w:val="0"/>
          <w:sz w:val="21"/>
          <w:szCs w:val="21"/>
          <w:highlight w:val="none"/>
          <w:lang w:eastAsia="zh-CN" w:bidi="ar"/>
        </w:rPr>
        <w:t>培训要求：</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负责对</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操作、维修人员和有关技术人员进行培训，使之完全掌握全部使用技术。</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rPr>
        <w:t>四、采购内容及技术要求</w:t>
      </w:r>
    </w:p>
    <w:p>
      <w:pPr>
        <w:spacing w:line="360" w:lineRule="auto"/>
        <w:ind w:firstLine="420" w:firstLineChars="200"/>
        <w:jc w:val="left"/>
        <w:rPr>
          <w:rFonts w:hint="eastAsia" w:ascii="宋体" w:hAnsi="宋体"/>
          <w:sz w:val="21"/>
          <w:szCs w:val="21"/>
        </w:rPr>
      </w:pPr>
      <w:r>
        <w:rPr>
          <w:rFonts w:hint="eastAsia" w:ascii="宋体" w:hAnsi="宋体"/>
          <w:sz w:val="21"/>
          <w:szCs w:val="21"/>
        </w:rPr>
        <w:t>1.本项目的核心产品为：</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cs="宋体"/>
          <w:sz w:val="21"/>
          <w:szCs w:val="21"/>
          <w:highlight w:val="none"/>
          <w:u w:val="single"/>
          <w:lang w:val="en-US" w:eastAsia="zh-CN"/>
        </w:rPr>
        <w:t>养殖舍数字孪生可视化系统</w:t>
      </w:r>
      <w:r>
        <w:rPr>
          <w:rFonts w:hint="eastAsia" w:ascii="宋体" w:hAnsi="宋体"/>
          <w:sz w:val="21"/>
          <w:szCs w:val="21"/>
          <w:u w:val="single"/>
        </w:rPr>
        <w:t xml:space="preserve">  </w:t>
      </w:r>
      <w:r>
        <w:rPr>
          <w:rFonts w:hint="eastAsia" w:ascii="宋体" w:hAnsi="宋体"/>
          <w:sz w:val="21"/>
          <w:szCs w:val="21"/>
        </w:rPr>
        <w:t>（核心产品仅适用于本项目同一品牌的认定，同一品牌的认定详见投标人须知）</w:t>
      </w:r>
    </w:p>
    <w:tbl>
      <w:tblPr>
        <w:tblStyle w:val="4"/>
        <w:tblW w:w="9715"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8"/>
        <w:gridCol w:w="740"/>
        <w:gridCol w:w="1080"/>
        <w:gridCol w:w="5955"/>
        <w:gridCol w:w="696"/>
        <w:gridCol w:w="6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8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标的名称</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主要技术参数、性能、配置等要求</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数量/单位</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971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2741" w:firstLineChars="130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一、环境测控与智能作业系统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1</w:t>
            </w:r>
          </w:p>
        </w:tc>
        <w:tc>
          <w:tcPr>
            <w:tcW w:w="18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养殖舍数字孪生可视化系统(</w:t>
            </w:r>
            <w:r>
              <w:rPr>
                <w:rFonts w:hint="eastAsia" w:ascii="宋体" w:hAnsi="宋体" w:cs="宋体"/>
                <w:color w:val="auto"/>
                <w:sz w:val="21"/>
                <w:szCs w:val="21"/>
              </w:rPr>
              <w:t>核心产品</w:t>
            </w:r>
            <w:r>
              <w:rPr>
                <w:rFonts w:hint="eastAsia" w:ascii="宋体" w:hAnsi="宋体" w:eastAsia="宋体" w:cs="宋体"/>
                <w:i w:val="0"/>
                <w:iCs w:val="0"/>
                <w:color w:val="auto"/>
                <w:kern w:val="0"/>
                <w:sz w:val="21"/>
                <w:szCs w:val="21"/>
                <w:u w:val="none"/>
                <w:lang w:val="en-US" w:eastAsia="zh-CN" w:bidi="ar"/>
              </w:rPr>
              <w:t>)</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系统能够实现养殖舍物理对象和数字空间的双向映射、动态交互和实时连接，最大限度实现数字虚体模型和物理实体的保真度，动态模拟系统现场实时工作状态，系统可视化管理设计，通过可视化的畜牧业设施系统数字孪生模型，动态模拟系统现场实时工作状态，可通过动画清晰直观的实时查看设备控制的工作情况。系统智能执行记录，对设施控制设备的工作状态，工作开始时间、结束时间、操作人等信息进行记录，保证所有操作有迹可循，支持阶段数据查询，可对数据生成导出表单。</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2</w:t>
            </w:r>
          </w:p>
        </w:tc>
        <w:tc>
          <w:tcPr>
            <w:tcW w:w="7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养殖舍畜禽监测感知系统</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监测球机</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400万23倍全彩智能低功率球机_POE供电；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主码流支持2560x1440，子码流支持704x576，第三码流支持1920x1080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设备靶面尺寸为1/2.8英寸；</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最低照度彩色不大于0.005 lx，黑白不大于0.001 lx；</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支持水平旋转范围360°连续旋转，垂直旋转范围-15°~90°。</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支持300个预置位，可按照所设置的预置位完成大于8条巡航路径。支持预置位视频冻结功能。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支持H.264、H.265、MJPEG视频编码格式，可将H.264、H.265格式设置为High Profile/Main/Baseline。</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1个内置麦克风，支持拾音功能。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★可对经过设定区域的行人进行人脸检测和人脸跟踪，当检测到人脸后，可抓拍人脸图片。（</w:t>
            </w:r>
            <w:r>
              <w:rPr>
                <w:rFonts w:hint="eastAsia" w:ascii="宋体" w:hAnsi="宋体" w:eastAsia="宋体" w:cs="宋体"/>
                <w:b/>
                <w:bCs/>
                <w:color w:val="auto"/>
                <w:sz w:val="21"/>
                <w:szCs w:val="21"/>
                <w:lang w:val="en-US" w:eastAsia="zh-CN"/>
              </w:rPr>
              <w:t>投标文件中需提供由第三方检测机构出具的加盖生产厂家公章的产品检测报告扫描件或复印件</w:t>
            </w:r>
            <w:r>
              <w:rPr>
                <w:rFonts w:hint="eastAsia" w:ascii="宋体" w:hAnsi="宋体" w:eastAsia="宋体" w:cs="宋体"/>
                <w:i w:val="0"/>
                <w:iCs w:val="0"/>
                <w:color w:val="auto"/>
                <w:kern w:val="0"/>
                <w:sz w:val="21"/>
                <w:szCs w:val="21"/>
                <w:u w:val="none"/>
                <w:lang w:val="en-US" w:eastAsia="zh-CN" w:bidi="ar"/>
              </w:rPr>
              <w:t>）</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★设备支持白光、红外光，夜间天气晴朗无遮挡条件下，开启白光灯，可识别距离设备30m处的人体轮廓；开启红外灯可识别距离设备100m处的人体轮廓。（</w:t>
            </w:r>
            <w:r>
              <w:rPr>
                <w:rFonts w:hint="eastAsia" w:ascii="宋体" w:hAnsi="宋体" w:eastAsia="宋体" w:cs="宋体"/>
                <w:b/>
                <w:bCs/>
                <w:color w:val="auto"/>
                <w:sz w:val="21"/>
                <w:szCs w:val="21"/>
                <w:lang w:val="en-US" w:eastAsia="zh-CN"/>
              </w:rPr>
              <w:t>投标文件中需提供由第三方检测机构出具的加盖生产厂家公章的产品检测报告扫描件或复印件</w:t>
            </w:r>
            <w:r>
              <w:rPr>
                <w:rFonts w:hint="eastAsia" w:ascii="宋体" w:hAnsi="宋体" w:eastAsia="宋体" w:cs="宋体"/>
                <w:i w:val="0"/>
                <w:iCs w:val="0"/>
                <w:color w:val="auto"/>
                <w:kern w:val="0"/>
                <w:sz w:val="21"/>
                <w:szCs w:val="21"/>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★设备具有1个RJ45网络接口、1路音频输入、1路音频输出、1路报警输入、1路报警输出、1个SD卡槽。设备采用220V转12V电源适配器供电。（</w:t>
            </w:r>
            <w:r>
              <w:rPr>
                <w:rFonts w:hint="eastAsia" w:ascii="宋体" w:hAnsi="宋体" w:eastAsia="宋体" w:cs="宋体"/>
                <w:b/>
                <w:bCs/>
                <w:color w:val="auto"/>
                <w:sz w:val="21"/>
                <w:szCs w:val="21"/>
                <w:lang w:val="en-US" w:eastAsia="zh-CN"/>
              </w:rPr>
              <w:t>投标文件中需提供由第三方检测机构出具的加盖生产厂家公章的产品检测报告扫描件或复印件</w:t>
            </w:r>
            <w:r>
              <w:rPr>
                <w:rFonts w:hint="eastAsia" w:ascii="宋体" w:hAnsi="宋体" w:eastAsia="宋体" w:cs="宋体"/>
                <w:i w:val="0"/>
                <w:iCs w:val="0"/>
                <w:color w:val="auto"/>
                <w:kern w:val="0"/>
                <w:sz w:val="21"/>
                <w:szCs w:val="21"/>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red"/>
                <w:u w:val="none"/>
                <w:lang w:val="en-US" w:eastAsia="zh-CN" w:bidi="ar"/>
              </w:rPr>
            </w:pPr>
            <w:r>
              <w:rPr>
                <w:rFonts w:hint="eastAsia" w:ascii="宋体" w:hAnsi="宋体" w:eastAsia="宋体" w:cs="宋体"/>
                <w:i w:val="0"/>
                <w:iCs w:val="0"/>
                <w:color w:val="auto"/>
                <w:kern w:val="0"/>
                <w:sz w:val="21"/>
                <w:szCs w:val="21"/>
                <w:u w:val="none"/>
                <w:lang w:val="en-US" w:eastAsia="zh-CN" w:bidi="ar"/>
              </w:rPr>
              <w:t>设备支持IP66防尘防水，工作温度：-30 °C~65 °C</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电源：DC12 V：最大功耗：24 W（其中除雾加热不高于1.6 W，补光灯不高于9 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PoE：IEEE802.3at</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180台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kern w:val="0"/>
                <w:sz w:val="21"/>
                <w:szCs w:val="21"/>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硬盘录像机</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具有2个HDMI接口、2个VGA接口、2个RJ45网络接口、2个USB2.0接口、1个USB3.0接口、1个RS232接口、1个RS485接口、1个eSata接口；具有1路音频输入接口、2路音频输出接口，16路报警输入接口、9路报警输出接口，1个DC 12V输出接口；可内置8个SATA接口硬盘</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w:t>
            </w:r>
            <w:r>
              <w:rPr>
                <w:rFonts w:hint="eastAsia" w:ascii="宋体" w:hAnsi="宋体" w:eastAsia="宋体" w:cs="宋体"/>
                <w:b/>
                <w:bCs/>
                <w:color w:val="auto"/>
                <w:sz w:val="21"/>
                <w:szCs w:val="21"/>
                <w:lang w:val="en-US" w:eastAsia="zh-CN"/>
              </w:rPr>
              <w:t>投标文件中需提供由第三方检测机构出具的加盖生产厂家公章的产品检测报告扫描件或复印件</w:t>
            </w:r>
            <w:r>
              <w:rPr>
                <w:rFonts w:hint="eastAsia" w:ascii="宋体" w:hAnsi="宋体" w:eastAsia="宋体" w:cs="宋体"/>
                <w:i w:val="0"/>
                <w:iCs w:val="0"/>
                <w:color w:val="auto"/>
                <w:kern w:val="0"/>
                <w:sz w:val="21"/>
                <w:szCs w:val="21"/>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★可接入1T、2T、3T、4T、6T、8T、10T、12TB、14TB、16TB容量的SATA接口硬盘；</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w:t>
            </w:r>
            <w:r>
              <w:rPr>
                <w:rFonts w:hint="eastAsia" w:ascii="宋体" w:hAnsi="宋体" w:eastAsia="宋体" w:cs="宋体"/>
                <w:b/>
                <w:bCs/>
                <w:color w:val="auto"/>
                <w:sz w:val="21"/>
                <w:szCs w:val="21"/>
                <w:lang w:val="en-US" w:eastAsia="zh-CN"/>
              </w:rPr>
              <w:t>投标文件中需提供由第三方检测机构出具的加盖生产厂家公章的产品检测报告扫描件或复印件</w:t>
            </w:r>
            <w:r>
              <w:rPr>
                <w:rFonts w:hint="eastAsia" w:ascii="宋体" w:hAnsi="宋体" w:eastAsia="宋体" w:cs="宋体"/>
                <w:i w:val="0"/>
                <w:iCs w:val="0"/>
                <w:color w:val="auto"/>
                <w:kern w:val="0"/>
                <w:sz w:val="21"/>
                <w:szCs w:val="21"/>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★可接入32路分辨率为1920×1080的视频图像；支持最大接入带宽256Mbps，最大存储带宽256Mbps，最大转发带宽160Mbps，最大回放带宽160Mbps（</w:t>
            </w:r>
            <w:r>
              <w:rPr>
                <w:rFonts w:hint="eastAsia" w:ascii="宋体" w:hAnsi="宋体" w:eastAsia="宋体" w:cs="宋体"/>
                <w:b/>
                <w:bCs/>
                <w:color w:val="auto"/>
                <w:sz w:val="21"/>
                <w:szCs w:val="21"/>
                <w:lang w:val="en-US" w:eastAsia="zh-CN"/>
              </w:rPr>
              <w:t>投标文件中需提供由第三方检测机构出具的加盖生产厂家公章的产品检测报告扫描件或复印件</w:t>
            </w:r>
            <w:r>
              <w:rPr>
                <w:rFonts w:hint="eastAsia" w:ascii="宋体" w:hAnsi="宋体" w:eastAsia="宋体" w:cs="宋体"/>
                <w:i w:val="0"/>
                <w:iCs w:val="0"/>
                <w:color w:val="auto"/>
                <w:kern w:val="0"/>
                <w:sz w:val="21"/>
                <w:szCs w:val="21"/>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可同时显示输出12路H.265编码、30fps、1920×1080格式的视频图像，或同时输出3路 H.265编码、25fps、4096×2160或者3840×2160格式的视频图像，或同时解码2路 H.265编码、20fps、4000×3000格式的视频图像</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可同时正放或倒放4路H.265/H.264编码、2560×1440格式的视频图像，或者3路H.264编码、4096×2160格式的视频图像；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★具有存储安全保障功能，当存储压力过高或硬盘出现性能不足时，可优先录像业务存储；（</w:t>
            </w:r>
            <w:r>
              <w:rPr>
                <w:rFonts w:hint="eastAsia" w:ascii="宋体" w:hAnsi="宋体" w:eastAsia="宋体" w:cs="宋体"/>
                <w:b/>
                <w:bCs/>
                <w:color w:val="auto"/>
                <w:sz w:val="21"/>
                <w:szCs w:val="21"/>
                <w:lang w:val="en-US" w:eastAsia="zh-CN"/>
              </w:rPr>
              <w:t>投标文件中需提供由第三方检测机构出具的加盖生产厂家公章的产品检测报告扫描件或复印件</w:t>
            </w:r>
            <w:r>
              <w:rPr>
                <w:rFonts w:hint="eastAsia" w:ascii="宋体" w:hAnsi="宋体" w:eastAsia="宋体" w:cs="宋体"/>
                <w:i w:val="0"/>
                <w:iCs w:val="0"/>
                <w:color w:val="auto"/>
                <w:kern w:val="0"/>
                <w:sz w:val="21"/>
                <w:szCs w:val="21"/>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red"/>
                <w:u w:val="none"/>
                <w:lang w:val="en-US" w:eastAsia="zh-CN" w:bidi="ar"/>
              </w:rPr>
            </w:pPr>
            <w:r>
              <w:rPr>
                <w:rFonts w:hint="eastAsia" w:ascii="宋体" w:hAnsi="宋体" w:eastAsia="宋体" w:cs="宋体"/>
                <w:i w:val="0"/>
                <w:iCs w:val="0"/>
                <w:color w:val="auto"/>
                <w:kern w:val="0"/>
                <w:sz w:val="21"/>
                <w:szCs w:val="21"/>
                <w:u w:val="none"/>
                <w:lang w:val="en-US" w:eastAsia="zh-CN" w:bidi="ar"/>
              </w:rPr>
              <w:t>★支持在线检查硬盘的运行状态、健康状态，包括低温警报、高温警报、异步信号恢复警报、重新分配扇区技术警报，读取恢复警报、无法修复的错误警报、机械故障警报、接口CRC警报、机械故障警报、硬复位警报、软复位警报、磁头加载率警报、电源接通复位率警报、总工作负载率警报、生命周期内工作负载总量警报、上电复位警报、磁头加载计数警报、电源开启小时警报；（</w:t>
            </w:r>
            <w:r>
              <w:rPr>
                <w:rFonts w:hint="eastAsia" w:ascii="宋体" w:hAnsi="宋体" w:eastAsia="宋体" w:cs="宋体"/>
                <w:b/>
                <w:bCs/>
                <w:color w:val="auto"/>
                <w:sz w:val="21"/>
                <w:szCs w:val="21"/>
                <w:lang w:val="en-US" w:eastAsia="zh-CN"/>
              </w:rPr>
              <w:t>投标文件中需提供由第三方检测机构出具的加盖生产厂家公章的产品检测报告扫描件或复印件</w:t>
            </w:r>
            <w:r>
              <w:rPr>
                <w:rFonts w:hint="eastAsia" w:ascii="宋体" w:hAnsi="宋体" w:eastAsia="宋体" w:cs="宋体"/>
                <w:i w:val="0"/>
                <w:iCs w:val="0"/>
                <w:color w:val="auto"/>
                <w:kern w:val="0"/>
                <w:sz w:val="21"/>
                <w:szCs w:val="21"/>
                <w:u w:val="none"/>
                <w:lang w:val="en-US" w:eastAsia="zh-CN" w:bidi="ar"/>
              </w:rPr>
              <w:t>）</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支持网络状态检测，支持网络延时、丢包测试，支持网络抓包备份。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支持本地和远程进行IPv6配置，IPv6支持设置多种模式：路由公告、自动获取、手动配置；</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10台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1"/>
                <w:szCs w:val="21"/>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监控硬盘</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red"/>
                <w:u w:val="none"/>
                <w:lang w:val="en-US" w:eastAsia="zh-CN" w:bidi="ar"/>
              </w:rPr>
            </w:pPr>
            <w:r>
              <w:rPr>
                <w:rFonts w:hint="eastAsia" w:ascii="宋体" w:hAnsi="宋体" w:eastAsia="宋体" w:cs="宋体"/>
                <w:i w:val="0"/>
                <w:iCs w:val="0"/>
                <w:color w:val="000000"/>
                <w:kern w:val="0"/>
                <w:sz w:val="21"/>
                <w:szCs w:val="21"/>
                <w:u w:val="none"/>
                <w:lang w:val="en-US" w:eastAsia="zh-CN" w:bidi="ar"/>
              </w:rPr>
              <w:t>≥10TB,≥7200RPM,≥256MB, SATA≥6Gb/s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支持RAID应用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≥256MB缓冲区，流畅存储视频有效防止丢帧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年写入负载：不小于550TB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24×7全天候高效稳定运行</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30块</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1"/>
                <w:szCs w:val="21"/>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显示器</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red"/>
                <w:u w:val="none"/>
                <w:lang w:val="en-US" w:eastAsia="zh-CN" w:bidi="ar"/>
              </w:rPr>
            </w:pPr>
            <w:r>
              <w:rPr>
                <w:rFonts w:hint="eastAsia" w:ascii="宋体" w:hAnsi="宋体" w:eastAsia="宋体" w:cs="宋体"/>
                <w:i w:val="0"/>
                <w:iCs w:val="0"/>
                <w:color w:val="000000"/>
                <w:kern w:val="0"/>
                <w:sz w:val="21"/>
                <w:szCs w:val="21"/>
                <w:u w:val="none"/>
                <w:lang w:val="en-US" w:eastAsia="zh-CN" w:bidi="ar"/>
              </w:rPr>
              <w:t>65寸,4K分辨率，包括HDMI线、支架</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10个</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1"/>
                <w:szCs w:val="21"/>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辅材配件及实施</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red"/>
                <w:u w:val="none"/>
                <w:lang w:val="en-US" w:eastAsia="zh-CN" w:bidi="ar"/>
              </w:rPr>
            </w:pPr>
            <w:r>
              <w:rPr>
                <w:rFonts w:hint="eastAsia" w:ascii="宋体" w:hAnsi="宋体" w:eastAsia="宋体" w:cs="宋体"/>
                <w:i w:val="0"/>
                <w:iCs w:val="0"/>
                <w:color w:val="000000"/>
                <w:kern w:val="0"/>
                <w:sz w:val="21"/>
                <w:szCs w:val="21"/>
                <w:u w:val="none"/>
                <w:lang w:val="en-US" w:eastAsia="zh-CN" w:bidi="ar"/>
              </w:rPr>
              <w:t>配套交换机，光纤（含熔接）、摄像头支架、电源、网线、电源线、水晶头等包含光纤（含熔接）、设备防水箱、线管线槽等配套辅助硬件，安装、布线、调试</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971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二、数字生产运营管理系统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三维可视化畜牧资源一张图</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三维GIS底图</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用户基于三维GIS地图对创新基地的畜牧业资源信息进行管理与显示，在地图上可以找到对应的区域，通过三维GIS地图以“一张图”的形式进行资源管理，用户可以在三维地图上管理和查看农业资源信息。支持重点区域引入基地和物联设备数字孪生技术，打造多场景、多业务协同、动态交互的全景图。</w:t>
            </w:r>
          </w:p>
        </w:tc>
        <w:tc>
          <w:tcPr>
            <w:tcW w:w="696" w:type="dxa"/>
            <w:vMerge w:val="restart"/>
            <w:tcBorders>
              <w:top w:val="single" w:color="000000" w:sz="4" w:space="0"/>
              <w:left w:val="single" w:color="000000" w:sz="4" w:space="0"/>
              <w:right w:val="single" w:color="000000" w:sz="4" w:space="0"/>
            </w:tcBorders>
            <w:noWrap/>
            <w:vAlign w:val="center"/>
          </w:tcPr>
          <w:p>
            <w:pPr>
              <w:rPr>
                <w:rFonts w:hint="eastAsia"/>
              </w:rPr>
            </w:pPr>
            <w:r>
              <w:rPr>
                <w:rFonts w:hint="eastAsia" w:ascii="宋体" w:hAnsi="宋体" w:eastAsia="宋体" w:cs="宋体"/>
                <w:i w:val="0"/>
                <w:iCs w:val="0"/>
                <w:color w:val="000000"/>
                <w:kern w:val="0"/>
                <w:sz w:val="21"/>
                <w:szCs w:val="21"/>
                <w:u w:val="none"/>
                <w:lang w:val="en-US" w:eastAsia="zh-CN" w:bidi="ar"/>
              </w:rPr>
              <w:t>1项</w:t>
            </w: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工业</w:t>
            </w:r>
          </w:p>
          <w:p>
            <w:pPr>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图层控制管理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加载或关闭图层</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图层透明度管理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调整图层透明度</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图层叠加顺序管理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调整图层叠加顺序,图例联动显示</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地图测量距离</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测量图上距离</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地图测量面积</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测量图上面积</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地图打印</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将当前可视范围的地图打印为JPG文件</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地图分屏显示</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将当前地图分成左右两个屏幕，左右两个地图联动，可以分别展示不同图层</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地图卷帘显示</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将当前地图分成上下两个屏幕，上下两个地图联动，可以分别展示不同图层</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底图控制管理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可以控制底图的开关</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基地档案可视化</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★1.基于三维GIS地图对区域内的基地资源信息进行管理与展现，在地图上可以漫游或快速切换找到对应的畜牧基地和棚舍，用户可以在地图上管理和查看基地档案。</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2.基地信息管理棚舍规模、责任人，畜牧设施管理基地内的数字监测设施、精准化控制设施等，总的设施数量及单个棚舍的数量、在离线情况。</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3.畜牧数字监测棚舍温度、湿度、二氧化碳、疫苗接种监测实时结果数据，实时评价，展现该棚舍投喂次数、总量、均量数据，查阅该棚舍用药次数、总量、均量数据；查阅该棚舍用电总量、均用电量数据。</w:t>
            </w:r>
          </w:p>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4.生产运营管理禽畜种类及品种、评估生长状况等内容。</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养殖舍环境可视化</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基于三维GIS地图对棚舍内的环境状况进行管理与展现，查看监测棚舍的环境监测状态、监测环境要素数据，数据的变化趋势、实时监测数据；用预设的颜色展示状态，反馈预警。</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9"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防疫态势可视化</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三维GIS地图对区域内禽畜健康状态进行展现，主要用于疫情发生时，综合利用本系统的各项功能，为指挥决策者提供全方位疫情信息，为科学制定扑杀方案提供决策依据，包括应急决策、疫病防疫措施查询。应急决策模块提供疫情应急预案演练和应急救援预案所需各应急救援力量和物资的统计功能。</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9"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设施管护可视化</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于三维GIS地图跟踪监测区域内物联网设备情况，设备筛选可通过设备编号、设备名称、所属区域、管护单位、管护人、设备状态，运行状态等信息筛选进行信息切换。设备信息查看分为基本信息、状态信息和预警信息三种。基本信息查看设备编号、地址、经纬度、功能、管护人等信息。</w:t>
            </w:r>
          </w:p>
        </w:tc>
        <w:tc>
          <w:tcPr>
            <w:tcW w:w="696" w:type="dxa"/>
            <w:vMerge w:val="continue"/>
            <w:tcBorders>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7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数字农业指挥中心系统</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数字农业指挥中心设计</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包括：方案空间设计、版面设计、内容梳理等设计内容。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916.48m²</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数字农业指挥强弱电系统</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包含数字农业指挥中心打造配套强弱电线路布设，包含强弱电信息点模块；线材、线管，墙面、地面开槽恢复及安装辅材，不包含楼宇主电缆。</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数字农业指挥新风系统</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包含数字农业指挥新风风道、排风口及新风机，风机风量≥2000m³/h，功率≤750W,电源220V/50HZ,机外静压≥220Pa，热回收效率≥75%，噪音不高于60分贝。</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8" w:hRule="atLeast"/>
        </w:trPr>
        <w:tc>
          <w:tcPr>
            <w:tcW w:w="548" w:type="dxa"/>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w:t>
            </w:r>
          </w:p>
        </w:tc>
        <w:tc>
          <w:tcPr>
            <w:tcW w:w="7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指挥中心音视频系统</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小间距LED显示屏</w:t>
            </w:r>
          </w:p>
        </w:tc>
        <w:tc>
          <w:tcPr>
            <w:tcW w:w="5955" w:type="dxa"/>
            <w:tcBorders>
              <w:top w:val="single" w:color="000000" w:sz="4" w:space="0"/>
              <w:left w:val="single" w:color="000000" w:sz="4" w:space="0"/>
              <w:right w:val="single" w:color="000000" w:sz="4" w:space="0"/>
            </w:tcBorders>
            <w:noWrap w:val="0"/>
            <w:vAlign w:val="center"/>
          </w:tcPr>
          <w:p>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像素点间距：≤1.5mm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2、单元板分辨率：≥21632Dots</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3、★刷新率：≥4200Hz，支持通过配套控制软件调节刷新率设置选项，（</w:t>
            </w:r>
            <w:r>
              <w:rPr>
                <w:rFonts w:hint="eastAsia" w:ascii="宋体" w:hAnsi="宋体" w:eastAsia="宋体" w:cs="宋体"/>
                <w:b/>
                <w:bCs/>
                <w:color w:val="auto"/>
                <w:sz w:val="21"/>
                <w:szCs w:val="21"/>
                <w:highlight w:val="none"/>
                <w:lang w:val="en-US" w:eastAsia="zh-CN"/>
              </w:rPr>
              <w:t>投标文件中需提供由第三方检测机构出具带有“CNAS”、“CMA”标志的检测报告，复印件并加盖生产厂家公章</w:t>
            </w:r>
            <w:r>
              <w:rPr>
                <w:rFonts w:hint="eastAsia" w:ascii="宋体" w:hAnsi="宋体" w:eastAsia="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4、像素构成：1R、1G、1B</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5、★封装方式：SMD表贴三合一，铜线封装，五面黑灯，表面不反光，（</w:t>
            </w:r>
            <w:r>
              <w:rPr>
                <w:rFonts w:hint="eastAsia" w:ascii="宋体" w:hAnsi="宋体" w:eastAsia="宋体" w:cs="宋体"/>
                <w:b/>
                <w:bCs/>
                <w:color w:val="auto"/>
                <w:sz w:val="21"/>
                <w:szCs w:val="21"/>
                <w:highlight w:val="none"/>
                <w:lang w:val="en-US" w:eastAsia="zh-CN"/>
              </w:rPr>
              <w:t>投标文件中需提供由第三方检测机构出具带有“CNAS”、“CMA”标志的检测报告，复印件并加盖生产厂家公章</w:t>
            </w:r>
            <w:r>
              <w:rPr>
                <w:rFonts w:hint="eastAsia" w:ascii="宋体" w:hAnsi="宋体" w:eastAsia="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6、驱动方式：恒流驱动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7、控制方式：同步控制系统</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8、维护方式：前后双向维护</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9、整屏平整度≤0.04mm</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10、白平衡亮度：0-820cd/㎡可调；亮度调节：0-100%亮度可调，256级手动/自动调节，屏幕亮度具有随环境照度的变化任意调整功能；亮度均匀性≥99%</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11、色温800K-20000K可调；白平衡状态下色温在6500K±5%；色温为6500K时，100%75%50%25%档电平白场调节色温误差≤100K</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12、水平视角≥175°；垂直视角≥175°</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13、★对比度≥10000：1，（</w:t>
            </w:r>
            <w:r>
              <w:rPr>
                <w:rFonts w:hint="eastAsia" w:ascii="宋体" w:hAnsi="宋体" w:eastAsia="宋体" w:cs="宋体"/>
                <w:b/>
                <w:bCs/>
                <w:color w:val="auto"/>
                <w:sz w:val="21"/>
                <w:szCs w:val="21"/>
                <w:highlight w:val="none"/>
                <w:lang w:val="en-US" w:eastAsia="zh-CN"/>
              </w:rPr>
              <w:t>投标文件中需提供由第三方检测机构出具带有“CNAS”、“CMA”标志的检测报告，复印件并加盖生产厂家公章</w:t>
            </w:r>
            <w:r>
              <w:rPr>
                <w:rFonts w:hint="eastAsia" w:ascii="宋体" w:hAnsi="宋体" w:eastAsia="宋体" w:cs="宋体"/>
                <w:i w:val="0"/>
                <w:iCs w:val="0"/>
                <w:color w:val="auto"/>
                <w:kern w:val="0"/>
                <w:sz w:val="21"/>
                <w:szCs w:val="21"/>
                <w:highlight w:val="none"/>
                <w:u w:val="none"/>
                <w:lang w:val="en-US" w:eastAsia="zh-CN" w:bidi="ar"/>
              </w:rPr>
              <w:t>）</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14、灰度等级≥16bit，红绿蓝各256级，可达65536级；采用EPWM 灰阶控制技术提升低灰视觉效果，100%亮度时，16bit灰度；70%亮度，16bit灰度；50%亮度，16bit灰度；20%亮度，14bit灰度，显示画面无单列或单行像素失控现象；支持0-100%亮度时，8-16bits灰度自定义设置</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15、峰值功耗≤250W/m²；平均功耗≤100W/m²</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16、供电电源：在4.2*（1±10%）VDC～4.5*（1±10%）VDC范围内能正常工作</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17、输入电压：支持宽压输入 在96-264VAC，支持窄压输入在200-240VAC，在该范围内能正常工作</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18、★防护性能：具有防静电、防电磁干扰、防腐蚀、防霉菌、防虫、防潮、抗震动、抗雷击等功能；具有电源过压、过流、断电保护、分布上电措施、防护等级达到IP60，（</w:t>
            </w:r>
            <w:r>
              <w:rPr>
                <w:rFonts w:hint="eastAsia" w:ascii="宋体" w:hAnsi="宋体" w:eastAsia="宋体" w:cs="宋体"/>
                <w:b/>
                <w:bCs/>
                <w:color w:val="auto"/>
                <w:sz w:val="21"/>
                <w:szCs w:val="21"/>
                <w:highlight w:val="none"/>
                <w:lang w:val="en-US" w:eastAsia="zh-CN"/>
              </w:rPr>
              <w:t>投标文件中需提供由第三方检测机构出具带有“CNAS”、“CMA”标志的检测报告，复印件并加盖生产厂家公章</w:t>
            </w:r>
            <w:r>
              <w:rPr>
                <w:rFonts w:hint="eastAsia" w:ascii="宋体" w:hAnsi="宋体" w:eastAsia="宋体" w:cs="宋体"/>
                <w:i w:val="0"/>
                <w:iCs w:val="0"/>
                <w:color w:val="auto"/>
                <w:kern w:val="0"/>
                <w:sz w:val="21"/>
                <w:szCs w:val="21"/>
                <w:highlight w:val="none"/>
                <w:u w:val="none"/>
                <w:lang w:val="en-US" w:eastAsia="zh-CN" w:bidi="ar"/>
              </w:rPr>
              <w:t>）</w:t>
            </w:r>
          </w:p>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19、★为不影响屏体周边人员的健康，要求投标人所投LED显示屏在正常工作中，显示屏1m范围内，前后左右4个位置噪音不大于1.4dB；所投LED显示屏观看舒适度需符合：“人眼视觉舒适度(VICO)1级，基本无疲劳感。（</w:t>
            </w:r>
            <w:r>
              <w:rPr>
                <w:rFonts w:hint="eastAsia" w:ascii="宋体" w:hAnsi="宋体" w:eastAsia="宋体" w:cs="宋体"/>
                <w:b/>
                <w:bCs/>
                <w:color w:val="auto"/>
                <w:sz w:val="21"/>
                <w:szCs w:val="21"/>
                <w:highlight w:val="none"/>
                <w:lang w:val="en-US" w:eastAsia="zh-CN"/>
              </w:rPr>
              <w:t>投标文件中需提供由第三方检测机构出具带有“CNAS”、“CMA”标志的检测报告，复印件并加盖生产厂家公章</w:t>
            </w:r>
            <w:r>
              <w:rPr>
                <w:rFonts w:hint="eastAsia" w:ascii="宋体" w:hAnsi="宋体" w:eastAsia="宋体" w:cs="宋体"/>
                <w:i w:val="0"/>
                <w:iCs w:val="0"/>
                <w:color w:val="auto"/>
                <w:kern w:val="0"/>
                <w:sz w:val="21"/>
                <w:szCs w:val="21"/>
                <w:highlight w:val="none"/>
                <w:u w:val="none"/>
                <w:lang w:val="en-US" w:eastAsia="zh-CN" w:bidi="ar"/>
              </w:rPr>
              <w:t>）</w:t>
            </w:r>
          </w:p>
          <w:p>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★所投LED显示屏的灯管耐焊耐热：灯珠引脚无氧化,焊接正常,灯珠胶体正常,点亮正常；灯管抗静电(ESD)测试：HBM模式:ESD&gt;2000V,灯珠点亮无异常；灯管红墨水试验：纯红墨水常温浸泡24h,无渗透,灯管气密性良好。（</w:t>
            </w:r>
            <w:r>
              <w:rPr>
                <w:rFonts w:hint="eastAsia" w:ascii="宋体" w:hAnsi="宋体" w:eastAsia="宋体" w:cs="宋体"/>
                <w:b/>
                <w:bCs/>
                <w:color w:val="auto"/>
                <w:sz w:val="21"/>
                <w:szCs w:val="21"/>
                <w:highlight w:val="none"/>
                <w:lang w:val="en-US" w:eastAsia="zh-CN"/>
              </w:rPr>
              <w:t>投标文件中需提供由第三方检测机构出具带有“CNAS”、“CMA”标志的检测报告，复印件并加盖生产厂家公章</w:t>
            </w:r>
            <w:r>
              <w:rPr>
                <w:rFonts w:hint="eastAsia" w:ascii="宋体" w:hAnsi="宋体" w:eastAsia="宋体" w:cs="宋体"/>
                <w:i w:val="0"/>
                <w:iCs w:val="0"/>
                <w:color w:val="auto"/>
                <w:kern w:val="0"/>
                <w:sz w:val="21"/>
                <w:szCs w:val="21"/>
                <w:highlight w:val="none"/>
                <w:u w:val="none"/>
                <w:lang w:val="en-US" w:eastAsia="zh-CN" w:bidi="ar"/>
              </w:rPr>
              <w:t>）</w:t>
            </w:r>
          </w:p>
          <w:p>
            <w:pPr>
              <w:keepNext w:val="0"/>
              <w:keepLines w:val="0"/>
              <w:widowControl/>
              <w:numPr>
                <w:ilvl w:val="0"/>
                <w:numId w:val="3"/>
              </w:numPr>
              <w:suppressLineNumbers w:val="0"/>
              <w:ind w:left="0" w:leftChars="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要求投标人所投LED显示屏支持DVI、VGA、SDI输入、支持HDMI视频输入、支持视频PAL/NTSC制式自适应、支持复合视频信号、支持USB输入、支持IP输入、支持CVBS/DP/HDBASE输入、支持光纤/网络等接口输入。</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22、★防电击等级依据GB4943.1标准，使用基本绝缘作为基本安全防护，同时使用保护连接和保护接地作为附加安全防护，达到防电击保护I类设备，（</w:t>
            </w:r>
            <w:r>
              <w:rPr>
                <w:rFonts w:hint="eastAsia" w:ascii="宋体" w:hAnsi="宋体" w:eastAsia="宋体" w:cs="宋体"/>
                <w:b/>
                <w:bCs/>
                <w:color w:val="auto"/>
                <w:sz w:val="21"/>
                <w:szCs w:val="21"/>
                <w:highlight w:val="none"/>
                <w:lang w:val="en-US" w:eastAsia="zh-CN"/>
              </w:rPr>
              <w:t>投标文件中需提供由第三方检测机构出具带有“CNAS”、“CMA”标志的检测报告，复印件并加盖生产厂家公章</w:t>
            </w:r>
            <w:r>
              <w:rPr>
                <w:rFonts w:hint="eastAsia" w:ascii="宋体" w:hAnsi="宋体" w:eastAsia="宋体" w:cs="宋体"/>
                <w:i w:val="0"/>
                <w:iCs w:val="0"/>
                <w:color w:val="auto"/>
                <w:kern w:val="0"/>
                <w:sz w:val="21"/>
                <w:szCs w:val="21"/>
                <w:highlight w:val="none"/>
                <w:u w:val="none"/>
                <w:lang w:val="en-US" w:eastAsia="zh-CN" w:bidi="ar"/>
              </w:rPr>
              <w:t>）</w:t>
            </w:r>
          </w:p>
          <w:p>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23、产品采用高端芯片，可智能调节正常工作与睡眠状态下的节能效果（动态节能，智能息屏），开启智能节电功能比没有开启，节能55%以上。</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24、长时间没有使用屏体，屏体自动切入除湿模式，通过预热灯珠，蒸发掉灯珠内部湿气，使屏体从10%到100%亮度逐步显示，达到保护LED灯</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25、具有SELV电路，在SELV电路中任何两个导体之间或任何一个这样的导体和地之间的电压的限值为：正常工作条件下，不超过42.4V交流峰值或60V直流值单一故障条件下，在200ms后不超过42.4V（30V有效值）交流峰值或60V直流值，并且在200ms内其极限值不超过71V（50V有效值）交流峰值或120V直流值</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26、LED显示屏保护地端子应有标记。进行标记耐久性试验后，标记牢固、清晰可辨。LED显示屏在熔断器和开关电源处应有警告标示。进行标记耐久性试验后，标记应牢固、清晰可辨。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27、支持手机、平板可视化控制LED大屏，切换播放内容，定制播放计划等；支持手机添加LOGO、时间、日期、文字标语、滚动字幕、图片、视频窗口；支持分屏操作。支持任意比例拼接素材和多图层叠加；支持无线遥控、手机遥控，一键切换视频；支持与智能播控软件一键IP连接。</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28、支持鬼影消除、首行暗亮消除、低灰偏色补偿、低灰均匀性、低灰横条纹消除、慢速开启、十字架消除、去坏点、毛毛虫消除、余辉消除、亮度缓慢变亮功能。</w:t>
            </w:r>
          </w:p>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集成HUB75，无需再配转接板，更方便，成本更低；</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减少接插连接件，减少故障点，故障率更低；</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支持常规芯片实现高刷新、高灰度、高亮度；</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全新灰度引擎，低灰度表现更佳；</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细节处理更完美，可消除单元板设计引起的某行偏暗、低灰偏红、鬼影等细节问题；</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支持14bit精度的色度、亮度一体化逐点校正；</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支持所有常规芯片、PWM芯片和灯饰芯片；</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支持静态屏-64扫之间的任意扫描类型；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支持任意抽点，支持数据偏移，可轻松实现各种异型屏、球形屏、创意显示屏；</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单卡支持16组RGB信号输出；</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支持超大带载面积，单卡带载128*512，256*256；</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先进设计，优质元器件，全自动高低温老化测试，零故障出厂；</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支持DC 3.8V~5.5V超宽工作电压，有效减弱电压波动带来的影响；</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★支持8bit/10bit/12bit 视频输入。（</w:t>
            </w:r>
            <w:r>
              <w:rPr>
                <w:rFonts w:hint="eastAsia" w:ascii="宋体" w:hAnsi="宋体" w:eastAsia="宋体" w:cs="宋体"/>
                <w:b/>
                <w:bCs/>
                <w:color w:val="auto"/>
                <w:sz w:val="21"/>
                <w:szCs w:val="21"/>
                <w:highlight w:val="none"/>
                <w:lang w:val="en-US" w:eastAsia="zh-CN"/>
              </w:rPr>
              <w:t>投标文件中需提供由第三方检测机构出具带有“CNAS”、“CMA”标志的检测报告，复印件并加盖生产厂家公章</w:t>
            </w:r>
            <w:r>
              <w:rPr>
                <w:rFonts w:hint="eastAsia" w:ascii="宋体" w:hAnsi="宋体" w:eastAsia="宋体" w:cs="宋体"/>
                <w:i w:val="0"/>
                <w:iCs w:val="0"/>
                <w:color w:val="auto"/>
                <w:kern w:val="0"/>
                <w:sz w:val="21"/>
                <w:szCs w:val="21"/>
                <w:highlight w:val="none"/>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★配合帧率倍频可以输出240Hz 画面，显示更流畅，（</w:t>
            </w:r>
            <w:r>
              <w:rPr>
                <w:rFonts w:hint="eastAsia" w:ascii="宋体" w:hAnsi="宋体" w:eastAsia="宋体" w:cs="宋体"/>
                <w:b/>
                <w:bCs/>
                <w:color w:val="auto"/>
                <w:sz w:val="21"/>
                <w:szCs w:val="21"/>
                <w:highlight w:val="none"/>
                <w:lang w:val="en-US" w:eastAsia="zh-CN"/>
              </w:rPr>
              <w:t>投标文件中需提供由第三方检测机构出具带有“CNAS”、“CMA”标志的检测报告，复印件并加盖生产厂家公章</w:t>
            </w:r>
            <w:r>
              <w:rPr>
                <w:rFonts w:hint="eastAsia" w:ascii="宋体" w:hAnsi="宋体" w:eastAsia="宋体" w:cs="宋体"/>
                <w:i w:val="0"/>
                <w:iCs w:val="0"/>
                <w:color w:val="auto"/>
                <w:kern w:val="0"/>
                <w:sz w:val="21"/>
                <w:szCs w:val="21"/>
                <w:highlight w:val="none"/>
                <w:u w:val="none"/>
                <w:lang w:val="en-US" w:eastAsia="zh-CN" w:bidi="ar"/>
              </w:rPr>
              <w:t>）</w:t>
            </w:r>
          </w:p>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显示屏开关电源 工作温度 -25℃-+70℃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低温启动特性 @-40℃ -25℃，220Vac 输入,带载≥40A，</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储存温度  -40℃-85℃</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工作湿度 20%RH-90%RH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储存湿度 10%RH-95%RH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散热方式  自然对流散热，需紧贴客户金属机箱外壳散热</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大气压  70-106KPa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输入端子 9.5mm-5P pitch terminal, L N FG</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输出端子 9.5mm-6P pitch terminal, V+ V+ V+ V- V- V</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短路保护  可长期短路，消除短路后自动恢复工作</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过流保护  48~76A 故障消除后自动恢复</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工作额定输出电压 V1:+4.5Vdc</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额定输出电流范围 0～40.0A</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稳压精度  ±2%</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负载调整率  ±2%</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电压过冲 ≤5.0%</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启动时间  3Sec.</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纹波噪声 ≤200mV</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容性负载至少 5000uF   </w:t>
            </w:r>
          </w:p>
        </w:tc>
        <w:tc>
          <w:tcPr>
            <w:tcW w:w="696" w:type="dxa"/>
            <w:tcBorders>
              <w:top w:val="single" w:color="000000" w:sz="4" w:space="0"/>
              <w:left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29.27m²</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19</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视频控制器</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最大4096X2160@60Hz 输入分辨率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2.最大带载1703万像素，26路千兆网口输出或3路万兆光口输出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3.最宽16384像素点或最高8192像素点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4.支持6路信号输入:1xHDMI2.0，1xDP1.2，2xHDMI1.4，2xDVI</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5.支持视频同步锁相技术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6.支持1路独立音频输入，1路独立音频输出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7.支持6画面显示，位置、大小可自由调节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8.支持视频信号任意切换，裁剪，拼接，缩放</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9.支持HDCP高带宽数字内容保护技术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10.支持亮度和色温调节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11.支持低亮高灰，能有效地保持低亮下灰阶的完整显示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12.支持LAN口控制，支持手机端APP控制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13.支持主动式3D显示功能（选配）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14.支持128个场景保存和调用，支持U盘播放，支持OSD</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★15.支持设备间和网口间冗余备份多台控制器及控制器间任意网口指定备份其他区域控制范围内容</w:t>
            </w:r>
            <w:r>
              <w:rPr>
                <w:rFonts w:hint="eastAsia" w:ascii="宋体" w:hAnsi="宋体" w:eastAsia="宋体" w:cs="宋体"/>
                <w:b/>
                <w:bCs/>
                <w:i w:val="0"/>
                <w:iCs w:val="0"/>
                <w:color w:val="auto"/>
                <w:kern w:val="0"/>
                <w:sz w:val="21"/>
                <w:szCs w:val="21"/>
                <w:u w:val="none"/>
                <w:lang w:val="en-US" w:eastAsia="zh-CN" w:bidi="ar"/>
              </w:rPr>
              <w:t>（投标文件中需提供由第三方检测机构出具带有“CNAS”、“CMA”标志的检测报告，复印件并加盖生产厂家公章）</w:t>
            </w:r>
          </w:p>
          <w:p>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★16.不正当操作导致控制器内部设置错乱，可一键恢复出厂标准设置</w:t>
            </w:r>
            <w:r>
              <w:rPr>
                <w:rFonts w:hint="eastAsia" w:ascii="宋体" w:hAnsi="宋体" w:eastAsia="宋体" w:cs="宋体"/>
                <w:b/>
                <w:bCs/>
                <w:i w:val="0"/>
                <w:iCs w:val="0"/>
                <w:color w:val="auto"/>
                <w:kern w:val="0"/>
                <w:sz w:val="21"/>
                <w:szCs w:val="21"/>
                <w:u w:val="none"/>
                <w:lang w:val="en-US" w:eastAsia="zh-CN" w:bidi="ar"/>
              </w:rPr>
              <w:t>（投标文件中需提供由第三方检测机构出具带有“CNAS”、“CMA”标志的检测报告，复印件并加盖生产厂家公章）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★17.支持自动倍频、2 倍频、3 倍频，采用独特的倍频算法，针对视频源信号小于 30hz 可启用 2 倍频，小于 20hz 可启用 3 倍频，可以将输入信号转成 60Hz 信号输出，提高画面显示效果，信号最高帧率可达 100Hz</w:t>
            </w:r>
            <w:r>
              <w:rPr>
                <w:rFonts w:hint="eastAsia" w:ascii="宋体" w:hAnsi="宋体" w:eastAsia="宋体" w:cs="宋体"/>
                <w:b/>
                <w:bCs/>
                <w:i w:val="0"/>
                <w:iCs w:val="0"/>
                <w:color w:val="auto"/>
                <w:kern w:val="0"/>
                <w:sz w:val="21"/>
                <w:szCs w:val="21"/>
                <w:u w:val="none"/>
                <w:lang w:val="en-US" w:eastAsia="zh-CN" w:bidi="ar"/>
              </w:rPr>
              <w:t>（投标文件中需提供由第三方检测机构出具带有“CNAS”、“CMA”标志的检测报告，复印件并加盖生产厂家公章）</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20</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视频线缆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top"/>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HDMI线缆国标 长度≥15米，不低于5条；DP线缆国标长度≥15米，不低于1条</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6条</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21</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大屏线缆及配件</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每套屏幕对应的电源、显示和控制线缆及接口等配件</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22</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弧形钢结构</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弧形定制款支架</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29.27m²</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23</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yellow"/>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侧屏显示系统（电视设备）</w:t>
            </w:r>
          </w:p>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屏幕不低于85英寸，高画质4K分辨率，采用高刷巨幕屏，≥ 2.1 声道 Hi-Fi 音响， 四核≥1.53GHZ 位处理器；运行内存≥3G，存储内存≥64G；</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2台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24</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配电箱及电缆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包含配电箱、大屏主电缆</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25</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地面切槽及线路铺设</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操作台至大屏显示系统机柜地面切槽及管材铺设</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26</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弧形操作工位</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弧形操作台，2720mm*600mm, 2联操作台，每套配备2把人体工学椅</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2套</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27</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显示器支架</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1、承重范围为 1.5-8.5kg，支持 30″以下显示器，适配显示器固定孔 75mm *75mm、100mm *100mm；支持显示器上下调动 410mm、仰俯角度+90°～-45°、左右摇摆±90°</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4个</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28</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工作站（台式计算机</w:t>
            </w:r>
          </w:p>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1、CPU：Intel i7第十一代CPU；</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2、芯片组：英特尔H510或以上，单路供电；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3、内存：8G DDR4 2400 MHz，不少于2个DIMM插槽；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4、硬盘：256G SSD，支持1个SSD + 1个HDD；</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5、接口：前置4个USB 3.2 Gen1， 1个麦克风插孔，1个耳机/麦克风combo插孔；后置4个USB 2.0，1个VGA，1个HDMI；</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6、键盘/鼠标：USB键盘；USB光电鼠标；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7、机箱电源：不小于110V/220V 180W电源；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8、其他：机箱不大于15L，前置开关键、Reset键；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9、操作系统：正版操作系统；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10、显示器：不低于23寸；</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4台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29</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主音箱</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1、额定功率不低于100W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2、特性灵敏度不低于92dB/W/m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3、输出声压级不低于112 dB/W/m(Continues) 118dB/W/m(Peak)</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4、额定频率范围： 61Hz～20000Hz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5、扬声器单元： LF:1*10 英寸  HF:2* 3寸纸盆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w:t>
            </w:r>
            <w:r>
              <w:rPr>
                <w:rFonts w:hint="eastAsia" w:ascii="宋体" w:hAnsi="宋体" w:eastAsia="宋体" w:cs="宋体"/>
                <w:b/>
                <w:bCs/>
                <w:i w:val="0"/>
                <w:iCs w:val="0"/>
                <w:color w:val="auto"/>
                <w:kern w:val="0"/>
                <w:sz w:val="21"/>
                <w:szCs w:val="21"/>
                <w:u w:val="none"/>
                <w:lang w:val="en-US" w:eastAsia="zh-CN" w:bidi="ar"/>
              </w:rPr>
              <w:t>（投标文件中需提供第三方检测机构出具的带有“CNAS”、“CMA”标志的检测报告，复印件并加盖生产厂家公章）</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2个</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30</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主功放</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1、1U高度设计，适合安装在任何标准的19吋机柜内</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2、D类功率放大器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3、开机软启动、短路、过载、直流、过热保护、变压器过热保护和DC飘逸等多重检测保护性能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4、具备完整的LED工作状态指示灯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5、额定功率：2×300W/8Ω，2×450W/4Ω，1×900W/8Ω；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6、频率响应：20Hz～20kHz （±1dB）</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7、输入灵敏度：0dBu（0.775V）；</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8、总谐波失真(1/10额定功率，1KHz)：≤0.1%；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9、信噪比(A计权)：≥100dB；</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10、电压适应范围：AC110-242V，50Hz/60Hz </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11、检测报告需体现样品外观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w:t>
            </w:r>
            <w:r>
              <w:rPr>
                <w:rFonts w:hint="eastAsia" w:ascii="宋体" w:hAnsi="宋体" w:eastAsia="宋体" w:cs="宋体"/>
                <w:b/>
                <w:bCs/>
                <w:i w:val="0"/>
                <w:iCs w:val="0"/>
                <w:color w:val="auto"/>
                <w:kern w:val="0"/>
                <w:sz w:val="21"/>
                <w:szCs w:val="21"/>
                <w:u w:val="none"/>
                <w:lang w:val="en-US" w:eastAsia="zh-CN" w:bidi="ar"/>
              </w:rPr>
              <w:t>（投标文件中需提供第三方检测机构出具的带有“CNAS”、“CMA”标志的检测报告，复印件并加盖生产厂家公章）</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31</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调音台</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1、8路MIC/LINE，1组立体声输入，1组RCA音轨立体声+1路USB。</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2、支持48V幻象供电，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3、2路主输出+2路编组+2路辅助输出+1路监听输出+1路耳机输出+1组立体声录音输出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4、效果可以发送至AUX1，编组1、2与立体声。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5、多媒体可以发送至AUX1、编组1、2与立体声。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6、支持蓝牙接收,USB声卡功能。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7、支持声控（话筒优先）</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8、内置99种DSP效果器。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9、支持三段均衡，中频带参量EQ。</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10、采用14个60mm行程推子。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11、支持通道监听。</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12、全中文操作界面。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13、主通道支持7段图示均衡。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14、每路话放支持低切。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15、辅助1支持推子前后切换。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16、检测报告需体现样品外观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★17、</w:t>
            </w:r>
            <w:r>
              <w:rPr>
                <w:rFonts w:hint="eastAsia" w:ascii="宋体" w:hAnsi="宋体" w:eastAsia="宋体" w:cs="宋体"/>
                <w:b/>
                <w:bCs/>
                <w:i w:val="0"/>
                <w:iCs w:val="0"/>
                <w:color w:val="auto"/>
                <w:kern w:val="0"/>
                <w:sz w:val="21"/>
                <w:szCs w:val="21"/>
                <w:u w:val="none"/>
                <w:lang w:val="en-US" w:eastAsia="zh-CN" w:bidi="ar"/>
              </w:rPr>
              <w:t>（投标文件中需提供第三方检测机构出具的带有“CNAS”、“CMA”标志的检测报告，复印件并加盖生产厂家公章）</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32</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无线话筒</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1、EIA标准1U无线话筒。</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2、指向性品频响曲线：300~2000Hz≤-8</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3、载波频段: UHF530-690.000MHZ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4、频率间隔：25KHz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5、自由场灵敏度≥-65</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6、失真 :&lt;1%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7、综合频率响应 : 100Hz-13kHz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8、最大声压级：109dBA@1KHz，THD 1%</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9、发射器最大输出功率mW：30mW允许误差±2mW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10、检测报告需体现样品外观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w:t>
            </w:r>
            <w:r>
              <w:rPr>
                <w:rFonts w:hint="eastAsia" w:ascii="宋体" w:hAnsi="宋体" w:eastAsia="宋体" w:cs="宋体"/>
                <w:b/>
                <w:bCs/>
                <w:i w:val="0"/>
                <w:iCs w:val="0"/>
                <w:color w:val="auto"/>
                <w:kern w:val="0"/>
                <w:sz w:val="21"/>
                <w:szCs w:val="21"/>
                <w:u w:val="none"/>
                <w:lang w:val="en-US" w:eastAsia="zh-CN" w:bidi="ar"/>
              </w:rPr>
              <w:t>（投标文件中需提供第三方检测机构出具的带有“CNAS”、“CMA”标志的检测报告，复印件并加盖生产厂家公章）</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1套</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33</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电源时序器</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1、2吋液晶显示窗，实时显示当前电压、日期时间，通道开关状态；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2、支持定时开关机功能，内置时钟芯片；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3、支持设置通道延时开启和关闭，设置范围：0~999S）；</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4、不少于8组设备开关场景数据保存/调用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5、具备欠压、超压检测及报警功能；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6、支持多台设备级联控制，级联状态可自动检测及设置；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7、配置RS232串口，支持外部中央控制设备控制；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8、可支持设备编码ID检测和设置；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9、支持面板Lock锁定功能；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10、电源总功率：交流220V/30A；</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11、电源通道数量:8路可控电源，2路长通电源。</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12、每路动作延时时间:0～999秒；</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13、单通道最大输出电流：13A；</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34</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反馈抑制器</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1、不少于18段双通道滤波器，支持同时自动移相移频功能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2、不少于双12段参量均衡，支持高低通分频</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3、配备4组均衡场景，自动混音功能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4、频率响应不低于80Hz-15KHz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5、陷波点数：18x2静动态可设</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6、支持密码锁定/解锁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7、语言选择：中英文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8、2寸TFT液晶显示屏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9、电源：AC110V-AC220V50-60Hz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10、需具有一个USB接口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w:t>
            </w:r>
            <w:r>
              <w:rPr>
                <w:rFonts w:hint="eastAsia" w:ascii="宋体" w:hAnsi="宋体" w:eastAsia="宋体" w:cs="宋体"/>
                <w:b/>
                <w:bCs/>
                <w:i w:val="0"/>
                <w:iCs w:val="0"/>
                <w:color w:val="auto"/>
                <w:kern w:val="0"/>
                <w:sz w:val="21"/>
                <w:szCs w:val="21"/>
                <w:u w:val="none"/>
                <w:lang w:val="en-US" w:eastAsia="zh-CN" w:bidi="ar"/>
              </w:rPr>
              <w:t>（投标文件中需提供第三方检测机构出具的带有“CNAS”、“CMA”标志的检测报告，复印件并加盖生产厂家公章）</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35</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音频配套线缆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音频线，话筒线，电源线等</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36</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网络交换机1</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48个10/100/1000/BASE-T以太网端口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具备功能：VLAN划分、QOS：支持流量监管、支持入端口流暈限速、支持端口队列调度、支持拥塞避免、支持出端口流量整形、支持高级IPv4V6 ACL组播管理 支持 IGMP V1V2/V3 Snooping、支持MLDV1/V2 Snooping网络管理 支持4 K VLAN、支持 Access/ Trunk/ Hybrid/QinQ接入方式、支持基于端口划分VLAN、支持MAC地址自动学习、支持MAC地址自动老化、支持静态MAC表项安全管理 支持端口安全;支持广播、组播、未知单播风暴控制;支持端口隔离。</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37</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网络交换机2</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工业级千兆交换机，提供8个10/100/1000M 自适应RJ45端口，所有端口均可实现线速转发；每端口均支持MDI/MDIX自动翻转及双工/速率自协商；支持IEEE 802.3x全双工流控和Backpressure半双工流控。</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38</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设备机柜</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42U标准600*800豪华设备机柜；颜色为黑色；机柜采用前后网孔门设计，前后门单开网孔门，后门开启角度不小于130 度；机柜采用焊式框架结构，材质为优质冷轧钢板。</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2台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39</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辅材</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网线、排插，扎线带，电源线，胶带等。</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40</w:t>
            </w:r>
          </w:p>
        </w:tc>
        <w:tc>
          <w:tcPr>
            <w:tcW w:w="7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指挥中心中控系统</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中控主机</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 ARM11 CPU，1G内存，8G Flash闪存；</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 组合处理能力1.4GHz的多线层多核处理器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 四种网络通讯：CAN、RF、Ethernet、WIFI</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 支持8路可自定义协议的串口，根据需要可配置成RS232、RS485、DMX512协议，第一、五路支持24V供电输出。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 8路触点，每路都可支持30V/1A DC，125V/0.5A AC负载。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 支持8路可自定义的IO输入，输出及红外输出，支持全频段载波的红外调制信号发送。</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 支持2路带供电CAN总线信号管理，最大管理终端数量可达110台</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8、 支持433MHz的RF双向通信，无阻碍控制距离为80m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 接口过压过流保护，抗20KV静电冲击。</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 系统可通过无线或有线扩充，单系统支持65535台总线设备扩展。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11、 增选外置模块盒，可扩充独立模块卡。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12、 内部供电电压24V，功耗4.5W。</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13、 自动时钟同步功能，可精准执行用户自定义的时间预约功能，预约动作可精确到年月日时分秒。</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14、 具备时间轴多线程事件编辑功能。支持语音控制功能；支持系统自动云诊断、云备份、云恢复。系统支持主机自备份功能。</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41</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无线接收机</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1、自带wifi路由功能，支持安卓移动控制端无线控制；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2、4个10/100 Mbps 自适应网络LAN口、1个10/100Mbps自适应网络WAN口；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电源：AC100-240V，50/60Hz</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工作环境：5%-95%(不结露)</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42</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电源控制器</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每个单路继电器均带一对常开常闭触点；</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具备手动强制开关，可脱离主机手动控制；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直观的继电器通断状态指示；1路CAN总线网络控制接口通讯。</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自带配线架；</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机架式安装。单路功率1800W，总功率8000W，旋转的ID选择。</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中控主机直接24VDC供电。</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3台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43</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中控编程调试</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软件定制开发</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1套</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44</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无线控制终端</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4GB/64GB；多点触控,电容式触摸</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1台</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45</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辅材</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网线、排插，扎线带，电源线，胶带等</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46</w:t>
            </w:r>
          </w:p>
        </w:tc>
        <w:tc>
          <w:tcPr>
            <w:tcW w:w="7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数字农业指挥中心数字应用</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数字农业（畜牧业）投影墙系统</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包括投影显示系统、图形工作站、传输器、雷达及雷达程序、功放、音响、线材、投影支架、互动程序内容、平面内容等。</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47</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数字农业（畜牧业）虚拟现实系统</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畜牧业模型大脑虚拟现实：</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系统包含交互及数字内容、硬件设备和系统集成三大部分组成。通过空间实景和虚拟现实相结合的数创未来虚拟场景打造，展现养殖禽类通过模型大脑智能分析控制应用，实现自动调节控制的精准加工生产模式。场景应用中，搭建畜牧业场景，通过五彩灯光营造效果，通过触发养殖禽类生长不同阶段展示养殖禽类动态生长状态，数字化管理控制生产。在此过程，虚拟养殖禽类立体成像展现不同阶段的生长状态变化，通过模型计算显示对应的精准加工过程，实现养殖禽类生长的模型需求实时立体画面。同时可实现追溯流程的全智能采集，现场体验人员，可以根据模型的变化，看到在追溯系统里，追溯节点内容自动采集进追溯系统，同时体验消费者画像大数据可视化展示。当人们置身于屏幕前面，就能够看到立体影像的完整呈现，对比度、清晰度高，具有空间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（一）交互形式：①参观者来到展项前，展项被唤醒，待机界面被激活，全息展项开始演示。演示有两种形式，一种是循环播放，一种是触摸控制分段演示。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②幻像内容以全生命周期为案例进行讲解。幻像和实体模型相互配合，展示小麦各个生长阶段数字农业技术对它的赋能。</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③与追溯系统和消费者画像系统结合，体验追溯流程通过AI技术实现的全自动智能采集和消费者画像。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 xml:space="preserve"> （二）硬件设备：全息主要由LED、幻像结构、场景模型、主机工作站、音响功放等组成。全息画面尺寸为3600*960mm。其中LED尺寸为4000*960mm ，场景模型尺寸约为长4000mm宽1700mm高150mm。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（三）多媒体内容数量：2分钟三维视频</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48</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数字农业（畜牧业）智慧展示系统（液晶显示器</w:t>
            </w:r>
          </w:p>
          <w:p>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系统应包含75寸会议平板、OPS电脑和支架。</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1.一体机显示尺寸：≥75英寸；在Android、Windows双系统支持≥20点触控，全贴合触控显示模组；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2.具备≥1路touch接口，≥1路HDMI输入，≥1路同轴输出，≥1路RS232；前置接口具备≥3路USB接口，≥1路Type-C接口；</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★3.内置≥1300万像素摄像头，水平视场角≥95°，具备3D降噪、扫描二维码、人脸识别等；内置≥4路麦克风阵列，支持不少于10M拾音；</w:t>
            </w:r>
            <w:r>
              <w:rPr>
                <w:rFonts w:hint="eastAsia" w:ascii="宋体" w:hAnsi="宋体" w:eastAsia="宋体" w:cs="宋体"/>
                <w:b/>
                <w:bCs/>
                <w:i w:val="0"/>
                <w:iCs w:val="0"/>
                <w:color w:val="auto"/>
                <w:kern w:val="0"/>
                <w:sz w:val="21"/>
                <w:szCs w:val="21"/>
                <w:highlight w:val="none"/>
                <w:u w:val="none"/>
                <w:lang w:val="en-US" w:eastAsia="zh-CN" w:bidi="ar"/>
              </w:rPr>
              <w:t>（投标文件中需提供由第三方检测机构出具的检测报告，复印件并加盖生产厂家公章）</w:t>
            </w:r>
          </w:p>
          <w:p>
            <w:pPr>
              <w:keepNext w:val="0"/>
              <w:keepLines w:val="0"/>
              <w:widowControl/>
              <w:suppressLineNumbers w:val="0"/>
              <w:jc w:val="left"/>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xml:space="preserve">★4.为便于统一管理，一体机内置非独立的NFC模块，刷卡响应时间≤15ms，支持NFCIP-2、ISO/IEC 14443、ISO/IEC 15693等协议； </w:t>
            </w:r>
            <w:r>
              <w:rPr>
                <w:rFonts w:hint="eastAsia" w:ascii="宋体" w:hAnsi="宋体" w:eastAsia="宋体" w:cs="宋体"/>
                <w:b/>
                <w:bCs/>
                <w:i w:val="0"/>
                <w:iCs w:val="0"/>
                <w:color w:val="auto"/>
                <w:kern w:val="0"/>
                <w:sz w:val="21"/>
                <w:szCs w:val="21"/>
                <w:highlight w:val="none"/>
                <w:u w:val="none"/>
                <w:lang w:val="en-US" w:eastAsia="zh-CN" w:bidi="ar"/>
              </w:rPr>
              <w:t>（投标文件中需提供由第三方检测机构出具的检测报告，复印件并加盖生产厂家公章）</w:t>
            </w:r>
          </w:p>
          <w:p>
            <w:pPr>
              <w:keepNext w:val="0"/>
              <w:keepLines w:val="0"/>
              <w:widowControl/>
              <w:suppressLineNumbers w:val="0"/>
              <w:jc w:val="left"/>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★5.为保证信息安全，一体机可通过NFC、人脸识别、密码等权限管理方式，对开机锁、锁屏、恢复出厂设置、一键还原插拔式电脑等功能进行加密，也支持U盘锁、软件锁等；</w:t>
            </w:r>
            <w:r>
              <w:rPr>
                <w:rFonts w:hint="eastAsia" w:ascii="宋体" w:hAnsi="宋体" w:eastAsia="宋体" w:cs="宋体"/>
                <w:b/>
                <w:bCs/>
                <w:i w:val="0"/>
                <w:iCs w:val="0"/>
                <w:color w:val="auto"/>
                <w:kern w:val="0"/>
                <w:sz w:val="21"/>
                <w:szCs w:val="21"/>
                <w:highlight w:val="none"/>
                <w:u w:val="none"/>
                <w:lang w:val="en-US" w:eastAsia="zh-CN" w:bidi="ar"/>
              </w:rPr>
              <w:t>（投标文件中需提供由第三方检测机构出具的检测报告，复印件并加盖生产厂家公章）</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6.一体机支持低蓝光护眼模式，支持无频闪调光，减少观看时疲劳感；</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7.支持Miracast协议、DLNA协议、AirPlay等协议，支持Android和IOS设备与一体机连接，可实现无线投屏；</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8.支持在任意通道从屏幕一侧快速拖出书写白板；可根据需求选择书写白板的展开面积的大小；支持书写、擦除、截图功能，支持可自定义开启或关闭；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★9.一体机可通过快捷键实现屏幕显示画面下移，支持自定义调整下降高度，可正常进行触控操作；</w:t>
            </w:r>
            <w:r>
              <w:rPr>
                <w:rFonts w:hint="eastAsia" w:ascii="宋体" w:hAnsi="宋体" w:eastAsia="宋体" w:cs="宋体"/>
                <w:b/>
                <w:bCs/>
                <w:i w:val="0"/>
                <w:iCs w:val="0"/>
                <w:color w:val="auto"/>
                <w:kern w:val="0"/>
                <w:sz w:val="21"/>
                <w:szCs w:val="21"/>
                <w:highlight w:val="none"/>
                <w:u w:val="none"/>
                <w:lang w:val="en-US" w:eastAsia="zh-CN" w:bidi="ar"/>
              </w:rPr>
              <w:t>（投标文件中需提供由第三方检测机构出具的检测报告，复印件并加盖生产厂家公章）</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10.内置安卓系统助手，支持安卓系统内存清理，支持应用卸载，内存数据（可用内存数据、全部内存数据）显示、硬盘数据显示（可用空间、已使用空间、系统使用空间、全部硬盘空间）；支持网络速度、网络强度、网络信道的检测；</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11.无需外接音响，支持连接任意无线麦克风通过一体机进行扩音，延时≤30ms；</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12.一体机支持多级触控，使用教学触控笔的细笔头进行正常书写，粗笔头书写时显示批注颜色笔迹，手掌平放于屏幕时可识别为板擦擦除；</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★13.一体机内置至少15W*2功率扬声器，具备DTS音效解码和杜比音效解码，支持手动开启DTS音效。</w:t>
            </w:r>
            <w:r>
              <w:rPr>
                <w:rFonts w:hint="eastAsia" w:ascii="宋体" w:hAnsi="宋体" w:eastAsia="宋体" w:cs="宋体"/>
                <w:b/>
                <w:bCs/>
                <w:i w:val="0"/>
                <w:iCs w:val="0"/>
                <w:color w:val="auto"/>
                <w:kern w:val="0"/>
                <w:sz w:val="21"/>
                <w:szCs w:val="21"/>
                <w:highlight w:val="none"/>
                <w:u w:val="none"/>
                <w:lang w:val="en-US" w:eastAsia="zh-CN" w:bidi="ar"/>
              </w:rPr>
              <w:t>（投标文件中需提供由第三方检测机构出具的检测报告，复印件并加盖生产厂家公章）</w:t>
            </w:r>
          </w:p>
          <w:p>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整机无物理还原键，可通过一体机安卓设置菜单进行一键还原OPS电脑系统操作。进行系统还原设置时，软件会弹出确认窗口，避免误操作。</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15.具备至多两个前置物理按键具备开机待机、锁定解锁、调取菜单等，便捷操作；</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16.OPS采用标准≥80pin数据传输接口，处理器≥Intel Core i5 九代；内存≧8G DDR4；硬盘≧256G SSD；</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17.为便于使用OPS具备HDMI≥1、USB≥6（至少包含4路USB3.0）、网口≥1、DP≥1；</w:t>
            </w:r>
          </w:p>
          <w:p>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18.内置正版Windows10系统及办公软件；</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2套</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49</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机器人数字农业（畜牧业）讲解系统</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智能导览：机器人会根据访客的咨询，以语音、文字、图片等形式进行交流、互动通过智能导航功能，引领访客到达指定位置参观，导览过程中为访客提供针对性的讲解服务。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2、移动广告：移动广告，优惠提醒，精品推送，产品信息查询，地图显示。</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3、业务咨询：语音对话，支持搭建行业数据模型和海量知识库，支持业务咨询。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4、★人脸识别：自动检测人脸，采集身份信息，自动检索已录入人脸数据，主动欢迎。</w:t>
            </w:r>
          </w:p>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5、业务办理：可开放接口，对接甲方系统，方便客户办理信息查询等业务。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6、迎宾接待：自动感应人体并播报欢迎语，欢送语，自定义展示语音图片。</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7、★多场景应用：广泛应用于各行业具有自主导航功能，可以自主设定工作区域和工作时间。</w:t>
            </w:r>
          </w:p>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8、支持二次定制开发：开放 SDK 包进行二次开发，可扩容热敏打印机模块，加装环境监测传感器，增加专属个性功能，与实际业务场景更契合。</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9、主动避障：采用多模传感器，自主定位，深度优化避障算法去感知周边环境变化，自动避障。</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10、自动回充：当机器人电量低于15%时，会自主回到充电桩进行充电。</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kern w:val="0"/>
                <w:sz w:val="21"/>
                <w:szCs w:val="21"/>
                <w:u w:val="none"/>
                <w:lang w:val="en-US" w:eastAsia="zh-CN" w:bidi="ar"/>
              </w:rPr>
              <w:t>1套</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8" w:hRule="atLeast"/>
        </w:trPr>
        <w:tc>
          <w:tcPr>
            <w:tcW w:w="548" w:type="dxa"/>
            <w:tcBorders>
              <w:top w:val="single" w:color="000000" w:sz="4" w:space="0"/>
              <w:left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50</w:t>
            </w:r>
          </w:p>
        </w:tc>
        <w:tc>
          <w:tcPr>
            <w:tcW w:w="7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指挥中心配套设施</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WIFI全覆盖及监控点位</w:t>
            </w:r>
          </w:p>
        </w:tc>
        <w:tc>
          <w:tcPr>
            <w:tcW w:w="5955"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展厅一、二层全WIFI覆盖；主要主入口监控覆盖。</w:t>
            </w:r>
          </w:p>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其中包含：1、主路由（含AP管理功能）1台，AP端10台，交换机（支持POE+供电）2台;视频存储系统1台（不低于8T存储空间）、配备显示设备1台，不低于400万像素全彩摄像机10台及相关设备配套辅材1批。</w:t>
            </w:r>
          </w:p>
        </w:tc>
        <w:tc>
          <w:tcPr>
            <w:tcW w:w="696"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1项</w:t>
            </w:r>
          </w:p>
          <w:p>
            <w:pPr>
              <w:rPr>
                <w:rFonts w:hint="eastAsia"/>
                <w:color w:val="auto"/>
              </w:rPr>
            </w:pPr>
          </w:p>
        </w:tc>
        <w:tc>
          <w:tcPr>
            <w:tcW w:w="696"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工业</w:t>
            </w:r>
          </w:p>
          <w:p>
            <w:pPr>
              <w:rPr>
                <w:rFonts w:hint="eastAsia"/>
                <w:color w:va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971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bidi="ar"/>
              </w:rPr>
              <w:t>三、大数据决策分析系统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7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数字畜牧云平台基础</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平台基础架构底座</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1.★平台能够满足地区数字农业农村建设要求；平台是纯软件系统，可直接部署在云服务器上，具备较强的灵活性，支持同城跨可用区容灾和就近路由，规避单可用区可能存在的不可抗力风险，提高服务的高可用性和容灾能力；平台具有简单易用，操作便捷、工程快速搭建等功能，是数字农业农村建设各核心系统的集成平台。</w:t>
            </w:r>
          </w:p>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2.采用流行的多语言微服务，每一个微服务专注于单一功能，并通过定义良好的接口清晰表述服务边界，易于保持高可维护性和开发效率。</w:t>
            </w:r>
          </w:p>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3.在微服务架构下，故障会被隔离在单个服务中，其他服务可通过重试、平稳退化等机制实现应用层面的容错。</w:t>
            </w:r>
          </w:p>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6.★使用多层分布式的应用模式，中间件技术实现分布式事务、消息队列、MQTT服务、应用实时监控服务、流媒体处理、搜索引擎、分布式任务调度、服务注册中心、配置中心、链路跟踪、服务路由、服务鉴权、服务熔断、服务限流降级、服务治理、服务依赖拓扑、全链路灰度发布、健康检查、应用全生命周期管理、资源自动扩缩容等。</w:t>
            </w:r>
          </w:p>
        </w:tc>
        <w:tc>
          <w:tcPr>
            <w:tcW w:w="696" w:type="dxa"/>
            <w:vMerge w:val="restart"/>
            <w:tcBorders>
              <w:top w:val="single" w:color="000000" w:sz="4" w:space="0"/>
              <w:left w:val="single" w:color="000000" w:sz="4" w:space="0"/>
              <w:right w:val="single" w:color="000000" w:sz="4" w:space="0"/>
            </w:tcBorders>
            <w:noWrap/>
            <w:vAlign w:val="center"/>
          </w:tcPr>
          <w:p>
            <w:pPr>
              <w:rPr>
                <w:rFonts w:hint="default"/>
                <w:color w:val="auto"/>
                <w:lang w:val="en-US"/>
              </w:rPr>
            </w:pPr>
            <w:r>
              <w:rPr>
                <w:rFonts w:hint="eastAsia" w:ascii="宋体" w:hAnsi="宋体" w:eastAsia="宋体" w:cs="宋体"/>
                <w:i w:val="0"/>
                <w:iCs w:val="0"/>
                <w:color w:val="auto"/>
                <w:kern w:val="0"/>
                <w:sz w:val="21"/>
                <w:szCs w:val="21"/>
                <w:u w:val="none"/>
                <w:lang w:val="en-US" w:eastAsia="zh-CN" w:bidi="ar"/>
              </w:rPr>
              <w:t>1项</w:t>
            </w: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工业</w:t>
            </w:r>
          </w:p>
          <w:p>
            <w:pPr>
              <w:rPr>
                <w:rFonts w:hint="default"/>
                <w:color w:val="auto"/>
                <w:lang w:val="en-US"/>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统一用户权限管理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具备统一用户、组织、角色权限管理功能，系统支持多维度用户查询、用户资料修改、角色定义等功能，各子系统数据共享。支持用户多组织关联，通过用户帐号和角色权限控制每个用户的管理权限和范围，灵活划分职责和权限。主要包括：用户管理、权限管理、登录授权管理、部门管理、职位管理、角色管理、菜单管理等。</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空间数据库管理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空间矢量数据管理，新建点、线、面空间，将点、线、面数据导入到矢量空间表。空间栅格数据管理，新增JPEG、PNG8、PNG32、PNG24格式的栅格图层，将栅格文件切片导入到空间栅格表。</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地图矢量数据的导入、配色、发布， 栅格数据的导入、发布。空间矢量运算服务，实现点、线、面矢量之间的空间叠加分析。矢量GeoJson服务，将矢量数据发布为geojson，栅格服务接口，实现栅格瓦片服务接口，为其它子系统提供基础的栅格图层访问接口。</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物联网平台</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提供安全可靠的设备连接通信能力，设备通过MQTT协议与物联网平台建立长连接，上报数据到物联网平台，支持设备数据采集上云，规则引擎流转数据和云端数据下发设备端。此外，也提供方便快捷的设备管理能力，支持数据结构化存储，和远程调试、监控、运维。统一设备连接管理,多协议适配(TCP,MQTT,UDP,CoAP,HTTP等),屏蔽网络编程复杂性,灵活接入不同厂家不同协议的设备。灵活的规则引擎,设备告警,消息通知,数据转发。支持统一物模型管理,多种设备,多种厂家,统一管理。统一管理地理位置信息,支持区域搜索。</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AI智能语音交互</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基于人工智能语音识别、语音合成、自然语言理解等技术，在移动端及固定点实现数字大田种植 “能听、会说、懂你”式的智能人机交互，帮助用户使用语音查看养殖环境监测，使数字畜牧养殖更简单，应用更加便捷，可以利用数字技术实现简便养殖应用。</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日志管理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日志管理主要记录平台账号登录及其各个子系统的操作信息，可进行操作日志的查询、导出、删除操作。系统可以记录不同的操作人员系统操作记录，包括模块访问、功能使用情况等等，并支持按部门和人员筛选信息。将日志导出为csv文件。系统日志服务：是观测分析平台，为日志数据提供大规模、低成本、实时平台化服务。一站式提供数据采集、加工、分析、告警可视化与投递功能，全面提升研发、运维、运营和安全等场景数字化能力。</w:t>
            </w:r>
          </w:p>
        </w:tc>
        <w:tc>
          <w:tcPr>
            <w:tcW w:w="696" w:type="dxa"/>
            <w:vMerge w:val="continue"/>
            <w:tcBorders>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7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数据采集监控</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接口数据采集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对具备数据交互接口的IT系统，能适应其数据传输的接口规范，包括常见HTTP、Webservice接口API。</w:t>
            </w:r>
          </w:p>
        </w:tc>
        <w:tc>
          <w:tcPr>
            <w:tcW w:w="696" w:type="dxa"/>
            <w:vMerge w:val="restart"/>
            <w:tcBorders>
              <w:top w:val="single" w:color="000000" w:sz="4" w:space="0"/>
              <w:left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1套</w:t>
            </w:r>
          </w:p>
        </w:tc>
        <w:tc>
          <w:tcPr>
            <w:tcW w:w="696" w:type="dxa"/>
            <w:vMerge w:val="restart"/>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物联网数据采集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1.支持通过消息队列获取物联网数据，并根据映射关系加载到数据库中进行存储。</w:t>
            </w:r>
          </w:p>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2.物联网数据主要包括种植环境数据，实现物联网数据的实时、稳定采集。</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互联网数据采集</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利用爬虫采集农产品的电商公开交易数据(销量、价格、品种)等。本平台可实现对爬虫采集数据的监控，包括采集数据指标、采集网站、采集开关等。</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文件数据导入</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支持的文件格式包括CSV、Excel等格式文件。</w:t>
            </w:r>
          </w:p>
        </w:tc>
        <w:tc>
          <w:tcPr>
            <w:tcW w:w="696" w:type="dxa"/>
            <w:vMerge w:val="continue"/>
            <w:tcBorders>
              <w:left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54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74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数据采集监控</w:t>
            </w:r>
          </w:p>
        </w:tc>
        <w:tc>
          <w:tcPr>
            <w:tcW w:w="59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平台入库的数据来源分布、数据量变化、数据采集日历等，可实现数据采集的实时监控，保障数据采集更新的及时性。</w:t>
            </w:r>
          </w:p>
        </w:tc>
        <w:tc>
          <w:tcPr>
            <w:tcW w:w="696" w:type="dxa"/>
            <w:vMerge w:val="continue"/>
            <w:tcBorders>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c>
          <w:tcPr>
            <w:tcW w:w="696"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i w:val="0"/>
                <w:iCs w:val="0"/>
                <w:color w:val="auto"/>
                <w:sz w:val="21"/>
                <w:szCs w:val="21"/>
                <w:u w:val="none"/>
              </w:rPr>
            </w:pPr>
          </w:p>
        </w:tc>
      </w:tr>
    </w:tbl>
    <w:p>
      <w:pPr>
        <w:widowControl/>
        <w:adjustRightInd w:val="0"/>
        <w:spacing w:line="500" w:lineRule="exact"/>
        <w:rPr>
          <w:rFonts w:hint="eastAsia" w:ascii="宋体" w:hAnsi="宋体"/>
          <w:b/>
          <w:kern w:val="0"/>
          <w:sz w:val="21"/>
          <w:szCs w:val="21"/>
        </w:rPr>
      </w:pPr>
      <w:r>
        <w:rPr>
          <w:rFonts w:hint="eastAsia" w:ascii="宋体" w:hAnsi="宋体"/>
          <w:b/>
          <w:kern w:val="0"/>
          <w:sz w:val="21"/>
          <w:szCs w:val="21"/>
        </w:rPr>
        <w:t>五、需要落实的政府采购政策</w:t>
      </w:r>
    </w:p>
    <w:p>
      <w:pPr>
        <w:numPr>
          <w:ilvl w:val="0"/>
          <w:numId w:val="0"/>
        </w:numPr>
        <w:spacing w:line="500" w:lineRule="exact"/>
        <w:ind w:firstLine="422" w:firstLineChars="200"/>
        <w:rPr>
          <w:rFonts w:hint="eastAsia" w:ascii="宋体" w:hAnsi="宋体"/>
          <w:b/>
          <w:bCs/>
          <w:sz w:val="21"/>
          <w:szCs w:val="21"/>
        </w:rPr>
      </w:pPr>
      <w:r>
        <w:rPr>
          <w:rFonts w:hint="eastAsia" w:ascii="宋体" w:hAnsi="宋体"/>
          <w:b/>
          <w:bCs/>
          <w:sz w:val="21"/>
          <w:szCs w:val="21"/>
          <w:lang w:eastAsia="zh-CN"/>
        </w:rPr>
        <w:t>（一）</w:t>
      </w:r>
      <w:r>
        <w:rPr>
          <w:rFonts w:hint="eastAsia" w:ascii="宋体" w:hAnsi="宋体"/>
          <w:b/>
          <w:bCs/>
          <w:sz w:val="21"/>
          <w:szCs w:val="21"/>
        </w:rPr>
        <w:t>促进中小企业、监狱企业和残疾人福利性单位发展扶持政策</w:t>
      </w:r>
    </w:p>
    <w:p>
      <w:pPr>
        <w:spacing w:line="500" w:lineRule="exact"/>
        <w:ind w:firstLine="422" w:firstLineChars="200"/>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bCs/>
          <w:color w:val="auto"/>
          <w:sz w:val="21"/>
          <w:szCs w:val="21"/>
          <w:highlight w:val="yellow"/>
          <w:lang w:eastAsia="zh-CN"/>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；投标人</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招标文件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投标人当按照招标文件规定出具《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sz w:val="21"/>
          <w:szCs w:val="21"/>
        </w:rPr>
      </w:pPr>
      <w:r>
        <w:rPr>
          <w:rFonts w:hint="eastAsia" w:ascii="宋体" w:hAnsi="宋体"/>
          <w:bCs/>
          <w:sz w:val="21"/>
          <w:szCs w:val="21"/>
        </w:rPr>
        <w:t>　　</w:t>
      </w:r>
      <w:r>
        <w:rPr>
          <w:rFonts w:hint="eastAsia" w:ascii="宋体" w:hAnsi="宋体"/>
          <w:bCs/>
          <w:sz w:val="21"/>
          <w:szCs w:val="21"/>
          <w:lang w:val="en-US" w:eastAsia="zh-CN"/>
        </w:rPr>
        <w:t>2</w:t>
      </w:r>
      <w:r>
        <w:rPr>
          <w:rFonts w:hint="eastAsia" w:ascii="宋体" w:hAnsi="宋体"/>
          <w:bCs/>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rPr>
        <w:t>件</w:t>
      </w:r>
      <w:r>
        <w:rPr>
          <w:rFonts w:hint="eastAsia" w:ascii="宋体" w:hAnsi="宋体"/>
          <w:b/>
          <w:bCs/>
          <w:color w:val="000000"/>
          <w:sz w:val="21"/>
          <w:szCs w:val="21"/>
        </w:rPr>
        <w:t>（</w:t>
      </w:r>
      <w:r>
        <w:rPr>
          <w:rFonts w:hint="eastAsia" w:ascii="宋体" w:hAnsi="宋体"/>
          <w:b/>
          <w:bCs/>
          <w:color w:val="000000"/>
          <w:kern w:val="0"/>
          <w:sz w:val="21"/>
          <w:szCs w:val="21"/>
        </w:rPr>
        <w:t>投标文件中附扫描件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sz w:val="21"/>
          <w:szCs w:val="21"/>
        </w:rPr>
      </w:pPr>
      <w:r>
        <w:rPr>
          <w:rFonts w:hint="eastAsia" w:ascii="宋体" w:hAnsi="宋体"/>
          <w:bCs/>
          <w:sz w:val="21"/>
          <w:szCs w:val="21"/>
          <w:lang w:val="en-US" w:eastAsia="zh-CN"/>
        </w:rPr>
        <w:t>3</w:t>
      </w:r>
      <w:r>
        <w:rPr>
          <w:rFonts w:hint="eastAsia" w:ascii="宋体" w:hAnsi="宋体"/>
          <w:bCs/>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sz w:val="21"/>
          <w:szCs w:val="21"/>
          <w:shd w:val="clear" w:color="auto" w:fill="FFFF00"/>
          <w:lang w:eastAsia="zh-CN"/>
        </w:rPr>
      </w:pPr>
      <w:r>
        <w:rPr>
          <w:rFonts w:hint="eastAsia" w:ascii="宋体" w:hAnsi="宋体" w:eastAsia="宋体"/>
          <w:b/>
          <w:bCs w:val="0"/>
          <w:sz w:val="21"/>
          <w:szCs w:val="21"/>
        </w:rPr>
        <w:t>投标人同时为小型、微型企业、监狱企业、残疾人福利性单位任两种或以上情况的，评审中只享受一次价格扣除，不重复进行价格扣除。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lang w:eastAsia="zh-CN"/>
        </w:rPr>
      </w:pPr>
      <w:r>
        <w:rPr>
          <w:rFonts w:hint="eastAsia" w:ascii="宋体" w:hAnsi="宋体" w:eastAsia="宋体"/>
          <w:b/>
          <w:bCs w:val="0"/>
          <w:sz w:val="21"/>
          <w:szCs w:val="21"/>
          <w:lang w:eastAsia="zh-CN"/>
        </w:rPr>
        <w:t>评标委员会根据投标人提供的《</w:t>
      </w:r>
      <w:r>
        <w:rPr>
          <w:rFonts w:hint="eastAsia" w:ascii="宋体" w:hAnsi="宋体" w:eastAsia="宋体"/>
          <w:b/>
          <w:bCs w:val="0"/>
          <w:sz w:val="21"/>
          <w:szCs w:val="21"/>
        </w:rPr>
        <w:t>中小企业声明函</w:t>
      </w:r>
      <w:r>
        <w:rPr>
          <w:rFonts w:hint="eastAsia" w:ascii="宋体" w:hAnsi="宋体" w:eastAsia="宋体"/>
          <w:b/>
          <w:bCs w:val="0"/>
          <w:sz w:val="21"/>
          <w:szCs w:val="21"/>
          <w:lang w:eastAsia="zh-CN"/>
        </w:rPr>
        <w:t>》认定该投标人是否属于</w:t>
      </w:r>
      <w:r>
        <w:rPr>
          <w:rFonts w:hint="eastAsia" w:ascii="宋体" w:hAnsi="宋体" w:eastAsia="宋体"/>
          <w:b/>
          <w:bCs w:val="0"/>
          <w:sz w:val="21"/>
          <w:szCs w:val="21"/>
        </w:rPr>
        <w:t>小型或微型企业</w:t>
      </w:r>
      <w:r>
        <w:rPr>
          <w:rFonts w:hint="eastAsia" w:ascii="宋体" w:hAnsi="宋体" w:eastAsia="宋体"/>
          <w:b/>
          <w:bCs w:val="0"/>
          <w:sz w:val="21"/>
          <w:szCs w:val="21"/>
          <w:lang w:eastAsia="zh-CN"/>
        </w:rPr>
        <w:t>，被认定为</w:t>
      </w:r>
      <w:r>
        <w:rPr>
          <w:rFonts w:hint="eastAsia" w:ascii="宋体" w:hAnsi="宋体" w:eastAsia="宋体"/>
          <w:b/>
          <w:bCs w:val="0"/>
          <w:sz w:val="21"/>
          <w:szCs w:val="21"/>
        </w:rPr>
        <w:t>小型或微型企业</w:t>
      </w:r>
      <w:r>
        <w:rPr>
          <w:rFonts w:hint="eastAsia" w:ascii="宋体" w:hAnsi="宋体" w:eastAsia="宋体"/>
          <w:b/>
          <w:bCs w:val="0"/>
          <w:sz w:val="21"/>
          <w:szCs w:val="21"/>
          <w:lang w:eastAsia="zh-CN"/>
        </w:rPr>
        <w:t>的方可</w:t>
      </w:r>
      <w:r>
        <w:rPr>
          <w:rFonts w:hint="eastAsia" w:ascii="宋体" w:hAnsi="宋体" w:eastAsia="宋体"/>
          <w:b/>
          <w:bCs w:val="0"/>
          <w:sz w:val="21"/>
          <w:szCs w:val="21"/>
        </w:rPr>
        <w:t>享受价格优惠。</w:t>
      </w:r>
    </w:p>
    <w:p>
      <w:pPr>
        <w:numPr>
          <w:ilvl w:val="0"/>
          <w:numId w:val="0"/>
        </w:numPr>
        <w:spacing w:line="500" w:lineRule="exact"/>
        <w:ind w:leftChars="200"/>
        <w:rPr>
          <w:rFonts w:hint="eastAsia" w:ascii="宋体" w:hAnsi="宋体"/>
          <w:b/>
          <w:bCs/>
          <w:sz w:val="21"/>
          <w:szCs w:val="21"/>
        </w:rPr>
      </w:pPr>
      <w:r>
        <w:rPr>
          <w:rFonts w:hint="eastAsia" w:ascii="宋体" w:hAnsi="宋体"/>
          <w:b/>
          <w:bCs/>
          <w:sz w:val="21"/>
          <w:szCs w:val="21"/>
          <w:lang w:eastAsia="zh-CN"/>
        </w:rPr>
        <w:t>（二）</w:t>
      </w:r>
      <w:r>
        <w:rPr>
          <w:rFonts w:hint="eastAsia" w:ascii="宋体" w:hAnsi="宋体"/>
          <w:b/>
          <w:bCs/>
          <w:sz w:val="21"/>
          <w:szCs w:val="21"/>
        </w:rPr>
        <w:t>节能产品、环境标志产品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sz w:val="21"/>
          <w:szCs w:val="21"/>
        </w:rPr>
      </w:pPr>
      <w:r>
        <w:rPr>
          <w:rFonts w:hint="eastAsia" w:ascii="宋体" w:hAnsi="宋体"/>
          <w:bCs/>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000000"/>
          <w:sz w:val="21"/>
          <w:szCs w:val="21"/>
        </w:rPr>
        <w:t>书</w:t>
      </w:r>
      <w:r>
        <w:rPr>
          <w:rFonts w:hint="eastAsia" w:ascii="宋体" w:hAnsi="宋体"/>
          <w:b/>
          <w:bCs/>
          <w:color w:val="000000"/>
          <w:sz w:val="21"/>
          <w:szCs w:val="21"/>
        </w:rPr>
        <w:t>（</w:t>
      </w:r>
      <w:r>
        <w:rPr>
          <w:rFonts w:hint="eastAsia" w:ascii="宋体" w:hAnsi="宋体"/>
          <w:b/>
          <w:bCs/>
          <w:color w:val="000000"/>
          <w:kern w:val="0"/>
          <w:sz w:val="21"/>
          <w:szCs w:val="21"/>
        </w:rPr>
        <w:t>投标文件中附扫描件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否则不予认定。</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3C9A12A"/>
    <w:multiLevelType w:val="singleLevel"/>
    <w:tmpl w:val="13C9A12A"/>
    <w:lvl w:ilvl="0" w:tentative="0">
      <w:start w:val="14"/>
      <w:numFmt w:val="decimal"/>
      <w:lvlText w:val="%1."/>
      <w:lvlJc w:val="left"/>
      <w:pPr>
        <w:tabs>
          <w:tab w:val="left" w:pos="312"/>
        </w:tabs>
      </w:pPr>
    </w:lvl>
  </w:abstractNum>
  <w:abstractNum w:abstractNumId="2">
    <w:nsid w:val="1C75C317"/>
    <w:multiLevelType w:val="singleLevel"/>
    <w:tmpl w:val="1C75C317"/>
    <w:lvl w:ilvl="0" w:tentative="0">
      <w:start w:val="20"/>
      <w:numFmt w:val="decimal"/>
      <w:suff w:val="nothing"/>
      <w:lvlText w:val="%1、"/>
      <w:lvlJc w:val="left"/>
    </w:lvl>
  </w:abstractNum>
  <w:abstractNum w:abstractNumId="3">
    <w:nsid w:val="28881AD2"/>
    <w:multiLevelType w:val="singleLevel"/>
    <w:tmpl w:val="28881AD2"/>
    <w:lvl w:ilvl="0" w:tentative="0">
      <w:start w:val="1"/>
      <w:numFmt w:val="decimal"/>
      <w:lvlText w:val="%1."/>
      <w:lvlJc w:val="left"/>
      <w:pPr>
        <w:tabs>
          <w:tab w:val="left" w:pos="312"/>
        </w:tabs>
      </w:pPr>
    </w:lvl>
  </w:abstractNum>
  <w:abstractNum w:abstractNumId="4">
    <w:nsid w:val="29D9A985"/>
    <w:multiLevelType w:val="singleLevel"/>
    <w:tmpl w:val="29D9A985"/>
    <w:lvl w:ilvl="0" w:tentative="0">
      <w:start w:val="1"/>
      <w:numFmt w:val="decimal"/>
      <w:suff w:val="nothing"/>
      <w:lvlText w:val="%1、"/>
      <w:lvlJc w:val="left"/>
    </w:lvl>
  </w:abstractNum>
  <w:abstractNum w:abstractNumId="5">
    <w:nsid w:val="7C1CECA8"/>
    <w:multiLevelType w:val="singleLevel"/>
    <w:tmpl w:val="7C1CECA8"/>
    <w:lvl w:ilvl="0" w:tentative="0">
      <w:start w:val="1"/>
      <w:numFmt w:val="decimal"/>
      <w:suff w:val="nothing"/>
      <w:lvlText w:val="%1、"/>
      <w:lvlJc w:val="left"/>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1YmM0ZjQwMmQzMmZiZjIzOWRiMTBkOWY2MTQzODgifQ=="/>
  </w:docVars>
  <w:rsids>
    <w:rsidRoot w:val="00000000"/>
    <w:rsid w:val="6E5A5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Message Header"/>
    <w:basedOn w:val="1"/>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3">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2024-04-17T01:55:07Z</dcterms:created>
  <dc:creator>Administrator</dc:creator>
  <cp:lastModifiedBy>Administrator</cp:lastModifiedBy>
  <dcterms:modified xsi:type="dcterms:W3CDTF">2024-04-17T01:55:10Z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FD93DEAE1D8C40CBB50E9902D6BA5D0B_12</vt:lpwstr>
  </property>
</Properties>
</file>