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7AD4">
      <w:pPr>
        <w:pStyle w:val="2"/>
        <w:spacing w:line="480" w:lineRule="exact"/>
        <w:ind w:right="-72" w:rightChars="-30"/>
        <w:rPr>
          <w:rFonts w:hint="eastAsia" w:ascii="宋体" w:hAnsi="宋体" w:cs="宋体"/>
          <w:color w:val="auto"/>
        </w:rPr>
      </w:pPr>
      <w:bookmarkStart w:id="0" w:name="_Toc6429"/>
      <w:bookmarkStart w:id="1" w:name="_Toc458698253"/>
      <w:bookmarkStart w:id="2" w:name="_Toc477166579"/>
      <w:r>
        <w:rPr>
          <w:rFonts w:hint="eastAsia" w:ascii="宋体" w:hAnsi="宋体" w:cs="宋体"/>
          <w:color w:val="auto"/>
        </w:rPr>
        <w:t>第四章 采购需求</w:t>
      </w:r>
      <w:bookmarkEnd w:id="0"/>
      <w:bookmarkEnd w:id="1"/>
      <w:bookmarkEnd w:id="2"/>
    </w:p>
    <w:p w14:paraId="457B349C">
      <w:pPr>
        <w:widowControl/>
        <w:adjustRightInd w:val="0"/>
        <w:spacing w:line="360" w:lineRule="auto"/>
        <w:rPr>
          <w:rFonts w:ascii="宋体" w:hAnsi="宋体"/>
          <w:b/>
          <w:color w:val="auto"/>
          <w:kern w:val="0"/>
          <w:sz w:val="21"/>
          <w:szCs w:val="21"/>
        </w:rPr>
      </w:pPr>
      <w:r>
        <w:rPr>
          <w:rFonts w:hint="eastAsia" w:ascii="宋体" w:hAnsi="宋体"/>
          <w:b/>
          <w:color w:val="auto"/>
          <w:kern w:val="0"/>
          <w:sz w:val="21"/>
          <w:szCs w:val="21"/>
        </w:rPr>
        <w:t>一、</w:t>
      </w:r>
      <w:r>
        <w:rPr>
          <w:rFonts w:ascii="宋体" w:hAnsi="宋体"/>
          <w:b/>
          <w:color w:val="auto"/>
          <w:kern w:val="0"/>
          <w:sz w:val="21"/>
          <w:szCs w:val="21"/>
        </w:rPr>
        <w:t>相关说明</w:t>
      </w:r>
    </w:p>
    <w:p w14:paraId="0CCDE47F">
      <w:pPr>
        <w:widowControl/>
        <w:numPr>
          <w:ilvl w:val="2"/>
          <w:numId w:val="1"/>
        </w:numPr>
        <w:adjustRightInd w:val="0"/>
        <w:spacing w:line="360" w:lineRule="auto"/>
        <w:ind w:firstLine="420" w:firstLineChars="200"/>
        <w:jc w:val="left"/>
        <w:rPr>
          <w:rFonts w:hint="eastAsia" w:ascii="宋体" w:hAnsi="宋体"/>
          <w:color w:val="auto"/>
          <w:kern w:val="0"/>
          <w:sz w:val="21"/>
          <w:szCs w:val="21"/>
        </w:rPr>
      </w:pPr>
      <w:r>
        <w:rPr>
          <w:rFonts w:hint="eastAsia" w:ascii="宋体" w:hAnsi="宋体"/>
          <w:color w:val="auto"/>
          <w:kern w:val="0"/>
          <w:sz w:val="21"/>
          <w:szCs w:val="21"/>
        </w:rPr>
        <w:t>本次采购内容如果要求的某些技术标准低于国家标准，均以最新的国家标准为准。招标技术要求中未明确的技术标准也均不得低于国家标准；</w:t>
      </w:r>
    </w:p>
    <w:p w14:paraId="0C63CA6E">
      <w:pPr>
        <w:widowControl/>
        <w:numPr>
          <w:ilvl w:val="2"/>
          <w:numId w:val="1"/>
        </w:numPr>
        <w:adjustRightInd w:val="0"/>
        <w:spacing w:line="360" w:lineRule="auto"/>
        <w:ind w:firstLine="420" w:firstLineChars="200"/>
        <w:jc w:val="left"/>
        <w:rPr>
          <w:rFonts w:hint="eastAsia" w:ascii="宋体" w:hAnsi="宋体"/>
          <w:color w:val="auto"/>
          <w:kern w:val="0"/>
          <w:sz w:val="21"/>
          <w:szCs w:val="21"/>
        </w:rPr>
      </w:pPr>
      <w:r>
        <w:rPr>
          <w:rFonts w:ascii="宋体" w:hAnsi="宋体"/>
          <w:color w:val="auto"/>
          <w:kern w:val="0"/>
          <w:sz w:val="21"/>
          <w:szCs w:val="21"/>
        </w:rPr>
        <w:t>本采购项目为交钥匙项目，</w:t>
      </w:r>
      <w:r>
        <w:rPr>
          <w:rFonts w:hint="eastAsia" w:ascii="宋体" w:hAnsi="宋体"/>
          <w:color w:val="auto"/>
          <w:kern w:val="0"/>
          <w:sz w:val="21"/>
          <w:szCs w:val="21"/>
        </w:rPr>
        <w:t>验收合格前</w:t>
      </w:r>
      <w:r>
        <w:rPr>
          <w:rFonts w:ascii="宋体" w:hAnsi="宋体"/>
          <w:color w:val="auto"/>
          <w:kern w:val="0"/>
          <w:sz w:val="21"/>
          <w:szCs w:val="21"/>
        </w:rPr>
        <w:t>所需的一切费用</w:t>
      </w:r>
      <w:r>
        <w:rPr>
          <w:rFonts w:hint="eastAsia" w:ascii="宋体" w:hAnsi="宋体"/>
          <w:color w:val="auto"/>
          <w:kern w:val="0"/>
          <w:sz w:val="21"/>
          <w:szCs w:val="21"/>
        </w:rPr>
        <w:t>均</w:t>
      </w:r>
      <w:r>
        <w:rPr>
          <w:rFonts w:ascii="宋体" w:hAnsi="宋体"/>
          <w:color w:val="auto"/>
          <w:kern w:val="0"/>
          <w:sz w:val="21"/>
          <w:szCs w:val="21"/>
        </w:rPr>
        <w:t>包含在报价之中，采购人不</w:t>
      </w:r>
      <w:r>
        <w:rPr>
          <w:rFonts w:hint="eastAsia" w:ascii="宋体" w:hAnsi="宋体"/>
          <w:color w:val="auto"/>
          <w:kern w:val="0"/>
          <w:sz w:val="21"/>
          <w:szCs w:val="21"/>
        </w:rPr>
        <w:t>承担成交价格以外的</w:t>
      </w:r>
      <w:r>
        <w:rPr>
          <w:rFonts w:ascii="宋体" w:hAnsi="宋体"/>
          <w:color w:val="auto"/>
          <w:kern w:val="0"/>
          <w:sz w:val="21"/>
          <w:szCs w:val="21"/>
        </w:rPr>
        <w:t>任何费用。</w:t>
      </w:r>
    </w:p>
    <w:p w14:paraId="23D937E7">
      <w:pPr>
        <w:widowControl/>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rPr>
        <w:t xml:space="preserve">二、商务要求： </w:t>
      </w:r>
    </w:p>
    <w:p w14:paraId="3955AC43">
      <w:pPr>
        <w:numPr>
          <w:ilvl w:val="2"/>
          <w:numId w:val="0"/>
        </w:numPr>
        <w:spacing w:line="360" w:lineRule="auto"/>
        <w:ind w:left="0" w:leftChars="0" w:firstLine="420" w:firstLineChars="200"/>
        <w:rPr>
          <w:rFonts w:hint="eastAsia" w:ascii="宋体" w:hAnsi="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color w:val="auto"/>
          <w:sz w:val="21"/>
          <w:szCs w:val="21"/>
        </w:rPr>
        <w:t>合同履行期限：90 日历天。</w:t>
      </w:r>
    </w:p>
    <w:p w14:paraId="582C898C">
      <w:pPr>
        <w:numPr>
          <w:ilvl w:val="2"/>
          <w:numId w:val="0"/>
        </w:numPr>
        <w:spacing w:line="360" w:lineRule="auto"/>
        <w:ind w:left="0" w:leftChars="0" w:firstLine="420" w:firstLineChars="200"/>
        <w:rPr>
          <w:rFonts w:hint="eastAsia" w:ascii="宋体" w:hAnsi="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color w:val="auto"/>
          <w:sz w:val="21"/>
          <w:szCs w:val="21"/>
        </w:rPr>
        <w:t>供货</w:t>
      </w:r>
      <w:r>
        <w:rPr>
          <w:rFonts w:hint="eastAsia" w:ascii="宋体" w:hAnsi="宋体"/>
          <w:color w:val="auto"/>
          <w:sz w:val="21"/>
          <w:szCs w:val="21"/>
          <w:lang w:eastAsia="zh-CN"/>
        </w:rPr>
        <w:t>（服务）</w:t>
      </w:r>
      <w:r>
        <w:rPr>
          <w:rFonts w:hint="eastAsia" w:ascii="宋体" w:hAnsi="宋体"/>
          <w:color w:val="auto"/>
          <w:sz w:val="21"/>
          <w:szCs w:val="21"/>
        </w:rPr>
        <w:t>地点：</w:t>
      </w:r>
      <w:r>
        <w:rPr>
          <w:rFonts w:hint="eastAsia"/>
          <w:color w:val="auto"/>
          <w:sz w:val="21"/>
          <w:szCs w:val="21"/>
          <w:lang w:eastAsia="zh-CN"/>
        </w:rPr>
        <w:t>武陟县妙乐寺塔</w:t>
      </w:r>
    </w:p>
    <w:p w14:paraId="46DA28A7">
      <w:pPr>
        <w:numPr>
          <w:ilvl w:val="2"/>
          <w:numId w:val="0"/>
        </w:numPr>
        <w:spacing w:line="360" w:lineRule="auto"/>
        <w:ind w:left="0" w:leftChars="0" w:firstLine="420" w:firstLineChars="200"/>
        <w:rPr>
          <w:rFonts w:hint="eastAsia" w:ascii="宋体" w:hAnsi="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color w:val="auto"/>
          <w:sz w:val="21"/>
          <w:szCs w:val="21"/>
        </w:rPr>
        <w:t>质量标准：合格，符合国家和行业相关规范、标准及采购人实际需求。</w:t>
      </w:r>
    </w:p>
    <w:p w14:paraId="7FCF73AA">
      <w:pPr>
        <w:numPr>
          <w:ilvl w:val="2"/>
          <w:numId w:val="0"/>
        </w:numPr>
        <w:spacing w:line="360" w:lineRule="auto"/>
        <w:ind w:left="0" w:leftChars="0" w:firstLine="420" w:firstLineChars="200"/>
        <w:rPr>
          <w:rFonts w:hint="eastAsia" w:ascii="宋体" w:hAnsi="宋体" w:eastAsia="宋体"/>
          <w:color w:val="auto"/>
          <w:sz w:val="21"/>
          <w:szCs w:val="21"/>
          <w:lang w:val="en-US" w:eastAsia="zh-CN"/>
        </w:rPr>
      </w:pPr>
      <w:r>
        <w:rPr>
          <w:rFonts w:hint="default" w:ascii="宋体" w:hAnsi="宋体" w:eastAsia="宋体" w:cs="宋体"/>
          <w:color w:val="auto"/>
          <w:kern w:val="2"/>
          <w:sz w:val="21"/>
          <w:szCs w:val="21"/>
          <w:lang w:val="en-US" w:eastAsia="zh-CN" w:bidi="ar-SA"/>
        </w:rPr>
        <w:t>4.</w:t>
      </w:r>
      <w:r>
        <w:rPr>
          <w:rFonts w:hint="eastAsia" w:ascii="宋体" w:hAnsi="宋体"/>
          <w:color w:val="auto"/>
          <w:sz w:val="21"/>
          <w:szCs w:val="21"/>
        </w:rPr>
        <w:t>质量保证期：</w:t>
      </w:r>
      <w:r>
        <w:rPr>
          <w:rFonts w:hint="eastAsia" w:ascii="宋体" w:hAnsi="宋体"/>
          <w:color w:val="auto"/>
          <w:sz w:val="21"/>
          <w:szCs w:val="21"/>
          <w:lang w:val="en-US" w:eastAsia="zh-CN"/>
        </w:rPr>
        <w:t>五年。</w:t>
      </w:r>
    </w:p>
    <w:p w14:paraId="6FD0A548">
      <w:pPr>
        <w:numPr>
          <w:ilvl w:val="2"/>
          <w:numId w:val="0"/>
        </w:numPr>
        <w:spacing w:line="360" w:lineRule="auto"/>
        <w:ind w:left="0" w:leftChars="0" w:firstLine="420" w:firstLineChars="200"/>
        <w:rPr>
          <w:rFonts w:hint="eastAsia" w:ascii="宋体" w:hAnsi="宋体"/>
          <w:color w:val="auto"/>
          <w:sz w:val="21"/>
          <w:szCs w:val="21"/>
        </w:rPr>
      </w:pPr>
      <w:r>
        <w:rPr>
          <w:rFonts w:hint="default" w:ascii="宋体" w:hAnsi="宋体" w:eastAsia="宋体" w:cs="宋体"/>
          <w:color w:val="auto"/>
          <w:kern w:val="2"/>
          <w:sz w:val="21"/>
          <w:szCs w:val="21"/>
          <w:lang w:val="en-US" w:eastAsia="zh-CN" w:bidi="ar-SA"/>
        </w:rPr>
        <w:t>5.</w:t>
      </w:r>
      <w:r>
        <w:rPr>
          <w:rFonts w:hint="eastAsia" w:ascii="宋体" w:hAnsi="宋体"/>
          <w:color w:val="auto"/>
          <w:sz w:val="21"/>
          <w:szCs w:val="21"/>
        </w:rPr>
        <w:t>付款方式：工程进度款按实际完成进度支付</w:t>
      </w:r>
      <w:r>
        <w:rPr>
          <w:rFonts w:hint="eastAsia"/>
          <w:color w:val="auto"/>
          <w:sz w:val="21"/>
          <w:szCs w:val="21"/>
          <w:lang w:eastAsia="zh-CN"/>
        </w:rPr>
        <w:t>，</w:t>
      </w:r>
      <w:r>
        <w:rPr>
          <w:rFonts w:hint="eastAsia" w:ascii="宋体" w:hAnsi="宋体"/>
          <w:color w:val="auto"/>
          <w:sz w:val="21"/>
          <w:szCs w:val="21"/>
        </w:rPr>
        <w:t>项目完成合同总进度的70%，付合同全款的50%，项目完工验收合格后，付清剩余全部工程款</w:t>
      </w:r>
      <w:r>
        <w:rPr>
          <w:rFonts w:hint="eastAsia"/>
          <w:color w:val="auto"/>
          <w:sz w:val="21"/>
          <w:szCs w:val="21"/>
          <w:lang w:eastAsia="zh-CN"/>
        </w:rPr>
        <w:t>，</w:t>
      </w:r>
      <w:r>
        <w:rPr>
          <w:rFonts w:hint="eastAsia" w:ascii="宋体" w:hAnsi="宋体"/>
          <w:color w:val="auto"/>
          <w:sz w:val="21"/>
          <w:szCs w:val="21"/>
        </w:rPr>
        <w:t>自付清工程款后无偿维保</w:t>
      </w:r>
      <w:r>
        <w:rPr>
          <w:rFonts w:hint="eastAsia" w:ascii="宋体" w:hAnsi="宋体"/>
          <w:color w:val="auto"/>
          <w:sz w:val="21"/>
          <w:szCs w:val="21"/>
          <w:lang w:val="en-US" w:eastAsia="zh-CN"/>
        </w:rPr>
        <w:t>五</w:t>
      </w:r>
      <w:r>
        <w:rPr>
          <w:rFonts w:hint="eastAsia" w:ascii="宋体" w:hAnsi="宋体"/>
          <w:color w:val="auto"/>
          <w:sz w:val="21"/>
          <w:szCs w:val="21"/>
        </w:rPr>
        <w:t>年。</w:t>
      </w:r>
    </w:p>
    <w:p w14:paraId="7B96E143">
      <w:pPr>
        <w:widowControl/>
        <w:adjustRightInd w:val="0"/>
        <w:spacing w:line="360" w:lineRule="auto"/>
        <w:rPr>
          <w:rFonts w:hint="eastAsia" w:ascii="宋体" w:hAnsi="宋体"/>
          <w:b/>
          <w:color w:val="auto"/>
          <w:kern w:val="0"/>
          <w:sz w:val="21"/>
          <w:szCs w:val="21"/>
        </w:rPr>
      </w:pPr>
      <w:r>
        <w:rPr>
          <w:rFonts w:hint="eastAsia" w:ascii="宋体" w:hAnsi="宋体"/>
          <w:b/>
          <w:color w:val="auto"/>
          <w:kern w:val="0"/>
          <w:sz w:val="21"/>
          <w:szCs w:val="21"/>
          <w:lang w:eastAsia="zh-CN"/>
        </w:rPr>
        <w:t>三</w:t>
      </w:r>
      <w:r>
        <w:rPr>
          <w:rFonts w:hint="eastAsia" w:ascii="宋体" w:hAnsi="宋体"/>
          <w:b/>
          <w:color w:val="auto"/>
          <w:kern w:val="0"/>
          <w:sz w:val="21"/>
          <w:szCs w:val="21"/>
        </w:rPr>
        <w:t>、采购内容及技术要求</w:t>
      </w:r>
    </w:p>
    <w:p w14:paraId="2EE0045E">
      <w:pPr>
        <w:pStyle w:val="5"/>
        <w:keepNext w:val="0"/>
        <w:keepLines w:val="0"/>
        <w:pageBreakBefore w:val="0"/>
        <w:numPr>
          <w:ilvl w:val="0"/>
          <w:numId w:val="0"/>
        </w:numPr>
        <w:kinsoku/>
        <w:wordWrap/>
        <w:overflowPunct/>
        <w:topLinePunct w:val="0"/>
        <w:autoSpaceDE/>
        <w:autoSpaceDN/>
        <w:bidi w:val="0"/>
        <w:spacing w:line="560" w:lineRule="exact"/>
        <w:ind w:left="0" w:firstLine="640" w:firstLineChars="200"/>
        <w:jc w:val="left"/>
        <w:textAlignment w:val="auto"/>
        <w:rPr>
          <w:rFonts w:hint="eastAsia" w:ascii="仿宋" w:hAnsi="仿宋" w:eastAsia="仿宋" w:cs="仿宋"/>
          <w:b w:val="0"/>
          <w:bCs w:val="0"/>
          <w:sz w:val="32"/>
          <w:szCs w:val="32"/>
          <w:highlight w:val="yellow"/>
        </w:rPr>
      </w:pP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本项目的核心产品为：</w:t>
      </w:r>
      <w:r>
        <w:rPr>
          <w:rFonts w:hint="eastAsia" w:ascii="仿宋" w:hAnsi="仿宋" w:eastAsia="仿宋" w:cs="仿宋"/>
          <w:b w:val="0"/>
          <w:bCs w:val="0"/>
          <w:color w:val="auto"/>
          <w:sz w:val="32"/>
          <w:szCs w:val="32"/>
          <w:highlight w:val="none"/>
          <w:u w:val="single"/>
          <w:lang w:val="en-US" w:eastAsia="zh-CN"/>
        </w:rPr>
        <w:t xml:space="preserve">  网络枪式摄像机 </w:t>
      </w:r>
      <w:r>
        <w:rPr>
          <w:rFonts w:hint="eastAsia" w:ascii="仿宋" w:hAnsi="仿宋" w:eastAsia="仿宋" w:cs="仿宋"/>
          <w:b w:val="0"/>
          <w:bCs w:val="0"/>
          <w:color w:val="auto"/>
          <w:sz w:val="32"/>
          <w:szCs w:val="32"/>
          <w:highlight w:val="none"/>
          <w:u w:val="single"/>
        </w:rPr>
        <w:t xml:space="preserve"> </w:t>
      </w:r>
      <w:r>
        <w:rPr>
          <w:rFonts w:hint="eastAsia" w:ascii="仿宋" w:hAnsi="仿宋" w:eastAsia="仿宋" w:cs="仿宋"/>
          <w:b w:val="0"/>
          <w:bCs w:val="0"/>
          <w:sz w:val="32"/>
          <w:szCs w:val="32"/>
          <w:highlight w:val="none"/>
        </w:rPr>
        <w:t>（核心产品仅适用于本项目同一品牌的认定，同一品牌的认定详见投标人须知）</w:t>
      </w:r>
    </w:p>
    <w:tbl>
      <w:tblPr>
        <w:tblStyle w:val="3"/>
        <w:tblW w:w="10002" w:type="dxa"/>
        <w:tblInd w:w="-6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748"/>
        <w:gridCol w:w="931"/>
        <w:gridCol w:w="6771"/>
        <w:gridCol w:w="909"/>
      </w:tblGrid>
      <w:tr w14:paraId="02CC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6387B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EA940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标的名称</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779B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数量/单位</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3B6B047">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主要技术参数、性能、配置等要求</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C6C38B5">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所属行业</w:t>
            </w:r>
          </w:p>
        </w:tc>
      </w:tr>
      <w:tr w14:paraId="53C1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2" w:type="dxa"/>
            <w:gridSpan w:val="5"/>
            <w:tcBorders>
              <w:top w:val="single" w:color="000000" w:sz="4" w:space="0"/>
              <w:left w:val="single" w:color="000000" w:sz="4" w:space="0"/>
              <w:bottom w:val="single" w:color="000000" w:sz="4" w:space="0"/>
              <w:right w:val="single" w:color="000000" w:sz="4" w:space="0"/>
            </w:tcBorders>
            <w:noWrap w:val="0"/>
            <w:vAlign w:val="center"/>
          </w:tcPr>
          <w:p w14:paraId="2E7B691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微振动入侵探测器</w:t>
            </w:r>
          </w:p>
        </w:tc>
      </w:tr>
      <w:tr w14:paraId="10E0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0B5D6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1D02DD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微振动入侵探测器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E6113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E6A96F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1.集成边缘智能算法，可在远端（探测端）智能识别入侵类型，输出人员、车辆、挖掘等入侵报警事件；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2.防拆报警：当设备被打开时，可产生防拆告警信号；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3.离线告警：当设备关机、离线时，可产生离线告警信号；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4.检出率：具有较高水平的检出能力，检出率达95%以上；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5.设备支持探测距离调节，用户可根据实际应用需要，灵活调整探测距离；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6.信息化管理：主动上报设备信息、状态信息、定位信息，实现设备智能化、信息化管理；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7.远程升级：可通过后台远程升级设备固件,完善及增强设备功能性能；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8.远程数据采集功能：可远程采集探测器侧环境数据，辅助进行环境勘测、故障诊断，优化深度学习算法，增强设备环境适应性；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9.耐腐蚀性：产品外壳采用PA+GF复合材料，耐腐蚀性强；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10.抗压能力：可承受大型车辆碾压（设备埋设后）</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20DFDB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lang w:bidi="ar"/>
              </w:rPr>
              <w:t>制造业</w:t>
            </w:r>
          </w:p>
        </w:tc>
      </w:tr>
      <w:tr w14:paraId="0051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CD8E1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4B430D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微振动入侵探测器主机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4F9BB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D45D02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1.智能控制：支持对前端设备进行组网管理、设备参数管理，对报警事件分析处理，并上报；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2.干扰滤除：滤除信号长距离传输外部干扰，提高报警准确率；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3.带载能力：支持16个探测器挂载，通讯距离不小于1km（可定制64探头挂载）；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4.通讯加密：支持通讯数据加密保护，提供高安全传输通道；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5.保护功能：支持输入输出短路、过压、过流保护等功能；</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3FB403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auto"/>
                <w:sz w:val="21"/>
                <w:szCs w:val="21"/>
                <w:lang w:bidi="ar"/>
              </w:rPr>
              <w:t>制造业</w:t>
            </w:r>
          </w:p>
        </w:tc>
      </w:tr>
      <w:tr w14:paraId="7C62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002" w:type="dxa"/>
            <w:gridSpan w:val="5"/>
            <w:tcBorders>
              <w:top w:val="single" w:color="000000" w:sz="4" w:space="0"/>
              <w:left w:val="single" w:color="000000" w:sz="4" w:space="0"/>
              <w:bottom w:val="single" w:color="000000" w:sz="4" w:space="0"/>
              <w:right w:val="single" w:color="000000" w:sz="4" w:space="0"/>
            </w:tcBorders>
            <w:noWrap w:val="0"/>
            <w:vAlign w:val="center"/>
          </w:tcPr>
          <w:p w14:paraId="340C0E79">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电子围栏系统 </w:t>
            </w:r>
          </w:p>
        </w:tc>
      </w:tr>
      <w:tr w14:paraId="2C0F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6A269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D10E2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网络版四线双防脉冲主机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371A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F2048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4.3英寸的液晶显示操作屏，可显示每个防区的工作电压，可进行布防、撤防、电压调节等操作；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支持防区电压无级调控（最小颗粒度0.1Kv），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支持防区报警图标显示,可实时监控每个防区情况,一旦报警被触发图标立即闪烁并报警提示；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支持防区报警（短路、断路、触网）、防拆报警、系统故障报警等多种报警方式；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内置两路独立高压电路，实现真正意义上的双防区，控制中心对该脉冲主机的回控可以精确到单个防区实现分别独立控制；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网络接口：1个RJ45接口 （10/100M）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报警输入：支持1组报警输入NO/NC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有线连接：支持</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278639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B9A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54994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18EF0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周界报警室外工控箱</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E127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F5115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不锈钢防水箱</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9D4DE1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4BB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4103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C22EE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避雷器（含支架）</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6174D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6DC14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高压避雷器 10KV，每个防区1个</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F8996C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A81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DD391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D67ED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室外声光报警器（含支架，电源）</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A110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13BA0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工作方式：旋转；蜂鸣器分贝：≥100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5F83A0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4E9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BE19A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D7366F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四/六线通用中间杆850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C1B5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112根</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55631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材质：软性玻璃纤维；口径≥9.5mm，杆长≥850mm</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914DA18">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417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FC74F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983B6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四线中间杆附件包850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D2E76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BD120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ABS材料  耐腐蚀  抗老化   用于中间杆与底座的连接</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B294EF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1BB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AA454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E0C05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四线承力杆附件包850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6B815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1EFAC1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6线国标承力杆附件包；含承力杆帽子（内塞21口径）1个、承力杆绝缘子（方形25口径配插销）6个、承力杆万向底座（铝合金）1个</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1CECD8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02F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02C9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E67E3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四线终端杆附件包850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FAA9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411C8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6线国标终端杆附件包；  含终端杆帽子（内塞27口径）1个、终端杆绝缘子（方形32口径配插销）6个、终端杆底座（铝合金）1套、收紧器6个、线线连接器12个</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8589FE7">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BD7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F6CD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6E619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四线承力/终端杆850</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66C2D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41根</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B52C0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6"/>
                <w:rFonts w:hint="eastAsia" w:ascii="宋体" w:hAnsi="宋体" w:eastAsia="宋体" w:cs="宋体"/>
                <w:sz w:val="21"/>
                <w:szCs w:val="21"/>
                <w:lang w:val="en-US" w:eastAsia="zh-CN" w:bidi="ar"/>
              </w:rPr>
              <w:t>承力杆：铝合金椭圆管</w:t>
            </w:r>
            <w:r>
              <w:rPr>
                <w:rFonts w:hint="eastAsia" w:ascii="宋体" w:hAnsi="宋体" w:eastAsia="宋体" w:cs="宋体"/>
                <w:i w:val="0"/>
                <w:iCs w:val="0"/>
                <w:color w:val="000000"/>
                <w:kern w:val="0"/>
                <w:sz w:val="21"/>
                <w:szCs w:val="21"/>
                <w:u w:val="none"/>
                <w:lang w:val="en-US" w:eastAsia="zh-CN" w:bidi="ar"/>
              </w:rPr>
              <w:t>≥</w:t>
            </w:r>
            <w:r>
              <w:rPr>
                <w:rStyle w:val="6"/>
                <w:rFonts w:hint="eastAsia" w:ascii="宋体" w:hAnsi="宋体" w:eastAsia="宋体" w:cs="宋体"/>
                <w:sz w:val="21"/>
                <w:szCs w:val="21"/>
                <w:lang w:val="en-US" w:eastAsia="zh-CN" w:bidi="ar"/>
              </w:rPr>
              <w:t>Φ21×1.5×850，银色氧化；</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终端杆：铝合金椭圆管</w:t>
            </w:r>
            <w:r>
              <w:rPr>
                <w:rFonts w:hint="eastAsia" w:ascii="宋体" w:hAnsi="宋体" w:eastAsia="宋体" w:cs="宋体"/>
                <w:i w:val="0"/>
                <w:iCs w:val="0"/>
                <w:color w:val="000000"/>
                <w:kern w:val="0"/>
                <w:sz w:val="21"/>
                <w:szCs w:val="21"/>
                <w:u w:val="none"/>
                <w:lang w:val="en-US" w:eastAsia="zh-CN" w:bidi="ar"/>
              </w:rPr>
              <w:t>≥</w:t>
            </w:r>
            <w:r>
              <w:rPr>
                <w:rStyle w:val="6"/>
                <w:rFonts w:hint="eastAsia" w:ascii="宋体" w:hAnsi="宋体" w:eastAsia="宋体" w:cs="宋体"/>
                <w:sz w:val="21"/>
                <w:szCs w:val="21"/>
                <w:lang w:val="en-US" w:eastAsia="zh-CN" w:bidi="ar"/>
              </w:rPr>
              <w:t>Φ32×2×850，银色氧化。</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A40665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3E6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F8D1B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EC1372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20#合金线400米/盘</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5F98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7盘</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6D86B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铝镁锰锌合金导线，抗氧化，无毛刺，耐腐蚀，不生锈，优良的导电率，材料的断裂伸长率为75%，高弹性，直径为Ф2.0MM 400米/盘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7B0C729">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5DF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2CB04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99109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20#合金线100米/盘</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E789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1盘</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37A6A5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铝镁锰锌合金导线，抗氧化，无毛刺，耐腐蚀，不生锈，优良的导电率，材料的断裂伸长率为75%，高弹性，直径为Ф2.0MM 100米/盘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8379862">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F77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E680A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A9D63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高压绝缘导线100m/盘</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2556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4盘</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3CC18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6"/>
                <w:rFonts w:hint="eastAsia" w:ascii="宋体" w:hAnsi="宋体" w:eastAsia="宋体" w:cs="宋体"/>
                <w:sz w:val="21"/>
                <w:szCs w:val="21"/>
                <w:lang w:val="en-US" w:eastAsia="zh-CN" w:bidi="ar"/>
              </w:rPr>
              <w:t>材质：合金材料，带高压绝缘层；产品特性：耐脉冲高压</w:t>
            </w:r>
            <w:r>
              <w:rPr>
                <w:rFonts w:hint="eastAsia" w:ascii="宋体" w:hAnsi="宋体" w:eastAsia="宋体" w:cs="宋体"/>
                <w:i w:val="0"/>
                <w:iCs w:val="0"/>
                <w:color w:val="000000"/>
                <w:kern w:val="0"/>
                <w:sz w:val="21"/>
                <w:szCs w:val="21"/>
                <w:u w:val="none"/>
                <w:lang w:val="en-US" w:eastAsia="zh-CN" w:bidi="ar"/>
              </w:rPr>
              <w:t>≥</w:t>
            </w:r>
            <w:r>
              <w:rPr>
                <w:rStyle w:val="6"/>
                <w:rFonts w:hint="eastAsia" w:ascii="宋体" w:hAnsi="宋体" w:eastAsia="宋体" w:cs="宋体"/>
                <w:sz w:val="21"/>
                <w:szCs w:val="21"/>
                <w:lang w:val="en-US" w:eastAsia="zh-CN" w:bidi="ar"/>
              </w:rPr>
              <w:t>15KV</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7DB8DB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4D4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4A21B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137EF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脉冲围栏警示牌</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7A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4326D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警示牌；采用稀土发光材料制造/在阴雨天气同样可吸光/双面印刷/夜光显示/每10米挂一块</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355802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1E4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3630E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B54BB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接地桩</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47D9A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455B5E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6"/>
                <w:rFonts w:hint="eastAsia" w:ascii="宋体" w:hAnsi="宋体" w:eastAsia="宋体" w:cs="宋体"/>
                <w:sz w:val="21"/>
                <w:szCs w:val="21"/>
                <w:lang w:val="en-US" w:eastAsia="zh-CN" w:bidi="ar"/>
              </w:rPr>
              <w:t>电子围栏接地桩；</w:t>
            </w:r>
            <w:r>
              <w:rPr>
                <w:rStyle w:val="6"/>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可用于将电子围栏主机和避雷器的接地；角钢，厚度</w:t>
            </w:r>
            <w:r>
              <w:rPr>
                <w:rFonts w:hint="eastAsia" w:ascii="宋体" w:hAnsi="宋体" w:eastAsia="宋体" w:cs="宋体"/>
                <w:i w:val="0"/>
                <w:iCs w:val="0"/>
                <w:color w:val="000000"/>
                <w:kern w:val="0"/>
                <w:sz w:val="21"/>
                <w:szCs w:val="21"/>
                <w:u w:val="none"/>
                <w:lang w:val="en-US" w:eastAsia="zh-CN" w:bidi="ar"/>
              </w:rPr>
              <w:t>≥</w:t>
            </w:r>
            <w:r>
              <w:rPr>
                <w:rStyle w:val="6"/>
                <w:rFonts w:hint="eastAsia" w:ascii="宋体" w:hAnsi="宋体" w:eastAsia="宋体" w:cs="宋体"/>
                <w:sz w:val="21"/>
                <w:szCs w:val="21"/>
                <w:lang w:val="en-US" w:eastAsia="zh-CN" w:bidi="ar"/>
              </w:rPr>
              <w:t>2mm，长</w:t>
            </w:r>
            <w:r>
              <w:rPr>
                <w:rFonts w:hint="eastAsia" w:ascii="宋体" w:hAnsi="宋体" w:eastAsia="宋体" w:cs="宋体"/>
                <w:i w:val="0"/>
                <w:iCs w:val="0"/>
                <w:color w:val="000000"/>
                <w:kern w:val="0"/>
                <w:sz w:val="21"/>
                <w:szCs w:val="21"/>
                <w:u w:val="none"/>
                <w:lang w:val="en-US" w:eastAsia="zh-CN" w:bidi="ar"/>
              </w:rPr>
              <w:t>≥</w:t>
            </w:r>
            <w:r>
              <w:rPr>
                <w:rStyle w:val="6"/>
                <w:rFonts w:hint="eastAsia" w:ascii="宋体" w:hAnsi="宋体" w:eastAsia="宋体" w:cs="宋体"/>
                <w:sz w:val="21"/>
                <w:szCs w:val="21"/>
                <w:lang w:val="en-US" w:eastAsia="zh-CN" w:bidi="ar"/>
              </w:rPr>
              <w:t>1.5米</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8EF7A9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FCC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23EF5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D87C3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5米10mm²接地线</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DB63C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12根</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02820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用于连接避雷器和接地桩，长为5米，10mm²的铜导线，每根接地桩配置一根</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E0BA5E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453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C64EB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DCF65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声光报警器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2534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C18F5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室内12V声光一体</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27237D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1D9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0EF0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BD8A8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混合报警主机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00609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C9774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1、防区数量：支持通过网络和RS485方式接入电子围栏、张力围栏（其中RS485扩展上限为64路，网络扩展上限为256路）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2、传输距离：网络传输无限制（局域网可达），RS485传输500-800米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3、硬件接口：RS485*1、RJ45*1，PSTN接口*1，4G模块接口*1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4、供电方式：AC220V（自带电源适配器）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5、设备功耗：裸机功耗≤5W，满载功耗≤25W</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884B68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147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AD63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E6EE9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键盘及其他</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004A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29C23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混合报警主机专用控制键盘</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9FC1328">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18"/>
                <w:szCs w:val="18"/>
                <w:lang w:bidi="ar"/>
              </w:rPr>
              <w:t>制造业</w:t>
            </w:r>
          </w:p>
        </w:tc>
      </w:tr>
      <w:tr w14:paraId="784B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0002" w:type="dxa"/>
            <w:gridSpan w:val="5"/>
            <w:tcBorders>
              <w:top w:val="single" w:color="000000" w:sz="4" w:space="0"/>
              <w:left w:val="single" w:color="000000" w:sz="4" w:space="0"/>
              <w:bottom w:val="single" w:color="000000" w:sz="4" w:space="0"/>
              <w:right w:val="single" w:color="000000" w:sz="4" w:space="0"/>
            </w:tcBorders>
            <w:noWrap w:val="0"/>
            <w:vAlign w:val="center"/>
          </w:tcPr>
          <w:p w14:paraId="472E840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其他入侵报警系统 </w:t>
            </w:r>
          </w:p>
        </w:tc>
      </w:tr>
      <w:tr w14:paraId="0EC5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52AD6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A8A1D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红外对射产品</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E08B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4对</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BAC96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四光束主动红外对射探测器，室外探测距离100米</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8BC9FA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0E0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EE652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DCA21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23EE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758A0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1、设备类型：探测器开关电源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2、安装方式：螺丝固定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3、输出电压：DC24V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4、输出电流：0~6.5A</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8087B3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2C4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CC963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DEEB9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支架</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8524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4对</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F67377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二光束、三光束、四光束对射安装支架一对,不锈钢 L型， 高 50CM</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E5CB72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424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03418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F9A94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振动探测器探测器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C1EF4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C7A691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1、设备类型：振动探测器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2、外壳材质：ABS 防火材料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3、报警输出：IO输出（常闭NC），支持防拆报警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4、探测距离：半径2-7m(视安装平面材质变化)，常规3m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5、使用环境：室内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DA4704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458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9DA29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2E1B6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827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910276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1、设备类型：探测器开关电源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2、安装方式：螺丝固定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3、输出电压：DC12V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4、输出电流：0~3A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5、工作电源：AC220V/36W</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812A3F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787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41A63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B4AFB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扩展模块（2防区）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674C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74CD6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1、设备类型：总线2防区扩展模块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2、防区数量：2个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3、通讯接口：M-BUS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4、通讯线材：RVV2*1.5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5、通讯协议：M-BUS协议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8F875D2">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FE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25E76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CB465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扩展模块（8防区）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0E3F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B18AB7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1、设备类型：总线8防区扩展模块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2、防区数量：8个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3、通讯接口：M-BUS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4、通讯线材：RVV2*1.5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5、通讯协议：M-BUS协议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3F9378A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50C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24142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570211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总线中继器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F711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2A90E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1、通讯接口：M-BUS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2、通讯线材：RVV2*1.5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3、通讯协议：M-BUS协议</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7BB98D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744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5C8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0D200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网络报警主机 </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DB02F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777BE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1、操作系统：嵌入式Linux操作系统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2、防区数量：板载8路（探测器100m以内），可通过防区模块扩展至256路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3、继电器数量：板载4路（距离50m以内），可通过继电器模块扩展至256路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4、日志容量：4万条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5、传输距离：双总线，每条总线最长支持2.4Km（每条总线可增加2个中继器扩展至7.2km，总共支持14.4km）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6、硬件接口：RS485*1、MBUS*2、RJ45*1，PSTN*1，4G*1，RS232*1（可接报警打印机）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7、安装方式：壁挂安装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8、供电方式：AC220V（自带电源适配器）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65E33A2">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7CA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D42BD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5AF12B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报警外设产品</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9BB6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53617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1、设备类型：控制键盘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2、通讯协议：RS485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3、传输距离：800m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4、使用环境：室内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5、显示屏：LCD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6、操作按键：20个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0B1266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E15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511F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92441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探测器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4E16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8D8C06D">
            <w:pPr>
              <w:keepNext w:val="0"/>
              <w:keepLines w:val="0"/>
              <w:widowControl/>
              <w:suppressLineNumbers w:val="0"/>
              <w:spacing w:after="160" w:afterAutospacing="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1、设备类型：紧急按钮（86盒）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2、外壳材质：防火ABS，环保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3、耐压耐流：耐压:125VAC、耐流:2A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4、报警输出：IO输出（常闭NC/常开NO可选）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5、使用环境：室内</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5E55546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FA0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182BB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45055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声光报警器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E85C4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190125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1、设备类型：声光警号（声光报警器）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2、警灯颜色：红色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3、报警音量：105dB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5、使用环境：室内/外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6、外壳材质：PC+ABS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7、安装方式：壁挂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7E186B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75F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02" w:type="dxa"/>
            <w:gridSpan w:val="5"/>
            <w:tcBorders>
              <w:top w:val="single" w:color="000000" w:sz="4" w:space="0"/>
              <w:left w:val="single" w:color="000000" w:sz="4" w:space="0"/>
              <w:bottom w:val="single" w:color="000000" w:sz="4" w:space="0"/>
              <w:right w:val="single" w:color="000000" w:sz="4" w:space="0"/>
            </w:tcBorders>
            <w:noWrap w:val="0"/>
            <w:vAlign w:val="center"/>
          </w:tcPr>
          <w:p w14:paraId="4AB0FDF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视频监控系统 </w:t>
            </w:r>
          </w:p>
        </w:tc>
      </w:tr>
      <w:tr w14:paraId="117B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D9852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9D1CC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警戒摄像机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D51B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802E0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最大分辨率2688x1520@25fps。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内置GPU芯片，麦克风，扬声器。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同一静止场景相同图像质量下，设备在H.264、H.265编码方式时，开启智能编码功能和不开启智能编码相比，码率节约80%。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★支持智能报警防干扰功能，智能分析行为类型为区域入侵、越界、进入区域、离开区域时，报警检测目标设置为人体或车辆时，光线明暗变化，篮球滚动，狗行走，树摇晃，不触发报警。</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★当报警产生时，可触发联动声音报警。报警声音类型不低于 12 种，报警音量和重复次数可设置。</w:t>
            </w:r>
            <w:r>
              <w:rPr>
                <w:rFonts w:hint="eastAsia" w:ascii="宋体" w:hAnsi="宋体" w:eastAsia="宋体" w:cs="宋体"/>
                <w:b/>
                <w:bCs/>
                <w:i w:val="0"/>
                <w:iCs w:val="0"/>
                <w:color w:val="000000"/>
                <w:kern w:val="0"/>
                <w:sz w:val="21"/>
                <w:szCs w:val="21"/>
                <w:u w:val="none"/>
                <w:lang w:val="en-US" w:eastAsia="zh-CN" w:bidi="ar"/>
              </w:rPr>
              <w:t>（需要提供检测机构出具的检测报告扫描件或复印件并加盖投标人公章以示证明。）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★可同时对经过设定检测区域内的不低于10 个行人进行人脸检测、跟踪、评分和抓拍。可筛选和抓拍最佳人脸图片存储及上报中心。抓拍图片数量、大小可设，支持上传全景照。</w:t>
            </w:r>
            <w:r>
              <w:rPr>
                <w:rFonts w:hint="eastAsia" w:ascii="宋体" w:hAnsi="宋体" w:eastAsia="宋体" w:cs="宋体"/>
                <w:b/>
                <w:bCs/>
                <w:i w:val="0"/>
                <w:iCs w:val="0"/>
                <w:color w:val="000000"/>
                <w:kern w:val="0"/>
                <w:sz w:val="21"/>
                <w:szCs w:val="21"/>
                <w:u w:val="none"/>
                <w:lang w:val="en-US" w:eastAsia="zh-CN" w:bidi="ar"/>
              </w:rPr>
              <w:t xml:space="preserve">（投标文件中需提供检测机构出具的检测报告扫描件或复印件并加盖投标人公章以示证明。）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支持DC12V或POE供电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IP66防护等级。</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D370E2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8F9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84A8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4883A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网络枪式摄像机 </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DAD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79FBE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在2560x1440@25fps下分辨力可达到1400TVL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靶面尺寸为1/2.7英寸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信噪比不小于55dB。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支持红外补光、白光补光，有效补光距离均能达到30m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摄像机应能在额定电源电压 DC12V的±25%范围内正常工作，且支持POE供电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内置1个麦克风，1个RJ45网络接口。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需支持IP66防尘防水。</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4FE49E9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0CF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7D94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6E1678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人脸客流摄像机 </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3D83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93D49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具有不小于1/1.8"靶面尺寸。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内置GPU芯片。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最低照度彩色不大于0.0005 lx，黑白不大于0.0001 lx。</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★可同时支持人脸比对、人脸属性分析、客流统计及人员重复进出次数统计功能。</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★支持单场景同时检出不少于30张人脸图片，支持侧脸过滤功能，可过滤上下、左右角度达到预设值的人脸。</w:t>
            </w:r>
            <w:r>
              <w:rPr>
                <w:rFonts w:hint="eastAsia" w:ascii="宋体" w:hAnsi="宋体" w:eastAsia="宋体" w:cs="宋体"/>
                <w:b/>
                <w:bCs/>
                <w:i w:val="0"/>
                <w:iCs w:val="0"/>
                <w:color w:val="000000"/>
                <w:kern w:val="0"/>
                <w:sz w:val="21"/>
                <w:szCs w:val="21"/>
                <w:u w:val="none"/>
                <w:lang w:val="en-US" w:eastAsia="zh-CN" w:bidi="ar"/>
              </w:rPr>
              <w:t xml:space="preserve">（需要提供检测机构出具的检测报告扫描件或复印件并加盖投标人公章以示证明。）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★支持双向统计客流量及统计重复客流数量，并将统计结果实时叠加在监控画面上。</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需提供检测机构出具的检测报告扫描件或复印件并加盖投标人公章以示证明。）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需具有1个RJ45网络接口、1路CVBS视频输出、3路报警输入、2路报警输出接口、2个音频输入、1个音频输出接口。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需支持IP67防尘防水。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需同时支持DC12V和POE供电，且在不小于DC12V±20%范围内变化时可以正常工作。</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7E863E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044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B9C7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249D1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智能网络球型摄像机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730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69B31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7寸400万23倍网络红外球机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支持区域入侵侦测，越界侦测，进入区域侦测和离开区域侦等智能侦测并联动跟踪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采用高效补光阵列，低功耗，红外补光150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内置加热玻璃，有效除雾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支持超低照度，0.005 Lux @F1.6（彩色），0.001 Lux @F1.6（黑白），0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支持23倍光学变倍，16倍数字变倍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支持三码流技术，每路码流可独立配置分辨率及帧率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支持3D数字降噪，支持真宽动态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支持定时抓图与事件抓图功能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支持定时任务，一键守望，一键巡航功能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开放型网络视频接口，ISAPI，GB/T28181，ISUP，萤石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支持两进一出报警，一进一出音频，最大支持512 GB MicroSD卡存储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IP66，抗干扰能力强，适用于严酷的电磁环境，符合GB/T17626.2/3/4/5/6四级标准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传感器类型：1/2.8＂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最低照度：彩色：0.005Lux @ (F1.6，AGC ON)；黑白：0.001Lux @(F1.6，AGC ON) ；0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宽动态：支持真宽动态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焦距：4.8 mm~110 mm，23倍光学变倍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视场角：水平视场角：55°~2.7°（广角~望远）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垂直视场角：33°~1.5°（广角~望远）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对角视场角：61.5°~3.1°（广角~望远）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补光灯类型：红外补光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红外照射距离：150 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水平范围：360°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垂直范围：-15°-90°(自动翻转)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水平速度：水平键控速度：0.1°-160°/s,速度可设;水平预置点速度：240°/s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垂直速度：垂直键控速度：0.1°-120°/s,速度可设;垂直预置点速度：200°/s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主码流帧率分辨率：50 Hz：25 fps（2560 × 1440，1920 × 1080，1280 × 960，1280 × 720）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60 Hz：30 fps（2560 × 1440，1920 × 1080，1280 × 960，1280 × 720）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视频压缩标准：H.265;H.264;MJPEG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网络接口：RJ45网口，自适应10 M/100 M网络数据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SD卡扩展：支持MicroSD/MicroSDHC/MicroSDXC卡，最大支持512 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报警：2路报警输入，1路报警输出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音频：1路音频输入，音频峰值：2-2.4 V[p-p]，输入阻抗：1 kΩ±10%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1路音频输出，线性电平，阻抗:600 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供电方式：DC36V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电流及功耗：最大功耗：24 W（其中除雾加热1.6 W，补光灯12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工作温湿度：-30℃-65℃;湿度小于90%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恢复出厂设置：支持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除雾：加热玻璃除雾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尺寸：Ø220 mm × 353.4 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重量：4.5 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防护：IP66; 6000V 防雷、防浪涌、防突波，符合GB/T17626.2/3/4/5/6四级标准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508D4D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4F9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7C2B0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37922E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微卡口 </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66E11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A06A6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包含高清一体化嵌入式摄像机、高清镜头、室外防护罩、网络信号防雷器、电源适配器等。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传感器类型：1/1.8"CMOS；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单幅图像分辨率不小于2712×1536（不含OSD叠加），最大可支持2712×2048（含OSD）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★支持车辆捕获抓拍功能，在天气晴朗无雾，号牌无遮挡、无污损，白天环境光照度不低于200lx，晚上辅助光照度不高于30lx的条件下测试，白天和晚上的捕获率均≥99.9%。（</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★支持车牌识别功能(含新能源)，在天气晴朗无雾，号牌无遮挡、无污损，白天环境光照度不低于200lx，晚上辅助光照度不高于30lx的条件下测试，白天和晚上的识别率均≥99.9%</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将监控画面中指定区域设置为行人/非机动车禁行区域，当行人/非机动车禁行区域内出现行人/非机动车目标时，设备可跟踪标识、框选提示、抓拍图片、给出报警提示，并可将对同一目标的两张抓拍图片合成一张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★支持非机动车、行人人体和人脸抠取</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 xml:space="preserve">需提供检测机构出具的检测报告扫描件或复印件并加盖投标人公章以示证明。）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支持侧脸过滤功能，过滤的人脸上下、左右角度阈值可设置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支持人脸目标抓拍头肩照或全景照，模式可选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支持通过菜单开启或关闭人脸质量优先抓图功能，当开启时，人脸轨迹中人脸质量分数达到设定值时自动进行人脸抓拍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支持不少于14种车身颜色识别，包括黑、白、灰、红、绿、蓝、黄、粉、紫、棕、青、金、橙、银灰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支持检测并跟踪指定区域内不少于200个目标,目标包括机动车、非机动车以及行人等。</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54636E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C62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779DD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417D2B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补光灯产品</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1AB20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74A39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光源类型：优质大功率暖光LED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发光角度40°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最佳 补光距离16米~26米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响应时间小于20us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支持环境亮度检测，低照度下自动开启</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07E892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00D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7CDAE7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90509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网络硬盘录像机</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0D47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8573868">
            <w:pPr>
              <w:keepNext w:val="0"/>
              <w:keepLines w:val="0"/>
              <w:widowControl/>
              <w:suppressLineNumbers w:val="0"/>
              <w:spacing w:after="160" w:afterAutospacing="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具有2个HDMI接口、4个RJ45 2.5Gbps网络接口、2个USB2.0接口、4个USB3.0接口、1个RS232接口、1+1冗余电源、1+1冗余风扇；具有1路音频输入接口、1路音频输出接口、16路报警输入接口、8路报警输出接口，内置18块8T硬盘。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支持最大接入带宽800Mbps，最大存储带宽800Mbps，最大转发带宽800Mbps</w:t>
            </w:r>
            <w:r>
              <w:rPr>
                <w:rFonts w:hint="eastAsia"/>
                <w:b/>
                <w:bCs/>
                <w:color w:val="000000"/>
                <w:kern w:val="0"/>
                <w:sz w:val="21"/>
                <w:szCs w:val="21"/>
                <w:lang w:bidi="ar"/>
              </w:rPr>
              <w:t>（</w:t>
            </w:r>
            <w:r>
              <w:rPr>
                <w:rFonts w:hint="eastAsia"/>
                <w:b/>
                <w:bCs/>
                <w:kern w:val="0"/>
                <w:sz w:val="21"/>
                <w:szCs w:val="21"/>
                <w:lang w:bidi="ar"/>
              </w:rPr>
              <w:t>投标文件中</w:t>
            </w:r>
            <w:r>
              <w:rPr>
                <w:rFonts w:hint="eastAsia"/>
                <w:b/>
                <w:bCs/>
                <w:color w:val="000000"/>
                <w:kern w:val="0"/>
                <w:sz w:val="21"/>
                <w:szCs w:val="21"/>
                <w:lang w:bidi="ar"/>
              </w:rPr>
              <w:t>需提供检测机构出具的检测报告扫描件或复印件并加盖投标人公章以示证明。）</w:t>
            </w:r>
          </w:p>
          <w:p w14:paraId="077C148F">
            <w:pPr>
              <w:keepNext w:val="0"/>
              <w:keepLines w:val="0"/>
              <w:widowControl/>
              <w:suppressLineNumbers w:val="0"/>
              <w:spacing w:after="160" w:afterAutospacing="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可接入 1T、2T、3T、4T、6T、8T、10T、12TB、14TB、16TB、18TB、20TB 容量的 SATA接口硬盘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★由冗余电源芯片进行负载均衡控制，当一个电源出现故障时，另一个电源可以接管其工作；在更换故障电源后，可恢复到两个电源协同负载均衡工作</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 xml:space="preserve">需提供检测机构出具的检测报告扫描件或复印件并加盖投标人公章以示证明。）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HDMI1和HDMI2支持同时4K异源输出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★设备支持分组管理，支持将接入的视频通道按分组管理；支持以分组方式进行预览、回放和检索；自定义视图支持以分组方式拖动通道进行配置</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 xml:space="preserve">需提供检测机构出具的检测报告扫描件或复印件并加盖投标人公章以示证明。）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支持网络广播音频设备（包括网络音响）的接入，支持以POE方式接入网络广播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★切片回放功能，支持按月、日、小时维度进行切片展示，按月最大支持30个切片，按日最大支持24个切片，按时最大支持60个切片</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 xml:space="preserve">需提供检测机构出具的检测报告扫描件或复印件并加盖投标人公章以示证明。）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支持音视频动态调整组合分配功能，可将任一路音频与任一路视频组合成复合流编码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★支持前端IPC证书二次校验机制，未通过证书校验的IPC不允许添加到NVR</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 xml:space="preserve">需提供检测机构出具的检测报告扫描件或复印件并加盖投标人公章以示证明。） </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610E31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102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BF82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0A243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服务器</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174D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D14A1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CPU：配置1颗intel至强4510处理器，核数≥12核，主频≥2.4GHz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内存：配置64G DDR5，8根内存插槽，最大支持扩展至1TB内存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硬盘：配置2块1.2T 10K 2.5寸 SAS硬盘，默认支持8个3.5寸/2.5寸硬盘，可选最大支持12个3.5寸/2.5寸硬盘，可选兼容4个NVMe硬盘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阵列卡：配置SAS+HBA卡，支持RAID 0/1/10;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PCIE扩展：支持4个PCIe扩展插槽（包括1个OCP 插槽），其中2个PCIe 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网口：板载2个千兆电口； 支持选配10GbE、25GbE SFP+等多种网络接口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其他接口：1个RJ45管理接口，后置2个USB 3.0接口，前置2个USB2.0接口，1个VGA接口电源：标配550W（1+1）高效白金热插拔冗余电源</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8E03FE1">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E34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89E94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748" w:type="dxa"/>
            <w:vMerge w:val="restart"/>
            <w:tcBorders>
              <w:top w:val="single" w:color="000000" w:sz="4" w:space="0"/>
              <w:left w:val="single" w:color="000000" w:sz="4" w:space="0"/>
              <w:right w:val="single" w:color="000000" w:sz="4" w:space="0"/>
            </w:tcBorders>
            <w:noWrap w:val="0"/>
            <w:vAlign w:val="center"/>
          </w:tcPr>
          <w:p w14:paraId="1FE1D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智慧文博管理平台</w:t>
            </w:r>
          </w:p>
        </w:tc>
        <w:tc>
          <w:tcPr>
            <w:tcW w:w="931" w:type="dxa"/>
            <w:vMerge w:val="restart"/>
            <w:tcBorders>
              <w:top w:val="single" w:color="000000" w:sz="4" w:space="0"/>
              <w:left w:val="single" w:color="000000" w:sz="4" w:space="0"/>
              <w:right w:val="single" w:color="000000" w:sz="4" w:space="0"/>
            </w:tcBorders>
            <w:noWrap w:val="0"/>
            <w:vAlign w:val="center"/>
          </w:tcPr>
          <w:p w14:paraId="19202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96064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一、组织资源管理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1、支持组织基础信息的增删改查、导入、导出等功能；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二、区域资源管理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1、支持区域基础信息的增删改查、导入、导出等功能；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三、人员信息管理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1、支持人员信息的增删改查、导入、导出，包括人脸、指纹采集；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2、支持人员基础信息自定义扩展；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四、卡片信息管理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1、支持卡片基本信息的增删改查、导入、导出；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2、支持人员开卡、退卡、挂失、解挂、换卡及卡扇区加密；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五、车辆信息管理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1、支持车辆基本信息的增删改查、导入、导出；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六、设备信息管理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1、提供设备统一接入管理，包括：视频设备、出入口设备、门禁设备、梯控设备、可视对讲设备、寻车诱导设备、卡口设备、车载设备、报警设备等。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七、系统用户管理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1、支持账户基本信息和角色信息的增删改查；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2、支持配置不同角色权限，包括菜单权限、组织权限、区域权限、资源权限、功能控制权限；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3、支持用户组权限分配；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4、支持用户安全管理，可绑定用户mac地址及IP，可自行修改用户密码或者管理员重置密码；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5、支持从Windows域同步用户信息，用于域账户进行平台登录；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八、核心参数配置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1、支持首页菜单自定义展示设置；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2、支持所有设备统一校时；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3、提供账户安全设置，支持账户密码有效期设置。</w:t>
            </w:r>
          </w:p>
        </w:tc>
        <w:tc>
          <w:tcPr>
            <w:tcW w:w="909" w:type="dxa"/>
            <w:vMerge w:val="restart"/>
            <w:tcBorders>
              <w:top w:val="single" w:color="000000" w:sz="4" w:space="0"/>
              <w:left w:val="single" w:color="000000" w:sz="4" w:space="0"/>
              <w:right w:val="single" w:color="000000" w:sz="4" w:space="0"/>
            </w:tcBorders>
            <w:noWrap w:val="0"/>
            <w:vAlign w:val="center"/>
          </w:tcPr>
          <w:p w14:paraId="537A444E">
            <w:pPr>
              <w:keepNext w:val="0"/>
              <w:keepLines w:val="0"/>
              <w:widowControl/>
              <w:suppressLineNumbers w:val="0"/>
              <w:jc w:val="lef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信息传输业</w:t>
            </w:r>
          </w:p>
          <w:p w14:paraId="1C89FCAF">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7695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1C1E3C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748" w:type="dxa"/>
            <w:vMerge w:val="continue"/>
            <w:tcBorders>
              <w:left w:val="single" w:color="000000" w:sz="4" w:space="0"/>
              <w:right w:val="single" w:color="000000" w:sz="4" w:space="0"/>
            </w:tcBorders>
            <w:noWrap w:val="0"/>
            <w:vAlign w:val="center"/>
          </w:tcPr>
          <w:p w14:paraId="28C8DF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68539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00F602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向督察处人员、文保员和安保人员提供丰富的文博APP应用，应用包含文博安保（视频预览、录像回放、图片查询、智能门禁、事件上报等）、客流管理（客流排行、区域关注度、热度图等）、隐患管理（隐患排查、隐患上报、隐患治理等）、日常巡检、待办消息等</w:t>
            </w:r>
          </w:p>
        </w:tc>
        <w:tc>
          <w:tcPr>
            <w:tcW w:w="909" w:type="dxa"/>
            <w:vMerge w:val="continue"/>
            <w:tcBorders>
              <w:left w:val="single" w:color="000000" w:sz="4" w:space="0"/>
              <w:right w:val="single" w:color="000000" w:sz="4" w:space="0"/>
            </w:tcBorders>
            <w:noWrap w:val="0"/>
            <w:vAlign w:val="center"/>
          </w:tcPr>
          <w:p w14:paraId="04C374B6">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563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03AE98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748" w:type="dxa"/>
            <w:vMerge w:val="continue"/>
            <w:tcBorders>
              <w:left w:val="single" w:color="000000" w:sz="4" w:space="0"/>
              <w:right w:val="single" w:color="000000" w:sz="4" w:space="0"/>
            </w:tcBorders>
            <w:noWrap w:val="0"/>
            <w:vAlign w:val="center"/>
          </w:tcPr>
          <w:p w14:paraId="589542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1562D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1B6362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提供统一的事件中心，包括事件的汇聚、转换、处理、统计、可视化展示，实现事件的全生命周期管理。结合预案、工单保障事件流程的有序、高效、闭环， 实现跨部门、跨区域、跨系统的协同工作，快速响应突发事件，保障园区高效运营，提高事件整体的处理水平。</w:t>
            </w:r>
          </w:p>
        </w:tc>
        <w:tc>
          <w:tcPr>
            <w:tcW w:w="909" w:type="dxa"/>
            <w:vMerge w:val="continue"/>
            <w:tcBorders>
              <w:left w:val="single" w:color="000000" w:sz="4" w:space="0"/>
              <w:right w:val="single" w:color="000000" w:sz="4" w:space="0"/>
            </w:tcBorders>
            <w:noWrap w:val="0"/>
            <w:vAlign w:val="center"/>
          </w:tcPr>
          <w:p w14:paraId="57C77C19">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09F7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7F006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748" w:type="dxa"/>
            <w:vMerge w:val="continue"/>
            <w:tcBorders>
              <w:left w:val="single" w:color="000000" w:sz="4" w:space="0"/>
              <w:right w:val="single" w:color="000000" w:sz="4" w:space="0"/>
            </w:tcBorders>
            <w:noWrap w:val="0"/>
            <w:vAlign w:val="center"/>
          </w:tcPr>
          <w:p w14:paraId="630FB8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3F1D9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9258E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olor w:val="000000"/>
                <w:kern w:val="0"/>
                <w:sz w:val="21"/>
                <w:szCs w:val="21"/>
                <w:highlight w:val="none"/>
                <w:lang w:bidi="ar"/>
              </w:rPr>
              <w:t>视频监控应用提供视频管理服务，支持编码设备GB28181协议、ONVIF协议实现视频预览、录像回放、视频上墙、视频事件监控服务能力，并且在网络带宽不足、有流量限制的网络环境下可以通过以图片替代视频的模式提供监控服务。</w:t>
            </w:r>
            <w:r>
              <w:rPr>
                <w:rFonts w:hint="eastAsia"/>
                <w:color w:val="000000"/>
                <w:kern w:val="0"/>
                <w:sz w:val="21"/>
                <w:szCs w:val="21"/>
                <w:highlight w:val="yellow"/>
                <w:lang w:bidi="ar"/>
              </w:rPr>
              <w:br w:type="textWrapping"/>
            </w:r>
            <w:r>
              <w:rPr>
                <w:rFonts w:hint="eastAsia" w:ascii="宋体" w:hAnsi="宋体" w:eastAsia="宋体" w:cs="宋体"/>
                <w:i w:val="0"/>
                <w:iCs w:val="0"/>
                <w:color w:val="000000"/>
                <w:kern w:val="0"/>
                <w:sz w:val="21"/>
                <w:szCs w:val="21"/>
                <w:u w:val="none"/>
                <w:lang w:val="en-US" w:eastAsia="zh-CN" w:bidi="ar"/>
              </w:rPr>
              <w:t>一、视频预览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1、支持视频实时预览能力，实现预览窗口布局切换、预览画面自适应及全屏切换；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3、支持智能规则展示的能力（如：针对热成像设备温度信息实时展示）；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5、支持全景视频监控预览能力，支持球型鹰眼、全景摄像机的全景模式；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二、录像回放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1、支持录像计划管理能力，支持实时录像计划、录像回传计划；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2、支持录像回放能力，支持多画面同步回放和异步回放切换、超高倍速回放、分段回放、录像下载、录像剪辑、录像标签、录像锁定、录像抓图；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三、图片监控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1、支持视频预览与图片实时监控模式切换能力，实现图片监控模式；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2、支持图片查询回放能力，实现按监控点、时间段展示抓拍图片；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3、支持图片自动播放能力，支持图片自动播放速度可设置；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4、支持图片下载能力；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四、视频上墙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1、支持电视墙场景管理能力，实现场景窗口配置、场景切换计划配置以及轮巡计划的管理；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2、支持上墙控制能力，实现场景一键上墙、场景切换、电视墙切换、监控点上下墙、轮巡控制操作；</w:t>
            </w:r>
          </w:p>
        </w:tc>
        <w:tc>
          <w:tcPr>
            <w:tcW w:w="909" w:type="dxa"/>
            <w:vMerge w:val="continue"/>
            <w:tcBorders>
              <w:left w:val="single" w:color="000000" w:sz="4" w:space="0"/>
              <w:right w:val="single" w:color="000000" w:sz="4" w:space="0"/>
            </w:tcBorders>
            <w:noWrap w:val="0"/>
            <w:vAlign w:val="center"/>
          </w:tcPr>
          <w:p w14:paraId="79DEB01B">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6F32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29417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748" w:type="dxa"/>
            <w:vMerge w:val="continue"/>
            <w:tcBorders>
              <w:left w:val="single" w:color="000000" w:sz="4" w:space="0"/>
              <w:right w:val="single" w:color="000000" w:sz="4" w:space="0"/>
            </w:tcBorders>
            <w:noWrap w:val="0"/>
            <w:vAlign w:val="center"/>
          </w:tcPr>
          <w:p w14:paraId="2B2C3A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52858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FF16F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接入多种门禁设备，利用卡片、人脸、指纹介质，实现人员身份识别、出入管控等智能应用，主要提供门禁权限管理、事件管理、门禁状态查看、门禁远程控制、人员出入记录实时展示、远程呼叫对讲等应用。</w:t>
            </w:r>
          </w:p>
        </w:tc>
        <w:tc>
          <w:tcPr>
            <w:tcW w:w="909" w:type="dxa"/>
            <w:vMerge w:val="continue"/>
            <w:tcBorders>
              <w:left w:val="single" w:color="000000" w:sz="4" w:space="0"/>
              <w:right w:val="single" w:color="000000" w:sz="4" w:space="0"/>
            </w:tcBorders>
            <w:noWrap w:val="0"/>
            <w:vAlign w:val="center"/>
          </w:tcPr>
          <w:p w14:paraId="0A699760">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7B03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222AC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748" w:type="dxa"/>
            <w:vMerge w:val="continue"/>
            <w:tcBorders>
              <w:left w:val="single" w:color="000000" w:sz="4" w:space="0"/>
              <w:right w:val="single" w:color="000000" w:sz="4" w:space="0"/>
            </w:tcBorders>
            <w:noWrap w:val="0"/>
            <w:vAlign w:val="center"/>
          </w:tcPr>
          <w:p w14:paraId="4C2412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0E88B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63A81C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巡更管理应用，利用门禁点、报警器等设备作为巡更点，完成区域内的巡更任务。主要提供巡更点管理、巡更计划、单兵巡更、巡更信息查询和统计分析等应用。 一、提供巡更点管理应用 1、支持将门禁读卡器、报警器、近距离射频识别、二维码作为巡更点； 2、支持自定义扩展巡更点类型； 二、提供巡更计划管理应用 1、支持设置巡更路线，巡更方式包括：全无序、仅首点有序、仅首尾有序、全有序间隔无限制、全有序间隔相同误差相同、全有序间隔误差自定义； 2、支持设置巡更计划，可按巡更计划生成巡更排班； 3、支持假日设置，可设定不巡更的假日时间； 4、支持巡更短信提醒，可通过短信的方式提醒巡更员按时执行巡更计划； 三、提供单兵巡更管理应用 1、支持单兵上查询所有巡更排班信息，可查看巡更排班执行情况和详情； 2、支持查询巡更员巡更计划详情，包括巡更时间、方式、类型； 3、支持确认是否执行离线巡更、离线巡更记录、联网上传离线巡更情况等； 4、支持巡更事件信息上报平台； 四、提供信息查询及统计分析应用 1、支持排班信息查询，并可导出查询结果； 2、支持巡更历史查询，并可导出查询结果； 3、支持巡更统计分析，可按巡更路线、巡更点、巡更员查看选定巡更时段内的统计分析，并可导出统计分析结果； 五、支持离线巡更 1、当巡更点网络异常时，巡更员可正常执行巡更任务，待网络恢复后，巡更事件上报平台更新巡更状态。</w:t>
            </w:r>
          </w:p>
        </w:tc>
        <w:tc>
          <w:tcPr>
            <w:tcW w:w="909" w:type="dxa"/>
            <w:vMerge w:val="continue"/>
            <w:tcBorders>
              <w:left w:val="single" w:color="000000" w:sz="4" w:space="0"/>
              <w:right w:val="single" w:color="000000" w:sz="4" w:space="0"/>
            </w:tcBorders>
            <w:noWrap w:val="0"/>
            <w:vAlign w:val="center"/>
          </w:tcPr>
          <w:p w14:paraId="24456B02">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0DFE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8"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7089B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748" w:type="dxa"/>
            <w:vMerge w:val="continue"/>
            <w:tcBorders>
              <w:left w:val="single" w:color="000000" w:sz="4" w:space="0"/>
              <w:right w:val="single" w:color="000000" w:sz="4" w:space="0"/>
            </w:tcBorders>
            <w:noWrap w:val="0"/>
            <w:vAlign w:val="center"/>
          </w:tcPr>
          <w:p w14:paraId="3439D8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5E516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D0116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上监察应用基于入侵报警、事件管理等应用实现全要素资源的可视化，支持快速报警定位处置和应急联动监察处理，实现馆内全要素"一张图”管理、包含资源点控制、报警联动、事件联动、事件查询及报警统计功能，以应对对文保单位报警处理有较高要求的场景，形成立体化纵深防护系统，支持客户端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资源上图：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1、支持导入在线/离线GIS地图、静态地图，地图切换；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2、支持添加监控点、门禁出入口、防区（传感器、震动探测器）微振动探测器、陆基雷达、紧急报警、停车场、广播点、消防设备、消防传感器的资源上图；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3、支持对图上资源点进行搜索、移动和删除操作；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4、支持区域/热区、周界/围栏、楼层切换和各类资源统一管控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5、支持框选、圆选一定范围内的监控点批量预览、回放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防区分组：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1、支持防区按需进行分组（跨报警主机、子系统）；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2、支持防区类型自定义、所有图标自定义；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3、支持强制布防、布防、撤防、消警等功能操作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报警联动处理: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1、支持最新的报警信息需要优先跟进处理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2、支持报警语音提醒需持续至报警处理完成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3、支持新报警联动上墙，窗口最前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4、支持报警管理员角色批量处理</w:t>
            </w:r>
          </w:p>
        </w:tc>
        <w:tc>
          <w:tcPr>
            <w:tcW w:w="909" w:type="dxa"/>
            <w:vMerge w:val="continue"/>
            <w:tcBorders>
              <w:left w:val="single" w:color="000000" w:sz="4" w:space="0"/>
              <w:right w:val="single" w:color="000000" w:sz="4" w:space="0"/>
            </w:tcBorders>
            <w:noWrap w:val="0"/>
            <w:vAlign w:val="center"/>
          </w:tcPr>
          <w:p w14:paraId="1E3141A6">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441D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80BDE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748" w:type="dxa"/>
            <w:vMerge w:val="continue"/>
            <w:tcBorders>
              <w:left w:val="single" w:color="000000" w:sz="4" w:space="0"/>
              <w:right w:val="single" w:color="000000" w:sz="4" w:space="0"/>
            </w:tcBorders>
            <w:noWrap w:val="0"/>
            <w:vAlign w:val="center"/>
          </w:tcPr>
          <w:p w14:paraId="351CBA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7386B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37F03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入侵报警应用基于前端防区探测器进行文物安全范围内的入侵行为或意外事件的迅速感知和处理，实现针对文保单位内部的高效安全防范。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1、支持报警子系统管理能力，包含布防、撤防、消警控制操作；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2、支持防区管理能力，包含旁路、旁路恢复操作；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3、支持实时入侵报警能力；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4、支持历史入侵报警事件查询及导出能力</w:t>
            </w:r>
          </w:p>
        </w:tc>
        <w:tc>
          <w:tcPr>
            <w:tcW w:w="909" w:type="dxa"/>
            <w:vMerge w:val="continue"/>
            <w:tcBorders>
              <w:left w:val="single" w:color="000000" w:sz="4" w:space="0"/>
              <w:right w:val="single" w:color="000000" w:sz="4" w:space="0"/>
            </w:tcBorders>
            <w:noWrap w:val="0"/>
            <w:vAlign w:val="center"/>
          </w:tcPr>
          <w:p w14:paraId="69EE3E2F">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5328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4469AC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748" w:type="dxa"/>
            <w:vMerge w:val="continue"/>
            <w:tcBorders>
              <w:left w:val="single" w:color="000000" w:sz="4" w:space="0"/>
              <w:right w:val="single" w:color="000000" w:sz="4" w:space="0"/>
            </w:tcBorders>
            <w:noWrap w:val="0"/>
            <w:vAlign w:val="center"/>
          </w:tcPr>
          <w:p w14:paraId="271E18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445A8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7DD6F14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场景：适合出入口、通道、街区等人员进出的场景，进行宏观客流量数据展示。帮助用户及时掌握客流动态，为管理决策、数智运营、应急调度等提供数据支持。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设备：配合双目客流相机、人脸客流相机、人员检测系列相机（倾斜客流模式）使用，精确获取进出人数，进而提供进客流、出客流、保有量、集客力的数据展示。统计数据来源于设备自身计数。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报表类型：包括客流量、客流排行、客流同环比、客流实时变化分析、设备客流量、过店客流进店率统计。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预警报警：通过设置客流预警报警阈值，达到阈值时产生报警。</w:t>
            </w:r>
          </w:p>
        </w:tc>
        <w:tc>
          <w:tcPr>
            <w:tcW w:w="909" w:type="dxa"/>
            <w:vMerge w:val="continue"/>
            <w:tcBorders>
              <w:left w:val="single" w:color="000000" w:sz="4" w:space="0"/>
              <w:right w:val="single" w:color="000000" w:sz="4" w:space="0"/>
            </w:tcBorders>
            <w:noWrap w:val="0"/>
            <w:vAlign w:val="center"/>
          </w:tcPr>
          <w:p w14:paraId="2478D75B">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5398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5D1DF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748" w:type="dxa"/>
            <w:vMerge w:val="continue"/>
            <w:tcBorders>
              <w:left w:val="single" w:color="000000" w:sz="4" w:space="0"/>
              <w:right w:val="single" w:color="000000" w:sz="4" w:space="0"/>
            </w:tcBorders>
            <w:noWrap w:val="0"/>
            <w:vAlign w:val="center"/>
          </w:tcPr>
          <w:p w14:paraId="1910D0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19B60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522F40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1、出入口车道管理 ；2、车辆管理  ；3、车辆放行规则管理  ；4、出入口显示和语音播报管理  ；5、库内车辆管理  ；6、记录查询和统计  ；7、岗亭管控  ；8、中心管控</w:t>
            </w:r>
          </w:p>
        </w:tc>
        <w:tc>
          <w:tcPr>
            <w:tcW w:w="909" w:type="dxa"/>
            <w:vMerge w:val="continue"/>
            <w:tcBorders>
              <w:left w:val="single" w:color="000000" w:sz="4" w:space="0"/>
              <w:right w:val="single" w:color="000000" w:sz="4" w:space="0"/>
            </w:tcBorders>
            <w:noWrap w:val="0"/>
            <w:vAlign w:val="center"/>
          </w:tcPr>
          <w:p w14:paraId="3E2AAA16">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6F1B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38B64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748" w:type="dxa"/>
            <w:vMerge w:val="continue"/>
            <w:tcBorders>
              <w:left w:val="single" w:color="000000" w:sz="4" w:space="0"/>
              <w:right w:val="single" w:color="000000" w:sz="4" w:space="0"/>
            </w:tcBorders>
            <w:noWrap w:val="0"/>
            <w:vAlign w:val="center"/>
          </w:tcPr>
          <w:p w14:paraId="2AE519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4DA04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2174C99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停车场车辆收费管理主要应用于商业综合体、景区、小区、学校、医院等停车场停车收费场景，提供车辆充值管理、收费规则管理、停车收费方式管理、岗亭收费员交接班管理、收费记录查询、收费报表统计等应用，通过无感支付、自助缴费机缴费、手机端缴费、自助付款码缴费、岗亭人工缴费、中心服务台人工缴费、单兵人工缴费等收费方式，支持现金、支付宝、微信、ETC等多种支付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一、车辆充值管理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1、支持对车辆进行批量充值、包期充值、对车主进行储值账户充值；支持充值退款和删除包期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2、固定车包期规则支持闲时月包，包期类型可以自定义：可以按照日期、星期设置不同时间段的收费策略，其余时段按照临时车收费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二、收费规则管理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1、支持车辆群组管理，车辆群组收费规则和放行规则配置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2、支持多种收费规则包括：按日夜组合收费，按单位时间段收费，按总计时长收费，按次收费，按停车时间收费，支持跨天连续计时收费，计费时长不按日分割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三、停车收费方式管理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1、支持岗亭缴费，车主出场时，在岗亭客户端缴费，支持现金/支付宝/微信的交付方式，通过扫码枪扫支付宝/微信的付款码进行缴费，并支持小票打印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2、支持人工缴费，车主在场内在中央缴费窗口，进行人工缴费，缴费之后在规定时间内出场。支持现金/支付宝/微信，车主扫描二维码进行支付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3、支持自助寻车机缴费，车主在自助寻车机上寻车时，可以进行缴费，缴费之后在规定时间内出场。支持支付宝/微信，车主扫描二维码进行支付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4、支持收费宝缴费，当道闸故障或场内拥堵时，保安通过手持单兵进行收费，收费后，车辆在规定的时间内出场。支持现金/支付宝/微信，收费宝扫车主的付款码进行收费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5、支持手机H5页面缴费，停车场内张贴二维码，车主通过扫描二维码进入手机H5页面，输入车牌后进行缴费，缴费后，车辆在规定的时间内出场。支持支付宝/微信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无人值守场景下，无牌车车主，可扫描车道二维码进行车辆进出和自助缴费，有牌车车主扫描车道二维码进行缴费后放行。支持异常情况下，通过票箱/可视对讲机，呼叫中心管理员，中心管理员对车辆进行校正车牌、手动放行、入场人工匹配的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7、支持ETC停车付费，支持对接广东、上海、山东、福建、云南、宁夏等省份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8、支持平台中心服务离线后车辆进出仍能正常收费，中心服务恢复后同步收费和出场纪录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四、岗亭收费员交接班管理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1、支持岗亭收费员交接班时，进行应收金额、优惠金额、全免金额和实收金额的交接对账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2、支持在平台查询和统计交接班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五、收费记录查询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1、支持支持多种记录查询包括：充值退款记录、临时车缴费记录、优惠券记录、交接班记录查询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六、收费报表统计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1、支持按日、月、年、自定义时间进行报表统计，报表包含收费报表统计、账户收费报表统计、临时车缴费统计</w:t>
            </w:r>
          </w:p>
        </w:tc>
        <w:tc>
          <w:tcPr>
            <w:tcW w:w="909" w:type="dxa"/>
            <w:vMerge w:val="continue"/>
            <w:tcBorders>
              <w:left w:val="single" w:color="000000" w:sz="4" w:space="0"/>
              <w:right w:val="single" w:color="000000" w:sz="4" w:space="0"/>
            </w:tcBorders>
            <w:noWrap w:val="0"/>
            <w:vAlign w:val="center"/>
          </w:tcPr>
          <w:p w14:paraId="56CC7A1B">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3548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5B6F1F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748" w:type="dxa"/>
            <w:vMerge w:val="continue"/>
            <w:tcBorders>
              <w:left w:val="single" w:color="000000" w:sz="4" w:space="0"/>
              <w:right w:val="single" w:color="000000" w:sz="4" w:space="0"/>
            </w:tcBorders>
            <w:noWrap w:val="0"/>
            <w:vAlign w:val="center"/>
          </w:tcPr>
          <w:p w14:paraId="289888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4DE76F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3D961A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园区卡口提供园区内道路上行驶车辆的抓拍识别，包含车牌号码、车牌类型、车牌颜色、车辆类型、车辆颜色、车辆品牌等属性识别，并提供车辆布控能力和车辆行驶轨迹信息。支持车辆超速、逆行、压线、违停等违规行为检测抓拍和违规数据统计。当车辆违规后，将违规信息发布至LED屏，违规次数超过阈值后在园区停车场出入口禁止通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一、卡口管理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1、支持卡口设备、终端服务器、违停球设备的接入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2、支持卡口车道管理，包含车道名称、车道方向、车道号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二、车辆抓拍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1、支持园区道路车辆抓拍识别，包含车牌号码、车牌类型、车牌颜色、车辆类型、车辆颜色、车辆品牌等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2、支持园区道路车辆违规检测，包含点位测速、区间测速、违停、逆行、压线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3、支持按车牌颜色、车牌号进行黑名单布控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4、支持车辆白名单管理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5、支持在中心客户端实时查看卡口抓拍车辆信息，包含车牌号码、车牌类型、车牌颜色、车辆类型、车辆颜色、车辆品牌、车主姓名、车主手机号、速度、通过时间等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6、支持卡口设备的视频预览和回放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三、轨迹信息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1、支持按车牌号、车牌颜色查询轨迹信息，并支持车辆经过各卡口点位的轨迹回放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四、违规信息发布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1、支持将违章车辆信息推送到LED上进行展示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五、违规车辆禁止通行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1、支持配置车辆违规超次的阈值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2、车辆违规超过阈值后，自动将车辆设置为黑名单，联动停车场出入口限制放行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六、查询统计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1、支持抓拍记录查询和违规记录查询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2、支持违章事件的统计</w:t>
            </w:r>
          </w:p>
        </w:tc>
        <w:tc>
          <w:tcPr>
            <w:tcW w:w="909" w:type="dxa"/>
            <w:vMerge w:val="continue"/>
            <w:tcBorders>
              <w:left w:val="single" w:color="000000" w:sz="4" w:space="0"/>
              <w:right w:val="single" w:color="000000" w:sz="4" w:space="0"/>
            </w:tcBorders>
            <w:noWrap w:val="0"/>
            <w:vAlign w:val="center"/>
          </w:tcPr>
          <w:p w14:paraId="26CA9426">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0820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000000" w:sz="4" w:space="0"/>
              <w:right w:val="single" w:color="000000" w:sz="4" w:space="0"/>
            </w:tcBorders>
            <w:noWrap w:val="0"/>
            <w:vAlign w:val="center"/>
          </w:tcPr>
          <w:p w14:paraId="6B3EF2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748" w:type="dxa"/>
            <w:vMerge w:val="continue"/>
            <w:tcBorders>
              <w:left w:val="single" w:color="000000" w:sz="4" w:space="0"/>
              <w:right w:val="single" w:color="000000" w:sz="4" w:space="0"/>
            </w:tcBorders>
            <w:noWrap w:val="0"/>
            <w:vAlign w:val="center"/>
          </w:tcPr>
          <w:p w14:paraId="78339B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right w:val="single" w:color="000000" w:sz="4" w:space="0"/>
            </w:tcBorders>
            <w:noWrap w:val="0"/>
            <w:vAlign w:val="center"/>
          </w:tcPr>
          <w:p w14:paraId="3E5F7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000000" w:sz="4" w:space="0"/>
              <w:right w:val="single" w:color="000000" w:sz="4" w:space="0"/>
            </w:tcBorders>
            <w:noWrap w:val="0"/>
            <w:vAlign w:val="center"/>
          </w:tcPr>
          <w:p w14:paraId="4015B94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color w:val="000000"/>
                <w:kern w:val="0"/>
                <w:sz w:val="21"/>
                <w:szCs w:val="21"/>
                <w:highlight w:val="none"/>
                <w:lang w:bidi="ar"/>
              </w:rPr>
              <w:t>视频质量诊断应用，提供视频图像诊断和监测服务。GB28181、部标808、Open Network Video Interface、ISAPI协议</w:t>
            </w:r>
            <w:r>
              <w:rPr>
                <w:rFonts w:hint="eastAsia"/>
                <w:color w:val="000000"/>
                <w:kern w:val="0"/>
                <w:sz w:val="21"/>
                <w:szCs w:val="21"/>
                <w:lang w:bidi="ar"/>
              </w:rPr>
              <w:t>。</w:t>
            </w:r>
          </w:p>
        </w:tc>
        <w:tc>
          <w:tcPr>
            <w:tcW w:w="909" w:type="dxa"/>
            <w:vMerge w:val="continue"/>
            <w:tcBorders>
              <w:left w:val="single" w:color="000000" w:sz="4" w:space="0"/>
              <w:right w:val="single" w:color="000000" w:sz="4" w:space="0"/>
            </w:tcBorders>
            <w:noWrap w:val="0"/>
            <w:vAlign w:val="center"/>
          </w:tcPr>
          <w:p w14:paraId="1A58735A">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6B30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000000" w:sz="4" w:space="0"/>
              <w:left w:val="single" w:color="000000" w:sz="4" w:space="0"/>
              <w:bottom w:val="single" w:color="auto" w:sz="4" w:space="0"/>
              <w:right w:val="single" w:color="000000" w:sz="4" w:space="0"/>
            </w:tcBorders>
            <w:noWrap w:val="0"/>
            <w:vAlign w:val="center"/>
          </w:tcPr>
          <w:p w14:paraId="058BAD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748" w:type="dxa"/>
            <w:vMerge w:val="continue"/>
            <w:tcBorders>
              <w:left w:val="single" w:color="000000" w:sz="4" w:space="0"/>
              <w:bottom w:val="single" w:color="auto" w:sz="4" w:space="0"/>
              <w:right w:val="single" w:color="000000" w:sz="4" w:space="0"/>
            </w:tcBorders>
            <w:noWrap w:val="0"/>
            <w:vAlign w:val="center"/>
          </w:tcPr>
          <w:p w14:paraId="7296FF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931" w:type="dxa"/>
            <w:vMerge w:val="continue"/>
            <w:tcBorders>
              <w:left w:val="single" w:color="000000" w:sz="4" w:space="0"/>
              <w:bottom w:val="single" w:color="auto" w:sz="4" w:space="0"/>
              <w:right w:val="single" w:color="000000" w:sz="4" w:space="0"/>
            </w:tcBorders>
            <w:noWrap w:val="0"/>
            <w:vAlign w:val="center"/>
          </w:tcPr>
          <w:p w14:paraId="7F672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771" w:type="dxa"/>
            <w:tcBorders>
              <w:top w:val="single" w:color="000000" w:sz="4" w:space="0"/>
              <w:left w:val="single" w:color="000000" w:sz="4" w:space="0"/>
              <w:bottom w:val="single" w:color="auto" w:sz="4" w:space="0"/>
              <w:right w:val="single" w:color="000000" w:sz="4" w:space="0"/>
            </w:tcBorders>
            <w:noWrap w:val="0"/>
            <w:vAlign w:val="center"/>
          </w:tcPr>
          <w:p w14:paraId="5BB52A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网络管理应用，对接入平台的视频设备，门禁设备，梯控设备，可视对讲设备进行在线巡检，及时发现故障设备和掉线设备，支持监控点通道的录制状态、录像完整性、录像保存天数指标检测。使运维工作更加高效，便利。</w:t>
            </w:r>
          </w:p>
        </w:tc>
        <w:tc>
          <w:tcPr>
            <w:tcW w:w="909" w:type="dxa"/>
            <w:vMerge w:val="continue"/>
            <w:tcBorders>
              <w:left w:val="single" w:color="000000" w:sz="4" w:space="0"/>
              <w:bottom w:val="single" w:color="000000" w:sz="4" w:space="0"/>
              <w:right w:val="single" w:color="000000" w:sz="4" w:space="0"/>
            </w:tcBorders>
            <w:noWrap w:val="0"/>
            <w:vAlign w:val="center"/>
          </w:tcPr>
          <w:p w14:paraId="79AF5309">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5C1B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3F4A9DC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电子巡更</w:t>
            </w:r>
          </w:p>
        </w:tc>
      </w:tr>
      <w:tr w14:paraId="3D5C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63F46A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2DE4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巡更手持机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FA27B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34B2E7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1、通讯方式：4G/USB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2、充电方式：采用磁吸触点接口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3、电池容量：1800毫安聚合物理电池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4、读卡距离：3-5cm感应读卡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5、指示方式：灯光/震动/语音提示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6、工作温度：-40℃-85℃     工作频率：125KHZ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7、外壳采用双色注塑工艺，防水，防震，防低温设计；防水抗摔，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8、方便灵活：增减巡更点方便灵活，只需安装巡更点即可，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9、带有紧急报警，摔砸记录提示，巡检闹钟等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10、照明灯设计：方便夜间巡逻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11、支持手机APP实时查询</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CC395D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B72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0A9D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04707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射频识别产品</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94F4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265AA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1.工程塑料封装，非接触式ID卡,可在雨、雪、冰、尘、等恶劣条件下可靠使用；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2.巡更点卡为特制高灵敏度卡，在保证刷卡距离的同时，减少巡更机电源消耗无源卡，使用时间超过20年；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3.具有防水、防磁、防震功能；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4.可安装任何地方，不受环境影响;感应卡为一种无源存储仪，内置巡查点 无须供电，安装方便。</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A162F8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CF5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3B949D08">
            <w:pPr>
              <w:tabs>
                <w:tab w:val="left" w:pos="1584"/>
              </w:tabs>
              <w:bidi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公共广播系统</w:t>
            </w:r>
          </w:p>
        </w:tc>
      </w:tr>
      <w:tr w14:paraId="10A2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24B63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9F6BF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室外音频输出终端</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0DD8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07666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1.自带双口集线器（HUB）,可直接接入局域网（LAN）,可播放网络音频，可接受服务器及其它IP网络设备的访问与控制。</w:t>
            </w:r>
          </w:p>
          <w:p w14:paraId="1C4B5E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2.强大的网络音频播放功能，可在网络中独立使用，可直接播放来自于IP网络音频矩阵、IP网络收音头或IP网络CD的网络音频信号。</w:t>
            </w:r>
          </w:p>
          <w:p w14:paraId="13854B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3.可接受主控室服务器的控制，分控点计算机的控制，而且它还可以脱离服务器直接接受网络消防矩阵、网络寻呼话筒等内部通讯对讲设备的直接控制，对寻呼对讲或消防等紧急任务反应更迅速，更可靠。 </w:t>
            </w:r>
          </w:p>
          <w:p w14:paraId="6640A7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4.可匹配频道选择器，可在同时传送的多套音频频道音频节目中进行任意选择收听, 音频频道节目可来自服务器，也可来自IP网络音频矩阵或IP网络收音头和IP网络CD。</w:t>
            </w:r>
          </w:p>
          <w:p w14:paraId="46FFA7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5.无信号时可自动转入待机状态，节能环保。</w:t>
            </w:r>
          </w:p>
          <w:p w14:paraId="425BC8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6.全频喇叭+高音喇叭，音质优美，功放与音箱一体化，连接更简单，使用更方便。</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162E35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2C8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A2C6F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EBDC5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中心控制终端</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3598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2395E2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大显示屏，IP网络广播服务器是网络音频广播系统的核心，它实时监测整个网络广播系统所有终端和外部设备的工作状态，实时响应所有终端的各类服务请求。</w:t>
            </w:r>
          </w:p>
          <w:p w14:paraId="66A630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工业级服务器，高稳定性，高可靠性。</w:t>
            </w:r>
          </w:p>
          <w:p w14:paraId="724537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工业级低功耗处理器，配备固态硬盘，数据读取及存储速度更快，防摔防震性能更强。</w:t>
            </w:r>
          </w:p>
          <w:p w14:paraId="4B6778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系统配备强大的媒体资源节目库管理及存储功能，供频道广播、即时广播、定时任务以及终端点播节目使用。</w:t>
            </w:r>
          </w:p>
          <w:p w14:paraId="417547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系统提供强大的频道广播管理功能，支持多套频道广播在线同步播出，每路频道广播可支持定时任务管理模式或手动控制管理模式。</w:t>
            </w:r>
          </w:p>
          <w:p w14:paraId="21F631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系统具备多套定时任务管理方案，支持定时任务多模式运作，定时任务可按星期循环控制，也可按天24小时定时任务执行，通过灵活的定时任务配置，完全可适合各种复杂应用场合。</w:t>
            </w:r>
          </w:p>
          <w:p w14:paraId="5FC45C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 系统提供灵活的终端点播管理功能，具有丰富的点播节目库，供终端点播灵活选择，支持多路终端同步点播管理。</w:t>
            </w:r>
          </w:p>
          <w:p w14:paraId="2F1607D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 系统支持与外设联动控制管理，具备矩阵、功放、分区系统集中配置和任务定时控制管理。</w:t>
            </w:r>
          </w:p>
          <w:p w14:paraId="20A46C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 本系统的所有设备均具有脱机运行功能。</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08BFC89">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BE8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E6249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D16E2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寻呼话筒</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536CF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5940D5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1、桌面式设计，带7寸彩色显示电容触屏，人性化操作界面，无操作进入休眠，低功耗省电；</w:t>
            </w:r>
          </w:p>
          <w:p w14:paraId="3E1A76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2、可与各终端，寻呼话筒等实现全双工双向对讲功能，也可对各点、各区域及所有区域进行广播和文件播放功能。</w:t>
            </w:r>
          </w:p>
          <w:p w14:paraId="369DAA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3、支持一键实现寻呼对讲、广播任意终端功能，可自定义32个功能快捷键,根据用户情况，提供了八个快捷键显示界面，方便直观；</w:t>
            </w:r>
            <w:r>
              <w:rPr>
                <w:rFonts w:hint="eastAsia" w:ascii="宋体" w:hAnsi="宋体" w:eastAsia="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auto"/>
                <w:kern w:val="0"/>
                <w:sz w:val="21"/>
                <w:szCs w:val="21"/>
                <w:u w:val="none"/>
                <w:lang w:val="en-US" w:eastAsia="zh-CN" w:bidi="ar"/>
              </w:rPr>
              <w:t>投标文件中</w:t>
            </w:r>
            <w:r>
              <w:rPr>
                <w:rFonts w:hint="eastAsia" w:ascii="宋体" w:hAnsi="宋体" w:eastAsia="宋体" w:cs="宋体"/>
                <w:b/>
                <w:bCs/>
                <w:i w:val="0"/>
                <w:iCs w:val="0"/>
                <w:color w:val="000000"/>
                <w:kern w:val="0"/>
                <w:sz w:val="21"/>
                <w:szCs w:val="21"/>
                <w:u w:val="none"/>
                <w:lang w:val="en-US" w:eastAsia="zh-CN" w:bidi="ar"/>
              </w:rPr>
              <w:t>需提供后台软件32个自定义快捷键功能截图并加盖厂家公章）</w:t>
            </w:r>
          </w:p>
          <w:p w14:paraId="282D53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4、具有红色紧急求助按键，实现快速求助功能，同时支持自定义一键求助快捷键功能；</w:t>
            </w:r>
          </w:p>
          <w:p w14:paraId="71AA9B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5、内置输入法功能，可实现文本文件本地编辑及广播功能，能在本地对文本文件进行修改和编辑，同时能直接将本地U盘或SD卡中的文本文件转换成音频文件进行广播；</w:t>
            </w:r>
          </w:p>
          <w:p w14:paraId="324849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6、具有USB接口，自带SD卡，并支持点播或广播U盘、SD卡和服务器的音频文件。</w:t>
            </w:r>
          </w:p>
          <w:p w14:paraId="45543F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7、具有短路控制输入输出接口，可实现触发联动功能； </w:t>
            </w:r>
          </w:p>
          <w:p w14:paraId="1AAB0D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8、具有1个10/100M RJ45网络接口，支持DHCP自动获取IP地址功能。</w:t>
            </w:r>
          </w:p>
          <w:p w14:paraId="76464E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9、内置3W全频扬声器，声音清晰，洪亮，可播放本地音频和接收远程音频信号进行本地播放，同时还可实现监听功能；</w:t>
            </w:r>
          </w:p>
          <w:p w14:paraId="687DA1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10、具有免提通话功能，支持外接耳机或有音源音箱进行外放功能； </w:t>
            </w:r>
          </w:p>
          <w:p w14:paraId="3DF4D1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11、能接收多个对讲呼叫功能，并自动进行排队，同时支持未接来电提醒和快捷回拨功能；</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4B91C5A">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ABF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C1B7D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BF6BF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音频输出终端（主）</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3D65BA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1DF14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1.木质壁挂式音箱； </w:t>
            </w:r>
          </w:p>
          <w:p w14:paraId="6A432D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2.设备采用工业级双核处理芯片（ARM+DSP）启动时间小于1S； </w:t>
            </w:r>
          </w:p>
          <w:p w14:paraId="527D7E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3.内置网络IP解码模块可实时播放网络音乐及呼叫功能，采集播放和呼叫功能的网络延时时间小于30mS； </w:t>
            </w:r>
          </w:p>
          <w:p w14:paraId="1DC5DD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4.内置2×20W数字功放具有发热小和功效高、CD级音质； </w:t>
            </w:r>
          </w:p>
          <w:p w14:paraId="39599D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5.一路线路输入，设有独立音量调节，适用现场本地扩音广播功能； </w:t>
            </w:r>
          </w:p>
          <w:p w14:paraId="2BD498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6.优先功能：网络报警为最高优先级，； </w:t>
            </w:r>
          </w:p>
          <w:p w14:paraId="34D04B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8.喇叭单元为5.5寸低音+3寸高音，音质清晰优美； </w:t>
            </w:r>
          </w:p>
          <w:p w14:paraId="7DC5E2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9.具有1组辅音箱输出接口，输出功率为20W/8Ω，可外接定阻音箱； </w:t>
            </w:r>
          </w:p>
          <w:p w14:paraId="5120A4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10.可选配模拟热备份切换模块，当本终端的网络出现断网状态时信号自动切到模拟定压广播信号，当网络恢复时自动切回网络广播信号，起到双重信号保障作用； </w:t>
            </w:r>
          </w:p>
          <w:p w14:paraId="700497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11.具有1个10/100M RJ45网络接口，支持局域网与广域网通讯； </w:t>
            </w:r>
          </w:p>
          <w:p w14:paraId="7150D4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12.支持协议：TCP/IP、UPP，IGMP（组播），传输速率：10M/100Mbps； </w:t>
            </w:r>
          </w:p>
          <w:p w14:paraId="1AD852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13.音频格式：MP3/MP2，采样率：16K～48KHz，音频模式：16位立体声CD音质； </w:t>
            </w:r>
          </w:p>
          <w:p w14:paraId="3CCA5A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14.输入灵敏度：MIC：10mv/AUX:250mv，输出频率：20Hz—20KHz； </w:t>
            </w:r>
          </w:p>
          <w:p w14:paraId="3452BB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15.谐波失真：≤0.3%，信噪比：≥90dB； </w:t>
            </w:r>
          </w:p>
          <w:p w14:paraId="0C2203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16.内置扬声器阻抗及功率：8Ω/20W； </w:t>
            </w:r>
          </w:p>
          <w:p w14:paraId="73F1FF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17.外接扬声器阻抗及功率：8Ω/20W； </w:t>
            </w:r>
          </w:p>
          <w:p w14:paraId="131A62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18.线路输出电平、阻抗：775MV/1KΩ； </w:t>
            </w:r>
          </w:p>
          <w:p w14:paraId="7476F0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19.工作环境：温度-20℃～+60℃，湿度10%～90%； </w:t>
            </w:r>
          </w:p>
          <w:p w14:paraId="3E21D7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20.电源电压：DC-12V           .功    耗：≤50W； </w:t>
            </w:r>
          </w:p>
          <w:p w14:paraId="148041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22.尺寸（宽*厚*高）：≥200*150*330mm；</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9FA671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C26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F49D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267C6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音频输出终端（副）</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30F1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39B8B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1.木质壁挂式音箱； </w:t>
            </w:r>
          </w:p>
          <w:p w14:paraId="72F200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2.音频格式：MP3/MP2，采样率：16K～48KHz，音频模式：16位立体声CD音质； </w:t>
            </w:r>
          </w:p>
          <w:p w14:paraId="652273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3.输入灵敏度：MIC：10mv/AUX:250mv，输出频率：20Hz—20KHz； </w:t>
            </w:r>
          </w:p>
          <w:p w14:paraId="4FE14B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4.谐波失真：≤0.3%，信噪比：≥90dB； </w:t>
            </w:r>
          </w:p>
          <w:p w14:paraId="259CED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5.内置扬声器阻抗及功率：8Ω/20W； </w:t>
            </w:r>
          </w:p>
          <w:p w14:paraId="46FCF8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6.外接扬声器阻抗及功率：8Ω/20W； </w:t>
            </w:r>
          </w:p>
          <w:p w14:paraId="0DEE48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7.线路输出电平、阻抗：775MV/1KΩ； </w:t>
            </w:r>
          </w:p>
          <w:p w14:paraId="74D171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8.工作环境：温度-20℃～+60℃，湿度10%～90%； </w:t>
            </w:r>
          </w:p>
          <w:p w14:paraId="08909A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9.电源电压：DC-12V           .功    耗：≤50W； </w:t>
            </w:r>
          </w:p>
          <w:p w14:paraId="4F3849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10.尺寸（宽*厚*高）：≥200*150*330mm；</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CA0562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3458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375721B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紧急求助系统 </w:t>
            </w:r>
          </w:p>
        </w:tc>
      </w:tr>
      <w:tr w14:paraId="16E1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1C8A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13C4C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紧急报警柱</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2E73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7AB69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一键紧急报警柱，4G+IP语音双网双向对讲+视频（带报警输出，可接警号）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全双工语音通信技术,分级分权限管理功能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报警后可在软件上面的电子地图上显示,支持多个接警中心机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4G+IP网络架构，支持无线传输。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录音功能：支持，对讲信息可录音存储在服务器本地电脑上面，可随时导出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内置语音喇叭和拾音器，可IP远程广播喊话。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内置摄像头，支持视频语音确认。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内部局域网/广域网均可联网使用，支持上传云平台。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接警中心机：10寸和8寸的触摸显示屏2种可选。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对讲、广播喊话、监听、监视等功能。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联动摄像头：支持（外加网络联动模块）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处理器:高性能嵌入式SOC处理器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操作系统:嵌入式LINUX操作系统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摄像头:200W像素 CMOS传感器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视频压缩：H.264/30FPS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音频输入:内置高灵敏全向麦克风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音频输出:内置扬声器+ 1×LINE OUT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压缩标准:G.711、G.713、GSM、DAC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压缩码率:64KBPS/8KBPS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回声降噪:支持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接警方式：软件和硬件均可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多中心接警：支持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中心呼叫前端：支持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以太网 10M/100M自适应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网络协议:TCP/IP 、DNP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网口速率:10/100M自适应以太网口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报警输入：3个（开关量）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报警输出：2个（开关量）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标配电源：DC12V 1A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设备功耗：≤5W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设备材质：铁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工作温度：﹣30°C~70°C</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C64461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84E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2F766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8B89E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紧急报警产品</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EF6A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F9C1D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10寸 1024*768像素显示屏。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G+G 电容屏5点触控触摸技术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Micro usb OTG 2.0  USB串口接口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标准RJ9手柄接口。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支持2.4G  WIFI网络联网。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支持主动报警/呼叫终端设备，也可以终端设备向接警中心机设备呼叫/报警求助。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最大可支持2000次呼叫/报警记录，超过了自动覆盖。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报警声音类型3种可选，音量大小3级可选。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可根据项目需要自行定义视频界面按钮/报警点的名称。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支持一键远程升级接警中心机的版本程序。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可视/非可视报警柱/报警盒/报警主机均可用该接警机接警管理。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可用于学校、医院、小区、工厂等领域的紧急求助、停车呼叫、服务台呼叫等。</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DBE318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28E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65BAD25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门禁系统 </w:t>
            </w:r>
          </w:p>
        </w:tc>
      </w:tr>
      <w:tr w14:paraId="5326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C91A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57DB55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门禁主机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FCC3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14BE7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应具有丰富的通讯接口、控制接口及拓展接口：TCP/IP接口1个；上行RS485通讯接口2个；下行RS485通讯接口2个；wiegand通讯接口4个；可接入最多读卡器数量8个，其中4个RS485读卡器和4个wiegand读卡器；报警输入接口4个；事件输入接口4个；门磁输入接口2个；开门按钮接口2个；电锁输出接口2个；报警输出接口4个主机应具有消防联动功能，当检测到消防信号后，可以自动打开门锁。</w:t>
            </w:r>
            <w:r>
              <w:rPr>
                <w:rFonts w:hint="eastAsia" w:ascii="宋体" w:hAnsi="宋体" w:eastAsia="宋体" w:cs="宋体"/>
                <w:b/>
                <w:bCs/>
                <w:i w:val="0"/>
                <w:iCs w:val="0"/>
                <w:color w:val="000000"/>
                <w:kern w:val="0"/>
                <w:sz w:val="21"/>
                <w:szCs w:val="21"/>
                <w:u w:val="none"/>
                <w:lang w:val="en-US" w:eastAsia="zh-CN" w:bidi="ar"/>
              </w:rPr>
              <w:t xml:space="preserve">（投标文件中需提供检测机构出具的检测报告扫描件或复印件并加盖投标人公章以示证明。）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主机应具有大容量存储能力，应最多支持10万卡片管理和30万事件记录存储。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主机应具防区报警功能，有4个入侵探测接口，能够联动报警输出。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系统平台应具有视频联动报警功能</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70043038">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6C0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62D3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FE9F6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电子锁</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4900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1把</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61D6D2C">
            <w:pPr>
              <w:keepNext w:val="0"/>
              <w:keepLines w:val="0"/>
              <w:widowControl/>
              <w:suppressLineNumbers w:val="0"/>
              <w:spacing w:after="160" w:afterAutospacing="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最大静态直线拉力：280kg±10% *2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断电开锁，满足消防要求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具有电锁状态指示灯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支持锁状态侦测信号(门磁)输出：NO/NC/COM接点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工作电压：12V/480mA*2 或 24V/240mA*2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788F9F51">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790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2E05A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83C81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安装支架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30A4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F57B6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选用材料：高强度铝合金，表面喷砂处理</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731EBD28">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F25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00B9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7AA81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开门按钮</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AF4F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5FFEC2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结构：塑料面板；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性能：最大耐电流1.25A，电压250V；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输出：常开；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类型：适合埋入式电器盒使用；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尺寸：86*86mm；</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33C244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2EE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9"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7AED8E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DE918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生物识别器 </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122F4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6A950DC4">
            <w:pPr>
              <w:keepNext w:val="0"/>
              <w:keepLines w:val="0"/>
              <w:widowControl/>
              <w:suppressLineNumbers w:val="0"/>
              <w:spacing w:after="160" w:afterAutospacing="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设备应采用嵌入式 linux 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前面板防破坏能力应满足 IK07 的要求；结构后壳防破坏能力应满足 IK10 的要求；防水等级应大于IP65；应支持选择嵌入式、壁挂、桌面、立式、人员通道安装；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屏幕应为 7 英寸触摸屏；应采用水滴屏全贴合工艺；玻璃屏占比≥90%。屏幕流明度≥600cd/m2；屏幕分辨率应不低于600*1024；屏显下端应具有圆形指示灯，指示灯应支持固定频率的亮起和熄灭（呼吸状态）及识别状态提示。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应能在 0.001lux 低照度无补光环境下正常实现人脸验证，可在强光、逆光、暗光环境条件的人脸验证。</w:t>
            </w:r>
            <w:r>
              <w:rPr>
                <w:rFonts w:hint="eastAsia" w:ascii="宋体" w:hAnsi="宋体" w:eastAsia="宋体" w:cs="宋体"/>
                <w:b/>
                <w:bCs/>
                <w:i w:val="0"/>
                <w:iCs w:val="0"/>
                <w:color w:val="000000"/>
                <w:kern w:val="0"/>
                <w:sz w:val="21"/>
                <w:szCs w:val="21"/>
                <w:u w:val="none"/>
                <w:lang w:val="en-US" w:eastAsia="zh-CN" w:bidi="ar"/>
              </w:rPr>
              <w:t xml:space="preserve">（投标文件中需提供检测机构出具的检测报告扫描件或复印件并加盖投标人公章以示证明。）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应支持在没有用户使用时自动切换到屏保或息屏待机状态，人员靠近自动唤醒待机设备，唤醒距离应能调节；应采用软硬件低功耗管理模式，设备待机运行功耗应不超过 6W。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系统应能对门的开启方式，卡（人脸、密码）的各种使用权限进行组合设置，实现不同场景的权限管理</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133923A">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4254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D5DA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58692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可视辅助类产品</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61290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AD933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输入电压：100-240VAC；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输出电压：12VDC；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输出电流：4.17A；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输出功率：50W；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纹波与噪声：&lt; 150mVpp；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276ECA5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648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461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FABFA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液压闭门器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32A85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1个</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53EDD9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适装门重：60-85KG      </w:t>
            </w:r>
          </w:p>
          <w:p w14:paraId="683CFD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适装门宽 ≤ 1100mm     </w:t>
            </w:r>
          </w:p>
          <w:p w14:paraId="6C49F9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闭门力量：EN4      </w:t>
            </w:r>
          </w:p>
          <w:p w14:paraId="7C17C4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开门角度 ≤ 180°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使用寿命：100万次    </w:t>
            </w:r>
          </w:p>
          <w:p w14:paraId="5BFB28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适用环境温度范围：-30℃---50℃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双段速度可调    </w:t>
            </w:r>
          </w:p>
          <w:p w14:paraId="45079E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锁门速度：0°--15°范围内可调   </w:t>
            </w:r>
          </w:p>
          <w:p w14:paraId="4B21A6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闭门速度：15°--180°范围内可调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440542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EBC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592A9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BFF49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身份信息识别产品</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3AD2F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F4A537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设备采用3.97英寸LCD触摸显示屏，屏幕支持多点触控操作，屏幕流明度350cd/㎡，分辨率不小于480*800，屏幕防暴等级IK04。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采用200万双目摄像头，有照片视频防假功能；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支持人脸采集、卡片录入（ID/IC/普通CPU/国密CPU卡/二三代身份证序列号）；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支持有线网络、无线WiFi、USB口通信；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支持在线采集，通过网络协议或USB口对接到平台，平台进行在线采集，采集信息实时上传；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工作电压：DC12V/1.5A</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807EF81">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963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393DA04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停车场管理系统</w:t>
            </w:r>
          </w:p>
        </w:tc>
      </w:tr>
      <w:tr w14:paraId="450F5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247F3B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C848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LED抓拍显示一体机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E536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F98BF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车牌跟踪功能检查：支持对车牌实时跟踪并识别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无牌车辆抓拍功能检查：当视频监控区域内有无号牌车辆进入时，可对该车辆进行抓拍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动车车牌识别准确率试验：在天气晴朗无雾，机动车结构化属性信息清晰可辨的条件下进行测试，日间环境光照度不低于2001x，夜间辅助光照度不高于301x。日间机动车车牌号识别准确率≥99.9%；夜间机动车车牌号识别准确率≥99.9%</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语音播报功能检查：支持在设备里保存语音片段，通过音频输出口控制外部音频设备输出语音；支持播放后台下发的语音信息。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显示屏功能检查：支持滚动或静止显示过车时间、车牌号、停车时长、收费金额、自定义内容等信息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★报警功能检查：发生以下情况之一时应产生报警提醒：（1）当识读到未授权的车辆时；（2）当识读到已设定须提示的车辆时；(3）当未经正常操作而使出入口挡车器开启时(4)当通讯发生故障时</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黑白名单同步和比对功能检查：联网时，可与后台的黑白名单同步，并进行比对和管控；断网时，可使用本地保存的黑白名单进行比对和管控。</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D14D9B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5C0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85FE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C74C77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自动挡车器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7610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32145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采用一体化机芯，平行齿轮减速连杆传动，传动平稳、效率高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侧贴式安装，安装方便、结构紧凑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齿轮碳钢材质，淬火处理工艺，抗磨损、抗冲击，寿命长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直流无刷电机、输出力矩大、体积小，噪音低，精确智能控制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支持遇阻反弹，开优先保护功能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直流变频控制，快速抬杆慢速落杆，运行平稳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事件日志记录、方便操作追踪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支持红外，地感，雷达等多种防砸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支持故障码数码管检测，日志记录、丰富状态指示，故障码数码管显示、问题定位快捷、方便维护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手动开闸功能：停电时可转动手轮，使道闸保持开状态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支持强电对接功能（220V）</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625A709">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062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06E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B7F83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出入口控制终端</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5658B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DCF60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双屏显示功能检查：设备支持 VGA 和HDMI同时输出画面， 一个屏幕展示最多12分屏的实时预览界面；另一个屏幕可展示出入口控制界面，支持实时查看过车图片、视频，支持控制出入口进出、缴费，最多支持12分屏。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远程访问运维功能：设备上电后，无需连接外部网络，可依靠设备自带无线通讯模块，进行远程运维、远程配置、远程操作、远程控制停车场。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★防车辆假出场逃费功能检查：当接入的出口摄像机识别到车辆倒退行为时，可联动设备对车辆进行入场处理，防止车辆假出场逃费行为。</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★计数相机接入功能检查：支持接入出入计数相机统计停车场的余位，可计算车辆的进出，形成出入记录。</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APP快速配置功能检查：设备支持APP快速配置，可通过APP实现整个停车场的快速配置。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车辆倒车离场报警功能检查：支持车辆倒车离开闸机摄像头的报警功能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特殊车牌管理功能：支持特殊车牌管理，可分别设置放行规则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车道上车辆滞留提示功能检查：支持车道上车辆滞留超过设置时间的文字显示与语音提示功能</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12AC9C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874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FC0A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D9569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rPr>
              <w:t>防砸雷达</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466A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F57F2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采用79GHz MMIC技术，分辨率更高，检测更稳定；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雷达检测距离可调，检测宽度可调，操作方便，通用性强；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自动记录雷达的配置参数，断电重启后可恢复至之前的工作状态；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环境适应性强，检测性能不受电磁干扰、光照、灰尘、雨雪等外界环境影响</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A3AFE95">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612A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063717DA">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人行通道系统</w:t>
            </w:r>
          </w:p>
        </w:tc>
      </w:tr>
      <w:tr w14:paraId="4954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9FD5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66D92D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单机芯左边机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35099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F1E0B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闸机通道应为摆闸箱体，采用直流无刷伺服电机，霍尔传感器及平行轴减速箱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闸机通道外壳防护等级应达到 IP54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设备机身外壳的人员通行检测部分、指示部分应符合 IK07的要求，其他表面应符合 IK08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闸机无故障运行次数不低于800万次</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采用不锈钢，箱体尺寸：长≤1200mm，宽≤170mm，高≥1000mm，门翼应支持选用不锈钢或亚克力材质，通道宽度尺寸应支持550mm~950mm配置,闸机通道采用厚度不低于1.0mm的不锈钢板材；设备应采用不少于4对红外对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物理接口应满足：IO输入接口2个，开门按钮接口4个，消防输入接口1个，电锁输出接口2个，报警输出接口2个，TCP/IP接口1个，RS-485通讯接口4个，单独RS232通讯接口2个，韦根通讯接口2个，对于RS-485接口，每个接口最多可接入读卡器4个，USB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闸机应具备防水浸功能，支持在底部积水情况下正常运行，最大水浸高度不小于700mm（以产品底部为基准）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设备可根据用户需求自定义语音播报内容，并可设置联动语音提示；支持通过文字转换为提示语音的TTS功能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异常开门报警、翻越报警、滞留报警、尾随报警、反向闯入报警、通行超时报警、误闯报警、单通道反潜回、多通道跨主机反潜回等报警功能，当符合触发条件的事件发生时，会有报警提示（包括语音播报、指示灯、IO信号联动输出），同时上传报警事件。</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闸机通道应具备应急放行的功能，支持断电自动开门功能和消防联动开门功能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设备支持记忆模式，可实现连续快速通行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设备应支持本地，平台和上位机人数统计功能，可针对进出方向分别进行统计，并可清零。；支持进出两个方向通过人数的独立检测，针对进方向和出方向通过的每一个人，都可以分别进行信号输出。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设备应具备防夹保护功能，设备同时支持电流防夹（机械防夹）和红外防夹，而且支持宽松模式和警戒模式两种防夹机制设置；</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3C6B880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E35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7A6DC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0412F2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单机芯右边机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5EE1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3051E9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闸机通道应为摆闸箱体，采用直流无刷伺服电机，霍尔传感器及平行轴减速箱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闸机通道外壳防护等级应达到 IP54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设备机身外壳的人员通行检测部分、指示部分应符合 IK07的要求，其他表面应符合 IK08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闸机无故障运行次数不低于800万次</w:t>
            </w:r>
            <w:r>
              <w:rPr>
                <w:rFonts w:hint="eastAsia" w:ascii="宋体" w:hAnsi="宋体" w:eastAsia="宋体" w:cs="宋体"/>
                <w:b/>
                <w:bCs/>
                <w:i w:val="0"/>
                <w:iCs w:val="0"/>
                <w:color w:val="000000"/>
                <w:kern w:val="0"/>
                <w:sz w:val="21"/>
                <w:szCs w:val="21"/>
                <w:u w:val="none"/>
                <w:lang w:val="en-US" w:eastAsia="zh-CN" w:bidi="ar"/>
              </w:rPr>
              <w:t>（投标文件中需要提供检测机构出具的检测报告扫描件或复印件并加盖投标人公章以示证明。）</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采用不锈钢，箱体尺寸：长≤1200mm，宽≤170mm，高≥1000mm，门翼应支持选用不锈钢或亚克力材质，通道宽度尺寸应支持550mm~950mm配置,闸机通道采用厚度不低于1.0mm的不锈钢板材；设备应采用不少于4对红外对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物理接口应满足：IO输入接口2个，开门按钮接口4个，消防输入接口1个，电锁输出接口2个，报警输出接口2个，TCP/IP接口1个，RS-485通讯接口4个，单独RS232通讯接口2个，韦根通讯接口2个，对于RS-485接口，每个接口最多可接入读卡器4个，USB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闸机应具备防水浸功能，支持在底部积水情况下正常运行，最大水浸高度不小于700mm（以产品底部为基准）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设备可根据用户需求自定义语音播报内容，并可设置联动语音提示；支持通过文字转换为提示语音的TTS功能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异常开门报警、翻越报警、滞留报警、尾随报警、反向闯入报警、通行超时报警、误闯报警、单通道反潜回、多通道跨主机反潜回等报警功能，当符合触发条件的事件发生时，会有报警提示（包括语音播报、指示灯、IO信号联动输出），同时上传报警事件。</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闸机通道应具备应急放行的功能，支持断电自动开门功能和消防联动开门功能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设备支持记忆模式，可实现连续快速通行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设备应支持本地，平台和上位机人数统计功能，可针对进出方向分别进行统计，并可清零。；支持进出两个方向通过人数的独立检测，针对进方向和出方向通过的每一个人，都可以分别进行信号输出。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设备应具备防夹保护功能，设备同时支持电流防夹（机械防夹）和红外防夹，而且支持宽松模式和警戒模式两种防夹机制设置；</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01DF06B7">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883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9F173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F29C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双机芯中间机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F630F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A89E4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闸机通道应为摆闸箱体，采用直流无刷伺服电机，霍尔传感器及平行轴减速箱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闸机通道外壳防护等级应达到 IP54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设备机身外壳的人员通行检测部分、指示部分应符合 IK07的要求，其他表面应符合 IK08 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闸机无故障运行次数不低于800万次</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外壳采用不锈钢，箱体尺寸：长≤1200mm，宽≤170mm，高≥1000mm，门翼应支持选用不锈钢或亚克力材质，通道宽度尺寸应支持550mm~950mm配置,闸机通道采用厚度不低于1.0mm的不锈钢板材；设备应采用不少于4对红外对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物理接口应满足：IO输入接口2个，开门按钮接口4个，消防输入接口1个，电锁输出接口2个，报警输出接口2个，TCP/IP接口1个，RS-485通讯接口4个，单独RS232通讯接口2个，韦根通讯接口2个，对于RS-485接口，每个接口最多可接入读卡器4个，USB接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闸机应具备防水浸功能，支持在底部积水情况下正常运行，最大水浸高度不小于700mm（以产品底部为基准）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设备可根据用户需求自定义语音播报内容，并可设置联动语音提示；支持通过文字转换为提示语音的TTS功能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功能应满足单通道反潜回、多通道跨主机反潜回的功能，当检测到任意一种反潜回报警时，除了联动语音播报、指示灯、IO信号联动输出等报警提示外，需同时上传对应的报警事件，有效防止非授权人员跟随进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异常开门报警、翻越报警、滞留报警、尾随报警、反向闯入报警、通行超时报警、误闯报警、单通道反潜回、多通道跨主机反潜回等报警功能，当符合触发条件的事件发生时，会有报警提示（包括语音播报、指示灯、IO信号联动输出），同时上传报警事件。</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闸机通道应具备应急放行的功能，支持断电自动开门功能和消防联动开门功能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设备支持记忆模式，可实现连续快速通行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设备应支持本地，平台和上位机人数统计功能，可针对进出方向分别进行统计，并可清零。；支持进出两个方向通过人数的独立检测，针对进方向和出方向通过的每一个人，都可以分别进行信号输出。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设备应具备防夹保护功能，设备同时支持电流防夹（机械防夹）和红外防夹，而且支持宽松模式和警戒模式两种防夹机制设置；</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376B33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6EB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3ACF7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458FC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人员通道权限板</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B8990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07D98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安装后可支持读卡器、二维码等外设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安装后可支持PC WEB进行远程配置</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C13BB4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37E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E3EA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FB71C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读卡器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5ECC39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6个</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5C839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IC/CPU/身份证读卡器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采用32位高速处理器，设备性能更好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符合ISO 14443-A、ISO 14443-B标准规范，读卡频率13.56MHZ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支持Mifare卡识别，可读取Mifare卡号和Mifare卡内容，扇区采用加密处理，密钥可自定义，保障信息安全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支持CPU卡识别，可读取CPU卡序列号和CPU卡内容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支持身份证物理序列号识别</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1EDA5A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486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93" w:type="dxa"/>
            <w:gridSpan w:val="4"/>
            <w:tcBorders>
              <w:top w:val="single" w:color="auto" w:sz="4" w:space="0"/>
              <w:left w:val="single" w:color="auto" w:sz="4" w:space="0"/>
              <w:bottom w:val="single" w:color="auto" w:sz="4" w:space="0"/>
              <w:right w:val="single" w:color="auto" w:sz="4" w:space="0"/>
            </w:tcBorders>
            <w:noWrap w:val="0"/>
            <w:vAlign w:val="center"/>
          </w:tcPr>
          <w:p w14:paraId="713560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网络传输系统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09304552">
            <w:pPr>
              <w:keepNext w:val="0"/>
              <w:keepLines w:val="0"/>
              <w:widowControl/>
              <w:suppressLineNumbers w:val="0"/>
              <w:jc w:val="left"/>
              <w:textAlignment w:val="center"/>
              <w:rPr>
                <w:rFonts w:hint="eastAsia" w:ascii="宋体" w:hAnsi="宋体" w:eastAsia="宋体" w:cs="宋体"/>
                <w:color w:val="auto"/>
                <w:sz w:val="21"/>
                <w:szCs w:val="21"/>
                <w:lang w:bidi="ar"/>
              </w:rPr>
            </w:pPr>
          </w:p>
        </w:tc>
      </w:tr>
      <w:tr w14:paraId="4A9E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BB00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01667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核心交换机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0C17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B9028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性能：整机交换容量 ≥672Gbps；转发性能 ≥166Mpps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端口：≥48千兆电口+6个万兆光口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MAC地址表≥32K，IPv4路由表容量≥8K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三层路由功能：支持IPv4/IPv6静态路由、支持RIP V1/V2、OSPF、IS-IS、BGP4；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交换机支持≥9台物理设备虚拟化技术，堆叠距离≥10KM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实现ERPS功能，能够快速阻断环路，链路收敛时间≤50ms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 实现CPU保护功能，能限制非法报文对CPU的攻击，保护交换机在各种环境下稳定工作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支持SNMP V1/V2/V3、RMON、SSHV2；支持端口休眠，关闭没有应用的端口，节省能源</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0E67A0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7E3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0C814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227D0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5口以太网交换机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62312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E7ECE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非网管型交换机，交换容量10Gbps，包转发率7.4Mpps；5个10/100/1000Mbps 自适应电口；桌面式塑壳小端口交换机</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D24D0F0">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0BA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6DB84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783AA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8口以太网交换机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5518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8E779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非网管型交换机，交换容量16Gbps，包转发率11.9Mpps；8个10/100/1000Mbps 自适应电口；桌面式塑壳小端口交换机</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071B3C6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DB3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63B0B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DA681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汇聚交换机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56E7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251CB9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非网管型交换机，交换容量32Gbps，包转发率23.8Mpps；16个10/100/1000Mbps 自适应电口；桌面式铁壳大端口交换机；支持标准交换、端口隔离、汇聚上联、网络克隆四种模式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切换</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63ED1CA">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4FA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2420187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大屏显示控制系统 </w:t>
            </w:r>
          </w:p>
        </w:tc>
      </w:tr>
      <w:tr w14:paraId="0100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B688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9FD7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液晶拼接屏</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5DD40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9块</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3041B1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55英寸#3.5mm拼缝#普亮液晶拼接屏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直下式LED背光源，亮度均匀。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物理分辨率高达1920 × 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全高清显示，画面细腻，色彩丰富。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高清晰度、高亮度、高色域。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视角可达178°，趋近于水平。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显示面积大、体积小、重量轻。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超窄边设计。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运行稳定，可24小时持续工作。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支持壁挂、落地、吊装等多种安装方式。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多种拼接方式，能适应各种使用场所。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采用金属外壳，防辐射、防磁场、防强电场干扰。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实时检测设备温度，过温自保护，防止面板灼烧。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LCD显示单元为：55“超窄边液晶屏；单元物理拼缝≤3.5mm，物理分辨率达到1920×1080，对比度达到1000：1。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LCD显示单元响应时间≤8ms，显示色彩达到16.7M，亮度达到500cd/㎡，图像显示清晰度达到1000TVL。</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63B6F48">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69C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3026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14C14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电视墙安装支架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0EE0A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9套</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451B0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定制冷轧板 ，SPCC 优质冷轧钢板； 厚度：方孔条 2.0mm、其它 1.2mm;表面处理:脱脂、酸洗、磷化、静电喷塑</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7E321EE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CD9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7D6DF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56BCA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电视墙安装底座</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C46D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3套</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581AB9B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定制冷轧板 ，SPCC 优质冷轧钢板；</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9B1FE3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137B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D8A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64601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解码器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CAAC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54A42C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支持网络IPC、NVR等设备类型作为网络信号源输入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支持HDMI 1.4视频信号输出，支持4K分辨率（3840 × 2160@30 Hz）超高清输出；支持对接LED显示系统，视频输出最大的LED带载能力为单口260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支持两种音频输出方式：HDMI内嵌音频和外置音频输出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视频编解码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采用H.264/H.265编码标准，默认采用H.265，支持子码流及主码流编码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支持网络设备解码，支持H.264、H.265、Smart264、Smart265、MJPEG等主流码流格式，支持PS、TS、ES、RTP等主流封装格式，支持子码流及主码流切换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最大支持3200w分辨率解码，具有192个解码通道，支持96路200W，或192路720P视频同时解码上墙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支持加密码流、多轨码流、智能码流解码；支持码流修改和切换；支持解码异常提示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电视墙功能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支持RTP\RTSP协议进行网络源预览，可通过smartwall客户端进行桌面投屏上墙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支持电视墙界面对网络信号源云台八个方向、自动扫描、光圈、调焦、聚焦、调用预置点等操作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支持电视墙窗口开始/停止预览、开始/停止解码、开始/停止轮巡、打开/关闭声音、置顶、置底等操作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★每个输出口支持任意开窗、漫游；任意1路信号显示画面可进行任意漫游、缩放；可在单屏或多屏的任意位置上叠加显示，图层最大不少于64层。</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★支持1、2、4、6、8、9、10、12、16、25、36、64画面分割显示，支持M×N≤64的任意分割。</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p>
          <w:p w14:paraId="6695D3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★支持不通过IP网络，通过红外遥控器实现解码图像切换、场景切换、屏幕亮度调节。</w:t>
            </w:r>
            <w:r>
              <w:rPr>
                <w:rFonts w:hint="eastAsia" w:ascii="宋体" w:hAnsi="宋体" w:eastAsia="宋体" w:cs="宋体"/>
                <w:b/>
                <w:bCs/>
                <w:i w:val="0"/>
                <w:iCs w:val="0"/>
                <w:color w:val="000000"/>
                <w:kern w:val="0"/>
                <w:sz w:val="21"/>
                <w:szCs w:val="21"/>
                <w:u w:val="none"/>
                <w:lang w:val="en-US" w:eastAsia="zh-CN" w:bidi="ar"/>
              </w:rPr>
              <w:t xml:space="preserve">（投标文件中需要提供检测机构出具的检测报告扫描件或复印件并加盖投标人公章以示证明。）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D44088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457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403EA715">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UPS 供电系统</w:t>
            </w:r>
          </w:p>
        </w:tc>
      </w:tr>
      <w:tr w14:paraId="093E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277476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7D253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一体化机柜及相关配件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315BA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6A0E6B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单进单出纯在线双变换式产品，主机功率为10KVA/9W，塔式标机。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主机可承受90V~300V极宽输入电压，及40~70Hz输入频率范围。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整流器采用IGBT，具有PFC功能，输入功率因数&gt;0.99（100%非线性负载），输入谐波电流＜6%（100%非线性负载）。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输出额定电压（Vac）：208/220/230/240VAC，50/60Hz，广泛适应各种电压频率制式设备；输出电压波形失真度：&lt;2%(线性负载)，&lt;6%(非线性负载)。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切换时间：市电模式和电池模式相互转换：0ms，逆变模式和旁路模式相互转换时间：≤1ms，逆变模式和ECO模式相互转换时间：0ms。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整机效率：≥95%（市电模式）。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过载能力：105%~125%额定负载1分钟， 126%~150%额定负载10秒，&gt;150%额定负载0.5秒。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通信功能：标配RS232、以太网卡，选配USB、MODBUS；并可选配SNMP卡，支持远程智能监控，提供手机APP、网页、PC监控台多途径，实现一对一/一对多/多对一全面监控。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蓄电池标称电压：192VDC（内置16节12V7.2AH蓄电池）。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10、包括以下保护和报警功能：输入交流电源断电报警，主电路过流保护，浪涌电流抑止保护，限流、过载的快速保护，过压、欠压保护，熔丝熔断显示和报警，故障报警和信号指示等。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11、系统采用输出可变式充电器。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w:t>
            </w:r>
            <w:r>
              <w:rPr>
                <w:rFonts w:hint="eastAsia" w:ascii="宋体" w:hAnsi="宋体" w:eastAsia="宋体" w:cs="宋体"/>
                <w:b/>
                <w:bCs/>
                <w:i w:val="0"/>
                <w:iCs w:val="0"/>
                <w:color w:val="000000"/>
                <w:kern w:val="0"/>
                <w:sz w:val="21"/>
                <w:szCs w:val="21"/>
                <w:highlight w:val="none"/>
                <w:u w:val="none"/>
                <w:lang w:val="en-US" w:eastAsia="zh-CN" w:bidi="ar"/>
              </w:rPr>
              <w:t>★投标文件中需要提供检测机构出具的产品抗震检测报告，产品检测报告扫描件或复印件并加盖投标人公章以示证明。</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2679142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0A2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68036A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7ACCC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一体化机柜相关部件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2E5C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E6A370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安装方式：框架焊接式，前后插板，四层结构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材料类型：冷轧钢板（SPCC）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板材厚度：左壁0.7mm，右壁0.7mm，顶盖0.6mm。层板：30*30角铁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其他板厚：立柱为角铁型材增加加强筋结构，柜体为整体受力结构</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65495A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F26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EAF0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F65E3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阀控铅酸电池</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3B7B3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16节</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809946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1、蓄电池外观无变形、漏液、裂纹及污迹，正负极性及端子有明显标志，便于连接。蓄电池连接条保护罩为阻燃材料。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2、蓄电池采用6个2V单体电池组成，正极板为二氧化铅、负极板为铅、隔板为AGM、电解质为硫酸且为贫液式，电池铅板应采用1#电解铅。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3、蓄电池阻燃具有阻燃性，应符合GB/T2408-1996第8.3.2FH-I（水平级）和第9.3.2FV-0(垂直级）要求。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4、蓄电池在25℃满容量状态下，静置28天后其蓄电池容量保存率≥97%。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5、蓄电池在大电流放电后，极柱不应熔断，其外观不出现异常，充电过程中遇明火，内部不引燃、不引爆。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6、蓄电池应具有自动开启和自动关闭功能，开、闭阀压力范围应5-30kpa。正常浮充过程中无酸味溢出，均充状态下溢酸量＜0.025mg/Ah。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7、蓄电池在-30°C--65°C的范围内封口剂应无裂纹与溢流现象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8、电池在大电流放电后电池恢复能力在10h内应达到额定容量的95%以上，过度放电后，其容量恢复值应在85%以上。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9、蓄电池容量上偏差应不超过标称值的5%。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10、为提高蓄电池使用的安全性，要求蓄电池应具有防渗透、防短路性能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11、蓄电池在最高100mm处跌落后，槽体不应有破损及漏液。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12、蓄电池壳体应具有电击危险、不允许明火或火花、佩戴眼镜保护措施、遵守使用说明书、环境保护和循环利用符号、十字路口废物箱等警告符号，以更好的提醒蓄电池安装人员，减少安装失误。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13、蓄电池正负极端子的极性符号（＋－）凹的或凸的模制在临近的端子的盖子上，符号的尺寸不得小于5mm。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w:t>
            </w:r>
            <w:r>
              <w:rPr>
                <w:rFonts w:hint="eastAsia" w:ascii="宋体" w:hAnsi="宋体" w:eastAsia="宋体" w:cs="宋体"/>
                <w:b/>
                <w:bCs/>
                <w:i w:val="0"/>
                <w:iCs w:val="0"/>
                <w:color w:val="000000"/>
                <w:kern w:val="0"/>
                <w:sz w:val="21"/>
                <w:szCs w:val="21"/>
                <w:u w:val="none"/>
                <w:lang w:val="en-US" w:eastAsia="zh-CN" w:bidi="ar"/>
              </w:rPr>
              <w:t>以上要求投标文件中需要提供数据来源（第三方检测报告复印件加盖公章，检测报告具备可供查询二维码）</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w:t>
            </w:r>
            <w:r>
              <w:rPr>
                <w:rFonts w:hint="eastAsia" w:ascii="宋体" w:hAnsi="宋体" w:eastAsia="宋体" w:cs="宋体"/>
                <w:b/>
                <w:bCs/>
                <w:i w:val="0"/>
                <w:iCs w:val="0"/>
                <w:color w:val="000000"/>
                <w:kern w:val="0"/>
                <w:sz w:val="21"/>
                <w:szCs w:val="21"/>
                <w:u w:val="none"/>
                <w:lang w:val="en-US" w:eastAsia="zh-CN" w:bidi="ar"/>
              </w:rPr>
              <w:t xml:space="preserve">★蓄电池应通过抗震检测，其抗震等级应不低于九级，并提供检测报告扫描件或复印件并加盖投标人公章以示证明。   </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16、为保障售后服务可靠性，蓄电池、UPS需同一生产厂家</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B81926F">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C43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3D1C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D8EF7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一体化机柜相关部件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E737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40F5CD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适配100AH/16节电池箱用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套装内物料：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1、连接线缆：规格: ZR-BVR-10方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数量：长度1200mm*1根,450mm*17根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2、绝缘帽：数量：34  颜色：红/黑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3、铜鼻子：规格：OT-8，已压接  数量（套）：32</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17CE96B3">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557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0002" w:type="dxa"/>
            <w:gridSpan w:val="5"/>
            <w:tcBorders>
              <w:top w:val="single" w:color="auto" w:sz="4" w:space="0"/>
              <w:left w:val="single" w:color="auto" w:sz="4" w:space="0"/>
              <w:bottom w:val="single" w:color="auto" w:sz="4" w:space="0"/>
              <w:right w:val="single" w:color="000000" w:sz="4" w:space="0"/>
            </w:tcBorders>
            <w:noWrap w:val="0"/>
            <w:vAlign w:val="center"/>
          </w:tcPr>
          <w:p w14:paraId="297E158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监控中心其他设施 </w:t>
            </w:r>
          </w:p>
        </w:tc>
      </w:tr>
      <w:tr w14:paraId="794A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06F50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E6328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下一代防火墙</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27BE5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1BC5C7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硬件：采用非X86多核架构，1U机架式设备，8个千兆电口+2对Combo口（含1个管理电口）+2个Bypass口，1个Console口，2个USB口，1个硬盘扩展槽位。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性能：七层吞吐量900Mbps，三层吞吐量2.5Gbps；并发连接数100万，每秒新建连接数（HTTP）3万；WAN口带宽支持：流控250M，IPS+流控200M，流控+IPS+AV防病毒180M。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能：支持路由、透明、混合模式部署，支持一键接入阿里云，支持U盘零配置上线，支持基于AI的策略冗余分析、策略命中分析以及应用风险调优等能力，支持资产扫描、加密流量检测、应用审计、数据安全、网页过滤、带宽管理、IPS、AV等应用层安全功能，支持链路负载，支持SSL VPN \IPSEC VPN等多种VPN功能，支持国密算法，支持IPV6协议，支持网页诊断功能等。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配套授权：15个SSL VPN用户授权，链路负载不限制链路数量。</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3D95818B">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220F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3FF39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9B9AC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45E8C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F2D8D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转发性能≥35M，内存≥1GB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端口≥LAN:8*GE WAN：2*GE Combo+2*SFP+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支持IPv4/IPv6；支持静态路由RIPv1/v2、OSPFv2、BGP、IS-IS、路由迭代、路由策略、ECMP；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网关功能：支持语音；支持基于带宽的负载分担与备份、支持基于用户（IP地址）的负载分担与备份；支持URL过滤，网站黑白名单，关键字模糊匹配，支持近千种PC和手机常见应用的识别和控制；支持PORTAL，802.1x等认证；基于域的防火墙；攻击防范；基于角色接入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可靠性：支持MPLS，支持VRRP、VRRPv3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管理：支持U盘/短信开局，手机APP管理和开局；支持WEB；支持外网平台远程集中运维；</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011E2864">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A0A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15CF1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9E212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台式微型计算机</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0A58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B2729D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*CPU：国产；8核：主频2.7GHZ;</w:t>
            </w:r>
          </w:p>
          <w:p w14:paraId="3F82E8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*内存：8GB；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*固态硬盘：1个256G；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*显示器：23.8英寸；</w:t>
            </w:r>
          </w:p>
          <w:p w14:paraId="3BAFC2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*分辨率1920x1080，刷新率75HZ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*显卡：集显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*键鼠：USB有线键鼠 ；</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3DBEAA3E">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7F45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5FCA2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5FB1B3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机柜和配件</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4E99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7FFB9F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42U，网孔门，落地机柜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承重：静态1000KG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前后门材质：前单开网孔门，后双开网孔门，冷轧板 T=1.2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门敞开百分比：前门78%，后门77.2%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侧门材质：冷轧板 T=1.0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门框左右立柱材质：冷轧板T=1.2（框架）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左右支架：冷轧板 T=2.0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横梁：冷轧板 T=1.2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层板：1个，尺寸</w:t>
            </w:r>
            <w:r>
              <w:rPr>
                <w:rFonts w:hint="eastAsia" w:ascii="宋体" w:hAnsi="宋体" w:eastAsia="宋体" w:cs="宋体"/>
                <w:i w:val="0"/>
                <w:iCs w:val="0"/>
                <w:color w:val="000000"/>
                <w:kern w:val="0"/>
                <w:sz w:val="21"/>
                <w:szCs w:val="21"/>
                <w:highlight w:val="none"/>
                <w:u w:val="none"/>
                <w:lang w:val="en-US" w:eastAsia="zh-CN" w:bidi="ar"/>
              </w:rPr>
              <w:t xml:space="preserve">：≥宽470*深650*高4mm，承重≥60KG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L型隔条/支架：1对，尺寸：≥长650*宽38*高38mm，承重≥30KG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PDU：1个，8口PDU，输入10A，带2M线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滚轮：支持，4个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脚撑：支持，4个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风扇：不含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辅件：40套安装螺丝，前/后侧门钥匙各两把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净重：约128KG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尺寸（宽*深*高）：≥600*1000*2000mm</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509329C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6FFB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676A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2FA94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66398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5CB8B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1.空调类型:大1.5匹变频冷暖挂机（制冷量：≥3500W，制热量：≥4500W）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2.电源能效：220V/50HZ。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3.能效≥2级。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4.循环风量:≥600 立方米/小时。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5.室外机防水等级:IPX4</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8037ADD">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57FA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4B9E97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CB7FA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机房装修</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05EE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31E672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机房（35平米）安装改造：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1、铺设静电地板；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2、吊顶改造；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3、安装防盗门；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4、布线；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5、墙体改造等。</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6407CC9C">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r w14:paraId="0183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643" w:type="dxa"/>
            <w:tcBorders>
              <w:top w:val="single" w:color="auto" w:sz="4" w:space="0"/>
              <w:left w:val="single" w:color="auto" w:sz="4" w:space="0"/>
              <w:bottom w:val="single" w:color="auto" w:sz="4" w:space="0"/>
              <w:right w:val="single" w:color="auto" w:sz="4" w:space="0"/>
            </w:tcBorders>
            <w:noWrap w:val="0"/>
            <w:vAlign w:val="center"/>
          </w:tcPr>
          <w:p w14:paraId="2A509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73575B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集成服务</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74706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1项</w:t>
            </w:r>
          </w:p>
        </w:tc>
        <w:tc>
          <w:tcPr>
            <w:tcW w:w="6771" w:type="dxa"/>
            <w:tcBorders>
              <w:top w:val="single" w:color="auto" w:sz="4" w:space="0"/>
              <w:left w:val="single" w:color="auto" w:sz="4" w:space="0"/>
              <w:bottom w:val="single" w:color="auto" w:sz="4" w:space="0"/>
              <w:right w:val="single" w:color="auto" w:sz="4" w:space="0"/>
            </w:tcBorders>
            <w:noWrap w:val="0"/>
            <w:vAlign w:val="center"/>
          </w:tcPr>
          <w:p w14:paraId="0D165D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1、包含项目整体实施、系统调试、线路布放、定期巡检、平台对接等服务内容。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2、项目所涉及的配套辅材及调试服务（包含光纤及收发器、网线、电源线、信号线等）。</w:t>
            </w:r>
          </w:p>
        </w:tc>
        <w:tc>
          <w:tcPr>
            <w:tcW w:w="909" w:type="dxa"/>
            <w:tcBorders>
              <w:top w:val="single" w:color="000000" w:sz="4" w:space="0"/>
              <w:left w:val="single" w:color="auto" w:sz="4" w:space="0"/>
              <w:bottom w:val="single" w:color="000000" w:sz="4" w:space="0"/>
              <w:right w:val="single" w:color="000000" w:sz="4" w:space="0"/>
            </w:tcBorders>
            <w:noWrap w:val="0"/>
            <w:vAlign w:val="center"/>
          </w:tcPr>
          <w:p w14:paraId="486D1FB6">
            <w:pPr>
              <w:keepNext w:val="0"/>
              <w:keepLines w:val="0"/>
              <w:widowControl/>
              <w:suppressLineNumbers w:val="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制造业</w:t>
            </w:r>
          </w:p>
        </w:tc>
      </w:tr>
    </w:tbl>
    <w:p w14:paraId="085B5C13">
      <w:pPr>
        <w:widowControl/>
        <w:adjustRightInd w:val="0"/>
        <w:spacing w:line="500" w:lineRule="exact"/>
        <w:rPr>
          <w:rFonts w:hint="eastAsia"/>
          <w:color w:val="auto"/>
        </w:rPr>
      </w:pPr>
      <w:r>
        <w:rPr>
          <w:rFonts w:hint="eastAsia" w:ascii="宋体" w:hAnsi="宋体"/>
          <w:b/>
          <w:color w:val="auto"/>
          <w:kern w:val="0"/>
          <w:sz w:val="21"/>
          <w:szCs w:val="21"/>
          <w:lang w:eastAsia="zh-CN"/>
        </w:rPr>
        <w:t>四</w:t>
      </w:r>
      <w:r>
        <w:rPr>
          <w:rFonts w:hint="eastAsia" w:ascii="宋体" w:hAnsi="宋体"/>
          <w:b/>
          <w:color w:val="auto"/>
          <w:kern w:val="0"/>
          <w:sz w:val="21"/>
          <w:szCs w:val="21"/>
        </w:rPr>
        <w:t>、需要落实的政府采购政策</w:t>
      </w:r>
      <w:r>
        <w:rPr>
          <w:rFonts w:hint="eastAsia" w:ascii="宋体" w:hAnsi="宋体" w:eastAsia="宋体" w:cs="宋体"/>
          <w:b/>
          <w:color w:val="auto"/>
          <w:kern w:val="0"/>
          <w:sz w:val="21"/>
          <w:szCs w:val="21"/>
        </w:rPr>
        <w:t>(该项为必须项）</w:t>
      </w:r>
    </w:p>
    <w:p w14:paraId="6AF85901">
      <w:pPr>
        <w:numPr>
          <w:ilvl w:val="0"/>
          <w:numId w:val="0"/>
        </w:numPr>
        <w:spacing w:line="500" w:lineRule="exact"/>
        <w:rPr>
          <w:rFonts w:hint="eastAsia" w:ascii="宋体" w:hAnsi="宋体"/>
          <w:b/>
          <w:bCs/>
          <w:color w:val="auto"/>
          <w:sz w:val="21"/>
          <w:szCs w:val="21"/>
        </w:rPr>
      </w:pPr>
      <w:r>
        <w:rPr>
          <w:rFonts w:hint="eastAsia" w:ascii="宋体" w:hAnsi="宋体"/>
          <w:b/>
          <w:bCs/>
          <w:color w:val="auto"/>
          <w:sz w:val="21"/>
          <w:szCs w:val="21"/>
          <w:lang w:eastAsia="zh-CN"/>
        </w:rPr>
        <w:t>（一）</w:t>
      </w:r>
      <w:r>
        <w:rPr>
          <w:rFonts w:hint="eastAsia" w:ascii="宋体" w:hAnsi="宋体"/>
          <w:b/>
          <w:bCs/>
          <w:color w:val="auto"/>
          <w:sz w:val="21"/>
          <w:szCs w:val="21"/>
        </w:rPr>
        <w:t>促进中小企业、监狱企业和残疾人福利性单位发展扶持政策</w:t>
      </w:r>
    </w:p>
    <w:p w14:paraId="5C92397E">
      <w:pPr>
        <w:spacing w:line="500" w:lineRule="exact"/>
        <w:rPr>
          <w:rFonts w:hint="eastAsia" w:ascii="宋体" w:hAnsi="宋体"/>
          <w:bCs/>
          <w:color w:val="auto"/>
          <w:sz w:val="21"/>
          <w:szCs w:val="21"/>
        </w:rPr>
      </w:pPr>
      <w:r>
        <w:rPr>
          <w:rFonts w:hint="eastAsia" w:ascii="宋体" w:hAnsi="宋体"/>
          <w:b/>
          <w:bCs/>
          <w:color w:val="auto"/>
          <w:sz w:val="21"/>
          <w:szCs w:val="21"/>
        </w:rPr>
        <w:t>促进中小企业发展扶持政策</w:t>
      </w:r>
      <w:r>
        <w:rPr>
          <w:rFonts w:hint="eastAsia" w:ascii="宋体" w:hAnsi="宋体"/>
          <w:bCs/>
          <w:color w:val="auto"/>
          <w:sz w:val="21"/>
          <w:szCs w:val="21"/>
        </w:rPr>
        <w:t>：</w:t>
      </w:r>
    </w:p>
    <w:p w14:paraId="24D20F18">
      <w:pPr>
        <w:numPr>
          <w:ilvl w:val="0"/>
          <w:numId w:val="0"/>
        </w:numPr>
        <w:spacing w:line="500" w:lineRule="exact"/>
        <w:ind w:firstLine="420" w:firstLineChars="200"/>
        <w:rPr>
          <w:rFonts w:hint="eastAsia" w:ascii="宋体" w:hAnsi="宋体"/>
          <w:b w:val="0"/>
          <w:bCs/>
          <w:color w:val="auto"/>
          <w:sz w:val="21"/>
          <w:szCs w:val="21"/>
        </w:rPr>
      </w:pPr>
      <w:r>
        <w:rPr>
          <w:rFonts w:hint="eastAsia" w:ascii="宋体" w:hAnsi="宋体"/>
          <w:b w:val="0"/>
          <w:bCs/>
          <w:color w:val="auto"/>
          <w:sz w:val="21"/>
          <w:szCs w:val="21"/>
          <w:lang w:val="en-US" w:eastAsia="zh-CN"/>
        </w:rPr>
        <w:t>1.</w:t>
      </w:r>
      <w:r>
        <w:rPr>
          <w:rFonts w:hint="eastAsia" w:ascii="宋体" w:hAnsi="宋体"/>
          <w:b w:val="0"/>
          <w:bCs/>
          <w:color w:val="auto"/>
          <w:sz w:val="21"/>
          <w:szCs w:val="21"/>
        </w:rPr>
        <w:t>中小企业认定：</w:t>
      </w:r>
    </w:p>
    <w:p w14:paraId="734681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lang w:val="en-US" w:eastAsia="zh-CN"/>
        </w:rPr>
      </w:pPr>
      <w:r>
        <w:rPr>
          <w:rFonts w:hint="eastAsia" w:ascii="宋体" w:hAnsi="宋体"/>
          <w:bCs/>
          <w:color w:val="auto"/>
          <w:sz w:val="21"/>
          <w:szCs w:val="21"/>
          <w:lang w:val="en-US" w:eastAsia="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8BCF00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lang w:val="en-US" w:eastAsia="zh-CN"/>
        </w:rPr>
      </w:pPr>
      <w:r>
        <w:rPr>
          <w:rFonts w:hint="eastAsia" w:ascii="宋体" w:hAnsi="宋体"/>
          <w:bCs/>
          <w:color w:val="auto"/>
          <w:sz w:val="21"/>
          <w:szCs w:val="21"/>
          <w:lang w:val="en-US" w:eastAsia="zh-CN"/>
        </w:rPr>
        <w:t>符合中小企业划分标准的个体工商户，在政府采购活动中视同中小企业。</w:t>
      </w:r>
    </w:p>
    <w:p w14:paraId="745F2F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lang w:val="en-US" w:eastAsia="zh-CN"/>
        </w:rPr>
      </w:pPr>
      <w:r>
        <w:rPr>
          <w:rFonts w:hint="eastAsia" w:ascii="宋体" w:hAnsi="宋体"/>
          <w:bCs/>
          <w:color w:val="auto"/>
          <w:sz w:val="21"/>
          <w:szCs w:val="21"/>
        </w:rPr>
        <w:t>中小企业划分标准见《关于印发中小企业划型标准规定的通知》（工信部联企业〔2011〕300号）</w:t>
      </w:r>
    </w:p>
    <w:p w14:paraId="73D1474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rPr>
      </w:pPr>
      <w:r>
        <w:rPr>
          <w:rFonts w:hint="eastAsia" w:ascii="宋体" w:hAnsi="宋体"/>
          <w:bCs/>
          <w:color w:val="auto"/>
          <w:sz w:val="21"/>
          <w:szCs w:val="21"/>
          <w:lang w:val="en-US" w:eastAsia="zh-CN"/>
        </w:rPr>
        <w:t>（2）</w:t>
      </w:r>
      <w:r>
        <w:rPr>
          <w:rFonts w:hint="eastAsia" w:ascii="宋体" w:hAnsi="宋体"/>
          <w:bCs/>
          <w:color w:val="auto"/>
          <w:sz w:val="21"/>
          <w:szCs w:val="21"/>
        </w:rPr>
        <w:t>在货物采购项目中，货物由中小企业制造，即货物由中小企业生产且使用该中小企业商号或者注册商标</w:t>
      </w:r>
      <w:r>
        <w:rPr>
          <w:rFonts w:hint="eastAsia" w:ascii="宋体" w:hAnsi="宋体"/>
          <w:bCs/>
          <w:color w:val="auto"/>
          <w:sz w:val="21"/>
          <w:szCs w:val="21"/>
          <w:lang w:eastAsia="zh-CN"/>
        </w:rPr>
        <w:t>；投标人</w:t>
      </w:r>
      <w:r>
        <w:rPr>
          <w:rFonts w:hint="eastAsia" w:ascii="宋体" w:hAnsi="宋体"/>
          <w:bCs/>
          <w:color w:val="auto"/>
          <w:sz w:val="21"/>
          <w:szCs w:val="21"/>
        </w:rPr>
        <w:t>提供的货物既有中小企业制造货物，也有大型企业制造货物的，不享受本</w:t>
      </w:r>
      <w:r>
        <w:rPr>
          <w:rFonts w:hint="eastAsia" w:ascii="宋体" w:hAnsi="宋体"/>
          <w:bCs/>
          <w:color w:val="auto"/>
          <w:sz w:val="21"/>
          <w:szCs w:val="21"/>
          <w:lang w:eastAsia="zh-CN"/>
        </w:rPr>
        <w:t>招标文件</w:t>
      </w:r>
      <w:r>
        <w:rPr>
          <w:rFonts w:hint="eastAsia" w:ascii="宋体" w:hAnsi="宋体"/>
          <w:bCs/>
          <w:color w:val="auto"/>
          <w:sz w:val="21"/>
          <w:szCs w:val="21"/>
        </w:rPr>
        <w:t>规定的中小企业扶持政策。</w:t>
      </w:r>
    </w:p>
    <w:p w14:paraId="0653F9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rPr>
      </w:pPr>
      <w:r>
        <w:rPr>
          <w:rFonts w:hint="eastAsia" w:ascii="宋体" w:hAnsi="宋体"/>
          <w:bCs/>
          <w:color w:val="auto"/>
          <w:sz w:val="21"/>
          <w:szCs w:val="21"/>
        </w:rPr>
        <w:t>以联合体形式参加政府采购活动，联合体各方均为中小企业的，联合体视同中小企业。其中，联合体各方均为小微企业的，联合体视同小微企业。</w:t>
      </w:r>
    </w:p>
    <w:p w14:paraId="22442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rPr>
      </w:pPr>
      <w:r>
        <w:rPr>
          <w:rFonts w:hint="eastAsia" w:ascii="宋体" w:hAnsi="宋体"/>
          <w:bCs/>
          <w:color w:val="auto"/>
          <w:sz w:val="21"/>
          <w:szCs w:val="21"/>
          <w:lang w:eastAsia="zh-CN"/>
        </w:rPr>
        <w:t>投标人当按照招标文件规定出具《</w:t>
      </w:r>
      <w:r>
        <w:rPr>
          <w:rFonts w:hint="eastAsia" w:ascii="宋体" w:hAnsi="宋体"/>
          <w:bCs/>
          <w:color w:val="auto"/>
          <w:sz w:val="21"/>
          <w:szCs w:val="21"/>
        </w:rPr>
        <w:t>中小企业声明函</w:t>
      </w:r>
      <w:r>
        <w:rPr>
          <w:rFonts w:hint="eastAsia" w:ascii="宋体" w:hAnsi="宋体"/>
          <w:bCs/>
          <w:color w:val="auto"/>
          <w:sz w:val="21"/>
          <w:szCs w:val="21"/>
          <w:lang w:eastAsia="zh-CN"/>
        </w:rPr>
        <w:t>》，否则不享受相关扶持政策</w:t>
      </w:r>
      <w:r>
        <w:rPr>
          <w:rFonts w:hint="eastAsia" w:ascii="宋体" w:hAnsi="宋体"/>
          <w:bCs/>
          <w:color w:val="auto"/>
          <w:sz w:val="21"/>
          <w:szCs w:val="21"/>
        </w:rPr>
        <w:t>；</w:t>
      </w:r>
    </w:p>
    <w:p w14:paraId="0A89193D">
      <w:pPr>
        <w:spacing w:line="500" w:lineRule="exact"/>
        <w:rPr>
          <w:rFonts w:hint="eastAsia" w:ascii="宋体" w:hAnsi="宋体"/>
          <w:bCs/>
          <w:color w:val="auto"/>
          <w:sz w:val="21"/>
          <w:szCs w:val="21"/>
        </w:rPr>
      </w:pPr>
      <w:r>
        <w:rPr>
          <w:rFonts w:hint="eastAsia" w:ascii="宋体" w:hAnsi="宋体"/>
          <w:bCs/>
          <w:color w:val="auto"/>
          <w:sz w:val="21"/>
          <w:szCs w:val="21"/>
        </w:rPr>
        <w:t>　　</w:t>
      </w:r>
      <w:r>
        <w:rPr>
          <w:rFonts w:hint="eastAsia" w:ascii="宋体" w:hAnsi="宋体"/>
          <w:bCs/>
          <w:color w:val="auto"/>
          <w:sz w:val="21"/>
          <w:szCs w:val="21"/>
          <w:lang w:val="en-US" w:eastAsia="zh-CN"/>
        </w:rPr>
        <w:t>2</w:t>
      </w:r>
      <w:r>
        <w:rPr>
          <w:rFonts w:hint="eastAsia" w:ascii="宋体" w:hAnsi="宋体"/>
          <w:bCs/>
          <w:color w:val="auto"/>
          <w:sz w:val="21"/>
          <w:szCs w:val="21"/>
        </w:rPr>
        <w:t>.根据财库〔2014〕68号《财政部司法部关于政府采购支持监狱企业发展有关问题的通知》，监狱企业视同小微企业。提供由省级以上监狱管理局、戒毒管理局(含新疆生产建设兵团)出具的属于监狱企业的证明文件</w:t>
      </w:r>
      <w:r>
        <w:rPr>
          <w:rFonts w:hint="eastAsia" w:ascii="宋体" w:hAnsi="宋体"/>
          <w:b/>
          <w:bCs/>
          <w:color w:val="auto"/>
          <w:sz w:val="21"/>
          <w:szCs w:val="21"/>
        </w:rPr>
        <w:t>（</w:t>
      </w:r>
      <w:r>
        <w:rPr>
          <w:rFonts w:hint="eastAsia" w:ascii="宋体" w:hAnsi="宋体"/>
          <w:b/>
          <w:bCs/>
          <w:color w:val="auto"/>
          <w:kern w:val="0"/>
          <w:sz w:val="21"/>
          <w:szCs w:val="21"/>
        </w:rPr>
        <w:t>投标文件中附扫描件</w:t>
      </w:r>
      <w:r>
        <w:rPr>
          <w:rFonts w:hint="eastAsia" w:ascii="宋体" w:hAnsi="宋体"/>
          <w:b/>
          <w:bCs/>
          <w:color w:val="auto"/>
          <w:kern w:val="0"/>
          <w:sz w:val="21"/>
          <w:szCs w:val="21"/>
          <w:lang w:eastAsia="zh-CN"/>
        </w:rPr>
        <w:t>或复印件</w:t>
      </w:r>
      <w:r>
        <w:rPr>
          <w:rFonts w:hint="eastAsia" w:ascii="宋体" w:hAnsi="宋体"/>
          <w:b/>
          <w:bCs/>
          <w:color w:val="auto"/>
          <w:sz w:val="21"/>
          <w:szCs w:val="21"/>
        </w:rPr>
        <w:t>）</w:t>
      </w:r>
      <w:r>
        <w:rPr>
          <w:rFonts w:hint="eastAsia" w:ascii="宋体" w:hAnsi="宋体"/>
          <w:bCs/>
          <w:color w:val="auto"/>
          <w:sz w:val="21"/>
          <w:szCs w:val="21"/>
        </w:rPr>
        <w:t>，不再提供《中小企业声明函》，投标人出具的监狱企业证明文件如有虚假，其成交资格将被取消，并根据相关规定进行处罚。</w:t>
      </w:r>
    </w:p>
    <w:p w14:paraId="6EFF7DA2">
      <w:pPr>
        <w:spacing w:line="500" w:lineRule="exact"/>
        <w:ind w:firstLine="420" w:firstLineChars="200"/>
        <w:rPr>
          <w:rFonts w:hint="eastAsia" w:ascii="宋体" w:hAnsi="宋体"/>
          <w:bCs/>
          <w:color w:val="auto"/>
          <w:sz w:val="21"/>
          <w:szCs w:val="21"/>
        </w:rPr>
      </w:pPr>
      <w:r>
        <w:rPr>
          <w:rFonts w:hint="eastAsia" w:ascii="宋体" w:hAnsi="宋体"/>
          <w:bCs/>
          <w:color w:val="auto"/>
          <w:sz w:val="21"/>
          <w:szCs w:val="21"/>
          <w:lang w:val="en-US" w:eastAsia="zh-CN"/>
        </w:rPr>
        <w:t>3</w:t>
      </w:r>
      <w:r>
        <w:rPr>
          <w:rFonts w:hint="eastAsia" w:ascii="宋体" w:hAnsi="宋体"/>
          <w:bCs/>
          <w:color w:val="auto"/>
          <w:sz w:val="21"/>
          <w:szCs w:val="21"/>
        </w:rPr>
        <w:t>.根据财库〔2017〕141号《三部门联合发布关于促进残疾人就业政府采购政策的通知》残疾人福利性单位视同小型、微型企业，残疾人福利性单位在参加政府采购活动时提供《残疾人福利性单位声明函》，不再提供《中小企业声明函》，投标人在《残疾人福利性单位声明函》中的承诺如有虚假，其成交资格将被取消，并根据相关规定进行处罚。</w:t>
      </w:r>
    </w:p>
    <w:p w14:paraId="25DF3F5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b/>
          <w:bCs w:val="0"/>
          <w:color w:val="auto"/>
          <w:sz w:val="21"/>
          <w:szCs w:val="21"/>
          <w:shd w:val="clear" w:color="auto" w:fill="FFFF00"/>
          <w:lang w:eastAsia="zh-CN"/>
        </w:rPr>
      </w:pPr>
      <w:r>
        <w:rPr>
          <w:rFonts w:hint="eastAsia" w:ascii="宋体" w:hAnsi="宋体" w:eastAsia="宋体"/>
          <w:b/>
          <w:bCs w:val="0"/>
          <w:color w:val="auto"/>
          <w:sz w:val="21"/>
          <w:szCs w:val="21"/>
        </w:rPr>
        <w:t>投标人同时为小型、微型企业、监狱企业、残疾人福利性单位任两种或以上情况的，评审中只享受一次价格扣除，不重复进行价格扣除。</w:t>
      </w:r>
    </w:p>
    <w:p w14:paraId="0B1C81E2">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color w:val="auto"/>
          <w:lang w:eastAsia="zh-CN"/>
        </w:rPr>
      </w:pPr>
      <w:r>
        <w:rPr>
          <w:rFonts w:hint="eastAsia" w:ascii="宋体" w:hAnsi="宋体" w:eastAsia="宋体"/>
          <w:b/>
          <w:bCs w:val="0"/>
          <w:color w:val="auto"/>
          <w:sz w:val="21"/>
          <w:szCs w:val="21"/>
          <w:lang w:eastAsia="zh-CN"/>
        </w:rPr>
        <w:t>评标委员会根据投标人提供的《</w:t>
      </w:r>
      <w:r>
        <w:rPr>
          <w:rFonts w:hint="eastAsia" w:ascii="宋体" w:hAnsi="宋体" w:eastAsia="宋体"/>
          <w:b/>
          <w:bCs w:val="0"/>
          <w:color w:val="auto"/>
          <w:sz w:val="21"/>
          <w:szCs w:val="21"/>
        </w:rPr>
        <w:t>中小企业声明函</w:t>
      </w:r>
      <w:r>
        <w:rPr>
          <w:rFonts w:hint="eastAsia" w:ascii="宋体" w:hAnsi="宋体" w:eastAsia="宋体"/>
          <w:b/>
          <w:bCs w:val="0"/>
          <w:color w:val="auto"/>
          <w:sz w:val="21"/>
          <w:szCs w:val="21"/>
          <w:lang w:eastAsia="zh-CN"/>
        </w:rPr>
        <w:t>》认定该投标人是否属于</w:t>
      </w:r>
      <w:r>
        <w:rPr>
          <w:rFonts w:hint="eastAsia" w:ascii="宋体" w:hAnsi="宋体" w:eastAsia="宋体"/>
          <w:b/>
          <w:bCs w:val="0"/>
          <w:color w:val="auto"/>
          <w:sz w:val="21"/>
          <w:szCs w:val="21"/>
        </w:rPr>
        <w:t>小型或微型企业</w:t>
      </w:r>
      <w:r>
        <w:rPr>
          <w:rFonts w:hint="eastAsia" w:ascii="宋体" w:hAnsi="宋体" w:eastAsia="宋体"/>
          <w:b/>
          <w:bCs w:val="0"/>
          <w:color w:val="auto"/>
          <w:sz w:val="21"/>
          <w:szCs w:val="21"/>
          <w:lang w:eastAsia="zh-CN"/>
        </w:rPr>
        <w:t>，被认定为</w:t>
      </w:r>
      <w:r>
        <w:rPr>
          <w:rFonts w:hint="eastAsia" w:ascii="宋体" w:hAnsi="宋体" w:eastAsia="宋体"/>
          <w:b/>
          <w:bCs w:val="0"/>
          <w:color w:val="auto"/>
          <w:sz w:val="21"/>
          <w:szCs w:val="21"/>
        </w:rPr>
        <w:t>小型或微型企业</w:t>
      </w:r>
      <w:r>
        <w:rPr>
          <w:rFonts w:hint="eastAsia" w:ascii="宋体" w:hAnsi="宋体" w:eastAsia="宋体"/>
          <w:b/>
          <w:bCs w:val="0"/>
          <w:color w:val="auto"/>
          <w:sz w:val="21"/>
          <w:szCs w:val="21"/>
          <w:lang w:eastAsia="zh-CN"/>
        </w:rPr>
        <w:t>的方可</w:t>
      </w:r>
      <w:r>
        <w:rPr>
          <w:rFonts w:hint="eastAsia" w:ascii="宋体" w:hAnsi="宋体" w:eastAsia="宋体"/>
          <w:b/>
          <w:bCs w:val="0"/>
          <w:color w:val="auto"/>
          <w:sz w:val="21"/>
          <w:szCs w:val="21"/>
        </w:rPr>
        <w:t>享受价格优惠。</w:t>
      </w:r>
    </w:p>
    <w:p w14:paraId="69E395D0">
      <w:pPr>
        <w:numPr>
          <w:ilvl w:val="0"/>
          <w:numId w:val="0"/>
        </w:numPr>
        <w:spacing w:line="500" w:lineRule="exact"/>
        <w:ind w:leftChars="200"/>
        <w:rPr>
          <w:rFonts w:hint="eastAsia" w:ascii="宋体" w:hAnsi="宋体"/>
          <w:b/>
          <w:bCs/>
          <w:color w:val="auto"/>
          <w:sz w:val="21"/>
          <w:szCs w:val="21"/>
        </w:rPr>
      </w:pPr>
      <w:r>
        <w:rPr>
          <w:rFonts w:hint="eastAsia" w:ascii="宋体" w:hAnsi="宋体"/>
          <w:b/>
          <w:bCs/>
          <w:color w:val="auto"/>
          <w:sz w:val="21"/>
          <w:szCs w:val="21"/>
          <w:lang w:eastAsia="zh-CN"/>
        </w:rPr>
        <w:t>（二）</w:t>
      </w:r>
      <w:r>
        <w:rPr>
          <w:rFonts w:hint="eastAsia" w:ascii="宋体" w:hAnsi="宋体"/>
          <w:b/>
          <w:bCs/>
          <w:color w:val="auto"/>
          <w:sz w:val="21"/>
          <w:szCs w:val="21"/>
        </w:rPr>
        <w:t>节能产品、环境标志产品</w:t>
      </w:r>
    </w:p>
    <w:p w14:paraId="481784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bCs/>
          <w:color w:val="auto"/>
          <w:sz w:val="21"/>
          <w:szCs w:val="21"/>
        </w:rPr>
      </w:pPr>
      <w:r>
        <w:rPr>
          <w:rFonts w:hint="eastAsia" w:ascii="宋体" w:hAnsi="宋体"/>
          <w:bCs/>
          <w:color w:val="auto"/>
          <w:sz w:val="21"/>
          <w:szCs w:val="21"/>
        </w:rPr>
        <w:t>根据《财政部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属于政府优先采购产品类别的，须按照要求提供依据国家确定的认证机构出具的、处于有效期之内的节能产品或环境标志产品认证证书</w:t>
      </w:r>
      <w:r>
        <w:rPr>
          <w:rFonts w:hint="eastAsia" w:ascii="宋体" w:hAnsi="宋体"/>
          <w:b/>
          <w:bCs/>
          <w:color w:val="auto"/>
          <w:sz w:val="21"/>
          <w:szCs w:val="21"/>
        </w:rPr>
        <w:t>（</w:t>
      </w:r>
      <w:r>
        <w:rPr>
          <w:rFonts w:hint="eastAsia" w:ascii="宋体" w:hAnsi="宋体"/>
          <w:b/>
          <w:bCs/>
          <w:color w:val="auto"/>
          <w:kern w:val="0"/>
          <w:sz w:val="21"/>
          <w:szCs w:val="21"/>
        </w:rPr>
        <w:t>投标文件中附扫描件</w:t>
      </w:r>
      <w:r>
        <w:rPr>
          <w:rFonts w:hint="eastAsia" w:ascii="宋体" w:hAnsi="宋体"/>
          <w:b/>
          <w:bCs/>
          <w:color w:val="auto"/>
          <w:kern w:val="0"/>
          <w:sz w:val="21"/>
          <w:szCs w:val="21"/>
          <w:lang w:eastAsia="zh-CN"/>
        </w:rPr>
        <w:t>或复印件</w:t>
      </w:r>
      <w:r>
        <w:rPr>
          <w:rFonts w:hint="eastAsia" w:ascii="宋体" w:hAnsi="宋体"/>
          <w:b/>
          <w:bCs/>
          <w:color w:val="auto"/>
          <w:sz w:val="21"/>
          <w:szCs w:val="21"/>
        </w:rPr>
        <w:t>）</w:t>
      </w:r>
      <w:r>
        <w:rPr>
          <w:rFonts w:hint="eastAsia" w:ascii="宋体" w:hAnsi="宋体"/>
          <w:bCs/>
          <w:color w:val="auto"/>
          <w:sz w:val="21"/>
          <w:szCs w:val="21"/>
        </w:rPr>
        <w:t>，否则不予认定。</w:t>
      </w:r>
    </w:p>
    <w:p w14:paraId="3F893277">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0"/>
    <w:multiLevelType w:val="multilevel"/>
    <w:tmpl w:val="0000003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decimal"/>
      <w:suff w:val="nothing"/>
      <w:lvlText w:val="%3."/>
      <w:lvlJc w:val="left"/>
      <w:pPr>
        <w:ind w:left="0" w:firstLine="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C623B"/>
    <w:rsid w:val="5FF8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before="240" w:beforeLines="0" w:after="60" w:afterLines="0"/>
      <w:jc w:val="center"/>
      <w:outlineLvl w:val="0"/>
    </w:pPr>
    <w:rPr>
      <w:rFonts w:ascii="Arial" w:hAnsi="Arial" w:eastAsia="宋体" w:cs="Arial"/>
      <w:b/>
      <w:bCs/>
      <w:sz w:val="32"/>
      <w:szCs w:val="32"/>
    </w:rPr>
  </w:style>
  <w:style w:type="paragraph" w:customStyle="1" w:styleId="5">
    <w:name w:val="列出段落1"/>
    <w:basedOn w:val="1"/>
    <w:qFormat/>
    <w:uiPriority w:val="0"/>
    <w:pPr>
      <w:ind w:firstLine="420" w:firstLineChars="200"/>
    </w:pPr>
    <w:rPr>
      <w:rFonts w:ascii="Times New Roman" w:hAnsi="Times New Roman" w:eastAsia="宋体" w:cs="Times New Roman"/>
    </w:rPr>
  </w:style>
  <w:style w:type="character" w:customStyle="1" w:styleId="6">
    <w:name w:val="font1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7787</Words>
  <Characters>8947</Characters>
  <Lines>0</Lines>
  <Paragraphs>0</Paragraphs>
  <TotalTime>0</TotalTime>
  <ScaleCrop>false</ScaleCrop>
  <LinksUpToDate>false</LinksUpToDate>
  <CharactersWithSpaces>9117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2025-07-11T04:12:00Z</dcterms:created>
  <dc:creator>Administrator</dc:creator>
  <cp:lastModifiedBy>Administrator</cp:lastModifiedBy>
  <dcterms:modified xsi:type="dcterms:W3CDTF">2025-07-23T07:29:07Z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eyJoZGlkIjoiNGY1YmM0ZjQwMmQzMmZiZjIzOWRiMTBkOWY2MTQzODgiLCJ1c2VySWQiOiIyNDg4NTUwNTUifQ==</vt:lpwstr>
  </property>
  <property fmtid="{D5CDD505-2E9C-101B-9397-08002B2CF9AE}" pid="4" name="ICV">
    <vt:lpwstr>2C97A4F2506E4601A2BEE6D67D06D458_12</vt:lpwstr>
  </property>
</Properties>
</file>