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79576">
      <w:pPr>
        <w:pStyle w:val="2"/>
        <w:spacing w:line="480" w:lineRule="exact"/>
        <w:ind w:right="-72" w:rightChars="-30"/>
        <w:jc w:val="center"/>
        <w:rPr>
          <w:rFonts w:hint="eastAsia" w:ascii="宋体" w:hAnsi="宋体" w:cs="宋体"/>
          <w:color w:val="auto"/>
        </w:rPr>
      </w:pPr>
      <w:bookmarkStart w:id="0" w:name="_Toc477166579"/>
      <w:bookmarkStart w:id="1" w:name="_Toc458698253"/>
      <w:bookmarkStart w:id="2" w:name="_Toc6429"/>
      <w:r>
        <w:rPr>
          <w:rFonts w:hint="eastAsia" w:ascii="宋体" w:hAnsi="宋体" w:cs="宋体"/>
          <w:color w:val="auto"/>
        </w:rPr>
        <w:t>第四章 采购需求</w:t>
      </w:r>
      <w:bookmarkEnd w:id="0"/>
      <w:bookmarkEnd w:id="1"/>
      <w:bookmarkEnd w:id="2"/>
    </w:p>
    <w:p w14:paraId="5C3440D9">
      <w:pPr>
        <w:widowControl/>
        <w:adjustRightInd w:val="0"/>
        <w:spacing w:line="360" w:lineRule="auto"/>
        <w:rPr>
          <w:rFonts w:ascii="宋体" w:hAnsi="宋体"/>
          <w:b/>
          <w:color w:val="auto"/>
          <w:kern w:val="0"/>
          <w:sz w:val="21"/>
          <w:szCs w:val="21"/>
        </w:rPr>
      </w:pPr>
      <w:r>
        <w:rPr>
          <w:rFonts w:hint="eastAsia" w:ascii="宋体" w:hAnsi="宋体"/>
          <w:b/>
          <w:color w:val="auto"/>
          <w:kern w:val="0"/>
          <w:sz w:val="21"/>
          <w:szCs w:val="21"/>
        </w:rPr>
        <w:t>一、</w:t>
      </w:r>
      <w:r>
        <w:rPr>
          <w:rFonts w:ascii="宋体" w:hAnsi="宋体"/>
          <w:b/>
          <w:color w:val="auto"/>
          <w:kern w:val="0"/>
          <w:sz w:val="21"/>
          <w:szCs w:val="21"/>
        </w:rPr>
        <w:t>相关说明</w:t>
      </w:r>
    </w:p>
    <w:p w14:paraId="4149513B">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hint="eastAsia" w:ascii="宋体" w:hAnsi="宋体"/>
          <w:color w:val="auto"/>
          <w:kern w:val="0"/>
          <w:sz w:val="21"/>
          <w:szCs w:val="21"/>
        </w:rPr>
        <w:t>本次采购内容如果要求的某些技术标准低于国家标准，均以最新的国家标准为准。招标技术要求中未明确的技术标准也均不得低于国家标准；</w:t>
      </w:r>
    </w:p>
    <w:p w14:paraId="6DB29FB4">
      <w:pPr>
        <w:widowControl/>
        <w:numPr>
          <w:ilvl w:val="2"/>
          <w:numId w:val="1"/>
        </w:numPr>
        <w:adjustRightInd w:val="0"/>
        <w:spacing w:line="360" w:lineRule="auto"/>
        <w:ind w:firstLine="420" w:firstLineChars="200"/>
        <w:jc w:val="left"/>
        <w:rPr>
          <w:rFonts w:hint="eastAsia" w:ascii="宋体" w:hAnsi="宋体"/>
          <w:color w:val="auto"/>
          <w:kern w:val="0"/>
          <w:sz w:val="21"/>
          <w:szCs w:val="21"/>
        </w:rPr>
      </w:pPr>
      <w:r>
        <w:rPr>
          <w:rFonts w:ascii="宋体" w:hAnsi="宋体"/>
          <w:color w:val="auto"/>
          <w:kern w:val="0"/>
          <w:sz w:val="21"/>
          <w:szCs w:val="21"/>
        </w:rPr>
        <w:t>本采购项目为交钥匙项目，</w:t>
      </w:r>
      <w:r>
        <w:rPr>
          <w:rFonts w:hint="eastAsia" w:ascii="宋体" w:hAnsi="宋体"/>
          <w:color w:val="auto"/>
          <w:kern w:val="0"/>
          <w:sz w:val="21"/>
          <w:szCs w:val="21"/>
        </w:rPr>
        <w:t>验收合格前</w:t>
      </w:r>
      <w:r>
        <w:rPr>
          <w:rFonts w:ascii="宋体" w:hAnsi="宋体"/>
          <w:color w:val="auto"/>
          <w:kern w:val="0"/>
          <w:sz w:val="21"/>
          <w:szCs w:val="21"/>
        </w:rPr>
        <w:t>所需的一切费用</w:t>
      </w:r>
      <w:r>
        <w:rPr>
          <w:rFonts w:hint="eastAsia" w:ascii="宋体" w:hAnsi="宋体"/>
          <w:color w:val="auto"/>
          <w:kern w:val="0"/>
          <w:sz w:val="21"/>
          <w:szCs w:val="21"/>
        </w:rPr>
        <w:t>均</w:t>
      </w:r>
      <w:r>
        <w:rPr>
          <w:rFonts w:ascii="宋体" w:hAnsi="宋体"/>
          <w:color w:val="auto"/>
          <w:kern w:val="0"/>
          <w:sz w:val="21"/>
          <w:szCs w:val="21"/>
        </w:rPr>
        <w:t>包含在报价之中，采购人不</w:t>
      </w:r>
      <w:r>
        <w:rPr>
          <w:rFonts w:hint="eastAsia" w:ascii="宋体" w:hAnsi="宋体"/>
          <w:color w:val="auto"/>
          <w:kern w:val="0"/>
          <w:sz w:val="21"/>
          <w:szCs w:val="21"/>
        </w:rPr>
        <w:t>承担成交价格以外的</w:t>
      </w:r>
      <w:r>
        <w:rPr>
          <w:rFonts w:ascii="宋体" w:hAnsi="宋体"/>
          <w:color w:val="auto"/>
          <w:kern w:val="0"/>
          <w:sz w:val="21"/>
          <w:szCs w:val="21"/>
        </w:rPr>
        <w:t>任何费用。</w:t>
      </w:r>
    </w:p>
    <w:p w14:paraId="29DE3D62">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 xml:space="preserve">二、商务要求： </w:t>
      </w:r>
    </w:p>
    <w:p w14:paraId="43C86A5C">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1.</w:t>
      </w:r>
      <w:r>
        <w:rPr>
          <w:rFonts w:hint="eastAsia" w:ascii="宋体" w:hAnsi="宋体"/>
          <w:color w:val="auto"/>
          <w:sz w:val="21"/>
          <w:szCs w:val="21"/>
        </w:rPr>
        <w:t>合同履行期限：</w:t>
      </w:r>
      <w:r>
        <w:rPr>
          <w:rFonts w:hint="eastAsia"/>
          <w:color w:val="auto"/>
          <w:sz w:val="21"/>
          <w:szCs w:val="21"/>
          <w:lang w:val="en-US" w:eastAsia="zh-CN"/>
        </w:rPr>
        <w:t>4</w:t>
      </w:r>
      <w:r>
        <w:rPr>
          <w:rFonts w:hint="eastAsia" w:ascii="宋体" w:hAnsi="宋体"/>
          <w:color w:val="auto"/>
          <w:sz w:val="21"/>
          <w:szCs w:val="21"/>
        </w:rPr>
        <w:t>0 日历天。</w:t>
      </w:r>
    </w:p>
    <w:p w14:paraId="63D07AB1">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2.</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color w:val="auto"/>
          <w:sz w:val="21"/>
          <w:szCs w:val="21"/>
          <w:lang w:eastAsia="zh-CN"/>
        </w:rPr>
        <w:t>武陟县</w:t>
      </w:r>
      <w:r>
        <w:rPr>
          <w:rFonts w:hint="eastAsia"/>
          <w:color w:val="auto"/>
          <w:sz w:val="21"/>
          <w:szCs w:val="21"/>
          <w:lang w:val="en-US" w:eastAsia="zh-CN"/>
        </w:rPr>
        <w:t>境内</w:t>
      </w:r>
    </w:p>
    <w:p w14:paraId="7BACA19E">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3.</w:t>
      </w:r>
      <w:r>
        <w:rPr>
          <w:rFonts w:hint="eastAsia" w:ascii="宋体" w:hAnsi="宋体"/>
          <w:color w:val="auto"/>
          <w:sz w:val="21"/>
          <w:szCs w:val="21"/>
        </w:rPr>
        <w:t>质量标准：合格，符合国家和行业相关规范、标准及采购人实际需求。</w:t>
      </w:r>
    </w:p>
    <w:p w14:paraId="202E4FF4">
      <w:pPr>
        <w:numPr>
          <w:ilvl w:val="2"/>
          <w:numId w:val="0"/>
        </w:numPr>
        <w:spacing w:line="360" w:lineRule="auto"/>
        <w:ind w:left="0" w:leftChars="0" w:firstLine="420" w:firstLineChars="200"/>
        <w:rPr>
          <w:rFonts w:hint="eastAsia"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4.</w:t>
      </w:r>
      <w:r>
        <w:rPr>
          <w:rFonts w:hint="eastAsia" w:ascii="宋体" w:hAnsi="宋体"/>
          <w:color w:val="auto"/>
          <w:sz w:val="21"/>
          <w:szCs w:val="21"/>
        </w:rPr>
        <w:t>质量保证期：</w:t>
      </w:r>
      <w:r>
        <w:rPr>
          <w:rFonts w:hint="eastAsia" w:ascii="宋体" w:hAnsi="宋体"/>
          <w:color w:val="auto"/>
          <w:sz w:val="21"/>
          <w:szCs w:val="21"/>
          <w:lang w:val="en-US" w:eastAsia="zh-CN"/>
        </w:rPr>
        <w:t>自验收合格之日起无偿维保三年。</w:t>
      </w:r>
    </w:p>
    <w:p w14:paraId="549176AF">
      <w:pPr>
        <w:numPr>
          <w:ilvl w:val="2"/>
          <w:numId w:val="0"/>
        </w:numPr>
        <w:spacing w:line="360" w:lineRule="auto"/>
        <w:ind w:left="0" w:leftChars="0" w:firstLine="420" w:firstLineChars="200"/>
        <w:rPr>
          <w:rFonts w:hint="eastAsia" w:ascii="宋体" w:hAnsi="宋体"/>
          <w:color w:val="auto"/>
          <w:sz w:val="21"/>
          <w:szCs w:val="21"/>
        </w:rPr>
      </w:pPr>
      <w:r>
        <w:rPr>
          <w:rFonts w:hint="default" w:ascii="宋体" w:hAnsi="宋体" w:eastAsia="宋体" w:cs="宋体"/>
          <w:color w:val="auto"/>
          <w:kern w:val="2"/>
          <w:sz w:val="21"/>
          <w:szCs w:val="21"/>
          <w:lang w:val="en-US" w:eastAsia="zh-CN" w:bidi="ar-SA"/>
        </w:rPr>
        <w:t>5.</w:t>
      </w:r>
      <w:r>
        <w:rPr>
          <w:rFonts w:hint="eastAsia" w:ascii="宋体" w:hAnsi="宋体"/>
          <w:color w:val="auto"/>
          <w:sz w:val="21"/>
          <w:szCs w:val="21"/>
        </w:rPr>
        <w:t>付款方式：项目完工后付合同总价的80%,验收合格后，付清剩余全部款项。</w:t>
      </w:r>
    </w:p>
    <w:p w14:paraId="67CF4981">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lang w:eastAsia="zh-CN"/>
        </w:rPr>
        <w:t>三</w:t>
      </w:r>
      <w:r>
        <w:rPr>
          <w:rFonts w:hint="eastAsia" w:ascii="宋体" w:hAnsi="宋体"/>
          <w:b/>
          <w:color w:val="auto"/>
          <w:kern w:val="0"/>
          <w:sz w:val="21"/>
          <w:szCs w:val="21"/>
        </w:rPr>
        <w:t>、采购内容及技术要求</w:t>
      </w:r>
    </w:p>
    <w:tbl>
      <w:tblPr>
        <w:tblStyle w:val="4"/>
        <w:tblW w:w="9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239"/>
        <w:gridCol w:w="4973"/>
        <w:gridCol w:w="1263"/>
        <w:gridCol w:w="1226"/>
      </w:tblGrid>
      <w:tr w14:paraId="4FCC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center"/>
          </w:tcPr>
          <w:p w14:paraId="3968400A">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b/>
                <w:bCs/>
                <w:sz w:val="24"/>
                <w:szCs w:val="24"/>
                <w:vertAlign w:val="baseline"/>
                <w:lang w:val="en-US" w:eastAsia="zh-CN"/>
              </w:rPr>
            </w:pPr>
            <w:r>
              <w:rPr>
                <w:rFonts w:hint="eastAsia"/>
                <w:b/>
                <w:bCs/>
                <w:sz w:val="24"/>
                <w:szCs w:val="24"/>
                <w:vertAlign w:val="baseline"/>
                <w:lang w:val="en-US" w:eastAsia="zh-CN"/>
              </w:rPr>
              <w:t>序号</w:t>
            </w:r>
          </w:p>
        </w:tc>
        <w:tc>
          <w:tcPr>
            <w:tcW w:w="1239" w:type="dxa"/>
            <w:noWrap w:val="0"/>
            <w:vAlign w:val="center"/>
          </w:tcPr>
          <w:p w14:paraId="16EA44A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eastAsia="宋体"/>
                <w:b/>
                <w:bCs/>
                <w:sz w:val="24"/>
                <w:szCs w:val="24"/>
                <w:vertAlign w:val="baseline"/>
                <w:lang w:val="en-US" w:eastAsia="zh-CN"/>
              </w:rPr>
            </w:pPr>
            <w:r>
              <w:rPr>
                <w:rFonts w:hint="eastAsia" w:ascii="宋体" w:hAnsi="宋体" w:cs="宋体"/>
                <w:b/>
                <w:bCs/>
                <w:color w:val="auto"/>
                <w:kern w:val="0"/>
                <w:szCs w:val="21"/>
              </w:rPr>
              <w:t>标的名称</w:t>
            </w:r>
          </w:p>
        </w:tc>
        <w:tc>
          <w:tcPr>
            <w:tcW w:w="4973" w:type="dxa"/>
            <w:noWrap w:val="0"/>
            <w:vAlign w:val="center"/>
          </w:tcPr>
          <w:p w14:paraId="47C4E4E4">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宋体" w:hAnsi="宋体" w:eastAsia="宋体" w:cs="宋体"/>
                <w:b/>
                <w:bCs/>
                <w:color w:val="auto"/>
                <w:kern w:val="0"/>
                <w:szCs w:val="21"/>
                <w:lang w:val="en-US" w:eastAsia="zh-CN"/>
              </w:rPr>
            </w:pPr>
            <w:r>
              <w:rPr>
                <w:rFonts w:hint="eastAsia" w:ascii="宋体" w:hAnsi="宋体" w:eastAsia="宋体" w:cs="宋体"/>
                <w:b/>
                <w:bCs/>
                <w:color w:val="auto"/>
                <w:kern w:val="0"/>
                <w:szCs w:val="21"/>
              </w:rPr>
              <w:t>服务内容</w:t>
            </w:r>
          </w:p>
        </w:tc>
        <w:tc>
          <w:tcPr>
            <w:tcW w:w="1263" w:type="dxa"/>
            <w:noWrap w:val="0"/>
            <w:vAlign w:val="center"/>
          </w:tcPr>
          <w:p w14:paraId="0AA4F56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数量/单位</w:t>
            </w:r>
          </w:p>
        </w:tc>
        <w:tc>
          <w:tcPr>
            <w:tcW w:w="1226" w:type="dxa"/>
            <w:noWrap w:val="0"/>
            <w:vAlign w:val="center"/>
          </w:tcPr>
          <w:p w14:paraId="144E61E3">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ascii="宋体" w:hAnsi="宋体" w:eastAsia="宋体" w:cs="宋体"/>
                <w:b/>
                <w:bCs/>
                <w:color w:val="auto"/>
                <w:kern w:val="0"/>
                <w:szCs w:val="21"/>
                <w:lang w:val="en-US" w:eastAsia="zh-CN"/>
              </w:rPr>
            </w:pPr>
            <w:r>
              <w:rPr>
                <w:rFonts w:hint="eastAsia" w:ascii="宋体" w:hAnsi="宋体" w:eastAsia="宋体" w:cs="宋体"/>
                <w:b/>
                <w:bCs/>
                <w:color w:val="auto"/>
                <w:kern w:val="0"/>
                <w:szCs w:val="21"/>
                <w:lang w:val="en-US" w:eastAsia="zh-CN"/>
              </w:rPr>
              <w:t>所属行业</w:t>
            </w:r>
          </w:p>
        </w:tc>
      </w:tr>
      <w:tr w14:paraId="0249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71E1F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1</w:t>
            </w:r>
          </w:p>
        </w:tc>
        <w:tc>
          <w:tcPr>
            <w:tcW w:w="1239" w:type="dxa"/>
            <w:noWrap w:val="0"/>
            <w:vAlign w:val="top"/>
          </w:tcPr>
          <w:p w14:paraId="7E5BFACB">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矛盾纠纷化解系统</w:t>
            </w:r>
          </w:p>
        </w:tc>
        <w:tc>
          <w:tcPr>
            <w:tcW w:w="4973" w:type="dxa"/>
            <w:noWrap w:val="0"/>
            <w:vAlign w:val="top"/>
          </w:tcPr>
          <w:p w14:paraId="76122E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vertAlign w:val="baseline"/>
                <w:lang w:val="en-US" w:eastAsia="zh-CN"/>
              </w:rPr>
            </w:pPr>
            <w:r>
              <w:rPr>
                <w:rFonts w:hint="eastAsia"/>
                <w:sz w:val="24"/>
                <w:szCs w:val="24"/>
                <w:highlight w:val="none"/>
                <w:vertAlign w:val="baseline"/>
              </w:rPr>
              <w:t>以新时代“枫桥经验”为指导，通过整合政法机关、行政部门及社会调解资源，打造“一站式受理、一揽子调处、全链条解决”的基层社会治理平台</w:t>
            </w:r>
            <w:r>
              <w:rPr>
                <w:rFonts w:hint="eastAsia"/>
                <w:sz w:val="24"/>
                <w:szCs w:val="24"/>
                <w:highlight w:val="none"/>
                <w:vertAlign w:val="baseline"/>
                <w:lang w:val="en-US" w:eastAsia="zh-CN"/>
              </w:rPr>
              <w:t>；功能包含组织管理、基础配置、对接服务、信息收集、信息审核、研判交办、领导批示、签收、退回、反馈、办结申请审核、延期申请审核、文档预览、归档台账、信息报送统计、案件统计等项功能。</w:t>
            </w:r>
          </w:p>
          <w:p w14:paraId="54689F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highlight w:val="none"/>
                <w:vertAlign w:val="baseline"/>
                <w:lang w:val="en-US" w:eastAsia="zh-CN"/>
              </w:rPr>
            </w:pPr>
            <w:r>
              <w:rPr>
                <w:rFonts w:hint="eastAsia"/>
                <w:b/>
                <w:bCs/>
                <w:sz w:val="24"/>
                <w:szCs w:val="24"/>
                <w:highlight w:val="none"/>
                <w:vertAlign w:val="baseline"/>
                <w:lang w:val="en-US" w:eastAsia="zh-CN"/>
              </w:rPr>
              <w:t>*需根据项目采购需求，绘制和提供矛盾纠纷化解流程设计图</w:t>
            </w:r>
          </w:p>
        </w:tc>
        <w:tc>
          <w:tcPr>
            <w:tcW w:w="1263" w:type="dxa"/>
            <w:noWrap w:val="0"/>
            <w:vAlign w:val="top"/>
          </w:tcPr>
          <w:p w14:paraId="4E0D6B1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3165735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02B2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023D1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2</w:t>
            </w:r>
          </w:p>
        </w:tc>
        <w:tc>
          <w:tcPr>
            <w:tcW w:w="1239" w:type="dxa"/>
            <w:noWrap w:val="0"/>
            <w:vAlign w:val="top"/>
          </w:tcPr>
          <w:p w14:paraId="0ADB9033">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督查督办系统</w:t>
            </w:r>
          </w:p>
        </w:tc>
        <w:tc>
          <w:tcPr>
            <w:tcW w:w="4973" w:type="dxa"/>
            <w:noWrap w:val="0"/>
            <w:vAlign w:val="top"/>
          </w:tcPr>
          <w:p w14:paraId="24E84B7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highlight w:val="none"/>
                <w:vertAlign w:val="baseline"/>
                <w:lang w:val="en-US" w:eastAsia="zh-CN"/>
              </w:rPr>
            </w:pPr>
            <w:r>
              <w:rPr>
                <w:rFonts w:hint="eastAsia"/>
                <w:sz w:val="24"/>
                <w:szCs w:val="24"/>
                <w:highlight w:val="none"/>
                <w:vertAlign w:val="baseline"/>
                <w:lang w:val="en-US" w:eastAsia="zh-CN"/>
              </w:rPr>
              <w:t>通过数字化手段构建全流程闭环管理机制，实现矛盾纠纷化解任务的精准分派、动态跟踪与效能评估。该模块以智能预警和协同调度为核心，实现事件催办、督办、亮灯、督查通报、领导批示、再交办、智能预警、自动提醒、三级响应等项功能。</w:t>
            </w:r>
          </w:p>
        </w:tc>
        <w:tc>
          <w:tcPr>
            <w:tcW w:w="1263" w:type="dxa"/>
            <w:noWrap w:val="0"/>
            <w:vAlign w:val="top"/>
          </w:tcPr>
          <w:p w14:paraId="71F7EF5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598840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7ABB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AFC96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3</w:t>
            </w:r>
          </w:p>
        </w:tc>
        <w:tc>
          <w:tcPr>
            <w:tcW w:w="1239" w:type="dxa"/>
            <w:noWrap w:val="0"/>
            <w:vAlign w:val="top"/>
          </w:tcPr>
          <w:p w14:paraId="25550F83">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重点人员管控系统</w:t>
            </w:r>
          </w:p>
        </w:tc>
        <w:tc>
          <w:tcPr>
            <w:tcW w:w="4973" w:type="dxa"/>
            <w:noWrap w:val="0"/>
            <w:vAlign w:val="top"/>
          </w:tcPr>
          <w:p w14:paraId="416C520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rPr>
              <w:t>通过智能化手段实现对特殊人群的动态管控与精准服务，构建</w:t>
            </w:r>
            <w:r>
              <w:rPr>
                <w:rFonts w:hint="eastAsia"/>
                <w:sz w:val="24"/>
                <w:szCs w:val="24"/>
                <w:vertAlign w:val="baseline"/>
                <w:lang w:eastAsia="zh-CN"/>
              </w:rPr>
              <w:t>“</w:t>
            </w:r>
            <w:r>
              <w:rPr>
                <w:rFonts w:hint="eastAsia"/>
                <w:sz w:val="24"/>
                <w:szCs w:val="24"/>
                <w:vertAlign w:val="baseline"/>
              </w:rPr>
              <w:t>数据画像-风险评估-分级干预-效果反馈</w:t>
            </w:r>
            <w:r>
              <w:rPr>
                <w:rFonts w:hint="eastAsia"/>
                <w:sz w:val="24"/>
                <w:szCs w:val="24"/>
                <w:vertAlign w:val="baseline"/>
                <w:lang w:eastAsia="zh-CN"/>
              </w:rPr>
              <w:t>”</w:t>
            </w:r>
            <w:r>
              <w:rPr>
                <w:rFonts w:hint="eastAsia"/>
                <w:sz w:val="24"/>
                <w:szCs w:val="24"/>
                <w:vertAlign w:val="baseline"/>
              </w:rPr>
              <w:t>的全周期管理体系</w:t>
            </w:r>
            <w:r>
              <w:rPr>
                <w:rFonts w:hint="eastAsia"/>
                <w:sz w:val="24"/>
                <w:szCs w:val="24"/>
                <w:vertAlign w:val="baseline"/>
                <w:lang w:val="en-US" w:eastAsia="zh-CN"/>
              </w:rPr>
              <w:t>；具体功能包含</w:t>
            </w:r>
            <w:r>
              <w:rPr>
                <w:rFonts w:hint="eastAsia"/>
                <w:sz w:val="24"/>
                <w:szCs w:val="24"/>
                <w:vertAlign w:val="baseline"/>
              </w:rPr>
              <w:t>重点人群信息维护、巡查记录、联防联控响应、转入登记审核、重点人群信息查询、转出登记审核、智能联动预警、重点人群可视化展示分析</w:t>
            </w:r>
            <w:r>
              <w:rPr>
                <w:rFonts w:hint="eastAsia"/>
                <w:sz w:val="24"/>
                <w:szCs w:val="24"/>
                <w:vertAlign w:val="baseline"/>
                <w:lang w:val="en-US" w:eastAsia="zh-CN"/>
              </w:rPr>
              <w:t>等项功能。</w:t>
            </w:r>
          </w:p>
        </w:tc>
        <w:tc>
          <w:tcPr>
            <w:tcW w:w="1263" w:type="dxa"/>
            <w:noWrap w:val="0"/>
            <w:vAlign w:val="top"/>
          </w:tcPr>
          <w:p w14:paraId="234079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b/>
                <w:bCs/>
                <w:sz w:val="24"/>
                <w:szCs w:val="24"/>
                <w:highlight w:val="none"/>
                <w:vertAlign w:val="baseline"/>
                <w:lang w:val="en-US" w:eastAsia="zh-CN"/>
              </w:rPr>
              <w:t>1套</w:t>
            </w:r>
          </w:p>
        </w:tc>
        <w:tc>
          <w:tcPr>
            <w:tcW w:w="1226" w:type="dxa"/>
            <w:noWrap w:val="0"/>
            <w:vAlign w:val="top"/>
          </w:tcPr>
          <w:p w14:paraId="4FC5C2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6A57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7B473D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4</w:t>
            </w:r>
          </w:p>
        </w:tc>
        <w:tc>
          <w:tcPr>
            <w:tcW w:w="1239" w:type="dxa"/>
            <w:noWrap w:val="0"/>
            <w:vAlign w:val="top"/>
          </w:tcPr>
          <w:p w14:paraId="01B99949">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网格</w:t>
            </w:r>
            <w:r>
              <w:rPr>
                <w:rFonts w:hint="eastAsia"/>
                <w:sz w:val="24"/>
                <w:szCs w:val="24"/>
                <w:lang w:val="en-US" w:eastAsia="zh-CN"/>
              </w:rPr>
              <w:t>化</w:t>
            </w:r>
            <w:r>
              <w:rPr>
                <w:rFonts w:hint="eastAsia"/>
                <w:sz w:val="24"/>
                <w:szCs w:val="24"/>
              </w:rPr>
              <w:t>管理系统</w:t>
            </w:r>
          </w:p>
        </w:tc>
        <w:tc>
          <w:tcPr>
            <w:tcW w:w="4973" w:type="dxa"/>
            <w:noWrap w:val="0"/>
            <w:vAlign w:val="top"/>
          </w:tcPr>
          <w:p w14:paraId="6CEB30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vertAlign w:val="baseline"/>
                <w:lang w:val="en-US" w:eastAsia="zh-CN"/>
              </w:rPr>
            </w:pPr>
            <w:r>
              <w:rPr>
                <w:rFonts w:hint="eastAsia"/>
                <w:sz w:val="24"/>
                <w:szCs w:val="24"/>
                <w:highlight w:val="none"/>
                <w:vertAlign w:val="baseline"/>
                <w:lang w:val="en-US" w:eastAsia="zh-CN"/>
              </w:rPr>
              <w:t>通过数字化手段重构基层治理单元，将人、地、事、物等要素精准落图入格，形成“全域覆盖、责任到人、联动处置”的精细化治理网络。具体功能包含：网格划分与管理、网格员管理、网格地图、上级交办、专项巡查、网格任务、网格员考核、巡查记录、巡查轨迹、可视化展示分析数据看板等项功能。</w:t>
            </w:r>
          </w:p>
          <w:p w14:paraId="50C57B5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highlight w:val="none"/>
                <w:vertAlign w:val="baseline"/>
                <w:lang w:val="en-US" w:eastAsia="zh-CN"/>
              </w:rPr>
            </w:pPr>
            <w:r>
              <w:rPr>
                <w:rFonts w:hint="eastAsia"/>
                <w:b/>
                <w:bCs/>
                <w:sz w:val="24"/>
                <w:szCs w:val="24"/>
                <w:highlight w:val="none"/>
                <w:vertAlign w:val="baseline"/>
                <w:lang w:val="en-US" w:eastAsia="zh-CN"/>
              </w:rPr>
              <w:t>*需根据项目采购需求，绘制我县矛盾调解网格化管理分布图。</w:t>
            </w:r>
          </w:p>
        </w:tc>
        <w:tc>
          <w:tcPr>
            <w:tcW w:w="1263" w:type="dxa"/>
            <w:noWrap w:val="0"/>
            <w:vAlign w:val="top"/>
          </w:tcPr>
          <w:p w14:paraId="1EFA6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6C2112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2646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B33DA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5</w:t>
            </w:r>
          </w:p>
        </w:tc>
        <w:tc>
          <w:tcPr>
            <w:tcW w:w="1239" w:type="dxa"/>
            <w:noWrap w:val="0"/>
            <w:vAlign w:val="top"/>
          </w:tcPr>
          <w:p w14:paraId="79B671A7">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便民服务系统</w:t>
            </w:r>
          </w:p>
        </w:tc>
        <w:tc>
          <w:tcPr>
            <w:tcW w:w="4973" w:type="dxa"/>
            <w:noWrap w:val="0"/>
            <w:vAlign w:val="top"/>
          </w:tcPr>
          <w:p w14:paraId="721AC81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充分利用矛调中心和网格化队伍，通过线上线下融合的服务模式，打通群众办事“最后一公里”，将便民服务窗口延伸至社区网格，构建起“15分钟便民服务圈”；具体功能包含：服务事项配置、数据上报、事件受理、事件办理、帮办代办、单位办理情况统计、乡镇办理情况统计、办理类型统计分析等项功能。</w:t>
            </w:r>
          </w:p>
        </w:tc>
        <w:tc>
          <w:tcPr>
            <w:tcW w:w="1263" w:type="dxa"/>
            <w:noWrap w:val="0"/>
            <w:vAlign w:val="top"/>
          </w:tcPr>
          <w:p w14:paraId="5E0297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710B46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6E69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039659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6</w:t>
            </w:r>
          </w:p>
        </w:tc>
        <w:tc>
          <w:tcPr>
            <w:tcW w:w="1239" w:type="dxa"/>
            <w:noWrap w:val="0"/>
            <w:vAlign w:val="top"/>
          </w:tcPr>
          <w:p w14:paraId="3D6E93EC">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数据决策系统</w:t>
            </w:r>
          </w:p>
        </w:tc>
        <w:tc>
          <w:tcPr>
            <w:tcW w:w="4973" w:type="dxa"/>
            <w:noWrap w:val="0"/>
            <w:vAlign w:val="top"/>
          </w:tcPr>
          <w:p w14:paraId="40E47C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highlight w:val="none"/>
                <w:vertAlign w:val="baseline"/>
                <w:lang w:val="en-US" w:eastAsia="zh-CN"/>
              </w:rPr>
            </w:pPr>
            <w:r>
              <w:rPr>
                <w:rFonts w:hint="eastAsia"/>
                <w:sz w:val="24"/>
                <w:szCs w:val="24"/>
                <w:highlight w:val="none"/>
                <w:vertAlign w:val="baseline"/>
              </w:rPr>
              <w:t>数据决策模块的建设意义在于通过构建全域数据仓库和智能分析引擎，将分散的基层治理数据转化为可视化决策看板，为</w:t>
            </w:r>
            <w:r>
              <w:rPr>
                <w:rFonts w:hint="eastAsia"/>
                <w:sz w:val="24"/>
                <w:szCs w:val="24"/>
                <w:highlight w:val="none"/>
                <w:vertAlign w:val="baseline"/>
                <w:lang w:val="en-US" w:eastAsia="zh-CN"/>
              </w:rPr>
              <w:t>充分结合矛调中心大屏和硬件资源，</w:t>
            </w:r>
            <w:r>
              <w:rPr>
                <w:rFonts w:hint="eastAsia"/>
                <w:sz w:val="24"/>
                <w:szCs w:val="24"/>
                <w:highlight w:val="none"/>
                <w:vertAlign w:val="baseline"/>
              </w:rPr>
              <w:t>依托大数据</w:t>
            </w:r>
            <w:r>
              <w:rPr>
                <w:rFonts w:hint="eastAsia"/>
                <w:sz w:val="24"/>
                <w:szCs w:val="24"/>
                <w:highlight w:val="none"/>
                <w:vertAlign w:val="baseline"/>
                <w:lang w:val="en-US" w:eastAsia="zh-CN"/>
              </w:rPr>
              <w:t>分析</w:t>
            </w:r>
            <w:r>
              <w:rPr>
                <w:rFonts w:hint="eastAsia"/>
                <w:sz w:val="24"/>
                <w:szCs w:val="24"/>
                <w:highlight w:val="none"/>
                <w:vertAlign w:val="baseline"/>
              </w:rPr>
              <w:t>和</w:t>
            </w:r>
            <w:r>
              <w:rPr>
                <w:rFonts w:hint="eastAsia"/>
                <w:sz w:val="24"/>
                <w:szCs w:val="24"/>
                <w:highlight w:val="none"/>
                <w:vertAlign w:val="baseline"/>
                <w:lang w:val="en-US" w:eastAsia="zh-CN"/>
              </w:rPr>
              <w:t>可视化展示技术</w:t>
            </w:r>
            <w:r>
              <w:rPr>
                <w:rFonts w:hint="eastAsia"/>
                <w:sz w:val="24"/>
                <w:szCs w:val="24"/>
                <w:highlight w:val="none"/>
                <w:vertAlign w:val="baseline"/>
              </w:rPr>
              <w:t>，实现</w:t>
            </w:r>
            <w:r>
              <w:rPr>
                <w:rFonts w:hint="eastAsia"/>
                <w:sz w:val="24"/>
                <w:szCs w:val="24"/>
                <w:highlight w:val="none"/>
                <w:vertAlign w:val="baseline"/>
                <w:lang w:val="en-US" w:eastAsia="zh-CN"/>
              </w:rPr>
              <w:t>从</w:t>
            </w:r>
            <w:r>
              <w:rPr>
                <w:rFonts w:hint="eastAsia"/>
                <w:sz w:val="24"/>
                <w:szCs w:val="24"/>
                <w:highlight w:val="none"/>
                <w:vertAlign w:val="baseline"/>
              </w:rPr>
              <w:t>案件</w:t>
            </w:r>
            <w:r>
              <w:rPr>
                <w:rFonts w:hint="eastAsia"/>
                <w:sz w:val="24"/>
                <w:szCs w:val="24"/>
                <w:highlight w:val="none"/>
                <w:vertAlign w:val="baseline"/>
                <w:lang w:val="en-US" w:eastAsia="zh-CN"/>
              </w:rPr>
              <w:t>各个纬度进行分析展示，为领导决策提供数据支撑，包含但不限于时间</w:t>
            </w:r>
            <w:r>
              <w:rPr>
                <w:rFonts w:hint="eastAsia"/>
                <w:sz w:val="24"/>
                <w:szCs w:val="24"/>
                <w:highlight w:val="none"/>
                <w:vertAlign w:val="baseline"/>
              </w:rPr>
              <w:t>、单位、</w:t>
            </w:r>
            <w:r>
              <w:rPr>
                <w:rFonts w:hint="eastAsia"/>
                <w:sz w:val="24"/>
                <w:szCs w:val="24"/>
                <w:highlight w:val="none"/>
                <w:vertAlign w:val="baseline"/>
                <w:lang w:val="en-US" w:eastAsia="zh-CN"/>
              </w:rPr>
              <w:t>类型</w:t>
            </w:r>
            <w:r>
              <w:rPr>
                <w:rFonts w:hint="eastAsia"/>
                <w:sz w:val="24"/>
                <w:szCs w:val="24"/>
                <w:highlight w:val="none"/>
                <w:vertAlign w:val="baseline"/>
              </w:rPr>
              <w:t>、超期、风险等级、状态、来源、交办方式、趋势</w:t>
            </w:r>
            <w:r>
              <w:rPr>
                <w:rFonts w:hint="eastAsia"/>
                <w:sz w:val="24"/>
                <w:szCs w:val="24"/>
                <w:highlight w:val="none"/>
                <w:vertAlign w:val="baseline"/>
                <w:lang w:val="en-US" w:eastAsia="zh-CN"/>
              </w:rPr>
              <w:t>等纬度分析，并包含</w:t>
            </w:r>
            <w:r>
              <w:rPr>
                <w:rFonts w:hint="eastAsia"/>
                <w:sz w:val="24"/>
                <w:szCs w:val="24"/>
                <w:highlight w:val="none"/>
                <w:vertAlign w:val="baseline"/>
              </w:rPr>
              <w:t>线下调解、专调委</w:t>
            </w:r>
            <w:r>
              <w:rPr>
                <w:rFonts w:hint="eastAsia"/>
                <w:sz w:val="24"/>
                <w:szCs w:val="24"/>
                <w:highlight w:val="none"/>
                <w:vertAlign w:val="baseline"/>
                <w:lang w:val="en-US" w:eastAsia="zh-CN"/>
              </w:rPr>
              <w:t>分析</w:t>
            </w:r>
            <w:r>
              <w:rPr>
                <w:rFonts w:hint="eastAsia"/>
                <w:sz w:val="24"/>
                <w:szCs w:val="24"/>
                <w:highlight w:val="none"/>
                <w:vertAlign w:val="baseline"/>
              </w:rPr>
              <w:t>、调解队伍风采</w:t>
            </w:r>
            <w:r>
              <w:rPr>
                <w:rFonts w:hint="eastAsia"/>
                <w:sz w:val="24"/>
                <w:szCs w:val="24"/>
                <w:highlight w:val="none"/>
                <w:vertAlign w:val="baseline"/>
                <w:lang w:val="en-US" w:eastAsia="zh-CN"/>
              </w:rPr>
              <w:t>等项功能。</w:t>
            </w:r>
          </w:p>
        </w:tc>
        <w:tc>
          <w:tcPr>
            <w:tcW w:w="1263" w:type="dxa"/>
            <w:noWrap w:val="0"/>
            <w:vAlign w:val="top"/>
          </w:tcPr>
          <w:p w14:paraId="48295C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7F85BA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46B1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0EBB2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7</w:t>
            </w:r>
          </w:p>
        </w:tc>
        <w:tc>
          <w:tcPr>
            <w:tcW w:w="1239" w:type="dxa"/>
            <w:noWrap w:val="0"/>
            <w:vAlign w:val="top"/>
          </w:tcPr>
          <w:p w14:paraId="0AA4F0EB">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智能分析系统</w:t>
            </w:r>
          </w:p>
        </w:tc>
        <w:tc>
          <w:tcPr>
            <w:tcW w:w="4973" w:type="dxa"/>
            <w:noWrap w:val="0"/>
            <w:vAlign w:val="top"/>
          </w:tcPr>
          <w:p w14:paraId="295FFFD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highlight w:val="none"/>
                <w:vertAlign w:val="baseline"/>
                <w:lang w:val="en-US" w:eastAsia="zh-CN"/>
              </w:rPr>
            </w:pPr>
            <w:r>
              <w:rPr>
                <w:rFonts w:hint="eastAsia"/>
                <w:sz w:val="24"/>
                <w:szCs w:val="24"/>
                <w:highlight w:val="none"/>
                <w:vertAlign w:val="baseline"/>
              </w:rPr>
              <w:t>通过深度学习算法和多源数据融合技术，构建</w:t>
            </w:r>
            <w:r>
              <w:rPr>
                <w:rFonts w:hint="eastAsia"/>
                <w:sz w:val="24"/>
                <w:szCs w:val="24"/>
                <w:highlight w:val="none"/>
                <w:vertAlign w:val="baseline"/>
                <w:lang w:eastAsia="zh-CN"/>
              </w:rPr>
              <w:t>“</w:t>
            </w:r>
            <w:r>
              <w:rPr>
                <w:rFonts w:hint="eastAsia"/>
                <w:sz w:val="24"/>
                <w:szCs w:val="24"/>
                <w:highlight w:val="none"/>
                <w:vertAlign w:val="baseline"/>
              </w:rPr>
              <w:t>监测-分析-预警-处置</w:t>
            </w:r>
            <w:r>
              <w:rPr>
                <w:rFonts w:hint="eastAsia"/>
                <w:sz w:val="24"/>
                <w:szCs w:val="24"/>
                <w:highlight w:val="none"/>
                <w:vertAlign w:val="baseline"/>
                <w:lang w:eastAsia="zh-CN"/>
              </w:rPr>
              <w:t>”</w:t>
            </w:r>
            <w:r>
              <w:rPr>
                <w:rFonts w:hint="eastAsia"/>
                <w:sz w:val="24"/>
                <w:szCs w:val="24"/>
                <w:highlight w:val="none"/>
                <w:vertAlign w:val="baseline"/>
              </w:rPr>
              <w:t>的智能防控体系，实现从被动响应到主动预防的治理模式升级。</w:t>
            </w:r>
            <w:r>
              <w:rPr>
                <w:rFonts w:hint="eastAsia"/>
                <w:sz w:val="24"/>
                <w:szCs w:val="24"/>
                <w:highlight w:val="none"/>
                <w:vertAlign w:val="baseline"/>
                <w:lang w:val="en-US" w:eastAsia="zh-CN"/>
              </w:rPr>
              <w:t>具体功能实现预警模型、调解案例库、法律知识库、平台运行机制展示、昨日情况专报、每周研判专报</w:t>
            </w:r>
          </w:p>
        </w:tc>
        <w:tc>
          <w:tcPr>
            <w:tcW w:w="1263" w:type="dxa"/>
            <w:noWrap w:val="0"/>
            <w:vAlign w:val="top"/>
          </w:tcPr>
          <w:p w14:paraId="3749A2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2B3FE0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40E9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73D31E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8</w:t>
            </w:r>
          </w:p>
        </w:tc>
        <w:tc>
          <w:tcPr>
            <w:tcW w:w="1239" w:type="dxa"/>
            <w:noWrap w:val="0"/>
            <w:vAlign w:val="top"/>
          </w:tcPr>
          <w:p w14:paraId="349B580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移动APP客户端系统</w:t>
            </w:r>
          </w:p>
        </w:tc>
        <w:tc>
          <w:tcPr>
            <w:tcW w:w="4973" w:type="dxa"/>
            <w:noWrap w:val="0"/>
            <w:vAlign w:val="top"/>
          </w:tcPr>
          <w:p w14:paraId="63F328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vertAlign w:val="baseline"/>
              </w:rPr>
            </w:pPr>
            <w:r>
              <w:rPr>
                <w:rFonts w:hint="eastAsia"/>
                <w:sz w:val="24"/>
                <w:szCs w:val="24"/>
                <w:highlight w:val="none"/>
                <w:vertAlign w:val="baseline"/>
              </w:rPr>
              <w:t>通过移动互联网技术将传统线下调解服务延伸至智能终端，打造全天候、跨地域的便民解纷通道，显著提升基层治理的响应效率与服务体验</w:t>
            </w:r>
            <w:r>
              <w:rPr>
                <w:rFonts w:hint="eastAsia"/>
                <w:sz w:val="24"/>
                <w:szCs w:val="24"/>
                <w:highlight w:val="none"/>
                <w:vertAlign w:val="baseline"/>
                <w:lang w:val="en-US" w:eastAsia="zh-CN"/>
              </w:rPr>
              <w:t>；具体包含</w:t>
            </w:r>
            <w:r>
              <w:rPr>
                <w:rFonts w:hint="eastAsia"/>
                <w:sz w:val="24"/>
                <w:szCs w:val="24"/>
                <w:highlight w:val="none"/>
                <w:vertAlign w:val="baseline"/>
              </w:rPr>
              <w:t>走访日志、排查上报、协同办理、矛盾调解、网格服务、便民服务、通知公告、督查督办、调解案例库、法律知识库、统计分析、我的等项功能。</w:t>
            </w:r>
          </w:p>
        </w:tc>
        <w:tc>
          <w:tcPr>
            <w:tcW w:w="1263" w:type="dxa"/>
            <w:noWrap w:val="0"/>
            <w:vAlign w:val="top"/>
          </w:tcPr>
          <w:p w14:paraId="6CE49E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24DFA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6A1A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6E8973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val="en-US" w:eastAsia="zh-CN"/>
              </w:rPr>
            </w:pPr>
            <w:r>
              <w:rPr>
                <w:rFonts w:hint="eastAsia"/>
                <w:sz w:val="24"/>
                <w:szCs w:val="24"/>
                <w:vertAlign w:val="baseline"/>
                <w:lang w:val="en-US" w:eastAsia="zh-CN"/>
              </w:rPr>
              <w:t>9</w:t>
            </w:r>
          </w:p>
        </w:tc>
        <w:tc>
          <w:tcPr>
            <w:tcW w:w="1239" w:type="dxa"/>
            <w:noWrap w:val="0"/>
            <w:vAlign w:val="top"/>
          </w:tcPr>
          <w:p w14:paraId="10751672">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资源整合融通与接口服务系统</w:t>
            </w:r>
          </w:p>
        </w:tc>
        <w:tc>
          <w:tcPr>
            <w:tcW w:w="4973" w:type="dxa"/>
            <w:noWrap w:val="0"/>
            <w:vAlign w:val="top"/>
          </w:tcPr>
          <w:p w14:paraId="441DD7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vertAlign w:val="baseline"/>
              </w:rPr>
              <w:t>提供标准接口，可对接“武来办APP”、12345</w:t>
            </w:r>
            <w:r>
              <w:rPr>
                <w:rFonts w:hint="eastAsia"/>
                <w:sz w:val="24"/>
                <w:szCs w:val="24"/>
                <w:vertAlign w:val="baseline"/>
                <w:lang w:val="en-US" w:eastAsia="zh-CN"/>
              </w:rPr>
              <w:t>热线系统</w:t>
            </w:r>
            <w:r>
              <w:rPr>
                <w:rFonts w:hint="eastAsia"/>
                <w:sz w:val="24"/>
                <w:szCs w:val="24"/>
                <w:vertAlign w:val="baseline"/>
              </w:rPr>
              <w:t>、警务系统、信访管理等系统，同时支持</w:t>
            </w:r>
            <w:r>
              <w:rPr>
                <w:rFonts w:hint="eastAsia"/>
                <w:sz w:val="24"/>
                <w:szCs w:val="24"/>
                <w:vertAlign w:val="baseline"/>
                <w:lang w:val="en-US" w:eastAsia="zh-CN"/>
              </w:rPr>
              <w:t>批量数据导入和</w:t>
            </w:r>
            <w:r>
              <w:rPr>
                <w:rFonts w:hint="eastAsia"/>
                <w:sz w:val="24"/>
                <w:szCs w:val="24"/>
                <w:vertAlign w:val="baseline"/>
              </w:rPr>
              <w:t>人工录入收集到的相关风险隐患与矛盾纠纷信息，包含当事人信息，简要情况说明，问题初步分类以及备注和相关附件信息。对接入系统数据进行数据清洗、归集和治理，实现多源数据接入，一体化业务办理，统一流程管理和</w:t>
            </w:r>
            <w:r>
              <w:rPr>
                <w:rFonts w:hint="eastAsia"/>
                <w:sz w:val="24"/>
                <w:szCs w:val="24"/>
                <w:vertAlign w:val="baseline"/>
                <w:lang w:val="en-US" w:eastAsia="zh-CN"/>
              </w:rPr>
              <w:t>督办</w:t>
            </w:r>
            <w:r>
              <w:rPr>
                <w:rFonts w:hint="eastAsia"/>
                <w:sz w:val="24"/>
                <w:szCs w:val="24"/>
                <w:vertAlign w:val="baseline"/>
              </w:rPr>
              <w:t>考评体系。</w:t>
            </w:r>
          </w:p>
        </w:tc>
        <w:tc>
          <w:tcPr>
            <w:tcW w:w="1263" w:type="dxa"/>
            <w:noWrap w:val="0"/>
            <w:vAlign w:val="top"/>
          </w:tcPr>
          <w:p w14:paraId="344106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b/>
                <w:bCs/>
                <w:sz w:val="24"/>
                <w:szCs w:val="24"/>
                <w:highlight w:val="none"/>
                <w:vertAlign w:val="baseline"/>
                <w:lang w:val="en-US" w:eastAsia="zh-CN"/>
              </w:rPr>
              <w:t>1套</w:t>
            </w:r>
          </w:p>
        </w:tc>
        <w:tc>
          <w:tcPr>
            <w:tcW w:w="1226" w:type="dxa"/>
            <w:noWrap w:val="0"/>
            <w:vAlign w:val="top"/>
          </w:tcPr>
          <w:p w14:paraId="30F4D3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5CEC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31E4380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10</w:t>
            </w:r>
          </w:p>
        </w:tc>
        <w:tc>
          <w:tcPr>
            <w:tcW w:w="1239" w:type="dxa"/>
            <w:noWrap w:val="0"/>
            <w:vAlign w:val="top"/>
          </w:tcPr>
          <w:p w14:paraId="478494BC">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短信预警通知系统</w:t>
            </w:r>
          </w:p>
        </w:tc>
        <w:tc>
          <w:tcPr>
            <w:tcW w:w="4973" w:type="dxa"/>
            <w:noWrap w:val="0"/>
            <w:vAlign w:val="top"/>
          </w:tcPr>
          <w:p w14:paraId="10A9A72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vertAlign w:val="baseline"/>
              </w:rPr>
              <w:t>对接主流短信平台接口，实现短信收发服务。实现用户登录或</w:t>
            </w:r>
            <w:r>
              <w:rPr>
                <w:rFonts w:hint="eastAsia"/>
                <w:sz w:val="24"/>
                <w:szCs w:val="24"/>
                <w:vertAlign w:val="baseline"/>
                <w:lang w:eastAsia="zh-CN"/>
              </w:rPr>
              <w:t>其他</w:t>
            </w:r>
            <w:r>
              <w:rPr>
                <w:rFonts w:hint="eastAsia"/>
                <w:sz w:val="24"/>
                <w:szCs w:val="24"/>
                <w:vertAlign w:val="baseline"/>
              </w:rPr>
              <w:t>身份认证时获取验证码的应用功能。对接智能预警模块功能和流程协同功能，实现新通知、新待办、新预警事务等重要信息的短信提醒功能。实现通讯录管理、短信单发、短信群发、发送记录统计查询</w:t>
            </w:r>
            <w:r>
              <w:rPr>
                <w:rFonts w:hint="eastAsia"/>
                <w:sz w:val="24"/>
                <w:szCs w:val="24"/>
                <w:vertAlign w:val="baseline"/>
                <w:lang w:eastAsia="zh-CN"/>
              </w:rPr>
              <w:t>等</w:t>
            </w:r>
            <w:r>
              <w:rPr>
                <w:rFonts w:hint="eastAsia"/>
                <w:sz w:val="24"/>
                <w:szCs w:val="24"/>
                <w:vertAlign w:val="baseline"/>
              </w:rPr>
              <w:t>短信群发平台功能，方便与平台及单位间的联络和应急通知。</w:t>
            </w:r>
          </w:p>
        </w:tc>
        <w:tc>
          <w:tcPr>
            <w:tcW w:w="1263" w:type="dxa"/>
            <w:noWrap w:val="0"/>
            <w:vAlign w:val="top"/>
          </w:tcPr>
          <w:p w14:paraId="22AEF3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b/>
                <w:bCs/>
                <w:sz w:val="24"/>
                <w:szCs w:val="24"/>
                <w:highlight w:val="none"/>
                <w:vertAlign w:val="baseline"/>
                <w:lang w:val="en-US" w:eastAsia="zh-CN"/>
              </w:rPr>
              <w:t>1套</w:t>
            </w:r>
          </w:p>
        </w:tc>
        <w:tc>
          <w:tcPr>
            <w:tcW w:w="1226" w:type="dxa"/>
            <w:noWrap w:val="0"/>
            <w:vAlign w:val="top"/>
          </w:tcPr>
          <w:p w14:paraId="79604A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5397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6330A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c>
          <w:tcPr>
            <w:tcW w:w="1239" w:type="dxa"/>
            <w:noWrap w:val="0"/>
            <w:vAlign w:val="top"/>
          </w:tcPr>
          <w:p w14:paraId="75DE70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大数据短信服务</w:t>
            </w:r>
          </w:p>
        </w:tc>
        <w:tc>
          <w:tcPr>
            <w:tcW w:w="4973" w:type="dxa"/>
            <w:noWrap w:val="0"/>
            <w:vAlign w:val="top"/>
          </w:tcPr>
          <w:p w14:paraId="090A5D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zh-CN"/>
              </w:rPr>
              <w:t>基于位置及标签等大数据能力精准计算目标用户群体，利用短信发送渠道实现在特定区域、特定时间，对特定目标群体发送特定短信服务。</w:t>
            </w:r>
          </w:p>
        </w:tc>
        <w:tc>
          <w:tcPr>
            <w:tcW w:w="1263" w:type="dxa"/>
            <w:noWrap w:val="0"/>
            <w:vAlign w:val="top"/>
          </w:tcPr>
          <w:p w14:paraId="6FECE0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053948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3E378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1BC2C67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12</w:t>
            </w:r>
          </w:p>
        </w:tc>
        <w:tc>
          <w:tcPr>
            <w:tcW w:w="1239" w:type="dxa"/>
            <w:noWrap w:val="0"/>
            <w:vAlign w:val="top"/>
          </w:tcPr>
          <w:p w14:paraId="2B2637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实施及运维服务</w:t>
            </w:r>
          </w:p>
        </w:tc>
        <w:tc>
          <w:tcPr>
            <w:tcW w:w="4973" w:type="dxa"/>
            <w:noWrap w:val="0"/>
            <w:vAlign w:val="top"/>
          </w:tcPr>
          <w:p w14:paraId="062160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sz w:val="24"/>
                <w:szCs w:val="24"/>
                <w:vertAlign w:val="baseline"/>
                <w:lang w:eastAsia="zh-CN"/>
              </w:rPr>
            </w:pPr>
            <w:r>
              <w:rPr>
                <w:rFonts w:hint="eastAsia"/>
                <w:sz w:val="24"/>
                <w:szCs w:val="24"/>
                <w:highlight w:val="none"/>
                <w:vertAlign w:val="baseline"/>
                <w:lang w:val="en-US" w:eastAsia="zh-CN"/>
              </w:rPr>
              <w:t>包含三年的</w:t>
            </w:r>
            <w:r>
              <w:rPr>
                <w:rFonts w:hint="eastAsia"/>
                <w:sz w:val="24"/>
                <w:szCs w:val="24"/>
                <w:highlight w:val="none"/>
                <w:vertAlign w:val="baseline"/>
              </w:rPr>
              <w:t>系统的部署、上线调试</w:t>
            </w:r>
            <w:r>
              <w:rPr>
                <w:rFonts w:hint="eastAsia"/>
                <w:sz w:val="24"/>
                <w:szCs w:val="24"/>
                <w:highlight w:val="none"/>
                <w:vertAlign w:val="baseline"/>
                <w:lang w:eastAsia="zh-CN"/>
              </w:rPr>
              <w:t>、</w:t>
            </w:r>
            <w:r>
              <w:rPr>
                <w:rFonts w:hint="eastAsia"/>
                <w:sz w:val="24"/>
                <w:szCs w:val="24"/>
                <w:highlight w:val="none"/>
                <w:vertAlign w:val="baseline"/>
              </w:rPr>
              <w:t>培训</w:t>
            </w:r>
            <w:r>
              <w:rPr>
                <w:rFonts w:hint="eastAsia"/>
                <w:sz w:val="24"/>
                <w:szCs w:val="24"/>
                <w:highlight w:val="none"/>
                <w:vertAlign w:val="baseline"/>
                <w:lang w:eastAsia="zh-CN"/>
              </w:rPr>
              <w:t>、</w:t>
            </w:r>
            <w:r>
              <w:rPr>
                <w:rFonts w:hint="eastAsia"/>
                <w:sz w:val="24"/>
                <w:szCs w:val="24"/>
                <w:highlight w:val="none"/>
                <w:vertAlign w:val="baseline"/>
                <w:lang w:val="en-US" w:eastAsia="zh-CN"/>
              </w:rPr>
              <w:t>数据运维、系统运维、文档运维等</w:t>
            </w:r>
            <w:r>
              <w:rPr>
                <w:rFonts w:hint="eastAsia"/>
                <w:sz w:val="24"/>
                <w:szCs w:val="24"/>
                <w:highlight w:val="none"/>
                <w:vertAlign w:val="baseline"/>
              </w:rPr>
              <w:t>服务</w:t>
            </w:r>
            <w:r>
              <w:rPr>
                <w:rFonts w:hint="eastAsia"/>
                <w:sz w:val="24"/>
                <w:szCs w:val="24"/>
                <w:vertAlign w:val="baseline"/>
                <w:lang w:eastAsia="zh-CN"/>
              </w:rPr>
              <w:t>。（</w:t>
            </w:r>
            <w:r>
              <w:rPr>
                <w:rFonts w:hint="eastAsia"/>
                <w:sz w:val="24"/>
                <w:szCs w:val="24"/>
                <w:vertAlign w:val="baseline"/>
                <w:lang w:val="en-US" w:eastAsia="zh-CN"/>
              </w:rPr>
              <w:t>包含配套的微信认证、小程序申请、域名申请、证书申请、APP上架等服务和费用</w:t>
            </w:r>
            <w:r>
              <w:rPr>
                <w:rFonts w:hint="eastAsia"/>
                <w:sz w:val="24"/>
                <w:szCs w:val="24"/>
                <w:vertAlign w:val="baseline"/>
                <w:lang w:eastAsia="zh-CN"/>
              </w:rPr>
              <w:t>）</w:t>
            </w:r>
          </w:p>
        </w:tc>
        <w:tc>
          <w:tcPr>
            <w:tcW w:w="1263" w:type="dxa"/>
            <w:noWrap w:val="0"/>
            <w:vAlign w:val="top"/>
          </w:tcPr>
          <w:p w14:paraId="53BEB7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2E725C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5A01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4EE782D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13</w:t>
            </w:r>
          </w:p>
        </w:tc>
        <w:tc>
          <w:tcPr>
            <w:tcW w:w="1239" w:type="dxa"/>
            <w:noWrap w:val="0"/>
            <w:vAlign w:val="top"/>
          </w:tcPr>
          <w:p w14:paraId="41B3E49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定制化开发服务</w:t>
            </w:r>
          </w:p>
        </w:tc>
        <w:tc>
          <w:tcPr>
            <w:tcW w:w="4973" w:type="dxa"/>
            <w:noWrap w:val="0"/>
            <w:vAlign w:val="top"/>
          </w:tcPr>
          <w:p w14:paraId="448C905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在系统建设期内验收之前，可根据使用单位各部门应用新需求和系统优化调整意见，对系统功能和界面进行二次开发服务（</w:t>
            </w:r>
            <w:r>
              <w:rPr>
                <w:rFonts w:hint="eastAsia"/>
                <w:sz w:val="24"/>
                <w:szCs w:val="24"/>
                <w:highlight w:val="none"/>
                <w:vertAlign w:val="baseline"/>
                <w:lang w:val="en-US" w:eastAsia="zh-CN"/>
              </w:rPr>
              <w:t>包含技术人员驻场开发服务，工作量在500人/天以内</w:t>
            </w:r>
            <w:r>
              <w:rPr>
                <w:rFonts w:hint="eastAsia"/>
                <w:sz w:val="24"/>
                <w:szCs w:val="24"/>
                <w:vertAlign w:val="baseline"/>
                <w:lang w:val="en-US" w:eastAsia="zh-CN"/>
              </w:rPr>
              <w:t>）</w:t>
            </w:r>
          </w:p>
        </w:tc>
        <w:tc>
          <w:tcPr>
            <w:tcW w:w="1263" w:type="dxa"/>
            <w:noWrap w:val="0"/>
            <w:vAlign w:val="top"/>
          </w:tcPr>
          <w:p w14:paraId="23CA20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7DDBC6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r w14:paraId="4CF3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noWrap w:val="0"/>
            <w:vAlign w:val="top"/>
          </w:tcPr>
          <w:p w14:paraId="295E63E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24"/>
                <w:vertAlign w:val="baseline"/>
                <w:lang w:val="en-US" w:eastAsia="zh-CN"/>
              </w:rPr>
            </w:pPr>
            <w:r>
              <w:rPr>
                <w:rFonts w:hint="eastAsia"/>
                <w:sz w:val="24"/>
                <w:szCs w:val="24"/>
                <w:vertAlign w:val="baseline"/>
                <w:lang w:val="en-US" w:eastAsia="zh-CN"/>
              </w:rPr>
              <w:t>14</w:t>
            </w:r>
          </w:p>
        </w:tc>
        <w:tc>
          <w:tcPr>
            <w:tcW w:w="1239" w:type="dxa"/>
            <w:noWrap w:val="0"/>
            <w:vAlign w:val="top"/>
          </w:tcPr>
          <w:p w14:paraId="38E73D99">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vertAlign w:val="baseline"/>
              </w:rPr>
            </w:pPr>
            <w:r>
              <w:rPr>
                <w:rFonts w:hint="eastAsia"/>
                <w:sz w:val="24"/>
                <w:szCs w:val="24"/>
              </w:rPr>
              <w:t>云服务及安全保障系统</w:t>
            </w:r>
          </w:p>
        </w:tc>
        <w:tc>
          <w:tcPr>
            <w:tcW w:w="4973" w:type="dxa"/>
            <w:noWrap w:val="0"/>
            <w:vAlign w:val="top"/>
          </w:tcPr>
          <w:p w14:paraId="09227C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rPr>
            </w:pPr>
            <w:r>
              <w:rPr>
                <w:rFonts w:hint="eastAsia"/>
                <w:sz w:val="24"/>
                <w:szCs w:val="24"/>
                <w:vertAlign w:val="baseline"/>
              </w:rPr>
              <w:t>1、云服务</w:t>
            </w:r>
            <w:r>
              <w:rPr>
                <w:rFonts w:hint="eastAsia"/>
                <w:sz w:val="24"/>
                <w:szCs w:val="24"/>
                <w:vertAlign w:val="baseline"/>
                <w:lang w:val="en-US" w:eastAsia="zh-CN"/>
              </w:rPr>
              <w:t>器，</w:t>
            </w:r>
            <w:r>
              <w:rPr>
                <w:rFonts w:hint="eastAsia"/>
                <w:sz w:val="24"/>
                <w:szCs w:val="24"/>
                <w:vertAlign w:val="baseline"/>
              </w:rPr>
              <w:t>配置：八核/32G/500G/10M/（2台）</w:t>
            </w:r>
          </w:p>
          <w:p w14:paraId="33511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lang w:eastAsia="zh-CN"/>
              </w:rPr>
            </w:pPr>
            <w:r>
              <w:rPr>
                <w:rFonts w:hint="eastAsia"/>
                <w:sz w:val="24"/>
                <w:szCs w:val="24"/>
                <w:vertAlign w:val="baseline"/>
              </w:rPr>
              <w:t>2、云安全服务：云漏洞扫描</w:t>
            </w:r>
            <w:r>
              <w:rPr>
                <w:rFonts w:hint="eastAsia"/>
                <w:sz w:val="24"/>
                <w:szCs w:val="24"/>
                <w:vertAlign w:val="baseline"/>
                <w:lang w:val="en-US" w:eastAsia="zh-CN"/>
              </w:rPr>
              <w:t>与病毒</w:t>
            </w:r>
            <w:r>
              <w:rPr>
                <w:rFonts w:hint="eastAsia"/>
                <w:sz w:val="24"/>
                <w:szCs w:val="24"/>
                <w:vertAlign w:val="baseline"/>
              </w:rPr>
              <w:t>防护</w:t>
            </w:r>
            <w:r>
              <w:rPr>
                <w:rFonts w:hint="eastAsia"/>
                <w:sz w:val="24"/>
                <w:szCs w:val="24"/>
                <w:vertAlign w:val="baseline"/>
                <w:lang w:val="en-US" w:eastAsia="zh-CN"/>
              </w:rPr>
              <w:t>、</w:t>
            </w:r>
            <w:r>
              <w:rPr>
                <w:rFonts w:hint="eastAsia"/>
                <w:sz w:val="24"/>
                <w:szCs w:val="24"/>
                <w:vertAlign w:val="baseline"/>
              </w:rPr>
              <w:t>系统安全防护巡检</w:t>
            </w:r>
            <w:r>
              <w:rPr>
                <w:rFonts w:hint="eastAsia"/>
                <w:sz w:val="24"/>
                <w:szCs w:val="24"/>
                <w:vertAlign w:val="baseline"/>
                <w:lang w:eastAsia="zh-CN"/>
              </w:rPr>
              <w:t>、</w:t>
            </w:r>
            <w:r>
              <w:rPr>
                <w:rFonts w:hint="eastAsia"/>
                <w:sz w:val="24"/>
                <w:szCs w:val="24"/>
                <w:vertAlign w:val="baseline"/>
              </w:rPr>
              <w:t>WAF防护</w:t>
            </w:r>
            <w:r>
              <w:rPr>
                <w:rFonts w:hint="eastAsia"/>
                <w:sz w:val="24"/>
                <w:szCs w:val="24"/>
                <w:vertAlign w:val="baseline"/>
                <w:lang w:eastAsia="zh-CN"/>
              </w:rPr>
              <w:t>。</w:t>
            </w:r>
          </w:p>
          <w:p w14:paraId="339A626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vertAlign w:val="baseline"/>
                <w:lang w:val="en-US" w:eastAsia="zh-CN"/>
              </w:rPr>
            </w:pPr>
            <w:r>
              <w:rPr>
                <w:rFonts w:hint="eastAsia"/>
                <w:sz w:val="24"/>
                <w:szCs w:val="24"/>
                <w:vertAlign w:val="baseline"/>
                <w:lang w:val="en-US" w:eastAsia="zh-CN"/>
              </w:rPr>
              <w:t>3</w:t>
            </w:r>
            <w:r>
              <w:rPr>
                <w:rFonts w:hint="eastAsia"/>
                <w:sz w:val="24"/>
                <w:szCs w:val="24"/>
                <w:vertAlign w:val="baseline"/>
              </w:rPr>
              <w:t>、</w:t>
            </w:r>
            <w:r>
              <w:rPr>
                <w:rFonts w:hint="eastAsia"/>
                <w:sz w:val="24"/>
                <w:szCs w:val="24"/>
                <w:vertAlign w:val="baseline"/>
                <w:lang w:val="en-US" w:eastAsia="zh-CN"/>
              </w:rPr>
              <w:t>云备份服务。</w:t>
            </w:r>
          </w:p>
        </w:tc>
        <w:tc>
          <w:tcPr>
            <w:tcW w:w="1263" w:type="dxa"/>
            <w:noWrap w:val="0"/>
            <w:vAlign w:val="top"/>
          </w:tcPr>
          <w:p w14:paraId="29C592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vertAlign w:val="baseline"/>
                <w:lang w:val="en-US" w:eastAsia="zh-CN"/>
              </w:rPr>
            </w:pPr>
            <w:r>
              <w:rPr>
                <w:rFonts w:hint="eastAsia"/>
                <w:b/>
                <w:bCs/>
                <w:sz w:val="24"/>
                <w:szCs w:val="24"/>
                <w:highlight w:val="none"/>
                <w:vertAlign w:val="baseline"/>
                <w:lang w:val="en-US" w:eastAsia="zh-CN"/>
              </w:rPr>
              <w:t>1套</w:t>
            </w:r>
          </w:p>
        </w:tc>
        <w:tc>
          <w:tcPr>
            <w:tcW w:w="1226" w:type="dxa"/>
            <w:noWrap w:val="0"/>
            <w:vAlign w:val="top"/>
          </w:tcPr>
          <w:p w14:paraId="117DE3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highlight w:val="none"/>
                <w:vertAlign w:val="baseline"/>
                <w:lang w:val="en-US" w:eastAsia="zh-CN"/>
              </w:rPr>
            </w:pPr>
            <w:r>
              <w:rPr>
                <w:rFonts w:hint="eastAsia"/>
                <w:b w:val="0"/>
                <w:bCs w:val="0"/>
                <w:sz w:val="24"/>
                <w:szCs w:val="24"/>
                <w:highlight w:val="none"/>
                <w:vertAlign w:val="baseline"/>
                <w:lang w:val="en-US" w:eastAsia="zh-CN"/>
              </w:rPr>
              <w:t>软件和信息技术服务业</w:t>
            </w:r>
          </w:p>
        </w:tc>
      </w:tr>
    </w:tbl>
    <w:p w14:paraId="5442D604">
      <w:pPr>
        <w:widowControl/>
        <w:adjustRightInd w:val="0"/>
        <w:spacing w:line="500" w:lineRule="exact"/>
        <w:rPr>
          <w:rFonts w:hint="eastAsia"/>
          <w:color w:val="auto"/>
        </w:rPr>
      </w:pPr>
      <w:r>
        <w:rPr>
          <w:rFonts w:hint="eastAsia" w:ascii="宋体" w:hAnsi="宋体"/>
          <w:b/>
          <w:color w:val="auto"/>
          <w:kern w:val="0"/>
          <w:sz w:val="21"/>
          <w:szCs w:val="21"/>
          <w:lang w:eastAsia="zh-CN"/>
        </w:rPr>
        <w:t>四</w:t>
      </w:r>
      <w:r>
        <w:rPr>
          <w:rFonts w:hint="eastAsia" w:ascii="宋体" w:hAnsi="宋体"/>
          <w:b/>
          <w:color w:val="auto"/>
          <w:kern w:val="0"/>
          <w:sz w:val="21"/>
          <w:szCs w:val="21"/>
        </w:rPr>
        <w:t>、需要落实的政府采购政策</w:t>
      </w:r>
    </w:p>
    <w:p w14:paraId="26BBB7A0">
      <w:pPr>
        <w:numPr>
          <w:ilvl w:val="0"/>
          <w:numId w:val="0"/>
        </w:numPr>
        <w:spacing w:line="500" w:lineRule="exact"/>
        <w:rPr>
          <w:rFonts w:hint="eastAsia" w:ascii="宋体" w:hAnsi="宋体"/>
          <w:b/>
          <w:bCs/>
          <w:color w:val="auto"/>
          <w:sz w:val="21"/>
          <w:szCs w:val="21"/>
        </w:rPr>
      </w:pPr>
      <w:r>
        <w:rPr>
          <w:rFonts w:hint="eastAsia" w:ascii="宋体" w:hAnsi="宋体"/>
          <w:b/>
          <w:bCs/>
          <w:color w:val="auto"/>
          <w:sz w:val="21"/>
          <w:szCs w:val="21"/>
          <w:lang w:eastAsia="zh-CN"/>
        </w:rPr>
        <w:t>（一）</w:t>
      </w:r>
      <w:r>
        <w:rPr>
          <w:rFonts w:hint="eastAsia" w:ascii="宋体" w:hAnsi="宋体"/>
          <w:b/>
          <w:bCs/>
          <w:color w:val="auto"/>
          <w:sz w:val="21"/>
          <w:szCs w:val="21"/>
        </w:rPr>
        <w:t>促进中小企业、监狱企业和残疾人福利性单位发展扶持政策</w:t>
      </w:r>
    </w:p>
    <w:p w14:paraId="2D8AE2BC">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14:paraId="5AEB92AC">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14:paraId="3644A46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EF0D8F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14:paraId="4EF15204">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14:paraId="5BC4DA5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14:paraId="2713A78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14:paraId="1FFF568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14:paraId="4D8EFCF1">
      <w:pPr>
        <w:spacing w:line="500" w:lineRule="exact"/>
        <w:rPr>
          <w:rFonts w:hint="eastAsia" w:ascii="宋体" w:hAnsi="宋体"/>
          <w:bCs/>
          <w:color w:val="auto"/>
          <w:sz w:val="21"/>
          <w:szCs w:val="21"/>
        </w:rPr>
      </w:pPr>
      <w:r>
        <w:rPr>
          <w:rFonts w:hint="eastAsia" w:ascii="宋体" w:hAnsi="宋体"/>
          <w:bCs/>
          <w:color w:val="auto"/>
          <w:sz w:val="21"/>
          <w:szCs w:val="21"/>
        </w:rPr>
        <w:t>　　</w:t>
      </w:r>
      <w:r>
        <w:rPr>
          <w:rFonts w:hint="eastAsia" w:ascii="宋体" w:hAnsi="宋体"/>
          <w:bCs/>
          <w:color w:val="auto"/>
          <w:sz w:val="21"/>
          <w:szCs w:val="21"/>
          <w:lang w:val="en-US" w:eastAsia="zh-CN"/>
        </w:rPr>
        <w:t>2</w:t>
      </w:r>
      <w:r>
        <w:rPr>
          <w:rFonts w:hint="eastAsia" w:ascii="宋体" w:hAnsi="宋体"/>
          <w:bCs/>
          <w:color w:val="auto"/>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，不再提供《中小企业声明函》，投标人出具的监狱企业证明文件如有虚假，其成交资格将被取消，并根据相关规定进行处罚。</w:t>
      </w:r>
    </w:p>
    <w:p w14:paraId="41FB9EE1">
      <w:pPr>
        <w:spacing w:line="500" w:lineRule="exact"/>
        <w:ind w:firstLine="420" w:firstLineChars="200"/>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14:paraId="12116247">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shd w:val="clear" w:color="auto" w:fill="FFFF00"/>
          <w:lang w:eastAsia="zh-CN"/>
        </w:rPr>
      </w:pPr>
      <w:r>
        <w:rPr>
          <w:rFonts w:hint="eastAsia" w:ascii="宋体" w:hAnsi="宋体" w:eastAsia="宋体"/>
          <w:b/>
          <w:bCs w:val="0"/>
          <w:color w:val="auto"/>
          <w:sz w:val="21"/>
          <w:szCs w:val="21"/>
        </w:rPr>
        <w:t>投标人同时为小型、微型企业、监狱企业、残疾人福利性单位任两种或以上情况的，评审中只享受一次价格扣除，不重复进行价格扣除。</w:t>
      </w:r>
    </w:p>
    <w:p w14:paraId="14FF2E39">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color w:val="auto"/>
          <w:lang w:eastAsia="zh-CN"/>
        </w:rPr>
      </w:pPr>
      <w:r>
        <w:rPr>
          <w:rFonts w:hint="eastAsia" w:ascii="宋体" w:hAnsi="宋体" w:eastAsia="宋体"/>
          <w:b/>
          <w:bCs w:val="0"/>
          <w:color w:val="auto"/>
          <w:sz w:val="21"/>
          <w:szCs w:val="21"/>
          <w:lang w:eastAsia="zh-CN"/>
        </w:rPr>
        <w:t>评标委员会根据投标人提供的《</w:t>
      </w:r>
      <w:r>
        <w:rPr>
          <w:rFonts w:hint="eastAsia" w:ascii="宋体" w:hAnsi="宋体" w:eastAsia="宋体"/>
          <w:b/>
          <w:bCs w:val="0"/>
          <w:color w:val="auto"/>
          <w:sz w:val="21"/>
          <w:szCs w:val="21"/>
        </w:rPr>
        <w:t>中小企业声明函</w:t>
      </w:r>
      <w:r>
        <w:rPr>
          <w:rFonts w:hint="eastAsia" w:ascii="宋体" w:hAnsi="宋体" w:eastAsia="宋体"/>
          <w:b/>
          <w:bCs w:val="0"/>
          <w:color w:val="auto"/>
          <w:sz w:val="21"/>
          <w:szCs w:val="21"/>
          <w:lang w:eastAsia="zh-CN"/>
        </w:rPr>
        <w:t>》认定该投标人是否属于</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，被认定为</w:t>
      </w:r>
      <w:r>
        <w:rPr>
          <w:rFonts w:hint="eastAsia" w:ascii="宋体" w:hAnsi="宋体" w:eastAsia="宋体"/>
          <w:b/>
          <w:bCs w:val="0"/>
          <w:color w:val="auto"/>
          <w:sz w:val="21"/>
          <w:szCs w:val="21"/>
        </w:rPr>
        <w:t>小型或微型企业</w:t>
      </w:r>
      <w:r>
        <w:rPr>
          <w:rFonts w:hint="eastAsia" w:ascii="宋体" w:hAnsi="宋体" w:eastAsia="宋体"/>
          <w:b/>
          <w:bCs w:val="0"/>
          <w:color w:val="auto"/>
          <w:sz w:val="21"/>
          <w:szCs w:val="21"/>
          <w:lang w:eastAsia="zh-CN"/>
        </w:rPr>
        <w:t>的方可</w:t>
      </w:r>
      <w:r>
        <w:rPr>
          <w:rFonts w:hint="eastAsia" w:ascii="宋体" w:hAnsi="宋体" w:eastAsia="宋体"/>
          <w:b/>
          <w:bCs w:val="0"/>
          <w:color w:val="auto"/>
          <w:sz w:val="21"/>
          <w:szCs w:val="21"/>
        </w:rPr>
        <w:t>享受价格优惠。</w:t>
      </w:r>
    </w:p>
    <w:p w14:paraId="3610DFC1">
      <w:pPr>
        <w:numPr>
          <w:ilvl w:val="0"/>
          <w:numId w:val="0"/>
        </w:numPr>
        <w:spacing w:line="500" w:lineRule="exact"/>
        <w:ind w:leftChars="200"/>
        <w:rPr>
          <w:rFonts w:hint="eastAsia" w:ascii="宋体" w:hAnsi="宋体"/>
          <w:b/>
          <w:bCs/>
          <w:color w:val="auto"/>
          <w:sz w:val="21"/>
          <w:szCs w:val="21"/>
        </w:rPr>
      </w:pPr>
      <w:r>
        <w:rPr>
          <w:rFonts w:hint="eastAsia" w:ascii="宋体" w:hAnsi="宋体"/>
          <w:b/>
          <w:bCs/>
          <w:color w:val="auto"/>
          <w:sz w:val="21"/>
          <w:szCs w:val="21"/>
          <w:lang w:eastAsia="zh-CN"/>
        </w:rPr>
        <w:t>（二）</w:t>
      </w:r>
      <w:r>
        <w:rPr>
          <w:rFonts w:hint="eastAsia" w:ascii="宋体" w:hAnsi="宋体"/>
          <w:b/>
          <w:bCs/>
          <w:color w:val="auto"/>
          <w:sz w:val="21"/>
          <w:szCs w:val="21"/>
        </w:rPr>
        <w:t>节能产品、环境标志产品</w:t>
      </w:r>
    </w:p>
    <w:p w14:paraId="09D882C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rPr>
        <w:t>（</w:t>
      </w:r>
      <w:r>
        <w:rPr>
          <w:rFonts w:hint="eastAsia" w:ascii="宋体" w:hAnsi="宋体"/>
          <w:b/>
          <w:bCs/>
          <w:color w:val="auto"/>
          <w:kern w:val="0"/>
          <w:sz w:val="21"/>
          <w:szCs w:val="21"/>
        </w:rPr>
        <w:t>投标文件中附扫描件</w:t>
      </w:r>
      <w:r>
        <w:rPr>
          <w:rFonts w:hint="eastAsia" w:ascii="宋体" w:hAnsi="宋体"/>
          <w:b/>
          <w:bCs/>
          <w:color w:val="auto"/>
          <w:kern w:val="0"/>
          <w:sz w:val="21"/>
          <w:szCs w:val="21"/>
          <w:lang w:eastAsia="zh-CN"/>
        </w:rPr>
        <w:t>或复印件</w:t>
      </w:r>
      <w:r>
        <w:rPr>
          <w:rFonts w:hint="eastAsia" w:ascii="宋体" w:hAnsi="宋体"/>
          <w:b/>
          <w:bCs/>
          <w:color w:val="auto"/>
          <w:sz w:val="21"/>
          <w:szCs w:val="21"/>
        </w:rPr>
        <w:t>）</w:t>
      </w:r>
      <w:r>
        <w:rPr>
          <w:rFonts w:hint="eastAsia" w:ascii="宋体" w:hAnsi="宋体"/>
          <w:bCs/>
          <w:color w:val="auto"/>
          <w:sz w:val="21"/>
          <w:szCs w:val="21"/>
        </w:rPr>
        <w:t>，否则不予认定。</w:t>
      </w:r>
    </w:p>
    <w:p w14:paraId="6691DB1A">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2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4"/>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beforeLines="0" w:after="60" w:afterLines="0"/>
      <w:jc w:val="center"/>
      <w:outlineLvl w:val="0"/>
    </w:pPr>
    <w:rPr>
      <w:rFonts w:ascii="Arial" w:hAnsi="Arial" w:eastAsia="宋体" w:cs="Arial"/>
      <w:b/>
      <w:bCs/>
      <w:sz w:val="32"/>
      <w:szCs w:val="32"/>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2025-07-31T03:33:55Z</dcterms:created>
  <dc:creator>Administrator</dc:creator>
  <cp:lastModifiedBy>Administrator</cp:lastModifiedBy>
  <dcterms:modified xsi:type="dcterms:W3CDTF">2025-07-31T03:34:02Z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eyJoZGlkIjoiNGY1YmM0ZjQwMmQzMmZiZjIzOWRiMTBkOWY2MTQzODgiLCJ1c2VySWQiOiIyNDg4NTUwNTUifQ==</vt:lpwstr>
  </property>
  <property fmtid="{D5CDD505-2E9C-101B-9397-08002B2CF9AE}" pid="4" name="ICV">
    <vt:lpwstr>8874CF7A9F934579B069675FFCC1A5CD_12</vt:lpwstr>
  </property>
</Properties>
</file>