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521029">
      <w:pPr>
        <w:jc w:val="center"/>
        <w:rPr>
          <w:rFonts w:hint="eastAsia" w:ascii="黑体" w:hAnsi="黑体" w:eastAsia="黑体"/>
          <w:b/>
          <w:color w:val="auto"/>
          <w:sz w:val="48"/>
          <w:szCs w:val="48"/>
          <w:lang w:eastAsia="zh-CN"/>
        </w:rPr>
      </w:pPr>
    </w:p>
    <w:p w14:paraId="0A4E1F1C">
      <w:pPr>
        <w:jc w:val="center"/>
        <w:rPr>
          <w:rFonts w:hint="eastAsia" w:ascii="宋体" w:hAnsi="宋体" w:eastAsia="宋体" w:cs="宋体"/>
          <w:b/>
          <w:bCs w:val="0"/>
          <w:color w:val="auto"/>
          <w:sz w:val="48"/>
          <w:szCs w:val="48"/>
          <w:lang w:val="en-US" w:eastAsia="zh-CN"/>
        </w:rPr>
      </w:pPr>
      <w:r>
        <w:rPr>
          <w:rFonts w:hint="eastAsia" w:ascii="宋体" w:hAnsi="宋体" w:eastAsia="宋体" w:cs="宋体"/>
          <w:b/>
          <w:bCs w:val="0"/>
          <w:color w:val="auto"/>
          <w:sz w:val="48"/>
          <w:szCs w:val="48"/>
          <w:lang w:val="en-US" w:eastAsia="zh-CN"/>
        </w:rPr>
        <w:t>荥阳市公安局交通设施维护服务项目</w:t>
      </w:r>
    </w:p>
    <w:p w14:paraId="2A3FF647">
      <w:pPr>
        <w:jc w:val="center"/>
        <w:rPr>
          <w:rFonts w:hint="eastAsia" w:ascii="宋体" w:hAnsi="宋体" w:eastAsia="宋体" w:cs="宋体"/>
          <w:b/>
          <w:bCs w:val="0"/>
          <w:color w:val="auto"/>
          <w:sz w:val="72"/>
          <w:szCs w:val="72"/>
          <w:lang w:val="en-US" w:eastAsia="zh-CN"/>
        </w:rPr>
      </w:pPr>
    </w:p>
    <w:p w14:paraId="75789533">
      <w:pPr>
        <w:jc w:val="center"/>
        <w:rPr>
          <w:rFonts w:hint="eastAsia" w:ascii="宋体" w:hAnsi="宋体" w:eastAsia="宋体" w:cs="宋体"/>
          <w:b/>
          <w:bCs w:val="0"/>
          <w:color w:val="auto"/>
          <w:sz w:val="72"/>
          <w:szCs w:val="72"/>
        </w:rPr>
      </w:pPr>
      <w:r>
        <w:rPr>
          <w:rFonts w:hint="eastAsia" w:ascii="宋体" w:hAnsi="宋体" w:eastAsia="宋体" w:cs="宋体"/>
          <w:b/>
          <w:bCs w:val="0"/>
          <w:color w:val="auto"/>
          <w:sz w:val="72"/>
          <w:szCs w:val="72"/>
          <w:lang w:val="en-US" w:eastAsia="zh-CN"/>
        </w:rPr>
        <w:t>征集文件</w:t>
      </w:r>
    </w:p>
    <w:p w14:paraId="7A7DF360">
      <w:pPr>
        <w:ind w:firstLine="2811" w:firstLineChars="1000"/>
        <w:jc w:val="both"/>
        <w:rPr>
          <w:rFonts w:hint="eastAsia" w:ascii="宋体" w:hAnsi="宋体"/>
          <w:b/>
          <w:bCs w:val="0"/>
          <w:color w:val="C00000"/>
          <w:sz w:val="28"/>
          <w:szCs w:val="30"/>
          <w:highlight w:val="none"/>
          <w:lang w:val="en-US" w:eastAsia="zh-CN"/>
        </w:rPr>
      </w:pPr>
    </w:p>
    <w:p w14:paraId="02F6B934">
      <w:pPr>
        <w:ind w:firstLine="2811" w:firstLineChars="1000"/>
        <w:jc w:val="both"/>
        <w:rPr>
          <w:rFonts w:hint="eastAsia" w:ascii="宋体" w:hAnsi="宋体"/>
          <w:b/>
          <w:bCs w:val="0"/>
          <w:color w:val="auto"/>
          <w:sz w:val="28"/>
          <w:szCs w:val="30"/>
          <w:highlight w:val="none"/>
          <w:lang w:val="en-US" w:eastAsia="zh-CN"/>
        </w:rPr>
      </w:pPr>
      <w:r>
        <w:rPr>
          <w:rFonts w:hint="eastAsia" w:ascii="宋体" w:hAnsi="宋体"/>
          <w:b/>
          <w:bCs w:val="0"/>
          <w:color w:val="auto"/>
          <w:sz w:val="28"/>
          <w:szCs w:val="30"/>
          <w:highlight w:val="none"/>
          <w:lang w:val="en-US" w:eastAsia="zh-CN"/>
        </w:rPr>
        <w:t>项目编号</w:t>
      </w:r>
      <w:r>
        <w:rPr>
          <w:rFonts w:hint="eastAsia" w:ascii="宋体" w:hAnsi="宋体"/>
          <w:b/>
          <w:bCs w:val="0"/>
          <w:color w:val="auto"/>
          <w:sz w:val="28"/>
          <w:szCs w:val="30"/>
          <w:highlight w:val="none"/>
        </w:rPr>
        <w:t>：</w:t>
      </w:r>
      <w:r>
        <w:rPr>
          <w:rFonts w:hint="eastAsia" w:ascii="宋体" w:hAnsi="宋体"/>
          <w:b/>
          <w:bCs w:val="0"/>
          <w:color w:val="auto"/>
          <w:sz w:val="28"/>
          <w:szCs w:val="30"/>
          <w:highlight w:val="none"/>
          <w:lang w:val="en-US" w:eastAsia="zh-CN"/>
        </w:rPr>
        <w:t>荥财公开-2025-</w:t>
      </w:r>
      <w:r>
        <w:rPr>
          <w:rFonts w:hint="eastAsia"/>
          <w:b/>
          <w:bCs w:val="0"/>
          <w:color w:val="auto"/>
          <w:sz w:val="28"/>
          <w:szCs w:val="30"/>
          <w:highlight w:val="none"/>
          <w:lang w:val="en-US" w:eastAsia="zh-CN"/>
        </w:rPr>
        <w:t>18</w:t>
      </w:r>
      <w:r>
        <w:rPr>
          <w:rFonts w:hint="eastAsia" w:ascii="宋体" w:hAnsi="宋体"/>
          <w:b/>
          <w:bCs w:val="0"/>
          <w:color w:val="auto"/>
          <w:sz w:val="28"/>
          <w:szCs w:val="30"/>
          <w:highlight w:val="none"/>
          <w:lang w:val="en-US" w:eastAsia="zh-CN"/>
        </w:rPr>
        <w:t xml:space="preserve">  </w:t>
      </w:r>
    </w:p>
    <w:p w14:paraId="6BDA1D1B">
      <w:pPr>
        <w:pStyle w:val="40"/>
        <w:rPr>
          <w:rFonts w:hint="eastAsia"/>
        </w:rPr>
      </w:pPr>
    </w:p>
    <w:p w14:paraId="23814694">
      <w:pPr>
        <w:widowControl/>
        <w:spacing w:line="360" w:lineRule="auto"/>
        <w:ind w:right="283" w:rightChars="135"/>
        <w:jc w:val="center"/>
        <w:rPr>
          <w:rFonts w:hint="eastAsia" w:ascii="仿宋" w:hAnsi="仿宋" w:eastAsia="仿宋" w:cs="仿宋"/>
          <w:b/>
          <w:sz w:val="21"/>
          <w:szCs w:val="21"/>
          <w:lang w:eastAsia="zh-CN"/>
        </w:rPr>
      </w:pPr>
      <w:r>
        <w:rPr>
          <w:rFonts w:hint="eastAsia" w:ascii="仿宋" w:hAnsi="仿宋" w:eastAsia="仿宋" w:cs="仿宋"/>
          <w:b/>
          <w:sz w:val="21"/>
          <w:szCs w:val="21"/>
          <w:lang w:eastAsia="zh-CN"/>
        </w:rPr>
        <w:drawing>
          <wp:inline distT="0" distB="0" distL="114300" distR="114300">
            <wp:extent cx="2345690" cy="1953260"/>
            <wp:effectExtent l="0" t="0" r="16510" b="8890"/>
            <wp:docPr id="6" name="图片 1" descr="877867e8e563ef1b90d0f52b7d860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877867e8e563ef1b90d0f52b7d860f2"/>
                    <pic:cNvPicPr>
                      <a:picLocks noChangeAspect="1"/>
                    </pic:cNvPicPr>
                  </pic:nvPicPr>
                  <pic:blipFill>
                    <a:blip r:embed="rId17"/>
                    <a:stretch>
                      <a:fillRect/>
                    </a:stretch>
                  </pic:blipFill>
                  <pic:spPr>
                    <a:xfrm>
                      <a:off x="0" y="0"/>
                      <a:ext cx="2345690" cy="1953260"/>
                    </a:xfrm>
                    <a:prstGeom prst="rect">
                      <a:avLst/>
                    </a:prstGeom>
                    <a:noFill/>
                    <a:ln>
                      <a:noFill/>
                    </a:ln>
                  </pic:spPr>
                </pic:pic>
              </a:graphicData>
            </a:graphic>
          </wp:inline>
        </w:drawing>
      </w:r>
    </w:p>
    <w:p w14:paraId="6BAB3C35">
      <w:pPr>
        <w:widowControl/>
        <w:spacing w:line="360" w:lineRule="auto"/>
        <w:ind w:firstLine="3092" w:firstLineChars="700"/>
        <w:rPr>
          <w:rFonts w:hint="eastAsia" w:ascii="仿宋_GB2312" w:eastAsia="仿宋_GB2312"/>
          <w:color w:val="auto"/>
          <w:sz w:val="44"/>
          <w:szCs w:val="44"/>
        </w:rPr>
      </w:pPr>
      <w:r>
        <w:rPr>
          <w:rFonts w:hint="eastAsia" w:ascii="宋体" w:hAnsi="宋体"/>
          <w:b/>
          <w:color w:val="auto"/>
          <w:sz w:val="44"/>
          <w:szCs w:val="44"/>
          <w:lang w:eastAsia="zh-CN"/>
        </w:rPr>
        <w:t>强 合 管 理</w:t>
      </w:r>
    </w:p>
    <w:p w14:paraId="78A6995F">
      <w:pPr>
        <w:widowControl/>
        <w:spacing w:line="360" w:lineRule="auto"/>
        <w:rPr>
          <w:rFonts w:hint="eastAsia" w:ascii="仿宋_GB2312" w:eastAsia="仿宋_GB2312"/>
          <w:color w:val="auto"/>
          <w:sz w:val="44"/>
          <w:szCs w:val="44"/>
        </w:rPr>
      </w:pPr>
    </w:p>
    <w:p w14:paraId="05BD686D">
      <w:pPr>
        <w:widowControl/>
        <w:spacing w:line="360" w:lineRule="auto"/>
        <w:rPr>
          <w:rFonts w:hint="eastAsia" w:ascii="仿宋_GB2312" w:eastAsia="仿宋_GB2312"/>
          <w:color w:val="auto"/>
          <w:sz w:val="44"/>
          <w:szCs w:val="44"/>
        </w:rPr>
      </w:pPr>
    </w:p>
    <w:p w14:paraId="233D4FA7">
      <w:pPr>
        <w:widowControl/>
        <w:spacing w:line="600" w:lineRule="auto"/>
        <w:ind w:firstLine="1084" w:firstLineChars="300"/>
        <w:jc w:val="both"/>
        <w:rPr>
          <w:rFonts w:hint="eastAsia" w:ascii="宋体" w:hAnsi="宋体"/>
          <w:b/>
          <w:color w:val="auto"/>
          <w:sz w:val="36"/>
          <w:szCs w:val="36"/>
        </w:rPr>
      </w:pPr>
      <w:r>
        <w:rPr>
          <w:rFonts w:hint="eastAsia" w:ascii="宋体" w:hAnsi="宋体"/>
          <w:b/>
          <w:color w:val="auto"/>
          <w:sz w:val="36"/>
          <w:szCs w:val="36"/>
          <w:lang w:eastAsia="zh-CN"/>
        </w:rPr>
        <w:t>采购</w:t>
      </w:r>
      <w:r>
        <w:rPr>
          <w:rFonts w:hint="eastAsia" w:ascii="宋体" w:hAnsi="宋体"/>
          <w:b/>
          <w:color w:val="auto"/>
          <w:sz w:val="36"/>
          <w:szCs w:val="36"/>
        </w:rPr>
        <w:t>单位：</w:t>
      </w:r>
      <w:r>
        <w:rPr>
          <w:rFonts w:hint="eastAsia" w:ascii="宋体" w:hAnsi="宋体"/>
          <w:b/>
          <w:color w:val="auto"/>
          <w:sz w:val="36"/>
          <w:szCs w:val="36"/>
          <w:lang w:val="en-US" w:eastAsia="zh-CN"/>
        </w:rPr>
        <w:t>荥阳市公安局</w:t>
      </w:r>
    </w:p>
    <w:p w14:paraId="382749CF">
      <w:pPr>
        <w:widowControl/>
        <w:spacing w:line="600" w:lineRule="auto"/>
        <w:ind w:firstLine="1084" w:firstLineChars="300"/>
        <w:jc w:val="both"/>
        <w:rPr>
          <w:rFonts w:hint="eastAsia" w:ascii="宋体" w:hAnsi="宋体"/>
          <w:b/>
          <w:color w:val="auto"/>
          <w:sz w:val="36"/>
          <w:szCs w:val="36"/>
          <w:lang w:eastAsia="zh-CN"/>
        </w:rPr>
      </w:pPr>
      <w:r>
        <w:rPr>
          <w:rFonts w:hint="eastAsia" w:ascii="宋体" w:hAnsi="宋体"/>
          <w:b/>
          <w:color w:val="auto"/>
          <w:sz w:val="36"/>
          <w:szCs w:val="36"/>
        </w:rPr>
        <w:t>代理机构：</w:t>
      </w:r>
      <w:r>
        <w:rPr>
          <w:rFonts w:hint="eastAsia" w:ascii="宋体" w:hAnsi="宋体"/>
          <w:b/>
          <w:color w:val="auto"/>
          <w:sz w:val="36"/>
          <w:szCs w:val="36"/>
          <w:lang w:eastAsia="zh-CN"/>
        </w:rPr>
        <w:t>郑州强合工程管理有限公司</w:t>
      </w:r>
    </w:p>
    <w:p w14:paraId="7713FEAA">
      <w:pPr>
        <w:spacing w:line="600" w:lineRule="auto"/>
        <w:ind w:firstLine="1084" w:firstLineChars="300"/>
        <w:jc w:val="both"/>
        <w:rPr>
          <w:rFonts w:ascii="宋体" w:hAnsi="宋体"/>
          <w:b/>
          <w:color w:val="auto"/>
          <w:sz w:val="36"/>
          <w:szCs w:val="36"/>
        </w:rPr>
        <w:sectPr>
          <w:headerReference r:id="rId3" w:type="default"/>
          <w:pgSz w:w="11906" w:h="16838"/>
          <w:pgMar w:top="1418" w:right="1418" w:bottom="1418" w:left="1418" w:header="851" w:footer="992" w:gutter="0"/>
          <w:pgNumType w:fmt="decimal" w:start="1"/>
          <w:cols w:space="720" w:num="1"/>
          <w:docGrid w:type="lines" w:linePitch="312" w:charSpace="0"/>
        </w:sectPr>
      </w:pPr>
      <w:r>
        <w:rPr>
          <w:rFonts w:hint="eastAsia" w:ascii="宋体" w:hAnsi="宋体"/>
          <w:b/>
          <w:color w:val="auto"/>
          <w:sz w:val="36"/>
          <w:szCs w:val="36"/>
        </w:rPr>
        <w:t>编制日期：</w:t>
      </w:r>
      <w:r>
        <w:rPr>
          <w:rFonts w:hint="eastAsia" w:ascii="宋体" w:hAnsi="宋体"/>
          <w:b/>
          <w:color w:val="auto"/>
          <w:sz w:val="36"/>
          <w:szCs w:val="36"/>
          <w:highlight w:val="none"/>
        </w:rPr>
        <w:t>二零</w:t>
      </w:r>
      <w:r>
        <w:rPr>
          <w:rFonts w:hint="eastAsia" w:ascii="宋体" w:hAnsi="宋体"/>
          <w:b/>
          <w:color w:val="auto"/>
          <w:sz w:val="36"/>
          <w:szCs w:val="36"/>
          <w:highlight w:val="none"/>
          <w:lang w:eastAsia="zh-CN"/>
        </w:rPr>
        <w:t>二五年</w:t>
      </w:r>
      <w:r>
        <w:rPr>
          <w:rFonts w:hint="eastAsia"/>
          <w:b/>
          <w:color w:val="auto"/>
          <w:sz w:val="36"/>
          <w:szCs w:val="36"/>
          <w:highlight w:val="none"/>
          <w:lang w:val="en-US" w:eastAsia="zh-CN"/>
        </w:rPr>
        <w:t>十</w:t>
      </w:r>
      <w:r>
        <w:rPr>
          <w:rFonts w:hint="eastAsia" w:ascii="宋体" w:hAnsi="宋体"/>
          <w:b/>
          <w:color w:val="auto"/>
          <w:sz w:val="36"/>
          <w:szCs w:val="36"/>
          <w:highlight w:val="none"/>
        </w:rPr>
        <w:t>月</w:t>
      </w:r>
    </w:p>
    <w:p w14:paraId="7B3A5DEE">
      <w:pPr>
        <w:spacing w:line="360" w:lineRule="auto"/>
        <w:jc w:val="center"/>
        <w:rPr>
          <w:rFonts w:hint="eastAsia" w:cs="Arial"/>
          <w:b/>
          <w:bCs/>
          <w:sz w:val="36"/>
          <w:szCs w:val="36"/>
        </w:rPr>
      </w:pPr>
      <w:r>
        <w:rPr>
          <w:rFonts w:hint="eastAsia"/>
          <w:b/>
          <w:bCs/>
          <w:sz w:val="36"/>
          <w:szCs w:val="36"/>
          <w:lang w:val="en-US" w:eastAsia="zh-CN"/>
        </w:rPr>
        <w:t xml:space="preserve"> </w:t>
      </w:r>
      <w:r>
        <w:rPr>
          <w:rFonts w:hint="eastAsia"/>
          <w:b/>
          <w:bCs/>
          <w:sz w:val="36"/>
          <w:szCs w:val="36"/>
        </w:rPr>
        <w:t>目  录</w:t>
      </w:r>
    </w:p>
    <w:p w14:paraId="255C87F9">
      <w:pPr>
        <w:pStyle w:val="22"/>
        <w:keepNext w:val="0"/>
        <w:keepLines w:val="0"/>
        <w:pageBreakBefore w:val="0"/>
        <w:widowControl w:val="0"/>
        <w:tabs>
          <w:tab w:val="right" w:leader="dot" w:pos="9746"/>
          <w:tab w:val="clear" w:pos="8460"/>
        </w:tabs>
        <w:kinsoku/>
        <w:wordWrap/>
        <w:overflowPunct/>
        <w:topLinePunct w:val="0"/>
        <w:autoSpaceDE/>
        <w:autoSpaceDN/>
        <w:bidi w:val="0"/>
        <w:adjustRightInd/>
        <w:snapToGrid/>
        <w:spacing w:line="500" w:lineRule="exact"/>
        <w:textAlignment w:val="auto"/>
        <w:rPr>
          <w:color w:val="auto"/>
          <w:sz w:val="24"/>
          <w:szCs w:val="24"/>
        </w:rPr>
      </w:pPr>
      <w:bookmarkStart w:id="0" w:name="_Toc25160"/>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TOC \o "1-2" \h \u </w:instrText>
      </w:r>
      <w:r>
        <w:rPr>
          <w:rFonts w:hint="eastAsia" w:ascii="宋体" w:hAnsi="宋体" w:cs="宋体"/>
          <w:color w:val="auto"/>
          <w:sz w:val="24"/>
          <w:szCs w:val="24"/>
        </w:rPr>
        <w:fldChar w:fldCharType="separate"/>
      </w: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_Toc8605 </w:instrText>
      </w:r>
      <w:r>
        <w:rPr>
          <w:rFonts w:hint="eastAsia" w:ascii="宋体" w:hAnsi="宋体" w:cs="宋体"/>
          <w:color w:val="auto"/>
          <w:sz w:val="24"/>
          <w:szCs w:val="24"/>
        </w:rPr>
        <w:fldChar w:fldCharType="separate"/>
      </w:r>
      <w:r>
        <w:rPr>
          <w:rFonts w:hint="eastAsia" w:ascii="宋体" w:hAnsi="宋体" w:cs="宋体"/>
          <w:color w:val="auto"/>
          <w:sz w:val="24"/>
          <w:szCs w:val="24"/>
        </w:rPr>
        <w:t xml:space="preserve">第一章 </w:t>
      </w:r>
      <w:r>
        <w:rPr>
          <w:rFonts w:hint="eastAsia" w:cs="宋体"/>
          <w:color w:val="auto"/>
          <w:sz w:val="24"/>
          <w:szCs w:val="24"/>
          <w:lang w:val="en-US" w:eastAsia="zh-CN"/>
        </w:rPr>
        <w:t>征集</w:t>
      </w:r>
      <w:r>
        <w:rPr>
          <w:rFonts w:hint="eastAsia" w:ascii="宋体" w:hAnsi="宋体" w:cs="宋体"/>
          <w:color w:val="auto"/>
          <w:sz w:val="24"/>
          <w:szCs w:val="24"/>
        </w:rPr>
        <w:t>公告</w:t>
      </w:r>
      <w:r>
        <w:rPr>
          <w:color w:val="auto"/>
          <w:sz w:val="24"/>
          <w:szCs w:val="24"/>
        </w:rPr>
        <w:tab/>
      </w:r>
      <w:r>
        <w:rPr>
          <w:rFonts w:hint="eastAsia"/>
          <w:color w:val="auto"/>
          <w:sz w:val="24"/>
          <w:szCs w:val="24"/>
          <w:lang w:val="en-US" w:eastAsia="zh-CN"/>
        </w:rPr>
        <w:t>2</w:t>
      </w:r>
      <w:r>
        <w:rPr>
          <w:rFonts w:hint="eastAsia" w:ascii="宋体" w:hAnsi="宋体" w:cs="宋体"/>
          <w:color w:val="auto"/>
          <w:sz w:val="24"/>
          <w:szCs w:val="24"/>
        </w:rPr>
        <w:fldChar w:fldCharType="end"/>
      </w:r>
    </w:p>
    <w:p w14:paraId="3BFA88B4">
      <w:pPr>
        <w:pStyle w:val="22"/>
        <w:keepNext w:val="0"/>
        <w:keepLines w:val="0"/>
        <w:pageBreakBefore w:val="0"/>
        <w:widowControl w:val="0"/>
        <w:tabs>
          <w:tab w:val="right" w:leader="dot" w:pos="9746"/>
          <w:tab w:val="clear" w:pos="8460"/>
        </w:tabs>
        <w:kinsoku/>
        <w:wordWrap/>
        <w:overflowPunct/>
        <w:topLinePunct w:val="0"/>
        <w:autoSpaceDE/>
        <w:autoSpaceDN/>
        <w:bidi w:val="0"/>
        <w:adjustRightInd/>
        <w:snapToGrid/>
        <w:spacing w:line="500" w:lineRule="exact"/>
        <w:textAlignment w:val="auto"/>
        <w:rPr>
          <w:color w:val="auto"/>
          <w:sz w:val="24"/>
          <w:szCs w:val="24"/>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_Toc14733 </w:instrText>
      </w:r>
      <w:r>
        <w:rPr>
          <w:rFonts w:hint="eastAsia" w:ascii="宋体" w:hAnsi="宋体" w:cs="宋体"/>
          <w:color w:val="auto"/>
          <w:sz w:val="24"/>
          <w:szCs w:val="24"/>
        </w:rPr>
        <w:fldChar w:fldCharType="separate"/>
      </w:r>
      <w:r>
        <w:rPr>
          <w:rFonts w:hint="eastAsia" w:ascii="宋体" w:hAnsi="宋体" w:cs="宋体"/>
          <w:color w:val="auto"/>
          <w:sz w:val="24"/>
          <w:szCs w:val="24"/>
        </w:rPr>
        <w:t>第二章 供应商须知</w:t>
      </w:r>
      <w:r>
        <w:rPr>
          <w:color w:val="auto"/>
          <w:sz w:val="24"/>
          <w:szCs w:val="24"/>
        </w:rPr>
        <w:tab/>
      </w:r>
      <w:r>
        <w:rPr>
          <w:rFonts w:hint="eastAsia"/>
          <w:color w:val="auto"/>
          <w:sz w:val="24"/>
          <w:szCs w:val="24"/>
          <w:lang w:val="en-US" w:eastAsia="zh-CN"/>
        </w:rPr>
        <w:t>6</w:t>
      </w:r>
      <w:r>
        <w:rPr>
          <w:rFonts w:hint="eastAsia" w:ascii="宋体" w:hAnsi="宋体" w:cs="宋体"/>
          <w:color w:val="auto"/>
          <w:sz w:val="24"/>
          <w:szCs w:val="24"/>
        </w:rPr>
        <w:fldChar w:fldCharType="end"/>
      </w:r>
    </w:p>
    <w:p w14:paraId="24360E56">
      <w:pPr>
        <w:pStyle w:val="26"/>
        <w:keepNext w:val="0"/>
        <w:keepLines w:val="0"/>
        <w:pageBreakBefore w:val="0"/>
        <w:widowControl w:val="0"/>
        <w:tabs>
          <w:tab w:val="right" w:leader="dot" w:pos="9746"/>
        </w:tabs>
        <w:kinsoku/>
        <w:wordWrap/>
        <w:overflowPunct/>
        <w:topLinePunct w:val="0"/>
        <w:autoSpaceDE/>
        <w:autoSpaceDN/>
        <w:bidi w:val="0"/>
        <w:adjustRightInd/>
        <w:snapToGrid/>
        <w:spacing w:line="500" w:lineRule="exact"/>
        <w:textAlignment w:val="auto"/>
        <w:rPr>
          <w:color w:val="auto"/>
          <w:sz w:val="24"/>
          <w:szCs w:val="24"/>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_Toc16615 </w:instrText>
      </w:r>
      <w:r>
        <w:rPr>
          <w:rFonts w:hint="eastAsia" w:ascii="宋体" w:hAnsi="宋体" w:cs="宋体"/>
          <w:color w:val="auto"/>
          <w:sz w:val="24"/>
          <w:szCs w:val="24"/>
        </w:rPr>
        <w:fldChar w:fldCharType="separate"/>
      </w:r>
      <w:r>
        <w:rPr>
          <w:rFonts w:hint="eastAsia" w:ascii="宋体" w:hAnsi="宋体"/>
          <w:color w:val="auto"/>
          <w:sz w:val="24"/>
          <w:szCs w:val="24"/>
        </w:rPr>
        <w:t>供应商须知前附表</w:t>
      </w:r>
      <w:r>
        <w:rPr>
          <w:color w:val="auto"/>
          <w:sz w:val="24"/>
          <w:szCs w:val="24"/>
        </w:rPr>
        <w:tab/>
      </w:r>
      <w:r>
        <w:rPr>
          <w:rFonts w:hint="eastAsia"/>
          <w:color w:val="auto"/>
          <w:sz w:val="24"/>
          <w:szCs w:val="24"/>
          <w:lang w:val="en-US" w:eastAsia="zh-CN"/>
        </w:rPr>
        <w:t>6</w:t>
      </w:r>
      <w:r>
        <w:rPr>
          <w:rFonts w:hint="eastAsia" w:ascii="宋体" w:hAnsi="宋体" w:cs="宋体"/>
          <w:color w:val="auto"/>
          <w:sz w:val="24"/>
          <w:szCs w:val="24"/>
        </w:rPr>
        <w:fldChar w:fldCharType="end"/>
      </w:r>
    </w:p>
    <w:p w14:paraId="42BFC66F">
      <w:pPr>
        <w:pStyle w:val="26"/>
        <w:keepNext w:val="0"/>
        <w:keepLines w:val="0"/>
        <w:pageBreakBefore w:val="0"/>
        <w:widowControl w:val="0"/>
        <w:tabs>
          <w:tab w:val="right" w:leader="dot" w:pos="9746"/>
        </w:tabs>
        <w:kinsoku/>
        <w:wordWrap/>
        <w:overflowPunct/>
        <w:topLinePunct w:val="0"/>
        <w:autoSpaceDE/>
        <w:autoSpaceDN/>
        <w:bidi w:val="0"/>
        <w:adjustRightInd/>
        <w:snapToGrid/>
        <w:spacing w:line="500" w:lineRule="exact"/>
        <w:textAlignment w:val="auto"/>
        <w:rPr>
          <w:rFonts w:hint="eastAsia" w:eastAsia="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_Toc16587 </w:instrText>
      </w:r>
      <w:r>
        <w:rPr>
          <w:rFonts w:hint="eastAsia" w:ascii="宋体" w:hAnsi="宋体" w:cs="宋体"/>
          <w:color w:val="auto"/>
          <w:sz w:val="24"/>
          <w:szCs w:val="24"/>
        </w:rPr>
        <w:fldChar w:fldCharType="separate"/>
      </w:r>
      <w:r>
        <w:rPr>
          <w:rFonts w:hint="eastAsia" w:ascii="宋体" w:hAnsi="宋体"/>
          <w:color w:val="auto"/>
          <w:sz w:val="24"/>
          <w:szCs w:val="24"/>
        </w:rPr>
        <w:t>1. 总则</w:t>
      </w:r>
      <w:r>
        <w:rPr>
          <w:color w:val="auto"/>
          <w:sz w:val="24"/>
          <w:szCs w:val="24"/>
        </w:rPr>
        <w:tab/>
      </w:r>
      <w:r>
        <w:rPr>
          <w:rFonts w:hint="eastAsia"/>
          <w:color w:val="auto"/>
          <w:sz w:val="24"/>
          <w:szCs w:val="24"/>
          <w:lang w:val="en-US" w:eastAsia="zh-CN"/>
        </w:rPr>
        <w:t>1</w:t>
      </w:r>
      <w:r>
        <w:rPr>
          <w:rFonts w:hint="eastAsia" w:ascii="宋体" w:hAnsi="宋体" w:cs="宋体"/>
          <w:color w:val="auto"/>
          <w:sz w:val="24"/>
          <w:szCs w:val="24"/>
        </w:rPr>
        <w:fldChar w:fldCharType="end"/>
      </w:r>
      <w:r>
        <w:rPr>
          <w:rFonts w:hint="eastAsia" w:cs="宋体"/>
          <w:color w:val="auto"/>
          <w:sz w:val="24"/>
          <w:szCs w:val="24"/>
          <w:lang w:val="en-US" w:eastAsia="zh-CN"/>
        </w:rPr>
        <w:t>2</w:t>
      </w:r>
    </w:p>
    <w:p w14:paraId="37186296">
      <w:pPr>
        <w:pStyle w:val="26"/>
        <w:keepNext w:val="0"/>
        <w:keepLines w:val="0"/>
        <w:pageBreakBefore w:val="0"/>
        <w:widowControl w:val="0"/>
        <w:tabs>
          <w:tab w:val="right" w:leader="dot" w:pos="9746"/>
        </w:tabs>
        <w:kinsoku/>
        <w:wordWrap/>
        <w:overflowPunct/>
        <w:topLinePunct w:val="0"/>
        <w:autoSpaceDE/>
        <w:autoSpaceDN/>
        <w:bidi w:val="0"/>
        <w:adjustRightInd/>
        <w:snapToGrid/>
        <w:spacing w:line="500" w:lineRule="exact"/>
        <w:textAlignment w:val="auto"/>
        <w:rPr>
          <w:color w:val="auto"/>
          <w:sz w:val="24"/>
          <w:szCs w:val="24"/>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_Toc13560 </w:instrText>
      </w:r>
      <w:r>
        <w:rPr>
          <w:rFonts w:hint="eastAsia" w:ascii="宋体" w:hAnsi="宋体" w:cs="宋体"/>
          <w:color w:val="auto"/>
          <w:sz w:val="24"/>
          <w:szCs w:val="24"/>
        </w:rPr>
        <w:fldChar w:fldCharType="separate"/>
      </w:r>
      <w:r>
        <w:rPr>
          <w:rFonts w:hint="eastAsia" w:ascii="宋体" w:hAnsi="宋体"/>
          <w:color w:val="auto"/>
          <w:sz w:val="24"/>
          <w:szCs w:val="24"/>
        </w:rPr>
        <w:t xml:space="preserve">2. </w:t>
      </w:r>
      <w:r>
        <w:rPr>
          <w:rFonts w:hint="eastAsia"/>
          <w:color w:val="auto"/>
          <w:sz w:val="24"/>
          <w:szCs w:val="24"/>
          <w:lang w:val="en-US" w:eastAsia="zh-CN"/>
        </w:rPr>
        <w:t>征集</w:t>
      </w:r>
      <w:r>
        <w:rPr>
          <w:rFonts w:hint="eastAsia" w:ascii="宋体" w:hAnsi="宋体"/>
          <w:color w:val="auto"/>
          <w:sz w:val="24"/>
          <w:szCs w:val="24"/>
        </w:rPr>
        <w:t>文件</w:t>
      </w:r>
      <w:r>
        <w:rPr>
          <w:color w:val="auto"/>
          <w:sz w:val="24"/>
          <w:szCs w:val="24"/>
        </w:rPr>
        <w:tab/>
      </w:r>
      <w:r>
        <w:rPr>
          <w:rFonts w:hint="eastAsia"/>
          <w:color w:val="auto"/>
          <w:sz w:val="24"/>
          <w:szCs w:val="24"/>
          <w:lang w:val="en-US" w:eastAsia="zh-CN"/>
        </w:rPr>
        <w:t>13</w:t>
      </w:r>
      <w:r>
        <w:rPr>
          <w:rFonts w:hint="eastAsia" w:ascii="宋体" w:hAnsi="宋体" w:cs="宋体"/>
          <w:color w:val="auto"/>
          <w:sz w:val="24"/>
          <w:szCs w:val="24"/>
        </w:rPr>
        <w:fldChar w:fldCharType="end"/>
      </w:r>
    </w:p>
    <w:p w14:paraId="3A994F86">
      <w:pPr>
        <w:pStyle w:val="26"/>
        <w:keepNext w:val="0"/>
        <w:keepLines w:val="0"/>
        <w:pageBreakBefore w:val="0"/>
        <w:widowControl w:val="0"/>
        <w:tabs>
          <w:tab w:val="right" w:leader="dot" w:pos="9746"/>
        </w:tabs>
        <w:kinsoku/>
        <w:wordWrap/>
        <w:overflowPunct/>
        <w:topLinePunct w:val="0"/>
        <w:autoSpaceDE/>
        <w:autoSpaceDN/>
        <w:bidi w:val="0"/>
        <w:adjustRightInd/>
        <w:snapToGrid/>
        <w:spacing w:line="500" w:lineRule="exact"/>
        <w:textAlignment w:val="auto"/>
        <w:rPr>
          <w:rFonts w:hint="eastAsia" w:eastAsia="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_Toc7122 </w:instrText>
      </w:r>
      <w:r>
        <w:rPr>
          <w:rFonts w:hint="eastAsia" w:ascii="宋体" w:hAnsi="宋体" w:cs="宋体"/>
          <w:color w:val="auto"/>
          <w:sz w:val="24"/>
          <w:szCs w:val="24"/>
        </w:rPr>
        <w:fldChar w:fldCharType="separate"/>
      </w:r>
      <w:r>
        <w:rPr>
          <w:rFonts w:hint="eastAsia" w:ascii="宋体" w:hAnsi="宋体"/>
          <w:color w:val="auto"/>
          <w:sz w:val="24"/>
          <w:szCs w:val="24"/>
        </w:rPr>
        <w:t xml:space="preserve">3. </w:t>
      </w:r>
      <w:r>
        <w:rPr>
          <w:rFonts w:hint="eastAsia"/>
          <w:color w:val="auto"/>
          <w:sz w:val="24"/>
          <w:szCs w:val="24"/>
          <w:lang w:val="en-US" w:eastAsia="zh-CN"/>
        </w:rPr>
        <w:t>响应</w:t>
      </w:r>
      <w:r>
        <w:rPr>
          <w:rFonts w:hint="eastAsia" w:ascii="宋体" w:hAnsi="宋体"/>
          <w:color w:val="auto"/>
          <w:sz w:val="24"/>
          <w:szCs w:val="24"/>
        </w:rPr>
        <w:t>文件</w:t>
      </w:r>
      <w:r>
        <w:rPr>
          <w:color w:val="auto"/>
          <w:sz w:val="24"/>
          <w:szCs w:val="24"/>
        </w:rPr>
        <w:tab/>
      </w:r>
      <w:r>
        <w:rPr>
          <w:rFonts w:hint="eastAsia"/>
          <w:color w:val="auto"/>
          <w:sz w:val="24"/>
          <w:szCs w:val="24"/>
          <w:lang w:val="en-US" w:eastAsia="zh-CN"/>
        </w:rPr>
        <w:t>1</w:t>
      </w:r>
      <w:r>
        <w:rPr>
          <w:rFonts w:hint="eastAsia" w:ascii="宋体" w:hAnsi="宋体" w:cs="宋体"/>
          <w:color w:val="auto"/>
          <w:sz w:val="24"/>
          <w:szCs w:val="24"/>
        </w:rPr>
        <w:fldChar w:fldCharType="end"/>
      </w:r>
      <w:r>
        <w:rPr>
          <w:rFonts w:hint="eastAsia" w:cs="宋体"/>
          <w:color w:val="auto"/>
          <w:sz w:val="24"/>
          <w:szCs w:val="24"/>
          <w:lang w:val="en-US" w:eastAsia="zh-CN"/>
        </w:rPr>
        <w:t>4</w:t>
      </w:r>
    </w:p>
    <w:p w14:paraId="1AFC1293">
      <w:pPr>
        <w:pStyle w:val="26"/>
        <w:keepNext w:val="0"/>
        <w:keepLines w:val="0"/>
        <w:pageBreakBefore w:val="0"/>
        <w:widowControl w:val="0"/>
        <w:tabs>
          <w:tab w:val="right" w:leader="dot" w:pos="9746"/>
        </w:tabs>
        <w:kinsoku/>
        <w:wordWrap/>
        <w:overflowPunct/>
        <w:topLinePunct w:val="0"/>
        <w:autoSpaceDE/>
        <w:autoSpaceDN/>
        <w:bidi w:val="0"/>
        <w:adjustRightInd/>
        <w:snapToGrid/>
        <w:spacing w:line="500" w:lineRule="exact"/>
        <w:textAlignment w:val="auto"/>
        <w:rPr>
          <w:rFonts w:hint="eastAsia" w:eastAsia="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_Toc7680 </w:instrText>
      </w:r>
      <w:r>
        <w:rPr>
          <w:rFonts w:hint="eastAsia" w:ascii="宋体" w:hAnsi="宋体" w:cs="宋体"/>
          <w:color w:val="auto"/>
          <w:sz w:val="24"/>
          <w:szCs w:val="24"/>
        </w:rPr>
        <w:fldChar w:fldCharType="separate"/>
      </w:r>
      <w:r>
        <w:rPr>
          <w:rFonts w:hint="eastAsia" w:ascii="宋体" w:hAnsi="宋体"/>
          <w:color w:val="auto"/>
          <w:sz w:val="24"/>
          <w:szCs w:val="24"/>
        </w:rPr>
        <w:t>4.</w:t>
      </w:r>
      <w:r>
        <w:rPr>
          <w:rFonts w:hint="eastAsia"/>
          <w:color w:val="auto"/>
          <w:sz w:val="24"/>
          <w:szCs w:val="24"/>
          <w:lang w:val="en-US" w:eastAsia="zh-CN"/>
        </w:rPr>
        <w:t xml:space="preserve"> 响 应</w:t>
      </w:r>
      <w:r>
        <w:rPr>
          <w:color w:val="auto"/>
          <w:sz w:val="24"/>
          <w:szCs w:val="24"/>
        </w:rPr>
        <w:tab/>
      </w:r>
      <w:r>
        <w:rPr>
          <w:rFonts w:hint="eastAsia"/>
          <w:color w:val="auto"/>
          <w:sz w:val="24"/>
          <w:szCs w:val="24"/>
          <w:lang w:val="en-US" w:eastAsia="zh-CN"/>
        </w:rPr>
        <w:t>1</w:t>
      </w:r>
      <w:r>
        <w:rPr>
          <w:rFonts w:hint="eastAsia" w:ascii="宋体" w:hAnsi="宋体" w:cs="宋体"/>
          <w:color w:val="auto"/>
          <w:sz w:val="24"/>
          <w:szCs w:val="24"/>
        </w:rPr>
        <w:fldChar w:fldCharType="end"/>
      </w:r>
      <w:r>
        <w:rPr>
          <w:rFonts w:hint="eastAsia" w:cs="宋体"/>
          <w:color w:val="auto"/>
          <w:sz w:val="24"/>
          <w:szCs w:val="24"/>
          <w:lang w:val="en-US" w:eastAsia="zh-CN"/>
        </w:rPr>
        <w:t>5</w:t>
      </w:r>
    </w:p>
    <w:p w14:paraId="3D3ACD4A">
      <w:pPr>
        <w:pStyle w:val="26"/>
        <w:keepNext w:val="0"/>
        <w:keepLines w:val="0"/>
        <w:pageBreakBefore w:val="0"/>
        <w:widowControl w:val="0"/>
        <w:tabs>
          <w:tab w:val="right" w:leader="dot" w:pos="9746"/>
        </w:tabs>
        <w:kinsoku/>
        <w:wordWrap/>
        <w:overflowPunct/>
        <w:topLinePunct w:val="0"/>
        <w:autoSpaceDE/>
        <w:autoSpaceDN/>
        <w:bidi w:val="0"/>
        <w:adjustRightInd/>
        <w:snapToGrid/>
        <w:spacing w:line="500" w:lineRule="exact"/>
        <w:textAlignment w:val="auto"/>
        <w:rPr>
          <w:rFonts w:hint="eastAsia" w:eastAsia="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_Toc24589 </w:instrText>
      </w:r>
      <w:r>
        <w:rPr>
          <w:rFonts w:hint="eastAsia" w:ascii="宋体" w:hAnsi="宋体" w:cs="宋体"/>
          <w:color w:val="auto"/>
          <w:sz w:val="24"/>
          <w:szCs w:val="24"/>
        </w:rPr>
        <w:fldChar w:fldCharType="separate"/>
      </w:r>
      <w:r>
        <w:rPr>
          <w:rFonts w:hint="eastAsia" w:ascii="宋体" w:hAnsi="宋体"/>
          <w:color w:val="auto"/>
          <w:sz w:val="24"/>
          <w:szCs w:val="24"/>
        </w:rPr>
        <w:t>5. 开标</w:t>
      </w:r>
      <w:r>
        <w:rPr>
          <w:rFonts w:hint="eastAsia"/>
          <w:color w:val="auto"/>
          <w:sz w:val="24"/>
          <w:szCs w:val="24"/>
          <w:lang w:eastAsia="zh-CN"/>
        </w:rPr>
        <w:t>、</w:t>
      </w:r>
      <w:r>
        <w:rPr>
          <w:rFonts w:hint="eastAsia"/>
          <w:color w:val="auto"/>
          <w:sz w:val="24"/>
          <w:szCs w:val="24"/>
          <w:lang w:val="en-US" w:eastAsia="zh-CN"/>
        </w:rPr>
        <w:t>资格审查与评审</w:t>
      </w:r>
      <w:r>
        <w:rPr>
          <w:color w:val="auto"/>
          <w:sz w:val="24"/>
          <w:szCs w:val="24"/>
        </w:rPr>
        <w:tab/>
      </w:r>
      <w:r>
        <w:rPr>
          <w:rFonts w:hint="eastAsia"/>
          <w:color w:val="auto"/>
          <w:sz w:val="24"/>
          <w:szCs w:val="24"/>
          <w:lang w:val="en-US" w:eastAsia="zh-CN"/>
        </w:rPr>
        <w:t>1</w:t>
      </w:r>
      <w:r>
        <w:rPr>
          <w:rFonts w:hint="eastAsia" w:ascii="宋体" w:hAnsi="宋体" w:cs="宋体"/>
          <w:color w:val="auto"/>
          <w:sz w:val="24"/>
          <w:szCs w:val="24"/>
        </w:rPr>
        <w:fldChar w:fldCharType="end"/>
      </w:r>
      <w:r>
        <w:rPr>
          <w:rFonts w:hint="eastAsia" w:cs="宋体"/>
          <w:color w:val="auto"/>
          <w:sz w:val="24"/>
          <w:szCs w:val="24"/>
          <w:lang w:val="en-US" w:eastAsia="zh-CN"/>
        </w:rPr>
        <w:t>5</w:t>
      </w:r>
    </w:p>
    <w:p w14:paraId="45FD8241">
      <w:pPr>
        <w:pStyle w:val="26"/>
        <w:keepNext w:val="0"/>
        <w:keepLines w:val="0"/>
        <w:pageBreakBefore w:val="0"/>
        <w:widowControl w:val="0"/>
        <w:tabs>
          <w:tab w:val="right" w:leader="dot" w:pos="9746"/>
        </w:tabs>
        <w:kinsoku/>
        <w:wordWrap/>
        <w:overflowPunct/>
        <w:topLinePunct w:val="0"/>
        <w:autoSpaceDE/>
        <w:autoSpaceDN/>
        <w:bidi w:val="0"/>
        <w:adjustRightInd/>
        <w:snapToGrid/>
        <w:spacing w:line="500" w:lineRule="exact"/>
        <w:textAlignment w:val="auto"/>
        <w:rPr>
          <w:rFonts w:hint="eastAsia" w:eastAsia="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_Toc4791 </w:instrText>
      </w:r>
      <w:r>
        <w:rPr>
          <w:rFonts w:hint="eastAsia" w:ascii="宋体" w:hAnsi="宋体" w:cs="宋体"/>
          <w:color w:val="auto"/>
          <w:sz w:val="24"/>
          <w:szCs w:val="24"/>
        </w:rPr>
        <w:fldChar w:fldCharType="separate"/>
      </w:r>
      <w:r>
        <w:rPr>
          <w:rFonts w:hint="eastAsia" w:ascii="宋体" w:hAnsi="宋体"/>
          <w:color w:val="auto"/>
          <w:sz w:val="24"/>
          <w:szCs w:val="24"/>
        </w:rPr>
        <w:t xml:space="preserve">6. </w:t>
      </w:r>
      <w:r>
        <w:rPr>
          <w:rFonts w:hint="eastAsia"/>
          <w:color w:val="auto"/>
          <w:sz w:val="24"/>
          <w:szCs w:val="24"/>
          <w:lang w:val="en-US" w:eastAsia="zh-CN"/>
        </w:rPr>
        <w:t>授予框架协议</w:t>
      </w:r>
      <w:r>
        <w:rPr>
          <w:color w:val="auto"/>
          <w:sz w:val="24"/>
          <w:szCs w:val="24"/>
        </w:rPr>
        <w:tab/>
      </w:r>
      <w:r>
        <w:rPr>
          <w:rFonts w:hint="eastAsia"/>
          <w:color w:val="auto"/>
          <w:sz w:val="24"/>
          <w:szCs w:val="24"/>
          <w:lang w:val="en-US" w:eastAsia="zh-CN"/>
        </w:rPr>
        <w:t>1</w:t>
      </w:r>
      <w:r>
        <w:rPr>
          <w:rFonts w:hint="eastAsia" w:ascii="宋体" w:hAnsi="宋体" w:cs="宋体"/>
          <w:color w:val="auto"/>
          <w:sz w:val="24"/>
          <w:szCs w:val="24"/>
        </w:rPr>
        <w:fldChar w:fldCharType="end"/>
      </w:r>
      <w:r>
        <w:rPr>
          <w:rFonts w:hint="eastAsia" w:cs="宋体"/>
          <w:color w:val="auto"/>
          <w:sz w:val="24"/>
          <w:szCs w:val="24"/>
          <w:lang w:val="en-US" w:eastAsia="zh-CN"/>
        </w:rPr>
        <w:t>7</w:t>
      </w:r>
    </w:p>
    <w:p w14:paraId="5D83C9EB">
      <w:pPr>
        <w:pStyle w:val="26"/>
        <w:keepNext w:val="0"/>
        <w:keepLines w:val="0"/>
        <w:pageBreakBefore w:val="0"/>
        <w:widowControl w:val="0"/>
        <w:tabs>
          <w:tab w:val="right" w:leader="dot" w:pos="9746"/>
        </w:tabs>
        <w:kinsoku/>
        <w:wordWrap/>
        <w:overflowPunct/>
        <w:topLinePunct w:val="0"/>
        <w:autoSpaceDE/>
        <w:autoSpaceDN/>
        <w:bidi w:val="0"/>
        <w:adjustRightInd/>
        <w:snapToGrid/>
        <w:spacing w:line="500" w:lineRule="exact"/>
        <w:textAlignment w:val="auto"/>
        <w:rPr>
          <w:rFonts w:hint="eastAsia" w:eastAsia="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_Toc29297 </w:instrText>
      </w:r>
      <w:r>
        <w:rPr>
          <w:rFonts w:hint="eastAsia" w:ascii="宋体" w:hAnsi="宋体" w:cs="宋体"/>
          <w:color w:val="auto"/>
          <w:sz w:val="24"/>
          <w:szCs w:val="24"/>
        </w:rPr>
        <w:fldChar w:fldCharType="separate"/>
      </w:r>
      <w:r>
        <w:rPr>
          <w:rFonts w:hint="eastAsia" w:ascii="宋体" w:hAnsi="宋体"/>
          <w:color w:val="auto"/>
          <w:sz w:val="24"/>
          <w:szCs w:val="24"/>
        </w:rPr>
        <w:t xml:space="preserve">7. </w:t>
      </w:r>
      <w:r>
        <w:rPr>
          <w:rFonts w:hint="eastAsia"/>
          <w:color w:val="auto"/>
          <w:sz w:val="24"/>
          <w:szCs w:val="24"/>
          <w:lang w:val="en-US" w:eastAsia="zh-CN"/>
        </w:rPr>
        <w:t>采购代理服务费</w:t>
      </w:r>
      <w:r>
        <w:rPr>
          <w:color w:val="auto"/>
          <w:sz w:val="24"/>
          <w:szCs w:val="24"/>
        </w:rPr>
        <w:tab/>
      </w:r>
      <w:r>
        <w:rPr>
          <w:rFonts w:hint="eastAsia"/>
          <w:color w:val="auto"/>
          <w:sz w:val="24"/>
          <w:szCs w:val="24"/>
          <w:lang w:val="en-US" w:eastAsia="zh-CN"/>
        </w:rPr>
        <w:t>1</w:t>
      </w:r>
      <w:r>
        <w:rPr>
          <w:rFonts w:hint="eastAsia" w:ascii="宋体" w:hAnsi="宋体" w:cs="宋体"/>
          <w:color w:val="auto"/>
          <w:sz w:val="24"/>
          <w:szCs w:val="24"/>
        </w:rPr>
        <w:fldChar w:fldCharType="end"/>
      </w:r>
      <w:r>
        <w:rPr>
          <w:rFonts w:hint="eastAsia" w:cs="宋体"/>
          <w:color w:val="auto"/>
          <w:sz w:val="24"/>
          <w:szCs w:val="24"/>
          <w:lang w:val="en-US" w:eastAsia="zh-CN"/>
        </w:rPr>
        <w:t>9</w:t>
      </w:r>
    </w:p>
    <w:p w14:paraId="201E8FF2">
      <w:pPr>
        <w:pStyle w:val="26"/>
        <w:keepNext w:val="0"/>
        <w:keepLines w:val="0"/>
        <w:pageBreakBefore w:val="0"/>
        <w:widowControl w:val="0"/>
        <w:tabs>
          <w:tab w:val="right" w:leader="dot" w:pos="9746"/>
        </w:tabs>
        <w:kinsoku/>
        <w:wordWrap/>
        <w:overflowPunct/>
        <w:topLinePunct w:val="0"/>
        <w:autoSpaceDE/>
        <w:autoSpaceDN/>
        <w:bidi w:val="0"/>
        <w:adjustRightInd/>
        <w:snapToGrid/>
        <w:spacing w:line="500" w:lineRule="exact"/>
        <w:textAlignment w:val="auto"/>
        <w:rPr>
          <w:rFonts w:hint="eastAsia" w:eastAsia="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_Toc3326 </w:instrText>
      </w:r>
      <w:r>
        <w:rPr>
          <w:rFonts w:hint="eastAsia" w:ascii="宋体" w:hAnsi="宋体" w:cs="宋体"/>
          <w:color w:val="auto"/>
          <w:sz w:val="24"/>
          <w:szCs w:val="24"/>
        </w:rPr>
        <w:fldChar w:fldCharType="separate"/>
      </w:r>
      <w:r>
        <w:rPr>
          <w:rFonts w:hint="eastAsia" w:ascii="宋体" w:hAnsi="宋体"/>
          <w:color w:val="auto"/>
          <w:sz w:val="24"/>
          <w:szCs w:val="24"/>
        </w:rPr>
        <w:t>10. 需要补充的其他内容</w:t>
      </w:r>
      <w:r>
        <w:rPr>
          <w:color w:val="auto"/>
          <w:sz w:val="24"/>
          <w:szCs w:val="24"/>
        </w:rPr>
        <w:tab/>
      </w:r>
      <w:r>
        <w:rPr>
          <w:rFonts w:hint="eastAsia"/>
          <w:color w:val="auto"/>
          <w:sz w:val="24"/>
          <w:szCs w:val="24"/>
          <w:lang w:val="en-US" w:eastAsia="zh-CN"/>
        </w:rPr>
        <w:t>1</w:t>
      </w:r>
      <w:r>
        <w:rPr>
          <w:rFonts w:hint="eastAsia" w:ascii="宋体" w:hAnsi="宋体" w:cs="宋体"/>
          <w:color w:val="auto"/>
          <w:sz w:val="24"/>
          <w:szCs w:val="24"/>
        </w:rPr>
        <w:fldChar w:fldCharType="end"/>
      </w:r>
      <w:r>
        <w:rPr>
          <w:rFonts w:hint="eastAsia" w:cs="宋体"/>
          <w:color w:val="auto"/>
          <w:sz w:val="24"/>
          <w:szCs w:val="24"/>
          <w:lang w:val="en-US" w:eastAsia="zh-CN"/>
        </w:rPr>
        <w:t>9</w:t>
      </w:r>
    </w:p>
    <w:p w14:paraId="652D9137">
      <w:pPr>
        <w:pStyle w:val="22"/>
        <w:keepNext w:val="0"/>
        <w:keepLines w:val="0"/>
        <w:pageBreakBefore w:val="0"/>
        <w:widowControl w:val="0"/>
        <w:tabs>
          <w:tab w:val="right" w:leader="dot" w:pos="9746"/>
          <w:tab w:val="clear" w:pos="8460"/>
        </w:tabs>
        <w:kinsoku/>
        <w:wordWrap/>
        <w:overflowPunct/>
        <w:topLinePunct w:val="0"/>
        <w:autoSpaceDE/>
        <w:autoSpaceDN/>
        <w:bidi w:val="0"/>
        <w:adjustRightInd/>
        <w:snapToGrid/>
        <w:spacing w:line="500" w:lineRule="exact"/>
        <w:textAlignment w:val="auto"/>
        <w:rPr>
          <w:rFonts w:hint="eastAsia" w:eastAsia="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_Toc1799 </w:instrText>
      </w:r>
      <w:r>
        <w:rPr>
          <w:rFonts w:hint="eastAsia" w:ascii="宋体" w:hAnsi="宋体" w:cs="宋体"/>
          <w:color w:val="auto"/>
          <w:sz w:val="24"/>
          <w:szCs w:val="24"/>
        </w:rPr>
        <w:fldChar w:fldCharType="separate"/>
      </w:r>
      <w:r>
        <w:rPr>
          <w:rFonts w:hint="eastAsia" w:ascii="宋体" w:hAnsi="宋体" w:cs="宋体"/>
          <w:color w:val="auto"/>
          <w:sz w:val="24"/>
          <w:szCs w:val="24"/>
        </w:rPr>
        <w:t>第三章 评</w:t>
      </w:r>
      <w:r>
        <w:rPr>
          <w:rFonts w:hint="eastAsia" w:cs="宋体"/>
          <w:color w:val="auto"/>
          <w:sz w:val="24"/>
          <w:szCs w:val="24"/>
          <w:lang w:val="en-US" w:eastAsia="zh-CN"/>
        </w:rPr>
        <w:t>审方</w:t>
      </w:r>
      <w:r>
        <w:rPr>
          <w:rFonts w:hint="eastAsia" w:ascii="宋体" w:hAnsi="宋体" w:cs="宋体"/>
          <w:color w:val="auto"/>
          <w:sz w:val="24"/>
          <w:szCs w:val="24"/>
        </w:rPr>
        <w:t>法（</w:t>
      </w:r>
      <w:r>
        <w:rPr>
          <w:rFonts w:hint="eastAsia" w:cs="宋体"/>
          <w:color w:val="auto"/>
          <w:sz w:val="24"/>
          <w:szCs w:val="24"/>
          <w:lang w:val="en-US" w:eastAsia="zh-CN"/>
        </w:rPr>
        <w:t>质量优先</w:t>
      </w:r>
      <w:r>
        <w:rPr>
          <w:rFonts w:hint="eastAsia" w:ascii="宋体" w:hAnsi="宋体" w:cs="宋体"/>
          <w:color w:val="auto"/>
          <w:sz w:val="24"/>
          <w:szCs w:val="24"/>
        </w:rPr>
        <w:t>法）</w:t>
      </w:r>
      <w:r>
        <w:rPr>
          <w:color w:val="auto"/>
          <w:sz w:val="24"/>
          <w:szCs w:val="24"/>
        </w:rPr>
        <w:tab/>
      </w:r>
      <w:r>
        <w:rPr>
          <w:rFonts w:hint="eastAsia"/>
          <w:b w:val="0"/>
          <w:bCs w:val="0"/>
          <w:color w:val="auto"/>
          <w:sz w:val="24"/>
          <w:szCs w:val="24"/>
          <w:lang w:val="en-US" w:eastAsia="zh-CN"/>
        </w:rPr>
        <w:t>2</w:t>
      </w:r>
      <w:r>
        <w:rPr>
          <w:rFonts w:hint="eastAsia" w:ascii="宋体" w:hAnsi="宋体" w:cs="宋体"/>
          <w:color w:val="auto"/>
          <w:sz w:val="24"/>
          <w:szCs w:val="24"/>
        </w:rPr>
        <w:fldChar w:fldCharType="end"/>
      </w:r>
      <w:r>
        <w:rPr>
          <w:rFonts w:hint="eastAsia" w:cs="宋体"/>
          <w:color w:val="auto"/>
          <w:sz w:val="24"/>
          <w:szCs w:val="24"/>
          <w:lang w:val="en-US" w:eastAsia="zh-CN"/>
        </w:rPr>
        <w:t>0</w:t>
      </w:r>
    </w:p>
    <w:p w14:paraId="65583990">
      <w:pPr>
        <w:pStyle w:val="22"/>
        <w:keepNext w:val="0"/>
        <w:keepLines w:val="0"/>
        <w:pageBreakBefore w:val="0"/>
        <w:widowControl w:val="0"/>
        <w:tabs>
          <w:tab w:val="right" w:leader="dot" w:pos="9746"/>
          <w:tab w:val="clear" w:pos="8460"/>
        </w:tabs>
        <w:kinsoku/>
        <w:wordWrap/>
        <w:overflowPunct/>
        <w:topLinePunct w:val="0"/>
        <w:autoSpaceDE/>
        <w:autoSpaceDN/>
        <w:bidi w:val="0"/>
        <w:adjustRightInd/>
        <w:snapToGrid/>
        <w:spacing w:line="500" w:lineRule="exact"/>
        <w:textAlignment w:val="auto"/>
        <w:rPr>
          <w:rFonts w:hint="eastAsia" w:eastAsia="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_Toc16017 </w:instrText>
      </w:r>
      <w:r>
        <w:rPr>
          <w:rFonts w:hint="eastAsia" w:ascii="宋体" w:hAnsi="宋体" w:cs="宋体"/>
          <w:color w:val="auto"/>
          <w:sz w:val="24"/>
          <w:szCs w:val="24"/>
        </w:rPr>
        <w:fldChar w:fldCharType="separate"/>
      </w:r>
      <w:r>
        <w:rPr>
          <w:rFonts w:hint="eastAsia" w:ascii="宋体" w:hAnsi="宋体" w:cs="宋体"/>
          <w:color w:val="auto"/>
          <w:sz w:val="24"/>
          <w:szCs w:val="24"/>
        </w:rPr>
        <w:t xml:space="preserve">第四章 </w:t>
      </w:r>
      <w:r>
        <w:rPr>
          <w:rFonts w:hint="eastAsia" w:cs="宋体"/>
          <w:color w:val="auto"/>
          <w:sz w:val="24"/>
          <w:szCs w:val="24"/>
          <w:lang w:val="en-US" w:eastAsia="zh-CN"/>
        </w:rPr>
        <w:t>政府采购框架协议文本</w:t>
      </w:r>
      <w:r>
        <w:rPr>
          <w:color w:val="auto"/>
          <w:sz w:val="24"/>
          <w:szCs w:val="24"/>
        </w:rPr>
        <w:tab/>
      </w:r>
      <w:r>
        <w:rPr>
          <w:rFonts w:hint="eastAsia"/>
          <w:color w:val="auto"/>
          <w:sz w:val="24"/>
          <w:szCs w:val="24"/>
          <w:lang w:val="en-US" w:eastAsia="zh-CN"/>
        </w:rPr>
        <w:t>2</w:t>
      </w:r>
      <w:r>
        <w:rPr>
          <w:rFonts w:hint="eastAsia" w:ascii="宋体" w:hAnsi="宋体" w:cs="宋体"/>
          <w:color w:val="auto"/>
          <w:sz w:val="24"/>
          <w:szCs w:val="24"/>
        </w:rPr>
        <w:fldChar w:fldCharType="end"/>
      </w:r>
      <w:r>
        <w:rPr>
          <w:rFonts w:hint="eastAsia" w:cs="宋体"/>
          <w:color w:val="auto"/>
          <w:sz w:val="24"/>
          <w:szCs w:val="24"/>
          <w:lang w:val="en-US" w:eastAsia="zh-CN"/>
        </w:rPr>
        <w:t>6</w:t>
      </w:r>
    </w:p>
    <w:p w14:paraId="1C7AE8C4">
      <w:pPr>
        <w:pStyle w:val="22"/>
        <w:keepNext w:val="0"/>
        <w:keepLines w:val="0"/>
        <w:pageBreakBefore w:val="0"/>
        <w:widowControl w:val="0"/>
        <w:tabs>
          <w:tab w:val="right" w:leader="dot" w:pos="9746"/>
          <w:tab w:val="clear" w:pos="8460"/>
        </w:tabs>
        <w:kinsoku/>
        <w:wordWrap/>
        <w:overflowPunct/>
        <w:topLinePunct w:val="0"/>
        <w:autoSpaceDE/>
        <w:autoSpaceDN/>
        <w:bidi w:val="0"/>
        <w:adjustRightInd/>
        <w:snapToGrid/>
        <w:spacing w:line="500" w:lineRule="exact"/>
        <w:textAlignment w:val="auto"/>
        <w:rPr>
          <w:rFonts w:hint="eastAsia" w:eastAsia="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_Toc9058 </w:instrText>
      </w:r>
      <w:r>
        <w:rPr>
          <w:rFonts w:hint="eastAsia" w:ascii="宋体" w:hAnsi="宋体" w:cs="宋体"/>
          <w:color w:val="auto"/>
          <w:sz w:val="24"/>
          <w:szCs w:val="24"/>
        </w:rPr>
        <w:fldChar w:fldCharType="separate"/>
      </w:r>
      <w:r>
        <w:rPr>
          <w:rFonts w:hint="eastAsia" w:ascii="宋体" w:hAnsi="宋体" w:cs="宋体"/>
          <w:color w:val="auto"/>
          <w:sz w:val="24"/>
          <w:szCs w:val="24"/>
        </w:rPr>
        <w:t xml:space="preserve">第五章 </w:t>
      </w:r>
      <w:r>
        <w:rPr>
          <w:rFonts w:hint="eastAsia" w:ascii="宋体" w:hAnsi="宋体" w:cs="宋体"/>
          <w:color w:val="auto"/>
          <w:sz w:val="24"/>
          <w:szCs w:val="24"/>
          <w:lang w:val="en-US" w:eastAsia="zh-CN"/>
        </w:rPr>
        <w:t>采购项目技术</w:t>
      </w:r>
      <w:r>
        <w:rPr>
          <w:rFonts w:hint="eastAsia" w:ascii="宋体" w:hAnsi="宋体" w:cs="宋体"/>
          <w:color w:val="auto"/>
          <w:sz w:val="24"/>
          <w:szCs w:val="24"/>
        </w:rPr>
        <w:t>要求</w:t>
      </w:r>
      <w:r>
        <w:rPr>
          <w:color w:val="auto"/>
          <w:sz w:val="24"/>
          <w:szCs w:val="24"/>
        </w:rPr>
        <w:tab/>
      </w:r>
      <w:r>
        <w:rPr>
          <w:rFonts w:hint="eastAsia"/>
          <w:color w:val="auto"/>
          <w:sz w:val="24"/>
          <w:szCs w:val="24"/>
          <w:lang w:val="en-US" w:eastAsia="zh-CN"/>
        </w:rPr>
        <w:t>2</w:t>
      </w:r>
      <w:r>
        <w:rPr>
          <w:rFonts w:hint="eastAsia" w:ascii="宋体" w:hAnsi="宋体" w:cs="宋体"/>
          <w:color w:val="auto"/>
          <w:sz w:val="24"/>
          <w:szCs w:val="24"/>
        </w:rPr>
        <w:fldChar w:fldCharType="end"/>
      </w:r>
      <w:r>
        <w:rPr>
          <w:rFonts w:hint="eastAsia" w:cs="宋体"/>
          <w:color w:val="auto"/>
          <w:sz w:val="24"/>
          <w:szCs w:val="24"/>
          <w:lang w:val="en-US" w:eastAsia="zh-CN"/>
        </w:rPr>
        <w:t>9</w:t>
      </w:r>
    </w:p>
    <w:p w14:paraId="14CC83F6">
      <w:pPr>
        <w:pStyle w:val="22"/>
        <w:keepNext w:val="0"/>
        <w:keepLines w:val="0"/>
        <w:pageBreakBefore w:val="0"/>
        <w:widowControl w:val="0"/>
        <w:tabs>
          <w:tab w:val="right" w:leader="dot" w:pos="9746"/>
          <w:tab w:val="clear" w:pos="8460"/>
        </w:tabs>
        <w:kinsoku/>
        <w:wordWrap/>
        <w:overflowPunct/>
        <w:topLinePunct w:val="0"/>
        <w:autoSpaceDE/>
        <w:autoSpaceDN/>
        <w:bidi w:val="0"/>
        <w:adjustRightInd/>
        <w:snapToGrid/>
        <w:spacing w:line="500" w:lineRule="exact"/>
        <w:textAlignment w:val="auto"/>
        <w:rPr>
          <w:rFonts w:hint="default" w:eastAsia="宋体"/>
          <w:color w:val="auto"/>
          <w:sz w:val="24"/>
          <w:szCs w:val="24"/>
          <w:lang w:val="en-US" w:eastAsia="zh-CN"/>
        </w:rPr>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HYPERLINK \l _Toc13760 </w:instrText>
      </w:r>
      <w:r>
        <w:rPr>
          <w:rFonts w:hint="eastAsia" w:ascii="宋体" w:hAnsi="宋体" w:cs="宋体"/>
          <w:color w:val="auto"/>
          <w:sz w:val="24"/>
          <w:szCs w:val="24"/>
        </w:rPr>
        <w:fldChar w:fldCharType="separate"/>
      </w:r>
      <w:r>
        <w:rPr>
          <w:rFonts w:hint="eastAsia" w:ascii="宋体" w:hAnsi="宋体" w:cs="宋体"/>
          <w:color w:val="auto"/>
          <w:sz w:val="24"/>
          <w:szCs w:val="24"/>
        </w:rPr>
        <w:t xml:space="preserve">第六章 </w:t>
      </w:r>
      <w:r>
        <w:rPr>
          <w:rFonts w:hint="eastAsia" w:cs="宋体"/>
          <w:color w:val="auto"/>
          <w:sz w:val="24"/>
          <w:szCs w:val="24"/>
          <w:lang w:val="en-US" w:eastAsia="zh-CN"/>
        </w:rPr>
        <w:t>响应</w:t>
      </w:r>
      <w:r>
        <w:rPr>
          <w:rFonts w:hint="eastAsia" w:ascii="宋体" w:hAnsi="宋体" w:cs="宋体"/>
          <w:color w:val="auto"/>
          <w:sz w:val="24"/>
          <w:szCs w:val="24"/>
        </w:rPr>
        <w:t>文件格式</w:t>
      </w:r>
      <w:r>
        <w:rPr>
          <w:color w:val="auto"/>
          <w:sz w:val="24"/>
          <w:szCs w:val="24"/>
        </w:rPr>
        <w:tab/>
      </w:r>
      <w:r>
        <w:rPr>
          <w:rFonts w:hint="eastAsia" w:ascii="宋体" w:hAnsi="宋体" w:cs="宋体"/>
          <w:color w:val="auto"/>
          <w:sz w:val="24"/>
          <w:szCs w:val="24"/>
        </w:rPr>
        <w:fldChar w:fldCharType="end"/>
      </w:r>
      <w:r>
        <w:rPr>
          <w:rFonts w:hint="eastAsia" w:cs="宋体"/>
          <w:color w:val="auto"/>
          <w:sz w:val="24"/>
          <w:szCs w:val="24"/>
          <w:lang w:val="en-US" w:eastAsia="zh-CN"/>
        </w:rPr>
        <w:t>44</w:t>
      </w:r>
    </w:p>
    <w:p w14:paraId="53DBB449">
      <w:pPr>
        <w:spacing w:line="400" w:lineRule="exact"/>
        <w:ind w:left="420" w:leftChars="200"/>
        <w:jc w:val="center"/>
        <w:outlineLvl w:val="0"/>
        <w:rPr>
          <w:rFonts w:hint="eastAsia" w:ascii="宋体" w:hAnsi="宋体" w:cs="宋体"/>
          <w:color w:val="auto"/>
          <w:sz w:val="24"/>
          <w:szCs w:val="24"/>
        </w:rPr>
      </w:pPr>
      <w:r>
        <w:rPr>
          <w:rFonts w:hint="eastAsia" w:ascii="宋体" w:hAnsi="宋体" w:cs="宋体"/>
          <w:color w:val="auto"/>
          <w:sz w:val="24"/>
          <w:szCs w:val="24"/>
        </w:rPr>
        <w:fldChar w:fldCharType="end"/>
      </w:r>
    </w:p>
    <w:p w14:paraId="5BDA3C41">
      <w:pPr>
        <w:spacing w:line="400" w:lineRule="exact"/>
        <w:ind w:left="420" w:leftChars="200"/>
        <w:jc w:val="center"/>
        <w:outlineLvl w:val="0"/>
        <w:rPr>
          <w:rFonts w:hint="eastAsia" w:ascii="宋体" w:hAnsi="宋体" w:cs="宋体"/>
          <w:color w:val="auto"/>
          <w:sz w:val="24"/>
          <w:szCs w:val="24"/>
        </w:rPr>
      </w:pPr>
    </w:p>
    <w:p w14:paraId="114B0520">
      <w:pPr>
        <w:spacing w:line="400" w:lineRule="exact"/>
        <w:ind w:left="420" w:leftChars="200"/>
        <w:jc w:val="center"/>
        <w:outlineLvl w:val="0"/>
        <w:rPr>
          <w:rFonts w:hint="eastAsia" w:ascii="宋体" w:hAnsi="宋体" w:cs="宋体"/>
          <w:color w:val="auto"/>
          <w:sz w:val="24"/>
          <w:szCs w:val="24"/>
        </w:rPr>
      </w:pPr>
    </w:p>
    <w:p w14:paraId="21ABCEF5">
      <w:pPr>
        <w:spacing w:line="400" w:lineRule="exact"/>
        <w:ind w:left="420" w:leftChars="200"/>
        <w:jc w:val="center"/>
        <w:outlineLvl w:val="0"/>
        <w:rPr>
          <w:rFonts w:hint="eastAsia" w:ascii="宋体" w:hAnsi="宋体" w:cs="宋体"/>
          <w:color w:val="auto"/>
          <w:sz w:val="24"/>
          <w:szCs w:val="24"/>
        </w:rPr>
      </w:pPr>
    </w:p>
    <w:p w14:paraId="2C18C166">
      <w:pPr>
        <w:spacing w:line="400" w:lineRule="exact"/>
        <w:ind w:left="420" w:leftChars="200"/>
        <w:jc w:val="center"/>
        <w:outlineLvl w:val="0"/>
        <w:rPr>
          <w:rFonts w:hint="eastAsia" w:ascii="宋体" w:hAnsi="宋体" w:cs="宋体"/>
          <w:color w:val="auto"/>
          <w:sz w:val="24"/>
          <w:szCs w:val="24"/>
        </w:rPr>
      </w:pPr>
    </w:p>
    <w:p w14:paraId="7FF1A260">
      <w:pPr>
        <w:spacing w:line="400" w:lineRule="exact"/>
        <w:ind w:left="420" w:leftChars="200"/>
        <w:jc w:val="center"/>
        <w:outlineLvl w:val="0"/>
        <w:rPr>
          <w:rFonts w:hint="eastAsia" w:ascii="宋体" w:hAnsi="宋体" w:cs="宋体"/>
          <w:color w:val="auto"/>
          <w:sz w:val="24"/>
          <w:szCs w:val="24"/>
        </w:rPr>
      </w:pPr>
    </w:p>
    <w:p w14:paraId="6FAFEBF9">
      <w:pPr>
        <w:spacing w:line="400" w:lineRule="exact"/>
        <w:ind w:left="420" w:leftChars="200"/>
        <w:jc w:val="center"/>
        <w:outlineLvl w:val="0"/>
        <w:rPr>
          <w:rFonts w:hint="eastAsia" w:ascii="宋体" w:hAnsi="宋体" w:cs="宋体"/>
          <w:color w:val="auto"/>
          <w:sz w:val="24"/>
          <w:szCs w:val="24"/>
        </w:rPr>
      </w:pPr>
    </w:p>
    <w:p w14:paraId="2D42E870">
      <w:pPr>
        <w:spacing w:line="400" w:lineRule="exact"/>
        <w:ind w:left="420" w:leftChars="200"/>
        <w:jc w:val="center"/>
        <w:outlineLvl w:val="0"/>
        <w:rPr>
          <w:rFonts w:hint="eastAsia" w:ascii="宋体" w:hAnsi="宋体" w:cs="宋体"/>
          <w:color w:val="auto"/>
          <w:sz w:val="24"/>
          <w:szCs w:val="24"/>
        </w:rPr>
      </w:pPr>
    </w:p>
    <w:p w14:paraId="399F7EB2">
      <w:pPr>
        <w:spacing w:line="400" w:lineRule="exact"/>
        <w:ind w:left="420" w:leftChars="200"/>
        <w:jc w:val="center"/>
        <w:outlineLvl w:val="0"/>
        <w:rPr>
          <w:rFonts w:hint="eastAsia" w:ascii="宋体" w:hAnsi="宋体" w:cs="宋体"/>
          <w:color w:val="auto"/>
          <w:sz w:val="24"/>
          <w:szCs w:val="24"/>
        </w:rPr>
      </w:pPr>
    </w:p>
    <w:p w14:paraId="6FBB23E0">
      <w:pPr>
        <w:spacing w:line="400" w:lineRule="exact"/>
        <w:ind w:left="420" w:leftChars="200"/>
        <w:jc w:val="center"/>
        <w:outlineLvl w:val="0"/>
        <w:rPr>
          <w:rFonts w:hint="eastAsia" w:ascii="宋体" w:hAnsi="宋体" w:cs="宋体"/>
          <w:color w:val="auto"/>
          <w:sz w:val="24"/>
          <w:szCs w:val="24"/>
        </w:rPr>
      </w:pPr>
    </w:p>
    <w:p w14:paraId="215379DC">
      <w:pPr>
        <w:spacing w:line="400" w:lineRule="exact"/>
        <w:ind w:left="420" w:leftChars="200"/>
        <w:jc w:val="center"/>
        <w:outlineLvl w:val="0"/>
        <w:rPr>
          <w:rFonts w:hint="eastAsia" w:ascii="宋体" w:hAnsi="宋体" w:cs="宋体"/>
          <w:color w:val="auto"/>
          <w:sz w:val="24"/>
          <w:szCs w:val="24"/>
        </w:rPr>
      </w:pPr>
    </w:p>
    <w:p w14:paraId="5FEB92F6">
      <w:pPr>
        <w:spacing w:line="400" w:lineRule="exact"/>
        <w:ind w:left="420" w:leftChars="200"/>
        <w:jc w:val="center"/>
        <w:outlineLvl w:val="0"/>
        <w:rPr>
          <w:rFonts w:hint="eastAsia" w:ascii="宋体" w:hAnsi="宋体" w:cs="宋体"/>
          <w:color w:val="auto"/>
          <w:sz w:val="24"/>
          <w:szCs w:val="24"/>
        </w:rPr>
      </w:pPr>
    </w:p>
    <w:p w14:paraId="26BC7638">
      <w:pPr>
        <w:spacing w:line="400" w:lineRule="exact"/>
        <w:ind w:left="420" w:leftChars="200"/>
        <w:jc w:val="center"/>
        <w:outlineLvl w:val="0"/>
        <w:rPr>
          <w:rFonts w:hint="eastAsia" w:ascii="宋体" w:hAnsi="宋体" w:cs="宋体"/>
          <w:color w:val="auto"/>
          <w:sz w:val="24"/>
          <w:szCs w:val="24"/>
        </w:rPr>
      </w:pPr>
    </w:p>
    <w:p w14:paraId="4087DF0A">
      <w:pPr>
        <w:spacing w:line="400" w:lineRule="exact"/>
        <w:ind w:left="420" w:leftChars="200"/>
        <w:jc w:val="center"/>
        <w:outlineLvl w:val="0"/>
        <w:rPr>
          <w:rFonts w:hint="eastAsia" w:ascii="宋体" w:hAnsi="宋体" w:cs="宋体"/>
          <w:color w:val="auto"/>
          <w:sz w:val="24"/>
          <w:szCs w:val="24"/>
        </w:rPr>
      </w:pPr>
    </w:p>
    <w:p w14:paraId="4234E79B">
      <w:pPr>
        <w:spacing w:line="400" w:lineRule="exact"/>
        <w:ind w:left="420" w:leftChars="200"/>
        <w:jc w:val="center"/>
        <w:outlineLvl w:val="0"/>
        <w:rPr>
          <w:rFonts w:hint="eastAsia" w:ascii="宋体" w:hAnsi="宋体" w:cs="宋体"/>
          <w:color w:val="auto"/>
          <w:sz w:val="24"/>
          <w:szCs w:val="24"/>
        </w:rPr>
      </w:pPr>
    </w:p>
    <w:p w14:paraId="5249974A">
      <w:pPr>
        <w:spacing w:line="400" w:lineRule="exact"/>
        <w:ind w:left="420" w:leftChars="200"/>
        <w:jc w:val="center"/>
        <w:outlineLvl w:val="0"/>
        <w:rPr>
          <w:rStyle w:val="42"/>
          <w:rFonts w:hint="eastAsia" w:cs="Times New Roman"/>
          <w:b/>
          <w:bCs w:val="0"/>
        </w:rPr>
      </w:pPr>
      <w:r>
        <w:rPr>
          <w:rStyle w:val="42"/>
          <w:rFonts w:hint="eastAsia" w:cs="Times New Roman"/>
          <w:b/>
          <w:bCs w:val="0"/>
        </w:rPr>
        <w:t>第一章 征集公告</w:t>
      </w:r>
      <w:bookmarkEnd w:id="0"/>
    </w:p>
    <w:p w14:paraId="646FFC35">
      <w:pPr>
        <w:pStyle w:val="23"/>
      </w:pPr>
    </w:p>
    <w:p w14:paraId="7A93BAC9">
      <w:pPr>
        <w:widowControl/>
        <w:jc w:val="center"/>
        <w:rPr>
          <w:rFonts w:hint="eastAsia" w:ascii="宋体" w:hAnsi="宋体" w:eastAsia="宋体" w:cs="宋体"/>
          <w:b/>
          <w:bCs/>
          <w:kern w:val="44"/>
          <w:sz w:val="32"/>
          <w:szCs w:val="44"/>
          <w:lang w:val="en-US" w:eastAsia="zh-CN" w:bidi="ar-SA"/>
        </w:rPr>
      </w:pPr>
      <w:r>
        <w:rPr>
          <w:rFonts w:hint="eastAsia" w:ascii="宋体" w:hAnsi="宋体" w:eastAsia="宋体" w:cs="宋体"/>
          <w:b/>
          <w:bCs/>
          <w:kern w:val="44"/>
          <w:sz w:val="32"/>
          <w:szCs w:val="44"/>
          <w:lang w:val="en-US" w:eastAsia="zh-CN" w:bidi="ar-SA"/>
        </w:rPr>
        <w:t>荥阳市公安局交通设施维护服务项目</w:t>
      </w:r>
    </w:p>
    <w:p w14:paraId="5765EB64">
      <w:pPr>
        <w:widowControl/>
        <w:jc w:val="center"/>
        <w:rPr>
          <w:rFonts w:hint="eastAsia" w:ascii="宋体" w:hAnsi="宋体" w:eastAsia="宋体" w:cs="宋体"/>
          <w:b/>
          <w:bCs/>
          <w:kern w:val="44"/>
          <w:sz w:val="32"/>
          <w:szCs w:val="44"/>
          <w:lang w:val="en-US" w:eastAsia="zh-CN" w:bidi="ar-SA"/>
        </w:rPr>
      </w:pPr>
      <w:r>
        <w:rPr>
          <w:rFonts w:hint="eastAsia" w:ascii="宋体" w:hAnsi="宋体" w:eastAsia="宋体" w:cs="宋体"/>
          <w:b/>
          <w:bCs/>
          <w:kern w:val="44"/>
          <w:sz w:val="32"/>
          <w:szCs w:val="44"/>
          <w:lang w:val="en-US" w:eastAsia="zh-CN" w:bidi="ar-SA"/>
        </w:rPr>
        <w:t xml:space="preserve">征集公告   </w:t>
      </w:r>
    </w:p>
    <w:p w14:paraId="0DBACC8E">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bookmarkStart w:id="1" w:name="OLE_LINK32"/>
      <w:r>
        <w:rPr>
          <w:rFonts w:hint="eastAsia" w:ascii="宋体" w:hAnsi="宋体" w:eastAsia="宋体" w:cs="宋体"/>
          <w:sz w:val="21"/>
          <w:szCs w:val="21"/>
          <w:highlight w:val="none"/>
          <w:lang w:val="en-US" w:eastAsia="zh-CN"/>
        </w:rPr>
        <w:t>项目概况</w:t>
      </w:r>
    </w:p>
    <w:p w14:paraId="25544D24">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bookmarkStart w:id="2" w:name="OLE_LINK26"/>
      <w:r>
        <w:rPr>
          <w:rFonts w:hint="eastAsia" w:ascii="宋体" w:hAnsi="宋体" w:eastAsia="宋体" w:cs="宋体"/>
          <w:sz w:val="21"/>
          <w:szCs w:val="21"/>
          <w:highlight w:val="none"/>
          <w:lang w:eastAsia="zh-CN"/>
        </w:rPr>
        <w:t>荥阳市公安局交通设施维护服务项目</w:t>
      </w:r>
      <w:r>
        <w:rPr>
          <w:rFonts w:hint="eastAsia" w:ascii="宋体" w:hAnsi="宋体" w:eastAsia="宋体" w:cs="宋体"/>
          <w:sz w:val="21"/>
          <w:szCs w:val="21"/>
          <w:highlight w:val="none"/>
          <w:lang w:val="en-US" w:eastAsia="zh-CN"/>
        </w:rPr>
        <w:t>的潜在投标人应在荥阳市公共资源交易平台获取招标文件，并于</w:t>
      </w:r>
      <w:r>
        <w:rPr>
          <w:rFonts w:hint="eastAsia" w:ascii="宋体" w:hAnsi="宋体" w:eastAsia="宋体" w:cs="宋体"/>
          <w:b w:val="0"/>
          <w:bCs w:val="0"/>
          <w:color w:val="auto"/>
          <w:sz w:val="21"/>
          <w:szCs w:val="21"/>
          <w:highlight w:val="none"/>
          <w:lang w:val="en-US" w:eastAsia="zh-CN"/>
        </w:rPr>
        <w:t>2025年</w:t>
      </w:r>
      <w:r>
        <w:rPr>
          <w:rFonts w:hint="eastAsia"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lang w:val="en-US" w:eastAsia="zh-CN"/>
        </w:rPr>
        <w:t>月</w:t>
      </w:r>
      <w:r>
        <w:rPr>
          <w:rFonts w:hint="eastAsia" w:cs="宋体"/>
          <w:b w:val="0"/>
          <w:bCs w:val="0"/>
          <w:color w:val="auto"/>
          <w:sz w:val="21"/>
          <w:szCs w:val="21"/>
          <w:highlight w:val="none"/>
          <w:lang w:val="en-US" w:eastAsia="zh-CN"/>
        </w:rPr>
        <w:t>11</w:t>
      </w:r>
      <w:r>
        <w:rPr>
          <w:rFonts w:hint="eastAsia" w:ascii="宋体" w:hAnsi="宋体" w:eastAsia="宋体" w:cs="宋体"/>
          <w:b w:val="0"/>
          <w:bCs w:val="0"/>
          <w:color w:val="auto"/>
          <w:sz w:val="21"/>
          <w:szCs w:val="21"/>
          <w:highlight w:val="none"/>
          <w:lang w:val="en-US" w:eastAsia="zh-CN"/>
        </w:rPr>
        <w:t>日09时00分（北京时间）</w:t>
      </w:r>
      <w:r>
        <w:rPr>
          <w:rFonts w:hint="eastAsia" w:ascii="宋体" w:hAnsi="宋体" w:eastAsia="宋体" w:cs="宋体"/>
          <w:sz w:val="21"/>
          <w:szCs w:val="21"/>
          <w:highlight w:val="none"/>
          <w:lang w:val="en-US" w:eastAsia="zh-CN"/>
        </w:rPr>
        <w:t>前递交投标文件。</w:t>
      </w:r>
    </w:p>
    <w:bookmarkEnd w:id="2"/>
    <w:p w14:paraId="38600E78">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一、项目基本情况 </w:t>
      </w:r>
    </w:p>
    <w:p w14:paraId="196BABBC">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1、项目编号：荥财公开-202</w:t>
      </w:r>
      <w:r>
        <w:rPr>
          <w:rFonts w:hint="eastAsia" w:ascii="宋体" w:hAnsi="宋体" w:eastAsia="宋体" w:cs="宋体"/>
          <w:color w:val="auto"/>
          <w:sz w:val="21"/>
          <w:szCs w:val="21"/>
          <w:highlight w:val="none"/>
          <w:lang w:val="en-US" w:eastAsia="zh-CN"/>
        </w:rPr>
        <w:t>5-</w:t>
      </w:r>
      <w:r>
        <w:rPr>
          <w:rFonts w:hint="eastAsia" w:cs="宋体"/>
          <w:color w:val="auto"/>
          <w:sz w:val="21"/>
          <w:szCs w:val="21"/>
          <w:highlight w:val="none"/>
          <w:lang w:val="en-US" w:eastAsia="zh-CN"/>
        </w:rPr>
        <w:t>18</w:t>
      </w:r>
      <w:r>
        <w:rPr>
          <w:rFonts w:hint="eastAsia" w:ascii="宋体" w:hAnsi="宋体" w:eastAsia="宋体" w:cs="宋体"/>
          <w:color w:val="auto"/>
          <w:sz w:val="21"/>
          <w:szCs w:val="21"/>
          <w:highlight w:val="none"/>
          <w:lang w:val="en-US" w:eastAsia="zh-CN"/>
        </w:rPr>
        <w:t xml:space="preserve">  </w:t>
      </w:r>
    </w:p>
    <w:p w14:paraId="1B4EC60B">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2、项目名称</w:t>
      </w:r>
      <w:bookmarkStart w:id="3" w:name="OLE_LINK15"/>
      <w:r>
        <w:rPr>
          <w:rFonts w:hint="eastAsia" w:ascii="宋体" w:hAnsi="宋体" w:eastAsia="宋体" w:cs="宋体"/>
          <w:sz w:val="21"/>
          <w:szCs w:val="21"/>
          <w:highlight w:val="none"/>
        </w:rPr>
        <w:t>：</w:t>
      </w:r>
      <w:bookmarkEnd w:id="3"/>
      <w:r>
        <w:rPr>
          <w:rFonts w:hint="eastAsia" w:ascii="宋体" w:hAnsi="宋体" w:eastAsia="宋体" w:cs="宋体"/>
          <w:sz w:val="21"/>
          <w:szCs w:val="21"/>
          <w:highlight w:val="none"/>
          <w:lang w:eastAsia="zh-CN"/>
        </w:rPr>
        <w:t>荥阳市公安局交通设施维护服务项目</w:t>
      </w:r>
    </w:p>
    <w:p w14:paraId="0FB8EA58">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3、采购方式：公开招标 </w:t>
      </w:r>
    </w:p>
    <w:p w14:paraId="66641777">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4、预算金额：</w:t>
      </w:r>
      <w:bookmarkStart w:id="4" w:name="OLE_LINK27"/>
      <w:r>
        <w:rPr>
          <w:rFonts w:hint="eastAsia" w:ascii="宋体" w:hAnsi="宋体" w:eastAsia="宋体" w:cs="宋体"/>
          <w:color w:val="auto"/>
          <w:sz w:val="21"/>
          <w:szCs w:val="21"/>
          <w:highlight w:val="none"/>
          <w:lang w:val="en-US" w:eastAsia="zh-CN"/>
        </w:rPr>
        <w:t>2900000.00</w:t>
      </w:r>
      <w:r>
        <w:rPr>
          <w:rFonts w:hint="eastAsia" w:ascii="宋体" w:hAnsi="宋体" w:eastAsia="宋体" w:cs="宋体"/>
          <w:color w:val="auto"/>
          <w:sz w:val="21"/>
          <w:szCs w:val="21"/>
          <w:highlight w:val="none"/>
        </w:rPr>
        <w:t>元</w:t>
      </w:r>
      <w:bookmarkEnd w:id="4"/>
    </w:p>
    <w:p w14:paraId="60B7AE70">
      <w:pPr>
        <w:keepNext w:val="0"/>
        <w:keepLines w:val="0"/>
        <w:pageBreakBefore w:val="0"/>
        <w:widowControl w:val="0"/>
        <w:kinsoku/>
        <w:wordWrap/>
        <w:overflowPunct/>
        <w:topLinePunct w:val="0"/>
        <w:autoSpaceDE/>
        <w:autoSpaceDN/>
        <w:bidi w:val="0"/>
        <w:adjustRightInd/>
        <w:snapToGrid/>
        <w:spacing w:line="480" w:lineRule="exact"/>
        <w:ind w:firstLine="630" w:firstLineChars="3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最高限价：</w:t>
      </w:r>
      <w:r>
        <w:rPr>
          <w:rFonts w:hint="eastAsia" w:ascii="宋体" w:hAnsi="宋体" w:eastAsia="宋体" w:cs="宋体"/>
          <w:color w:val="auto"/>
          <w:sz w:val="21"/>
          <w:szCs w:val="21"/>
          <w:highlight w:val="none"/>
          <w:lang w:val="en-US" w:eastAsia="zh-CN"/>
        </w:rPr>
        <w:t>2900000.00</w:t>
      </w:r>
      <w:r>
        <w:rPr>
          <w:rFonts w:hint="eastAsia" w:ascii="宋体" w:hAnsi="宋体" w:eastAsia="宋体" w:cs="宋体"/>
          <w:color w:val="auto"/>
          <w:sz w:val="21"/>
          <w:szCs w:val="21"/>
          <w:highlight w:val="none"/>
        </w:rPr>
        <w:t>元</w:t>
      </w:r>
    </w:p>
    <w:tbl>
      <w:tblPr>
        <w:tblStyle w:val="32"/>
        <w:tblW w:w="8284" w:type="dxa"/>
        <w:tblInd w:w="5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1305"/>
        <w:gridCol w:w="1725"/>
        <w:gridCol w:w="1350"/>
        <w:gridCol w:w="1500"/>
        <w:gridCol w:w="1755"/>
      </w:tblGrid>
      <w:tr w14:paraId="7B86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649" w:type="dxa"/>
            <w:noWrap w:val="0"/>
            <w:vAlign w:val="center"/>
          </w:tcPr>
          <w:p w14:paraId="77C3014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序号</w:t>
            </w:r>
          </w:p>
        </w:tc>
        <w:tc>
          <w:tcPr>
            <w:tcW w:w="1305" w:type="dxa"/>
            <w:noWrap w:val="0"/>
            <w:vAlign w:val="center"/>
          </w:tcPr>
          <w:p w14:paraId="5B03011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包号</w:t>
            </w:r>
          </w:p>
        </w:tc>
        <w:tc>
          <w:tcPr>
            <w:tcW w:w="1725" w:type="dxa"/>
            <w:noWrap w:val="0"/>
            <w:vAlign w:val="center"/>
          </w:tcPr>
          <w:p w14:paraId="7561373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包名称</w:t>
            </w:r>
          </w:p>
        </w:tc>
        <w:tc>
          <w:tcPr>
            <w:tcW w:w="1350" w:type="dxa"/>
            <w:noWrap w:val="0"/>
            <w:vAlign w:val="center"/>
          </w:tcPr>
          <w:p w14:paraId="57BBEB4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包最高限价（元）</w:t>
            </w:r>
          </w:p>
        </w:tc>
        <w:tc>
          <w:tcPr>
            <w:tcW w:w="1500" w:type="dxa"/>
            <w:noWrap w:val="0"/>
            <w:vAlign w:val="center"/>
          </w:tcPr>
          <w:p w14:paraId="43DC421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rPr>
              <w:t>是否专门面向中小企业</w:t>
            </w:r>
          </w:p>
        </w:tc>
        <w:tc>
          <w:tcPr>
            <w:tcW w:w="1755" w:type="dxa"/>
            <w:noWrap w:val="0"/>
            <w:vAlign w:val="center"/>
          </w:tcPr>
          <w:p w14:paraId="485998A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highlight w:val="none"/>
                <w:lang w:eastAsia="zh-CN"/>
              </w:rPr>
            </w:pPr>
            <w:r>
              <w:rPr>
                <w:rFonts w:hint="eastAsia" w:ascii="宋体" w:hAnsi="宋体" w:eastAsia="宋体" w:cs="宋体"/>
                <w:color w:val="auto"/>
                <w:sz w:val="21"/>
                <w:szCs w:val="21"/>
                <w:highlight w:val="none"/>
              </w:rPr>
              <w:t>采购预留金额（元）</w:t>
            </w:r>
          </w:p>
        </w:tc>
      </w:tr>
      <w:tr w14:paraId="32C69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649" w:type="dxa"/>
            <w:noWrap w:val="0"/>
            <w:vAlign w:val="center"/>
          </w:tcPr>
          <w:p w14:paraId="5C95BA1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w:t>
            </w:r>
          </w:p>
        </w:tc>
        <w:tc>
          <w:tcPr>
            <w:tcW w:w="1305" w:type="dxa"/>
            <w:noWrap w:val="0"/>
            <w:vAlign w:val="center"/>
          </w:tcPr>
          <w:p w14:paraId="5CE8AEB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荥财公开-2025-</w:t>
            </w:r>
            <w:r>
              <w:rPr>
                <w:rFonts w:hint="eastAsia" w:cs="宋体"/>
                <w:color w:val="auto"/>
                <w:sz w:val="21"/>
                <w:szCs w:val="21"/>
                <w:highlight w:val="none"/>
                <w:lang w:val="en-US" w:eastAsia="zh-CN"/>
              </w:rPr>
              <w:t>18</w:t>
            </w:r>
            <w:r>
              <w:rPr>
                <w:rFonts w:hint="eastAsia" w:ascii="宋体" w:hAnsi="宋体" w:eastAsia="宋体" w:cs="宋体"/>
                <w:color w:val="auto"/>
                <w:sz w:val="21"/>
                <w:szCs w:val="21"/>
                <w:highlight w:val="none"/>
                <w:lang w:val="en-US" w:eastAsia="zh-CN"/>
              </w:rPr>
              <w:t>-1</w:t>
            </w:r>
          </w:p>
        </w:tc>
        <w:tc>
          <w:tcPr>
            <w:tcW w:w="1725" w:type="dxa"/>
            <w:noWrap w:val="0"/>
            <w:vAlign w:val="center"/>
          </w:tcPr>
          <w:p w14:paraId="2423C67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eastAsia="zh-CN"/>
              </w:rPr>
              <w:t>荥阳市公安局交通设施维护服务项目</w:t>
            </w:r>
          </w:p>
        </w:tc>
        <w:tc>
          <w:tcPr>
            <w:tcW w:w="1350" w:type="dxa"/>
            <w:noWrap w:val="0"/>
            <w:vAlign w:val="center"/>
          </w:tcPr>
          <w:p w14:paraId="47FBE8C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2900000.00</w:t>
            </w:r>
          </w:p>
        </w:tc>
        <w:tc>
          <w:tcPr>
            <w:tcW w:w="1500" w:type="dxa"/>
            <w:noWrap w:val="0"/>
            <w:vAlign w:val="center"/>
          </w:tcPr>
          <w:p w14:paraId="76AC3149">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w:t>
            </w:r>
          </w:p>
        </w:tc>
        <w:tc>
          <w:tcPr>
            <w:tcW w:w="1755" w:type="dxa"/>
            <w:noWrap w:val="0"/>
            <w:vAlign w:val="center"/>
          </w:tcPr>
          <w:p w14:paraId="2A2BD689">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2900000.00</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其中小微企业采购金额</w:t>
            </w:r>
            <w:r>
              <w:rPr>
                <w:rFonts w:hint="eastAsia" w:ascii="宋体" w:hAnsi="宋体" w:eastAsia="宋体" w:cs="宋体"/>
                <w:i w:val="0"/>
                <w:iCs w:val="0"/>
                <w:caps w:val="0"/>
                <w:color w:val="auto"/>
                <w:spacing w:val="0"/>
                <w:sz w:val="21"/>
                <w:szCs w:val="21"/>
                <w:shd w:val="clear" w:color="auto" w:fill="FFFFFF"/>
              </w:rPr>
              <w:t>：</w:t>
            </w:r>
            <w:r>
              <w:rPr>
                <w:rFonts w:hint="eastAsia" w:ascii="宋体" w:hAnsi="宋体" w:eastAsia="宋体" w:cs="宋体"/>
                <w:color w:val="auto"/>
                <w:sz w:val="21"/>
                <w:szCs w:val="21"/>
                <w:highlight w:val="none"/>
                <w:lang w:val="en-US" w:eastAsia="zh-CN"/>
              </w:rPr>
              <w:t>0</w:t>
            </w:r>
          </w:p>
        </w:tc>
      </w:tr>
    </w:tbl>
    <w:p w14:paraId="6ED31910">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bookmarkStart w:id="5" w:name="OLE_LINK31"/>
      <w:r>
        <w:rPr>
          <w:rFonts w:hint="eastAsia" w:ascii="宋体" w:hAnsi="宋体" w:eastAsia="宋体" w:cs="宋体"/>
          <w:sz w:val="21"/>
          <w:szCs w:val="21"/>
          <w:highlight w:val="none"/>
        </w:rPr>
        <w:t xml:space="preserve">5、采购需求（包括但不限于标的的名称、数量、简要技术需求或服务要求等） </w:t>
      </w:r>
    </w:p>
    <w:p w14:paraId="491351A3">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bookmarkStart w:id="6" w:name="OLE_LINK30"/>
      <w:r>
        <w:rPr>
          <w:rFonts w:hint="eastAsia" w:ascii="宋体" w:hAnsi="宋体" w:eastAsia="宋体" w:cs="宋体"/>
          <w:sz w:val="21"/>
          <w:szCs w:val="21"/>
          <w:highlight w:val="none"/>
        </w:rPr>
        <w:t>5.1</w:t>
      </w:r>
      <w:r>
        <w:rPr>
          <w:rFonts w:hint="eastAsia" w:ascii="宋体" w:hAnsi="宋体" w:eastAsia="宋体" w:cs="宋体"/>
          <w:sz w:val="21"/>
          <w:szCs w:val="21"/>
          <w:highlight w:val="none"/>
          <w:lang w:val="en-US" w:eastAsia="zh-CN"/>
        </w:rPr>
        <w:t>采购内容：荥阳市公安局交通设施维护服务项目是对荥阳市道路交通信号灯、标线、标牌、隔离栏等破损、故障设施进行维护管理的服务项目。</w:t>
      </w:r>
    </w:p>
    <w:p w14:paraId="3F20CF00">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bCs/>
          <w:color w:val="auto"/>
          <w:sz w:val="21"/>
          <w:szCs w:val="21"/>
          <w:highlight w:val="none"/>
        </w:rPr>
      </w:pPr>
      <w:r>
        <w:rPr>
          <w:rFonts w:hint="eastAsia" w:ascii="宋体" w:hAnsi="宋体" w:eastAsia="宋体" w:cs="宋体"/>
          <w:sz w:val="21"/>
          <w:szCs w:val="21"/>
          <w:highlight w:val="none"/>
          <w:lang w:val="en-US" w:eastAsia="zh-CN"/>
        </w:rPr>
        <w:t>5.2</w:t>
      </w:r>
      <w:r>
        <w:rPr>
          <w:rFonts w:hint="eastAsia" w:ascii="宋体" w:hAnsi="宋体" w:eastAsia="宋体" w:cs="宋体"/>
          <w:bCs/>
          <w:color w:val="auto"/>
          <w:sz w:val="21"/>
          <w:szCs w:val="21"/>
          <w:highlight w:val="none"/>
          <w:lang w:val="en-US" w:eastAsia="zh-CN"/>
        </w:rPr>
        <w:t>框架协议类型</w:t>
      </w:r>
      <w:r>
        <w:rPr>
          <w:rFonts w:hint="eastAsia" w:ascii="宋体" w:hAnsi="宋体" w:eastAsia="宋体" w:cs="宋体"/>
          <w:bCs/>
          <w:color w:val="auto"/>
          <w:sz w:val="21"/>
          <w:szCs w:val="21"/>
          <w:highlight w:val="none"/>
        </w:rPr>
        <w:t>：封闭式框架协议。</w:t>
      </w:r>
    </w:p>
    <w:p w14:paraId="2649EBFD">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5.3</w:t>
      </w:r>
      <w:r>
        <w:rPr>
          <w:rFonts w:hint="eastAsia" w:ascii="宋体" w:hAnsi="宋体" w:eastAsia="宋体" w:cs="宋体"/>
          <w:bCs/>
          <w:color w:val="auto"/>
          <w:sz w:val="21"/>
          <w:szCs w:val="21"/>
          <w:highlight w:val="none"/>
        </w:rPr>
        <w:t>入围供应商数量：</w:t>
      </w:r>
      <w:r>
        <w:rPr>
          <w:rFonts w:hint="eastAsia" w:ascii="宋体" w:hAnsi="宋体" w:eastAsia="宋体" w:cs="宋体"/>
          <w:bCs/>
          <w:color w:val="auto"/>
          <w:sz w:val="21"/>
          <w:szCs w:val="21"/>
          <w:highlight w:val="none"/>
          <w:lang w:val="en-US" w:eastAsia="zh-CN"/>
        </w:rPr>
        <w:t>选聘三家交通设施维护公司</w:t>
      </w:r>
      <w:r>
        <w:rPr>
          <w:rFonts w:hint="eastAsia" w:ascii="宋体" w:hAnsi="宋体" w:eastAsia="宋体" w:cs="宋体"/>
          <w:bCs/>
          <w:color w:val="auto"/>
          <w:sz w:val="21"/>
          <w:szCs w:val="21"/>
          <w:highlight w:val="none"/>
        </w:rPr>
        <w:t>。</w:t>
      </w:r>
    </w:p>
    <w:p w14:paraId="56E88371">
      <w:pPr>
        <w:pStyle w:val="30"/>
        <w:keepNext w:val="0"/>
        <w:keepLines w:val="0"/>
        <w:pageBreakBefore w:val="0"/>
        <w:widowControl w:val="0"/>
        <w:kinsoku/>
        <w:wordWrap/>
        <w:overflowPunct/>
        <w:topLinePunct w:val="0"/>
        <w:autoSpaceDE/>
        <w:autoSpaceDN/>
        <w:bidi w:val="0"/>
        <w:adjustRightInd/>
        <w:snapToGrid/>
        <w:spacing w:line="480" w:lineRule="exact"/>
        <w:ind w:left="0" w:leftChars="0" w:firstLine="420" w:firstLineChars="200"/>
        <w:jc w:val="left"/>
        <w:textAlignment w:val="auto"/>
        <w:rPr>
          <w:rFonts w:hint="eastAsia" w:ascii="宋体" w:hAnsi="宋体" w:eastAsia="宋体" w:cs="宋体"/>
          <w:spacing w:val="8"/>
          <w:sz w:val="21"/>
          <w:szCs w:val="21"/>
        </w:rPr>
      </w:pPr>
      <w:r>
        <w:rPr>
          <w:rFonts w:hint="eastAsia" w:ascii="宋体" w:hAnsi="宋体" w:eastAsia="宋体" w:cs="宋体"/>
          <w:sz w:val="21"/>
          <w:szCs w:val="21"/>
          <w:highlight w:val="none"/>
          <w:lang w:val="en-US" w:eastAsia="zh-CN"/>
        </w:rPr>
        <w:t>5.4质量要求：</w:t>
      </w:r>
      <w:r>
        <w:rPr>
          <w:rFonts w:hint="eastAsia" w:ascii="宋体" w:hAnsi="宋体" w:eastAsia="宋体" w:cs="宋体"/>
          <w:spacing w:val="8"/>
          <w:sz w:val="21"/>
          <w:szCs w:val="21"/>
        </w:rPr>
        <w:t>符合国家</w:t>
      </w:r>
      <w:r>
        <w:rPr>
          <w:rFonts w:hint="eastAsia" w:cs="宋体"/>
          <w:spacing w:val="8"/>
          <w:sz w:val="21"/>
          <w:szCs w:val="21"/>
          <w:lang w:val="en-US" w:eastAsia="zh-CN"/>
        </w:rPr>
        <w:t>及行业相关要求合格标准，且满足采购人要求</w:t>
      </w:r>
      <w:r>
        <w:rPr>
          <w:rFonts w:hint="eastAsia" w:ascii="宋体" w:hAnsi="宋体" w:eastAsia="宋体" w:cs="宋体"/>
          <w:spacing w:val="8"/>
          <w:sz w:val="21"/>
          <w:szCs w:val="21"/>
        </w:rPr>
        <w:t>；</w:t>
      </w:r>
    </w:p>
    <w:p w14:paraId="5127C5EA">
      <w:pPr>
        <w:pStyle w:val="30"/>
        <w:keepNext w:val="0"/>
        <w:keepLines w:val="0"/>
        <w:pageBreakBefore w:val="0"/>
        <w:widowControl w:val="0"/>
        <w:kinsoku/>
        <w:wordWrap/>
        <w:overflowPunct/>
        <w:topLinePunct w:val="0"/>
        <w:autoSpaceDE/>
        <w:autoSpaceDN/>
        <w:bidi w:val="0"/>
        <w:adjustRightInd/>
        <w:snapToGrid/>
        <w:spacing w:line="480" w:lineRule="exact"/>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bookmarkStart w:id="7" w:name="OLE_LINK10"/>
      <w:r>
        <w:rPr>
          <w:rFonts w:hint="eastAsia" w:ascii="宋体" w:hAnsi="宋体" w:eastAsia="宋体" w:cs="宋体"/>
          <w:color w:val="auto"/>
          <w:sz w:val="21"/>
          <w:szCs w:val="21"/>
          <w:highlight w:val="none"/>
          <w:lang w:val="en-US" w:eastAsia="zh-CN"/>
        </w:rPr>
        <w:t>5框架协议期</w:t>
      </w:r>
      <w:bookmarkEnd w:id="7"/>
      <w:r>
        <w:rPr>
          <w:rFonts w:hint="eastAsia" w:ascii="宋体" w:hAnsi="宋体" w:eastAsia="宋体" w:cs="宋体"/>
          <w:color w:val="auto"/>
          <w:sz w:val="21"/>
          <w:szCs w:val="21"/>
          <w:highlight w:val="none"/>
          <w:lang w:val="en-US" w:eastAsia="zh-CN"/>
        </w:rPr>
        <w:t>限：1年（自合同签订之日起）；</w:t>
      </w:r>
    </w:p>
    <w:p w14:paraId="5384CAEA">
      <w:pPr>
        <w:pStyle w:val="30"/>
        <w:keepNext w:val="0"/>
        <w:keepLines w:val="0"/>
        <w:pageBreakBefore w:val="0"/>
        <w:widowControl w:val="0"/>
        <w:numPr>
          <w:ilvl w:val="0"/>
          <w:numId w:val="2"/>
        </w:numPr>
        <w:kinsoku/>
        <w:wordWrap/>
        <w:overflowPunct/>
        <w:topLinePunct w:val="0"/>
        <w:autoSpaceDE/>
        <w:autoSpaceDN/>
        <w:bidi w:val="0"/>
        <w:adjustRightInd/>
        <w:snapToGrid/>
        <w:spacing w:line="480" w:lineRule="exact"/>
        <w:ind w:left="0" w:leftChars="0"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合同履行期限：同</w:t>
      </w:r>
      <w:r>
        <w:rPr>
          <w:rFonts w:hint="eastAsia" w:ascii="宋体" w:hAnsi="宋体" w:eastAsia="宋体" w:cs="宋体"/>
          <w:color w:val="auto"/>
          <w:sz w:val="21"/>
          <w:szCs w:val="21"/>
          <w:highlight w:val="none"/>
          <w:lang w:val="en-US" w:eastAsia="zh-CN"/>
        </w:rPr>
        <w:t>框架协议期限</w:t>
      </w:r>
    </w:p>
    <w:p w14:paraId="68554679">
      <w:pPr>
        <w:pStyle w:val="30"/>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7、本项目是否接受联合体投标：否 </w:t>
      </w:r>
    </w:p>
    <w:p w14:paraId="78FF74EB">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8、是否接受进口产品：否</w:t>
      </w:r>
    </w:p>
    <w:p w14:paraId="69648B06">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9、是否专门面向中小企业：</w:t>
      </w:r>
      <w:bookmarkEnd w:id="5"/>
      <w:bookmarkEnd w:id="6"/>
      <w:r>
        <w:rPr>
          <w:rFonts w:hint="eastAsia" w:ascii="宋体" w:hAnsi="宋体" w:eastAsia="宋体" w:cs="宋体"/>
          <w:color w:val="auto"/>
          <w:sz w:val="21"/>
          <w:szCs w:val="21"/>
          <w:highlight w:val="none"/>
          <w:lang w:val="en-US" w:eastAsia="zh-CN"/>
        </w:rPr>
        <w:t>是</w:t>
      </w:r>
    </w:p>
    <w:p w14:paraId="5C12961E">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二、申请人资格要求： </w:t>
      </w:r>
    </w:p>
    <w:p w14:paraId="35AAB26E">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both"/>
        <w:textAlignment w:val="auto"/>
        <w:rPr>
          <w:rFonts w:hint="eastAsia" w:ascii="宋体" w:hAnsi="宋体" w:eastAsia="宋体" w:cs="宋体"/>
          <w:color w:val="auto"/>
          <w:sz w:val="21"/>
          <w:szCs w:val="21"/>
        </w:rPr>
      </w:pPr>
      <w:bookmarkStart w:id="8" w:name="OLE_LINK25"/>
      <w:r>
        <w:rPr>
          <w:rFonts w:hint="eastAsia" w:ascii="宋体" w:hAnsi="宋体" w:eastAsia="宋体" w:cs="宋体"/>
          <w:color w:val="auto"/>
          <w:sz w:val="21"/>
          <w:szCs w:val="21"/>
          <w:highlight w:val="none"/>
        </w:rPr>
        <w:t>1、</w:t>
      </w:r>
      <w:bookmarkStart w:id="9" w:name="OLE_LINK3"/>
      <w:r>
        <w:rPr>
          <w:rFonts w:hint="eastAsia" w:ascii="宋体" w:hAnsi="宋体" w:eastAsia="宋体" w:cs="宋体"/>
          <w:color w:val="auto"/>
          <w:sz w:val="21"/>
          <w:szCs w:val="21"/>
          <w:highlight w:val="none"/>
        </w:rPr>
        <w:t>满足《中华人民共和国政府采购法》第二十</w:t>
      </w:r>
      <w:r>
        <w:rPr>
          <w:rFonts w:hint="eastAsia" w:ascii="宋体" w:hAnsi="宋体" w:eastAsia="宋体" w:cs="宋体"/>
          <w:color w:val="auto"/>
          <w:sz w:val="21"/>
          <w:szCs w:val="21"/>
        </w:rPr>
        <w:t>二条规定</w:t>
      </w:r>
      <w:bookmarkEnd w:id="9"/>
      <w:r>
        <w:rPr>
          <w:rFonts w:hint="eastAsia" w:ascii="宋体" w:hAnsi="宋体" w:eastAsia="宋体" w:cs="宋体"/>
          <w:color w:val="auto"/>
          <w:sz w:val="21"/>
          <w:szCs w:val="21"/>
        </w:rPr>
        <w:t xml:space="preserve">； </w:t>
      </w:r>
    </w:p>
    <w:p w14:paraId="079755C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jc w:val="both"/>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color w:val="auto"/>
          <w:sz w:val="21"/>
          <w:szCs w:val="21"/>
          <w:highlight w:val="none"/>
        </w:rPr>
        <w:t>2、落</w:t>
      </w:r>
      <w:r>
        <w:rPr>
          <w:rFonts w:hint="eastAsia" w:ascii="宋体" w:hAnsi="宋体" w:eastAsia="宋体" w:cs="宋体"/>
          <w:b w:val="0"/>
          <w:color w:val="auto"/>
          <w:kern w:val="2"/>
          <w:sz w:val="21"/>
          <w:szCs w:val="21"/>
          <w:highlight w:val="none"/>
          <w:lang w:val="en-US" w:eastAsia="zh-CN" w:bidi="ar-SA"/>
        </w:rPr>
        <w:t>实政府采购政策满足的资格要求：</w:t>
      </w:r>
    </w:p>
    <w:p w14:paraId="1A75502C">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30" w:firstLineChars="300"/>
        <w:jc w:val="left"/>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本项目属于专门面向中小企业采购的项目。供应商应为中小微企业（监狱企业、残疾人福利性企业视同小微企业），须提供《中小企业声明函》或残疾人福利性单位声明函或监狱企业证明材料。</w:t>
      </w:r>
    </w:p>
    <w:p w14:paraId="03135DC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本项目的特定资格要求 </w:t>
      </w:r>
    </w:p>
    <w:p w14:paraId="12E22D26">
      <w:pPr>
        <w:keepNext w:val="0"/>
        <w:keepLines w:val="0"/>
        <w:pageBreakBefore w:val="0"/>
        <w:widowControl w:val="0"/>
        <w:tabs>
          <w:tab w:val="left" w:pos="354"/>
        </w:tabs>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3.1供应商须具有独立法人资格</w:t>
      </w:r>
      <w:r>
        <w:rPr>
          <w:rFonts w:hint="eastAsia" w:cs="宋体"/>
          <w:color w:val="auto"/>
          <w:sz w:val="21"/>
          <w:szCs w:val="21"/>
          <w:highlight w:val="none"/>
          <w:lang w:val="en-US" w:eastAsia="zh-CN"/>
        </w:rPr>
        <w:t>且具备</w:t>
      </w:r>
      <w:r>
        <w:rPr>
          <w:rFonts w:hint="eastAsia" w:ascii="宋体" w:hAnsi="宋体" w:eastAsia="宋体" w:cs="宋体"/>
          <w:color w:val="auto"/>
          <w:sz w:val="21"/>
          <w:szCs w:val="21"/>
          <w:highlight w:val="none"/>
          <w:lang w:val="en-US" w:eastAsia="zh-CN"/>
        </w:rPr>
        <w:t>有效期范围内的营业执照。</w:t>
      </w:r>
    </w:p>
    <w:p w14:paraId="4F3F5D28">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2根据《财政部关于在政府采购活动中查询及使用信用记录有关问题的通知》(财库[2016]125号)和豫财购【2016】15号的规定，对列入失信被执行人、重大税收违法失信主体、政府采购严重违法失信行为记录名单的供应商，拒绝参与本项目政府采购活动；通过“中国执行信息公开网”（zxgk.court.gov.cn）查询失信被执行人、“信用中国”网站（www.creditchina.gov.cn）查询重大税收违法失信主体、“中国政府采购网”（www.ccgp.gov.cn）查询政府采购严重违法失信行为记录名单，提供加盖单位公章的查询网页截图（截图内容要完整清晰）。注：采购代理机构在开标当天将对所有参与本项目投标的供应商的信用情况进行查询、打印留存。若在开标当天查询到供应商有相关负面信息的，则该供应商不能通过资格性审查。</w:t>
      </w:r>
    </w:p>
    <w:p w14:paraId="4A2484E1">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单位负责人为同一人或存在直接控股、管理关系的不同供应商，不得参加同一合同项下的政府采购活动。【提供在“国家企业信用信息公示系统”中查询打印的相关材料并加盖公章（需显示公司基本信息、主要人员信息、股东信息），查询日期在本公告发布日期之后】</w:t>
      </w:r>
    </w:p>
    <w:p w14:paraId="1656E435">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End w:id="8"/>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除单一来源外，为本项目提供整体设计、规范编制或者项目管理、监理、检测等服务的供应商，不得再参加该采购项目的其他采购活动。（供应商自行承诺）</w:t>
      </w:r>
    </w:p>
    <w:p w14:paraId="29F3416C">
      <w:pPr>
        <w:keepNext w:val="0"/>
        <w:keepLines w:val="0"/>
        <w:pageBreakBefore w:val="0"/>
        <w:widowControl w:val="0"/>
        <w:kinsoku/>
        <w:wordWrap/>
        <w:overflowPunct/>
        <w:topLinePunct w:val="0"/>
        <w:autoSpaceDE/>
        <w:autoSpaceDN/>
        <w:bidi w:val="0"/>
        <w:adjustRightInd/>
        <w:snapToGrid/>
        <w:spacing w:line="48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三、获取招标文件 </w:t>
      </w:r>
    </w:p>
    <w:p w14:paraId="37985653">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1.时间：2025年</w:t>
      </w:r>
      <w:r>
        <w:rPr>
          <w:rFonts w:hint="eastAsia"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月</w:t>
      </w:r>
      <w:r>
        <w:rPr>
          <w:rFonts w:hint="eastAsia" w:cs="宋体"/>
          <w:color w:val="auto"/>
          <w:sz w:val="21"/>
          <w:szCs w:val="21"/>
          <w:highlight w:val="none"/>
          <w:lang w:val="en-US" w:eastAsia="zh-CN"/>
        </w:rPr>
        <w:t>20</w:t>
      </w:r>
      <w:r>
        <w:rPr>
          <w:rFonts w:hint="eastAsia" w:ascii="宋体" w:hAnsi="宋体" w:eastAsia="宋体" w:cs="宋体"/>
          <w:color w:val="auto"/>
          <w:sz w:val="21"/>
          <w:szCs w:val="21"/>
          <w:highlight w:val="none"/>
          <w:lang w:val="en-US" w:eastAsia="zh-CN"/>
        </w:rPr>
        <w:t>日至2025年</w:t>
      </w:r>
      <w:r>
        <w:rPr>
          <w:rFonts w:hint="eastAsia"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月</w:t>
      </w:r>
      <w:r>
        <w:rPr>
          <w:rFonts w:hint="eastAsia" w:cs="宋体"/>
          <w:color w:val="auto"/>
          <w:sz w:val="21"/>
          <w:szCs w:val="21"/>
          <w:highlight w:val="none"/>
          <w:lang w:val="en-US" w:eastAsia="zh-CN"/>
        </w:rPr>
        <w:t>24</w:t>
      </w:r>
      <w:r>
        <w:rPr>
          <w:rFonts w:hint="eastAsia" w:ascii="宋体" w:hAnsi="宋体" w:eastAsia="宋体" w:cs="宋体"/>
          <w:color w:val="auto"/>
          <w:sz w:val="21"/>
          <w:szCs w:val="21"/>
          <w:highlight w:val="none"/>
          <w:lang w:val="en-US" w:eastAsia="zh-CN"/>
        </w:rPr>
        <w:t xml:space="preserve">日，每天上午00:00至11:59，下午12:00至23:59（北京时间，法定节假日除外。） </w:t>
      </w:r>
    </w:p>
    <w:p w14:paraId="62B4BE23">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2.地点：荥阳市公共资源交易平台 </w:t>
      </w:r>
    </w:p>
    <w:p w14:paraId="0E330492">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3.方式：凡有意参加投标者，登陆荥阳市公共资源交易中心网站—办事指南—参照《荥阳市公共资源电子交易平台诚信库入库登记指南》《荥阳市公共资源中心交易主体CA数字证书办理服务指南》绑定CA数字证书，填写信息提交系统自动验证。在规定时间下载电子招标文件（具体办理事宜请登陆交易中心网站-办事指南-《投标人操作指南》） </w:t>
      </w:r>
    </w:p>
    <w:p w14:paraId="544FBE23">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4.售价：0元 </w:t>
      </w:r>
    </w:p>
    <w:p w14:paraId="245068E8">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四、投标截止时间及地点 </w:t>
      </w:r>
    </w:p>
    <w:p w14:paraId="7A3837A2">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1.时间：</w:t>
      </w:r>
      <w:r>
        <w:rPr>
          <w:rFonts w:hint="eastAsia" w:ascii="宋体" w:hAnsi="宋体" w:eastAsia="宋体" w:cs="宋体"/>
          <w:color w:val="auto"/>
          <w:sz w:val="21"/>
          <w:szCs w:val="21"/>
          <w:highlight w:val="none"/>
          <w:lang w:eastAsia="zh-CN"/>
        </w:rPr>
        <w:t>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w:t>
      </w:r>
      <w:r>
        <w:rPr>
          <w:rFonts w:hint="eastAsia"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cs="宋体"/>
          <w:color w:val="auto"/>
          <w:sz w:val="21"/>
          <w:szCs w:val="21"/>
          <w:highlight w:val="none"/>
          <w:lang w:val="en-US" w:eastAsia="zh-CN"/>
        </w:rPr>
        <w:t>11</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09</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rPr>
        <w:t>分（北京时间）</w:t>
      </w:r>
    </w:p>
    <w:p w14:paraId="2DF0B0C1">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2.地点：荥阳市公共资源交易平台</w:t>
      </w:r>
    </w:p>
    <w:p w14:paraId="5EECF60E">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五、开标时间及地点 </w:t>
      </w:r>
    </w:p>
    <w:p w14:paraId="388E5746">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1.时间：</w:t>
      </w:r>
      <w:r>
        <w:rPr>
          <w:rFonts w:hint="eastAsia" w:ascii="宋体" w:hAnsi="宋体" w:eastAsia="宋体" w:cs="宋体"/>
          <w:color w:val="auto"/>
          <w:sz w:val="21"/>
          <w:szCs w:val="21"/>
          <w:highlight w:val="none"/>
          <w:lang w:eastAsia="zh-CN"/>
        </w:rPr>
        <w:t>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年</w:t>
      </w:r>
      <w:r>
        <w:rPr>
          <w:rFonts w:hint="eastAsia" w:cs="宋体"/>
          <w:color w:val="auto"/>
          <w:sz w:val="21"/>
          <w:szCs w:val="21"/>
          <w:highlight w:val="none"/>
          <w:lang w:val="en-US" w:eastAsia="zh-CN"/>
        </w:rPr>
        <w:t>11</w:t>
      </w:r>
      <w:r>
        <w:rPr>
          <w:rFonts w:hint="eastAsia" w:ascii="宋体" w:hAnsi="宋体" w:eastAsia="宋体" w:cs="宋体"/>
          <w:color w:val="auto"/>
          <w:sz w:val="21"/>
          <w:szCs w:val="21"/>
          <w:highlight w:val="none"/>
        </w:rPr>
        <w:t>月</w:t>
      </w:r>
      <w:r>
        <w:rPr>
          <w:rFonts w:hint="eastAsia" w:cs="宋体"/>
          <w:color w:val="auto"/>
          <w:sz w:val="21"/>
          <w:szCs w:val="21"/>
          <w:highlight w:val="none"/>
          <w:lang w:val="en-US" w:eastAsia="zh-CN"/>
        </w:rPr>
        <w:t>11</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09</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rPr>
        <w:t xml:space="preserve">分（北京时间） </w:t>
      </w:r>
    </w:p>
    <w:p w14:paraId="51026478">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2.地点：荥阳市公共资源交易中心（荥阳市中原路与飞龙路西北角政务服务中心七楼）第</w:t>
      </w:r>
      <w:r>
        <w:rPr>
          <w:rFonts w:hint="eastAsia" w:cs="宋体"/>
          <w:color w:val="auto"/>
          <w:sz w:val="21"/>
          <w:szCs w:val="21"/>
          <w:highlight w:val="none"/>
          <w:lang w:val="en-US" w:eastAsia="zh-CN"/>
        </w:rPr>
        <w:t>二</w:t>
      </w:r>
      <w:r>
        <w:rPr>
          <w:rFonts w:hint="eastAsia" w:ascii="宋体" w:hAnsi="宋体" w:eastAsia="宋体" w:cs="宋体"/>
          <w:color w:val="auto"/>
          <w:sz w:val="21"/>
          <w:szCs w:val="21"/>
          <w:highlight w:val="none"/>
        </w:rPr>
        <w:t xml:space="preserve">开标室  </w:t>
      </w:r>
    </w:p>
    <w:p w14:paraId="4461C180">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六、发布公告的媒介及招标公告期限 </w:t>
      </w:r>
    </w:p>
    <w:p w14:paraId="267F1AC0">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本次招标公告在《河南省政府采购网》、《荥阳市政府采购网》、《荥阳市公共资源交易中心网站》、</w:t>
      </w:r>
      <w:r>
        <w:rPr>
          <w:rFonts w:hint="eastAsia" w:ascii="宋体" w:hAnsi="宋体" w:eastAsia="宋体" w:cs="宋体"/>
          <w:sz w:val="21"/>
          <w:szCs w:val="21"/>
        </w:rPr>
        <w:t>《中国招标投标公共服务平台》</w:t>
      </w:r>
      <w:r>
        <w:rPr>
          <w:rFonts w:hint="eastAsia" w:ascii="宋体" w:hAnsi="宋体" w:eastAsia="宋体" w:cs="宋体"/>
          <w:sz w:val="21"/>
          <w:szCs w:val="21"/>
          <w:highlight w:val="none"/>
        </w:rPr>
        <w:t xml:space="preserve">上发布，招标公告期限为五个工作日。 </w:t>
      </w:r>
    </w:p>
    <w:p w14:paraId="25AE57F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七、</w:t>
      </w:r>
      <w:r>
        <w:rPr>
          <w:rFonts w:hint="eastAsia" w:ascii="宋体" w:hAnsi="宋体" w:eastAsia="宋体" w:cs="宋体"/>
          <w:sz w:val="21"/>
          <w:szCs w:val="21"/>
        </w:rPr>
        <w:t xml:space="preserve">其他补充事宜 </w:t>
      </w:r>
    </w:p>
    <w:p w14:paraId="7D7C94A7">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1、投标文件制作及上传：</w:t>
      </w:r>
    </w:p>
    <w:p w14:paraId="5DD1A942">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1.1、获取招标文件后，投标人（供应商）请登陆荥阳市公共资源交易中心网站—下载中心—下载最新版本“投标文件制作软件”制作电子投标文件（具体制作手册请查询交易中心网站-办事指南-《投标文件制作操作手册》）；</w:t>
      </w:r>
    </w:p>
    <w:p w14:paraId="3391FACF">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1.2、投标人（供应商）须在投标截止时间前登陆荥阳市公共资源交易平台上传加密的电子投标文件；</w:t>
      </w:r>
    </w:p>
    <w:p w14:paraId="625DAD49">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开标：本项目采用“远程不见面”开标方式，投标人（供应商）应当在投标截止时间前登陆荥阳市公共资源交易中心网站首页“不见面开标”进入远程开标大厅，在线准时参加开标活动并进行文件解密、答疑澄清等。具体事宜请查看荥阳市公共资源交易中心网站—办事指南—《荥阳市公共资源交易中心不见面开标大厅操作手册（投标人）》。如遇问题，请拨打技术服务单位（国泰新点）电话：4009980000；</w:t>
      </w:r>
    </w:p>
    <w:p w14:paraId="766C3AF9">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3、逾期上传的或者未上传指定地点的投标文件，采购人不予受理；</w:t>
      </w:r>
    </w:p>
    <w:p w14:paraId="1EFC1593">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bCs/>
          <w:kern w:val="1"/>
          <w:sz w:val="21"/>
          <w:szCs w:val="21"/>
        </w:rPr>
      </w:pPr>
      <w:r>
        <w:rPr>
          <w:rFonts w:hint="eastAsia" w:ascii="宋体" w:hAnsi="宋体" w:eastAsia="宋体" w:cs="宋体"/>
          <w:sz w:val="21"/>
          <w:szCs w:val="21"/>
          <w:highlight w:val="none"/>
          <w:lang w:val="en-US" w:eastAsia="zh-CN"/>
        </w:rPr>
        <w:t>4、本项目采购代理服务费收费标准：</w:t>
      </w:r>
      <w:r>
        <w:rPr>
          <w:rFonts w:hint="eastAsia" w:ascii="宋体" w:hAnsi="宋体" w:eastAsia="宋体" w:cs="宋体"/>
          <w:bCs/>
          <w:kern w:val="1"/>
          <w:sz w:val="21"/>
          <w:szCs w:val="21"/>
        </w:rPr>
        <w:t>参考《河南省招标代理服务收费指导意见》豫招协（2023）002号</w:t>
      </w:r>
      <w:r>
        <w:rPr>
          <w:rFonts w:hint="eastAsia" w:ascii="宋体" w:hAnsi="宋体" w:eastAsia="宋体" w:cs="宋体"/>
          <w:bCs/>
          <w:kern w:val="1"/>
          <w:sz w:val="21"/>
          <w:szCs w:val="21"/>
          <w:lang w:val="en-US" w:eastAsia="zh-CN"/>
        </w:rPr>
        <w:t>文件规定的标准</w:t>
      </w:r>
      <w:r>
        <w:rPr>
          <w:rFonts w:hint="eastAsia" w:ascii="宋体" w:hAnsi="宋体" w:eastAsia="宋体" w:cs="宋体"/>
          <w:bCs/>
          <w:kern w:val="1"/>
          <w:sz w:val="21"/>
          <w:szCs w:val="21"/>
        </w:rPr>
        <w:t>计取，</w:t>
      </w:r>
      <w:r>
        <w:rPr>
          <w:rFonts w:hint="eastAsia" w:ascii="宋体" w:hAnsi="宋体" w:eastAsia="宋体" w:cs="宋体"/>
          <w:bCs/>
          <w:kern w:val="1"/>
          <w:sz w:val="21"/>
          <w:szCs w:val="21"/>
          <w:lang w:val="en-US" w:eastAsia="zh-CN"/>
        </w:rPr>
        <w:t>由</w:t>
      </w:r>
      <w:r>
        <w:rPr>
          <w:rFonts w:hint="eastAsia" w:cs="宋体"/>
          <w:bCs/>
          <w:kern w:val="1"/>
          <w:sz w:val="21"/>
          <w:szCs w:val="21"/>
          <w:lang w:val="en-US" w:eastAsia="zh-CN"/>
        </w:rPr>
        <w:t>入围</w:t>
      </w:r>
      <w:r>
        <w:rPr>
          <w:rFonts w:hint="eastAsia" w:ascii="宋体" w:hAnsi="宋体" w:eastAsia="宋体" w:cs="宋体"/>
          <w:bCs/>
          <w:kern w:val="1"/>
          <w:sz w:val="21"/>
          <w:szCs w:val="21"/>
          <w:lang w:val="en-US" w:eastAsia="zh-CN"/>
        </w:rPr>
        <w:t>供应商在领取</w:t>
      </w:r>
      <w:r>
        <w:rPr>
          <w:rFonts w:hint="eastAsia" w:cs="宋体"/>
          <w:bCs/>
          <w:kern w:val="1"/>
          <w:sz w:val="21"/>
          <w:szCs w:val="21"/>
          <w:lang w:val="en-US" w:eastAsia="zh-CN"/>
        </w:rPr>
        <w:t>入围</w:t>
      </w:r>
      <w:r>
        <w:rPr>
          <w:rFonts w:hint="eastAsia" w:ascii="宋体" w:hAnsi="宋体" w:eastAsia="宋体" w:cs="宋体"/>
          <w:bCs/>
          <w:kern w:val="1"/>
          <w:sz w:val="21"/>
          <w:szCs w:val="21"/>
          <w:lang w:val="en-US" w:eastAsia="zh-CN"/>
        </w:rPr>
        <w:t>通知书前向采购代理机构支付采购代理服务费</w:t>
      </w:r>
      <w:r>
        <w:rPr>
          <w:rFonts w:hint="eastAsia" w:ascii="宋体" w:hAnsi="宋体" w:eastAsia="宋体" w:cs="宋体"/>
          <w:bCs/>
          <w:kern w:val="1"/>
          <w:sz w:val="21"/>
          <w:szCs w:val="21"/>
        </w:rPr>
        <w:t>。</w:t>
      </w:r>
    </w:p>
    <w:p w14:paraId="536D8B2A">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5、本项目监督部门为：荥阳市财政局</w:t>
      </w:r>
    </w:p>
    <w:p w14:paraId="3EE6A443">
      <w:pPr>
        <w:keepNext w:val="0"/>
        <w:keepLines w:val="0"/>
        <w:pageBreakBefore w:val="0"/>
        <w:widowControl w:val="0"/>
        <w:kinsoku/>
        <w:wordWrap/>
        <w:overflowPunct/>
        <w:topLinePunct w:val="0"/>
        <w:autoSpaceDE/>
        <w:autoSpaceDN/>
        <w:bidi w:val="0"/>
        <w:adjustRightInd/>
        <w:snapToGrid/>
        <w:spacing w:line="48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八、凡对本次招标提出询问，请按照以下方式联系 </w:t>
      </w:r>
    </w:p>
    <w:p w14:paraId="258752E2">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1. 采购人信息 </w:t>
      </w:r>
    </w:p>
    <w:p w14:paraId="01F3DC80">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名称：</w:t>
      </w:r>
      <w:r>
        <w:rPr>
          <w:rFonts w:hint="eastAsia" w:ascii="宋体" w:hAnsi="宋体" w:eastAsia="宋体" w:cs="宋体"/>
          <w:sz w:val="21"/>
          <w:szCs w:val="21"/>
          <w:highlight w:val="none"/>
          <w:lang w:val="en-US" w:eastAsia="zh-CN"/>
        </w:rPr>
        <w:t>荥阳市公安局</w:t>
      </w:r>
    </w:p>
    <w:p w14:paraId="7C748799">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地址：</w:t>
      </w:r>
      <w:r>
        <w:rPr>
          <w:rFonts w:hint="eastAsia" w:ascii="宋体" w:hAnsi="宋体" w:eastAsia="宋体" w:cs="宋体"/>
          <w:sz w:val="21"/>
          <w:szCs w:val="21"/>
          <w:highlight w:val="none"/>
          <w:lang w:val="en-US" w:eastAsia="zh-CN"/>
        </w:rPr>
        <w:t>荥阳市繁荣街001号</w:t>
      </w:r>
    </w:p>
    <w:p w14:paraId="5D0FA034">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val="en-US" w:eastAsia="zh-CN"/>
        </w:rPr>
        <w:t>陈建峰</w:t>
      </w:r>
    </w:p>
    <w:p w14:paraId="52292E81">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联系方式：</w:t>
      </w:r>
      <w:r>
        <w:rPr>
          <w:rFonts w:hint="eastAsia" w:ascii="宋体" w:hAnsi="宋体" w:eastAsia="宋体" w:cs="宋体"/>
          <w:color w:val="auto"/>
          <w:sz w:val="21"/>
          <w:szCs w:val="21"/>
          <w:highlight w:val="none"/>
          <w:lang w:val="en-US" w:eastAsia="zh-CN"/>
        </w:rPr>
        <w:t>17698090712</w:t>
      </w:r>
    </w:p>
    <w:p w14:paraId="752AEDD5">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2.采购代理机构信息（如有） </w:t>
      </w:r>
    </w:p>
    <w:p w14:paraId="625496EB">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r>
        <w:rPr>
          <w:rFonts w:hint="eastAsia" w:ascii="宋体" w:hAnsi="宋体" w:eastAsia="宋体" w:cs="宋体"/>
          <w:sz w:val="21"/>
          <w:szCs w:val="21"/>
          <w:lang w:val="en-US" w:eastAsia="zh-CN"/>
        </w:rPr>
        <w:t xml:space="preserve">郑州强合工程管理有限公司 </w:t>
      </w:r>
      <w:r>
        <w:rPr>
          <w:rFonts w:hint="eastAsia" w:ascii="宋体" w:hAnsi="宋体" w:eastAsia="宋体" w:cs="宋体"/>
          <w:sz w:val="21"/>
          <w:szCs w:val="21"/>
          <w:highlight w:val="none"/>
        </w:rPr>
        <w:t xml:space="preserve"> </w:t>
      </w:r>
    </w:p>
    <w:p w14:paraId="66C38261">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地址：</w:t>
      </w:r>
      <w:r>
        <w:rPr>
          <w:rFonts w:hint="eastAsia" w:ascii="宋体" w:hAnsi="宋体" w:eastAsia="宋体" w:cs="宋体"/>
          <w:sz w:val="21"/>
          <w:szCs w:val="21"/>
          <w:highlight w:val="none"/>
          <w:lang w:eastAsia="zh-CN"/>
        </w:rPr>
        <w:t>荥阳市</w:t>
      </w:r>
      <w:r>
        <w:rPr>
          <w:rFonts w:hint="eastAsia" w:ascii="宋体" w:hAnsi="宋体" w:eastAsia="宋体" w:cs="宋体"/>
          <w:sz w:val="21"/>
          <w:szCs w:val="21"/>
          <w:highlight w:val="none"/>
          <w:lang w:val="en-US" w:eastAsia="zh-CN"/>
        </w:rPr>
        <w:t>棋源路与科学大道交叉口东南角6楼</w:t>
      </w:r>
    </w:p>
    <w:p w14:paraId="6F588625">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联系人：</w:t>
      </w:r>
      <w:r>
        <w:rPr>
          <w:rFonts w:hint="eastAsia" w:cs="宋体"/>
          <w:sz w:val="21"/>
          <w:szCs w:val="21"/>
          <w:lang w:val="en-US" w:eastAsia="zh-CN"/>
        </w:rPr>
        <w:t>吴芳</w:t>
      </w:r>
    </w:p>
    <w:p w14:paraId="6324CF1C">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联系方式：</w:t>
      </w:r>
      <w:r>
        <w:rPr>
          <w:rFonts w:hint="eastAsia" w:ascii="宋体" w:hAnsi="宋体" w:eastAsia="宋体" w:cs="宋体"/>
          <w:sz w:val="21"/>
          <w:szCs w:val="21"/>
          <w:lang w:val="en-US" w:eastAsia="zh-CN"/>
        </w:rPr>
        <w:t>0371-65007628、13137739880　　</w:t>
      </w:r>
    </w:p>
    <w:p w14:paraId="394F0EEF">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3.项目联系方式 </w:t>
      </w:r>
    </w:p>
    <w:p w14:paraId="6B588509">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项目联系人：吴芳</w:t>
      </w:r>
    </w:p>
    <w:p w14:paraId="0D37E5FB">
      <w:pPr>
        <w:keepNext w:val="0"/>
        <w:keepLines w:val="0"/>
        <w:pageBreakBefore w:val="0"/>
        <w:widowControl w:val="0"/>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联系方式：</w:t>
      </w:r>
      <w:r>
        <w:rPr>
          <w:rFonts w:hint="eastAsia" w:ascii="宋体" w:hAnsi="宋体" w:eastAsia="宋体" w:cs="宋体"/>
          <w:sz w:val="21"/>
          <w:szCs w:val="21"/>
          <w:lang w:val="en-US" w:eastAsia="zh-CN"/>
        </w:rPr>
        <w:t>0371-65007628、13137739880　</w:t>
      </w:r>
    </w:p>
    <w:bookmarkEnd w:id="1"/>
    <w:p w14:paraId="4C98162A">
      <w:pPr>
        <w:pStyle w:val="29"/>
        <w:jc w:val="left"/>
        <w:rPr>
          <w:rFonts w:hint="eastAsia" w:ascii="宋体" w:hAnsi="宋体" w:eastAsia="宋体" w:cs="宋体"/>
          <w:sz w:val="24"/>
          <w:szCs w:val="24"/>
        </w:rPr>
      </w:pPr>
    </w:p>
    <w:p w14:paraId="4C344B43">
      <w:pPr>
        <w:pStyle w:val="29"/>
        <w:jc w:val="left"/>
        <w:rPr>
          <w:rFonts w:hint="eastAsia" w:ascii="宋体" w:hAnsi="宋体" w:eastAsia="宋体" w:cs="宋体"/>
          <w:sz w:val="24"/>
          <w:szCs w:val="24"/>
        </w:rPr>
      </w:pPr>
    </w:p>
    <w:p w14:paraId="6981B18E">
      <w:pPr>
        <w:pStyle w:val="29"/>
        <w:jc w:val="left"/>
        <w:rPr>
          <w:rFonts w:hint="eastAsia"/>
        </w:rPr>
      </w:pPr>
    </w:p>
    <w:p w14:paraId="61B07E9D">
      <w:pPr>
        <w:pStyle w:val="29"/>
        <w:jc w:val="left"/>
        <w:rPr>
          <w:rFonts w:hint="eastAsia"/>
        </w:rPr>
      </w:pPr>
    </w:p>
    <w:p w14:paraId="4684A6F1">
      <w:pPr>
        <w:pStyle w:val="29"/>
        <w:jc w:val="left"/>
        <w:rPr>
          <w:rFonts w:hint="eastAsia"/>
        </w:rPr>
      </w:pPr>
    </w:p>
    <w:p w14:paraId="76A2400B">
      <w:pPr>
        <w:numPr>
          <w:ilvl w:val="0"/>
          <w:numId w:val="0"/>
        </w:numPr>
        <w:spacing w:line="360" w:lineRule="auto"/>
        <w:ind w:firstLine="420" w:firstLineChars="200"/>
        <w:jc w:val="both"/>
        <w:outlineLvl w:val="0"/>
        <w:rPr>
          <w:rFonts w:hint="eastAsia"/>
        </w:rPr>
      </w:pPr>
    </w:p>
    <w:p w14:paraId="2972BB43">
      <w:pPr>
        <w:numPr>
          <w:ilvl w:val="0"/>
          <w:numId w:val="0"/>
        </w:numPr>
        <w:spacing w:line="360" w:lineRule="auto"/>
        <w:ind w:firstLine="420" w:firstLineChars="200"/>
        <w:jc w:val="both"/>
        <w:outlineLvl w:val="0"/>
        <w:rPr>
          <w:rFonts w:hint="eastAsia"/>
        </w:rPr>
      </w:pPr>
    </w:p>
    <w:p w14:paraId="0678E9E6">
      <w:pPr>
        <w:numPr>
          <w:ilvl w:val="0"/>
          <w:numId w:val="0"/>
        </w:numPr>
        <w:spacing w:line="360" w:lineRule="auto"/>
        <w:ind w:firstLine="420" w:firstLineChars="200"/>
        <w:jc w:val="both"/>
        <w:outlineLvl w:val="0"/>
        <w:rPr>
          <w:rFonts w:hint="eastAsia"/>
        </w:rPr>
      </w:pPr>
    </w:p>
    <w:p w14:paraId="6770FC7A">
      <w:pPr>
        <w:numPr>
          <w:ilvl w:val="0"/>
          <w:numId w:val="0"/>
        </w:numPr>
        <w:spacing w:line="360" w:lineRule="auto"/>
        <w:ind w:firstLine="420" w:firstLineChars="200"/>
        <w:jc w:val="both"/>
        <w:outlineLvl w:val="0"/>
        <w:rPr>
          <w:rFonts w:hint="eastAsia"/>
        </w:rPr>
      </w:pPr>
    </w:p>
    <w:p w14:paraId="487877CB">
      <w:pPr>
        <w:numPr>
          <w:ilvl w:val="0"/>
          <w:numId w:val="0"/>
        </w:numPr>
        <w:spacing w:line="360" w:lineRule="auto"/>
        <w:ind w:firstLine="420" w:firstLineChars="200"/>
        <w:jc w:val="both"/>
        <w:outlineLvl w:val="0"/>
        <w:rPr>
          <w:rFonts w:hint="eastAsia"/>
        </w:rPr>
      </w:pPr>
    </w:p>
    <w:p w14:paraId="501BCA35">
      <w:pPr>
        <w:numPr>
          <w:ilvl w:val="0"/>
          <w:numId w:val="0"/>
        </w:numPr>
        <w:spacing w:line="360" w:lineRule="auto"/>
        <w:ind w:firstLine="420" w:firstLineChars="200"/>
        <w:jc w:val="both"/>
        <w:outlineLvl w:val="0"/>
        <w:rPr>
          <w:rFonts w:hint="eastAsia"/>
        </w:rPr>
      </w:pPr>
    </w:p>
    <w:p w14:paraId="656900AF">
      <w:pPr>
        <w:numPr>
          <w:ilvl w:val="0"/>
          <w:numId w:val="0"/>
        </w:numPr>
        <w:spacing w:line="360" w:lineRule="auto"/>
        <w:ind w:firstLine="420" w:firstLineChars="200"/>
        <w:jc w:val="both"/>
        <w:outlineLvl w:val="0"/>
        <w:rPr>
          <w:rFonts w:hint="eastAsia"/>
        </w:rPr>
      </w:pPr>
    </w:p>
    <w:p w14:paraId="5EB816BE">
      <w:pPr>
        <w:numPr>
          <w:ilvl w:val="0"/>
          <w:numId w:val="0"/>
        </w:numPr>
        <w:spacing w:line="360" w:lineRule="auto"/>
        <w:ind w:firstLine="420" w:firstLineChars="200"/>
        <w:jc w:val="both"/>
        <w:outlineLvl w:val="0"/>
        <w:rPr>
          <w:rFonts w:hint="eastAsia"/>
        </w:rPr>
      </w:pPr>
    </w:p>
    <w:p w14:paraId="41078FD0">
      <w:pPr>
        <w:numPr>
          <w:ilvl w:val="0"/>
          <w:numId w:val="0"/>
        </w:numPr>
        <w:spacing w:line="360" w:lineRule="auto"/>
        <w:ind w:firstLine="420" w:firstLineChars="200"/>
        <w:jc w:val="both"/>
        <w:outlineLvl w:val="0"/>
        <w:rPr>
          <w:rFonts w:hint="eastAsia"/>
        </w:rPr>
      </w:pPr>
    </w:p>
    <w:p w14:paraId="50430EEC">
      <w:pPr>
        <w:numPr>
          <w:ilvl w:val="0"/>
          <w:numId w:val="0"/>
        </w:numPr>
        <w:spacing w:line="360" w:lineRule="auto"/>
        <w:ind w:firstLine="420" w:firstLineChars="200"/>
        <w:jc w:val="both"/>
        <w:outlineLvl w:val="0"/>
        <w:rPr>
          <w:rFonts w:hint="eastAsia"/>
        </w:rPr>
      </w:pPr>
    </w:p>
    <w:p w14:paraId="3A567826">
      <w:pPr>
        <w:numPr>
          <w:ilvl w:val="0"/>
          <w:numId w:val="0"/>
        </w:numPr>
        <w:spacing w:line="360" w:lineRule="auto"/>
        <w:ind w:firstLine="420" w:firstLineChars="200"/>
        <w:jc w:val="both"/>
        <w:outlineLvl w:val="0"/>
        <w:rPr>
          <w:rFonts w:hint="eastAsia"/>
        </w:rPr>
      </w:pPr>
    </w:p>
    <w:p w14:paraId="743C5631">
      <w:pPr>
        <w:numPr>
          <w:ilvl w:val="0"/>
          <w:numId w:val="0"/>
        </w:numPr>
        <w:spacing w:line="360" w:lineRule="auto"/>
        <w:ind w:firstLine="420" w:firstLineChars="200"/>
        <w:jc w:val="both"/>
        <w:outlineLvl w:val="0"/>
        <w:rPr>
          <w:rFonts w:hint="eastAsia"/>
        </w:rPr>
      </w:pPr>
    </w:p>
    <w:p w14:paraId="3CCCCB70">
      <w:pPr>
        <w:numPr>
          <w:ilvl w:val="0"/>
          <w:numId w:val="0"/>
        </w:numPr>
        <w:spacing w:line="360" w:lineRule="auto"/>
        <w:ind w:firstLine="420" w:firstLineChars="200"/>
        <w:jc w:val="both"/>
        <w:outlineLvl w:val="0"/>
        <w:rPr>
          <w:rFonts w:hint="eastAsia"/>
        </w:rPr>
      </w:pPr>
    </w:p>
    <w:p w14:paraId="29EE03AC">
      <w:pPr>
        <w:keepNext w:val="0"/>
        <w:keepLines w:val="0"/>
        <w:pageBreakBefore w:val="0"/>
        <w:widowControl/>
        <w:suppressLineNumbers w:val="0"/>
        <w:kinsoku/>
        <w:wordWrap/>
        <w:overflowPunct/>
        <w:topLinePunct w:val="0"/>
        <w:bidi w:val="0"/>
        <w:snapToGrid/>
        <w:spacing w:line="440" w:lineRule="exact"/>
        <w:ind w:firstLine="602" w:firstLineChars="200"/>
        <w:jc w:val="center"/>
        <w:textAlignment w:val="auto"/>
        <w:rPr>
          <w:rFonts w:hint="eastAsia"/>
          <w:b/>
          <w:bCs w:val="0"/>
          <w:sz w:val="30"/>
          <w:szCs w:val="30"/>
          <w:lang w:val="en-US" w:eastAsia="zh-CN"/>
        </w:rPr>
      </w:pPr>
      <w:r>
        <w:rPr>
          <w:rFonts w:hint="eastAsia"/>
          <w:b/>
          <w:bCs w:val="0"/>
          <w:sz w:val="30"/>
          <w:szCs w:val="30"/>
          <w:lang w:val="en-US" w:eastAsia="zh-CN"/>
        </w:rPr>
        <w:t xml:space="preserve">第二章 </w:t>
      </w:r>
      <w:bookmarkStart w:id="10" w:name="_Toc30533"/>
      <w:r>
        <w:rPr>
          <w:rFonts w:hint="eastAsia"/>
          <w:b/>
          <w:bCs w:val="0"/>
          <w:sz w:val="30"/>
          <w:szCs w:val="30"/>
          <w:lang w:val="en-US" w:eastAsia="zh-CN"/>
        </w:rPr>
        <w:t>供应商须知</w:t>
      </w:r>
      <w:bookmarkEnd w:id="10"/>
    </w:p>
    <w:p w14:paraId="662C28E0">
      <w:pPr>
        <w:keepNext w:val="0"/>
        <w:keepLines w:val="0"/>
        <w:pageBreakBefore w:val="0"/>
        <w:widowControl/>
        <w:suppressLineNumbers w:val="0"/>
        <w:kinsoku/>
        <w:wordWrap/>
        <w:overflowPunct/>
        <w:topLinePunct w:val="0"/>
        <w:bidi w:val="0"/>
        <w:snapToGrid/>
        <w:spacing w:line="440" w:lineRule="exact"/>
        <w:ind w:firstLine="602" w:firstLineChars="200"/>
        <w:jc w:val="center"/>
        <w:textAlignment w:val="auto"/>
        <w:rPr>
          <w:rFonts w:hint="eastAsia"/>
          <w:b/>
          <w:bCs w:val="0"/>
          <w:sz w:val="30"/>
          <w:szCs w:val="30"/>
          <w:lang w:val="en-US" w:eastAsia="zh-CN"/>
        </w:rPr>
      </w:pPr>
      <w:bookmarkStart w:id="11" w:name="_Toc1406"/>
      <w:r>
        <w:rPr>
          <w:rFonts w:hint="eastAsia"/>
          <w:b/>
          <w:bCs w:val="0"/>
          <w:sz w:val="30"/>
          <w:szCs w:val="30"/>
          <w:lang w:val="en-US" w:eastAsia="zh-CN"/>
        </w:rPr>
        <w:t>供应商须知前附表</w:t>
      </w:r>
      <w:bookmarkEnd w:id="11"/>
    </w:p>
    <w:tbl>
      <w:tblPr>
        <w:tblStyle w:val="31"/>
        <w:tblpPr w:leftFromText="180" w:rightFromText="180" w:vertAnchor="text" w:horzAnchor="page" w:tblpX="1480" w:tblpY="453"/>
        <w:tblOverlap w:val="never"/>
        <w:tblW w:w="9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8"/>
        <w:gridCol w:w="1845"/>
        <w:gridCol w:w="6472"/>
      </w:tblGrid>
      <w:tr w14:paraId="6BBF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8" w:type="dxa"/>
            <w:noWrap w:val="0"/>
            <w:vAlign w:val="center"/>
          </w:tcPr>
          <w:p w14:paraId="0C7E7F67">
            <w:pPr>
              <w:snapToGrid w:val="0"/>
              <w:spacing w:line="360" w:lineRule="atLeast"/>
              <w:jc w:val="center"/>
              <w:rPr>
                <w:rFonts w:hint="eastAsia"/>
                <w:b/>
                <w:bCs/>
                <w:szCs w:val="21"/>
              </w:rPr>
            </w:pPr>
            <w:r>
              <w:rPr>
                <w:b/>
                <w:bCs/>
                <w:szCs w:val="21"/>
              </w:rPr>
              <w:t>条款号</w:t>
            </w:r>
          </w:p>
        </w:tc>
        <w:tc>
          <w:tcPr>
            <w:tcW w:w="1845" w:type="dxa"/>
            <w:noWrap w:val="0"/>
            <w:vAlign w:val="center"/>
          </w:tcPr>
          <w:p w14:paraId="247C5D52">
            <w:pPr>
              <w:snapToGrid w:val="0"/>
              <w:spacing w:line="360" w:lineRule="atLeast"/>
              <w:jc w:val="center"/>
              <w:rPr>
                <w:rFonts w:hint="eastAsia"/>
                <w:b/>
                <w:bCs/>
                <w:szCs w:val="21"/>
              </w:rPr>
            </w:pPr>
            <w:r>
              <w:rPr>
                <w:rFonts w:hint="eastAsia"/>
                <w:b/>
                <w:bCs/>
                <w:szCs w:val="21"/>
              </w:rPr>
              <w:t>条款名称</w:t>
            </w:r>
          </w:p>
        </w:tc>
        <w:tc>
          <w:tcPr>
            <w:tcW w:w="6472" w:type="dxa"/>
            <w:noWrap w:val="0"/>
            <w:vAlign w:val="center"/>
          </w:tcPr>
          <w:p w14:paraId="58E52ACD">
            <w:pPr>
              <w:snapToGrid w:val="0"/>
              <w:spacing w:line="360" w:lineRule="atLeast"/>
              <w:jc w:val="center"/>
              <w:rPr>
                <w:rFonts w:hint="eastAsia"/>
                <w:b/>
                <w:bCs/>
                <w:szCs w:val="21"/>
              </w:rPr>
            </w:pPr>
            <w:r>
              <w:rPr>
                <w:rFonts w:hint="eastAsia"/>
                <w:b/>
                <w:bCs/>
                <w:szCs w:val="21"/>
              </w:rPr>
              <w:t>编列内容</w:t>
            </w:r>
          </w:p>
        </w:tc>
      </w:tr>
      <w:tr w14:paraId="0871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8" w:type="dxa"/>
            <w:noWrap w:val="0"/>
            <w:vAlign w:val="center"/>
          </w:tcPr>
          <w:p w14:paraId="23C03BF1">
            <w:pPr>
              <w:snapToGrid w:val="0"/>
              <w:spacing w:line="360" w:lineRule="atLeast"/>
              <w:jc w:val="center"/>
              <w:rPr>
                <w:szCs w:val="21"/>
              </w:rPr>
            </w:pPr>
            <w:r>
              <w:rPr>
                <w:rFonts w:hint="eastAsia"/>
                <w:szCs w:val="21"/>
              </w:rPr>
              <w:t>1.1.2</w:t>
            </w:r>
          </w:p>
        </w:tc>
        <w:tc>
          <w:tcPr>
            <w:tcW w:w="1845" w:type="dxa"/>
            <w:noWrap w:val="0"/>
            <w:vAlign w:val="center"/>
          </w:tcPr>
          <w:p w14:paraId="0F17F8C3">
            <w:pPr>
              <w:snapToGrid w:val="0"/>
              <w:spacing w:line="360" w:lineRule="atLeast"/>
              <w:jc w:val="center"/>
              <w:rPr>
                <w:rFonts w:hint="eastAsia"/>
                <w:szCs w:val="21"/>
              </w:rPr>
            </w:pPr>
            <w:r>
              <w:rPr>
                <w:rFonts w:hint="eastAsia"/>
                <w:szCs w:val="21"/>
              </w:rPr>
              <w:t>采购人</w:t>
            </w:r>
          </w:p>
        </w:tc>
        <w:tc>
          <w:tcPr>
            <w:tcW w:w="6472" w:type="dxa"/>
            <w:noWrap w:val="0"/>
            <w:vAlign w:val="center"/>
          </w:tcPr>
          <w:p w14:paraId="5C1E10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名   称：</w:t>
            </w:r>
            <w:r>
              <w:rPr>
                <w:rFonts w:hint="eastAsia" w:ascii="宋体" w:hAnsi="宋体" w:eastAsia="宋体" w:cs="宋体"/>
                <w:sz w:val="21"/>
                <w:szCs w:val="21"/>
                <w:lang w:eastAsia="zh-CN"/>
              </w:rPr>
              <w:t>荥阳市公安局</w:t>
            </w:r>
          </w:p>
          <w:p w14:paraId="7AE243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1"/>
                <w:szCs w:val="21"/>
              </w:rPr>
            </w:pPr>
            <w:r>
              <w:rPr>
                <w:rFonts w:hint="eastAsia" w:ascii="宋体" w:hAnsi="宋体" w:eastAsia="宋体" w:cs="宋体"/>
                <w:sz w:val="21"/>
                <w:szCs w:val="21"/>
              </w:rPr>
              <w:t>地   址：荥阳市繁荣街001号</w:t>
            </w:r>
          </w:p>
          <w:p w14:paraId="02DF3BA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联 系 人：</w:t>
            </w:r>
            <w:r>
              <w:rPr>
                <w:rFonts w:hint="eastAsia" w:ascii="宋体" w:hAnsi="宋体" w:eastAsia="宋体" w:cs="宋体"/>
                <w:sz w:val="21"/>
                <w:szCs w:val="21"/>
                <w:lang w:val="en-US" w:eastAsia="zh-CN"/>
              </w:rPr>
              <w:t>陈建峰</w:t>
            </w:r>
          </w:p>
          <w:p w14:paraId="3B9047B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宋体"/>
                <w:szCs w:val="21"/>
                <w:lang w:val="en-US" w:eastAsia="zh-CN"/>
              </w:rPr>
            </w:pPr>
            <w:r>
              <w:rPr>
                <w:rFonts w:hint="eastAsia" w:ascii="宋体" w:hAnsi="宋体" w:eastAsia="宋体" w:cs="宋体"/>
                <w:sz w:val="21"/>
                <w:szCs w:val="21"/>
              </w:rPr>
              <w:t>联系方式：</w:t>
            </w:r>
            <w:r>
              <w:rPr>
                <w:rFonts w:hint="eastAsia" w:ascii="宋体" w:hAnsi="宋体" w:eastAsia="宋体" w:cs="宋体"/>
                <w:sz w:val="21"/>
                <w:szCs w:val="21"/>
                <w:lang w:val="en-US" w:eastAsia="zh-CN"/>
              </w:rPr>
              <w:t xml:space="preserve">17698090712  </w:t>
            </w:r>
            <w:r>
              <w:rPr>
                <w:rFonts w:hint="eastAsia" w:ascii="宋体" w:hAnsi="宋体" w:eastAsia="宋体" w:cs="宋体"/>
                <w:bCs/>
                <w:kern w:val="0"/>
                <w:sz w:val="21"/>
                <w:szCs w:val="21"/>
                <w:highlight w:val="none"/>
                <w:lang w:val="en-US" w:eastAsia="zh-CN" w:bidi="ar"/>
              </w:rPr>
              <w:t xml:space="preserve">       </w:t>
            </w:r>
          </w:p>
        </w:tc>
      </w:tr>
      <w:tr w14:paraId="0CF8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8" w:type="dxa"/>
            <w:noWrap w:val="0"/>
            <w:vAlign w:val="center"/>
          </w:tcPr>
          <w:p w14:paraId="0B12E445">
            <w:pPr>
              <w:snapToGrid w:val="0"/>
              <w:spacing w:line="360" w:lineRule="atLeast"/>
              <w:jc w:val="center"/>
              <w:rPr>
                <w:szCs w:val="21"/>
              </w:rPr>
            </w:pPr>
            <w:r>
              <w:rPr>
                <w:rFonts w:hint="eastAsia"/>
                <w:szCs w:val="21"/>
              </w:rPr>
              <w:t>1.1.3</w:t>
            </w:r>
          </w:p>
        </w:tc>
        <w:tc>
          <w:tcPr>
            <w:tcW w:w="1845" w:type="dxa"/>
            <w:noWrap w:val="0"/>
            <w:vAlign w:val="center"/>
          </w:tcPr>
          <w:p w14:paraId="6176D0B3">
            <w:pPr>
              <w:snapToGrid w:val="0"/>
              <w:spacing w:line="360" w:lineRule="atLeast"/>
              <w:jc w:val="center"/>
              <w:rPr>
                <w:rFonts w:hint="eastAsia"/>
                <w:szCs w:val="21"/>
              </w:rPr>
            </w:pPr>
            <w:r>
              <w:rPr>
                <w:rFonts w:hint="eastAsia"/>
                <w:szCs w:val="21"/>
              </w:rPr>
              <w:t>采购代理机构</w:t>
            </w:r>
          </w:p>
        </w:tc>
        <w:tc>
          <w:tcPr>
            <w:tcW w:w="6472" w:type="dxa"/>
            <w:noWrap w:val="0"/>
            <w:vAlign w:val="center"/>
          </w:tcPr>
          <w:p w14:paraId="70A6C80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名称</w:t>
            </w:r>
            <w:r>
              <w:rPr>
                <w:rFonts w:hint="eastAsia" w:ascii="宋体" w:hAnsi="宋体" w:eastAsia="宋体" w:cs="宋体"/>
                <w:sz w:val="21"/>
                <w:szCs w:val="21"/>
                <w:lang w:val="en-US" w:eastAsia="zh-CN"/>
              </w:rPr>
              <w:t>：郑州强合工程管理有限公司</w:t>
            </w:r>
          </w:p>
          <w:p w14:paraId="10A1A7E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 xml:space="preserve">地址：荥阳市科学大道与棋源路交叉口南50米路东6楼 </w:t>
            </w:r>
          </w:p>
          <w:p w14:paraId="0EDC41E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联系人：</w:t>
            </w:r>
            <w:r>
              <w:rPr>
                <w:rFonts w:hint="eastAsia" w:ascii="宋体" w:hAnsi="宋体" w:eastAsia="宋体" w:cs="宋体"/>
                <w:sz w:val="21"/>
                <w:szCs w:val="21"/>
                <w:lang w:val="en-US" w:eastAsia="zh-CN"/>
              </w:rPr>
              <w:t>吴芳</w:t>
            </w:r>
          </w:p>
          <w:p w14:paraId="07AECA8A">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联系方式：0371-65007628、13137739880　　</w:t>
            </w:r>
          </w:p>
          <w:p w14:paraId="0A4D491F">
            <w:pPr>
              <w:keepNext w:val="0"/>
              <w:keepLines w:val="0"/>
              <w:pageBreakBefore w:val="0"/>
              <w:widowControl w:val="0"/>
              <w:kinsoku/>
              <w:wordWrap/>
              <w:overflowPunct/>
              <w:topLinePunct w:val="0"/>
              <w:autoSpaceDE/>
              <w:autoSpaceDN/>
              <w:bidi w:val="0"/>
              <w:adjustRightInd/>
              <w:snapToGrid/>
              <w:spacing w:line="440" w:lineRule="exact"/>
              <w:textAlignment w:val="auto"/>
              <w:rPr>
                <w:bCs/>
                <w:kern w:val="0"/>
                <w:szCs w:val="21"/>
                <w:lang w:bidi="ar"/>
              </w:rPr>
            </w:pPr>
            <w:r>
              <w:rPr>
                <w:rFonts w:hint="default" w:ascii="宋体" w:hAnsi="宋体" w:eastAsia="宋体" w:cs="宋体"/>
                <w:sz w:val="21"/>
                <w:szCs w:val="21"/>
                <w:lang w:val="en-US" w:eastAsia="zh-CN"/>
              </w:rPr>
              <w:t xml:space="preserve">邮箱：qiangheguanli@163.com </w:t>
            </w:r>
          </w:p>
        </w:tc>
      </w:tr>
      <w:tr w14:paraId="670D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1058" w:type="dxa"/>
            <w:noWrap w:val="0"/>
            <w:vAlign w:val="center"/>
          </w:tcPr>
          <w:p w14:paraId="730AF88E">
            <w:pPr>
              <w:topLinePunct/>
              <w:snapToGrid w:val="0"/>
              <w:spacing w:line="360" w:lineRule="atLeast"/>
              <w:jc w:val="center"/>
              <w:rPr>
                <w:rFonts w:hint="eastAsia"/>
              </w:rPr>
            </w:pPr>
            <w:r>
              <w:rPr>
                <w:rFonts w:hint="eastAsia"/>
              </w:rPr>
              <w:t>1.2.1</w:t>
            </w:r>
          </w:p>
        </w:tc>
        <w:tc>
          <w:tcPr>
            <w:tcW w:w="1845" w:type="dxa"/>
            <w:noWrap w:val="0"/>
            <w:vAlign w:val="center"/>
          </w:tcPr>
          <w:p w14:paraId="773A432F">
            <w:pPr>
              <w:topLinePunct/>
              <w:snapToGrid w:val="0"/>
              <w:spacing w:line="360" w:lineRule="atLeast"/>
              <w:jc w:val="center"/>
              <w:rPr>
                <w:rFonts w:hint="eastAsia"/>
              </w:rPr>
            </w:pPr>
            <w:r>
              <w:rPr>
                <w:rFonts w:hint="eastAsia"/>
              </w:rPr>
              <w:t>资金来源</w:t>
            </w:r>
          </w:p>
        </w:tc>
        <w:tc>
          <w:tcPr>
            <w:tcW w:w="6472" w:type="dxa"/>
            <w:noWrap w:val="0"/>
            <w:vAlign w:val="center"/>
          </w:tcPr>
          <w:p w14:paraId="0E2080AD">
            <w:pPr>
              <w:snapToGrid w:val="0"/>
              <w:spacing w:line="360" w:lineRule="atLeast"/>
              <w:jc w:val="left"/>
              <w:rPr>
                <w:rFonts w:hint="eastAsia"/>
                <w:szCs w:val="21"/>
              </w:rPr>
            </w:pPr>
            <w:r>
              <w:rPr>
                <w:rFonts w:hint="eastAsia"/>
                <w:szCs w:val="21"/>
                <w:lang w:val="en-US" w:eastAsia="zh-CN"/>
              </w:rPr>
              <w:t>财政</w:t>
            </w:r>
            <w:r>
              <w:rPr>
                <w:rFonts w:hint="eastAsia"/>
                <w:szCs w:val="21"/>
              </w:rPr>
              <w:t>资金</w:t>
            </w:r>
          </w:p>
        </w:tc>
      </w:tr>
      <w:tr w14:paraId="5282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58" w:type="dxa"/>
            <w:noWrap w:val="0"/>
            <w:vAlign w:val="center"/>
          </w:tcPr>
          <w:p w14:paraId="1B2FC36C">
            <w:pPr>
              <w:topLinePunct/>
              <w:snapToGrid w:val="0"/>
              <w:spacing w:line="360" w:lineRule="atLeast"/>
              <w:jc w:val="center"/>
              <w:rPr>
                <w:rFonts w:hint="eastAsia"/>
              </w:rPr>
            </w:pPr>
            <w:r>
              <w:rPr>
                <w:rFonts w:hint="eastAsia"/>
              </w:rPr>
              <w:t>1.2.2</w:t>
            </w:r>
          </w:p>
        </w:tc>
        <w:tc>
          <w:tcPr>
            <w:tcW w:w="1845" w:type="dxa"/>
            <w:noWrap w:val="0"/>
            <w:vAlign w:val="center"/>
          </w:tcPr>
          <w:p w14:paraId="26E6AEFC">
            <w:pPr>
              <w:topLinePunct/>
              <w:snapToGrid w:val="0"/>
              <w:spacing w:line="360" w:lineRule="atLeast"/>
              <w:jc w:val="center"/>
              <w:rPr>
                <w:rFonts w:hint="eastAsia"/>
              </w:rPr>
            </w:pPr>
            <w:r>
              <w:rPr>
                <w:rFonts w:hint="eastAsia"/>
                <w:lang w:val="en-US" w:eastAsia="zh-CN"/>
              </w:rPr>
              <w:t>采购</w:t>
            </w:r>
            <w:r>
              <w:rPr>
                <w:rFonts w:hint="eastAsia"/>
              </w:rPr>
              <w:t>项目名称</w:t>
            </w:r>
          </w:p>
        </w:tc>
        <w:tc>
          <w:tcPr>
            <w:tcW w:w="6472" w:type="dxa"/>
            <w:noWrap w:val="0"/>
            <w:vAlign w:val="center"/>
          </w:tcPr>
          <w:p w14:paraId="0F9C9F6D">
            <w:pPr>
              <w:snapToGrid w:val="0"/>
              <w:spacing w:line="360" w:lineRule="atLeast"/>
              <w:jc w:val="left"/>
              <w:rPr>
                <w:rFonts w:hint="eastAsia" w:eastAsia="宋体"/>
                <w:szCs w:val="21"/>
                <w:lang w:val="en-US" w:eastAsia="zh-CN"/>
              </w:rPr>
            </w:pPr>
            <w:r>
              <w:rPr>
                <w:rFonts w:hint="eastAsia" w:ascii="宋体" w:hAnsi="宋体" w:eastAsia="宋体" w:cs="宋体"/>
                <w:sz w:val="21"/>
                <w:szCs w:val="21"/>
                <w:highlight w:val="none"/>
                <w:lang w:eastAsia="zh-CN"/>
              </w:rPr>
              <w:t>荥阳市公安局交通设施维护服务项目</w:t>
            </w:r>
          </w:p>
        </w:tc>
      </w:tr>
      <w:tr w14:paraId="66A2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058" w:type="dxa"/>
            <w:noWrap w:val="0"/>
            <w:vAlign w:val="center"/>
          </w:tcPr>
          <w:p w14:paraId="0F137C19">
            <w:pPr>
              <w:topLinePunct/>
              <w:snapToGrid w:val="0"/>
              <w:spacing w:line="360" w:lineRule="atLeast"/>
              <w:jc w:val="center"/>
              <w:rPr>
                <w:rFonts w:hint="eastAsia"/>
              </w:rPr>
            </w:pPr>
            <w:r>
              <w:rPr>
                <w:rFonts w:hint="eastAsia"/>
              </w:rPr>
              <w:t>1.3.1</w:t>
            </w:r>
          </w:p>
        </w:tc>
        <w:tc>
          <w:tcPr>
            <w:tcW w:w="1845" w:type="dxa"/>
            <w:noWrap w:val="0"/>
            <w:vAlign w:val="center"/>
          </w:tcPr>
          <w:p w14:paraId="77D3F4F6">
            <w:pPr>
              <w:topLinePunct/>
              <w:snapToGrid w:val="0"/>
              <w:spacing w:line="360" w:lineRule="atLeast"/>
              <w:jc w:val="center"/>
              <w:rPr>
                <w:rFonts w:hint="eastAsia"/>
              </w:rPr>
            </w:pPr>
            <w:r>
              <w:rPr>
                <w:rFonts w:hint="eastAsia"/>
              </w:rPr>
              <w:t>采购范围</w:t>
            </w:r>
          </w:p>
        </w:tc>
        <w:tc>
          <w:tcPr>
            <w:tcW w:w="6472" w:type="dxa"/>
            <w:noWrap w:val="0"/>
            <w:vAlign w:val="center"/>
          </w:tcPr>
          <w:p w14:paraId="568E5165">
            <w:pPr>
              <w:snapToGrid w:val="0"/>
              <w:spacing w:line="360" w:lineRule="atLeast"/>
              <w:jc w:val="left"/>
              <w:rPr>
                <w:rFonts w:hint="eastAsia"/>
                <w:szCs w:val="21"/>
              </w:rPr>
            </w:pPr>
            <w:r>
              <w:rPr>
                <w:rFonts w:hint="eastAsia" w:ascii="宋体" w:hAnsi="宋体" w:eastAsia="宋体" w:cs="宋体"/>
                <w:sz w:val="21"/>
                <w:szCs w:val="21"/>
                <w:highlight w:val="none"/>
                <w:lang w:val="en-US" w:eastAsia="zh-CN"/>
              </w:rPr>
              <w:t>荥阳市公安局交通设施维护服务项目是对荥阳市道路交通信号灯、标线、标牌、隔离栏等破损、故障设施进行维护管理的服务项目。</w:t>
            </w:r>
          </w:p>
        </w:tc>
      </w:tr>
      <w:tr w14:paraId="6F66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058" w:type="dxa"/>
            <w:noWrap w:val="0"/>
            <w:vAlign w:val="center"/>
          </w:tcPr>
          <w:p w14:paraId="15FD8A98">
            <w:pPr>
              <w:topLinePunct/>
              <w:snapToGrid w:val="0"/>
              <w:spacing w:line="360" w:lineRule="atLeast"/>
              <w:jc w:val="center"/>
              <w:rPr>
                <w:rFonts w:hint="eastAsia" w:eastAsia="宋体"/>
                <w:lang w:eastAsia="zh-CN"/>
              </w:rPr>
            </w:pPr>
            <w:r>
              <w:rPr>
                <w:rFonts w:hint="eastAsia"/>
              </w:rPr>
              <w:t>1.3.</w:t>
            </w:r>
            <w:r>
              <w:rPr>
                <w:rFonts w:hint="eastAsia"/>
                <w:lang w:val="en-US" w:eastAsia="zh-CN"/>
              </w:rPr>
              <w:t>2</w:t>
            </w:r>
          </w:p>
        </w:tc>
        <w:tc>
          <w:tcPr>
            <w:tcW w:w="1845" w:type="dxa"/>
            <w:noWrap w:val="0"/>
            <w:vAlign w:val="center"/>
          </w:tcPr>
          <w:p w14:paraId="02125C50">
            <w:pPr>
              <w:topLinePunct/>
              <w:snapToGrid w:val="0"/>
              <w:spacing w:line="360" w:lineRule="atLeast"/>
              <w:jc w:val="center"/>
              <w:rPr>
                <w:rFonts w:hint="eastAsia" w:eastAsia="宋体"/>
                <w:highlight w:val="none"/>
                <w:lang w:eastAsia="zh-CN"/>
              </w:rPr>
            </w:pPr>
            <w:r>
              <w:rPr>
                <w:rFonts w:hint="eastAsia" w:ascii="宋体" w:hAnsi="宋体" w:eastAsia="宋体" w:cs="宋体"/>
                <w:color w:val="auto"/>
                <w:sz w:val="21"/>
                <w:szCs w:val="21"/>
                <w:highlight w:val="none"/>
                <w:lang w:val="en-US" w:eastAsia="zh-CN"/>
              </w:rPr>
              <w:t>框架协议期限</w:t>
            </w:r>
          </w:p>
        </w:tc>
        <w:tc>
          <w:tcPr>
            <w:tcW w:w="6472" w:type="dxa"/>
            <w:noWrap w:val="0"/>
            <w:vAlign w:val="center"/>
          </w:tcPr>
          <w:p w14:paraId="711274C5">
            <w:pPr>
              <w:snapToGrid w:val="0"/>
              <w:spacing w:line="360" w:lineRule="atLeast"/>
              <w:rPr>
                <w:rFonts w:hint="eastAsia"/>
                <w:szCs w:val="21"/>
                <w:highlight w:val="none"/>
              </w:rPr>
            </w:pPr>
            <w:r>
              <w:rPr>
                <w:rFonts w:hint="eastAsia" w:ascii="宋体" w:hAnsi="宋体" w:eastAsia="宋体" w:cs="宋体"/>
                <w:color w:val="auto"/>
                <w:sz w:val="21"/>
                <w:szCs w:val="21"/>
                <w:highlight w:val="none"/>
                <w:lang w:val="en-US" w:eastAsia="zh-CN"/>
              </w:rPr>
              <w:t>1年（自合同签订之日起）</w:t>
            </w:r>
          </w:p>
        </w:tc>
      </w:tr>
      <w:tr w14:paraId="1AE4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58" w:type="dxa"/>
            <w:noWrap w:val="0"/>
            <w:vAlign w:val="center"/>
          </w:tcPr>
          <w:p w14:paraId="64CCC186">
            <w:pPr>
              <w:topLinePunct/>
              <w:snapToGrid w:val="0"/>
              <w:spacing w:line="360" w:lineRule="atLeast"/>
              <w:jc w:val="center"/>
              <w:rPr>
                <w:rFonts w:hint="eastAsia" w:eastAsia="宋体"/>
                <w:lang w:eastAsia="zh-CN"/>
              </w:rPr>
            </w:pPr>
            <w:r>
              <w:rPr>
                <w:rFonts w:hint="eastAsia"/>
              </w:rPr>
              <w:t>1.3.</w:t>
            </w:r>
            <w:r>
              <w:rPr>
                <w:rFonts w:hint="eastAsia"/>
                <w:lang w:val="en-US" w:eastAsia="zh-CN"/>
              </w:rPr>
              <w:t>3</w:t>
            </w:r>
          </w:p>
        </w:tc>
        <w:tc>
          <w:tcPr>
            <w:tcW w:w="1845" w:type="dxa"/>
            <w:noWrap w:val="0"/>
            <w:vAlign w:val="center"/>
          </w:tcPr>
          <w:p w14:paraId="10C1BF93">
            <w:pPr>
              <w:wordWrap w:val="0"/>
              <w:snapToGrid w:val="0"/>
              <w:spacing w:line="360" w:lineRule="atLeast"/>
              <w:jc w:val="center"/>
              <w:rPr>
                <w:rFonts w:hint="eastAsia"/>
                <w:szCs w:val="21"/>
              </w:rPr>
            </w:pPr>
            <w:r>
              <w:rPr>
                <w:rFonts w:hint="eastAsia" w:ascii="宋体" w:hAnsi="宋体" w:eastAsia="宋体" w:cs="宋体"/>
                <w:sz w:val="21"/>
                <w:szCs w:val="21"/>
                <w:highlight w:val="none"/>
                <w:lang w:val="en-US" w:eastAsia="zh-CN"/>
              </w:rPr>
              <w:t>质量要求</w:t>
            </w:r>
          </w:p>
        </w:tc>
        <w:tc>
          <w:tcPr>
            <w:tcW w:w="6472" w:type="dxa"/>
            <w:noWrap w:val="0"/>
            <w:vAlign w:val="center"/>
          </w:tcPr>
          <w:p w14:paraId="7095FBA3">
            <w:pPr>
              <w:wordWrap w:val="0"/>
              <w:snapToGrid w:val="0"/>
              <w:spacing w:line="360" w:lineRule="atLeast"/>
              <w:jc w:val="left"/>
              <w:rPr>
                <w:rFonts w:hint="eastAsia"/>
                <w:szCs w:val="21"/>
              </w:rPr>
            </w:pPr>
            <w:r>
              <w:rPr>
                <w:rFonts w:hint="eastAsia" w:ascii="宋体" w:hAnsi="宋体" w:eastAsia="宋体" w:cs="宋体"/>
                <w:spacing w:val="8"/>
                <w:sz w:val="21"/>
                <w:szCs w:val="21"/>
              </w:rPr>
              <w:t>符合国家</w:t>
            </w:r>
            <w:r>
              <w:rPr>
                <w:rFonts w:hint="eastAsia" w:cs="宋体"/>
                <w:spacing w:val="8"/>
                <w:sz w:val="21"/>
                <w:szCs w:val="21"/>
                <w:lang w:val="en-US" w:eastAsia="zh-CN"/>
              </w:rPr>
              <w:t>及行业相关要求合格标准，且满足采购人要求</w:t>
            </w:r>
            <w:r>
              <w:rPr>
                <w:rFonts w:hint="eastAsia" w:ascii="宋体" w:hAnsi="宋体" w:eastAsia="宋体" w:cs="宋体"/>
                <w:spacing w:val="8"/>
                <w:sz w:val="21"/>
                <w:szCs w:val="21"/>
              </w:rPr>
              <w:t>；</w:t>
            </w:r>
          </w:p>
        </w:tc>
      </w:tr>
      <w:tr w14:paraId="6E69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058" w:type="dxa"/>
            <w:noWrap w:val="0"/>
            <w:vAlign w:val="center"/>
          </w:tcPr>
          <w:p w14:paraId="1C11F21A">
            <w:pPr>
              <w:topLinePunct/>
              <w:snapToGrid w:val="0"/>
              <w:spacing w:line="360" w:lineRule="atLeast"/>
              <w:jc w:val="center"/>
            </w:pPr>
            <w:r>
              <w:rPr>
                <w:rFonts w:hint="eastAsia"/>
              </w:rPr>
              <w:t>1.4.1</w:t>
            </w:r>
          </w:p>
        </w:tc>
        <w:tc>
          <w:tcPr>
            <w:tcW w:w="1845" w:type="dxa"/>
            <w:noWrap w:val="0"/>
            <w:vAlign w:val="center"/>
          </w:tcPr>
          <w:p w14:paraId="7A6E4B08">
            <w:pPr>
              <w:topLinePunct/>
              <w:snapToGrid w:val="0"/>
              <w:spacing w:line="360" w:lineRule="atLeast"/>
              <w:jc w:val="center"/>
              <w:rPr>
                <w:rFonts w:hint="eastAsia"/>
              </w:rPr>
            </w:pPr>
            <w:r>
              <w:rPr>
                <w:rFonts w:hint="eastAsia"/>
              </w:rPr>
              <w:t>供应商资格条件</w:t>
            </w:r>
          </w:p>
        </w:tc>
        <w:tc>
          <w:tcPr>
            <w:tcW w:w="6472" w:type="dxa"/>
            <w:noWrap w:val="0"/>
            <w:vAlign w:val="center"/>
          </w:tcPr>
          <w:p w14:paraId="603DD87C">
            <w:pPr>
              <w:spacing w:line="400" w:lineRule="exact"/>
            </w:pPr>
            <w:r>
              <w:rPr>
                <w:rFonts w:hint="eastAsia" w:ascii="宋体" w:hAnsi="宋体" w:eastAsia="宋体" w:cs="宋体"/>
                <w:bCs/>
                <w:color w:val="auto"/>
                <w:sz w:val="21"/>
                <w:szCs w:val="21"/>
                <w:highlight w:val="none"/>
                <w:lang w:val="en-US" w:eastAsia="zh-CN"/>
              </w:rPr>
              <w:t>详见征集公告第二项“申请人资格要求”</w:t>
            </w:r>
            <w:r>
              <w:rPr>
                <w:rFonts w:hint="eastAsia"/>
                <w:bCs/>
                <w:kern w:val="0"/>
                <w:szCs w:val="21"/>
                <w:lang w:val="en-US" w:eastAsia="zh-CN" w:bidi="ar"/>
              </w:rPr>
              <w:t>。</w:t>
            </w:r>
          </w:p>
        </w:tc>
      </w:tr>
      <w:tr w14:paraId="63C6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58" w:type="dxa"/>
            <w:noWrap w:val="0"/>
            <w:vAlign w:val="center"/>
          </w:tcPr>
          <w:p w14:paraId="51D03C05">
            <w:pPr>
              <w:snapToGrid w:val="0"/>
              <w:spacing w:line="360" w:lineRule="atLeast"/>
              <w:jc w:val="center"/>
              <w:rPr>
                <w:szCs w:val="21"/>
              </w:rPr>
            </w:pPr>
            <w:r>
              <w:rPr>
                <w:rFonts w:hint="eastAsia"/>
                <w:szCs w:val="21"/>
              </w:rPr>
              <w:t>1.4.2</w:t>
            </w:r>
          </w:p>
        </w:tc>
        <w:tc>
          <w:tcPr>
            <w:tcW w:w="1845" w:type="dxa"/>
            <w:noWrap w:val="0"/>
            <w:vAlign w:val="center"/>
          </w:tcPr>
          <w:p w14:paraId="593D08AB">
            <w:pPr>
              <w:snapToGrid w:val="0"/>
              <w:spacing w:line="360" w:lineRule="atLeast"/>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是否接受联合体</w:t>
            </w:r>
          </w:p>
        </w:tc>
        <w:tc>
          <w:tcPr>
            <w:tcW w:w="6472" w:type="dxa"/>
            <w:noWrap w:val="0"/>
            <w:vAlign w:val="center"/>
          </w:tcPr>
          <w:p w14:paraId="79DD378A">
            <w:pPr>
              <w:tabs>
                <w:tab w:val="left" w:pos="630"/>
              </w:tabs>
              <w:snapToGrid w:val="0"/>
              <w:spacing w:line="360" w:lineRule="atLeas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不接受</w:t>
            </w:r>
          </w:p>
        </w:tc>
      </w:tr>
      <w:tr w14:paraId="60E4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58" w:type="dxa"/>
            <w:noWrap w:val="0"/>
            <w:vAlign w:val="center"/>
          </w:tcPr>
          <w:p w14:paraId="0BB89E00">
            <w:pPr>
              <w:snapToGrid w:val="0"/>
              <w:spacing w:line="360" w:lineRule="atLeast"/>
              <w:jc w:val="center"/>
              <w:rPr>
                <w:szCs w:val="21"/>
              </w:rPr>
            </w:pPr>
            <w:r>
              <w:rPr>
                <w:rFonts w:hint="eastAsia"/>
                <w:szCs w:val="21"/>
              </w:rPr>
              <w:t>1.5</w:t>
            </w:r>
          </w:p>
        </w:tc>
        <w:tc>
          <w:tcPr>
            <w:tcW w:w="1845" w:type="dxa"/>
            <w:noWrap w:val="0"/>
            <w:vAlign w:val="center"/>
          </w:tcPr>
          <w:p w14:paraId="4854827C">
            <w:pPr>
              <w:snapToGrid w:val="0"/>
              <w:spacing w:line="360" w:lineRule="atLeast"/>
              <w:jc w:val="center"/>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t>入围供应商数量</w:t>
            </w:r>
          </w:p>
        </w:tc>
        <w:tc>
          <w:tcPr>
            <w:tcW w:w="6472" w:type="dxa"/>
            <w:noWrap w:val="0"/>
            <w:vAlign w:val="center"/>
          </w:tcPr>
          <w:p w14:paraId="41674FB9">
            <w:pPr>
              <w:spacing w:line="400" w:lineRule="exact"/>
              <w:rPr>
                <w:rFonts w:hint="eastAsia" w:asciiTheme="majorEastAsia" w:hAnsiTheme="majorEastAsia" w:eastAsiaTheme="majorEastAsia" w:cstheme="majorEastAsia"/>
                <w:sz w:val="21"/>
                <w:szCs w:val="21"/>
                <w:highlight w:val="none"/>
                <w:lang w:val="en-US" w:eastAsia="zh-CN"/>
              </w:rPr>
            </w:pPr>
            <w:r>
              <w:rPr>
                <w:rFonts w:hint="eastAsia" w:ascii="宋体" w:hAnsi="宋体" w:eastAsia="宋体" w:cs="宋体"/>
                <w:bCs/>
                <w:color w:val="auto"/>
                <w:sz w:val="21"/>
                <w:szCs w:val="21"/>
                <w:highlight w:val="none"/>
                <w:lang w:val="en-US" w:eastAsia="zh-CN"/>
              </w:rPr>
              <w:t>选聘三家交通设施维护公司</w:t>
            </w:r>
          </w:p>
        </w:tc>
      </w:tr>
      <w:tr w14:paraId="7BB2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058" w:type="dxa"/>
            <w:noWrap w:val="0"/>
            <w:vAlign w:val="center"/>
          </w:tcPr>
          <w:p w14:paraId="48CE8876">
            <w:pPr>
              <w:snapToGrid w:val="0"/>
              <w:spacing w:line="360" w:lineRule="atLeast"/>
              <w:jc w:val="center"/>
              <w:rPr>
                <w:szCs w:val="21"/>
              </w:rPr>
            </w:pPr>
            <w:r>
              <w:rPr>
                <w:rFonts w:hint="eastAsia"/>
                <w:szCs w:val="21"/>
              </w:rPr>
              <w:t>1.6</w:t>
            </w:r>
          </w:p>
        </w:tc>
        <w:tc>
          <w:tcPr>
            <w:tcW w:w="1845" w:type="dxa"/>
            <w:noWrap w:val="0"/>
            <w:vAlign w:val="center"/>
          </w:tcPr>
          <w:p w14:paraId="7B3B866E">
            <w:pPr>
              <w:wordWrap w:val="0"/>
              <w:snapToGrid w:val="0"/>
              <w:spacing w:line="360" w:lineRule="atLeast"/>
              <w:jc w:val="center"/>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框架协议</w:t>
            </w:r>
            <w:r>
              <w:rPr>
                <w:rFonts w:hint="eastAsia" w:asciiTheme="majorEastAsia" w:hAnsiTheme="majorEastAsia" w:eastAsiaTheme="majorEastAsia" w:cstheme="majorEastAsia"/>
                <w:sz w:val="21"/>
                <w:szCs w:val="21"/>
                <w:lang w:val="en-US" w:eastAsia="zh-CN"/>
              </w:rPr>
              <w:t>类型</w:t>
            </w:r>
          </w:p>
        </w:tc>
        <w:tc>
          <w:tcPr>
            <w:tcW w:w="6472" w:type="dxa"/>
            <w:noWrap w:val="0"/>
            <w:vAlign w:val="center"/>
          </w:tcPr>
          <w:p w14:paraId="1AB5819F">
            <w:pPr>
              <w:wordWrap w:val="0"/>
              <w:snapToGrid w:val="0"/>
              <w:spacing w:line="360" w:lineRule="atLeast"/>
              <w:rPr>
                <w:rFonts w:hint="eastAsia" w:asciiTheme="majorEastAsia" w:hAnsiTheme="majorEastAsia" w:eastAsiaTheme="majorEastAsia" w:cstheme="majorEastAsia"/>
                <w:b/>
                <w:bCs/>
                <w:sz w:val="21"/>
                <w:szCs w:val="21"/>
              </w:rPr>
            </w:pPr>
            <w:r>
              <w:rPr>
                <w:rFonts w:hint="eastAsia" w:asciiTheme="majorEastAsia" w:hAnsiTheme="majorEastAsia" w:eastAsiaTheme="majorEastAsia" w:cstheme="majorEastAsia"/>
                <w:kern w:val="2"/>
                <w:sz w:val="21"/>
                <w:szCs w:val="21"/>
                <w:lang w:val="en-US" w:eastAsia="zh-CN" w:bidi="ar-SA"/>
              </w:rPr>
              <w:t>封闭式框架协议</w:t>
            </w:r>
          </w:p>
        </w:tc>
      </w:tr>
      <w:tr w14:paraId="1444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058" w:type="dxa"/>
            <w:noWrap w:val="0"/>
            <w:vAlign w:val="center"/>
          </w:tcPr>
          <w:p w14:paraId="195A9392">
            <w:pPr>
              <w:snapToGrid w:val="0"/>
              <w:spacing w:line="360" w:lineRule="atLeast"/>
              <w:jc w:val="center"/>
              <w:rPr>
                <w:szCs w:val="21"/>
              </w:rPr>
            </w:pPr>
            <w:r>
              <w:rPr>
                <w:rFonts w:hint="eastAsia"/>
                <w:szCs w:val="21"/>
              </w:rPr>
              <w:t>1.7</w:t>
            </w:r>
          </w:p>
        </w:tc>
        <w:tc>
          <w:tcPr>
            <w:tcW w:w="1845" w:type="dxa"/>
            <w:noWrap w:val="0"/>
            <w:vAlign w:val="center"/>
          </w:tcPr>
          <w:p w14:paraId="24A60103">
            <w:pPr>
              <w:snapToGrid w:val="0"/>
              <w:spacing w:line="360" w:lineRule="atLeast"/>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分包</w:t>
            </w:r>
          </w:p>
        </w:tc>
        <w:tc>
          <w:tcPr>
            <w:tcW w:w="6472" w:type="dxa"/>
            <w:noWrap w:val="0"/>
            <w:vAlign w:val="center"/>
          </w:tcPr>
          <w:p w14:paraId="4C8F95EA">
            <w:pPr>
              <w:tabs>
                <w:tab w:val="left" w:pos="720"/>
                <w:tab w:val="left" w:pos="1904"/>
              </w:tabs>
              <w:snapToGrid w:val="0"/>
              <w:spacing w:line="360" w:lineRule="atLeast"/>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不允许</w:t>
            </w:r>
          </w:p>
        </w:tc>
      </w:tr>
      <w:tr w14:paraId="1AEA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58" w:type="dxa"/>
            <w:noWrap w:val="0"/>
            <w:vAlign w:val="center"/>
          </w:tcPr>
          <w:p w14:paraId="4835810E">
            <w:pPr>
              <w:snapToGrid w:val="0"/>
              <w:spacing w:line="360" w:lineRule="atLeast"/>
              <w:jc w:val="center"/>
              <w:rPr>
                <w:rFonts w:hint="eastAsia"/>
                <w:szCs w:val="21"/>
              </w:rPr>
            </w:pPr>
            <w:r>
              <w:rPr>
                <w:rFonts w:hint="eastAsia"/>
                <w:szCs w:val="21"/>
              </w:rPr>
              <w:t>1.8.1</w:t>
            </w:r>
          </w:p>
        </w:tc>
        <w:tc>
          <w:tcPr>
            <w:tcW w:w="1845" w:type="dxa"/>
            <w:noWrap w:val="0"/>
            <w:vAlign w:val="center"/>
          </w:tcPr>
          <w:p w14:paraId="1B4B947D">
            <w:pPr>
              <w:snapToGrid w:val="0"/>
              <w:spacing w:line="360" w:lineRule="atLeast"/>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kern w:val="0"/>
                <w:sz w:val="21"/>
                <w:szCs w:val="21"/>
              </w:rPr>
              <w:t>实质性偏差</w:t>
            </w:r>
          </w:p>
        </w:tc>
        <w:tc>
          <w:tcPr>
            <w:tcW w:w="6472" w:type="dxa"/>
            <w:noWrap w:val="0"/>
            <w:vAlign w:val="center"/>
          </w:tcPr>
          <w:p w14:paraId="521D3CDB">
            <w:pPr>
              <w:snapToGrid w:val="0"/>
              <w:spacing w:line="360" w:lineRule="atLeas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不允许负偏离</w:t>
            </w:r>
          </w:p>
        </w:tc>
      </w:tr>
      <w:tr w14:paraId="495A7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058" w:type="dxa"/>
            <w:noWrap w:val="0"/>
            <w:vAlign w:val="center"/>
          </w:tcPr>
          <w:p w14:paraId="7CDE720B">
            <w:pPr>
              <w:snapToGrid w:val="0"/>
              <w:spacing w:line="360" w:lineRule="atLeast"/>
              <w:jc w:val="center"/>
              <w:rPr>
                <w:rFonts w:hint="eastAsia"/>
                <w:szCs w:val="21"/>
              </w:rPr>
            </w:pPr>
            <w:r>
              <w:rPr>
                <w:rFonts w:hint="eastAsia"/>
                <w:kern w:val="0"/>
                <w:szCs w:val="21"/>
              </w:rPr>
              <w:t>2.2.1</w:t>
            </w:r>
          </w:p>
        </w:tc>
        <w:tc>
          <w:tcPr>
            <w:tcW w:w="1845" w:type="dxa"/>
            <w:noWrap w:val="0"/>
            <w:vAlign w:val="center"/>
          </w:tcPr>
          <w:p w14:paraId="1BE2F725">
            <w:pPr>
              <w:snapToGrid w:val="0"/>
              <w:spacing w:line="360" w:lineRule="atLeast"/>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kern w:val="0"/>
                <w:sz w:val="21"/>
                <w:szCs w:val="21"/>
              </w:rPr>
              <w:t>供应商要求澄清征集文件</w:t>
            </w:r>
          </w:p>
        </w:tc>
        <w:tc>
          <w:tcPr>
            <w:tcW w:w="6472" w:type="dxa"/>
            <w:noWrap w:val="0"/>
            <w:vAlign w:val="center"/>
          </w:tcPr>
          <w:p w14:paraId="4D74E534">
            <w:pPr>
              <w:snapToGrid w:val="0"/>
              <w:spacing w:line="360" w:lineRule="atLeas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递交</w:t>
            </w:r>
            <w:r>
              <w:rPr>
                <w:rFonts w:hint="eastAsia" w:asciiTheme="majorEastAsia" w:hAnsiTheme="majorEastAsia" w:eastAsiaTheme="majorEastAsia" w:cstheme="majorEastAsia"/>
                <w:sz w:val="21"/>
                <w:szCs w:val="21"/>
                <w:lang w:val="en-US" w:eastAsia="zh-CN"/>
              </w:rPr>
              <w:t>响应</w:t>
            </w:r>
            <w:r>
              <w:rPr>
                <w:rFonts w:hint="eastAsia" w:asciiTheme="majorEastAsia" w:hAnsiTheme="majorEastAsia" w:eastAsiaTheme="majorEastAsia" w:cstheme="majorEastAsia"/>
                <w:sz w:val="21"/>
                <w:szCs w:val="21"/>
              </w:rPr>
              <w:t>文件的截止之日1</w:t>
            </w: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kern w:val="0"/>
                <w:sz w:val="21"/>
                <w:szCs w:val="21"/>
              </w:rPr>
              <w:t>日</w:t>
            </w:r>
            <w:r>
              <w:rPr>
                <w:rFonts w:hint="eastAsia" w:asciiTheme="majorEastAsia" w:hAnsiTheme="majorEastAsia" w:eastAsiaTheme="majorEastAsia" w:cstheme="majorEastAsia"/>
                <w:sz w:val="21"/>
                <w:szCs w:val="21"/>
              </w:rPr>
              <w:t>前</w:t>
            </w:r>
          </w:p>
        </w:tc>
      </w:tr>
      <w:tr w14:paraId="72A6E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058" w:type="dxa"/>
            <w:noWrap w:val="0"/>
            <w:vAlign w:val="center"/>
          </w:tcPr>
          <w:p w14:paraId="235D8231">
            <w:pPr>
              <w:snapToGrid w:val="0"/>
              <w:spacing w:line="360" w:lineRule="atLeast"/>
              <w:jc w:val="center"/>
              <w:rPr>
                <w:rFonts w:hint="eastAsia"/>
                <w:szCs w:val="21"/>
              </w:rPr>
            </w:pPr>
            <w:r>
              <w:rPr>
                <w:rFonts w:hint="eastAsia"/>
                <w:kern w:val="0"/>
                <w:szCs w:val="21"/>
              </w:rPr>
              <w:t>2.2.2</w:t>
            </w:r>
          </w:p>
        </w:tc>
        <w:tc>
          <w:tcPr>
            <w:tcW w:w="1845" w:type="dxa"/>
            <w:noWrap w:val="0"/>
            <w:vAlign w:val="center"/>
          </w:tcPr>
          <w:p w14:paraId="252E220B">
            <w:pPr>
              <w:snapToGrid w:val="0"/>
              <w:spacing w:line="360" w:lineRule="atLeast"/>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澄清或修改征集文件的时间、</w:t>
            </w:r>
            <w:r>
              <w:rPr>
                <w:rFonts w:hint="eastAsia" w:asciiTheme="majorEastAsia" w:hAnsiTheme="majorEastAsia" w:eastAsiaTheme="majorEastAsia" w:cstheme="majorEastAsia"/>
                <w:kern w:val="0"/>
                <w:sz w:val="21"/>
                <w:szCs w:val="21"/>
              </w:rPr>
              <w:t>形式</w:t>
            </w:r>
          </w:p>
        </w:tc>
        <w:tc>
          <w:tcPr>
            <w:tcW w:w="6472" w:type="dxa"/>
            <w:noWrap w:val="0"/>
            <w:vAlign w:val="center"/>
          </w:tcPr>
          <w:p w14:paraId="7D45D902">
            <w:pPr>
              <w:keepNext w:val="0"/>
              <w:keepLines w:val="0"/>
              <w:pageBreakBefore w:val="0"/>
              <w:widowControl w:val="0"/>
              <w:kinsoku/>
              <w:wordWrap/>
              <w:overflowPunct/>
              <w:topLinePunct w:val="0"/>
              <w:autoSpaceDE/>
              <w:autoSpaceDN/>
              <w:bidi w:val="0"/>
              <w:adjustRightInd/>
              <w:snapToGrid w:val="0"/>
              <w:spacing w:line="340" w:lineRule="atLeast"/>
              <w:jc w:val="both"/>
              <w:textAlignment w:val="auto"/>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时间：响应文件递交截止日期</w:t>
            </w:r>
            <w:r>
              <w:rPr>
                <w:rFonts w:hint="eastAsia" w:asciiTheme="majorEastAsia" w:hAnsiTheme="majorEastAsia" w:eastAsiaTheme="majorEastAsia" w:cstheme="majorEastAsia"/>
                <w:kern w:val="0"/>
                <w:sz w:val="21"/>
                <w:szCs w:val="21"/>
                <w:lang w:val="en-US" w:eastAsia="zh-CN"/>
              </w:rPr>
              <w:t>15</w:t>
            </w:r>
            <w:r>
              <w:rPr>
                <w:rFonts w:hint="eastAsia" w:asciiTheme="majorEastAsia" w:hAnsiTheme="majorEastAsia" w:eastAsiaTheme="majorEastAsia" w:cstheme="majorEastAsia"/>
                <w:kern w:val="0"/>
                <w:sz w:val="21"/>
                <w:szCs w:val="21"/>
              </w:rPr>
              <w:t>日前</w:t>
            </w:r>
          </w:p>
          <w:p w14:paraId="79322EF7">
            <w:pPr>
              <w:keepNext w:val="0"/>
              <w:keepLines w:val="0"/>
              <w:pageBreakBefore w:val="0"/>
              <w:widowControl w:val="0"/>
              <w:kinsoku/>
              <w:wordWrap/>
              <w:overflowPunct/>
              <w:topLinePunct w:val="0"/>
              <w:autoSpaceDE/>
              <w:autoSpaceDN/>
              <w:bidi w:val="0"/>
              <w:adjustRightInd/>
              <w:snapToGrid w:val="0"/>
              <w:spacing w:line="340" w:lineRule="atLeast"/>
              <w:jc w:val="both"/>
              <w:textAlignment w:val="auto"/>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kern w:val="0"/>
                <w:sz w:val="21"/>
                <w:szCs w:val="21"/>
              </w:rPr>
              <w:t>形式：网上发布，</w:t>
            </w:r>
            <w:r>
              <w:rPr>
                <w:rFonts w:hint="eastAsia" w:asciiTheme="majorEastAsia" w:hAnsiTheme="majorEastAsia" w:eastAsiaTheme="majorEastAsia" w:cstheme="majorEastAsia"/>
                <w:kern w:val="0"/>
                <w:sz w:val="21"/>
                <w:szCs w:val="21"/>
                <w:lang w:eastAsia="zh-CN"/>
              </w:rPr>
              <w:t>同</w:t>
            </w:r>
            <w:r>
              <w:rPr>
                <w:rFonts w:hint="eastAsia" w:asciiTheme="majorEastAsia" w:hAnsiTheme="majorEastAsia" w:eastAsiaTheme="majorEastAsia" w:cstheme="majorEastAsia"/>
                <w:kern w:val="0"/>
                <w:sz w:val="21"/>
                <w:szCs w:val="21"/>
              </w:rPr>
              <w:t>公告发布媒介</w:t>
            </w:r>
          </w:p>
          <w:p w14:paraId="577BFD3B">
            <w:pPr>
              <w:keepNext w:val="0"/>
              <w:keepLines w:val="0"/>
              <w:pageBreakBefore w:val="0"/>
              <w:widowControl w:val="0"/>
              <w:kinsoku/>
              <w:wordWrap/>
              <w:overflowPunct/>
              <w:topLinePunct w:val="0"/>
              <w:autoSpaceDE/>
              <w:autoSpaceDN/>
              <w:bidi w:val="0"/>
              <w:adjustRightInd/>
              <w:snapToGrid w:val="0"/>
              <w:spacing w:line="340" w:lineRule="atLeast"/>
              <w:jc w:val="left"/>
              <w:textAlignment w:val="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kern w:val="0"/>
                <w:sz w:val="21"/>
                <w:szCs w:val="21"/>
              </w:rPr>
              <w:t>注：若澄清或修改内容对</w:t>
            </w:r>
            <w:r>
              <w:rPr>
                <w:rFonts w:hint="eastAsia" w:asciiTheme="majorEastAsia" w:hAnsiTheme="majorEastAsia" w:eastAsiaTheme="majorEastAsia" w:cstheme="majorEastAsia"/>
                <w:kern w:val="0"/>
                <w:sz w:val="21"/>
                <w:szCs w:val="21"/>
                <w:lang w:val="en-US" w:eastAsia="zh-CN"/>
              </w:rPr>
              <w:t>响应</w:t>
            </w:r>
            <w:r>
              <w:rPr>
                <w:rFonts w:hint="eastAsia" w:asciiTheme="majorEastAsia" w:hAnsiTheme="majorEastAsia" w:eastAsiaTheme="majorEastAsia" w:cstheme="majorEastAsia"/>
                <w:kern w:val="0"/>
                <w:sz w:val="21"/>
                <w:szCs w:val="21"/>
              </w:rPr>
              <w:t>文件编制构成影响的，采购人应相应顺延</w:t>
            </w:r>
            <w:r>
              <w:rPr>
                <w:rFonts w:hint="eastAsia" w:asciiTheme="majorEastAsia" w:hAnsiTheme="majorEastAsia" w:eastAsiaTheme="majorEastAsia" w:cstheme="majorEastAsia"/>
                <w:kern w:val="0"/>
                <w:sz w:val="21"/>
                <w:szCs w:val="21"/>
                <w:lang w:val="en-US" w:eastAsia="zh-CN"/>
              </w:rPr>
              <w:t>响应文件递交</w:t>
            </w:r>
            <w:r>
              <w:rPr>
                <w:rFonts w:hint="eastAsia" w:asciiTheme="majorEastAsia" w:hAnsiTheme="majorEastAsia" w:eastAsiaTheme="majorEastAsia" w:cstheme="majorEastAsia"/>
                <w:kern w:val="0"/>
                <w:sz w:val="21"/>
                <w:szCs w:val="21"/>
              </w:rPr>
              <w:t>截止时间，若澄清或修改内容对</w:t>
            </w:r>
            <w:r>
              <w:rPr>
                <w:rFonts w:hint="eastAsia" w:asciiTheme="majorEastAsia" w:hAnsiTheme="majorEastAsia" w:eastAsiaTheme="majorEastAsia" w:cstheme="majorEastAsia"/>
                <w:kern w:val="0"/>
                <w:sz w:val="21"/>
                <w:szCs w:val="21"/>
                <w:lang w:val="en-US" w:eastAsia="zh-CN"/>
              </w:rPr>
              <w:t>响应</w:t>
            </w:r>
            <w:r>
              <w:rPr>
                <w:rFonts w:hint="eastAsia" w:asciiTheme="majorEastAsia" w:hAnsiTheme="majorEastAsia" w:eastAsiaTheme="majorEastAsia" w:cstheme="majorEastAsia"/>
                <w:kern w:val="0"/>
                <w:sz w:val="21"/>
                <w:szCs w:val="21"/>
              </w:rPr>
              <w:t>文件编制不构成影响的，采购人不再顺延</w:t>
            </w:r>
            <w:r>
              <w:rPr>
                <w:rFonts w:hint="eastAsia" w:asciiTheme="majorEastAsia" w:hAnsiTheme="majorEastAsia" w:eastAsiaTheme="majorEastAsia" w:cstheme="majorEastAsia"/>
                <w:kern w:val="0"/>
                <w:sz w:val="21"/>
                <w:szCs w:val="21"/>
                <w:lang w:val="en-US" w:eastAsia="zh-CN"/>
              </w:rPr>
              <w:t>响应文件递交</w:t>
            </w:r>
            <w:r>
              <w:rPr>
                <w:rFonts w:hint="eastAsia" w:asciiTheme="majorEastAsia" w:hAnsiTheme="majorEastAsia" w:eastAsiaTheme="majorEastAsia" w:cstheme="majorEastAsia"/>
                <w:kern w:val="0"/>
                <w:sz w:val="21"/>
                <w:szCs w:val="21"/>
              </w:rPr>
              <w:t>截止时间。</w:t>
            </w:r>
          </w:p>
        </w:tc>
      </w:tr>
      <w:tr w14:paraId="28A7E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058" w:type="dxa"/>
            <w:noWrap w:val="0"/>
            <w:vAlign w:val="center"/>
          </w:tcPr>
          <w:p w14:paraId="0C77818C">
            <w:pPr>
              <w:snapToGrid w:val="0"/>
              <w:spacing w:line="360" w:lineRule="atLeast"/>
              <w:jc w:val="center"/>
              <w:rPr>
                <w:rFonts w:hint="eastAsia"/>
                <w:szCs w:val="21"/>
              </w:rPr>
            </w:pPr>
            <w:r>
              <w:rPr>
                <w:rFonts w:hint="eastAsia"/>
                <w:kern w:val="0"/>
                <w:szCs w:val="21"/>
              </w:rPr>
              <w:t>2.3.2</w:t>
            </w:r>
          </w:p>
        </w:tc>
        <w:tc>
          <w:tcPr>
            <w:tcW w:w="1845" w:type="dxa"/>
            <w:noWrap w:val="0"/>
            <w:vAlign w:val="center"/>
          </w:tcPr>
          <w:p w14:paraId="1E586C97">
            <w:pPr>
              <w:snapToGrid w:val="0"/>
              <w:spacing w:line="360" w:lineRule="atLeast"/>
              <w:jc w:val="center"/>
              <w:rPr>
                <w:rFonts w:hint="eastAsia"/>
                <w:szCs w:val="21"/>
              </w:rPr>
            </w:pPr>
            <w:r>
              <w:rPr>
                <w:rFonts w:hint="eastAsia"/>
                <w:kern w:val="0"/>
                <w:szCs w:val="21"/>
              </w:rPr>
              <w:t>供应商确认收到征集文件修改</w:t>
            </w:r>
          </w:p>
        </w:tc>
        <w:tc>
          <w:tcPr>
            <w:tcW w:w="6472" w:type="dxa"/>
            <w:noWrap w:val="0"/>
            <w:vAlign w:val="center"/>
          </w:tcPr>
          <w:p w14:paraId="47E2FFB7">
            <w:pPr>
              <w:snapToGrid w:val="0"/>
              <w:spacing w:line="360" w:lineRule="atLeast"/>
              <w:rPr>
                <w:rFonts w:hint="eastAsia" w:eastAsia="宋体"/>
                <w:szCs w:val="21"/>
                <w:lang w:val="en-US" w:eastAsia="zh-CN"/>
              </w:rPr>
            </w:pPr>
            <w:r>
              <w:rPr>
                <w:rFonts w:hint="eastAsia"/>
                <w:sz w:val="21"/>
                <w:szCs w:val="21"/>
              </w:rPr>
              <w:t>在收到相应澄清文件后</w:t>
            </w:r>
            <w:r>
              <w:rPr>
                <w:rFonts w:hint="eastAsia"/>
                <w:sz w:val="21"/>
                <w:szCs w:val="21"/>
                <w:u w:val="single"/>
              </w:rPr>
              <w:t>24</w:t>
            </w:r>
            <w:r>
              <w:rPr>
                <w:rFonts w:hint="eastAsia"/>
                <w:sz w:val="21"/>
                <w:szCs w:val="21"/>
              </w:rPr>
              <w:t>小时内</w:t>
            </w:r>
          </w:p>
        </w:tc>
      </w:tr>
      <w:tr w14:paraId="7B9F4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058" w:type="dxa"/>
            <w:noWrap w:val="0"/>
            <w:vAlign w:val="center"/>
          </w:tcPr>
          <w:p w14:paraId="23636F0E">
            <w:pPr>
              <w:snapToGrid w:val="0"/>
              <w:spacing w:line="360" w:lineRule="atLeast"/>
              <w:jc w:val="center"/>
              <w:rPr>
                <w:rFonts w:hint="eastAsia"/>
                <w:szCs w:val="21"/>
              </w:rPr>
            </w:pPr>
            <w:r>
              <w:rPr>
                <w:rFonts w:hint="eastAsia"/>
                <w:szCs w:val="21"/>
              </w:rPr>
              <w:t>3.3.1</w:t>
            </w:r>
          </w:p>
        </w:tc>
        <w:tc>
          <w:tcPr>
            <w:tcW w:w="1845" w:type="dxa"/>
            <w:noWrap w:val="0"/>
            <w:vAlign w:val="center"/>
          </w:tcPr>
          <w:p w14:paraId="69008691">
            <w:pPr>
              <w:snapToGrid w:val="0"/>
              <w:spacing w:line="360" w:lineRule="atLeast"/>
              <w:jc w:val="center"/>
              <w:rPr>
                <w:rFonts w:hint="eastAsia"/>
                <w:szCs w:val="21"/>
              </w:rPr>
            </w:pPr>
            <w:r>
              <w:rPr>
                <w:rFonts w:hint="eastAsia"/>
                <w:szCs w:val="21"/>
              </w:rPr>
              <w:t>响应文件有效期</w:t>
            </w:r>
          </w:p>
        </w:tc>
        <w:tc>
          <w:tcPr>
            <w:tcW w:w="6472" w:type="dxa"/>
            <w:noWrap w:val="0"/>
            <w:vAlign w:val="center"/>
          </w:tcPr>
          <w:p w14:paraId="37A6AD9A">
            <w:pPr>
              <w:snapToGrid w:val="0"/>
              <w:spacing w:line="360" w:lineRule="atLeast"/>
              <w:rPr>
                <w:rFonts w:hint="eastAsia"/>
                <w:kern w:val="0"/>
                <w:szCs w:val="21"/>
              </w:rPr>
            </w:pPr>
            <w:r>
              <w:rPr>
                <w:rFonts w:hint="eastAsia"/>
                <w:szCs w:val="21"/>
                <w:lang w:val="en-US" w:eastAsia="zh-CN"/>
              </w:rPr>
              <w:t>自</w:t>
            </w:r>
            <w:r>
              <w:rPr>
                <w:rFonts w:hint="eastAsia"/>
                <w:szCs w:val="21"/>
                <w:lang w:eastAsia="zh-CN"/>
              </w:rPr>
              <w:t>递交</w:t>
            </w:r>
            <w:r>
              <w:rPr>
                <w:rFonts w:hint="eastAsia"/>
                <w:szCs w:val="21"/>
              </w:rPr>
              <w:t>响应文件截止之日起</w:t>
            </w:r>
            <w:r>
              <w:rPr>
                <w:rFonts w:hint="eastAsia"/>
                <w:u w:val="single"/>
              </w:rPr>
              <w:t>60</w:t>
            </w:r>
            <w:r>
              <w:rPr>
                <w:rFonts w:hint="eastAsia"/>
              </w:rPr>
              <w:t>日历天</w:t>
            </w:r>
          </w:p>
        </w:tc>
      </w:tr>
      <w:tr w14:paraId="35D4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058" w:type="dxa"/>
            <w:noWrap w:val="0"/>
            <w:vAlign w:val="center"/>
          </w:tcPr>
          <w:p w14:paraId="6D7DD1F6">
            <w:pPr>
              <w:snapToGrid w:val="0"/>
              <w:spacing w:line="360" w:lineRule="atLeast"/>
              <w:jc w:val="center"/>
              <w:rPr>
                <w:szCs w:val="21"/>
              </w:rPr>
            </w:pPr>
            <w:r>
              <w:rPr>
                <w:rFonts w:hint="eastAsia"/>
                <w:szCs w:val="21"/>
              </w:rPr>
              <w:t>3.4.1</w:t>
            </w:r>
          </w:p>
        </w:tc>
        <w:tc>
          <w:tcPr>
            <w:tcW w:w="1845" w:type="dxa"/>
            <w:noWrap w:val="0"/>
            <w:vAlign w:val="center"/>
          </w:tcPr>
          <w:p w14:paraId="1EC0497C">
            <w:pPr>
              <w:snapToGrid w:val="0"/>
              <w:spacing w:line="360" w:lineRule="atLeast"/>
              <w:jc w:val="center"/>
              <w:rPr>
                <w:rFonts w:hint="eastAsia"/>
                <w:szCs w:val="21"/>
              </w:rPr>
            </w:pPr>
            <w:r>
              <w:rPr>
                <w:rFonts w:hint="eastAsia"/>
                <w:szCs w:val="21"/>
              </w:rPr>
              <w:t>入围保证金</w:t>
            </w:r>
          </w:p>
        </w:tc>
        <w:tc>
          <w:tcPr>
            <w:tcW w:w="6472" w:type="dxa"/>
            <w:noWrap w:val="0"/>
            <w:vAlign w:val="center"/>
          </w:tcPr>
          <w:p w14:paraId="34C51840">
            <w:pPr>
              <w:snapToGrid w:val="0"/>
              <w:spacing w:line="360" w:lineRule="atLeast"/>
              <w:rPr>
                <w:rFonts w:hint="eastAsia"/>
                <w:szCs w:val="21"/>
              </w:rPr>
            </w:pPr>
            <w:r>
              <w:rPr>
                <w:rFonts w:hint="eastAsia" w:hAnsi="宋体" w:cs="宋体"/>
                <w:color w:val="auto"/>
                <w:sz w:val="21"/>
                <w:szCs w:val="21"/>
                <w:highlight w:val="none"/>
              </w:rPr>
              <w:t>按照河南省财政厅发布《关于优化政府采购营商环境有关问题的通知》，本采购项目不再收取</w:t>
            </w:r>
            <w:r>
              <w:rPr>
                <w:rFonts w:hint="eastAsia" w:hAnsi="宋体" w:cs="宋体"/>
                <w:color w:val="auto"/>
                <w:sz w:val="21"/>
                <w:szCs w:val="21"/>
                <w:highlight w:val="none"/>
                <w:lang w:val="en-US" w:eastAsia="zh-CN"/>
              </w:rPr>
              <w:t>入围</w:t>
            </w:r>
            <w:r>
              <w:rPr>
                <w:rFonts w:hint="eastAsia" w:hAnsi="宋体" w:cs="宋体"/>
                <w:color w:val="auto"/>
                <w:sz w:val="21"/>
                <w:szCs w:val="21"/>
                <w:highlight w:val="none"/>
              </w:rPr>
              <w:t>保证金。</w:t>
            </w:r>
          </w:p>
        </w:tc>
      </w:tr>
      <w:tr w14:paraId="566D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058" w:type="dxa"/>
            <w:noWrap w:val="0"/>
            <w:vAlign w:val="center"/>
          </w:tcPr>
          <w:p w14:paraId="56297B52">
            <w:pPr>
              <w:snapToGrid w:val="0"/>
              <w:spacing w:line="360" w:lineRule="atLeast"/>
              <w:jc w:val="center"/>
              <w:rPr>
                <w:rFonts w:hint="eastAsia" w:eastAsia="宋体"/>
                <w:szCs w:val="21"/>
                <w:lang w:eastAsia="zh-CN"/>
              </w:rPr>
            </w:pPr>
            <w:r>
              <w:rPr>
                <w:rFonts w:hint="eastAsia"/>
                <w:szCs w:val="21"/>
                <w:lang w:val="en-US" w:eastAsia="zh-CN"/>
              </w:rPr>
              <w:t>3</w:t>
            </w:r>
            <w:r>
              <w:rPr>
                <w:rFonts w:hint="eastAsia"/>
                <w:szCs w:val="21"/>
              </w:rPr>
              <w:t>.</w:t>
            </w:r>
            <w:r>
              <w:rPr>
                <w:rFonts w:hint="eastAsia"/>
                <w:szCs w:val="21"/>
                <w:lang w:val="en-US" w:eastAsia="zh-CN"/>
              </w:rPr>
              <w:t>7</w:t>
            </w:r>
            <w:r>
              <w:rPr>
                <w:rFonts w:hint="eastAsia"/>
                <w:szCs w:val="21"/>
              </w:rPr>
              <w:t>.</w:t>
            </w:r>
            <w:r>
              <w:rPr>
                <w:rFonts w:hint="eastAsia"/>
                <w:szCs w:val="21"/>
                <w:lang w:val="en-US" w:eastAsia="zh-CN"/>
              </w:rPr>
              <w:t>3</w:t>
            </w:r>
          </w:p>
        </w:tc>
        <w:tc>
          <w:tcPr>
            <w:tcW w:w="1845" w:type="dxa"/>
            <w:noWrap w:val="0"/>
            <w:vAlign w:val="center"/>
          </w:tcPr>
          <w:p w14:paraId="3D0CD765">
            <w:pPr>
              <w:snapToGrid w:val="0"/>
              <w:spacing w:line="360" w:lineRule="atLeast"/>
              <w:rPr>
                <w:rFonts w:hint="eastAsia"/>
                <w:szCs w:val="21"/>
              </w:rPr>
            </w:pPr>
            <w:r>
              <w:rPr>
                <w:rFonts w:hint="eastAsia" w:ascii="宋体" w:hAnsi="宋体" w:eastAsia="宋体" w:cs="宋体"/>
              </w:rPr>
              <w:t>签字或盖章要求</w:t>
            </w:r>
          </w:p>
        </w:tc>
        <w:tc>
          <w:tcPr>
            <w:tcW w:w="6472" w:type="dxa"/>
            <w:noWrap w:val="0"/>
            <w:vAlign w:val="center"/>
          </w:tcPr>
          <w:p w14:paraId="66F8BC66">
            <w:pPr>
              <w:snapToGrid w:val="0"/>
              <w:spacing w:line="360" w:lineRule="atLeast"/>
              <w:rPr>
                <w:rFonts w:hint="eastAsia" w:cs="仿宋_GB2312"/>
                <w:b/>
                <w:bCs/>
                <w:kern w:val="0"/>
                <w:szCs w:val="21"/>
              </w:rPr>
            </w:pPr>
            <w:r>
              <w:rPr>
                <w:rFonts w:hint="eastAsia" w:ascii="宋体" w:hAnsi="宋体" w:eastAsia="宋体" w:cs="宋体"/>
                <w:sz w:val="21"/>
                <w:szCs w:val="21"/>
                <w:lang w:val="en-US" w:eastAsia="zh-CN"/>
              </w:rPr>
              <w:t>供应商</w:t>
            </w:r>
            <w:r>
              <w:rPr>
                <w:rFonts w:hint="eastAsia" w:ascii="宋体" w:hAnsi="宋体" w:eastAsia="宋体" w:cs="宋体"/>
                <w:sz w:val="21"/>
                <w:szCs w:val="21"/>
                <w:highlight w:val="none"/>
              </w:rPr>
              <w:t>在制作</w:t>
            </w:r>
            <w:r>
              <w:rPr>
                <w:rFonts w:hint="eastAsia" w:cs="宋体"/>
                <w:sz w:val="21"/>
                <w:szCs w:val="21"/>
                <w:highlight w:val="none"/>
                <w:lang w:val="en-US" w:eastAsia="zh-CN"/>
              </w:rPr>
              <w:t>响应</w:t>
            </w:r>
            <w:r>
              <w:rPr>
                <w:rFonts w:hint="eastAsia" w:ascii="宋体" w:hAnsi="宋体" w:eastAsia="宋体" w:cs="宋体"/>
                <w:sz w:val="21"/>
                <w:szCs w:val="21"/>
                <w:highlight w:val="none"/>
              </w:rPr>
              <w:t>文件时，应按</w:t>
            </w:r>
            <w:r>
              <w:rPr>
                <w:rFonts w:hint="eastAsia"/>
                <w:szCs w:val="21"/>
              </w:rPr>
              <w:t>响应文件</w:t>
            </w:r>
            <w:r>
              <w:rPr>
                <w:rFonts w:hint="eastAsia" w:ascii="宋体" w:hAnsi="宋体" w:eastAsia="宋体" w:cs="宋体"/>
                <w:sz w:val="21"/>
                <w:szCs w:val="21"/>
                <w:highlight w:val="none"/>
              </w:rPr>
              <w:t>格式要求签字盖章，公章包含电子公章或企业公章，签字包含电子签章或手写签名。</w:t>
            </w:r>
          </w:p>
        </w:tc>
      </w:tr>
      <w:tr w14:paraId="2641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058" w:type="dxa"/>
            <w:noWrap w:val="0"/>
            <w:vAlign w:val="center"/>
          </w:tcPr>
          <w:p w14:paraId="66871446">
            <w:pPr>
              <w:snapToGrid w:val="0"/>
              <w:spacing w:line="360" w:lineRule="atLeast"/>
              <w:jc w:val="center"/>
              <w:rPr>
                <w:rFonts w:hint="default"/>
                <w:szCs w:val="21"/>
                <w:lang w:val="en-US" w:eastAsia="zh-CN"/>
              </w:rPr>
            </w:pPr>
            <w:r>
              <w:rPr>
                <w:rFonts w:hint="eastAsia"/>
                <w:szCs w:val="21"/>
                <w:lang w:val="en-US" w:eastAsia="zh-CN"/>
              </w:rPr>
              <w:t>3.7.4</w:t>
            </w:r>
          </w:p>
        </w:tc>
        <w:tc>
          <w:tcPr>
            <w:tcW w:w="1845" w:type="dxa"/>
            <w:noWrap w:val="0"/>
            <w:vAlign w:val="center"/>
          </w:tcPr>
          <w:p w14:paraId="45540674">
            <w:pPr>
              <w:snapToGrid w:val="0"/>
              <w:spacing w:line="360" w:lineRule="atLeast"/>
              <w:jc w:val="center"/>
              <w:rPr>
                <w:rFonts w:hint="eastAsia" w:ascii="宋体" w:hAnsi="宋体" w:eastAsia="宋体" w:cs="宋体"/>
              </w:rPr>
            </w:pPr>
            <w:r>
              <w:rPr>
                <w:rFonts w:hint="eastAsia" w:asciiTheme="majorEastAsia" w:hAnsiTheme="majorEastAsia" w:eastAsiaTheme="majorEastAsia" w:cstheme="majorEastAsia"/>
                <w:kern w:val="0"/>
                <w:sz w:val="21"/>
                <w:szCs w:val="21"/>
                <w:lang w:val="en-US" w:eastAsia="zh-CN"/>
              </w:rPr>
              <w:t>响应</w:t>
            </w:r>
            <w:r>
              <w:rPr>
                <w:rFonts w:hint="eastAsia"/>
                <w:sz w:val="21"/>
                <w:szCs w:val="21"/>
                <w:lang w:eastAsia="zh-CN"/>
              </w:rPr>
              <w:t>文件份数</w:t>
            </w:r>
          </w:p>
        </w:tc>
        <w:tc>
          <w:tcPr>
            <w:tcW w:w="6472" w:type="dxa"/>
            <w:noWrap w:val="0"/>
            <w:vAlign w:val="center"/>
          </w:tcPr>
          <w:p w14:paraId="5C7C28CE">
            <w:pPr>
              <w:snapToGrid w:val="0"/>
              <w:spacing w:line="360" w:lineRule="atLeas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1.加密的电子</w:t>
            </w:r>
            <w:r>
              <w:rPr>
                <w:rFonts w:hint="eastAsia" w:asciiTheme="majorEastAsia" w:hAnsiTheme="majorEastAsia" w:eastAsiaTheme="majorEastAsia" w:cstheme="majorEastAsia"/>
                <w:kern w:val="0"/>
                <w:sz w:val="21"/>
                <w:szCs w:val="21"/>
                <w:lang w:val="en-US" w:eastAsia="zh-CN"/>
              </w:rPr>
              <w:t>响应</w:t>
            </w:r>
            <w:r>
              <w:rPr>
                <w:rFonts w:hint="eastAsia" w:ascii="宋体" w:hAnsi="宋体" w:eastAsia="宋体" w:cs="宋体"/>
                <w:sz w:val="21"/>
                <w:szCs w:val="21"/>
                <w:lang w:val="en-US" w:eastAsia="zh-CN"/>
              </w:rPr>
              <w:t>文件壹份（在交易系统指定位置上传）</w:t>
            </w:r>
          </w:p>
          <w:p w14:paraId="37D1BDEB">
            <w:pPr>
              <w:snapToGrid w:val="0"/>
              <w:spacing w:line="360" w:lineRule="atLeas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2.中标人在中标后须提供纸质</w:t>
            </w:r>
            <w:r>
              <w:rPr>
                <w:rFonts w:hint="eastAsia" w:asciiTheme="majorEastAsia" w:hAnsiTheme="majorEastAsia" w:eastAsiaTheme="majorEastAsia" w:cstheme="majorEastAsia"/>
                <w:kern w:val="0"/>
                <w:sz w:val="21"/>
                <w:szCs w:val="21"/>
                <w:lang w:val="en-US" w:eastAsia="zh-CN"/>
              </w:rPr>
              <w:t>响应</w:t>
            </w:r>
            <w:r>
              <w:rPr>
                <w:rFonts w:hint="eastAsia" w:ascii="宋体" w:hAnsi="宋体" w:eastAsia="宋体" w:cs="宋体"/>
                <w:sz w:val="21"/>
                <w:szCs w:val="21"/>
                <w:lang w:val="en-US" w:eastAsia="zh-CN"/>
              </w:rPr>
              <w:t>文件三份，U盘</w:t>
            </w:r>
            <w:r>
              <w:rPr>
                <w:rFonts w:hint="eastAsia" w:asciiTheme="majorEastAsia" w:hAnsiTheme="majorEastAsia" w:eastAsiaTheme="majorEastAsia" w:cstheme="majorEastAsia"/>
                <w:kern w:val="0"/>
                <w:sz w:val="21"/>
                <w:szCs w:val="21"/>
                <w:lang w:val="en-US" w:eastAsia="zh-CN"/>
              </w:rPr>
              <w:t>响应</w:t>
            </w:r>
            <w:r>
              <w:rPr>
                <w:rFonts w:hint="eastAsia" w:ascii="宋体" w:hAnsi="宋体" w:eastAsia="宋体" w:cs="宋体"/>
                <w:sz w:val="21"/>
                <w:szCs w:val="21"/>
                <w:lang w:val="en-US" w:eastAsia="zh-CN"/>
              </w:rPr>
              <w:t>文件一份</w:t>
            </w:r>
            <w:r>
              <w:rPr>
                <w:rFonts w:hint="eastAsia" w:cs="宋体"/>
                <w:sz w:val="21"/>
                <w:szCs w:val="21"/>
                <w:lang w:val="en-US" w:eastAsia="zh-CN"/>
              </w:rPr>
              <w:t>。</w:t>
            </w:r>
          </w:p>
        </w:tc>
      </w:tr>
      <w:tr w14:paraId="0814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58" w:type="dxa"/>
            <w:noWrap w:val="0"/>
            <w:vAlign w:val="center"/>
          </w:tcPr>
          <w:p w14:paraId="657398D0">
            <w:pPr>
              <w:snapToGrid w:val="0"/>
              <w:spacing w:line="360" w:lineRule="atLeast"/>
              <w:jc w:val="center"/>
              <w:rPr>
                <w:rFonts w:hint="eastAsia"/>
                <w:color w:val="auto"/>
                <w:szCs w:val="21"/>
              </w:rPr>
            </w:pPr>
            <w:r>
              <w:rPr>
                <w:rFonts w:hint="eastAsia"/>
                <w:color w:val="auto"/>
                <w:szCs w:val="21"/>
              </w:rPr>
              <w:t>4.2.1</w:t>
            </w:r>
          </w:p>
        </w:tc>
        <w:tc>
          <w:tcPr>
            <w:tcW w:w="1845" w:type="dxa"/>
            <w:noWrap w:val="0"/>
            <w:vAlign w:val="center"/>
          </w:tcPr>
          <w:p w14:paraId="6DCD5FB8">
            <w:pPr>
              <w:tabs>
                <w:tab w:val="left" w:pos="720"/>
              </w:tabs>
              <w:snapToGrid w:val="0"/>
              <w:spacing w:line="360" w:lineRule="atLeast"/>
              <w:jc w:val="center"/>
              <w:rPr>
                <w:rFonts w:hint="eastAsia"/>
                <w:color w:val="auto"/>
                <w:szCs w:val="21"/>
              </w:rPr>
            </w:pPr>
            <w:r>
              <w:rPr>
                <w:rFonts w:hint="eastAsia" w:cs="微软雅黑"/>
                <w:color w:val="auto"/>
                <w:kern w:val="0"/>
                <w:szCs w:val="21"/>
              </w:rPr>
              <w:t>响应文件</w:t>
            </w:r>
            <w:r>
              <w:rPr>
                <w:rFonts w:hint="eastAsia" w:cs="微软雅黑"/>
                <w:color w:val="auto"/>
                <w:kern w:val="0"/>
                <w:szCs w:val="21"/>
                <w:lang w:val="en-US" w:eastAsia="zh-CN"/>
              </w:rPr>
              <w:t>递</w:t>
            </w:r>
            <w:r>
              <w:rPr>
                <w:rFonts w:hint="eastAsia" w:cs="微软雅黑"/>
                <w:color w:val="auto"/>
                <w:kern w:val="0"/>
                <w:szCs w:val="21"/>
              </w:rPr>
              <w:t>交</w:t>
            </w:r>
            <w:r>
              <w:rPr>
                <w:rFonts w:hint="eastAsia" w:cs="微软雅黑"/>
                <w:color w:val="auto"/>
                <w:spacing w:val="-2"/>
                <w:kern w:val="0"/>
                <w:szCs w:val="21"/>
              </w:rPr>
              <w:t>截</w:t>
            </w:r>
            <w:r>
              <w:rPr>
                <w:rFonts w:hint="eastAsia" w:cs="微软雅黑"/>
                <w:color w:val="auto"/>
                <w:kern w:val="0"/>
                <w:szCs w:val="21"/>
              </w:rPr>
              <w:t>止</w:t>
            </w:r>
            <w:r>
              <w:rPr>
                <w:rFonts w:hint="eastAsia" w:cs="微软雅黑"/>
                <w:color w:val="auto"/>
                <w:spacing w:val="-2"/>
                <w:kern w:val="0"/>
                <w:szCs w:val="21"/>
              </w:rPr>
              <w:t>时</w:t>
            </w:r>
            <w:r>
              <w:rPr>
                <w:rFonts w:hint="eastAsia" w:cs="微软雅黑"/>
                <w:color w:val="auto"/>
                <w:kern w:val="0"/>
                <w:szCs w:val="21"/>
              </w:rPr>
              <w:t>间</w:t>
            </w:r>
          </w:p>
        </w:tc>
        <w:tc>
          <w:tcPr>
            <w:tcW w:w="6472" w:type="dxa"/>
            <w:noWrap w:val="0"/>
            <w:vAlign w:val="center"/>
          </w:tcPr>
          <w:p w14:paraId="0F974A70">
            <w:pPr>
              <w:wordWrap w:val="0"/>
              <w:snapToGrid w:val="0"/>
              <w:spacing w:line="360" w:lineRule="atLeast"/>
              <w:jc w:val="left"/>
              <w:rPr>
                <w:rFonts w:hint="eastAsia"/>
                <w:color w:val="auto"/>
                <w:szCs w:val="21"/>
              </w:rPr>
            </w:pPr>
            <w:r>
              <w:rPr>
                <w:color w:val="auto"/>
                <w:szCs w:val="21"/>
                <w:highlight w:val="none"/>
              </w:rPr>
              <w:t>202</w:t>
            </w:r>
            <w:r>
              <w:rPr>
                <w:rFonts w:hint="eastAsia"/>
                <w:color w:val="auto"/>
                <w:szCs w:val="21"/>
                <w:highlight w:val="none"/>
                <w:lang w:val="en-US" w:eastAsia="zh-CN"/>
              </w:rPr>
              <w:t>5</w:t>
            </w:r>
            <w:r>
              <w:rPr>
                <w:color w:val="auto"/>
                <w:szCs w:val="21"/>
                <w:highlight w:val="none"/>
              </w:rPr>
              <w:t>年</w:t>
            </w:r>
            <w:r>
              <w:rPr>
                <w:rFonts w:hint="eastAsia"/>
                <w:color w:val="auto"/>
                <w:szCs w:val="21"/>
                <w:highlight w:val="none"/>
                <w:lang w:val="en-US" w:eastAsia="zh-CN"/>
              </w:rPr>
              <w:t>11</w:t>
            </w:r>
            <w:r>
              <w:rPr>
                <w:color w:val="auto"/>
                <w:szCs w:val="21"/>
                <w:highlight w:val="none"/>
              </w:rPr>
              <w:t>月</w:t>
            </w:r>
            <w:r>
              <w:rPr>
                <w:rFonts w:hint="eastAsia"/>
                <w:color w:val="auto"/>
                <w:szCs w:val="21"/>
                <w:highlight w:val="none"/>
                <w:lang w:val="en-US" w:eastAsia="zh-CN"/>
              </w:rPr>
              <w:t>11</w:t>
            </w:r>
            <w:r>
              <w:rPr>
                <w:color w:val="auto"/>
                <w:szCs w:val="21"/>
                <w:highlight w:val="none"/>
              </w:rPr>
              <w:t>日</w:t>
            </w:r>
            <w:r>
              <w:rPr>
                <w:rFonts w:hint="eastAsia"/>
                <w:color w:val="auto"/>
                <w:szCs w:val="21"/>
                <w:highlight w:val="none"/>
                <w:lang w:val="en-US" w:eastAsia="zh-CN"/>
              </w:rPr>
              <w:t>09</w:t>
            </w:r>
            <w:r>
              <w:rPr>
                <w:color w:val="auto"/>
                <w:szCs w:val="21"/>
                <w:highlight w:val="none"/>
              </w:rPr>
              <w:t>时00分（北京时间）</w:t>
            </w:r>
          </w:p>
        </w:tc>
      </w:tr>
      <w:tr w14:paraId="59BF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5" w:hRule="atLeast"/>
        </w:trPr>
        <w:tc>
          <w:tcPr>
            <w:tcW w:w="1058" w:type="dxa"/>
            <w:noWrap w:val="0"/>
            <w:vAlign w:val="center"/>
          </w:tcPr>
          <w:p w14:paraId="2229845E">
            <w:pPr>
              <w:snapToGrid w:val="0"/>
              <w:spacing w:line="360" w:lineRule="atLeast"/>
              <w:jc w:val="center"/>
              <w:rPr>
                <w:rFonts w:hint="eastAsia"/>
                <w:szCs w:val="21"/>
              </w:rPr>
            </w:pPr>
            <w:r>
              <w:rPr>
                <w:rFonts w:hint="eastAsia"/>
                <w:szCs w:val="21"/>
              </w:rPr>
              <w:t>5.1.1</w:t>
            </w:r>
          </w:p>
        </w:tc>
        <w:tc>
          <w:tcPr>
            <w:tcW w:w="1845" w:type="dxa"/>
            <w:noWrap w:val="0"/>
            <w:vAlign w:val="center"/>
          </w:tcPr>
          <w:p w14:paraId="3E71F30D">
            <w:pPr>
              <w:wordWrap w:val="0"/>
              <w:snapToGrid w:val="0"/>
              <w:spacing w:line="360" w:lineRule="atLeast"/>
              <w:jc w:val="center"/>
              <w:rPr>
                <w:rFonts w:hint="eastAsia"/>
                <w:color w:val="auto"/>
                <w:szCs w:val="21"/>
                <w:lang w:eastAsia="zh-CN"/>
              </w:rPr>
            </w:pPr>
            <w:r>
              <w:rPr>
                <w:rFonts w:hint="eastAsia" w:cs="微软雅黑"/>
                <w:color w:val="auto"/>
                <w:kern w:val="0"/>
                <w:szCs w:val="21"/>
              </w:rPr>
              <w:t>响应文件</w:t>
            </w:r>
            <w:r>
              <w:rPr>
                <w:rFonts w:hint="eastAsia"/>
                <w:color w:val="auto"/>
                <w:szCs w:val="21"/>
              </w:rPr>
              <w:t>开</w:t>
            </w:r>
            <w:r>
              <w:rPr>
                <w:rFonts w:hint="eastAsia"/>
                <w:color w:val="auto"/>
                <w:szCs w:val="21"/>
                <w:lang w:eastAsia="zh-CN"/>
              </w:rPr>
              <w:t>启</w:t>
            </w:r>
          </w:p>
          <w:p w14:paraId="4504E640">
            <w:pPr>
              <w:wordWrap w:val="0"/>
              <w:snapToGrid w:val="0"/>
              <w:spacing w:line="360" w:lineRule="atLeast"/>
              <w:jc w:val="center"/>
              <w:rPr>
                <w:rFonts w:hint="eastAsia"/>
                <w:szCs w:val="21"/>
              </w:rPr>
            </w:pPr>
            <w:r>
              <w:rPr>
                <w:rFonts w:hint="eastAsia"/>
                <w:color w:val="auto"/>
                <w:szCs w:val="21"/>
              </w:rPr>
              <w:t>时间及地点</w:t>
            </w:r>
          </w:p>
        </w:tc>
        <w:tc>
          <w:tcPr>
            <w:tcW w:w="6472" w:type="dxa"/>
            <w:noWrap w:val="0"/>
            <w:vAlign w:val="center"/>
          </w:tcPr>
          <w:p w14:paraId="1D02511F">
            <w:pPr>
              <w:wordWrap w:val="0"/>
              <w:snapToGrid w:val="0"/>
              <w:spacing w:line="360" w:lineRule="atLeast"/>
              <w:jc w:val="left"/>
              <w:rPr>
                <w:rFonts w:hint="eastAsia"/>
              </w:rPr>
            </w:pPr>
            <w:r>
              <w:rPr>
                <w:rFonts w:hint="eastAsia"/>
              </w:rPr>
              <w:t>时间：同响应文件递交截止时间</w:t>
            </w:r>
          </w:p>
          <w:p w14:paraId="25B33A7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C00000"/>
                <w:sz w:val="21"/>
                <w:szCs w:val="21"/>
              </w:rPr>
            </w:pPr>
            <w:r>
              <w:rPr>
                <w:rFonts w:hint="eastAsia"/>
              </w:rPr>
              <w:t>地点：</w:t>
            </w:r>
            <w:r>
              <w:rPr>
                <w:rFonts w:hint="eastAsia" w:ascii="宋体" w:hAnsi="宋体" w:eastAsia="宋体" w:cs="宋体"/>
                <w:color w:val="auto"/>
                <w:sz w:val="21"/>
                <w:szCs w:val="21"/>
              </w:rPr>
              <w:t>荥阳市公共资源交易中心（荥阳市中原路与飞龙路西北角政务服务中心七楼）第</w:t>
            </w:r>
            <w:r>
              <w:rPr>
                <w:rFonts w:hint="eastAsia" w:cs="宋体"/>
                <w:color w:val="auto"/>
                <w:sz w:val="21"/>
                <w:szCs w:val="21"/>
                <w:lang w:val="en-US" w:eastAsia="zh-CN"/>
              </w:rPr>
              <w:t>二</w:t>
            </w:r>
            <w:r>
              <w:rPr>
                <w:rFonts w:hint="eastAsia" w:ascii="宋体" w:hAnsi="宋体" w:eastAsia="宋体" w:cs="宋体"/>
                <w:color w:val="auto"/>
                <w:sz w:val="21"/>
                <w:szCs w:val="21"/>
              </w:rPr>
              <w:t>开标室；</w:t>
            </w:r>
          </w:p>
          <w:p w14:paraId="4C8057F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C00000"/>
                <w:sz w:val="21"/>
                <w:szCs w:val="21"/>
              </w:rPr>
            </w:pPr>
            <w:r>
              <w:rPr>
                <w:rFonts w:hint="eastAsia" w:ascii="宋体" w:hAnsi="宋体" w:eastAsia="宋体" w:cs="宋体"/>
                <w:b w:val="0"/>
                <w:bCs w:val="0"/>
                <w:color w:val="auto"/>
                <w:sz w:val="21"/>
                <w:szCs w:val="21"/>
              </w:rPr>
              <w:t>注：本项目采用“远程不见面”开标方式，供应商无需到荥阳市公共资源交易中心现场参加开标会议，无需到达现场提交原件资料。供应商应当在响应文件递交截止时间前，登录远程开标大厅，在线准时参加开标活动并进行文件解密等。未在规定</w:t>
            </w:r>
            <w:r>
              <w:rPr>
                <w:rFonts w:hint="eastAsia" w:cs="宋体"/>
                <w:b w:val="0"/>
                <w:bCs w:val="0"/>
                <w:color w:val="auto"/>
                <w:sz w:val="21"/>
                <w:szCs w:val="21"/>
                <w:lang w:val="en-US" w:eastAsia="zh-CN"/>
              </w:rPr>
              <w:t>响应文家递交</w:t>
            </w:r>
            <w:r>
              <w:rPr>
                <w:rFonts w:hint="eastAsia" w:ascii="宋体" w:hAnsi="宋体" w:eastAsia="宋体" w:cs="宋体"/>
                <w:b w:val="0"/>
                <w:bCs w:val="0"/>
                <w:color w:val="auto"/>
                <w:sz w:val="21"/>
                <w:szCs w:val="21"/>
              </w:rPr>
              <w:t>截止时间前解密的，采购人不予受理。因加密电子</w:t>
            </w:r>
            <w:r>
              <w:rPr>
                <w:rFonts w:hint="eastAsia" w:ascii="宋体" w:hAnsi="宋体" w:eastAsia="宋体" w:cs="宋体"/>
                <w:b w:val="0"/>
                <w:bCs w:val="0"/>
                <w:color w:val="auto"/>
                <w:sz w:val="21"/>
                <w:szCs w:val="21"/>
                <w:lang w:val="en-US" w:eastAsia="zh-CN"/>
              </w:rPr>
              <w:t>响应</w:t>
            </w:r>
            <w:r>
              <w:rPr>
                <w:rFonts w:hint="eastAsia" w:ascii="宋体" w:hAnsi="宋体" w:eastAsia="宋体" w:cs="宋体"/>
                <w:b w:val="0"/>
                <w:bCs w:val="0"/>
                <w:color w:val="auto"/>
                <w:sz w:val="21"/>
                <w:szCs w:val="21"/>
              </w:rPr>
              <w:t>文件未能成功上传或误传而导致的解密失败，将被拒绝。</w:t>
            </w:r>
          </w:p>
        </w:tc>
      </w:tr>
      <w:tr w14:paraId="4503C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058" w:type="dxa"/>
            <w:noWrap w:val="0"/>
            <w:vAlign w:val="center"/>
          </w:tcPr>
          <w:p w14:paraId="0528EDEB">
            <w:pPr>
              <w:snapToGrid w:val="0"/>
              <w:spacing w:line="360" w:lineRule="atLeast"/>
              <w:jc w:val="center"/>
              <w:rPr>
                <w:rFonts w:hint="eastAsia"/>
                <w:szCs w:val="21"/>
              </w:rPr>
            </w:pPr>
            <w:r>
              <w:rPr>
                <w:rFonts w:hint="eastAsia"/>
                <w:szCs w:val="21"/>
              </w:rPr>
              <w:t>5.3.1</w:t>
            </w:r>
          </w:p>
        </w:tc>
        <w:tc>
          <w:tcPr>
            <w:tcW w:w="1845" w:type="dxa"/>
            <w:noWrap w:val="0"/>
            <w:vAlign w:val="center"/>
          </w:tcPr>
          <w:p w14:paraId="58C900E3">
            <w:pPr>
              <w:snapToGrid w:val="0"/>
              <w:spacing w:line="360" w:lineRule="atLeast"/>
              <w:jc w:val="center"/>
              <w:rPr>
                <w:rFonts w:hint="eastAsia"/>
                <w:szCs w:val="21"/>
              </w:rPr>
            </w:pPr>
            <w:r>
              <w:rPr>
                <w:rFonts w:hint="eastAsia"/>
                <w:szCs w:val="21"/>
              </w:rPr>
              <w:t>评审小组的组建</w:t>
            </w:r>
          </w:p>
        </w:tc>
        <w:tc>
          <w:tcPr>
            <w:tcW w:w="6472" w:type="dxa"/>
            <w:noWrap w:val="0"/>
            <w:vAlign w:val="center"/>
          </w:tcPr>
          <w:p w14:paraId="7AC1C84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rPr>
            </w:pPr>
            <w:bookmarkStart w:id="12" w:name="OLE_LINK5"/>
            <w:r>
              <w:rPr>
                <w:rFonts w:hint="eastAsia" w:asciiTheme="minorEastAsia" w:hAnsiTheme="minorEastAsia" w:eastAsiaTheme="minorEastAsia" w:cstheme="minorEastAsia"/>
                <w:color w:val="auto"/>
                <w:sz w:val="21"/>
                <w:szCs w:val="21"/>
              </w:rPr>
              <w:t>评标委员会构成：</w:t>
            </w:r>
            <w:bookmarkStart w:id="13" w:name="OLE_LINK7"/>
            <w:r>
              <w:rPr>
                <w:rFonts w:hint="eastAsia" w:asciiTheme="minorEastAsia" w:hAnsiTheme="minorEastAsia" w:eastAsiaTheme="minorEastAsia" w:cstheme="minorEastAsia"/>
                <w:color w:val="auto"/>
                <w:sz w:val="21"/>
                <w:szCs w:val="21"/>
                <w:u w:val="single"/>
                <w:lang w:val="en-US" w:eastAsia="zh-CN"/>
              </w:rPr>
              <w:t xml:space="preserve"> 5</w:t>
            </w:r>
            <w:r>
              <w:rPr>
                <w:rFonts w:hint="eastAsia" w:asciiTheme="minorEastAsia" w:hAnsiTheme="minorEastAsia" w:eastAsiaTheme="minorEastAsia" w:cstheme="minorEastAsia"/>
                <w:color w:val="auto"/>
                <w:sz w:val="21"/>
                <w:szCs w:val="21"/>
              </w:rPr>
              <w:t>人，</w:t>
            </w:r>
            <w:bookmarkStart w:id="14" w:name="OLE_LINK6"/>
            <w:r>
              <w:rPr>
                <w:rFonts w:hint="eastAsia" w:asciiTheme="minorEastAsia" w:hAnsiTheme="minorEastAsia" w:eastAsiaTheme="minorEastAsia" w:cstheme="minorEastAsia"/>
                <w:color w:val="auto"/>
                <w:sz w:val="21"/>
                <w:szCs w:val="21"/>
              </w:rPr>
              <w:t>其中采购人代表</w:t>
            </w:r>
            <w:r>
              <w:rPr>
                <w:rFonts w:hint="eastAsia" w:asciiTheme="minorEastAsia" w:hAnsiTheme="minorEastAsia" w:eastAsiaTheme="minorEastAsia" w:cstheme="minorEastAsia"/>
                <w:color w:val="auto"/>
                <w:sz w:val="21"/>
                <w:szCs w:val="21"/>
                <w:u w:val="single"/>
                <w:lang w:val="en-US" w:eastAsia="zh-CN"/>
              </w:rPr>
              <w:t xml:space="preserve"> 1</w:t>
            </w:r>
            <w:r>
              <w:rPr>
                <w:rFonts w:hint="eastAsia" w:asciiTheme="minorEastAsia" w:hAnsiTheme="minorEastAsia" w:eastAsiaTheme="minorEastAsia" w:cstheme="minorEastAsia"/>
                <w:color w:val="auto"/>
                <w:sz w:val="21"/>
                <w:szCs w:val="21"/>
              </w:rPr>
              <w:t>人，专家</w:t>
            </w:r>
            <w:r>
              <w:rPr>
                <w:rFonts w:hint="eastAsia" w:asciiTheme="minorEastAsia" w:hAnsiTheme="minorEastAsia" w:eastAsiaTheme="minorEastAsia" w:cstheme="minorEastAsia"/>
                <w:color w:val="auto"/>
                <w:sz w:val="21"/>
                <w:szCs w:val="21"/>
                <w:u w:val="single"/>
                <w:lang w:val="en-US" w:eastAsia="zh-CN"/>
              </w:rPr>
              <w:t xml:space="preserve"> 4</w:t>
            </w:r>
            <w:r>
              <w:rPr>
                <w:rFonts w:hint="eastAsia" w:asciiTheme="minorEastAsia" w:hAnsiTheme="minorEastAsia" w:eastAsiaTheme="minorEastAsia" w:cstheme="minorEastAsia"/>
                <w:color w:val="auto"/>
                <w:sz w:val="21"/>
                <w:szCs w:val="21"/>
              </w:rPr>
              <w:t>人</w:t>
            </w:r>
            <w:bookmarkEnd w:id="14"/>
            <w:r>
              <w:rPr>
                <w:rFonts w:hint="eastAsia" w:asciiTheme="minorEastAsia" w:hAnsiTheme="minorEastAsia" w:eastAsiaTheme="minorEastAsia" w:cstheme="minorEastAsia"/>
                <w:color w:val="auto"/>
                <w:sz w:val="21"/>
                <w:szCs w:val="21"/>
              </w:rPr>
              <w:t>；</w:t>
            </w:r>
            <w:bookmarkEnd w:id="13"/>
          </w:p>
          <w:p w14:paraId="6CBC7288">
            <w:pPr>
              <w:wordWrap w:val="0"/>
              <w:snapToGrid w:val="0"/>
              <w:spacing w:line="360" w:lineRule="atLeast"/>
              <w:rPr>
                <w:rFonts w:hint="eastAsia"/>
                <w:szCs w:val="21"/>
              </w:rPr>
            </w:pPr>
            <w:r>
              <w:rPr>
                <w:rFonts w:hint="eastAsia" w:asciiTheme="minorEastAsia" w:hAnsiTheme="minorEastAsia" w:eastAsiaTheme="minorEastAsia" w:cstheme="minorEastAsia"/>
                <w:color w:val="auto"/>
                <w:sz w:val="21"/>
                <w:szCs w:val="21"/>
              </w:rPr>
              <w:t>评标专家确定方式：</w:t>
            </w:r>
            <w:r>
              <w:rPr>
                <w:rFonts w:hint="eastAsia" w:asciiTheme="minorEastAsia" w:hAnsiTheme="minorEastAsia" w:eastAsiaTheme="minorEastAsia" w:cstheme="minorEastAsia"/>
                <w:sz w:val="21"/>
                <w:szCs w:val="21"/>
              </w:rPr>
              <w:t>响应文件递交截止时间</w:t>
            </w:r>
            <w:r>
              <w:rPr>
                <w:rFonts w:hint="eastAsia" w:asciiTheme="minorEastAsia" w:hAnsiTheme="minorEastAsia" w:eastAsiaTheme="minorEastAsia" w:cstheme="minorEastAsia"/>
                <w:color w:val="auto"/>
                <w:sz w:val="21"/>
                <w:szCs w:val="21"/>
              </w:rPr>
              <w:t>前24小时内，</w:t>
            </w:r>
            <w:r>
              <w:rPr>
                <w:rFonts w:hint="eastAsia" w:asciiTheme="minorEastAsia" w:hAnsiTheme="minorEastAsia" w:eastAsiaTheme="minorEastAsia" w:cstheme="minorEastAsia"/>
                <w:color w:val="auto"/>
                <w:kern w:val="0"/>
                <w:sz w:val="21"/>
                <w:szCs w:val="21"/>
              </w:rPr>
              <w:t>从相关</w:t>
            </w:r>
            <w:r>
              <w:rPr>
                <w:rFonts w:hint="eastAsia" w:asciiTheme="minorEastAsia" w:hAnsiTheme="minorEastAsia" w:eastAsiaTheme="minorEastAsia" w:cstheme="minorEastAsia"/>
                <w:color w:val="auto"/>
                <w:sz w:val="21"/>
                <w:szCs w:val="21"/>
              </w:rPr>
              <w:t>专家库</w:t>
            </w:r>
            <w:r>
              <w:rPr>
                <w:rFonts w:hint="eastAsia" w:asciiTheme="minorEastAsia" w:hAnsiTheme="minorEastAsia" w:eastAsiaTheme="minorEastAsia" w:cstheme="minorEastAsia"/>
                <w:color w:val="auto"/>
                <w:kern w:val="0"/>
                <w:sz w:val="21"/>
                <w:szCs w:val="21"/>
              </w:rPr>
              <w:t>中随机抽取</w:t>
            </w:r>
            <w:r>
              <w:rPr>
                <w:rFonts w:hint="eastAsia" w:asciiTheme="minorEastAsia" w:hAnsiTheme="minorEastAsia" w:eastAsiaTheme="minorEastAsia" w:cstheme="minorEastAsia"/>
                <w:color w:val="auto"/>
                <w:spacing w:val="-4"/>
                <w:sz w:val="21"/>
                <w:szCs w:val="21"/>
              </w:rPr>
              <w:t>。</w:t>
            </w:r>
            <w:bookmarkEnd w:id="12"/>
          </w:p>
        </w:tc>
      </w:tr>
      <w:tr w14:paraId="49BD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058" w:type="dxa"/>
            <w:tcBorders>
              <w:bottom w:val="single" w:color="auto" w:sz="4" w:space="0"/>
            </w:tcBorders>
            <w:noWrap w:val="0"/>
            <w:vAlign w:val="center"/>
          </w:tcPr>
          <w:p w14:paraId="4D918B02">
            <w:pPr>
              <w:snapToGrid w:val="0"/>
              <w:spacing w:line="360" w:lineRule="atLeast"/>
              <w:jc w:val="center"/>
              <w:rPr>
                <w:rFonts w:hint="eastAsia"/>
                <w:szCs w:val="21"/>
              </w:rPr>
            </w:pPr>
            <w:r>
              <w:rPr>
                <w:rFonts w:hint="eastAsia"/>
                <w:szCs w:val="21"/>
              </w:rPr>
              <w:t>6.4.1</w:t>
            </w:r>
          </w:p>
        </w:tc>
        <w:tc>
          <w:tcPr>
            <w:tcW w:w="1845" w:type="dxa"/>
            <w:tcBorders>
              <w:bottom w:val="single" w:color="auto" w:sz="4" w:space="0"/>
            </w:tcBorders>
            <w:noWrap w:val="0"/>
            <w:vAlign w:val="center"/>
          </w:tcPr>
          <w:p w14:paraId="7C8BA767">
            <w:pPr>
              <w:snapToGrid w:val="0"/>
              <w:spacing w:line="360" w:lineRule="atLeast"/>
              <w:jc w:val="center"/>
              <w:rPr>
                <w:rFonts w:hint="eastAsia"/>
                <w:szCs w:val="21"/>
              </w:rPr>
            </w:pPr>
            <w:r>
              <w:rPr>
                <w:rFonts w:hint="eastAsia"/>
                <w:szCs w:val="21"/>
              </w:rPr>
              <w:t>履约保证金</w:t>
            </w:r>
          </w:p>
        </w:tc>
        <w:tc>
          <w:tcPr>
            <w:tcW w:w="6472" w:type="dxa"/>
            <w:tcBorders>
              <w:bottom w:val="single" w:color="auto" w:sz="4" w:space="0"/>
            </w:tcBorders>
            <w:noWrap w:val="0"/>
            <w:vAlign w:val="center"/>
          </w:tcPr>
          <w:p w14:paraId="51CACFD4">
            <w:pPr>
              <w:snapToGrid w:val="0"/>
              <w:spacing w:line="360" w:lineRule="atLeast"/>
              <w:rPr>
                <w:rFonts w:hint="eastAsia"/>
                <w:szCs w:val="21"/>
              </w:rPr>
            </w:pPr>
            <w:r>
              <w:rPr>
                <w:rFonts w:hint="eastAsia"/>
              </w:rPr>
              <w:t>无</w:t>
            </w:r>
          </w:p>
        </w:tc>
      </w:tr>
      <w:tr w14:paraId="35DC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058" w:type="dxa"/>
            <w:tcBorders>
              <w:top w:val="single" w:color="auto" w:sz="4" w:space="0"/>
            </w:tcBorders>
            <w:noWrap w:val="0"/>
            <w:vAlign w:val="center"/>
          </w:tcPr>
          <w:p w14:paraId="24F8B827">
            <w:pPr>
              <w:snapToGrid w:val="0"/>
              <w:spacing w:line="360" w:lineRule="atLeast"/>
              <w:jc w:val="center"/>
              <w:rPr>
                <w:szCs w:val="21"/>
              </w:rPr>
            </w:pPr>
            <w:r>
              <w:rPr>
                <w:rFonts w:hint="eastAsia"/>
                <w:szCs w:val="21"/>
              </w:rPr>
              <w:t>6.6.1</w:t>
            </w:r>
          </w:p>
        </w:tc>
        <w:tc>
          <w:tcPr>
            <w:tcW w:w="1845" w:type="dxa"/>
            <w:tcBorders>
              <w:top w:val="single" w:color="auto" w:sz="4" w:space="0"/>
            </w:tcBorders>
            <w:noWrap w:val="0"/>
            <w:vAlign w:val="center"/>
          </w:tcPr>
          <w:p w14:paraId="0A59F2F9">
            <w:pPr>
              <w:snapToGrid w:val="0"/>
              <w:spacing w:line="360" w:lineRule="atLeast"/>
              <w:jc w:val="center"/>
              <w:rPr>
                <w:rFonts w:hint="eastAsia"/>
                <w:szCs w:val="21"/>
              </w:rPr>
            </w:pPr>
            <w:r>
              <w:rPr>
                <w:rFonts w:hint="eastAsia"/>
                <w:szCs w:val="21"/>
                <w:highlight w:val="none"/>
              </w:rPr>
              <w:t>第二阶段成交供应商的选定</w:t>
            </w:r>
          </w:p>
        </w:tc>
        <w:tc>
          <w:tcPr>
            <w:tcW w:w="6472" w:type="dxa"/>
            <w:tcBorders>
              <w:top w:val="single" w:color="auto" w:sz="4" w:space="0"/>
            </w:tcBorders>
            <w:noWrap w:val="0"/>
            <w:vAlign w:val="center"/>
          </w:tcPr>
          <w:p w14:paraId="7387AC3A">
            <w:pPr>
              <w:wordWrap w:val="0"/>
              <w:snapToGrid w:val="0"/>
              <w:spacing w:line="360" w:lineRule="atLeast"/>
              <w:rPr>
                <w:rFonts w:hint="eastAsia"/>
                <w:szCs w:val="21"/>
              </w:rPr>
            </w:pPr>
            <w:r>
              <w:rPr>
                <w:rFonts w:hint="eastAsia"/>
                <w:szCs w:val="21"/>
                <w:highlight w:val="none"/>
              </w:rPr>
              <w:t>直接选定，确定第二阶段成交供应商由采购人或者服务对象依据服务质量以及服务便利性、用户评价等因素，从入围供应商中直接选定。</w:t>
            </w:r>
          </w:p>
        </w:tc>
      </w:tr>
    </w:tbl>
    <w:p w14:paraId="0B834341">
      <w:pPr>
        <w:rPr>
          <w:vanish/>
        </w:rPr>
      </w:pPr>
    </w:p>
    <w:tbl>
      <w:tblPr>
        <w:tblStyle w:val="31"/>
        <w:tblW w:w="9543" w:type="dxa"/>
        <w:tblInd w:w="62" w:type="dxa"/>
        <w:tblLayout w:type="fixed"/>
        <w:tblCellMar>
          <w:top w:w="0" w:type="dxa"/>
          <w:left w:w="108" w:type="dxa"/>
          <w:bottom w:w="0" w:type="dxa"/>
          <w:right w:w="108" w:type="dxa"/>
        </w:tblCellMar>
      </w:tblPr>
      <w:tblGrid>
        <w:gridCol w:w="699"/>
        <w:gridCol w:w="1490"/>
        <w:gridCol w:w="7354"/>
      </w:tblGrid>
      <w:tr w14:paraId="22B56E32">
        <w:tblPrEx>
          <w:tblCellMar>
            <w:top w:w="0" w:type="dxa"/>
            <w:left w:w="108" w:type="dxa"/>
            <w:bottom w:w="0" w:type="dxa"/>
            <w:right w:w="108" w:type="dxa"/>
          </w:tblCellMar>
        </w:tblPrEx>
        <w:trPr>
          <w:trHeight w:val="90" w:hRule="atLeast"/>
        </w:trPr>
        <w:tc>
          <w:tcPr>
            <w:tcW w:w="9543" w:type="dxa"/>
            <w:gridSpan w:val="3"/>
            <w:tcBorders>
              <w:top w:val="single" w:color="auto" w:sz="4" w:space="0"/>
              <w:left w:val="single" w:color="auto" w:sz="8" w:space="0"/>
              <w:bottom w:val="single" w:color="auto" w:sz="4" w:space="0"/>
              <w:right w:val="single" w:color="auto" w:sz="8" w:space="0"/>
            </w:tcBorders>
            <w:noWrap w:val="0"/>
            <w:vAlign w:val="center"/>
          </w:tcPr>
          <w:p w14:paraId="16755AA1">
            <w:pPr>
              <w:pStyle w:val="10"/>
              <w:snapToGrid w:val="0"/>
              <w:spacing w:line="360" w:lineRule="atLeast"/>
              <w:jc w:val="center"/>
              <w:rPr>
                <w:rFonts w:hint="eastAsia" w:ascii="宋体" w:hAnsi="宋体" w:cs="宋体"/>
                <w:szCs w:val="21"/>
                <w:lang w:val="en-US" w:eastAsia="zh-CN"/>
              </w:rPr>
            </w:pPr>
            <w:r>
              <w:rPr>
                <w:rFonts w:hint="eastAsia" w:ascii="宋体" w:hAnsi="宋体" w:cs="宋体"/>
                <w:b/>
                <w:bCs/>
                <w:szCs w:val="21"/>
                <w:lang w:val="en-US" w:eastAsia="zh-CN"/>
              </w:rPr>
              <w:t>其他</w:t>
            </w:r>
          </w:p>
        </w:tc>
      </w:tr>
      <w:tr w14:paraId="4A3F2AAF">
        <w:tblPrEx>
          <w:tblCellMar>
            <w:top w:w="0" w:type="dxa"/>
            <w:left w:w="108" w:type="dxa"/>
            <w:bottom w:w="0" w:type="dxa"/>
            <w:right w:w="108" w:type="dxa"/>
          </w:tblCellMar>
        </w:tblPrEx>
        <w:trPr>
          <w:trHeight w:val="90" w:hRule="atLeast"/>
        </w:trPr>
        <w:tc>
          <w:tcPr>
            <w:tcW w:w="699" w:type="dxa"/>
            <w:tcBorders>
              <w:top w:val="single" w:color="auto" w:sz="4" w:space="0"/>
              <w:left w:val="single" w:color="auto" w:sz="8" w:space="0"/>
              <w:bottom w:val="single" w:color="auto" w:sz="4" w:space="0"/>
              <w:right w:val="single" w:color="auto" w:sz="4" w:space="0"/>
            </w:tcBorders>
            <w:noWrap w:val="0"/>
            <w:vAlign w:val="center"/>
          </w:tcPr>
          <w:p w14:paraId="2DF9E81C">
            <w:pPr>
              <w:pStyle w:val="10"/>
              <w:snapToGrid w:val="0"/>
              <w:spacing w:line="360" w:lineRule="atLeast"/>
              <w:rPr>
                <w:rFonts w:hint="eastAsia" w:ascii="宋体" w:hAnsi="宋体" w:cs="宋体"/>
                <w:szCs w:val="21"/>
                <w:lang w:val="en-US" w:eastAsia="zh-CN"/>
              </w:rPr>
            </w:pPr>
            <w:r>
              <w:rPr>
                <w:rFonts w:hint="eastAsia" w:ascii="宋体" w:hAnsi="宋体" w:cs="宋体"/>
                <w:szCs w:val="21"/>
                <w:lang w:val="en-US" w:eastAsia="zh-CN"/>
              </w:rPr>
              <w:t>序号</w:t>
            </w:r>
          </w:p>
        </w:tc>
        <w:tc>
          <w:tcPr>
            <w:tcW w:w="1490" w:type="dxa"/>
            <w:tcBorders>
              <w:top w:val="single" w:color="auto" w:sz="4" w:space="0"/>
              <w:left w:val="single" w:color="auto" w:sz="4" w:space="0"/>
              <w:bottom w:val="single" w:color="auto" w:sz="4" w:space="0"/>
              <w:right w:val="single" w:color="auto" w:sz="8" w:space="0"/>
            </w:tcBorders>
            <w:noWrap w:val="0"/>
            <w:vAlign w:val="center"/>
          </w:tcPr>
          <w:p w14:paraId="69F56024">
            <w:pPr>
              <w:pStyle w:val="10"/>
              <w:snapToGrid w:val="0"/>
              <w:spacing w:line="360" w:lineRule="atLeast"/>
              <w:jc w:val="center"/>
              <w:rPr>
                <w:rFonts w:hint="eastAsia" w:ascii="宋体" w:hAnsi="宋体" w:cs="宋体"/>
                <w:szCs w:val="21"/>
                <w:lang w:val="en-US" w:eastAsia="zh-CN"/>
              </w:rPr>
            </w:pPr>
            <w:r>
              <w:rPr>
                <w:rFonts w:hint="eastAsia" w:ascii="宋体" w:hAnsi="宋体" w:cs="宋体"/>
                <w:szCs w:val="21"/>
                <w:lang w:val="en-US" w:eastAsia="zh-CN"/>
              </w:rPr>
              <w:t>项 目</w:t>
            </w:r>
          </w:p>
        </w:tc>
        <w:tc>
          <w:tcPr>
            <w:tcW w:w="7354" w:type="dxa"/>
            <w:tcBorders>
              <w:top w:val="single" w:color="auto" w:sz="4" w:space="0"/>
              <w:left w:val="nil"/>
              <w:bottom w:val="single" w:color="auto" w:sz="4" w:space="0"/>
              <w:right w:val="single" w:color="auto" w:sz="8" w:space="0"/>
            </w:tcBorders>
            <w:noWrap w:val="0"/>
            <w:vAlign w:val="center"/>
          </w:tcPr>
          <w:p w14:paraId="29011FDE">
            <w:pPr>
              <w:widowControl/>
              <w:snapToGrid w:val="0"/>
              <w:spacing w:line="360" w:lineRule="atLeast"/>
              <w:jc w:val="center"/>
              <w:rPr>
                <w:rFonts w:hint="eastAsia"/>
                <w:szCs w:val="21"/>
              </w:rPr>
            </w:pPr>
            <w:r>
              <w:rPr>
                <w:rFonts w:hint="eastAsia"/>
                <w:szCs w:val="21"/>
              </w:rPr>
              <w:t>内    容</w:t>
            </w:r>
          </w:p>
        </w:tc>
      </w:tr>
      <w:tr w14:paraId="1006571F">
        <w:tblPrEx>
          <w:tblCellMar>
            <w:top w:w="0" w:type="dxa"/>
            <w:left w:w="108" w:type="dxa"/>
            <w:bottom w:w="0" w:type="dxa"/>
            <w:right w:w="108" w:type="dxa"/>
          </w:tblCellMar>
        </w:tblPrEx>
        <w:trPr>
          <w:trHeight w:val="2050" w:hRule="atLeast"/>
        </w:trPr>
        <w:tc>
          <w:tcPr>
            <w:tcW w:w="699" w:type="dxa"/>
            <w:tcBorders>
              <w:top w:val="single" w:color="auto" w:sz="4" w:space="0"/>
              <w:left w:val="single" w:color="auto" w:sz="8" w:space="0"/>
              <w:bottom w:val="single" w:color="auto" w:sz="4" w:space="0"/>
              <w:right w:val="single" w:color="auto" w:sz="4" w:space="0"/>
            </w:tcBorders>
            <w:noWrap w:val="0"/>
            <w:vAlign w:val="center"/>
          </w:tcPr>
          <w:p w14:paraId="5F210572">
            <w:pPr>
              <w:pStyle w:val="10"/>
              <w:snapToGrid w:val="0"/>
              <w:spacing w:line="360" w:lineRule="atLeast"/>
              <w:rPr>
                <w:rFonts w:hint="eastAsia" w:ascii="宋体" w:hAnsi="宋体" w:cs="宋体"/>
                <w:szCs w:val="21"/>
                <w:lang w:val="en-US" w:eastAsia="zh-CN"/>
              </w:rPr>
            </w:pPr>
          </w:p>
          <w:p w14:paraId="22B2B906">
            <w:pPr>
              <w:pStyle w:val="10"/>
              <w:snapToGrid w:val="0"/>
              <w:spacing w:line="360" w:lineRule="atLeast"/>
              <w:ind w:firstLine="210" w:firstLineChars="100"/>
              <w:rPr>
                <w:rFonts w:hint="eastAsia" w:ascii="宋体" w:hAnsi="宋体" w:cs="宋体"/>
                <w:szCs w:val="21"/>
                <w:lang w:val="en-US" w:eastAsia="zh-CN"/>
              </w:rPr>
            </w:pPr>
            <w:r>
              <w:rPr>
                <w:rFonts w:hint="eastAsia" w:ascii="宋体" w:hAnsi="宋体" w:cs="宋体"/>
                <w:szCs w:val="21"/>
                <w:lang w:val="en-US" w:eastAsia="zh-CN"/>
              </w:rPr>
              <w:t>1</w:t>
            </w:r>
          </w:p>
          <w:p w14:paraId="0C554A18">
            <w:pPr>
              <w:pStyle w:val="10"/>
              <w:snapToGrid w:val="0"/>
              <w:spacing w:line="360" w:lineRule="atLeast"/>
              <w:rPr>
                <w:rFonts w:hint="eastAsia" w:ascii="宋体" w:hAnsi="宋体" w:cs="宋体"/>
                <w:szCs w:val="21"/>
                <w:lang w:val="en-US" w:eastAsia="zh-CN"/>
              </w:rPr>
            </w:pPr>
          </w:p>
          <w:p w14:paraId="6ED3B227">
            <w:pPr>
              <w:pStyle w:val="10"/>
              <w:snapToGrid w:val="0"/>
              <w:spacing w:line="360" w:lineRule="atLeast"/>
              <w:rPr>
                <w:rFonts w:hint="eastAsia" w:ascii="宋体" w:hAnsi="宋体" w:cs="宋体"/>
                <w:szCs w:val="21"/>
                <w:lang w:val="en-US" w:eastAsia="zh-CN"/>
              </w:rPr>
            </w:pPr>
          </w:p>
        </w:tc>
        <w:tc>
          <w:tcPr>
            <w:tcW w:w="1490" w:type="dxa"/>
            <w:tcBorders>
              <w:top w:val="single" w:color="auto" w:sz="4" w:space="0"/>
              <w:left w:val="single" w:color="auto" w:sz="4" w:space="0"/>
              <w:bottom w:val="single" w:color="auto" w:sz="4" w:space="0"/>
              <w:right w:val="single" w:color="auto" w:sz="8" w:space="0"/>
            </w:tcBorders>
            <w:noWrap w:val="0"/>
            <w:vAlign w:val="center"/>
          </w:tcPr>
          <w:p w14:paraId="5292403A">
            <w:pPr>
              <w:keepNext w:val="0"/>
              <w:keepLines w:val="0"/>
              <w:widowControl/>
              <w:suppressLineNumbers w:val="0"/>
              <w:jc w:val="left"/>
              <w:rPr>
                <w:rFonts w:hint="eastAsia" w:ascii="宋体" w:hAnsi="宋体" w:cs="宋体"/>
                <w:szCs w:val="21"/>
                <w:lang w:val="en-US" w:eastAsia="zh-CN"/>
              </w:rPr>
            </w:pPr>
            <w:r>
              <w:rPr>
                <w:rFonts w:hint="eastAsia" w:hAnsi="宋体" w:cs="宋体"/>
                <w:color w:val="auto"/>
                <w:sz w:val="21"/>
                <w:szCs w:val="21"/>
                <w:highlight w:val="none"/>
              </w:rPr>
              <w:t>淘汰率及入围供应商数量</w:t>
            </w:r>
          </w:p>
        </w:tc>
        <w:tc>
          <w:tcPr>
            <w:tcW w:w="7354" w:type="dxa"/>
            <w:tcBorders>
              <w:top w:val="single" w:color="auto" w:sz="4" w:space="0"/>
              <w:left w:val="nil"/>
              <w:bottom w:val="single" w:color="auto" w:sz="4" w:space="0"/>
              <w:right w:val="single" w:color="auto" w:sz="8" w:space="0"/>
            </w:tcBorders>
            <w:noWrap w:val="0"/>
            <w:vAlign w:val="center"/>
          </w:tcPr>
          <w:p w14:paraId="065F608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确定入围供应商的淘汰率不低于20%，且至少淘汰1家。根据《政府采购框架协议采购方式管理暂行办法》的规定，提交响应文件和符合资格条件、实质性要求的供应商应当均不少于2家。</w:t>
            </w:r>
          </w:p>
          <w:p w14:paraId="595D678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注：①如提交响应文件和符合资格条件、实质性要求的供应商≥</w:t>
            </w:r>
            <w:r>
              <w:rPr>
                <w:rFonts w:hint="eastAsia" w:asciiTheme="minorEastAsia" w:hAnsiTheme="minorEastAsia" w:eastAsiaTheme="minorEastAsia" w:cstheme="minorEastAsia"/>
                <w:color w:val="auto"/>
                <w:sz w:val="21"/>
                <w:szCs w:val="21"/>
                <w:lang w:val="en-US" w:eastAsia="zh-CN"/>
              </w:rPr>
              <w:t>4</w:t>
            </w:r>
            <w:r>
              <w:rPr>
                <w:rFonts w:hint="eastAsia" w:asciiTheme="minorEastAsia" w:hAnsiTheme="minorEastAsia" w:eastAsiaTheme="minorEastAsia" w:cstheme="minorEastAsia"/>
                <w:color w:val="auto"/>
                <w:sz w:val="21"/>
                <w:szCs w:val="21"/>
              </w:rPr>
              <w:t>家时</w:t>
            </w:r>
            <w:r>
              <w:rPr>
                <w:rFonts w:hint="eastAsia" w:asciiTheme="minorEastAsia" w:hAnsiTheme="minorEastAsia" w:eastAsiaTheme="minorEastAsia" w:cstheme="minorEastAsia"/>
                <w:color w:val="auto"/>
                <w:sz w:val="21"/>
                <w:szCs w:val="21"/>
                <w:lang w:eastAsia="zh-CN"/>
              </w:rPr>
              <w:t>，</w:t>
            </w:r>
            <w:r>
              <w:rPr>
                <w:rFonts w:hint="eastAsia" w:asciiTheme="minorEastAsia" w:hAnsiTheme="minorEastAsia" w:eastAsiaTheme="minorEastAsia" w:cstheme="minorEastAsia"/>
                <w:color w:val="auto"/>
                <w:sz w:val="21"/>
                <w:szCs w:val="21"/>
              </w:rPr>
              <w:t>取</w:t>
            </w: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rPr>
              <w:t>名；</w:t>
            </w:r>
          </w:p>
          <w:p w14:paraId="0F042B0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rPr>
            </w:pPr>
            <w:r>
              <w:rPr>
                <w:rFonts w:hint="eastAsia" w:asciiTheme="minorEastAsia" w:hAnsiTheme="minorEastAsia" w:eastAsiaTheme="minorEastAsia" w:cstheme="minorEastAsia"/>
                <w:color w:val="auto"/>
                <w:sz w:val="21"/>
                <w:szCs w:val="21"/>
              </w:rPr>
              <w:t>②如提交响应文件和符合资格条件、实质性要求的供应商＜</w:t>
            </w:r>
            <w:r>
              <w:rPr>
                <w:rFonts w:hint="eastAsia" w:asciiTheme="minorEastAsia" w:hAnsiTheme="minorEastAsia" w:eastAsiaTheme="minorEastAsia" w:cstheme="minorEastAsia"/>
                <w:color w:val="auto"/>
                <w:sz w:val="21"/>
                <w:szCs w:val="21"/>
                <w:lang w:val="en-US" w:eastAsia="zh-CN"/>
              </w:rPr>
              <w:t>4</w:t>
            </w:r>
            <w:r>
              <w:rPr>
                <w:rFonts w:hint="eastAsia" w:asciiTheme="minorEastAsia" w:hAnsiTheme="minorEastAsia" w:eastAsiaTheme="minorEastAsia" w:cstheme="minorEastAsia"/>
                <w:color w:val="auto"/>
                <w:sz w:val="21"/>
                <w:szCs w:val="21"/>
              </w:rPr>
              <w:t>家时， 实际选定数量以淘汰20%（四舍五入取整）后剩余的数量为准，且至少淘汰1家供应商。</w:t>
            </w:r>
          </w:p>
        </w:tc>
      </w:tr>
      <w:tr w14:paraId="7F8348D8">
        <w:tblPrEx>
          <w:tblCellMar>
            <w:top w:w="0" w:type="dxa"/>
            <w:left w:w="108" w:type="dxa"/>
            <w:bottom w:w="0" w:type="dxa"/>
            <w:right w:w="108" w:type="dxa"/>
          </w:tblCellMar>
        </w:tblPrEx>
        <w:trPr>
          <w:trHeight w:val="719" w:hRule="atLeast"/>
        </w:trPr>
        <w:tc>
          <w:tcPr>
            <w:tcW w:w="699" w:type="dxa"/>
            <w:tcBorders>
              <w:top w:val="single" w:color="auto" w:sz="4" w:space="0"/>
              <w:left w:val="single" w:color="auto" w:sz="8" w:space="0"/>
              <w:bottom w:val="single" w:color="auto" w:sz="4" w:space="0"/>
              <w:right w:val="single" w:color="auto" w:sz="4" w:space="0"/>
            </w:tcBorders>
            <w:noWrap w:val="0"/>
            <w:vAlign w:val="center"/>
          </w:tcPr>
          <w:p w14:paraId="7CDED259">
            <w:pPr>
              <w:pStyle w:val="10"/>
              <w:snapToGrid w:val="0"/>
              <w:spacing w:line="360" w:lineRule="atLeast"/>
              <w:jc w:val="center"/>
              <w:rPr>
                <w:rFonts w:hint="default" w:ascii="宋体" w:hAnsi="宋体" w:cs="宋体"/>
                <w:b w:val="0"/>
                <w:bCs w:val="0"/>
                <w:color w:val="auto"/>
                <w:szCs w:val="21"/>
                <w:lang w:val="en-US" w:eastAsia="zh-CN"/>
              </w:rPr>
            </w:pPr>
            <w:r>
              <w:rPr>
                <w:rFonts w:hint="eastAsia" w:ascii="宋体" w:hAnsi="宋体" w:cs="宋体"/>
                <w:b/>
                <w:bCs/>
                <w:color w:val="auto"/>
                <w:szCs w:val="21"/>
                <w:lang w:val="en-US" w:eastAsia="zh-CN"/>
              </w:rPr>
              <w:t>2</w:t>
            </w:r>
          </w:p>
        </w:tc>
        <w:tc>
          <w:tcPr>
            <w:tcW w:w="1490" w:type="dxa"/>
            <w:tcBorders>
              <w:top w:val="single" w:color="auto" w:sz="4" w:space="0"/>
              <w:left w:val="single" w:color="auto" w:sz="4" w:space="0"/>
              <w:bottom w:val="single" w:color="auto" w:sz="4" w:space="0"/>
              <w:right w:val="single" w:color="auto" w:sz="8" w:space="0"/>
            </w:tcBorders>
            <w:noWrap w:val="0"/>
            <w:vAlign w:val="center"/>
          </w:tcPr>
          <w:p w14:paraId="1D0EA556">
            <w:pPr>
              <w:keepNext w:val="0"/>
              <w:keepLines w:val="0"/>
              <w:widowControl/>
              <w:suppressLineNumbers w:val="0"/>
              <w:jc w:val="center"/>
              <w:rPr>
                <w:rFonts w:hint="eastAsia"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采购最高限价</w:t>
            </w:r>
          </w:p>
        </w:tc>
        <w:tc>
          <w:tcPr>
            <w:tcW w:w="7354" w:type="dxa"/>
            <w:tcBorders>
              <w:top w:val="single" w:color="auto" w:sz="4" w:space="0"/>
              <w:left w:val="nil"/>
              <w:bottom w:val="single" w:color="auto" w:sz="4" w:space="0"/>
              <w:right w:val="single" w:color="auto" w:sz="8" w:space="0"/>
            </w:tcBorders>
            <w:noWrap w:val="0"/>
            <w:vAlign w:val="center"/>
          </w:tcPr>
          <w:p w14:paraId="4EB3F3C8">
            <w:pPr>
              <w:spacing w:line="400" w:lineRule="exact"/>
              <w:rPr>
                <w:rFonts w:hint="default" w:ascii="宋体" w:hAnsi="宋体" w:eastAsia="宋体" w:cs="宋体"/>
                <w:b/>
                <w:bCs w:val="0"/>
                <w:color w:val="auto"/>
                <w:kern w:val="0"/>
                <w:szCs w:val="21"/>
                <w:highlight w:val="none"/>
                <w:lang w:val="en-US" w:eastAsia="zh-CN" w:bidi="ar"/>
              </w:rPr>
            </w:pPr>
            <w:r>
              <w:rPr>
                <w:rFonts w:hint="eastAsia" w:ascii="宋体" w:hAnsi="宋体" w:eastAsia="宋体" w:cs="宋体"/>
                <w:b/>
                <w:bCs w:val="0"/>
                <w:color w:val="auto"/>
                <w:kern w:val="0"/>
                <w:szCs w:val="21"/>
                <w:highlight w:val="none"/>
                <w:lang w:val="en-US" w:eastAsia="zh-CN" w:bidi="ar"/>
              </w:rPr>
              <w:t>采购最高限价为：100%</w:t>
            </w:r>
            <w:r>
              <w:rPr>
                <w:rFonts w:hint="eastAsia" w:cs="宋体"/>
                <w:b/>
                <w:bCs w:val="0"/>
                <w:color w:val="auto"/>
                <w:kern w:val="0"/>
                <w:szCs w:val="21"/>
                <w:highlight w:val="none"/>
                <w:lang w:val="en-US" w:eastAsia="zh-CN" w:bidi="ar"/>
              </w:rPr>
              <w:t xml:space="preserve"> </w:t>
            </w:r>
          </w:p>
          <w:p w14:paraId="021C494C">
            <w:pPr>
              <w:spacing w:line="400" w:lineRule="exact"/>
              <w:rPr>
                <w:rFonts w:hint="default" w:eastAsia="宋体"/>
                <w:b/>
                <w:bCs/>
                <w:color w:val="C00000"/>
                <w:szCs w:val="21"/>
                <w:highlight w:val="none"/>
                <w:lang w:val="en-US" w:eastAsia="zh-CN"/>
              </w:rPr>
            </w:pPr>
            <w:r>
              <w:rPr>
                <w:rFonts w:hint="eastAsia" w:ascii="宋体" w:hAnsi="宋体" w:eastAsia="宋体" w:cs="宋体"/>
                <w:b/>
                <w:bCs w:val="0"/>
                <w:color w:val="auto"/>
                <w:kern w:val="0"/>
                <w:szCs w:val="21"/>
                <w:highlight w:val="none"/>
                <w:lang w:val="en-US" w:eastAsia="zh-CN" w:bidi="ar"/>
              </w:rPr>
              <w:t>本项目按照费率进行报价，供应商的结算单价以“交通设施维修项目清单”给出的单价乘以中标费率为准，据实结算。</w:t>
            </w:r>
            <w:r>
              <w:rPr>
                <w:rFonts w:hint="default" w:ascii="宋体" w:hAnsi="宋体" w:eastAsia="宋体" w:cs="宋体"/>
                <w:b/>
                <w:bCs w:val="0"/>
                <w:color w:val="auto"/>
                <w:kern w:val="0"/>
                <w:szCs w:val="21"/>
                <w:highlight w:val="none"/>
                <w:lang w:val="en-US" w:eastAsia="zh-CN" w:bidi="ar"/>
              </w:rPr>
              <w:t>供应商的响应报价不得超过</w:t>
            </w:r>
            <w:r>
              <w:rPr>
                <w:rFonts w:hint="eastAsia" w:cs="宋体"/>
                <w:b/>
                <w:bCs/>
                <w:color w:val="auto"/>
                <w:sz w:val="21"/>
                <w:szCs w:val="21"/>
                <w:highlight w:val="none"/>
                <w:lang w:val="en-US" w:eastAsia="zh-CN"/>
              </w:rPr>
              <w:t>采购</w:t>
            </w:r>
            <w:r>
              <w:rPr>
                <w:rFonts w:hint="default" w:ascii="宋体" w:hAnsi="宋体" w:eastAsia="宋体" w:cs="宋体"/>
                <w:b/>
                <w:bCs w:val="0"/>
                <w:color w:val="auto"/>
                <w:kern w:val="0"/>
                <w:szCs w:val="21"/>
                <w:highlight w:val="none"/>
                <w:lang w:val="en-US" w:eastAsia="zh-CN" w:bidi="ar"/>
              </w:rPr>
              <w:t>最高限价，否则按无效投标处理。</w:t>
            </w:r>
          </w:p>
        </w:tc>
      </w:tr>
      <w:tr w14:paraId="621933E0">
        <w:tblPrEx>
          <w:tblCellMar>
            <w:top w:w="0" w:type="dxa"/>
            <w:left w:w="108" w:type="dxa"/>
            <w:bottom w:w="0" w:type="dxa"/>
            <w:right w:w="108" w:type="dxa"/>
          </w:tblCellMar>
        </w:tblPrEx>
        <w:trPr>
          <w:trHeight w:val="1130" w:hRule="atLeast"/>
        </w:trPr>
        <w:tc>
          <w:tcPr>
            <w:tcW w:w="699" w:type="dxa"/>
            <w:tcBorders>
              <w:top w:val="single" w:color="auto" w:sz="4" w:space="0"/>
              <w:left w:val="single" w:color="auto" w:sz="8" w:space="0"/>
              <w:bottom w:val="single" w:color="auto" w:sz="4" w:space="0"/>
              <w:right w:val="single" w:color="auto" w:sz="4" w:space="0"/>
            </w:tcBorders>
            <w:noWrap w:val="0"/>
            <w:vAlign w:val="center"/>
          </w:tcPr>
          <w:p w14:paraId="1B3C8571">
            <w:pPr>
              <w:pStyle w:val="10"/>
              <w:snapToGrid w:val="0"/>
              <w:spacing w:line="360" w:lineRule="atLeast"/>
              <w:jc w:val="center"/>
              <w:rPr>
                <w:rFonts w:hint="eastAsia" w:ascii="宋体" w:hAnsi="宋体" w:cs="宋体"/>
                <w:szCs w:val="21"/>
                <w:lang w:val="en-US" w:eastAsia="zh-CN"/>
              </w:rPr>
            </w:pPr>
            <w:r>
              <w:rPr>
                <w:rFonts w:hint="eastAsia" w:ascii="宋体" w:hAnsi="宋体" w:cs="宋体"/>
                <w:szCs w:val="21"/>
                <w:lang w:val="en-US" w:eastAsia="zh-CN"/>
              </w:rPr>
              <w:t>3</w:t>
            </w:r>
          </w:p>
        </w:tc>
        <w:tc>
          <w:tcPr>
            <w:tcW w:w="1490" w:type="dxa"/>
            <w:tcBorders>
              <w:top w:val="single" w:color="auto" w:sz="4" w:space="0"/>
              <w:left w:val="single" w:color="auto" w:sz="4" w:space="0"/>
              <w:bottom w:val="single" w:color="auto" w:sz="4" w:space="0"/>
              <w:right w:val="single" w:color="auto" w:sz="8" w:space="0"/>
            </w:tcBorders>
            <w:noWrap w:val="0"/>
            <w:vAlign w:val="center"/>
          </w:tcPr>
          <w:p w14:paraId="430BDD71">
            <w:pPr>
              <w:wordWrap w:val="0"/>
              <w:snapToGrid w:val="0"/>
              <w:spacing w:line="360" w:lineRule="atLeast"/>
              <w:jc w:val="center"/>
              <w:rPr>
                <w:rFonts w:hint="eastAsia"/>
                <w:color w:val="auto"/>
                <w:szCs w:val="21"/>
              </w:rPr>
            </w:pPr>
            <w:r>
              <w:rPr>
                <w:rFonts w:hint="eastAsia"/>
                <w:color w:val="auto"/>
                <w:szCs w:val="21"/>
              </w:rPr>
              <w:t>采购代理</w:t>
            </w:r>
          </w:p>
          <w:p w14:paraId="0D80467C">
            <w:pPr>
              <w:wordWrap w:val="0"/>
              <w:snapToGrid w:val="0"/>
              <w:spacing w:line="360" w:lineRule="atLeast"/>
              <w:jc w:val="center"/>
              <w:rPr>
                <w:rFonts w:hint="eastAsia"/>
                <w:color w:val="C00000"/>
                <w:szCs w:val="21"/>
              </w:rPr>
            </w:pPr>
            <w:r>
              <w:rPr>
                <w:rFonts w:hint="eastAsia"/>
                <w:color w:val="auto"/>
                <w:szCs w:val="21"/>
              </w:rPr>
              <w:t>服务费</w:t>
            </w:r>
          </w:p>
        </w:tc>
        <w:tc>
          <w:tcPr>
            <w:tcW w:w="7354" w:type="dxa"/>
            <w:tcBorders>
              <w:top w:val="single" w:color="auto" w:sz="4" w:space="0"/>
              <w:left w:val="nil"/>
              <w:bottom w:val="single" w:color="auto" w:sz="4" w:space="0"/>
              <w:right w:val="single" w:color="auto" w:sz="8" w:space="0"/>
            </w:tcBorders>
            <w:noWrap w:val="0"/>
            <w:vAlign w:val="center"/>
          </w:tcPr>
          <w:p w14:paraId="33480BE1">
            <w:pPr>
              <w:widowControl/>
              <w:numPr>
                <w:ilvl w:val="0"/>
                <w:numId w:val="0"/>
              </w:numPr>
              <w:snapToGrid w:val="0"/>
              <w:spacing w:line="360" w:lineRule="atLeast"/>
              <w:rPr>
                <w:rFonts w:hint="eastAsia" w:ascii="宋体" w:hAnsi="宋体" w:eastAsia="宋体" w:cs="宋体"/>
                <w:color w:val="C00000"/>
                <w:sz w:val="21"/>
                <w:szCs w:val="21"/>
              </w:rPr>
            </w:pPr>
            <w:bookmarkStart w:id="15" w:name="OLE_LINK22"/>
            <w:r>
              <w:rPr>
                <w:rFonts w:hint="eastAsia" w:ascii="宋体" w:hAnsi="宋体" w:eastAsia="宋体" w:cs="宋体"/>
                <w:sz w:val="21"/>
                <w:szCs w:val="21"/>
                <w:lang w:val="en-US" w:eastAsia="zh-CN"/>
              </w:rPr>
              <w:t>参考《河南省招标代理服务收费指导意见》豫招协（2023）002号文件规定的标准计取，</w:t>
            </w:r>
            <w:r>
              <w:rPr>
                <w:rFonts w:hint="eastAsia" w:cs="宋体"/>
                <w:sz w:val="21"/>
                <w:szCs w:val="21"/>
                <w:lang w:val="en-US" w:eastAsia="zh-CN"/>
              </w:rPr>
              <w:t>每家入围供应商按6000元收取，</w:t>
            </w:r>
            <w:r>
              <w:rPr>
                <w:rFonts w:hint="eastAsia" w:ascii="宋体" w:hAnsi="宋体" w:eastAsia="宋体" w:cs="宋体"/>
                <w:sz w:val="21"/>
                <w:szCs w:val="21"/>
                <w:lang w:val="en-US" w:eastAsia="zh-CN"/>
              </w:rPr>
              <w:t>由入围供应商在领取入围通知书前向采购代理机构</w:t>
            </w:r>
            <w:r>
              <w:rPr>
                <w:rFonts w:hint="eastAsia" w:cs="宋体"/>
                <w:sz w:val="21"/>
                <w:szCs w:val="21"/>
                <w:lang w:val="en-US" w:eastAsia="zh-CN"/>
              </w:rPr>
              <w:t>缴纳</w:t>
            </w:r>
            <w:bookmarkStart w:id="647" w:name="_GoBack"/>
            <w:bookmarkEnd w:id="647"/>
            <w:r>
              <w:rPr>
                <w:rFonts w:hint="eastAsia" w:ascii="宋体" w:hAnsi="宋体" w:eastAsia="宋体" w:cs="宋体"/>
                <w:sz w:val="21"/>
                <w:szCs w:val="21"/>
                <w:lang w:val="en-US" w:eastAsia="zh-CN"/>
              </w:rPr>
              <w:t>。</w:t>
            </w:r>
            <w:bookmarkEnd w:id="15"/>
          </w:p>
        </w:tc>
      </w:tr>
      <w:tr w14:paraId="2CCCDFC1">
        <w:tblPrEx>
          <w:tblCellMar>
            <w:top w:w="0" w:type="dxa"/>
            <w:left w:w="108" w:type="dxa"/>
            <w:bottom w:w="0" w:type="dxa"/>
            <w:right w:w="108" w:type="dxa"/>
          </w:tblCellMar>
        </w:tblPrEx>
        <w:trPr>
          <w:trHeight w:val="2090" w:hRule="atLeast"/>
        </w:trPr>
        <w:tc>
          <w:tcPr>
            <w:tcW w:w="699" w:type="dxa"/>
            <w:tcBorders>
              <w:top w:val="single" w:color="auto" w:sz="4" w:space="0"/>
              <w:left w:val="single" w:color="auto" w:sz="8" w:space="0"/>
              <w:bottom w:val="single" w:color="auto" w:sz="4" w:space="0"/>
              <w:right w:val="single" w:color="auto" w:sz="4" w:space="0"/>
            </w:tcBorders>
            <w:noWrap w:val="0"/>
            <w:vAlign w:val="center"/>
          </w:tcPr>
          <w:p w14:paraId="47FEF118">
            <w:pPr>
              <w:pStyle w:val="10"/>
              <w:snapToGrid w:val="0"/>
              <w:spacing w:line="360" w:lineRule="atLeast"/>
              <w:jc w:val="center"/>
              <w:rPr>
                <w:rFonts w:hint="eastAsia" w:ascii="宋体" w:hAnsi="宋体" w:cs="宋体"/>
                <w:szCs w:val="21"/>
                <w:lang w:val="en-US" w:eastAsia="zh-CN"/>
              </w:rPr>
            </w:pPr>
            <w:r>
              <w:rPr>
                <w:rFonts w:hint="eastAsia" w:ascii="宋体" w:hAnsi="宋体" w:cs="宋体"/>
                <w:szCs w:val="21"/>
                <w:lang w:val="en-US" w:eastAsia="zh-CN"/>
              </w:rPr>
              <w:t>4</w:t>
            </w:r>
          </w:p>
        </w:tc>
        <w:tc>
          <w:tcPr>
            <w:tcW w:w="1490" w:type="dxa"/>
            <w:tcBorders>
              <w:top w:val="single" w:color="auto" w:sz="4" w:space="0"/>
              <w:left w:val="single" w:color="auto" w:sz="4" w:space="0"/>
              <w:bottom w:val="single" w:color="auto" w:sz="4" w:space="0"/>
              <w:right w:val="single" w:color="auto" w:sz="8" w:space="0"/>
            </w:tcBorders>
            <w:noWrap w:val="0"/>
            <w:vAlign w:val="center"/>
          </w:tcPr>
          <w:p w14:paraId="3EE3D8BA">
            <w:pPr>
              <w:widowControl/>
              <w:snapToGrid w:val="0"/>
              <w:spacing w:line="360" w:lineRule="atLeast"/>
              <w:jc w:val="center"/>
              <w:rPr>
                <w:rFonts w:hint="eastAsia"/>
                <w:kern w:val="0"/>
                <w:szCs w:val="21"/>
              </w:rPr>
            </w:pPr>
            <w:r>
              <w:rPr>
                <w:rFonts w:hint="eastAsia"/>
                <w:kern w:val="0"/>
                <w:szCs w:val="21"/>
              </w:rPr>
              <w:t>质疑</w:t>
            </w:r>
          </w:p>
        </w:tc>
        <w:tc>
          <w:tcPr>
            <w:tcW w:w="7354" w:type="dxa"/>
            <w:tcBorders>
              <w:top w:val="single" w:color="auto" w:sz="4" w:space="0"/>
              <w:left w:val="nil"/>
              <w:bottom w:val="single" w:color="auto" w:sz="4" w:space="0"/>
              <w:right w:val="single" w:color="auto" w:sz="8" w:space="0"/>
            </w:tcBorders>
            <w:noWrap w:val="0"/>
            <w:vAlign w:val="center"/>
          </w:tcPr>
          <w:p w14:paraId="6BD4408B">
            <w:pPr>
              <w:widowControl/>
              <w:numPr>
                <w:ilvl w:val="0"/>
                <w:numId w:val="3"/>
              </w:numPr>
              <w:snapToGrid w:val="0"/>
              <w:spacing w:line="360" w:lineRule="atLeast"/>
              <w:rPr>
                <w:rFonts w:hint="eastAsia" w:ascii="宋体" w:hAnsi="宋体" w:eastAsia="宋体" w:cs="宋体"/>
                <w:sz w:val="21"/>
                <w:szCs w:val="21"/>
              </w:rPr>
            </w:pPr>
            <w:r>
              <w:rPr>
                <w:rFonts w:hint="eastAsia" w:ascii="宋体" w:hAnsi="宋体" w:eastAsia="宋体" w:cs="宋体"/>
                <w:sz w:val="21"/>
                <w:szCs w:val="21"/>
              </w:rPr>
              <w:t>供应商认为自己的权益受到损害的，可以在知道或者应知其权益受到损害之日起七个工作日内，按照《政府采购质疑和投诉办法》（中华人民共和国财政部令94号）以书面形式向征集人或采购代理机构提出质疑（邮寄件、传真件不予受理），逾期不再接收。</w:t>
            </w:r>
          </w:p>
          <w:p w14:paraId="553526E9">
            <w:pPr>
              <w:pStyle w:val="10"/>
              <w:snapToGrid w:val="0"/>
              <w:spacing w:line="360" w:lineRule="atLeast"/>
              <w:rPr>
                <w:rFonts w:hint="eastAsia" w:ascii="宋体" w:hAnsi="宋体" w:eastAsia="宋体" w:cs="宋体"/>
                <w:kern w:val="0"/>
                <w:sz w:val="21"/>
                <w:szCs w:val="21"/>
                <w:lang w:val="en-US" w:eastAsia="zh-CN"/>
              </w:rPr>
            </w:pPr>
            <w:r>
              <w:rPr>
                <w:rFonts w:hint="eastAsia" w:ascii="宋体" w:hAnsi="宋体" w:eastAsia="宋体" w:cs="宋体"/>
                <w:sz w:val="21"/>
                <w:szCs w:val="21"/>
                <w:lang w:val="en-US" w:eastAsia="zh-CN"/>
              </w:rPr>
              <w:t>二、在法定质疑期内供应商针对同一采购程序环节的质疑应当一次性提出。（采购程序环节分为：</w:t>
            </w:r>
            <w:r>
              <w:rPr>
                <w:rFonts w:hint="eastAsia" w:ascii="宋体" w:hAnsi="宋体" w:eastAsia="宋体" w:cs="宋体"/>
                <w:kern w:val="0"/>
                <w:sz w:val="21"/>
                <w:szCs w:val="21"/>
                <w:lang w:val="en-US" w:eastAsia="zh-CN"/>
              </w:rPr>
              <w:t>征集</w:t>
            </w:r>
            <w:r>
              <w:rPr>
                <w:rFonts w:hint="eastAsia" w:ascii="宋体" w:hAnsi="宋体" w:eastAsia="宋体" w:cs="宋体"/>
                <w:sz w:val="21"/>
                <w:szCs w:val="21"/>
                <w:lang w:val="en-US" w:eastAsia="zh-CN"/>
              </w:rPr>
              <w:t>公告、征集文件、征集过程、入围结果）</w:t>
            </w:r>
          </w:p>
        </w:tc>
      </w:tr>
      <w:tr w14:paraId="40068C26">
        <w:tblPrEx>
          <w:tblCellMar>
            <w:top w:w="0" w:type="dxa"/>
            <w:left w:w="108" w:type="dxa"/>
            <w:bottom w:w="0" w:type="dxa"/>
            <w:right w:w="108" w:type="dxa"/>
          </w:tblCellMar>
        </w:tblPrEx>
        <w:trPr>
          <w:trHeight w:val="2530" w:hRule="atLeast"/>
        </w:trPr>
        <w:tc>
          <w:tcPr>
            <w:tcW w:w="699" w:type="dxa"/>
            <w:tcBorders>
              <w:top w:val="single" w:color="auto" w:sz="4" w:space="0"/>
              <w:left w:val="single" w:color="auto" w:sz="8" w:space="0"/>
              <w:bottom w:val="single" w:color="auto" w:sz="4" w:space="0"/>
              <w:right w:val="single" w:color="auto" w:sz="4" w:space="0"/>
            </w:tcBorders>
            <w:noWrap w:val="0"/>
            <w:vAlign w:val="center"/>
          </w:tcPr>
          <w:p w14:paraId="2D1BAC19">
            <w:pPr>
              <w:pStyle w:val="10"/>
              <w:snapToGrid w:val="0"/>
              <w:spacing w:line="360" w:lineRule="atLeast"/>
              <w:jc w:val="center"/>
              <w:rPr>
                <w:rFonts w:hint="eastAsia" w:ascii="宋体" w:hAnsi="宋体" w:cs="宋体"/>
                <w:szCs w:val="21"/>
                <w:lang w:val="en-US" w:eastAsia="zh-CN"/>
              </w:rPr>
            </w:pPr>
            <w:r>
              <w:rPr>
                <w:rFonts w:hint="eastAsia" w:ascii="宋体" w:hAnsi="宋体" w:cs="宋体"/>
                <w:szCs w:val="21"/>
                <w:lang w:val="en-US" w:eastAsia="zh-CN"/>
              </w:rPr>
              <w:t>5</w:t>
            </w:r>
          </w:p>
        </w:tc>
        <w:tc>
          <w:tcPr>
            <w:tcW w:w="1490" w:type="dxa"/>
            <w:tcBorders>
              <w:top w:val="single" w:color="auto" w:sz="4" w:space="0"/>
              <w:left w:val="single" w:color="auto" w:sz="4" w:space="0"/>
              <w:bottom w:val="single" w:color="auto" w:sz="4" w:space="0"/>
              <w:right w:val="single" w:color="auto" w:sz="8" w:space="0"/>
            </w:tcBorders>
            <w:noWrap w:val="0"/>
            <w:vAlign w:val="center"/>
          </w:tcPr>
          <w:p w14:paraId="154EFA1F">
            <w:pPr>
              <w:pStyle w:val="10"/>
              <w:snapToGrid w:val="0"/>
              <w:spacing w:line="360" w:lineRule="atLeast"/>
              <w:jc w:val="center"/>
              <w:rPr>
                <w:rFonts w:hint="eastAsia" w:ascii="宋体" w:hAnsi="宋体" w:cs="宋体"/>
                <w:szCs w:val="21"/>
                <w:lang w:val="en-US" w:eastAsia="zh-CN"/>
              </w:rPr>
            </w:pPr>
            <w:r>
              <w:rPr>
                <w:rFonts w:hint="eastAsia" w:ascii="宋体" w:hAnsi="宋体" w:cs="宋体"/>
                <w:szCs w:val="21"/>
                <w:lang w:val="en-US" w:eastAsia="zh-CN"/>
              </w:rPr>
              <w:t>征集文件解释</w:t>
            </w:r>
          </w:p>
        </w:tc>
        <w:tc>
          <w:tcPr>
            <w:tcW w:w="7354" w:type="dxa"/>
            <w:tcBorders>
              <w:top w:val="single" w:color="auto" w:sz="4" w:space="0"/>
              <w:left w:val="nil"/>
              <w:bottom w:val="single" w:color="auto" w:sz="4" w:space="0"/>
              <w:right w:val="single" w:color="auto" w:sz="8" w:space="0"/>
            </w:tcBorders>
            <w:noWrap w:val="0"/>
            <w:vAlign w:val="center"/>
          </w:tcPr>
          <w:p w14:paraId="66B990F6">
            <w:pPr>
              <w:pStyle w:val="10"/>
              <w:snapToGrid w:val="0"/>
              <w:spacing w:line="360" w:lineRule="atLeast"/>
              <w:rPr>
                <w:rFonts w:hint="eastAsia" w:ascii="宋体" w:hAnsi="宋体" w:cs="宋体"/>
                <w:szCs w:val="21"/>
                <w:lang w:val="en-US" w:eastAsia="zh-CN"/>
              </w:rPr>
            </w:pPr>
            <w:r>
              <w:rPr>
                <w:rFonts w:hint="eastAsia" w:ascii="宋体" w:hAnsi="宋体" w:cs="宋体"/>
                <w:szCs w:val="21"/>
                <w:lang w:val="en-US" w:eastAsia="zh-CN"/>
              </w:rPr>
              <w:t>构成本征集文件的各个组成文件应互为解释，互为说明；如有不明确或不一致，构成合同文件组成内容的，以合同文件约定内容为准，除征集文件中有特别规定外，仅适用于框架协议采购第一阶段的规定，按征集公告、供应商须知、评审方法、响应文件格式的先后顺序解释；同一组成文件中就同一事项的规定或约定不一致的，以编排顺序在后者为准；同一组成文件不同版本之间有不一致的，以形成时间在后者为准。按本款前述规定仍不能形成结论的，由征集人负责解释。</w:t>
            </w:r>
          </w:p>
        </w:tc>
      </w:tr>
      <w:tr w14:paraId="407AEB1D">
        <w:tblPrEx>
          <w:tblCellMar>
            <w:top w:w="0" w:type="dxa"/>
            <w:left w:w="108" w:type="dxa"/>
            <w:bottom w:w="0" w:type="dxa"/>
            <w:right w:w="108" w:type="dxa"/>
          </w:tblCellMar>
        </w:tblPrEx>
        <w:trPr>
          <w:trHeight w:val="1868" w:hRule="atLeast"/>
        </w:trPr>
        <w:tc>
          <w:tcPr>
            <w:tcW w:w="699" w:type="dxa"/>
            <w:tcBorders>
              <w:top w:val="single" w:color="auto" w:sz="4" w:space="0"/>
              <w:left w:val="single" w:color="auto" w:sz="8" w:space="0"/>
              <w:bottom w:val="single" w:color="auto" w:sz="4" w:space="0"/>
              <w:right w:val="single" w:color="auto" w:sz="4" w:space="0"/>
            </w:tcBorders>
            <w:noWrap w:val="0"/>
            <w:vAlign w:val="center"/>
          </w:tcPr>
          <w:p w14:paraId="4B085FA6">
            <w:pPr>
              <w:pStyle w:val="10"/>
              <w:snapToGrid w:val="0"/>
              <w:spacing w:line="360" w:lineRule="atLeast"/>
              <w:jc w:val="center"/>
              <w:rPr>
                <w:rFonts w:hint="eastAsia" w:ascii="宋体" w:hAnsi="宋体" w:cs="宋体"/>
                <w:szCs w:val="21"/>
                <w:lang w:val="en-US" w:eastAsia="zh-CN"/>
              </w:rPr>
            </w:pPr>
            <w:r>
              <w:rPr>
                <w:rFonts w:hint="eastAsia" w:ascii="宋体" w:hAnsi="宋体" w:cs="宋体"/>
                <w:szCs w:val="21"/>
                <w:lang w:val="en-US" w:eastAsia="zh-CN"/>
              </w:rPr>
              <w:t>6</w:t>
            </w:r>
          </w:p>
        </w:tc>
        <w:tc>
          <w:tcPr>
            <w:tcW w:w="1490" w:type="dxa"/>
            <w:tcBorders>
              <w:top w:val="single" w:color="auto" w:sz="4" w:space="0"/>
              <w:left w:val="single" w:color="auto" w:sz="4" w:space="0"/>
              <w:bottom w:val="single" w:color="auto" w:sz="4" w:space="0"/>
              <w:right w:val="single" w:color="auto" w:sz="8" w:space="0"/>
            </w:tcBorders>
            <w:noWrap w:val="0"/>
            <w:vAlign w:val="center"/>
          </w:tcPr>
          <w:p w14:paraId="39845FAD">
            <w:pPr>
              <w:widowControl/>
              <w:snapToGrid w:val="0"/>
              <w:spacing w:line="360" w:lineRule="atLeast"/>
              <w:jc w:val="center"/>
              <w:rPr>
                <w:rFonts w:hint="eastAsia"/>
                <w:szCs w:val="21"/>
              </w:rPr>
            </w:pPr>
            <w:r>
              <w:rPr>
                <w:rFonts w:hint="eastAsia"/>
                <w:szCs w:val="21"/>
                <w:lang w:val="zh-CN"/>
              </w:rPr>
              <w:t>声明承诺提醒</w:t>
            </w:r>
          </w:p>
        </w:tc>
        <w:tc>
          <w:tcPr>
            <w:tcW w:w="7354" w:type="dxa"/>
            <w:tcBorders>
              <w:top w:val="single" w:color="auto" w:sz="4" w:space="0"/>
              <w:left w:val="nil"/>
              <w:bottom w:val="single" w:color="auto" w:sz="4" w:space="0"/>
              <w:right w:val="single" w:color="auto" w:sz="8" w:space="0"/>
            </w:tcBorders>
            <w:noWrap w:val="0"/>
            <w:vAlign w:val="center"/>
          </w:tcPr>
          <w:p w14:paraId="2CD6C9B5">
            <w:pPr>
              <w:widowControl/>
              <w:snapToGrid w:val="0"/>
              <w:spacing w:line="360" w:lineRule="atLeast"/>
              <w:rPr>
                <w:rFonts w:hint="eastAsia"/>
                <w:szCs w:val="21"/>
              </w:rPr>
            </w:pPr>
            <w:r>
              <w:rPr>
                <w:rFonts w:hint="eastAsia"/>
                <w:szCs w:val="21"/>
                <w:lang w:val="zh-CN"/>
              </w:rPr>
              <w:t>供应商响应文件中提供的各种声明和承诺应当真实有效，无效声明和承诺、虚假声明和承诺将由供应商自己承担由此带来的任何不利后果，虚假声明和承诺还将报告监管部门追究法律责任。【声明承诺包括：</w:t>
            </w:r>
            <w:r>
              <w:rPr>
                <w:rFonts w:hint="eastAsia"/>
                <w:szCs w:val="21"/>
              </w:rPr>
              <w:t>响应承诺函、资格声明函、反商业贿赂承诺书、中小企业声明函、残疾人福利性单位声明函、监狱企业证明材料】</w:t>
            </w:r>
          </w:p>
        </w:tc>
      </w:tr>
      <w:tr w14:paraId="1AB24363">
        <w:tblPrEx>
          <w:tblCellMar>
            <w:top w:w="0" w:type="dxa"/>
            <w:left w:w="108" w:type="dxa"/>
            <w:bottom w:w="0" w:type="dxa"/>
            <w:right w:w="108" w:type="dxa"/>
          </w:tblCellMar>
        </w:tblPrEx>
        <w:trPr>
          <w:trHeight w:val="465" w:hRule="atLeast"/>
        </w:trPr>
        <w:tc>
          <w:tcPr>
            <w:tcW w:w="699" w:type="dxa"/>
            <w:tcBorders>
              <w:top w:val="single" w:color="auto" w:sz="4" w:space="0"/>
              <w:left w:val="single" w:color="auto" w:sz="8" w:space="0"/>
              <w:bottom w:val="single" w:color="auto" w:sz="4" w:space="0"/>
              <w:right w:val="single" w:color="auto" w:sz="4" w:space="0"/>
            </w:tcBorders>
            <w:noWrap w:val="0"/>
            <w:vAlign w:val="center"/>
          </w:tcPr>
          <w:p w14:paraId="34B2E8E8">
            <w:pPr>
              <w:pStyle w:val="10"/>
              <w:snapToGrid w:val="0"/>
              <w:spacing w:line="360" w:lineRule="atLeast"/>
              <w:jc w:val="center"/>
              <w:rPr>
                <w:rFonts w:hint="eastAsia" w:ascii="宋体" w:hAnsi="宋体" w:cs="宋体"/>
                <w:szCs w:val="21"/>
                <w:lang w:val="en-US" w:eastAsia="zh-CN"/>
              </w:rPr>
            </w:pPr>
            <w:r>
              <w:rPr>
                <w:rFonts w:hint="eastAsia" w:ascii="宋体" w:hAnsi="宋体" w:cs="宋体"/>
                <w:szCs w:val="21"/>
                <w:lang w:val="en-US" w:eastAsia="zh-CN"/>
              </w:rPr>
              <w:t>7</w:t>
            </w:r>
          </w:p>
        </w:tc>
        <w:tc>
          <w:tcPr>
            <w:tcW w:w="8844" w:type="dxa"/>
            <w:gridSpan w:val="2"/>
            <w:tcBorders>
              <w:top w:val="single" w:color="auto" w:sz="4" w:space="0"/>
              <w:left w:val="single" w:color="auto" w:sz="4" w:space="0"/>
              <w:bottom w:val="single" w:color="auto" w:sz="4" w:space="0"/>
              <w:right w:val="single" w:color="auto" w:sz="8" w:space="0"/>
            </w:tcBorders>
            <w:noWrap w:val="0"/>
            <w:vAlign w:val="center"/>
          </w:tcPr>
          <w:p w14:paraId="33EDF771">
            <w:pPr>
              <w:widowControl/>
              <w:snapToGrid w:val="0"/>
              <w:spacing w:line="360" w:lineRule="atLeast"/>
              <w:rPr>
                <w:rFonts w:hint="eastAsia" w:ascii="宋体" w:hAnsi="宋体" w:eastAsia="宋体" w:cs="宋体"/>
                <w:b/>
                <w:bCs/>
                <w:sz w:val="21"/>
                <w:szCs w:val="21"/>
                <w:highlight w:val="none"/>
              </w:rPr>
            </w:pPr>
            <w:r>
              <w:rPr>
                <w:rFonts w:hint="eastAsia" w:ascii="宋体" w:hAnsi="宋体" w:eastAsia="宋体" w:cs="宋体"/>
                <w:b w:val="0"/>
                <w:bCs w:val="0"/>
                <w:sz w:val="21"/>
                <w:szCs w:val="21"/>
                <w:lang w:eastAsia="zh-CN"/>
              </w:rPr>
              <w:t>采购标的对应的中小企业划分标准所属行业：</w:t>
            </w:r>
            <w:r>
              <w:rPr>
                <w:rFonts w:hint="eastAsia" w:ascii="宋体" w:hAnsi="宋体" w:eastAsia="宋体" w:cs="宋体"/>
                <w:b/>
                <w:bCs/>
                <w:sz w:val="21"/>
                <w:szCs w:val="21"/>
              </w:rPr>
              <w:t>本项目采购标的属</w:t>
            </w:r>
            <w:r>
              <w:rPr>
                <w:rFonts w:hint="eastAsia" w:ascii="宋体" w:hAnsi="宋体" w:eastAsia="宋体" w:cs="宋体"/>
                <w:b/>
                <w:bCs/>
                <w:sz w:val="21"/>
                <w:szCs w:val="21"/>
                <w:highlight w:val="none"/>
              </w:rPr>
              <w:t>于</w:t>
            </w:r>
            <w:r>
              <w:rPr>
                <w:rFonts w:hint="eastAsia" w:ascii="宋体" w:hAnsi="宋体" w:cs="宋体"/>
                <w:b/>
                <w:bCs/>
                <w:color w:val="auto"/>
                <w:kern w:val="0"/>
                <w:sz w:val="21"/>
                <w:szCs w:val="21"/>
                <w:highlight w:val="none"/>
              </w:rPr>
              <w:t>其他未列明行业</w:t>
            </w:r>
            <w:r>
              <w:rPr>
                <w:rFonts w:hint="eastAsia" w:ascii="宋体" w:hAnsi="宋体" w:eastAsia="宋体" w:cs="宋体"/>
                <w:b/>
                <w:bCs/>
                <w:sz w:val="21"/>
                <w:szCs w:val="21"/>
                <w:highlight w:val="none"/>
              </w:rPr>
              <w:t>。</w:t>
            </w:r>
          </w:p>
          <w:p w14:paraId="7ED720A2">
            <w:pPr>
              <w:pStyle w:val="40"/>
              <w:rPr>
                <w:rFonts w:hint="eastAsia"/>
              </w:rPr>
            </w:pPr>
            <w:r>
              <w:rPr>
                <w:rFonts w:hint="eastAsia" w:ascii="宋体" w:hAnsi="宋体" w:eastAsia="宋体" w:cs="宋体"/>
                <w:b w:val="0"/>
                <w:bCs w:val="0"/>
                <w:sz w:val="21"/>
                <w:szCs w:val="21"/>
                <w:lang w:eastAsia="zh-CN"/>
              </w:rPr>
              <w:t>划定标准为： 中小微企业划分按照《国家统计局关于印发&lt;统计上大中小微型企业划分办法（2017）&gt;的通知》国统字〔2017〕213号文件及《工业和信息化部、国家统计局、国家发展和改革委员会、财政部关于印发&lt;中小企业划型标准规定&gt;的通知》（工信部联企业[2011]300 号）规定的划分标准为依据。（</w:t>
            </w:r>
            <w:r>
              <w:rPr>
                <w:rFonts w:hint="eastAsia" w:ascii="宋体" w:hAnsi="宋体" w:eastAsia="宋体" w:cs="宋体"/>
                <w:b w:val="0"/>
                <w:bCs w:val="0"/>
                <w:sz w:val="21"/>
                <w:szCs w:val="21"/>
                <w:lang w:val="en-US" w:eastAsia="zh-CN"/>
              </w:rPr>
              <w:t>附件</w:t>
            </w:r>
            <w:r>
              <w:rPr>
                <w:rFonts w:hint="eastAsia" w:ascii="宋体" w:hAnsi="宋体" w:eastAsia="宋体" w:cs="宋体"/>
                <w:b w:val="0"/>
                <w:bCs w:val="0"/>
                <w:sz w:val="21"/>
                <w:szCs w:val="21"/>
                <w:lang w:eastAsia="zh-CN"/>
              </w:rPr>
              <w:t>）</w:t>
            </w:r>
          </w:p>
        </w:tc>
      </w:tr>
      <w:tr w14:paraId="4E0EC30A">
        <w:tblPrEx>
          <w:tblCellMar>
            <w:top w:w="0" w:type="dxa"/>
            <w:left w:w="108" w:type="dxa"/>
            <w:bottom w:w="0" w:type="dxa"/>
            <w:right w:w="108" w:type="dxa"/>
          </w:tblCellMar>
        </w:tblPrEx>
        <w:trPr>
          <w:trHeight w:val="465" w:hRule="atLeast"/>
        </w:trPr>
        <w:tc>
          <w:tcPr>
            <w:tcW w:w="699" w:type="dxa"/>
            <w:tcBorders>
              <w:top w:val="single" w:color="auto" w:sz="4" w:space="0"/>
              <w:left w:val="single" w:color="auto" w:sz="8" w:space="0"/>
              <w:bottom w:val="single" w:color="auto" w:sz="4" w:space="0"/>
              <w:right w:val="single" w:color="auto" w:sz="4" w:space="0"/>
            </w:tcBorders>
            <w:noWrap w:val="0"/>
            <w:vAlign w:val="center"/>
          </w:tcPr>
          <w:p w14:paraId="57663375">
            <w:pPr>
              <w:pStyle w:val="10"/>
              <w:snapToGrid w:val="0"/>
              <w:spacing w:line="360" w:lineRule="atLeast"/>
              <w:jc w:val="center"/>
              <w:rPr>
                <w:rFonts w:hint="default" w:ascii="宋体" w:hAnsi="宋体" w:cs="宋体"/>
                <w:szCs w:val="21"/>
                <w:lang w:val="en-US" w:eastAsia="zh-CN"/>
              </w:rPr>
            </w:pPr>
            <w:bookmarkStart w:id="16" w:name="_Toc312133543"/>
            <w:r>
              <w:rPr>
                <w:rFonts w:hint="eastAsia" w:ascii="宋体" w:hAnsi="宋体" w:cs="宋体"/>
                <w:szCs w:val="21"/>
                <w:lang w:val="en-US" w:eastAsia="zh-CN"/>
              </w:rPr>
              <w:t>8</w:t>
            </w:r>
          </w:p>
        </w:tc>
        <w:tc>
          <w:tcPr>
            <w:tcW w:w="8844" w:type="dxa"/>
            <w:gridSpan w:val="2"/>
            <w:tcBorders>
              <w:top w:val="single" w:color="auto" w:sz="4" w:space="0"/>
              <w:left w:val="single" w:color="auto" w:sz="4" w:space="0"/>
              <w:bottom w:val="single" w:color="auto" w:sz="4" w:space="0"/>
              <w:right w:val="single" w:color="auto" w:sz="8" w:space="0"/>
            </w:tcBorders>
            <w:noWrap w:val="0"/>
            <w:vAlign w:val="center"/>
          </w:tcPr>
          <w:p w14:paraId="3BA045C6">
            <w:pPr>
              <w:keepNext w:val="0"/>
              <w:keepLines w:val="0"/>
              <w:pageBreakBefore w:val="0"/>
              <w:kinsoku/>
              <w:wordWrap/>
              <w:overflowPunct/>
              <w:topLinePunct w:val="0"/>
              <w:bidi w:val="0"/>
              <w:adjustRightInd/>
              <w:snapToGrid/>
              <w:spacing w:line="320" w:lineRule="exact"/>
              <w:ind w:firstLine="3150" w:firstLineChars="1500"/>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政府采购政策</w:t>
            </w:r>
          </w:p>
          <w:p w14:paraId="7A2DF08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1.根据《政府采购促进中小企业发展管理办法》（财库〔2020〕46号）、财库[2022]19号《关于进一步加大政府采购支持中小企业力度的通知》、豫财购[2022]5号《河南省财政厅关于进一步做好政府采购支持中小企业发展有关事项的通知》、荥财字[2022]21号《荥阳市财政局关于政府采购支持稳经济促增长的通知》等文件，</w:t>
            </w:r>
            <w:r>
              <w:rPr>
                <w:rFonts w:hint="eastAsia" w:ascii="宋体" w:hAnsi="宋体" w:eastAsia="宋体" w:cs="宋体"/>
                <w:b/>
                <w:bCs/>
                <w:color w:val="auto"/>
                <w:kern w:val="2"/>
                <w:sz w:val="21"/>
                <w:szCs w:val="21"/>
                <w:highlight w:val="none"/>
                <w:lang w:val="en-US" w:eastAsia="zh-CN" w:bidi="ar-SA"/>
              </w:rPr>
              <w:t>本项目属于专门面向中小微企业采购的项目</w:t>
            </w:r>
            <w:r>
              <w:rPr>
                <w:rFonts w:hint="eastAsia" w:ascii="宋体" w:hAnsi="宋体" w:eastAsia="宋体" w:cs="宋体"/>
                <w:b/>
                <w:bCs/>
                <w:color w:val="auto"/>
                <w:sz w:val="21"/>
                <w:szCs w:val="21"/>
                <w:highlight w:val="none"/>
              </w:rPr>
              <w:t>，不再执行价格评审优惠的扶持政策</w:t>
            </w:r>
            <w:r>
              <w:rPr>
                <w:rFonts w:hint="eastAsia" w:ascii="宋体" w:hAnsi="宋体" w:eastAsia="宋体" w:cs="宋体"/>
                <w:b/>
                <w:bCs/>
                <w:color w:val="auto"/>
                <w:spacing w:val="10"/>
                <w:sz w:val="21"/>
                <w:szCs w:val="21"/>
                <w:lang w:eastAsia="zh-CN"/>
              </w:rPr>
              <w:t>。</w:t>
            </w:r>
          </w:p>
          <w:p w14:paraId="5527937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2.根据《财政部、司法部关于政府采购支持监狱企业发展有关问题的通知》（财库[2014]68 号）规定，本项目支持监狱企业参与政府采购活动。监狱企业参加本项目采购时，须提供由省级以上监狱管理局、戒毒管理局（含新疆生产建设兵团）出具的属于监狱企业的证明文件，视同小型、微型企业，享受评审中价格扣除等政府采购促进中小企业发展的政府采购政策。</w:t>
            </w:r>
          </w:p>
          <w:p w14:paraId="62A3DFD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3.根据《财政部、民政部、中国残疾人联合会关于关于促进残疾人就业政府采购政策的通知》（财库〔2017〕141 号）规定，本项目支持残疾人福利性单位参与政府采购活动。在政府采购活动中，残疾人福利性单位视同小型、微型企业，享受预留份额、评审中价格扣除等促进中小企业发展的政府采购政策。</w:t>
            </w:r>
          </w:p>
          <w:p w14:paraId="10CE1F2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4.根据财库[2019]9号《财政部、发展改革委、生态环境部、市场监管总局关于调整优化节能产品、环境标志产品政府采购执行机制的通知》、财库[2019]18号《财政部、生态环境部关于印发环境标志产品政府采购品目清单的通知》、财库[2019]19号《财政部、发展改革委关于印发节能产品政府采购品目清单的通知》文件规定，本项目如涉及到节能产品、环境标志产品政府采购品目清单内的产品，将依据国家确定的认证机构出具的、处于有效期之内的节能产品、环境标志产品认证证书，对获得证书的产品实施优先采购或强制采购。</w:t>
            </w:r>
          </w:p>
          <w:p w14:paraId="25402AA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5.根据《政府采购进口产品管理办法》（财库[2007]119号）规定，政府采购应当采购本国产品，不允许采购进口产品，确需采购进口产品的，实行审核管理。本办法所称进口产品是指通过中国海关报关验放进入中国境内且产自关境外的产品。根据《财政部办公厅关于政府采购进口产品管理有关问题的通知》（财办库[2008]248号）规定，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设定为进口产品。</w:t>
            </w:r>
          </w:p>
          <w:p w14:paraId="2EA9622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6.根据政府采购政策，本项目如涉及到自主创新首购产品，应当采购由财政部会同科技部等部门制定的《政府采购自主创新产品目录》内的产品。</w:t>
            </w:r>
          </w:p>
          <w:p w14:paraId="7CC3766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7.根据政府采购政策，本项目如涉及到无线局域网产品，应当优先采购《无线局域网认证产品政府采购清单》内的产品，如涉及到信息安全产品，应当采购经国家认证的信息安全产品。</w:t>
            </w:r>
          </w:p>
          <w:p w14:paraId="04102B74">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8.根据政府采购政策，本项目如涉及到计算机办公设备产品，供应商所投产品必须是预装正版操作系统软件的计算机产品。</w:t>
            </w:r>
          </w:p>
          <w:p w14:paraId="72598D1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9.投标人不得以联合体形式参加或者合同分包。</w:t>
            </w:r>
          </w:p>
          <w:p w14:paraId="5AA3B868">
            <w:pPr>
              <w:pStyle w:val="40"/>
              <w:rPr>
                <w:rFonts w:hint="eastAsia" w:ascii="宋体" w:hAnsi="宋体" w:eastAsia="宋体" w:cs="宋体"/>
                <w:b w:val="0"/>
                <w:bCs w:val="0"/>
                <w:sz w:val="21"/>
                <w:szCs w:val="21"/>
                <w:lang w:eastAsia="zh-CN"/>
              </w:rPr>
            </w:pPr>
            <w:r>
              <w:rPr>
                <w:rFonts w:hint="eastAsia" w:ascii="宋体" w:hAnsi="宋体" w:eastAsia="宋体" w:cs="Times New Roman"/>
                <w:color w:val="auto"/>
                <w:sz w:val="21"/>
                <w:szCs w:val="21"/>
                <w:highlight w:val="none"/>
                <w:lang w:val="en-US" w:eastAsia="zh-CN"/>
              </w:rPr>
              <w:t>10.享受扶持政策获得政府采购合同的，小微企业不得将合同分包给大中型企业，中型企业不得将合同分包给大型企业。</w:t>
            </w:r>
          </w:p>
        </w:tc>
      </w:tr>
    </w:tbl>
    <w:p w14:paraId="19C72111">
      <w:pPr>
        <w:widowControl/>
        <w:spacing w:line="330" w:lineRule="atLeast"/>
        <w:jc w:val="center"/>
        <w:rPr>
          <w:rFonts w:hint="eastAsia" w:ascii="方正小标宋_GBK" w:hAnsi="宋体" w:eastAsia="方正小标宋_GBK" w:cs="宋体"/>
          <w:color w:val="auto"/>
          <w:kern w:val="0"/>
          <w:sz w:val="36"/>
          <w:szCs w:val="32"/>
          <w:highlight w:val="none"/>
          <w:lang w:val="en-US" w:eastAsia="zh-CN"/>
        </w:rPr>
      </w:pPr>
    </w:p>
    <w:p w14:paraId="258B3BB2">
      <w:pPr>
        <w:widowControl/>
        <w:spacing w:line="330" w:lineRule="atLeast"/>
        <w:jc w:val="center"/>
        <w:rPr>
          <w:rFonts w:hint="eastAsia" w:ascii="方正小标宋_GBK" w:hAnsi="宋体" w:eastAsia="方正小标宋_GBK" w:cs="宋体"/>
          <w:color w:val="auto"/>
          <w:kern w:val="0"/>
          <w:sz w:val="36"/>
          <w:szCs w:val="32"/>
          <w:highlight w:val="none"/>
          <w:lang w:val="en-US" w:eastAsia="zh-CN"/>
        </w:rPr>
      </w:pPr>
    </w:p>
    <w:p w14:paraId="6089756B">
      <w:pPr>
        <w:widowControl/>
        <w:spacing w:line="330" w:lineRule="atLeast"/>
        <w:jc w:val="center"/>
        <w:rPr>
          <w:rFonts w:hint="eastAsia" w:ascii="方正小标宋_GBK" w:hAnsi="宋体" w:eastAsia="方正小标宋_GBK" w:cs="宋体"/>
          <w:color w:val="auto"/>
          <w:kern w:val="0"/>
          <w:sz w:val="36"/>
          <w:szCs w:val="32"/>
          <w:highlight w:val="none"/>
          <w:lang w:val="en-US" w:eastAsia="zh-CN"/>
        </w:rPr>
      </w:pPr>
    </w:p>
    <w:p w14:paraId="4E73334B">
      <w:pPr>
        <w:widowControl/>
        <w:spacing w:line="330" w:lineRule="atLeast"/>
        <w:jc w:val="center"/>
        <w:rPr>
          <w:rFonts w:hint="eastAsia" w:ascii="方正小标宋_GBK" w:hAnsi="宋体" w:eastAsia="方正小标宋_GBK" w:cs="宋体"/>
          <w:color w:val="auto"/>
          <w:kern w:val="0"/>
          <w:sz w:val="36"/>
          <w:szCs w:val="32"/>
          <w:highlight w:val="none"/>
          <w:lang w:val="en-US" w:eastAsia="zh-CN"/>
        </w:rPr>
      </w:pPr>
    </w:p>
    <w:p w14:paraId="36C24AD1">
      <w:pPr>
        <w:widowControl/>
        <w:spacing w:line="330" w:lineRule="atLeast"/>
        <w:jc w:val="center"/>
        <w:rPr>
          <w:rFonts w:hint="eastAsia" w:ascii="方正小标宋_GBK" w:hAnsi="宋体" w:eastAsia="方正小标宋_GBK" w:cs="宋体"/>
          <w:color w:val="auto"/>
          <w:kern w:val="0"/>
          <w:sz w:val="36"/>
          <w:szCs w:val="32"/>
          <w:highlight w:val="none"/>
        </w:rPr>
      </w:pPr>
      <w:r>
        <w:rPr>
          <w:rFonts w:hint="eastAsia" w:ascii="方正小标宋_GBK" w:hAnsi="宋体" w:eastAsia="方正小标宋_GBK" w:cs="宋体"/>
          <w:color w:val="auto"/>
          <w:kern w:val="0"/>
          <w:sz w:val="36"/>
          <w:szCs w:val="32"/>
          <w:highlight w:val="none"/>
          <w:lang w:val="en-US" w:eastAsia="zh-CN"/>
        </w:rPr>
        <w:t>附件：</w:t>
      </w:r>
      <w:r>
        <w:rPr>
          <w:rFonts w:hint="eastAsia" w:ascii="方正小标宋_GBK" w:hAnsi="宋体" w:eastAsia="方正小标宋_GBK" w:cs="宋体"/>
          <w:color w:val="auto"/>
          <w:kern w:val="0"/>
          <w:sz w:val="36"/>
          <w:szCs w:val="32"/>
          <w:highlight w:val="none"/>
        </w:rPr>
        <w:t>统计上大中小微型企业划分标准</w:t>
      </w:r>
    </w:p>
    <w:tbl>
      <w:tblPr>
        <w:tblStyle w:val="31"/>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4DDDBACB">
        <w:tblPrEx>
          <w:tblCellMar>
            <w:top w:w="0" w:type="dxa"/>
            <w:left w:w="108" w:type="dxa"/>
            <w:bottom w:w="0" w:type="dxa"/>
            <w:right w:w="108" w:type="dxa"/>
          </w:tblCellMar>
        </w:tblPrEx>
        <w:trPr>
          <w:trHeight w:val="622" w:hRule="exact"/>
          <w:jc w:val="center"/>
        </w:trPr>
        <w:tc>
          <w:tcPr>
            <w:tcW w:w="2113" w:type="dxa"/>
            <w:tcBorders>
              <w:top w:val="single" w:color="auto" w:sz="4" w:space="0"/>
              <w:left w:val="single" w:color="auto" w:sz="4" w:space="0"/>
              <w:bottom w:val="single" w:color="auto" w:sz="4" w:space="0"/>
              <w:right w:val="single" w:color="auto" w:sz="4" w:space="0"/>
            </w:tcBorders>
            <w:noWrap w:val="0"/>
            <w:vAlign w:val="center"/>
          </w:tcPr>
          <w:p w14:paraId="4704038B">
            <w:pPr>
              <w:widowControl/>
              <w:spacing w:line="240" w:lineRule="exact"/>
              <w:jc w:val="center"/>
              <w:rPr>
                <w:rFonts w:ascii="宋体" w:hAnsi="宋体" w:cs="宋体"/>
                <w:b/>
                <w:bCs/>
                <w:color w:val="auto"/>
                <w:kern w:val="0"/>
                <w:sz w:val="18"/>
                <w:szCs w:val="21"/>
                <w:highlight w:val="none"/>
              </w:rPr>
            </w:pPr>
            <w:r>
              <w:rPr>
                <w:rFonts w:hint="eastAsia" w:ascii="宋体" w:hAnsi="宋体" w:cs="宋体"/>
                <w:b/>
                <w:bCs/>
                <w:color w:val="auto"/>
                <w:kern w:val="0"/>
                <w:sz w:val="18"/>
                <w:szCs w:val="21"/>
                <w:highlight w:val="none"/>
              </w:rPr>
              <w:t>行业名称</w:t>
            </w:r>
          </w:p>
        </w:tc>
        <w:tc>
          <w:tcPr>
            <w:tcW w:w="1369" w:type="dxa"/>
            <w:tcBorders>
              <w:top w:val="single" w:color="auto" w:sz="4" w:space="0"/>
              <w:left w:val="nil"/>
              <w:bottom w:val="single" w:color="auto" w:sz="4" w:space="0"/>
              <w:right w:val="single" w:color="auto" w:sz="4" w:space="0"/>
            </w:tcBorders>
            <w:noWrap w:val="0"/>
            <w:vAlign w:val="center"/>
          </w:tcPr>
          <w:p w14:paraId="0119F67C">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指标名称</w:t>
            </w:r>
          </w:p>
        </w:tc>
        <w:tc>
          <w:tcPr>
            <w:tcW w:w="709" w:type="dxa"/>
            <w:tcBorders>
              <w:top w:val="single" w:color="auto" w:sz="4" w:space="0"/>
              <w:left w:val="nil"/>
              <w:bottom w:val="single" w:color="auto" w:sz="4" w:space="0"/>
              <w:right w:val="single" w:color="auto" w:sz="4" w:space="0"/>
            </w:tcBorders>
            <w:noWrap w:val="0"/>
            <w:vAlign w:val="center"/>
          </w:tcPr>
          <w:p w14:paraId="1DB1EA18">
            <w:pPr>
              <w:widowControl/>
              <w:jc w:val="center"/>
              <w:rPr>
                <w:rFonts w:hint="eastAsia" w:ascii="宋体" w:hAnsi="宋体" w:eastAsia="仿宋" w:cs="宋体"/>
                <w:b/>
                <w:bCs/>
                <w:color w:val="auto"/>
                <w:kern w:val="0"/>
                <w:sz w:val="18"/>
                <w:szCs w:val="18"/>
                <w:highlight w:val="none"/>
                <w:lang w:eastAsia="zh-CN"/>
              </w:rPr>
            </w:pPr>
            <w:r>
              <w:rPr>
                <w:rFonts w:hint="eastAsia" w:ascii="宋体" w:hAnsi="宋体" w:cs="宋体"/>
                <w:b/>
                <w:bCs/>
                <w:color w:val="auto"/>
                <w:kern w:val="0"/>
                <w:sz w:val="18"/>
                <w:szCs w:val="18"/>
                <w:highlight w:val="none"/>
              </w:rPr>
              <w:t>计量</w:t>
            </w:r>
          </w:p>
          <w:p w14:paraId="764D301F">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单位</w:t>
            </w:r>
          </w:p>
        </w:tc>
        <w:tc>
          <w:tcPr>
            <w:tcW w:w="1125" w:type="dxa"/>
            <w:tcBorders>
              <w:top w:val="single" w:color="auto" w:sz="4" w:space="0"/>
              <w:left w:val="nil"/>
              <w:bottom w:val="single" w:color="auto" w:sz="4" w:space="0"/>
              <w:right w:val="single" w:color="auto" w:sz="4" w:space="0"/>
            </w:tcBorders>
            <w:noWrap w:val="0"/>
            <w:vAlign w:val="center"/>
          </w:tcPr>
          <w:p w14:paraId="2EBE94DE">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大型</w:t>
            </w:r>
          </w:p>
        </w:tc>
        <w:tc>
          <w:tcPr>
            <w:tcW w:w="1701" w:type="dxa"/>
            <w:tcBorders>
              <w:top w:val="single" w:color="auto" w:sz="4" w:space="0"/>
              <w:left w:val="nil"/>
              <w:bottom w:val="single" w:color="auto" w:sz="4" w:space="0"/>
              <w:right w:val="single" w:color="auto" w:sz="4" w:space="0"/>
            </w:tcBorders>
            <w:noWrap w:val="0"/>
            <w:vAlign w:val="center"/>
          </w:tcPr>
          <w:p w14:paraId="237653EB">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中型</w:t>
            </w:r>
          </w:p>
        </w:tc>
        <w:tc>
          <w:tcPr>
            <w:tcW w:w="1426" w:type="dxa"/>
            <w:tcBorders>
              <w:top w:val="single" w:color="auto" w:sz="4" w:space="0"/>
              <w:left w:val="nil"/>
              <w:bottom w:val="single" w:color="auto" w:sz="4" w:space="0"/>
              <w:right w:val="single" w:color="auto" w:sz="4" w:space="0"/>
            </w:tcBorders>
            <w:noWrap w:val="0"/>
            <w:vAlign w:val="center"/>
          </w:tcPr>
          <w:p w14:paraId="237A69E8">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小型</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3FCBE4C">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微型</w:t>
            </w:r>
          </w:p>
        </w:tc>
      </w:tr>
      <w:tr w14:paraId="278CEDF0">
        <w:tblPrEx>
          <w:tblCellMar>
            <w:top w:w="0" w:type="dxa"/>
            <w:left w:w="108" w:type="dxa"/>
            <w:bottom w:w="0" w:type="dxa"/>
            <w:right w:w="108" w:type="dxa"/>
          </w:tblCellMar>
        </w:tblPrEx>
        <w:trPr>
          <w:trHeight w:val="397" w:hRule="exact"/>
          <w:jc w:val="center"/>
        </w:trPr>
        <w:tc>
          <w:tcPr>
            <w:tcW w:w="2113" w:type="dxa"/>
            <w:tcBorders>
              <w:top w:val="single" w:color="auto" w:sz="4" w:space="0"/>
              <w:left w:val="single" w:color="auto" w:sz="4" w:space="0"/>
              <w:bottom w:val="single" w:color="auto" w:sz="4" w:space="0"/>
              <w:right w:val="single" w:color="auto" w:sz="4" w:space="0"/>
            </w:tcBorders>
            <w:noWrap w:val="0"/>
            <w:vAlign w:val="center"/>
          </w:tcPr>
          <w:p w14:paraId="48B47C42">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农、林、牧、渔业</w:t>
            </w:r>
          </w:p>
        </w:tc>
        <w:tc>
          <w:tcPr>
            <w:tcW w:w="1369" w:type="dxa"/>
            <w:tcBorders>
              <w:top w:val="nil"/>
              <w:left w:val="nil"/>
              <w:bottom w:val="single" w:color="auto" w:sz="4" w:space="0"/>
              <w:right w:val="single" w:color="auto" w:sz="4" w:space="0"/>
            </w:tcBorders>
            <w:noWrap w:val="0"/>
            <w:vAlign w:val="center"/>
          </w:tcPr>
          <w:p w14:paraId="5740655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noWrap w:val="0"/>
            <w:vAlign w:val="center"/>
          </w:tcPr>
          <w:p w14:paraId="61EF229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noWrap w:val="0"/>
            <w:vAlign w:val="center"/>
          </w:tcPr>
          <w:p w14:paraId="310EF50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tcBorders>
              <w:top w:val="nil"/>
              <w:left w:val="nil"/>
              <w:bottom w:val="single" w:color="auto" w:sz="4" w:space="0"/>
              <w:right w:val="single" w:color="auto" w:sz="4" w:space="0"/>
            </w:tcBorders>
            <w:noWrap w:val="0"/>
            <w:vAlign w:val="center"/>
          </w:tcPr>
          <w:p w14:paraId="6F305D2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500≤Y＜20000</w:t>
            </w:r>
          </w:p>
        </w:tc>
        <w:tc>
          <w:tcPr>
            <w:tcW w:w="1426" w:type="dxa"/>
            <w:tcBorders>
              <w:top w:val="nil"/>
              <w:left w:val="nil"/>
              <w:bottom w:val="single" w:color="auto" w:sz="4" w:space="0"/>
              <w:right w:val="single" w:color="auto" w:sz="4" w:space="0"/>
            </w:tcBorders>
            <w:noWrap w:val="0"/>
            <w:vAlign w:val="center"/>
          </w:tcPr>
          <w:p w14:paraId="00848B5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50≤Y＜500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4C9D40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3DB05AF1">
        <w:tblPrEx>
          <w:tblCellMar>
            <w:top w:w="0" w:type="dxa"/>
            <w:left w:w="108" w:type="dxa"/>
            <w:bottom w:w="0" w:type="dxa"/>
            <w:right w:w="108" w:type="dxa"/>
          </w:tblCellMar>
        </w:tblPrEx>
        <w:trPr>
          <w:trHeight w:val="397"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143F01B0">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工业 *</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7EFC026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602FBE9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4D931F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0D3602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1565D06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20≤X＜300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ED61B3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75B0C4FE">
        <w:tblPrEx>
          <w:tblCellMar>
            <w:top w:w="0" w:type="dxa"/>
            <w:left w:w="108" w:type="dxa"/>
            <w:bottom w:w="0" w:type="dxa"/>
            <w:right w:w="108" w:type="dxa"/>
          </w:tblCellMar>
        </w:tblPrEx>
        <w:trPr>
          <w:trHeight w:val="397"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437DB7A1">
            <w:pPr>
              <w:widowControl/>
              <w:jc w:val="left"/>
              <w:rPr>
                <w:rFonts w:ascii="宋体" w:hAnsi="宋体" w:cs="宋体"/>
                <w:color w:val="auto"/>
                <w:kern w:val="0"/>
                <w:sz w:val="18"/>
                <w:szCs w:val="18"/>
                <w:highlight w:val="none"/>
              </w:rPr>
            </w:pPr>
          </w:p>
        </w:tc>
        <w:tc>
          <w:tcPr>
            <w:tcW w:w="1369" w:type="dxa"/>
            <w:tcBorders>
              <w:top w:val="single" w:color="auto" w:sz="4" w:space="0"/>
              <w:left w:val="nil"/>
              <w:bottom w:val="single" w:color="auto" w:sz="4" w:space="0"/>
              <w:right w:val="single" w:color="auto" w:sz="4" w:space="0"/>
            </w:tcBorders>
            <w:noWrap w:val="0"/>
            <w:vAlign w:val="center"/>
          </w:tcPr>
          <w:p w14:paraId="6FA9424F">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nil"/>
              <w:bottom w:val="single" w:color="auto" w:sz="4" w:space="0"/>
              <w:right w:val="single" w:color="auto" w:sz="4" w:space="0"/>
            </w:tcBorders>
            <w:noWrap w:val="0"/>
            <w:vAlign w:val="center"/>
          </w:tcPr>
          <w:p w14:paraId="3AE7787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nil"/>
              <w:bottom w:val="single" w:color="auto" w:sz="4" w:space="0"/>
              <w:right w:val="single" w:color="auto" w:sz="4" w:space="0"/>
            </w:tcBorders>
            <w:noWrap w:val="0"/>
            <w:vAlign w:val="center"/>
          </w:tcPr>
          <w:p w14:paraId="4F511A3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tcBorders>
              <w:top w:val="single" w:color="auto" w:sz="4" w:space="0"/>
              <w:left w:val="nil"/>
              <w:bottom w:val="single" w:color="auto" w:sz="4" w:space="0"/>
              <w:right w:val="single" w:color="auto" w:sz="4" w:space="0"/>
            </w:tcBorders>
            <w:noWrap w:val="0"/>
            <w:vAlign w:val="center"/>
          </w:tcPr>
          <w:p w14:paraId="4461942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26" w:type="dxa"/>
            <w:tcBorders>
              <w:top w:val="single" w:color="auto" w:sz="4" w:space="0"/>
              <w:left w:val="nil"/>
              <w:bottom w:val="single" w:color="auto" w:sz="4" w:space="0"/>
              <w:right w:val="single" w:color="auto" w:sz="4" w:space="0"/>
            </w:tcBorders>
            <w:noWrap w:val="0"/>
            <w:vAlign w:val="center"/>
          </w:tcPr>
          <w:p w14:paraId="6BEC71F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300≤Y＜2000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A53DF4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31B44B89">
        <w:tblPrEx>
          <w:tblCellMar>
            <w:top w:w="0" w:type="dxa"/>
            <w:left w:w="108" w:type="dxa"/>
            <w:bottom w:w="0" w:type="dxa"/>
            <w:right w:w="108" w:type="dxa"/>
          </w:tblCellMar>
        </w:tblPrEx>
        <w:trPr>
          <w:trHeight w:val="397"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584FAABA">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建筑业</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3E4E24F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DB1F2A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7E6CD2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Y≥80000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BF5895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0676401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300≤Y＜6000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DB2DB9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10BCA08F">
        <w:tblPrEx>
          <w:tblCellMar>
            <w:top w:w="0" w:type="dxa"/>
            <w:left w:w="108" w:type="dxa"/>
            <w:bottom w:w="0" w:type="dxa"/>
            <w:right w:w="108" w:type="dxa"/>
          </w:tblCellMar>
        </w:tblPrEx>
        <w:trPr>
          <w:trHeight w:val="397"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089161CA">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59D96AE4">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3B9B2E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F8EC1C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Z≥80000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D748F9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6A3B808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300≤Z＜5000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222601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6D3A76F1">
        <w:tblPrEx>
          <w:tblCellMar>
            <w:top w:w="0" w:type="dxa"/>
            <w:left w:w="108" w:type="dxa"/>
            <w:bottom w:w="0" w:type="dxa"/>
            <w:right w:w="108" w:type="dxa"/>
          </w:tblCellMar>
        </w:tblPrEx>
        <w:trPr>
          <w:trHeight w:val="397"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507042AA">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批发业</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71B0276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F29890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FA073D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F2BE93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25D611F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5≤X＜20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E999BC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59CBB787">
        <w:tblPrEx>
          <w:tblCellMar>
            <w:top w:w="0" w:type="dxa"/>
            <w:left w:w="108" w:type="dxa"/>
            <w:bottom w:w="0" w:type="dxa"/>
            <w:right w:w="108" w:type="dxa"/>
          </w:tblCellMar>
        </w:tblPrEx>
        <w:trPr>
          <w:trHeight w:val="397"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4894A30D">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50CC4021">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6C9C5C2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7AE4A1D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65C6CA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4DC7569B">
            <w:pPr>
              <w:widowControl/>
              <w:ind w:left="-1" w:leftChars="-1" w:hanging="1"/>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ACDE33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409DA9E9">
        <w:tblPrEx>
          <w:tblCellMar>
            <w:top w:w="0" w:type="dxa"/>
            <w:left w:w="108" w:type="dxa"/>
            <w:bottom w:w="0" w:type="dxa"/>
            <w:right w:w="108" w:type="dxa"/>
          </w:tblCellMar>
        </w:tblPrEx>
        <w:trPr>
          <w:trHeight w:val="397"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00912E91">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零售业</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67E9AB3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F156FF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573F98F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407D74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2C26750D">
            <w:pPr>
              <w:widowControl/>
              <w:ind w:left="-1" w:leftChars="-1" w:hanging="1"/>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10≤X＜50 </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A686D3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7DC2DAE">
        <w:tblPrEx>
          <w:tblCellMar>
            <w:top w:w="0" w:type="dxa"/>
            <w:left w:w="108" w:type="dxa"/>
            <w:bottom w:w="0" w:type="dxa"/>
            <w:right w:w="108" w:type="dxa"/>
          </w:tblCellMar>
        </w:tblPrEx>
        <w:trPr>
          <w:trHeight w:val="397"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2F6B42E8">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77595970">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926576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F3A7DC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D561FE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500≤Y＜20000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68FB8AC4">
            <w:pPr>
              <w:widowControl/>
              <w:ind w:left="-1" w:leftChars="-1" w:hanging="1"/>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100≤Y＜500 </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C5EB6E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9EAB5EF">
        <w:tblPrEx>
          <w:tblCellMar>
            <w:top w:w="0" w:type="dxa"/>
            <w:left w:w="108" w:type="dxa"/>
            <w:bottom w:w="0" w:type="dxa"/>
            <w:right w:w="108" w:type="dxa"/>
          </w:tblCellMar>
        </w:tblPrEx>
        <w:trPr>
          <w:trHeight w:val="397"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67085EE4">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交通运输业 *</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119AF52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7A4D7B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5A5540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A5BF03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4A9FB68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20≤X＜300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2E0577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5606AA5F">
        <w:tblPrEx>
          <w:tblCellMar>
            <w:top w:w="0" w:type="dxa"/>
            <w:left w:w="108" w:type="dxa"/>
            <w:bottom w:w="0" w:type="dxa"/>
            <w:right w:w="108" w:type="dxa"/>
          </w:tblCellMar>
        </w:tblPrEx>
        <w:trPr>
          <w:trHeight w:val="397"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02573380">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4DA7A578">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6ED26A8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14D7888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03B07C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1C62499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200≤Y＜3000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A17016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566D9478">
        <w:tblPrEx>
          <w:tblCellMar>
            <w:top w:w="0" w:type="dxa"/>
            <w:left w:w="108" w:type="dxa"/>
            <w:bottom w:w="0" w:type="dxa"/>
            <w:right w:w="108" w:type="dxa"/>
          </w:tblCellMar>
        </w:tblPrEx>
        <w:trPr>
          <w:trHeight w:val="397"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6F4B9723">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仓储业*</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44135DD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FE3448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5122D62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8824DF2">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09AFAF0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20≤X＜100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5C215C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5C71FBB">
        <w:tblPrEx>
          <w:tblCellMar>
            <w:top w:w="0" w:type="dxa"/>
            <w:left w:w="108" w:type="dxa"/>
            <w:bottom w:w="0" w:type="dxa"/>
            <w:right w:w="108" w:type="dxa"/>
          </w:tblCellMar>
        </w:tblPrEx>
        <w:trPr>
          <w:trHeight w:val="397"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67BA5694">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394D1740">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22A035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7E5CA55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1DB2DE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3B01F28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100≤Y＜1000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1FA6FF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13F5952C">
        <w:tblPrEx>
          <w:tblCellMar>
            <w:top w:w="0" w:type="dxa"/>
            <w:left w:w="108" w:type="dxa"/>
            <w:bottom w:w="0" w:type="dxa"/>
            <w:right w:w="108" w:type="dxa"/>
          </w:tblCellMar>
        </w:tblPrEx>
        <w:trPr>
          <w:trHeight w:val="397"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67405B26">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邮政业</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5246B45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B8245B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5996E4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A904E8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3537C33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20≤X＜300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D238EB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0858384">
        <w:tblPrEx>
          <w:tblCellMar>
            <w:top w:w="0" w:type="dxa"/>
            <w:left w:w="108" w:type="dxa"/>
            <w:bottom w:w="0" w:type="dxa"/>
            <w:right w:w="108" w:type="dxa"/>
          </w:tblCellMar>
        </w:tblPrEx>
        <w:trPr>
          <w:trHeight w:val="397"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65CA72BE">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70550F94">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1579D7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7FDCA01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C07EBB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2A66882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100≤Y＜2000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C0FDAD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2D24967">
        <w:tblPrEx>
          <w:tblCellMar>
            <w:top w:w="0" w:type="dxa"/>
            <w:left w:w="108" w:type="dxa"/>
            <w:bottom w:w="0" w:type="dxa"/>
            <w:right w:w="108" w:type="dxa"/>
          </w:tblCellMar>
        </w:tblPrEx>
        <w:trPr>
          <w:trHeight w:val="397"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76DF9B82">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住宿业</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65730D8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09560B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006F9C7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F7822D9">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1B042EF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9CC2A6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E1B8A7A">
        <w:tblPrEx>
          <w:tblCellMar>
            <w:top w:w="0" w:type="dxa"/>
            <w:left w:w="108" w:type="dxa"/>
            <w:bottom w:w="0" w:type="dxa"/>
            <w:right w:w="108" w:type="dxa"/>
          </w:tblCellMar>
        </w:tblPrEx>
        <w:trPr>
          <w:trHeight w:val="397"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77300B46">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071F8E26">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B66C7B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A05AC6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22B903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766E241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100≤Y＜2000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502282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3E12F00C">
        <w:tblPrEx>
          <w:tblCellMar>
            <w:top w:w="0" w:type="dxa"/>
            <w:left w:w="108" w:type="dxa"/>
            <w:bottom w:w="0" w:type="dxa"/>
            <w:right w:w="108" w:type="dxa"/>
          </w:tblCellMar>
        </w:tblPrEx>
        <w:trPr>
          <w:trHeight w:val="397"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14E89B5C">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餐饮业</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777A0A0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B153DA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1886F23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6013308">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08888E3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4970C4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49ADEA2E">
        <w:tblPrEx>
          <w:tblCellMar>
            <w:top w:w="0" w:type="dxa"/>
            <w:left w:w="108" w:type="dxa"/>
            <w:bottom w:w="0" w:type="dxa"/>
            <w:right w:w="108" w:type="dxa"/>
          </w:tblCellMar>
        </w:tblPrEx>
        <w:trPr>
          <w:trHeight w:val="397"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02AA36D2">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5339F7C5">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62885EB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3764372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D89E4C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68A9034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100≤Y＜2000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07BB4C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01DBB230">
        <w:tblPrEx>
          <w:tblCellMar>
            <w:top w:w="0" w:type="dxa"/>
            <w:left w:w="108" w:type="dxa"/>
            <w:bottom w:w="0" w:type="dxa"/>
            <w:right w:w="108" w:type="dxa"/>
          </w:tblCellMar>
        </w:tblPrEx>
        <w:trPr>
          <w:trHeight w:val="397"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4B653CAB">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信息传输业 *</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7F2A951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123DCE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69EA9E4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X≥2000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B726D7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7B0D6C0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2188A8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9C4072C">
        <w:tblPrEx>
          <w:tblCellMar>
            <w:top w:w="0" w:type="dxa"/>
            <w:left w:w="108" w:type="dxa"/>
            <w:bottom w:w="0" w:type="dxa"/>
            <w:right w:w="108" w:type="dxa"/>
          </w:tblCellMar>
        </w:tblPrEx>
        <w:trPr>
          <w:trHeight w:val="397"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44E47FB2">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3C6202B1">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3424A8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26F047E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358822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1000≤Y＜100000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554299A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100≤Y＜1000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838C00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93AF584">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0EC40171">
            <w:pPr>
              <w:widowControl/>
              <w:spacing w:line="240" w:lineRule="exact"/>
              <w:jc w:val="left"/>
              <w:rPr>
                <w:rFonts w:ascii="宋体" w:hAnsi="宋体" w:cs="宋体"/>
                <w:color w:val="auto"/>
                <w:spacing w:val="-12"/>
                <w:kern w:val="0"/>
                <w:sz w:val="18"/>
                <w:szCs w:val="18"/>
                <w:highlight w:val="none"/>
              </w:rPr>
            </w:pPr>
            <w:r>
              <w:rPr>
                <w:rFonts w:hint="eastAsia" w:ascii="宋体" w:hAnsi="宋体" w:cs="宋体"/>
                <w:color w:val="auto"/>
                <w:spacing w:val="-12"/>
                <w:kern w:val="0"/>
                <w:sz w:val="18"/>
                <w:szCs w:val="18"/>
                <w:highlight w:val="none"/>
              </w:rPr>
              <w:t>软件和信息技术服</w:t>
            </w:r>
            <w:r>
              <w:rPr>
                <w:rFonts w:hint="eastAsia" w:ascii="宋体" w:hAnsi="宋体" w:cs="宋体"/>
                <w:color w:val="auto"/>
                <w:kern w:val="0"/>
                <w:sz w:val="18"/>
                <w:szCs w:val="18"/>
                <w:highlight w:val="none"/>
              </w:rPr>
              <w:t>务业</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5E5BEA9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8ED7F7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14A066A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1DAE946">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6995F01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8BCE10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19A0FE01">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01D8FDBF">
            <w:pPr>
              <w:widowControl/>
              <w:jc w:val="left"/>
              <w:rPr>
                <w:rFonts w:ascii="宋体" w:hAnsi="宋体" w:cs="宋体"/>
                <w:color w:val="auto"/>
                <w:spacing w:val="-12"/>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55EDD1E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281F90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2158C57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BABD41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3EDC144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50≤Y＜1000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4EC904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45C2E5C1">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268E66E0">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房地产开发经营</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0B69F57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B1659F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02B9A6D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Y≥200000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8860C1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1000≤Y＜200000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11E9E65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100≤Y＜1000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7F7511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F57380A">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055FEC6B">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0FC43C24">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5DA510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1FE9CC7F">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Z≥10000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AB38C6A">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35B861E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2000≤Z＜5000   </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6F3228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Z＜2000</w:t>
            </w:r>
          </w:p>
        </w:tc>
      </w:tr>
      <w:tr w14:paraId="0570CE40">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780D83D6">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物业管理</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2AB30EB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4AD8CC21">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4C76C34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672249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339B06A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8AABAD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357020DD">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35EE4ACF">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379E32E2">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13A68C6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000B931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A7B2F07">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1000≤Y＜5000 </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1B54965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500≤Y＜1000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B732BC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4663F934">
        <w:tblPrEx>
          <w:tblCellMar>
            <w:top w:w="0" w:type="dxa"/>
            <w:left w:w="108" w:type="dxa"/>
            <w:bottom w:w="0" w:type="dxa"/>
            <w:right w:w="108" w:type="dxa"/>
          </w:tblCellMar>
        </w:tblPrEx>
        <w:trPr>
          <w:trHeight w:val="340" w:hRule="exact"/>
          <w:jc w:val="center"/>
        </w:trPr>
        <w:tc>
          <w:tcPr>
            <w:tcW w:w="2113" w:type="dxa"/>
            <w:vMerge w:val="restart"/>
            <w:tcBorders>
              <w:top w:val="single" w:color="auto" w:sz="4" w:space="0"/>
              <w:left w:val="single" w:color="auto" w:sz="4" w:space="0"/>
              <w:bottom w:val="single" w:color="auto" w:sz="4" w:space="0"/>
              <w:right w:val="single" w:color="auto" w:sz="4" w:space="0"/>
            </w:tcBorders>
            <w:noWrap w:val="0"/>
            <w:vAlign w:val="center"/>
          </w:tcPr>
          <w:p w14:paraId="62E1E763">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租赁和商务服务业</w:t>
            </w:r>
          </w:p>
        </w:tc>
        <w:tc>
          <w:tcPr>
            <w:tcW w:w="1369" w:type="dxa"/>
            <w:tcBorders>
              <w:top w:val="single" w:color="auto" w:sz="4" w:space="0"/>
              <w:left w:val="single" w:color="auto" w:sz="4" w:space="0"/>
              <w:bottom w:val="single" w:color="auto" w:sz="4" w:space="0"/>
              <w:right w:val="single" w:color="auto" w:sz="4" w:space="0"/>
            </w:tcBorders>
            <w:noWrap w:val="0"/>
            <w:vAlign w:val="center"/>
          </w:tcPr>
          <w:p w14:paraId="5F221944">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3FA463E8">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2C85A1FD">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43E058F">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598786EE">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1E8CDDB">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ECA31F7">
        <w:tblPrEx>
          <w:tblCellMar>
            <w:top w:w="0" w:type="dxa"/>
            <w:left w:w="108" w:type="dxa"/>
            <w:bottom w:w="0" w:type="dxa"/>
            <w:right w:w="108" w:type="dxa"/>
          </w:tblCellMar>
        </w:tblPrEx>
        <w:trPr>
          <w:trHeight w:val="340" w:hRule="exact"/>
          <w:jc w:val="center"/>
        </w:trPr>
        <w:tc>
          <w:tcPr>
            <w:tcW w:w="2113" w:type="dxa"/>
            <w:vMerge w:val="continue"/>
            <w:tcBorders>
              <w:top w:val="single" w:color="auto" w:sz="4" w:space="0"/>
              <w:left w:val="single" w:color="auto" w:sz="4" w:space="0"/>
              <w:bottom w:val="single" w:color="auto" w:sz="4" w:space="0"/>
              <w:right w:val="single" w:color="auto" w:sz="4" w:space="0"/>
            </w:tcBorders>
            <w:noWrap w:val="0"/>
            <w:vAlign w:val="center"/>
          </w:tcPr>
          <w:p w14:paraId="7D2D99EE">
            <w:pPr>
              <w:widowControl/>
              <w:jc w:val="left"/>
              <w:rPr>
                <w:rFonts w:ascii="宋体" w:hAnsi="宋体" w:cs="宋体"/>
                <w:color w:val="auto"/>
                <w:kern w:val="0"/>
                <w:sz w:val="18"/>
                <w:szCs w:val="18"/>
                <w:highlight w:val="none"/>
              </w:rPr>
            </w:pPr>
          </w:p>
        </w:tc>
        <w:tc>
          <w:tcPr>
            <w:tcW w:w="1369" w:type="dxa"/>
            <w:tcBorders>
              <w:top w:val="single" w:color="auto" w:sz="4" w:space="0"/>
              <w:left w:val="single" w:color="auto" w:sz="4" w:space="0"/>
              <w:bottom w:val="single" w:color="auto" w:sz="4" w:space="0"/>
              <w:right w:val="single" w:color="auto" w:sz="4" w:space="0"/>
            </w:tcBorders>
            <w:noWrap w:val="0"/>
            <w:vAlign w:val="center"/>
          </w:tcPr>
          <w:p w14:paraId="0C2A358B">
            <w:pPr>
              <w:widowControl/>
              <w:spacing w:line="240" w:lineRule="exact"/>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04A8F2B9">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single" w:color="auto" w:sz="4" w:space="0"/>
              <w:left w:val="single" w:color="auto" w:sz="4" w:space="0"/>
              <w:bottom w:val="single" w:color="auto" w:sz="4" w:space="0"/>
              <w:right w:val="single" w:color="auto" w:sz="4" w:space="0"/>
            </w:tcBorders>
            <w:noWrap w:val="0"/>
            <w:vAlign w:val="center"/>
          </w:tcPr>
          <w:p w14:paraId="2C47F28C">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Z≥120000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78EC0557">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8000≤Z＜120000</w:t>
            </w:r>
          </w:p>
        </w:tc>
        <w:tc>
          <w:tcPr>
            <w:tcW w:w="1426" w:type="dxa"/>
            <w:tcBorders>
              <w:top w:val="single" w:color="auto" w:sz="4" w:space="0"/>
              <w:left w:val="single" w:color="auto" w:sz="4" w:space="0"/>
              <w:bottom w:val="single" w:color="auto" w:sz="4" w:space="0"/>
              <w:right w:val="single" w:color="auto" w:sz="4" w:space="0"/>
            </w:tcBorders>
            <w:noWrap w:val="0"/>
            <w:vAlign w:val="center"/>
          </w:tcPr>
          <w:p w14:paraId="06496100">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100≤Z＜8000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B01548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Z＜100</w:t>
            </w:r>
          </w:p>
        </w:tc>
      </w:tr>
      <w:tr w14:paraId="3584E81E">
        <w:tblPrEx>
          <w:tblCellMar>
            <w:top w:w="0" w:type="dxa"/>
            <w:left w:w="108" w:type="dxa"/>
            <w:bottom w:w="0" w:type="dxa"/>
            <w:right w:w="108" w:type="dxa"/>
          </w:tblCellMar>
        </w:tblPrEx>
        <w:trPr>
          <w:trHeight w:val="397" w:hRule="exact"/>
          <w:jc w:val="center"/>
        </w:trPr>
        <w:tc>
          <w:tcPr>
            <w:tcW w:w="2113" w:type="dxa"/>
            <w:tcBorders>
              <w:top w:val="single" w:color="auto" w:sz="4" w:space="0"/>
              <w:left w:val="single" w:color="auto" w:sz="4" w:space="0"/>
              <w:bottom w:val="single" w:color="auto" w:sz="4" w:space="0"/>
              <w:right w:val="single" w:color="auto" w:sz="4" w:space="0"/>
            </w:tcBorders>
            <w:noWrap w:val="0"/>
            <w:vAlign w:val="center"/>
          </w:tcPr>
          <w:p w14:paraId="187A6D66">
            <w:pPr>
              <w:widowControl/>
              <w:spacing w:line="240" w:lineRule="exact"/>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其他未列明行业 *</w:t>
            </w:r>
          </w:p>
        </w:tc>
        <w:tc>
          <w:tcPr>
            <w:tcW w:w="1369" w:type="dxa"/>
            <w:tcBorders>
              <w:top w:val="single" w:color="auto" w:sz="4" w:space="0"/>
              <w:left w:val="nil"/>
              <w:bottom w:val="single" w:color="auto" w:sz="4" w:space="0"/>
              <w:right w:val="single" w:color="auto" w:sz="4" w:space="0"/>
            </w:tcBorders>
            <w:noWrap w:val="0"/>
            <w:vAlign w:val="center"/>
          </w:tcPr>
          <w:p w14:paraId="240FC845">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single" w:color="auto" w:sz="4" w:space="0"/>
              <w:left w:val="nil"/>
              <w:bottom w:val="single" w:color="auto" w:sz="4" w:space="0"/>
              <w:right w:val="single" w:color="auto" w:sz="4" w:space="0"/>
            </w:tcBorders>
            <w:noWrap w:val="0"/>
            <w:vAlign w:val="center"/>
          </w:tcPr>
          <w:p w14:paraId="6C7F55C6">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single" w:color="auto" w:sz="4" w:space="0"/>
              <w:left w:val="nil"/>
              <w:bottom w:val="single" w:color="auto" w:sz="4" w:space="0"/>
              <w:right w:val="single" w:color="auto" w:sz="4" w:space="0"/>
            </w:tcBorders>
            <w:noWrap w:val="0"/>
            <w:vAlign w:val="center"/>
          </w:tcPr>
          <w:p w14:paraId="1F7DAAE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single" w:color="auto" w:sz="4" w:space="0"/>
              <w:left w:val="nil"/>
              <w:bottom w:val="single" w:color="auto" w:sz="4" w:space="0"/>
              <w:right w:val="single" w:color="auto" w:sz="4" w:space="0"/>
            </w:tcBorders>
            <w:noWrap w:val="0"/>
            <w:vAlign w:val="center"/>
          </w:tcPr>
          <w:p w14:paraId="5F3CF4B6">
            <w:pPr>
              <w:widowControl/>
              <w:ind w:left="1" w:leftChars="-51" w:hanging="108" w:hangingChars="6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single" w:color="auto" w:sz="4" w:space="0"/>
              <w:left w:val="nil"/>
              <w:bottom w:val="single" w:color="auto" w:sz="4" w:space="0"/>
              <w:right w:val="single" w:color="auto" w:sz="4" w:space="0"/>
            </w:tcBorders>
            <w:noWrap w:val="0"/>
            <w:vAlign w:val="center"/>
          </w:tcPr>
          <w:p w14:paraId="6087E6C2">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D868643">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0477239F">
      <w:pPr>
        <w:widowControl/>
        <w:spacing w:line="540" w:lineRule="exact"/>
        <w:rPr>
          <w:rFonts w:hint="eastAsia" w:ascii="宋体" w:hAnsi="宋体" w:eastAsia="宋体" w:cs="宋体"/>
          <w:color w:val="auto"/>
          <w:spacing w:val="8"/>
          <w:kern w:val="0"/>
          <w:sz w:val="21"/>
          <w:szCs w:val="21"/>
          <w:highlight w:val="none"/>
        </w:rPr>
      </w:pPr>
      <w:r>
        <w:rPr>
          <w:rFonts w:hint="eastAsia" w:ascii="仿宋_GB2312" w:hAnsi="Times New Roman" w:eastAsia="仿宋_GB2312" w:cs="宋体"/>
          <w:color w:val="auto"/>
          <w:spacing w:val="8"/>
          <w:kern w:val="0"/>
          <w:sz w:val="32"/>
          <w:szCs w:val="32"/>
          <w:highlight w:val="none"/>
        </w:rPr>
        <w:br w:type="page"/>
      </w:r>
      <w:r>
        <w:rPr>
          <w:rFonts w:hint="eastAsia" w:ascii="宋体" w:hAnsi="宋体" w:eastAsia="宋体" w:cs="宋体"/>
          <w:color w:val="auto"/>
          <w:spacing w:val="8"/>
          <w:kern w:val="0"/>
          <w:sz w:val="21"/>
          <w:szCs w:val="21"/>
          <w:highlight w:val="none"/>
        </w:rPr>
        <w:t>说明：</w:t>
      </w:r>
    </w:p>
    <w:p w14:paraId="1FCED41B">
      <w:pPr>
        <w:spacing w:line="540" w:lineRule="exact"/>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　　1.大型、中型和小型企业须同时满足所列指标的下限，否则下划一档；微型企业只须满足所列指标中的一项即可。</w:t>
      </w:r>
    </w:p>
    <w:p w14:paraId="673AC22F">
      <w:pPr>
        <w:spacing w:line="540" w:lineRule="exact"/>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586CF68">
      <w:pPr>
        <w:spacing w:line="540" w:lineRule="exact"/>
        <w:jc w:val="left"/>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55AD424F">
      <w:pPr>
        <w:pStyle w:val="3"/>
        <w:numPr>
          <w:ilvl w:val="0"/>
          <w:numId w:val="4"/>
        </w:numPr>
        <w:tabs>
          <w:tab w:val="left" w:pos="721"/>
          <w:tab w:val="left" w:pos="2880"/>
          <w:tab w:val="left" w:pos="3780"/>
        </w:tabs>
        <w:spacing w:before="0" w:after="0" w:line="360" w:lineRule="auto"/>
        <w:ind w:left="0" w:firstLine="0"/>
        <w:rPr>
          <w:rFonts w:hint="eastAsia" w:ascii="宋体" w:hAnsi="宋体" w:eastAsia="宋体"/>
          <w:sz w:val="24"/>
          <w:szCs w:val="24"/>
        </w:rPr>
      </w:pPr>
      <w:r>
        <w:rPr>
          <w:rFonts w:hint="eastAsia" w:ascii="宋体" w:hAnsi="宋体" w:eastAsia="宋体" w:cs="宋体"/>
          <w:sz w:val="21"/>
          <w:szCs w:val="21"/>
          <w:lang w:eastAsia="zh-CN"/>
        </w:rPr>
        <w:br w:type="page"/>
      </w:r>
      <w:bookmarkStart w:id="17" w:name="_Toc17141"/>
      <w:r>
        <w:rPr>
          <w:rFonts w:hint="eastAsia" w:ascii="宋体" w:hAnsi="宋体" w:eastAsia="宋体"/>
          <w:sz w:val="24"/>
          <w:szCs w:val="24"/>
          <w:lang w:eastAsia="zh-CN"/>
        </w:rPr>
        <w:t>总则</w:t>
      </w:r>
      <w:bookmarkEnd w:id="16"/>
      <w:bookmarkEnd w:id="17"/>
    </w:p>
    <w:p w14:paraId="42CB8CA5">
      <w:pPr>
        <w:pStyle w:val="4"/>
        <w:numPr>
          <w:ilvl w:val="1"/>
          <w:numId w:val="5"/>
        </w:numPr>
        <w:spacing w:before="0" w:after="0" w:line="360" w:lineRule="auto"/>
        <w:rPr>
          <w:rFonts w:hint="eastAsia"/>
        </w:rPr>
      </w:pPr>
      <w:bookmarkStart w:id="18" w:name="_Toc24769"/>
      <w:bookmarkStart w:id="19" w:name="_Toc5358"/>
      <w:bookmarkStart w:id="20" w:name="_Toc28377"/>
      <w:bookmarkStart w:id="21" w:name="_Toc4828"/>
      <w:bookmarkStart w:id="22" w:name="_Toc28200"/>
      <w:bookmarkStart w:id="23" w:name="_Toc14496"/>
      <w:bookmarkStart w:id="24" w:name="_Toc4908"/>
      <w:bookmarkStart w:id="25" w:name="_Toc8395"/>
      <w:bookmarkStart w:id="26" w:name="_Toc20743"/>
      <w:bookmarkStart w:id="27" w:name="_Toc30513"/>
      <w:bookmarkStart w:id="28" w:name="_Toc31179"/>
      <w:bookmarkStart w:id="29" w:name="_Toc17878"/>
      <w:bookmarkStart w:id="30" w:name="_Toc8993"/>
      <w:bookmarkStart w:id="31" w:name="_Toc18176"/>
      <w:r>
        <w:rPr>
          <w:rFonts w:hint="eastAsia"/>
        </w:rPr>
        <w:t>适用范围</w:t>
      </w:r>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113BC902">
      <w:pPr>
        <w:numPr>
          <w:ilvl w:val="2"/>
          <w:numId w:val="5"/>
        </w:numPr>
        <w:topLinePunct/>
        <w:spacing w:line="360" w:lineRule="auto"/>
        <w:ind w:firstLine="420" w:firstLineChars="200"/>
        <w:rPr>
          <w:rFonts w:hint="eastAsia" w:cs="微软雅黑"/>
          <w:kern w:val="0"/>
          <w:szCs w:val="21"/>
        </w:rPr>
      </w:pPr>
      <w:bookmarkStart w:id="32" w:name="_Toc23240"/>
      <w:bookmarkStart w:id="33" w:name="_Toc2056"/>
      <w:bookmarkStart w:id="34" w:name="_Toc13473"/>
      <w:bookmarkStart w:id="35" w:name="_Toc31067"/>
      <w:bookmarkStart w:id="36" w:name="_Toc17774"/>
      <w:bookmarkStart w:id="37" w:name="_Toc29433"/>
      <w:bookmarkStart w:id="38" w:name="_Toc14116"/>
      <w:bookmarkStart w:id="39" w:name="_Toc13726"/>
      <w:bookmarkStart w:id="40" w:name="_Toc13223"/>
      <w:bookmarkStart w:id="41" w:name="_Toc17529"/>
      <w:r>
        <w:rPr>
          <w:rFonts w:hint="eastAsia" w:cs="微软雅黑"/>
          <w:kern w:val="0"/>
          <w:szCs w:val="21"/>
        </w:rPr>
        <w:t>根据《中华人民共和国政府采购法》、《中华人民共和国政府采购法实施条例》、《政府采购框架协议采购方式管理暂行办法》等有关法律、法规和规章的规定，就本项目进行框架协议采购，现欢迎符合相关条件的供应商参加。</w:t>
      </w:r>
    </w:p>
    <w:p w14:paraId="0737F8A5">
      <w:pPr>
        <w:numPr>
          <w:ilvl w:val="2"/>
          <w:numId w:val="5"/>
        </w:numPr>
        <w:topLinePunct/>
        <w:spacing w:line="360" w:lineRule="auto"/>
        <w:ind w:firstLine="420" w:firstLineChars="200"/>
        <w:rPr>
          <w:rFonts w:hint="eastAsia" w:cs="微软雅黑"/>
          <w:kern w:val="0"/>
          <w:szCs w:val="21"/>
        </w:rPr>
      </w:pPr>
      <w:r>
        <w:rPr>
          <w:rFonts w:hint="eastAsia" w:cs="微软雅黑"/>
          <w:kern w:val="0"/>
          <w:szCs w:val="21"/>
        </w:rPr>
        <w:t>本采购项目采购人：见供应商须知前附表。</w:t>
      </w:r>
    </w:p>
    <w:p w14:paraId="5E3CEE1F">
      <w:pPr>
        <w:numPr>
          <w:ilvl w:val="2"/>
          <w:numId w:val="5"/>
        </w:numPr>
        <w:topLinePunct/>
        <w:spacing w:line="360" w:lineRule="auto"/>
        <w:ind w:firstLine="420" w:firstLineChars="200"/>
        <w:rPr>
          <w:rFonts w:hint="eastAsia" w:cs="微软雅黑"/>
          <w:kern w:val="0"/>
          <w:szCs w:val="21"/>
        </w:rPr>
      </w:pPr>
      <w:r>
        <w:rPr>
          <w:rFonts w:hint="eastAsia" w:cs="微软雅黑"/>
          <w:kern w:val="0"/>
          <w:szCs w:val="21"/>
        </w:rPr>
        <w:t>本采购项目采购代理机构：见供应商须知前附表。</w:t>
      </w:r>
    </w:p>
    <w:bookmarkEnd w:id="32"/>
    <w:bookmarkEnd w:id="33"/>
    <w:bookmarkEnd w:id="34"/>
    <w:bookmarkEnd w:id="35"/>
    <w:bookmarkEnd w:id="36"/>
    <w:bookmarkEnd w:id="37"/>
    <w:bookmarkEnd w:id="38"/>
    <w:bookmarkEnd w:id="39"/>
    <w:bookmarkEnd w:id="40"/>
    <w:bookmarkEnd w:id="41"/>
    <w:p w14:paraId="20DCD977">
      <w:pPr>
        <w:pStyle w:val="4"/>
        <w:numPr>
          <w:ilvl w:val="1"/>
          <w:numId w:val="5"/>
        </w:numPr>
        <w:spacing w:before="0" w:after="0" w:line="360" w:lineRule="auto"/>
        <w:rPr>
          <w:rFonts w:hint="eastAsia" w:cs="宋体"/>
        </w:rPr>
      </w:pPr>
      <w:bookmarkStart w:id="42" w:name="_Toc16391"/>
      <w:bookmarkStart w:id="43" w:name="_Toc19054"/>
      <w:bookmarkStart w:id="44" w:name="_Toc1559"/>
      <w:bookmarkStart w:id="45" w:name="_Toc1133"/>
      <w:r>
        <w:rPr>
          <w:rFonts w:hint="eastAsia" w:cs="宋体"/>
          <w:lang w:eastAsia="zh-CN"/>
        </w:rPr>
        <w:t>采购</w:t>
      </w:r>
      <w:r>
        <w:rPr>
          <w:rFonts w:hint="eastAsia" w:cs="宋体"/>
        </w:rPr>
        <w:t>项目的</w:t>
      </w:r>
      <w:r>
        <w:rPr>
          <w:rFonts w:hint="eastAsia" w:cs="宋体"/>
          <w:lang w:eastAsia="zh-CN"/>
        </w:rPr>
        <w:t>名称及</w:t>
      </w:r>
      <w:r>
        <w:rPr>
          <w:rFonts w:hint="eastAsia" w:cs="宋体"/>
        </w:rPr>
        <w:t>资金来源</w:t>
      </w:r>
      <w:bookmarkEnd w:id="42"/>
      <w:bookmarkEnd w:id="43"/>
      <w:bookmarkEnd w:id="44"/>
      <w:bookmarkEnd w:id="45"/>
    </w:p>
    <w:p w14:paraId="36D1D3EC">
      <w:pPr>
        <w:numPr>
          <w:ilvl w:val="2"/>
          <w:numId w:val="5"/>
        </w:numPr>
        <w:topLinePunct/>
        <w:spacing w:line="360" w:lineRule="auto"/>
        <w:ind w:firstLine="420" w:firstLineChars="200"/>
        <w:rPr>
          <w:rFonts w:hint="eastAsia" w:cs="微软雅黑"/>
          <w:kern w:val="0"/>
          <w:szCs w:val="21"/>
        </w:rPr>
      </w:pPr>
      <w:r>
        <w:rPr>
          <w:rFonts w:hint="eastAsia" w:cs="微软雅黑"/>
          <w:kern w:val="0"/>
          <w:szCs w:val="21"/>
        </w:rPr>
        <w:t>资金来源：见供应商须知前附表。</w:t>
      </w:r>
    </w:p>
    <w:p w14:paraId="6DACF873">
      <w:pPr>
        <w:numPr>
          <w:ilvl w:val="2"/>
          <w:numId w:val="5"/>
        </w:numPr>
        <w:topLinePunct/>
        <w:spacing w:line="360" w:lineRule="auto"/>
        <w:ind w:firstLine="420" w:firstLineChars="200"/>
        <w:rPr>
          <w:rFonts w:hint="eastAsia" w:cs="微软雅黑"/>
          <w:kern w:val="0"/>
          <w:szCs w:val="21"/>
        </w:rPr>
      </w:pPr>
      <w:r>
        <w:rPr>
          <w:rFonts w:hint="eastAsia" w:cs="微软雅黑"/>
          <w:kern w:val="0"/>
          <w:szCs w:val="21"/>
        </w:rPr>
        <w:t>采购项目名称：见供应商须知前附表。</w:t>
      </w:r>
    </w:p>
    <w:p w14:paraId="740355EB">
      <w:pPr>
        <w:pStyle w:val="4"/>
        <w:numPr>
          <w:ilvl w:val="1"/>
          <w:numId w:val="5"/>
        </w:numPr>
        <w:spacing w:before="0" w:after="0" w:line="360" w:lineRule="auto"/>
        <w:rPr>
          <w:rFonts w:hint="eastAsia" w:cs="宋体"/>
          <w:lang w:eastAsia="zh-CN"/>
        </w:rPr>
      </w:pPr>
      <w:bookmarkStart w:id="46" w:name="_Toc9369"/>
      <w:bookmarkStart w:id="47" w:name="_Toc12478"/>
      <w:bookmarkStart w:id="48" w:name="_Toc8288"/>
      <w:bookmarkStart w:id="49" w:name="_Toc10455"/>
      <w:bookmarkStart w:id="50" w:name="_Toc29356"/>
      <w:bookmarkStart w:id="51" w:name="_Toc11060"/>
      <w:r>
        <w:rPr>
          <w:rFonts w:hint="eastAsia" w:cs="宋体"/>
          <w:lang w:eastAsia="zh-CN"/>
        </w:rPr>
        <w:t>采购范围、</w:t>
      </w:r>
      <w:r>
        <w:rPr>
          <w:rFonts w:hint="eastAsia" w:cs="宋体"/>
          <w:lang w:val="en-US" w:eastAsia="zh-CN"/>
        </w:rPr>
        <w:t>框架协议</w:t>
      </w:r>
      <w:r>
        <w:rPr>
          <w:rFonts w:hint="eastAsia" w:cs="宋体"/>
          <w:lang w:eastAsia="zh-CN"/>
        </w:rPr>
        <w:t>期限及</w:t>
      </w:r>
      <w:bookmarkEnd w:id="46"/>
      <w:bookmarkEnd w:id="47"/>
      <w:bookmarkEnd w:id="48"/>
      <w:bookmarkEnd w:id="49"/>
      <w:bookmarkEnd w:id="50"/>
      <w:bookmarkEnd w:id="51"/>
      <w:r>
        <w:rPr>
          <w:rFonts w:hint="eastAsia" w:cs="宋体"/>
          <w:lang w:val="en-US" w:eastAsia="zh-CN"/>
        </w:rPr>
        <w:t>质量要求</w:t>
      </w:r>
    </w:p>
    <w:p w14:paraId="45906938">
      <w:pPr>
        <w:numPr>
          <w:ilvl w:val="2"/>
          <w:numId w:val="5"/>
        </w:numPr>
        <w:topLinePunct/>
        <w:spacing w:line="360" w:lineRule="auto"/>
        <w:ind w:firstLine="420" w:firstLineChars="200"/>
        <w:rPr>
          <w:rFonts w:hint="eastAsia" w:cs="微软雅黑"/>
          <w:kern w:val="0"/>
          <w:szCs w:val="21"/>
        </w:rPr>
      </w:pPr>
      <w:r>
        <w:rPr>
          <w:rFonts w:hint="eastAsia" w:cs="微软雅黑"/>
          <w:kern w:val="0"/>
          <w:szCs w:val="21"/>
        </w:rPr>
        <w:t>采购范围：见供应商须知前附表。</w:t>
      </w:r>
    </w:p>
    <w:p w14:paraId="4F3D7B0C">
      <w:pPr>
        <w:numPr>
          <w:ilvl w:val="2"/>
          <w:numId w:val="5"/>
        </w:numPr>
        <w:topLinePunct/>
        <w:spacing w:line="360" w:lineRule="auto"/>
        <w:ind w:firstLine="420" w:firstLineChars="200"/>
        <w:rPr>
          <w:rFonts w:hint="eastAsia" w:cs="微软雅黑"/>
          <w:kern w:val="0"/>
          <w:szCs w:val="21"/>
        </w:rPr>
      </w:pPr>
      <w:r>
        <w:rPr>
          <w:rFonts w:hint="eastAsia" w:cs="宋体"/>
          <w:lang w:val="en-US" w:eastAsia="zh-CN"/>
        </w:rPr>
        <w:t>框架协议</w:t>
      </w:r>
      <w:r>
        <w:rPr>
          <w:rFonts w:hint="eastAsia" w:cs="宋体"/>
          <w:lang w:eastAsia="zh-CN"/>
        </w:rPr>
        <w:t>期限</w:t>
      </w:r>
      <w:r>
        <w:rPr>
          <w:rFonts w:hint="eastAsia" w:cs="微软雅黑"/>
          <w:kern w:val="0"/>
          <w:szCs w:val="21"/>
        </w:rPr>
        <w:t>：见供应商须知前附表。</w:t>
      </w:r>
    </w:p>
    <w:p w14:paraId="1A1C2FAD">
      <w:pPr>
        <w:numPr>
          <w:ilvl w:val="2"/>
          <w:numId w:val="5"/>
        </w:numPr>
        <w:topLinePunct/>
        <w:spacing w:line="360" w:lineRule="auto"/>
        <w:ind w:firstLine="420" w:firstLineChars="200"/>
        <w:rPr>
          <w:rFonts w:hint="eastAsia" w:cs="微软雅黑"/>
          <w:kern w:val="0"/>
          <w:szCs w:val="21"/>
        </w:rPr>
      </w:pPr>
      <w:r>
        <w:rPr>
          <w:rFonts w:hint="eastAsia" w:cs="宋体"/>
          <w:lang w:val="en-US" w:eastAsia="zh-CN"/>
        </w:rPr>
        <w:t>质量要求</w:t>
      </w:r>
      <w:r>
        <w:rPr>
          <w:rFonts w:hint="eastAsia" w:cs="微软雅黑"/>
          <w:kern w:val="0"/>
          <w:szCs w:val="21"/>
        </w:rPr>
        <w:t>：见供应商须知前附表。</w:t>
      </w:r>
    </w:p>
    <w:p w14:paraId="43CE2F84">
      <w:pPr>
        <w:pStyle w:val="4"/>
        <w:numPr>
          <w:ilvl w:val="1"/>
          <w:numId w:val="5"/>
        </w:numPr>
        <w:spacing w:before="0" w:after="0" w:line="360" w:lineRule="auto"/>
        <w:rPr>
          <w:rFonts w:hint="eastAsia" w:cs="宋体"/>
          <w:lang w:eastAsia="zh-CN"/>
        </w:rPr>
      </w:pPr>
      <w:bookmarkStart w:id="52" w:name="_Toc13920"/>
      <w:bookmarkStart w:id="53" w:name="_Toc12303"/>
      <w:bookmarkStart w:id="54" w:name="_Toc25730"/>
      <w:bookmarkStart w:id="55" w:name="_Toc15768"/>
      <w:bookmarkStart w:id="56" w:name="_Toc10971"/>
      <w:bookmarkStart w:id="57" w:name="_Toc2195"/>
      <w:r>
        <w:rPr>
          <w:rFonts w:hint="eastAsia" w:cs="宋体"/>
          <w:lang w:eastAsia="zh-CN"/>
        </w:rPr>
        <w:t>供应商资格要求</w:t>
      </w:r>
      <w:bookmarkEnd w:id="52"/>
      <w:bookmarkEnd w:id="53"/>
      <w:bookmarkEnd w:id="54"/>
      <w:bookmarkEnd w:id="55"/>
      <w:bookmarkEnd w:id="56"/>
      <w:bookmarkEnd w:id="57"/>
    </w:p>
    <w:p w14:paraId="240200CE">
      <w:pPr>
        <w:numPr>
          <w:ilvl w:val="2"/>
          <w:numId w:val="5"/>
        </w:numPr>
        <w:topLinePunct/>
        <w:spacing w:line="360" w:lineRule="auto"/>
        <w:ind w:firstLine="420" w:firstLineChars="200"/>
        <w:rPr>
          <w:rFonts w:hint="eastAsia" w:cs="微软雅黑"/>
          <w:kern w:val="0"/>
          <w:szCs w:val="21"/>
        </w:rPr>
      </w:pPr>
      <w:r>
        <w:rPr>
          <w:rFonts w:hint="eastAsia" w:cs="微软雅黑"/>
          <w:kern w:val="0"/>
          <w:szCs w:val="21"/>
        </w:rPr>
        <w:t>供应商资格要求：见供应商须知前附表。</w:t>
      </w:r>
    </w:p>
    <w:p w14:paraId="6D1672BB">
      <w:pPr>
        <w:numPr>
          <w:ilvl w:val="2"/>
          <w:numId w:val="5"/>
        </w:numPr>
        <w:spacing w:line="360" w:lineRule="auto"/>
        <w:ind w:firstLine="420" w:firstLineChars="200"/>
        <w:rPr>
          <w:rFonts w:hint="eastAsia"/>
          <w:szCs w:val="21"/>
        </w:rPr>
      </w:pPr>
      <w:r>
        <w:rPr>
          <w:rFonts w:hint="eastAsia"/>
          <w:szCs w:val="21"/>
        </w:rPr>
        <w:t>本项目不接受联合体入围。</w:t>
      </w:r>
    </w:p>
    <w:p w14:paraId="5667E27B">
      <w:pPr>
        <w:numPr>
          <w:ilvl w:val="2"/>
          <w:numId w:val="5"/>
        </w:numPr>
        <w:topLinePunct/>
        <w:spacing w:line="360" w:lineRule="auto"/>
        <w:ind w:firstLine="420" w:firstLineChars="200"/>
        <w:rPr>
          <w:rFonts w:hint="eastAsia" w:cs="微软雅黑"/>
          <w:kern w:val="0"/>
          <w:szCs w:val="21"/>
        </w:rPr>
      </w:pPr>
      <w:r>
        <w:rPr>
          <w:rFonts w:hint="eastAsia" w:cs="微软雅黑"/>
          <w:kern w:val="0"/>
          <w:szCs w:val="21"/>
        </w:rPr>
        <w:t>供应商不得存在下列情形之一：</w:t>
      </w:r>
    </w:p>
    <w:p w14:paraId="1A792424">
      <w:pPr>
        <w:numPr>
          <w:ilvl w:val="0"/>
          <w:numId w:val="6"/>
        </w:numPr>
        <w:topLinePunct/>
        <w:adjustRightInd w:val="0"/>
        <w:spacing w:line="360" w:lineRule="auto"/>
        <w:ind w:left="0" w:firstLine="420" w:firstLineChars="200"/>
        <w:jc w:val="left"/>
        <w:rPr>
          <w:rFonts w:hint="eastAsia" w:cs="微软雅黑"/>
          <w:kern w:val="0"/>
          <w:szCs w:val="21"/>
        </w:rPr>
      </w:pPr>
      <w:r>
        <w:rPr>
          <w:rFonts w:hint="eastAsia" w:cs="微软雅黑"/>
          <w:kern w:val="0"/>
          <w:szCs w:val="21"/>
        </w:rPr>
        <w:t>与采购人存在利害关系且可能影响采购公正性；</w:t>
      </w:r>
    </w:p>
    <w:p w14:paraId="79EF5886">
      <w:pPr>
        <w:numPr>
          <w:ilvl w:val="0"/>
          <w:numId w:val="6"/>
        </w:numPr>
        <w:topLinePunct/>
        <w:adjustRightInd w:val="0"/>
        <w:spacing w:line="360" w:lineRule="auto"/>
        <w:ind w:left="0" w:firstLine="420" w:firstLineChars="200"/>
        <w:jc w:val="left"/>
        <w:rPr>
          <w:rFonts w:hint="eastAsia" w:cs="微软雅黑"/>
          <w:kern w:val="0"/>
          <w:szCs w:val="21"/>
        </w:rPr>
      </w:pPr>
      <w:r>
        <w:rPr>
          <w:rFonts w:hint="eastAsia" w:cs="微软雅黑"/>
          <w:kern w:val="0"/>
          <w:szCs w:val="21"/>
        </w:rPr>
        <w:t>与本采购项目的其他供应商为同一个单位负责人；</w:t>
      </w:r>
    </w:p>
    <w:p w14:paraId="76204327">
      <w:pPr>
        <w:numPr>
          <w:ilvl w:val="0"/>
          <w:numId w:val="6"/>
        </w:numPr>
        <w:topLinePunct/>
        <w:adjustRightInd w:val="0"/>
        <w:spacing w:line="360" w:lineRule="auto"/>
        <w:ind w:left="0" w:firstLine="420" w:firstLineChars="200"/>
        <w:jc w:val="left"/>
        <w:rPr>
          <w:rFonts w:hint="eastAsia" w:cs="微软雅黑"/>
          <w:kern w:val="0"/>
          <w:szCs w:val="21"/>
        </w:rPr>
      </w:pPr>
      <w:r>
        <w:rPr>
          <w:rFonts w:hint="eastAsia" w:cs="微软雅黑"/>
          <w:kern w:val="0"/>
          <w:szCs w:val="21"/>
        </w:rPr>
        <w:t>与本采购项目的其他供应商存在控股、管理关系；</w:t>
      </w:r>
    </w:p>
    <w:p w14:paraId="339A7EE3">
      <w:pPr>
        <w:numPr>
          <w:ilvl w:val="0"/>
          <w:numId w:val="6"/>
        </w:numPr>
        <w:topLinePunct/>
        <w:adjustRightInd w:val="0"/>
        <w:spacing w:line="360" w:lineRule="auto"/>
        <w:ind w:left="0" w:firstLine="420" w:firstLineChars="200"/>
        <w:jc w:val="left"/>
        <w:rPr>
          <w:rFonts w:hint="eastAsia" w:cs="微软雅黑"/>
          <w:kern w:val="0"/>
          <w:szCs w:val="21"/>
        </w:rPr>
      </w:pPr>
      <w:r>
        <w:rPr>
          <w:rFonts w:hint="eastAsia" w:cs="微软雅黑"/>
          <w:kern w:val="0"/>
          <w:szCs w:val="21"/>
        </w:rPr>
        <w:t>为本采购项目提供过整体设计、规范编制或者项目管理、监理、检测等服务；</w:t>
      </w:r>
    </w:p>
    <w:p w14:paraId="0A876163">
      <w:pPr>
        <w:numPr>
          <w:ilvl w:val="0"/>
          <w:numId w:val="6"/>
        </w:numPr>
        <w:topLinePunct/>
        <w:adjustRightInd w:val="0"/>
        <w:spacing w:line="360" w:lineRule="auto"/>
        <w:ind w:left="0" w:firstLine="420" w:firstLineChars="200"/>
        <w:jc w:val="left"/>
        <w:rPr>
          <w:rFonts w:hint="eastAsia" w:cs="微软雅黑"/>
          <w:kern w:val="0"/>
          <w:szCs w:val="21"/>
        </w:rPr>
      </w:pPr>
      <w:r>
        <w:rPr>
          <w:rFonts w:hint="eastAsia" w:cs="微软雅黑"/>
          <w:kern w:val="0"/>
          <w:szCs w:val="21"/>
        </w:rPr>
        <w:t>为本采购项目的采购代理机构；</w:t>
      </w:r>
    </w:p>
    <w:p w14:paraId="5DD761B9">
      <w:pPr>
        <w:numPr>
          <w:ilvl w:val="0"/>
          <w:numId w:val="6"/>
        </w:numPr>
        <w:topLinePunct/>
        <w:adjustRightInd w:val="0"/>
        <w:spacing w:line="360" w:lineRule="auto"/>
        <w:ind w:left="0" w:firstLine="420" w:firstLineChars="200"/>
        <w:jc w:val="left"/>
        <w:rPr>
          <w:rFonts w:hint="eastAsia" w:cs="微软雅黑"/>
          <w:kern w:val="0"/>
          <w:szCs w:val="21"/>
        </w:rPr>
      </w:pPr>
      <w:r>
        <w:rPr>
          <w:rFonts w:hint="eastAsia" w:cs="微软雅黑"/>
          <w:kern w:val="0"/>
          <w:szCs w:val="21"/>
        </w:rPr>
        <w:t>供应商以他人名义投标、串通投标、以行贿手段牟取中标，或在投标中弄虚作假的；</w:t>
      </w:r>
    </w:p>
    <w:p w14:paraId="48C69FF0">
      <w:pPr>
        <w:numPr>
          <w:ilvl w:val="0"/>
          <w:numId w:val="6"/>
        </w:numPr>
        <w:topLinePunct/>
        <w:adjustRightInd w:val="0"/>
        <w:spacing w:line="360" w:lineRule="auto"/>
        <w:ind w:left="0" w:firstLine="420" w:firstLineChars="200"/>
        <w:jc w:val="left"/>
        <w:rPr>
          <w:rFonts w:hint="eastAsia" w:cs="微软雅黑"/>
          <w:kern w:val="0"/>
          <w:szCs w:val="21"/>
        </w:rPr>
      </w:pPr>
      <w:r>
        <w:rPr>
          <w:rFonts w:hint="eastAsia" w:cs="微软雅黑"/>
          <w:kern w:val="0"/>
          <w:szCs w:val="21"/>
        </w:rPr>
        <w:t>法律法规规定的其他情形。</w:t>
      </w:r>
    </w:p>
    <w:p w14:paraId="776CC75D">
      <w:pPr>
        <w:pStyle w:val="4"/>
        <w:numPr>
          <w:ilvl w:val="1"/>
          <w:numId w:val="5"/>
        </w:numPr>
        <w:spacing w:before="0" w:after="0" w:line="360" w:lineRule="auto"/>
        <w:rPr>
          <w:rFonts w:hint="eastAsia" w:cs="宋体"/>
          <w:lang w:eastAsia="zh-CN"/>
        </w:rPr>
      </w:pPr>
      <w:bookmarkStart w:id="58" w:name="_Toc15962"/>
      <w:bookmarkStart w:id="59" w:name="_Toc12998"/>
      <w:bookmarkStart w:id="60" w:name="_Toc8749"/>
      <w:bookmarkStart w:id="61" w:name="_Toc9794"/>
      <w:r>
        <w:rPr>
          <w:rFonts w:hint="eastAsia" w:cs="宋体"/>
          <w:lang w:eastAsia="zh-CN"/>
        </w:rPr>
        <w:t>入围供应商数量</w:t>
      </w:r>
      <w:bookmarkEnd w:id="58"/>
      <w:bookmarkEnd w:id="59"/>
      <w:bookmarkEnd w:id="60"/>
      <w:bookmarkEnd w:id="61"/>
    </w:p>
    <w:p w14:paraId="46D18735">
      <w:pPr>
        <w:pStyle w:val="28"/>
        <w:widowControl/>
        <w:spacing w:before="0" w:beforeAutospacing="0" w:after="0" w:afterAutospacing="0" w:line="360" w:lineRule="auto"/>
        <w:ind w:firstLine="420" w:firstLineChars="200"/>
        <w:jc w:val="both"/>
        <w:rPr>
          <w:rFonts w:hint="eastAsia"/>
        </w:rPr>
      </w:pPr>
      <w:r>
        <w:rPr>
          <w:rFonts w:hint="eastAsia" w:cs="宋体"/>
          <w:sz w:val="21"/>
          <w:szCs w:val="21"/>
          <w:shd w:val="clear" w:color="auto" w:fill="FFFFFF"/>
        </w:rPr>
        <w:t>具体入围数量详见供应商须知前附表。</w:t>
      </w:r>
    </w:p>
    <w:p w14:paraId="74AACD87">
      <w:pPr>
        <w:pStyle w:val="4"/>
        <w:numPr>
          <w:ilvl w:val="1"/>
          <w:numId w:val="5"/>
        </w:numPr>
        <w:spacing w:before="0" w:after="0" w:line="360" w:lineRule="auto"/>
        <w:rPr>
          <w:rFonts w:hint="eastAsia" w:cs="宋体"/>
          <w:lang w:eastAsia="zh-CN"/>
        </w:rPr>
      </w:pPr>
      <w:bookmarkStart w:id="62" w:name="_Toc11556"/>
      <w:bookmarkStart w:id="63" w:name="_Toc15243"/>
      <w:bookmarkStart w:id="64" w:name="_Toc6127"/>
      <w:bookmarkStart w:id="65" w:name="_Toc22894"/>
      <w:bookmarkStart w:id="66" w:name="_Toc9366"/>
      <w:bookmarkStart w:id="67" w:name="_Toc17673"/>
      <w:bookmarkStart w:id="68" w:name="_Toc7848"/>
      <w:bookmarkStart w:id="69" w:name="_Toc10741"/>
      <w:bookmarkStart w:id="70" w:name="_Toc29415"/>
      <w:bookmarkStart w:id="71" w:name="_Toc6142"/>
      <w:bookmarkStart w:id="72" w:name="_Toc21006"/>
      <w:bookmarkStart w:id="73" w:name="_Toc25383"/>
      <w:bookmarkStart w:id="74" w:name="_Toc15721"/>
      <w:bookmarkStart w:id="75" w:name="_Toc19265"/>
      <w:r>
        <w:rPr>
          <w:rFonts w:hint="eastAsia" w:cs="宋体"/>
          <w:lang w:eastAsia="zh-CN"/>
        </w:rPr>
        <w:t>入围费用</w:t>
      </w:r>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22BF9C1B">
      <w:pPr>
        <w:spacing w:line="360" w:lineRule="auto"/>
        <w:ind w:firstLine="420" w:firstLineChars="200"/>
        <w:rPr>
          <w:rFonts w:hint="eastAsia"/>
          <w:szCs w:val="21"/>
        </w:rPr>
      </w:pPr>
      <w:r>
        <w:rPr>
          <w:rFonts w:hint="eastAsia"/>
          <w:szCs w:val="21"/>
        </w:rPr>
        <w:t>供应商准备和参加入围活动发生的费用自理。</w:t>
      </w:r>
    </w:p>
    <w:p w14:paraId="11B44E5D">
      <w:pPr>
        <w:pStyle w:val="4"/>
        <w:numPr>
          <w:ilvl w:val="1"/>
          <w:numId w:val="5"/>
        </w:numPr>
        <w:spacing w:before="0" w:after="0" w:line="360" w:lineRule="auto"/>
        <w:rPr>
          <w:rFonts w:hint="eastAsia" w:cs="宋体"/>
          <w:lang w:eastAsia="zh-CN"/>
        </w:rPr>
      </w:pPr>
      <w:bookmarkStart w:id="76" w:name="_Toc27635"/>
      <w:bookmarkStart w:id="77" w:name="_Toc3265"/>
      <w:bookmarkStart w:id="78" w:name="_Toc8265"/>
      <w:bookmarkStart w:id="79" w:name="_Toc26711"/>
      <w:bookmarkStart w:id="80" w:name="_Toc19659"/>
      <w:bookmarkStart w:id="81" w:name="_Toc21638"/>
      <w:bookmarkStart w:id="82" w:name="_Toc2212"/>
      <w:bookmarkStart w:id="83" w:name="_Toc10737"/>
      <w:bookmarkStart w:id="84" w:name="_Toc9561"/>
      <w:bookmarkStart w:id="85" w:name="_Toc7448"/>
      <w:bookmarkStart w:id="86" w:name="_Toc19504"/>
      <w:bookmarkStart w:id="87" w:name="_Toc21313"/>
      <w:bookmarkStart w:id="88" w:name="_Toc28982"/>
      <w:bookmarkStart w:id="89" w:name="_Toc20467"/>
      <w:r>
        <w:rPr>
          <w:rFonts w:hint="eastAsia" w:cs="宋体"/>
          <w:lang w:eastAsia="zh-CN"/>
        </w:rPr>
        <w:t>分包</w:t>
      </w:r>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27BF53AB">
      <w:pPr>
        <w:spacing w:line="360" w:lineRule="auto"/>
        <w:ind w:firstLine="420" w:firstLineChars="200"/>
        <w:rPr>
          <w:rFonts w:hint="eastAsia"/>
          <w:szCs w:val="21"/>
        </w:rPr>
      </w:pPr>
      <w:bookmarkStart w:id="90" w:name="_Toc2167"/>
      <w:bookmarkStart w:id="91" w:name="_Toc12631"/>
      <w:bookmarkStart w:id="92" w:name="_Toc11954"/>
      <w:bookmarkStart w:id="93" w:name="_Toc20874"/>
      <w:bookmarkStart w:id="94" w:name="_Toc9963"/>
      <w:bookmarkStart w:id="95" w:name="_Toc31207"/>
      <w:bookmarkStart w:id="96" w:name="_Toc28651"/>
      <w:bookmarkStart w:id="97" w:name="_Toc14567"/>
      <w:bookmarkStart w:id="98" w:name="_Toc6725"/>
      <w:bookmarkStart w:id="99" w:name="_Toc26863"/>
      <w:bookmarkStart w:id="100" w:name="_Toc8743"/>
      <w:bookmarkStart w:id="101" w:name="_Toc26753"/>
      <w:r>
        <w:rPr>
          <w:rFonts w:hint="eastAsia"/>
          <w:szCs w:val="21"/>
        </w:rPr>
        <w:t>不允许。</w:t>
      </w:r>
    </w:p>
    <w:p w14:paraId="5019C338">
      <w:pPr>
        <w:pStyle w:val="4"/>
        <w:numPr>
          <w:ilvl w:val="1"/>
          <w:numId w:val="5"/>
        </w:numPr>
        <w:spacing w:before="0" w:after="0" w:line="360" w:lineRule="auto"/>
        <w:rPr>
          <w:rFonts w:hint="eastAsia"/>
        </w:rPr>
      </w:pPr>
      <w:bookmarkStart w:id="102" w:name="_Toc28771"/>
      <w:bookmarkStart w:id="103" w:name="_Toc27149"/>
      <w:bookmarkStart w:id="104" w:name="_Toc4320"/>
      <w:bookmarkStart w:id="105" w:name="_Toc10657"/>
      <w:r>
        <w:rPr>
          <w:rFonts w:hint="eastAsia"/>
        </w:rPr>
        <w:t>响应和偏差</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0748C3D9">
      <w:pPr>
        <w:numPr>
          <w:ilvl w:val="2"/>
          <w:numId w:val="5"/>
        </w:numPr>
        <w:spacing w:line="360" w:lineRule="auto"/>
        <w:ind w:firstLine="420" w:firstLineChars="200"/>
        <w:rPr>
          <w:rFonts w:hint="eastAsia"/>
          <w:szCs w:val="21"/>
        </w:rPr>
      </w:pPr>
      <w:r>
        <w:rPr>
          <w:rFonts w:hint="eastAsia"/>
          <w:szCs w:val="21"/>
        </w:rPr>
        <w:t>响应文件应当对征集文件的实质性要求和条件作出满足或更有利于采购人的响应，实质性要求和条件见供应商须知前附表。</w:t>
      </w:r>
    </w:p>
    <w:p w14:paraId="4B7F7480">
      <w:pPr>
        <w:pStyle w:val="4"/>
        <w:numPr>
          <w:ilvl w:val="1"/>
          <w:numId w:val="5"/>
        </w:numPr>
        <w:spacing w:before="0" w:after="0" w:line="360" w:lineRule="auto"/>
        <w:rPr>
          <w:rFonts w:hint="eastAsia"/>
        </w:rPr>
      </w:pPr>
      <w:bookmarkStart w:id="106" w:name="_Toc30516"/>
      <w:bookmarkStart w:id="107" w:name="_Toc9588"/>
      <w:bookmarkStart w:id="108" w:name="_Toc26506"/>
      <w:bookmarkStart w:id="109" w:name="_Toc23523"/>
      <w:bookmarkStart w:id="110" w:name="_Toc16595"/>
      <w:bookmarkStart w:id="111" w:name="_Toc5679"/>
      <w:bookmarkStart w:id="112" w:name="_Toc29202"/>
      <w:bookmarkStart w:id="113" w:name="_Toc23201"/>
      <w:bookmarkStart w:id="114" w:name="_Toc15630"/>
      <w:bookmarkStart w:id="115" w:name="_Toc28188"/>
      <w:bookmarkStart w:id="116" w:name="_Toc9147"/>
      <w:bookmarkStart w:id="117" w:name="_Toc14740"/>
      <w:bookmarkStart w:id="118" w:name="_Toc18321"/>
      <w:bookmarkStart w:id="119" w:name="_Toc12963"/>
      <w:r>
        <w:rPr>
          <w:rFonts w:hint="eastAsia"/>
        </w:rPr>
        <w:t>语言</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Fonts w:hint="eastAsia"/>
          <w:lang w:val="en-US" w:eastAsia="zh-CN"/>
        </w:rPr>
        <w:t>文字</w:t>
      </w:r>
    </w:p>
    <w:p w14:paraId="6D9B0592">
      <w:pPr>
        <w:spacing w:line="360" w:lineRule="auto"/>
        <w:ind w:firstLine="420" w:firstLineChars="200"/>
        <w:rPr>
          <w:rFonts w:hint="eastAsia"/>
          <w:szCs w:val="21"/>
        </w:rPr>
      </w:pPr>
      <w:r>
        <w:rPr>
          <w:rFonts w:hint="eastAsia"/>
          <w:szCs w:val="21"/>
        </w:rPr>
        <w:t>响应文件使用的语言文字为中文。专用术语使用外文的，应附有中文注释。</w:t>
      </w:r>
    </w:p>
    <w:p w14:paraId="44B69172">
      <w:pPr>
        <w:pStyle w:val="4"/>
        <w:numPr>
          <w:ilvl w:val="1"/>
          <w:numId w:val="5"/>
        </w:numPr>
        <w:spacing w:before="0" w:after="0" w:line="360" w:lineRule="auto"/>
        <w:rPr>
          <w:rFonts w:hint="eastAsia"/>
        </w:rPr>
      </w:pPr>
      <w:r>
        <w:rPr>
          <w:rFonts w:hint="eastAsia"/>
          <w:lang w:val="en-US" w:eastAsia="zh-CN"/>
        </w:rPr>
        <w:t>计量单位</w:t>
      </w:r>
    </w:p>
    <w:p w14:paraId="079DE0D8">
      <w:pPr>
        <w:tabs>
          <w:tab w:val="left" w:pos="720"/>
          <w:tab w:val="left" w:pos="1904"/>
        </w:tabs>
        <w:wordWrap w:val="0"/>
        <w:snapToGrid w:val="0"/>
        <w:spacing w:line="360" w:lineRule="auto"/>
        <w:ind w:firstLine="420" w:firstLineChars="200"/>
        <w:rPr>
          <w:rFonts w:hint="eastAsia"/>
          <w:szCs w:val="21"/>
        </w:rPr>
      </w:pPr>
      <w:r>
        <w:rPr>
          <w:rFonts w:hint="eastAsia"/>
          <w:szCs w:val="21"/>
        </w:rPr>
        <w:t xml:space="preserve">所有计量均采用中华人民共和国法定计量单位。 </w:t>
      </w:r>
    </w:p>
    <w:p w14:paraId="6E7274C2">
      <w:pPr>
        <w:pStyle w:val="4"/>
        <w:numPr>
          <w:ilvl w:val="1"/>
          <w:numId w:val="5"/>
        </w:numPr>
        <w:spacing w:before="0" w:after="0" w:line="360" w:lineRule="auto"/>
        <w:rPr>
          <w:rFonts w:hint="eastAsia"/>
        </w:rPr>
      </w:pPr>
      <w:bookmarkStart w:id="120" w:name="_Toc20536"/>
      <w:bookmarkStart w:id="121" w:name="_Toc16853"/>
      <w:bookmarkStart w:id="122" w:name="_Toc31058"/>
      <w:bookmarkStart w:id="123" w:name="_Toc25048"/>
      <w:bookmarkStart w:id="124" w:name="_Toc141"/>
      <w:bookmarkStart w:id="125" w:name="_Toc28184"/>
      <w:bookmarkStart w:id="126" w:name="_Toc19335"/>
      <w:bookmarkStart w:id="127" w:name="_Toc31790"/>
      <w:bookmarkStart w:id="128" w:name="_Toc26021"/>
      <w:bookmarkStart w:id="129" w:name="_Toc29504"/>
      <w:bookmarkStart w:id="130" w:name="_Toc12030"/>
      <w:bookmarkStart w:id="131" w:name="_Toc17573"/>
      <w:bookmarkStart w:id="132" w:name="_Toc24561"/>
      <w:bookmarkStart w:id="133" w:name="_Toc7775"/>
      <w:bookmarkStart w:id="134" w:name="_Toc4030"/>
      <w:bookmarkStart w:id="135" w:name="_Toc15496"/>
      <w:r>
        <w:rPr>
          <w:rFonts w:hint="eastAsia"/>
        </w:rPr>
        <w:t>保密</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6601F6DA">
      <w:pPr>
        <w:spacing w:line="360" w:lineRule="auto"/>
        <w:ind w:firstLine="420" w:firstLineChars="200"/>
        <w:rPr>
          <w:rFonts w:hint="eastAsia"/>
          <w:szCs w:val="21"/>
        </w:rPr>
      </w:pPr>
      <w:r>
        <w:rPr>
          <w:rFonts w:hint="eastAsia"/>
          <w:szCs w:val="21"/>
        </w:rPr>
        <w:t>参与本项目采购活动的各方应对征集文件和响应文件中的商业和技术等秘密保密，否则应承担相应的法律责任。</w:t>
      </w:r>
    </w:p>
    <w:p w14:paraId="42C30564">
      <w:pPr>
        <w:pStyle w:val="3"/>
        <w:numPr>
          <w:ilvl w:val="0"/>
          <w:numId w:val="4"/>
        </w:numPr>
        <w:tabs>
          <w:tab w:val="left" w:pos="721"/>
          <w:tab w:val="left" w:pos="2880"/>
          <w:tab w:val="left" w:pos="3780"/>
        </w:tabs>
        <w:spacing w:before="0" w:after="0" w:line="360" w:lineRule="auto"/>
        <w:ind w:left="0" w:firstLine="0"/>
        <w:rPr>
          <w:rFonts w:hint="eastAsia" w:ascii="宋体" w:hAnsi="宋体" w:eastAsia="宋体"/>
          <w:sz w:val="24"/>
          <w:szCs w:val="24"/>
          <w:lang w:val="en-US" w:eastAsia="zh-CN"/>
        </w:rPr>
      </w:pPr>
      <w:bookmarkStart w:id="136" w:name="_Toc22953398"/>
      <w:bookmarkEnd w:id="136"/>
      <w:bookmarkStart w:id="137" w:name="_Toc11564"/>
      <w:r>
        <w:rPr>
          <w:rFonts w:hint="eastAsia" w:ascii="宋体" w:hAnsi="宋体" w:eastAsia="宋体"/>
          <w:sz w:val="24"/>
          <w:szCs w:val="24"/>
          <w:lang w:val="en-US" w:eastAsia="zh-CN"/>
        </w:rPr>
        <w:t>征集文件</w:t>
      </w:r>
      <w:bookmarkEnd w:id="137"/>
    </w:p>
    <w:p w14:paraId="16EA3FDA">
      <w:pPr>
        <w:pStyle w:val="4"/>
        <w:numPr>
          <w:ilvl w:val="1"/>
          <w:numId w:val="4"/>
        </w:numPr>
        <w:spacing w:before="0" w:after="0" w:line="360" w:lineRule="auto"/>
        <w:rPr>
          <w:rFonts w:hint="eastAsia"/>
        </w:rPr>
      </w:pPr>
      <w:bookmarkStart w:id="138" w:name="_Toc22611"/>
      <w:bookmarkStart w:id="139" w:name="_Toc341"/>
      <w:bookmarkStart w:id="140" w:name="_Toc22684"/>
      <w:bookmarkStart w:id="141" w:name="_Toc25817"/>
      <w:bookmarkStart w:id="142" w:name="_Toc2039"/>
      <w:bookmarkStart w:id="143" w:name="_Toc20374"/>
      <w:bookmarkStart w:id="144" w:name="_Toc23916"/>
      <w:bookmarkStart w:id="145" w:name="_Toc22436"/>
      <w:bookmarkStart w:id="146" w:name="_Toc8809"/>
      <w:bookmarkStart w:id="147" w:name="_Toc15548"/>
      <w:bookmarkStart w:id="148" w:name="_Toc12900"/>
      <w:bookmarkStart w:id="149" w:name="_Toc17016"/>
      <w:bookmarkStart w:id="150" w:name="_Toc8007"/>
      <w:bookmarkStart w:id="151" w:name="_Toc27662"/>
      <w:r>
        <w:rPr>
          <w:rFonts w:hint="eastAsia"/>
          <w:lang w:eastAsia="zh-CN"/>
        </w:rPr>
        <w:t>征集文件</w:t>
      </w:r>
      <w:r>
        <w:rPr>
          <w:rFonts w:hint="eastAsia"/>
        </w:rPr>
        <w:t>的构成</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4D4D924C">
      <w:pPr>
        <w:pStyle w:val="24"/>
        <w:tabs>
          <w:tab w:val="left" w:pos="720"/>
          <w:tab w:val="left" w:pos="1080"/>
        </w:tabs>
        <w:spacing w:line="360" w:lineRule="auto"/>
        <w:ind w:left="0" w:firstLine="0"/>
        <w:rPr>
          <w:rFonts w:hint="eastAsia" w:eastAsia="宋体"/>
          <w:sz w:val="21"/>
          <w:szCs w:val="21"/>
        </w:rPr>
      </w:pPr>
      <w:r>
        <w:rPr>
          <w:rFonts w:hint="eastAsia" w:eastAsia="宋体"/>
          <w:sz w:val="21"/>
          <w:szCs w:val="21"/>
        </w:rPr>
        <w:t xml:space="preserve">征集文件由下述部分组成： </w:t>
      </w:r>
    </w:p>
    <w:p w14:paraId="42804CED">
      <w:pPr>
        <w:pStyle w:val="19"/>
        <w:numPr>
          <w:ilvl w:val="0"/>
          <w:numId w:val="7"/>
        </w:numPr>
        <w:tabs>
          <w:tab w:val="left" w:pos="1080"/>
        </w:tabs>
        <w:spacing w:line="360" w:lineRule="auto"/>
        <w:ind w:left="218" w:leftChars="104" w:firstLine="0"/>
        <w:rPr>
          <w:rFonts w:hint="eastAsia" w:ascii="宋体" w:hAnsi="宋体" w:cs="宋体"/>
          <w:sz w:val="21"/>
          <w:szCs w:val="21"/>
        </w:rPr>
      </w:pPr>
      <w:r>
        <w:rPr>
          <w:rFonts w:hint="eastAsia" w:ascii="宋体" w:hAnsi="宋体" w:cs="宋体"/>
          <w:sz w:val="21"/>
          <w:szCs w:val="21"/>
        </w:rPr>
        <w:t>征集公告</w:t>
      </w:r>
    </w:p>
    <w:p w14:paraId="0775E5A1">
      <w:pPr>
        <w:pStyle w:val="19"/>
        <w:numPr>
          <w:ilvl w:val="0"/>
          <w:numId w:val="7"/>
        </w:numPr>
        <w:tabs>
          <w:tab w:val="left" w:pos="1080"/>
        </w:tabs>
        <w:spacing w:line="360" w:lineRule="auto"/>
        <w:ind w:left="218" w:leftChars="104" w:firstLine="0"/>
        <w:rPr>
          <w:rFonts w:hint="eastAsia" w:ascii="宋体" w:hAnsi="宋体"/>
          <w:sz w:val="21"/>
          <w:szCs w:val="21"/>
        </w:rPr>
      </w:pPr>
      <w:r>
        <w:rPr>
          <w:rFonts w:hint="eastAsia"/>
          <w:sz w:val="21"/>
          <w:szCs w:val="21"/>
        </w:rPr>
        <w:t>供应商</w:t>
      </w:r>
      <w:r>
        <w:rPr>
          <w:rFonts w:hint="eastAsia" w:ascii="宋体" w:hAnsi="宋体"/>
          <w:sz w:val="21"/>
          <w:szCs w:val="21"/>
        </w:rPr>
        <w:t>须知</w:t>
      </w:r>
    </w:p>
    <w:p w14:paraId="304E0FB8">
      <w:pPr>
        <w:pStyle w:val="19"/>
        <w:numPr>
          <w:ilvl w:val="0"/>
          <w:numId w:val="7"/>
        </w:numPr>
        <w:tabs>
          <w:tab w:val="left" w:pos="1080"/>
        </w:tabs>
        <w:spacing w:line="360" w:lineRule="auto"/>
        <w:ind w:left="218" w:leftChars="104" w:firstLine="0"/>
        <w:rPr>
          <w:rFonts w:hint="eastAsia" w:ascii="宋体" w:hAnsi="宋体"/>
          <w:sz w:val="21"/>
          <w:szCs w:val="21"/>
        </w:rPr>
      </w:pPr>
      <w:r>
        <w:rPr>
          <w:rFonts w:hint="eastAsia"/>
          <w:sz w:val="21"/>
          <w:szCs w:val="21"/>
        </w:rPr>
        <w:t>评审方法</w:t>
      </w:r>
    </w:p>
    <w:p w14:paraId="6F2EE238">
      <w:pPr>
        <w:pStyle w:val="19"/>
        <w:numPr>
          <w:ilvl w:val="0"/>
          <w:numId w:val="7"/>
        </w:numPr>
        <w:tabs>
          <w:tab w:val="left" w:pos="1080"/>
        </w:tabs>
        <w:spacing w:line="360" w:lineRule="auto"/>
        <w:ind w:left="218" w:leftChars="104" w:firstLine="0"/>
        <w:rPr>
          <w:rFonts w:hint="eastAsia" w:ascii="宋体" w:hAnsi="宋体"/>
          <w:sz w:val="21"/>
          <w:szCs w:val="21"/>
        </w:rPr>
      </w:pPr>
      <w:r>
        <w:rPr>
          <w:rFonts w:hint="eastAsia" w:ascii="宋体" w:hAnsi="宋体"/>
          <w:sz w:val="21"/>
          <w:szCs w:val="21"/>
          <w:lang w:val="en-US" w:eastAsia="zh-CN"/>
        </w:rPr>
        <w:t>政府采购</w:t>
      </w:r>
      <w:r>
        <w:rPr>
          <w:rFonts w:hint="eastAsia" w:ascii="宋体" w:hAnsi="宋体"/>
          <w:sz w:val="21"/>
          <w:szCs w:val="21"/>
        </w:rPr>
        <w:t>框架协议文本</w:t>
      </w:r>
    </w:p>
    <w:p w14:paraId="4FFAE0C8">
      <w:pPr>
        <w:pStyle w:val="19"/>
        <w:numPr>
          <w:ilvl w:val="0"/>
          <w:numId w:val="7"/>
        </w:numPr>
        <w:tabs>
          <w:tab w:val="left" w:pos="1080"/>
        </w:tabs>
        <w:spacing w:line="360" w:lineRule="auto"/>
        <w:ind w:left="218" w:leftChars="104" w:firstLine="0"/>
        <w:rPr>
          <w:rFonts w:hint="eastAsia" w:ascii="宋体" w:hAnsi="宋体"/>
          <w:sz w:val="21"/>
          <w:szCs w:val="21"/>
        </w:rPr>
      </w:pPr>
      <w:r>
        <w:rPr>
          <w:rFonts w:hint="eastAsia" w:ascii="宋体" w:hAnsi="宋体"/>
          <w:sz w:val="21"/>
          <w:szCs w:val="21"/>
        </w:rPr>
        <w:t>采购</w:t>
      </w:r>
      <w:r>
        <w:rPr>
          <w:rFonts w:hint="eastAsia" w:ascii="宋体" w:hAnsi="宋体"/>
          <w:sz w:val="21"/>
          <w:szCs w:val="21"/>
          <w:lang w:val="en-US" w:eastAsia="zh-CN"/>
        </w:rPr>
        <w:t>项目技术要求</w:t>
      </w:r>
    </w:p>
    <w:p w14:paraId="078D5980">
      <w:pPr>
        <w:pStyle w:val="19"/>
        <w:numPr>
          <w:ilvl w:val="0"/>
          <w:numId w:val="7"/>
        </w:numPr>
        <w:tabs>
          <w:tab w:val="left" w:pos="1080"/>
        </w:tabs>
        <w:spacing w:line="360" w:lineRule="auto"/>
        <w:ind w:left="218" w:leftChars="104" w:firstLine="0"/>
        <w:rPr>
          <w:rFonts w:hint="eastAsia" w:ascii="宋体" w:hAnsi="宋体"/>
          <w:sz w:val="21"/>
          <w:szCs w:val="21"/>
        </w:rPr>
      </w:pPr>
      <w:r>
        <w:rPr>
          <w:rFonts w:hint="eastAsia"/>
          <w:sz w:val="21"/>
          <w:szCs w:val="21"/>
        </w:rPr>
        <w:t>响应文件</w:t>
      </w:r>
      <w:r>
        <w:rPr>
          <w:rFonts w:hint="eastAsia" w:ascii="宋体" w:hAnsi="宋体"/>
          <w:sz w:val="21"/>
          <w:szCs w:val="21"/>
        </w:rPr>
        <w:t>格式</w:t>
      </w:r>
    </w:p>
    <w:p w14:paraId="25AEAE21">
      <w:pPr>
        <w:numPr>
          <w:ilvl w:val="2"/>
          <w:numId w:val="4"/>
        </w:numPr>
        <w:spacing w:line="360" w:lineRule="auto"/>
        <w:ind w:firstLine="420" w:firstLineChars="200"/>
        <w:rPr>
          <w:rFonts w:hint="eastAsia"/>
          <w:b w:val="0"/>
          <w:bCs w:val="0"/>
          <w:color w:val="auto"/>
          <w:szCs w:val="21"/>
        </w:rPr>
      </w:pPr>
      <w:r>
        <w:rPr>
          <w:rFonts w:hint="eastAsia"/>
          <w:szCs w:val="21"/>
        </w:rPr>
        <w:t>供应商应仔细阅读征集文件中供应商须知、拟签订的框架协议条款的所有事项、格式要求和采购</w:t>
      </w:r>
      <w:r>
        <w:rPr>
          <w:rFonts w:hint="eastAsia"/>
          <w:szCs w:val="21"/>
          <w:lang w:val="en-US" w:eastAsia="zh-CN"/>
        </w:rPr>
        <w:t>项目技术要求</w:t>
      </w:r>
      <w:r>
        <w:rPr>
          <w:rFonts w:hint="eastAsia"/>
          <w:szCs w:val="21"/>
        </w:rPr>
        <w:t>，按征集文件的要求提供响应文件，并保证所提供的全部资料的真实性，以使其响应文件对征集文件做出实质性响应，否则，将承担其</w:t>
      </w:r>
      <w:r>
        <w:rPr>
          <w:rFonts w:hint="eastAsia"/>
          <w:b w:val="0"/>
          <w:bCs w:val="0"/>
          <w:color w:val="auto"/>
          <w:szCs w:val="21"/>
        </w:rPr>
        <w:t>响应文件被拒绝或认定为响应文件无效的风险。</w:t>
      </w:r>
    </w:p>
    <w:p w14:paraId="205179A5">
      <w:pPr>
        <w:numPr>
          <w:ilvl w:val="2"/>
          <w:numId w:val="4"/>
        </w:numPr>
        <w:spacing w:line="360" w:lineRule="auto"/>
        <w:ind w:firstLine="420" w:firstLineChars="200"/>
        <w:rPr>
          <w:rFonts w:hint="eastAsia"/>
          <w:szCs w:val="21"/>
        </w:rPr>
      </w:pPr>
      <w:r>
        <w:rPr>
          <w:rFonts w:hint="eastAsia"/>
          <w:szCs w:val="21"/>
        </w:rPr>
        <w:t>供应商制作响应文件时应充分完整理解征集文件的整体要求。</w:t>
      </w:r>
    </w:p>
    <w:p w14:paraId="41236DB7">
      <w:pPr>
        <w:numPr>
          <w:ilvl w:val="2"/>
          <w:numId w:val="4"/>
        </w:numPr>
        <w:spacing w:line="360" w:lineRule="auto"/>
        <w:ind w:firstLine="420" w:firstLineChars="200"/>
        <w:rPr>
          <w:rFonts w:hint="eastAsia"/>
          <w:szCs w:val="21"/>
        </w:rPr>
      </w:pPr>
      <w:r>
        <w:rPr>
          <w:rFonts w:hint="eastAsia"/>
          <w:szCs w:val="21"/>
        </w:rPr>
        <w:t>根据本章第第2.2款和第2.3款对征集文件所做的澄清和修改，构成征集文件的组成部分。</w:t>
      </w:r>
    </w:p>
    <w:p w14:paraId="23E7B252">
      <w:pPr>
        <w:pStyle w:val="4"/>
        <w:numPr>
          <w:ilvl w:val="1"/>
          <w:numId w:val="4"/>
        </w:numPr>
        <w:spacing w:before="0" w:after="0" w:line="360" w:lineRule="auto"/>
        <w:rPr>
          <w:rFonts w:hint="eastAsia"/>
        </w:rPr>
      </w:pPr>
      <w:bookmarkStart w:id="152" w:name="_Toc7860"/>
      <w:bookmarkStart w:id="153" w:name="_Toc19467"/>
      <w:bookmarkStart w:id="154" w:name="_Toc6447"/>
      <w:bookmarkStart w:id="155" w:name="_Toc13997"/>
      <w:bookmarkStart w:id="156" w:name="_Toc74"/>
      <w:bookmarkStart w:id="157" w:name="_Toc18000"/>
      <w:bookmarkStart w:id="158" w:name="_Toc9788"/>
      <w:bookmarkStart w:id="159" w:name="_Toc22595"/>
      <w:bookmarkStart w:id="160" w:name="_Toc8961"/>
      <w:bookmarkStart w:id="161" w:name="_Toc10510"/>
      <w:bookmarkStart w:id="162" w:name="_Toc14335"/>
      <w:bookmarkStart w:id="163" w:name="_Toc32697"/>
      <w:bookmarkStart w:id="164" w:name="_Toc27083"/>
      <w:bookmarkStart w:id="165" w:name="_Toc30758"/>
      <w:r>
        <w:rPr>
          <w:rFonts w:hint="eastAsia"/>
          <w:lang w:eastAsia="zh-CN"/>
        </w:rPr>
        <w:t>征集文件</w:t>
      </w:r>
      <w:r>
        <w:rPr>
          <w:rFonts w:hint="eastAsia"/>
        </w:rPr>
        <w:t>的澄清</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14:paraId="17508056">
      <w:pPr>
        <w:numPr>
          <w:ilvl w:val="2"/>
          <w:numId w:val="4"/>
        </w:numPr>
        <w:spacing w:line="360" w:lineRule="auto"/>
        <w:ind w:firstLine="420" w:firstLineChars="200"/>
        <w:rPr>
          <w:rFonts w:hint="eastAsia"/>
          <w:szCs w:val="21"/>
        </w:rPr>
      </w:pPr>
      <w:r>
        <w:rPr>
          <w:rFonts w:hint="eastAsia"/>
          <w:szCs w:val="21"/>
        </w:rPr>
        <w:t>供应商应仔细阅读和检查征集文件的全部内容。如发现缺页或附件不全，应及时向采购人提出，以便补齐。如有疑问，应按供应商须知前附表规定的时间和形式将提出的问题送达采购人，要求采购人对征集文件予以澄清。</w:t>
      </w:r>
    </w:p>
    <w:p w14:paraId="68B566B5">
      <w:pPr>
        <w:numPr>
          <w:ilvl w:val="2"/>
          <w:numId w:val="4"/>
        </w:numPr>
        <w:spacing w:line="360" w:lineRule="auto"/>
        <w:ind w:firstLine="420" w:firstLineChars="200"/>
        <w:rPr>
          <w:rFonts w:hint="eastAsia"/>
          <w:szCs w:val="21"/>
        </w:rPr>
      </w:pPr>
      <w:r>
        <w:rPr>
          <w:rFonts w:hint="eastAsia"/>
          <w:szCs w:val="21"/>
        </w:rPr>
        <w:t>征集文件的澄清以供应商须知前附表规定的形式发给所有获取征集文件的供应商，同时在原公告媒体发布澄清公告，但不指明澄清问题的来源。澄清发出的时间距本章第4.2.1项规定的响应文件</w:t>
      </w:r>
      <w:r>
        <w:rPr>
          <w:rFonts w:hint="eastAsia"/>
          <w:szCs w:val="21"/>
          <w:lang w:eastAsia="zh-CN"/>
        </w:rPr>
        <w:t>递交</w:t>
      </w:r>
      <w:r>
        <w:rPr>
          <w:rFonts w:hint="eastAsia"/>
          <w:szCs w:val="21"/>
        </w:rPr>
        <w:t>截止时间不足15日的，并且澄清内容可能影响响应文件编制的，将相应延长响应文件</w:t>
      </w:r>
      <w:r>
        <w:rPr>
          <w:rFonts w:hint="eastAsia"/>
          <w:szCs w:val="21"/>
          <w:lang w:eastAsia="zh-CN"/>
        </w:rPr>
        <w:t>递交</w:t>
      </w:r>
      <w:r>
        <w:rPr>
          <w:rFonts w:hint="eastAsia"/>
          <w:szCs w:val="21"/>
        </w:rPr>
        <w:t>截止时间。</w:t>
      </w:r>
    </w:p>
    <w:p w14:paraId="1F0142AE">
      <w:pPr>
        <w:numPr>
          <w:ilvl w:val="2"/>
          <w:numId w:val="4"/>
        </w:numPr>
        <w:spacing w:line="360" w:lineRule="auto"/>
        <w:ind w:firstLine="420" w:firstLineChars="200"/>
        <w:rPr>
          <w:rFonts w:hint="eastAsia"/>
          <w:szCs w:val="21"/>
        </w:rPr>
      </w:pPr>
      <w:r>
        <w:rPr>
          <w:rFonts w:hint="eastAsia"/>
          <w:szCs w:val="21"/>
        </w:rPr>
        <w:t>供应商在收到澄清后，应按供应商须知前附表规定通知采购人，确认已收到该澄清。</w:t>
      </w:r>
    </w:p>
    <w:p w14:paraId="5C4FD943">
      <w:pPr>
        <w:numPr>
          <w:ilvl w:val="2"/>
          <w:numId w:val="4"/>
        </w:numPr>
        <w:spacing w:line="360" w:lineRule="auto"/>
        <w:ind w:firstLine="420" w:firstLineChars="200"/>
        <w:rPr>
          <w:rFonts w:hint="eastAsia"/>
          <w:szCs w:val="21"/>
        </w:rPr>
      </w:pPr>
      <w:r>
        <w:rPr>
          <w:rFonts w:hint="eastAsia"/>
          <w:szCs w:val="21"/>
        </w:rPr>
        <w:t>除非采购人认为确有必要答复，否则，采购人有权拒绝回复供应商在本章第2.2.1项规定的时间后的任何澄清要求。在规定的时间内未提出疑问的，将被视为对征集文件完全认可。</w:t>
      </w:r>
    </w:p>
    <w:p w14:paraId="26FB08C5">
      <w:pPr>
        <w:pStyle w:val="4"/>
        <w:numPr>
          <w:ilvl w:val="1"/>
          <w:numId w:val="4"/>
        </w:numPr>
        <w:spacing w:before="0" w:after="0" w:line="360" w:lineRule="auto"/>
        <w:rPr>
          <w:rFonts w:hint="eastAsia"/>
        </w:rPr>
      </w:pPr>
      <w:bookmarkStart w:id="166" w:name="_Toc28275"/>
      <w:bookmarkStart w:id="167" w:name="_Toc24423"/>
      <w:bookmarkStart w:id="168" w:name="_Toc11254"/>
      <w:bookmarkStart w:id="169" w:name="_Toc16407"/>
      <w:bookmarkStart w:id="170" w:name="_Toc17409"/>
      <w:bookmarkStart w:id="171" w:name="_Toc32016"/>
      <w:bookmarkStart w:id="172" w:name="_Toc21606"/>
      <w:bookmarkStart w:id="173" w:name="_Toc17581"/>
      <w:bookmarkStart w:id="174" w:name="_Toc7881"/>
      <w:bookmarkStart w:id="175" w:name="_Toc15286"/>
      <w:bookmarkStart w:id="176" w:name="_Toc32645"/>
      <w:bookmarkStart w:id="177" w:name="_Toc23306"/>
      <w:bookmarkStart w:id="178" w:name="_Toc21811"/>
      <w:bookmarkStart w:id="179" w:name="_Toc24"/>
      <w:r>
        <w:rPr>
          <w:rFonts w:hint="eastAsia"/>
          <w:lang w:eastAsia="zh-CN"/>
        </w:rPr>
        <w:t>征集文件</w:t>
      </w:r>
      <w:r>
        <w:rPr>
          <w:rFonts w:hint="eastAsia"/>
        </w:rPr>
        <w:t>的修改</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55072421">
      <w:pPr>
        <w:numPr>
          <w:ilvl w:val="2"/>
          <w:numId w:val="4"/>
        </w:numPr>
        <w:spacing w:line="360" w:lineRule="auto"/>
        <w:ind w:firstLine="420" w:firstLineChars="200"/>
        <w:rPr>
          <w:rFonts w:hint="eastAsia"/>
          <w:szCs w:val="21"/>
        </w:rPr>
      </w:pPr>
      <w:r>
        <w:rPr>
          <w:rFonts w:hint="eastAsia"/>
          <w:szCs w:val="21"/>
        </w:rPr>
        <w:t>采购人或者采购代理机构可以对已发出的征集文件进行必要的修改，但不得改变采购标的和资格条件，修改的内容为征集文件的组成部分。</w:t>
      </w:r>
    </w:p>
    <w:p w14:paraId="19EFE9E0">
      <w:pPr>
        <w:numPr>
          <w:ilvl w:val="2"/>
          <w:numId w:val="4"/>
        </w:numPr>
        <w:spacing w:line="360" w:lineRule="auto"/>
        <w:ind w:firstLine="420" w:firstLineChars="200"/>
        <w:rPr>
          <w:rFonts w:hint="eastAsia"/>
          <w:szCs w:val="21"/>
        </w:rPr>
      </w:pPr>
      <w:r>
        <w:rPr>
          <w:rFonts w:hint="eastAsia"/>
          <w:szCs w:val="21"/>
        </w:rPr>
        <w:t>采购人或采购代理机构以供应商须知前附表规定的形式修改征集文件，在原公告媒介发布变更公告。修改征集文件的时间距本章第4.2.1项规定的响应文件</w:t>
      </w:r>
      <w:r>
        <w:rPr>
          <w:rFonts w:hint="eastAsia"/>
          <w:szCs w:val="21"/>
          <w:lang w:eastAsia="zh-CN"/>
        </w:rPr>
        <w:t>递交</w:t>
      </w:r>
      <w:r>
        <w:rPr>
          <w:rFonts w:hint="eastAsia"/>
          <w:szCs w:val="21"/>
        </w:rPr>
        <w:t>截止时间不足15日的，并且修改内容可能影响响应文件编制的，将相应延长响应文件</w:t>
      </w:r>
      <w:r>
        <w:rPr>
          <w:rFonts w:hint="eastAsia"/>
          <w:szCs w:val="21"/>
          <w:lang w:eastAsia="zh-CN"/>
        </w:rPr>
        <w:t>递交</w:t>
      </w:r>
      <w:r>
        <w:rPr>
          <w:rFonts w:hint="eastAsia"/>
          <w:szCs w:val="21"/>
        </w:rPr>
        <w:t>截止时间。</w:t>
      </w:r>
    </w:p>
    <w:p w14:paraId="34E29E8E">
      <w:pPr>
        <w:numPr>
          <w:ilvl w:val="2"/>
          <w:numId w:val="4"/>
        </w:numPr>
        <w:spacing w:line="360" w:lineRule="auto"/>
        <w:ind w:firstLine="420" w:firstLineChars="200"/>
        <w:rPr>
          <w:rFonts w:hint="eastAsia"/>
          <w:szCs w:val="21"/>
        </w:rPr>
      </w:pPr>
      <w:r>
        <w:rPr>
          <w:rFonts w:hint="eastAsia"/>
          <w:szCs w:val="21"/>
        </w:rPr>
        <w:t>供应商收到修改内容后，应在投标人须知前附表规定的时间内以书面形式通知</w:t>
      </w:r>
      <w:r>
        <w:rPr>
          <w:rFonts w:hint="eastAsia"/>
          <w:szCs w:val="21"/>
          <w:lang w:val="en-US" w:eastAsia="zh-CN"/>
        </w:rPr>
        <w:t>采购</w:t>
      </w:r>
      <w:r>
        <w:rPr>
          <w:rFonts w:hint="eastAsia"/>
          <w:szCs w:val="21"/>
        </w:rPr>
        <w:t>人，确认已收到该澄清。</w:t>
      </w:r>
    </w:p>
    <w:p w14:paraId="3804AC66">
      <w:pPr>
        <w:pStyle w:val="3"/>
        <w:numPr>
          <w:ilvl w:val="0"/>
          <w:numId w:val="4"/>
        </w:numPr>
        <w:tabs>
          <w:tab w:val="left" w:pos="721"/>
          <w:tab w:val="left" w:pos="2880"/>
          <w:tab w:val="left" w:pos="3780"/>
        </w:tabs>
        <w:spacing w:before="0" w:after="0" w:line="360" w:lineRule="auto"/>
        <w:ind w:left="0" w:firstLine="0"/>
        <w:jc w:val="both"/>
        <w:rPr>
          <w:rFonts w:hint="eastAsia" w:ascii="宋体" w:hAnsi="宋体" w:eastAsia="宋体"/>
          <w:sz w:val="24"/>
          <w:szCs w:val="24"/>
          <w:lang w:val="en-US" w:eastAsia="zh-CN"/>
        </w:rPr>
      </w:pPr>
      <w:bookmarkStart w:id="180" w:name="_Toc26672"/>
      <w:r>
        <w:rPr>
          <w:rFonts w:hint="eastAsia" w:ascii="宋体" w:hAnsi="宋体" w:eastAsia="宋体"/>
          <w:sz w:val="24"/>
          <w:szCs w:val="24"/>
          <w:lang w:val="en-US" w:eastAsia="zh-CN"/>
        </w:rPr>
        <w:t>响应文件</w:t>
      </w:r>
      <w:bookmarkEnd w:id="180"/>
    </w:p>
    <w:p w14:paraId="0D6670B0">
      <w:pPr>
        <w:pStyle w:val="4"/>
        <w:numPr>
          <w:ilvl w:val="1"/>
          <w:numId w:val="4"/>
        </w:numPr>
        <w:spacing w:before="0" w:after="0" w:line="360" w:lineRule="auto"/>
        <w:rPr>
          <w:rFonts w:hint="eastAsia"/>
        </w:rPr>
      </w:pPr>
      <w:bookmarkStart w:id="181" w:name="_Toc23403"/>
      <w:bookmarkStart w:id="182" w:name="_Toc31836"/>
      <w:bookmarkStart w:id="183" w:name="_Toc29160"/>
      <w:bookmarkStart w:id="184" w:name="_Toc21684"/>
      <w:bookmarkStart w:id="185" w:name="_Toc13530"/>
      <w:bookmarkStart w:id="186" w:name="_Toc19774"/>
      <w:bookmarkStart w:id="187" w:name="_Toc2931"/>
      <w:bookmarkStart w:id="188" w:name="_Toc27918"/>
      <w:bookmarkStart w:id="189" w:name="_Toc26694"/>
      <w:bookmarkStart w:id="190" w:name="_Toc11643"/>
      <w:bookmarkStart w:id="191" w:name="_Toc29146"/>
      <w:bookmarkStart w:id="192" w:name="_Toc10184"/>
      <w:bookmarkStart w:id="193" w:name="_Toc16815"/>
      <w:bookmarkStart w:id="194" w:name="_Toc6052"/>
      <w:r>
        <w:rPr>
          <w:rFonts w:hint="eastAsia"/>
          <w:lang w:eastAsia="zh-CN"/>
        </w:rPr>
        <w:t>响应文件</w:t>
      </w:r>
      <w:r>
        <w:rPr>
          <w:rFonts w:hint="eastAsia"/>
        </w:rPr>
        <w:t>的组成</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14:paraId="67398842">
      <w:pPr>
        <w:numPr>
          <w:ilvl w:val="2"/>
          <w:numId w:val="4"/>
        </w:numPr>
        <w:spacing w:line="360" w:lineRule="auto"/>
        <w:ind w:firstLine="420" w:firstLineChars="200"/>
        <w:rPr>
          <w:rFonts w:hint="eastAsia"/>
          <w:szCs w:val="21"/>
        </w:rPr>
      </w:pPr>
      <w:r>
        <w:rPr>
          <w:rFonts w:hint="eastAsia"/>
          <w:szCs w:val="21"/>
        </w:rPr>
        <w:t>响应文件包括下列部分：</w:t>
      </w:r>
    </w:p>
    <w:p w14:paraId="7D119192">
      <w:pPr>
        <w:tabs>
          <w:tab w:val="left" w:pos="510"/>
          <w:tab w:val="left" w:pos="686"/>
        </w:tabs>
        <w:spacing w:line="360" w:lineRule="auto"/>
        <w:ind w:firstLine="420" w:firstLineChars="200"/>
        <w:rPr>
          <w:rFonts w:hint="eastAsia" w:cs="微软雅黑"/>
          <w:kern w:val="0"/>
          <w:szCs w:val="21"/>
        </w:rPr>
      </w:pPr>
      <w:r>
        <w:rPr>
          <w:rFonts w:hint="eastAsia"/>
          <w:szCs w:val="21"/>
        </w:rPr>
        <w:t>响应文件资格审查文件册组成：</w:t>
      </w:r>
      <w:r>
        <w:rPr>
          <w:rFonts w:hint="eastAsia" w:cs="微软雅黑"/>
          <w:kern w:val="0"/>
          <w:szCs w:val="21"/>
        </w:rPr>
        <w:t>详见“第六章 响应文件格式”</w:t>
      </w:r>
    </w:p>
    <w:p w14:paraId="1F601B96">
      <w:pPr>
        <w:numPr>
          <w:ilvl w:val="2"/>
          <w:numId w:val="4"/>
        </w:numPr>
        <w:spacing w:line="360" w:lineRule="auto"/>
        <w:ind w:firstLine="420" w:firstLineChars="200"/>
        <w:rPr>
          <w:rFonts w:hint="eastAsia"/>
          <w:szCs w:val="21"/>
        </w:rPr>
      </w:pPr>
      <w:r>
        <w:rPr>
          <w:rFonts w:hint="eastAsia"/>
          <w:szCs w:val="21"/>
        </w:rPr>
        <w:t>响应文件应与征集文件的响应文件格式次序一一对应。</w:t>
      </w:r>
    </w:p>
    <w:p w14:paraId="156172D0">
      <w:pPr>
        <w:numPr>
          <w:ilvl w:val="2"/>
          <w:numId w:val="4"/>
        </w:numPr>
        <w:spacing w:line="360" w:lineRule="auto"/>
        <w:ind w:firstLine="420" w:firstLineChars="200"/>
        <w:rPr>
          <w:rFonts w:hint="eastAsia"/>
          <w:szCs w:val="21"/>
        </w:rPr>
      </w:pPr>
      <w:r>
        <w:rPr>
          <w:rFonts w:hint="eastAsia"/>
          <w:szCs w:val="21"/>
        </w:rPr>
        <w:t>征集文件中的每个分包，是项目不可拆分的最小单元，供应商必须按此分包编制响应文件，</w:t>
      </w:r>
      <w:r>
        <w:rPr>
          <w:rFonts w:hint="eastAsia"/>
          <w:szCs w:val="21"/>
          <w:lang w:eastAsia="zh-CN"/>
        </w:rPr>
        <w:t>递交</w:t>
      </w:r>
      <w:r>
        <w:rPr>
          <w:rFonts w:hint="eastAsia"/>
          <w:szCs w:val="21"/>
        </w:rPr>
        <w:t>相应的文件资料，拆包将视为漏项或非实质性响应予以认定为</w:t>
      </w:r>
      <w:r>
        <w:rPr>
          <w:rFonts w:hint="eastAsia"/>
          <w:b w:val="0"/>
          <w:bCs w:val="0"/>
          <w:szCs w:val="21"/>
        </w:rPr>
        <w:t>响应文件无效。</w:t>
      </w:r>
    </w:p>
    <w:p w14:paraId="422C3283">
      <w:pPr>
        <w:pStyle w:val="4"/>
        <w:numPr>
          <w:ilvl w:val="1"/>
          <w:numId w:val="4"/>
        </w:numPr>
        <w:spacing w:before="0" w:after="0" w:line="360" w:lineRule="auto"/>
        <w:rPr>
          <w:rFonts w:hint="eastAsia" w:ascii="宋体" w:hAnsi="宋体" w:eastAsia="宋体" w:cs="宋体"/>
          <w:szCs w:val="21"/>
          <w:lang w:eastAsia="zh-CN"/>
        </w:rPr>
      </w:pPr>
      <w:bookmarkStart w:id="195" w:name="_Toc3579"/>
      <w:bookmarkStart w:id="196" w:name="_Toc22626"/>
      <w:bookmarkStart w:id="197" w:name="_Toc11558"/>
      <w:bookmarkStart w:id="198" w:name="_Toc13250"/>
      <w:bookmarkStart w:id="199" w:name="_Toc28359"/>
      <w:bookmarkStart w:id="200" w:name="_Toc3735"/>
      <w:bookmarkStart w:id="201" w:name="_Toc6676"/>
      <w:bookmarkStart w:id="202" w:name="_Toc16658"/>
      <w:bookmarkStart w:id="203" w:name="_Toc13045"/>
      <w:bookmarkStart w:id="204" w:name="_Toc32649"/>
      <w:bookmarkStart w:id="205" w:name="_Toc6819"/>
      <w:bookmarkStart w:id="206" w:name="_Toc4954"/>
      <w:bookmarkStart w:id="207" w:name="_Toc780"/>
      <w:bookmarkStart w:id="208" w:name="_Toc470"/>
      <w:r>
        <w:rPr>
          <w:rFonts w:hint="eastAsia"/>
          <w:lang w:eastAsia="zh-CN"/>
        </w:rPr>
        <w:t>响应</w:t>
      </w:r>
      <w:r>
        <w:rPr>
          <w:rFonts w:hint="eastAsia"/>
        </w:rPr>
        <w:t>报价</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Start w:id="209" w:name="_Toc27886"/>
      <w:bookmarkStart w:id="210" w:name="_Toc26284"/>
      <w:r>
        <w:rPr>
          <w:rFonts w:hint="eastAsia" w:ascii="宋体" w:hAnsi="宋体" w:eastAsia="宋体" w:cs="宋体"/>
          <w:szCs w:val="21"/>
          <w:lang w:val="en-US" w:eastAsia="zh-CN"/>
        </w:rPr>
        <w:t xml:space="preserve"> </w:t>
      </w:r>
    </w:p>
    <w:p w14:paraId="2D7FFA52">
      <w:pPr>
        <w:numPr>
          <w:ilvl w:val="2"/>
          <w:numId w:val="4"/>
        </w:numPr>
        <w:spacing w:line="360" w:lineRule="auto"/>
        <w:ind w:firstLine="420" w:firstLineChars="200"/>
        <w:rPr>
          <w:rFonts w:hint="eastAsia" w:ascii="宋体" w:hAnsi="宋体" w:eastAsia="宋体" w:cs="宋体"/>
          <w:szCs w:val="21"/>
          <w:lang w:val="en-US" w:eastAsia="zh-CN"/>
        </w:rPr>
      </w:pPr>
      <w:r>
        <w:rPr>
          <w:rFonts w:hint="eastAsia" w:cs="宋体"/>
          <w:szCs w:val="21"/>
          <w:lang w:val="en-US" w:eastAsia="zh-CN"/>
        </w:rPr>
        <w:t>供应商的</w:t>
      </w:r>
      <w:r>
        <w:rPr>
          <w:rFonts w:hint="eastAsia" w:ascii="宋体" w:hAnsi="宋体" w:eastAsia="宋体" w:cs="宋体"/>
          <w:szCs w:val="21"/>
          <w:lang w:val="en-US" w:eastAsia="zh-CN"/>
        </w:rPr>
        <w:t>结算单价以“交通设施维修项目清单”给出的单价乘以中标费率为准，据实</w:t>
      </w:r>
      <w:r>
        <w:rPr>
          <w:rFonts w:hint="eastAsia" w:cs="宋体"/>
          <w:szCs w:val="21"/>
          <w:lang w:val="en-US" w:eastAsia="zh-CN"/>
        </w:rPr>
        <w:t>结算。</w:t>
      </w:r>
      <w:r>
        <w:rPr>
          <w:rFonts w:hint="eastAsia" w:cs="宋体"/>
          <w:szCs w:val="21"/>
          <w:lang w:val="en-US" w:eastAsia="zh-CN"/>
        </w:rPr>
        <w:tab/>
      </w:r>
    </w:p>
    <w:p w14:paraId="66046820">
      <w:pPr>
        <w:numPr>
          <w:ilvl w:val="2"/>
          <w:numId w:val="4"/>
        </w:numPr>
        <w:spacing w:line="360" w:lineRule="auto"/>
        <w:ind w:firstLine="420" w:firstLineChars="200"/>
        <w:rPr>
          <w:rFonts w:hint="eastAsia" w:ascii="宋体" w:hAnsi="宋体" w:eastAsia="宋体" w:cs="宋体"/>
          <w:szCs w:val="21"/>
          <w:lang w:eastAsia="zh-CN"/>
        </w:rPr>
      </w:pPr>
      <w:r>
        <w:rPr>
          <w:rFonts w:hint="eastAsia" w:cs="宋体"/>
          <w:szCs w:val="21"/>
          <w:lang w:val="en-US" w:eastAsia="zh-CN"/>
        </w:rPr>
        <w:t>响应报价</w:t>
      </w:r>
      <w:r>
        <w:rPr>
          <w:rFonts w:hint="eastAsia" w:ascii="宋体" w:hAnsi="宋体" w:eastAsia="宋体" w:cs="宋体"/>
          <w:szCs w:val="21"/>
          <w:lang w:val="en-US" w:eastAsia="zh-CN"/>
        </w:rPr>
        <w:t>应完全包括完成采购人指定的项目服务内容</w:t>
      </w:r>
      <w:r>
        <w:rPr>
          <w:rFonts w:hint="eastAsia" w:cs="宋体"/>
          <w:szCs w:val="21"/>
          <w:lang w:val="en-US" w:eastAsia="zh-CN"/>
        </w:rPr>
        <w:t>的</w:t>
      </w:r>
      <w:r>
        <w:rPr>
          <w:rFonts w:hint="eastAsia" w:ascii="宋体" w:hAnsi="宋体" w:eastAsia="宋体" w:cs="宋体"/>
          <w:szCs w:val="21"/>
          <w:lang w:val="en-US" w:eastAsia="zh-CN"/>
        </w:rPr>
        <w:t>所有费用，采购人不再支付其他任何费用。</w:t>
      </w:r>
    </w:p>
    <w:p w14:paraId="1F9D4324">
      <w:pPr>
        <w:pStyle w:val="4"/>
        <w:numPr>
          <w:ilvl w:val="1"/>
          <w:numId w:val="4"/>
        </w:numPr>
        <w:spacing w:before="0" w:after="0" w:line="360" w:lineRule="auto"/>
        <w:rPr>
          <w:rFonts w:hint="eastAsia" w:cs="宋体"/>
          <w:lang w:eastAsia="zh-CN"/>
        </w:rPr>
      </w:pPr>
      <w:bookmarkStart w:id="211" w:name="_Toc29976"/>
      <w:bookmarkStart w:id="212" w:name="_Toc29152"/>
      <w:r>
        <w:rPr>
          <w:rFonts w:hint="eastAsia" w:cs="宋体"/>
          <w:lang w:eastAsia="zh-CN"/>
        </w:rPr>
        <w:t>响应文件有效期</w:t>
      </w:r>
      <w:bookmarkEnd w:id="209"/>
      <w:bookmarkEnd w:id="210"/>
      <w:bookmarkEnd w:id="211"/>
      <w:bookmarkEnd w:id="212"/>
    </w:p>
    <w:p w14:paraId="14CF81AE">
      <w:pPr>
        <w:numPr>
          <w:ilvl w:val="2"/>
          <w:numId w:val="4"/>
        </w:numPr>
        <w:spacing w:line="360" w:lineRule="auto"/>
        <w:ind w:firstLine="420" w:firstLineChars="200"/>
        <w:rPr>
          <w:rFonts w:hint="eastAsia"/>
          <w:szCs w:val="21"/>
        </w:rPr>
      </w:pPr>
      <w:bookmarkStart w:id="213" w:name="_Toc3318"/>
      <w:bookmarkStart w:id="214" w:name="_Toc9648"/>
      <w:bookmarkStart w:id="215" w:name="_Toc10542"/>
      <w:bookmarkStart w:id="216" w:name="_Toc30836"/>
      <w:bookmarkStart w:id="217" w:name="_Toc7916"/>
      <w:bookmarkStart w:id="218" w:name="_Toc26367"/>
      <w:bookmarkStart w:id="219" w:name="_Toc22106"/>
      <w:bookmarkStart w:id="220" w:name="_Toc724"/>
      <w:bookmarkStart w:id="221" w:name="_Toc24295"/>
      <w:bookmarkStart w:id="222" w:name="_Toc24684"/>
      <w:bookmarkStart w:id="223" w:name="_Toc13400"/>
      <w:bookmarkStart w:id="224" w:name="_Toc4082"/>
      <w:r>
        <w:rPr>
          <w:rFonts w:hint="eastAsia"/>
          <w:szCs w:val="21"/>
        </w:rPr>
        <w:t>响应文件有效期见供应商须知前附表，从</w:t>
      </w:r>
      <w:r>
        <w:rPr>
          <w:rFonts w:hint="eastAsia"/>
          <w:szCs w:val="21"/>
          <w:lang w:eastAsia="zh-CN"/>
        </w:rPr>
        <w:t>递交</w:t>
      </w:r>
      <w:r>
        <w:rPr>
          <w:rFonts w:hint="eastAsia"/>
          <w:szCs w:val="21"/>
        </w:rPr>
        <w:t>响应文件的截止之日起算。响应文件有效期内供应商不得撤销响应文件。</w:t>
      </w:r>
    </w:p>
    <w:p w14:paraId="15A87096">
      <w:pPr>
        <w:numPr>
          <w:ilvl w:val="2"/>
          <w:numId w:val="4"/>
        </w:numPr>
        <w:spacing w:line="360" w:lineRule="auto"/>
        <w:ind w:firstLine="420" w:firstLineChars="200"/>
        <w:rPr>
          <w:rFonts w:hint="eastAsia"/>
          <w:szCs w:val="21"/>
        </w:rPr>
      </w:pPr>
      <w:r>
        <w:rPr>
          <w:rFonts w:hint="eastAsia"/>
          <w:szCs w:val="21"/>
        </w:rPr>
        <w:t>响应文件应自</w:t>
      </w:r>
      <w:r>
        <w:rPr>
          <w:rFonts w:hint="eastAsia"/>
          <w:szCs w:val="21"/>
          <w:lang w:eastAsia="zh-CN"/>
        </w:rPr>
        <w:t>递交</w:t>
      </w:r>
      <w:r>
        <w:rPr>
          <w:rFonts w:hint="eastAsia"/>
          <w:szCs w:val="21"/>
        </w:rPr>
        <w:t>响应文件的截止之日起，在供应商须知前附表规定的时间内保持有效。响应文件有效期不足的将被视为未响应而予以拒绝。</w:t>
      </w:r>
    </w:p>
    <w:p w14:paraId="047121C6">
      <w:pPr>
        <w:numPr>
          <w:ilvl w:val="2"/>
          <w:numId w:val="4"/>
        </w:numPr>
        <w:spacing w:line="360" w:lineRule="auto"/>
        <w:ind w:firstLine="420" w:firstLineChars="200"/>
        <w:rPr>
          <w:rFonts w:hint="eastAsia"/>
          <w:szCs w:val="21"/>
        </w:rPr>
      </w:pPr>
      <w:r>
        <w:rPr>
          <w:rFonts w:hint="eastAsia"/>
          <w:szCs w:val="21"/>
        </w:rPr>
        <w:t>在特殊情况下，在原响应文件有效期截止之前，采购人和采购代理机构可征求供应商同意延长响应文件有效期。这种要求与答复均应以书面形式提交。供应商可以拒绝这种要求。同意延期的供应商将不会被要求也不允许修改其响应文件。</w:t>
      </w:r>
    </w:p>
    <w:p w14:paraId="74B03690">
      <w:pPr>
        <w:pStyle w:val="4"/>
        <w:numPr>
          <w:ilvl w:val="1"/>
          <w:numId w:val="4"/>
        </w:numPr>
        <w:spacing w:before="0" w:after="0" w:line="360" w:lineRule="auto"/>
        <w:rPr>
          <w:rFonts w:hint="eastAsia"/>
        </w:rPr>
      </w:pPr>
      <w:bookmarkStart w:id="225" w:name="_Toc2680"/>
      <w:bookmarkStart w:id="226" w:name="_Toc6614"/>
      <w:r>
        <w:rPr>
          <w:rFonts w:hint="eastAsia"/>
          <w:lang w:eastAsia="zh-CN"/>
        </w:rPr>
        <w:t>入围</w:t>
      </w:r>
      <w:r>
        <w:rPr>
          <w:rFonts w:hint="eastAsia"/>
        </w:rPr>
        <w:t>保证金</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20E0D807">
      <w:pPr>
        <w:spacing w:line="360" w:lineRule="auto"/>
        <w:ind w:left="420" w:leftChars="200"/>
        <w:rPr>
          <w:rFonts w:hint="eastAsia"/>
        </w:rPr>
      </w:pPr>
      <w:bookmarkStart w:id="227" w:name="_Toc27644"/>
      <w:bookmarkStart w:id="228" w:name="_Toc27911"/>
      <w:bookmarkStart w:id="229" w:name="_Toc10853"/>
      <w:bookmarkStart w:id="230" w:name="_Toc7411"/>
      <w:bookmarkStart w:id="231" w:name="_Toc10698"/>
      <w:bookmarkStart w:id="232" w:name="_Toc18654"/>
      <w:bookmarkStart w:id="233" w:name="_Toc28591"/>
      <w:bookmarkStart w:id="234" w:name="_Toc1022"/>
      <w:bookmarkStart w:id="235" w:name="_Toc30729"/>
      <w:bookmarkStart w:id="236" w:name="_Toc24091"/>
      <w:r>
        <w:rPr>
          <w:rFonts w:hint="eastAsia"/>
          <w:szCs w:val="21"/>
        </w:rPr>
        <w:t>本次征集不收取入围保证金。</w:t>
      </w:r>
      <w:bookmarkEnd w:id="227"/>
      <w:bookmarkEnd w:id="228"/>
      <w:bookmarkEnd w:id="229"/>
      <w:bookmarkEnd w:id="230"/>
      <w:bookmarkEnd w:id="231"/>
      <w:bookmarkEnd w:id="232"/>
      <w:bookmarkEnd w:id="233"/>
      <w:bookmarkEnd w:id="234"/>
      <w:bookmarkEnd w:id="235"/>
      <w:bookmarkEnd w:id="236"/>
    </w:p>
    <w:p w14:paraId="3192D3A6">
      <w:pPr>
        <w:pStyle w:val="4"/>
        <w:numPr>
          <w:ilvl w:val="1"/>
          <w:numId w:val="4"/>
        </w:numPr>
        <w:spacing w:before="0" w:after="0" w:line="360" w:lineRule="auto"/>
        <w:rPr>
          <w:rFonts w:hint="eastAsia"/>
        </w:rPr>
      </w:pPr>
      <w:bookmarkStart w:id="237" w:name="_Toc23864"/>
      <w:bookmarkStart w:id="238" w:name="_Toc11716"/>
      <w:bookmarkStart w:id="239" w:name="_Toc691"/>
      <w:bookmarkStart w:id="240" w:name="_Toc19227"/>
      <w:bookmarkStart w:id="241" w:name="_Toc8364"/>
      <w:bookmarkStart w:id="242" w:name="_Toc32562"/>
      <w:bookmarkStart w:id="243" w:name="_Toc12331"/>
      <w:bookmarkStart w:id="244" w:name="_Toc12326"/>
      <w:bookmarkStart w:id="245" w:name="_Toc21072"/>
      <w:bookmarkStart w:id="246" w:name="_Toc4099"/>
      <w:bookmarkStart w:id="247" w:name="_Toc27342"/>
      <w:bookmarkStart w:id="248" w:name="_Toc2428"/>
      <w:bookmarkStart w:id="249" w:name="_Toc21671"/>
      <w:bookmarkStart w:id="250" w:name="_Toc30724"/>
      <w:r>
        <w:rPr>
          <w:rFonts w:hint="eastAsia"/>
          <w:lang w:eastAsia="zh-CN"/>
        </w:rPr>
        <w:t>供应商</w:t>
      </w:r>
      <w:r>
        <w:rPr>
          <w:rFonts w:hint="eastAsia"/>
        </w:rPr>
        <w:t>资格的证明文件</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14:paraId="5A39FFFB">
      <w:pPr>
        <w:spacing w:line="360" w:lineRule="auto"/>
        <w:ind w:firstLine="420" w:firstLineChars="200"/>
        <w:rPr>
          <w:rFonts w:hint="eastAsia"/>
          <w:szCs w:val="21"/>
        </w:rPr>
      </w:pPr>
      <w:r>
        <w:rPr>
          <w:rFonts w:hint="eastAsia"/>
          <w:szCs w:val="21"/>
        </w:rPr>
        <w:t>依据供应商须知前附表中的要求</w:t>
      </w:r>
      <w:r>
        <w:rPr>
          <w:rFonts w:hint="eastAsia"/>
          <w:szCs w:val="21"/>
          <w:lang w:eastAsia="zh-CN"/>
        </w:rPr>
        <w:t>递交</w:t>
      </w:r>
      <w:r>
        <w:rPr>
          <w:rFonts w:hint="eastAsia"/>
          <w:szCs w:val="21"/>
        </w:rPr>
        <w:t>相应的资格证明文件，作为响应文件的一部分，以证明其有资格进行响应和有能力履行合同。</w:t>
      </w:r>
    </w:p>
    <w:p w14:paraId="1299051B">
      <w:pPr>
        <w:pStyle w:val="4"/>
        <w:numPr>
          <w:ilvl w:val="1"/>
          <w:numId w:val="4"/>
        </w:numPr>
        <w:spacing w:before="0" w:after="0" w:line="360" w:lineRule="auto"/>
        <w:rPr>
          <w:rFonts w:hint="eastAsia"/>
        </w:rPr>
      </w:pPr>
      <w:bookmarkStart w:id="251" w:name="_Toc738"/>
      <w:bookmarkStart w:id="252" w:name="_Toc14789"/>
      <w:bookmarkStart w:id="253" w:name="_Toc31597"/>
      <w:bookmarkStart w:id="254" w:name="_Toc20231"/>
      <w:bookmarkStart w:id="255" w:name="_Toc30938"/>
      <w:bookmarkStart w:id="256" w:name="_Toc30598"/>
      <w:bookmarkStart w:id="257" w:name="_Toc26554"/>
      <w:bookmarkStart w:id="258" w:name="_Toc18317"/>
      <w:bookmarkStart w:id="259" w:name="_Toc5379"/>
      <w:bookmarkStart w:id="260" w:name="_Toc26788"/>
      <w:bookmarkStart w:id="261" w:name="_Toc23248"/>
      <w:bookmarkStart w:id="262" w:name="_Toc9806"/>
      <w:bookmarkStart w:id="263" w:name="_Toc6618"/>
      <w:bookmarkStart w:id="264" w:name="_Toc4607"/>
      <w:r>
        <w:rPr>
          <w:rFonts w:hint="eastAsia"/>
          <w:lang w:eastAsia="zh-CN"/>
        </w:rPr>
        <w:t>供应商</w:t>
      </w:r>
      <w:r>
        <w:rPr>
          <w:rFonts w:hint="eastAsia"/>
        </w:rPr>
        <w:t>技术</w:t>
      </w:r>
      <w:r>
        <w:rPr>
          <w:rFonts w:hint="eastAsia"/>
          <w:lang w:eastAsia="zh-CN"/>
        </w:rPr>
        <w:t>证明文</w:t>
      </w:r>
      <w:r>
        <w:rPr>
          <w:rFonts w:hint="eastAsia"/>
        </w:rPr>
        <w:t>件</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69336A35">
      <w:pPr>
        <w:numPr>
          <w:ilvl w:val="2"/>
          <w:numId w:val="4"/>
        </w:numPr>
        <w:spacing w:line="360" w:lineRule="auto"/>
        <w:ind w:firstLine="420" w:firstLineChars="200"/>
        <w:rPr>
          <w:rFonts w:hint="eastAsia"/>
          <w:szCs w:val="21"/>
          <w:highlight w:val="none"/>
        </w:rPr>
      </w:pPr>
      <w:bookmarkStart w:id="265" w:name="_Toc24210"/>
      <w:bookmarkStart w:id="266" w:name="_Toc32415"/>
      <w:bookmarkStart w:id="267" w:name="_Toc7496"/>
      <w:bookmarkStart w:id="268" w:name="_Toc20415"/>
      <w:bookmarkStart w:id="269" w:name="_Toc11578"/>
      <w:bookmarkStart w:id="270" w:name="_Toc27143"/>
      <w:bookmarkStart w:id="271" w:name="_Toc21050"/>
      <w:bookmarkStart w:id="272" w:name="_Toc10019"/>
      <w:bookmarkStart w:id="273" w:name="_Toc25186"/>
      <w:bookmarkStart w:id="274" w:name="_Toc3838"/>
      <w:bookmarkStart w:id="275" w:name="_Toc630"/>
      <w:bookmarkStart w:id="276" w:name="_Toc10867"/>
      <w:r>
        <w:rPr>
          <w:rFonts w:hint="eastAsia"/>
          <w:szCs w:val="21"/>
          <w:highlight w:val="none"/>
          <w:shd w:val="clear" w:color="auto" w:fill="FFFFFF"/>
        </w:rPr>
        <w:t>供应商响应的服务的技术</w:t>
      </w:r>
      <w:r>
        <w:rPr>
          <w:rFonts w:hint="eastAsia"/>
          <w:szCs w:val="21"/>
          <w:highlight w:val="none"/>
          <w:shd w:val="clear" w:color="auto" w:fill="FFFFFF"/>
          <w:lang w:val="en-US" w:eastAsia="zh-CN"/>
        </w:rPr>
        <w:t>标准需满足</w:t>
      </w:r>
      <w:r>
        <w:rPr>
          <w:rFonts w:hint="eastAsia"/>
          <w:szCs w:val="21"/>
          <w:highlight w:val="none"/>
          <w:shd w:val="clear" w:color="auto" w:fill="FFFFFF"/>
        </w:rPr>
        <w:t>采购</w:t>
      </w:r>
      <w:r>
        <w:rPr>
          <w:rFonts w:hint="eastAsia"/>
          <w:szCs w:val="21"/>
          <w:highlight w:val="none"/>
          <w:shd w:val="clear" w:color="auto" w:fill="FFFFFF"/>
          <w:lang w:val="en-US" w:eastAsia="zh-CN"/>
        </w:rPr>
        <w:t>项目技术要求</w:t>
      </w:r>
      <w:r>
        <w:rPr>
          <w:rFonts w:hint="eastAsia"/>
          <w:szCs w:val="21"/>
          <w:highlight w:val="none"/>
          <w:shd w:val="clear" w:color="auto" w:fill="FFFFFF"/>
        </w:rPr>
        <w:t>。</w:t>
      </w:r>
    </w:p>
    <w:p w14:paraId="43540499">
      <w:pPr>
        <w:pStyle w:val="4"/>
        <w:numPr>
          <w:ilvl w:val="1"/>
          <w:numId w:val="4"/>
        </w:numPr>
        <w:spacing w:before="0" w:after="0" w:line="360" w:lineRule="auto"/>
        <w:rPr>
          <w:rFonts w:hint="eastAsia"/>
        </w:rPr>
      </w:pPr>
      <w:bookmarkStart w:id="277" w:name="_Toc1809"/>
      <w:bookmarkStart w:id="278" w:name="_Toc23458"/>
      <w:r>
        <w:rPr>
          <w:rFonts w:hint="eastAsia"/>
          <w:lang w:eastAsia="zh-CN"/>
        </w:rPr>
        <w:t>响应文件编制</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277D632F">
      <w:pPr>
        <w:numPr>
          <w:ilvl w:val="2"/>
          <w:numId w:val="4"/>
        </w:numPr>
        <w:spacing w:line="360" w:lineRule="auto"/>
        <w:ind w:firstLine="420" w:firstLineChars="200"/>
        <w:rPr>
          <w:rFonts w:hint="eastAsia"/>
          <w:sz w:val="21"/>
          <w:szCs w:val="21"/>
        </w:rPr>
      </w:pPr>
      <w:r>
        <w:rPr>
          <w:rFonts w:hint="eastAsia"/>
          <w:sz w:val="21"/>
          <w:szCs w:val="21"/>
        </w:rPr>
        <w:t>响应文件应按第六章“响应文件格式”进行编写，如有必要，可以增加附页，作为响应文件的组成部分。其中，响应一览表在满足征集文件实质性要求的基础上，可以提出比征集文件要求更有利于采购人的承诺。</w:t>
      </w:r>
    </w:p>
    <w:p w14:paraId="39871EE9">
      <w:pPr>
        <w:numPr>
          <w:ilvl w:val="2"/>
          <w:numId w:val="4"/>
        </w:numPr>
        <w:spacing w:line="360" w:lineRule="auto"/>
        <w:ind w:firstLine="420" w:firstLineChars="200"/>
        <w:rPr>
          <w:rFonts w:hint="eastAsia"/>
          <w:sz w:val="21"/>
          <w:szCs w:val="21"/>
        </w:rPr>
      </w:pPr>
      <w:r>
        <w:rPr>
          <w:rFonts w:hint="eastAsia"/>
          <w:sz w:val="21"/>
          <w:szCs w:val="21"/>
        </w:rPr>
        <w:t>响应文件应当对征集文件有关采购范围、</w:t>
      </w:r>
      <w:r>
        <w:rPr>
          <w:rFonts w:hint="eastAsia"/>
          <w:sz w:val="21"/>
          <w:szCs w:val="21"/>
          <w:lang w:val="en-US" w:eastAsia="zh-CN"/>
        </w:rPr>
        <w:t>质量要求、框架协议</w:t>
      </w:r>
      <w:r>
        <w:rPr>
          <w:rFonts w:hint="eastAsia"/>
          <w:sz w:val="21"/>
          <w:szCs w:val="21"/>
        </w:rPr>
        <w:t>期限等实质性内容作出响应。</w:t>
      </w:r>
    </w:p>
    <w:p w14:paraId="4053BFFE">
      <w:pPr>
        <w:numPr>
          <w:ilvl w:val="0"/>
          <w:numId w:val="0"/>
        </w:numPr>
        <w:spacing w:line="360" w:lineRule="auto"/>
        <w:ind w:firstLine="420" w:firstLineChars="200"/>
        <w:rPr>
          <w:rFonts w:hint="eastAsia" w:ascii="宋体" w:hAnsi="宋体" w:eastAsia="宋体" w:cs="宋体"/>
          <w:sz w:val="21"/>
          <w:szCs w:val="21"/>
        </w:rPr>
      </w:pPr>
      <w:bookmarkStart w:id="279" w:name="_Toc32341"/>
      <w:r>
        <w:rPr>
          <w:rFonts w:hint="eastAsia" w:ascii="宋体" w:hAnsi="宋体" w:eastAsia="宋体" w:cs="宋体"/>
          <w:sz w:val="21"/>
          <w:szCs w:val="21"/>
        </w:rPr>
        <w:t>3.7.3</w:t>
      </w:r>
      <w:r>
        <w:rPr>
          <w:rFonts w:hint="eastAsia" w:ascii="宋体" w:hAnsi="宋体" w:eastAsia="宋体" w:cs="宋体"/>
          <w:sz w:val="21"/>
          <w:szCs w:val="21"/>
          <w:lang w:val="en-US" w:eastAsia="zh-CN"/>
        </w:rPr>
        <w:t>响应</w:t>
      </w:r>
      <w:r>
        <w:rPr>
          <w:rFonts w:hint="eastAsia" w:ascii="宋体" w:hAnsi="宋体" w:eastAsia="宋体" w:cs="宋体"/>
          <w:sz w:val="21"/>
          <w:szCs w:val="21"/>
        </w:rPr>
        <w:t>文件全部采用电子文档，并采用单位和个人数字证书，按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文件要求在相应位置加盖电子印章，签字和（或）盖章要求见投标须知前附表。</w:t>
      </w:r>
    </w:p>
    <w:p w14:paraId="03C3B7E5">
      <w:pPr>
        <w:numPr>
          <w:ilvl w:val="0"/>
          <w:numId w:val="0"/>
        </w:numPr>
        <w:spacing w:line="360" w:lineRule="auto"/>
        <w:ind w:leftChars="200"/>
        <w:rPr>
          <w:rFonts w:hint="eastAsia"/>
          <w:sz w:val="21"/>
          <w:szCs w:val="21"/>
          <w:lang w:val="en-US" w:eastAsia="zh-CN"/>
        </w:rPr>
      </w:pPr>
      <w:r>
        <w:rPr>
          <w:rFonts w:hint="eastAsia"/>
          <w:sz w:val="21"/>
          <w:szCs w:val="21"/>
          <w:lang w:val="en-US" w:eastAsia="zh-CN"/>
        </w:rPr>
        <w:t>3.7.4响应文件份数见供应商须知前附表。</w:t>
      </w:r>
    </w:p>
    <w:p w14:paraId="2FA2D992">
      <w:pPr>
        <w:pStyle w:val="3"/>
        <w:numPr>
          <w:ilvl w:val="0"/>
          <w:numId w:val="4"/>
        </w:numPr>
        <w:tabs>
          <w:tab w:val="left" w:pos="721"/>
          <w:tab w:val="left" w:pos="2880"/>
          <w:tab w:val="left" w:pos="3780"/>
        </w:tabs>
        <w:spacing w:before="0" w:after="0" w:line="360" w:lineRule="auto"/>
        <w:ind w:left="0" w:firstLine="0"/>
        <w:jc w:val="both"/>
        <w:rPr>
          <w:rFonts w:hint="eastAsia" w:ascii="宋体" w:hAnsi="宋体" w:eastAsia="宋体"/>
          <w:sz w:val="24"/>
          <w:szCs w:val="24"/>
          <w:lang w:val="en-US" w:eastAsia="zh-CN"/>
        </w:rPr>
      </w:pPr>
      <w:r>
        <w:rPr>
          <w:rFonts w:hint="eastAsia" w:ascii="宋体" w:hAnsi="宋体" w:eastAsia="宋体"/>
          <w:sz w:val="24"/>
          <w:szCs w:val="24"/>
          <w:lang w:val="en-US" w:eastAsia="zh-CN"/>
        </w:rPr>
        <w:t>响应</w:t>
      </w:r>
      <w:bookmarkEnd w:id="279"/>
    </w:p>
    <w:p w14:paraId="37F42D9D">
      <w:pPr>
        <w:pStyle w:val="4"/>
        <w:numPr>
          <w:ilvl w:val="1"/>
          <w:numId w:val="4"/>
        </w:numPr>
        <w:spacing w:before="0" w:after="0" w:line="360" w:lineRule="auto"/>
        <w:rPr>
          <w:rFonts w:hint="eastAsia"/>
        </w:rPr>
      </w:pPr>
      <w:bookmarkStart w:id="280" w:name="_Toc7201"/>
      <w:bookmarkStart w:id="281" w:name="_Toc7004"/>
      <w:bookmarkStart w:id="282" w:name="_Toc5976"/>
      <w:bookmarkStart w:id="283" w:name="_Toc24089"/>
      <w:bookmarkStart w:id="284" w:name="_Toc15515"/>
      <w:bookmarkStart w:id="285" w:name="_Toc17190"/>
      <w:bookmarkStart w:id="286" w:name="_Toc2541"/>
      <w:bookmarkStart w:id="287" w:name="_Toc22690"/>
      <w:bookmarkStart w:id="288" w:name="_Toc504"/>
      <w:bookmarkStart w:id="289" w:name="_Toc11217"/>
      <w:bookmarkStart w:id="290" w:name="_Toc3144"/>
      <w:bookmarkStart w:id="291" w:name="_Toc7061"/>
      <w:bookmarkStart w:id="292" w:name="_Toc29011"/>
      <w:bookmarkStart w:id="293" w:name="_Toc12719"/>
      <w:r>
        <w:rPr>
          <w:rFonts w:hint="eastAsia"/>
          <w:lang w:eastAsia="zh-CN"/>
        </w:rPr>
        <w:t>响应文件</w:t>
      </w:r>
      <w:r>
        <w:rPr>
          <w:rFonts w:hint="eastAsia"/>
        </w:rPr>
        <w:t>的密封</w:t>
      </w:r>
      <w:bookmarkEnd w:id="280"/>
      <w:bookmarkEnd w:id="281"/>
      <w:bookmarkEnd w:id="282"/>
      <w:bookmarkEnd w:id="283"/>
      <w:bookmarkEnd w:id="284"/>
      <w:bookmarkEnd w:id="285"/>
      <w:bookmarkEnd w:id="286"/>
      <w:bookmarkEnd w:id="287"/>
      <w:bookmarkEnd w:id="288"/>
      <w:bookmarkEnd w:id="289"/>
      <w:r>
        <w:rPr>
          <w:rFonts w:hint="eastAsia"/>
          <w:lang w:eastAsia="zh-CN"/>
        </w:rPr>
        <w:t>和标记</w:t>
      </w:r>
      <w:bookmarkEnd w:id="290"/>
      <w:bookmarkEnd w:id="291"/>
      <w:bookmarkEnd w:id="292"/>
      <w:bookmarkEnd w:id="293"/>
    </w:p>
    <w:p w14:paraId="24231D87">
      <w:pPr>
        <w:adjustRightInd w:val="0"/>
        <w:spacing w:line="360" w:lineRule="auto"/>
        <w:ind w:firstLine="420" w:firstLineChars="200"/>
        <w:textAlignment w:val="baseline"/>
        <w:rPr>
          <w:rFonts w:hint="eastAsia" w:ascii="宋体" w:hAnsi="宋体" w:cs="宋体"/>
          <w:kern w:val="0"/>
          <w:sz w:val="21"/>
          <w:szCs w:val="21"/>
        </w:rPr>
      </w:pPr>
      <w:bookmarkStart w:id="294" w:name="_Toc32003"/>
      <w:bookmarkStart w:id="295" w:name="_Toc10018"/>
      <w:bookmarkStart w:id="296" w:name="_Toc15035"/>
      <w:bookmarkStart w:id="297" w:name="_Toc32067"/>
      <w:bookmarkStart w:id="298" w:name="_Toc17164"/>
      <w:bookmarkStart w:id="299" w:name="_Toc10448"/>
      <w:bookmarkStart w:id="300" w:name="_Toc12787"/>
      <w:bookmarkStart w:id="301" w:name="_Toc14647"/>
      <w:bookmarkStart w:id="302" w:name="_Toc17234"/>
      <w:bookmarkStart w:id="303" w:name="_Toc17088"/>
      <w:bookmarkStart w:id="304" w:name="_Toc25206"/>
      <w:bookmarkStart w:id="305" w:name="_Toc8642"/>
      <w:bookmarkStart w:id="306" w:name="_Toc2882"/>
      <w:bookmarkStart w:id="307" w:name="_Toc28937"/>
      <w:r>
        <w:rPr>
          <w:rFonts w:hint="eastAsia" w:ascii="宋体" w:hAnsi="宋体"/>
          <w:sz w:val="21"/>
          <w:szCs w:val="21"/>
          <w:lang w:val="en-US" w:eastAsia="zh-CN"/>
        </w:rPr>
        <w:t>4.1.1</w:t>
      </w:r>
      <w:r>
        <w:rPr>
          <w:rFonts w:hint="eastAsia" w:ascii="宋体" w:hAnsi="宋体"/>
          <w:sz w:val="21"/>
          <w:szCs w:val="21"/>
        </w:rPr>
        <w:t>本项目实施不见面开标，开标时无需提供纸质版</w:t>
      </w:r>
      <w:r>
        <w:rPr>
          <w:rFonts w:hint="eastAsia"/>
          <w:sz w:val="21"/>
          <w:szCs w:val="21"/>
          <w:lang w:val="en-US" w:eastAsia="zh-CN"/>
        </w:rPr>
        <w:t>响应</w:t>
      </w:r>
      <w:r>
        <w:rPr>
          <w:rFonts w:hint="eastAsia" w:ascii="宋体" w:hAnsi="宋体"/>
          <w:sz w:val="21"/>
          <w:szCs w:val="21"/>
        </w:rPr>
        <w:t>文件。供应商应按照</w:t>
      </w:r>
      <w:r>
        <w:rPr>
          <w:rFonts w:hint="eastAsia"/>
          <w:sz w:val="21"/>
          <w:szCs w:val="21"/>
          <w:lang w:val="en-US" w:eastAsia="zh-CN"/>
        </w:rPr>
        <w:t>征集</w:t>
      </w:r>
      <w:r>
        <w:rPr>
          <w:rFonts w:hint="eastAsia" w:ascii="宋体" w:hAnsi="宋体"/>
          <w:sz w:val="21"/>
          <w:szCs w:val="21"/>
        </w:rPr>
        <w:t>文件和电子招标投标交易平台的要求加密响应文件。</w:t>
      </w:r>
    </w:p>
    <w:p w14:paraId="65FDF530">
      <w:pPr>
        <w:pStyle w:val="4"/>
        <w:numPr>
          <w:ilvl w:val="1"/>
          <w:numId w:val="4"/>
        </w:numPr>
        <w:spacing w:before="0" w:after="0" w:line="360" w:lineRule="auto"/>
        <w:rPr>
          <w:rFonts w:ascii="宋体" w:hAnsi="宋体"/>
          <w:color w:val="auto"/>
          <w:sz w:val="21"/>
          <w:szCs w:val="21"/>
        </w:rPr>
      </w:pPr>
      <w:r>
        <w:rPr>
          <w:rFonts w:hint="eastAsia"/>
          <w:lang w:eastAsia="zh-CN"/>
        </w:rPr>
        <w:t>响应文件的</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Fonts w:hint="eastAsia"/>
          <w:lang w:eastAsia="zh-CN"/>
        </w:rPr>
        <w:t>递交</w:t>
      </w:r>
      <w:bookmarkStart w:id="308" w:name="_Toc23154"/>
      <w:bookmarkStart w:id="309" w:name="_Toc31018"/>
      <w:bookmarkStart w:id="310" w:name="_Toc19554"/>
      <w:bookmarkStart w:id="311" w:name="_Toc3471"/>
      <w:bookmarkStart w:id="312" w:name="_Toc1614"/>
      <w:bookmarkStart w:id="313" w:name="_Toc21569"/>
      <w:bookmarkStart w:id="314" w:name="_Toc23125"/>
      <w:bookmarkStart w:id="315" w:name="_Toc7070"/>
      <w:bookmarkStart w:id="316" w:name="_Toc1408"/>
      <w:bookmarkStart w:id="317" w:name="_Toc7423"/>
      <w:bookmarkStart w:id="318" w:name="_Toc32365"/>
      <w:bookmarkStart w:id="319" w:name="_Toc22212"/>
    </w:p>
    <w:p w14:paraId="3020CA03">
      <w:pPr>
        <w:pStyle w:val="4"/>
        <w:numPr>
          <w:ilvl w:val="0"/>
          <w:numId w:val="0"/>
        </w:numPr>
        <w:spacing w:before="0" w:after="0" w:line="360" w:lineRule="auto"/>
        <w:ind w:leftChars="0" w:firstLine="420" w:firstLineChars="200"/>
        <w:rPr>
          <w:rFonts w:hint="eastAsia" w:ascii="宋体" w:hAnsi="宋体"/>
          <w:b w:val="0"/>
          <w:bCs/>
          <w:color w:val="auto"/>
          <w:sz w:val="21"/>
          <w:szCs w:val="21"/>
          <w:lang w:val="en-US" w:eastAsia="zh-CN"/>
        </w:rPr>
      </w:pPr>
      <w:r>
        <w:rPr>
          <w:rFonts w:hint="eastAsia" w:ascii="宋体" w:hAnsi="宋体"/>
          <w:b w:val="0"/>
          <w:bCs/>
          <w:color w:val="auto"/>
          <w:sz w:val="21"/>
          <w:szCs w:val="21"/>
          <w:lang w:val="en-US" w:eastAsia="zh-CN"/>
        </w:rPr>
        <w:t>4.2.1 供应商应在供应商须知前附表规定的响应文件递交截止时间前递交响应文件。</w:t>
      </w:r>
    </w:p>
    <w:p w14:paraId="1704EFF3">
      <w:pPr>
        <w:pStyle w:val="4"/>
        <w:numPr>
          <w:ilvl w:val="0"/>
          <w:numId w:val="0"/>
        </w:numPr>
        <w:spacing w:before="0" w:after="0" w:line="360" w:lineRule="auto"/>
        <w:ind w:leftChars="0" w:firstLine="420" w:firstLineChars="200"/>
        <w:rPr>
          <w:rFonts w:hint="eastAsia" w:ascii="宋体" w:hAnsi="宋体"/>
          <w:b w:val="0"/>
          <w:bCs/>
          <w:color w:val="auto"/>
          <w:sz w:val="21"/>
          <w:szCs w:val="21"/>
          <w:lang w:val="en-US" w:eastAsia="zh-CN"/>
        </w:rPr>
      </w:pPr>
      <w:r>
        <w:rPr>
          <w:rFonts w:hint="eastAsia" w:ascii="宋体" w:hAnsi="宋体"/>
          <w:b w:val="0"/>
          <w:bCs/>
          <w:color w:val="auto"/>
          <w:sz w:val="21"/>
          <w:szCs w:val="21"/>
          <w:lang w:val="en-US" w:eastAsia="zh-CN"/>
        </w:rPr>
        <w:t>4.2.2 供应商递交响应文件的地点：见供应商须知前附表。</w:t>
      </w:r>
    </w:p>
    <w:p w14:paraId="57406F50">
      <w:pPr>
        <w:pStyle w:val="4"/>
        <w:numPr>
          <w:ilvl w:val="0"/>
          <w:numId w:val="0"/>
        </w:numPr>
        <w:spacing w:before="0" w:after="0" w:line="360" w:lineRule="auto"/>
        <w:ind w:leftChars="0" w:firstLine="420" w:firstLineChars="200"/>
        <w:rPr>
          <w:rFonts w:hint="eastAsia" w:ascii="宋体" w:hAnsi="宋体"/>
          <w:b w:val="0"/>
          <w:bCs/>
          <w:color w:val="auto"/>
          <w:sz w:val="21"/>
          <w:szCs w:val="21"/>
          <w:lang w:val="en-US" w:eastAsia="zh-CN"/>
        </w:rPr>
      </w:pPr>
      <w:r>
        <w:rPr>
          <w:rFonts w:hint="eastAsia" w:ascii="宋体" w:hAnsi="宋体"/>
          <w:b w:val="0"/>
          <w:bCs/>
          <w:color w:val="auto"/>
          <w:sz w:val="21"/>
          <w:szCs w:val="21"/>
          <w:lang w:val="en-US" w:eastAsia="zh-CN"/>
        </w:rPr>
        <w:t>4.2.3 供应商完成电子响应文件上传后，电子招标投标交易平台即时向供应商发出递交回执通知。递交时间以递交回执通知载明的传输完成时间为准。</w:t>
      </w:r>
    </w:p>
    <w:p w14:paraId="3755D5B0">
      <w:pPr>
        <w:pStyle w:val="4"/>
        <w:numPr>
          <w:ilvl w:val="0"/>
          <w:numId w:val="0"/>
        </w:numPr>
        <w:spacing w:before="0" w:after="0" w:line="360" w:lineRule="auto"/>
        <w:ind w:leftChars="0" w:firstLine="420" w:firstLineChars="200"/>
        <w:rPr>
          <w:rFonts w:hint="eastAsia" w:ascii="宋体" w:hAnsi="宋体"/>
          <w:b w:val="0"/>
          <w:bCs/>
          <w:color w:val="auto"/>
          <w:sz w:val="21"/>
          <w:szCs w:val="21"/>
          <w:lang w:val="en-US" w:eastAsia="zh-CN"/>
        </w:rPr>
      </w:pPr>
      <w:r>
        <w:rPr>
          <w:rFonts w:hint="eastAsia" w:ascii="宋体" w:hAnsi="宋体"/>
          <w:b w:val="0"/>
          <w:bCs/>
          <w:color w:val="auto"/>
          <w:sz w:val="21"/>
          <w:szCs w:val="21"/>
          <w:lang w:val="en-US" w:eastAsia="zh-CN"/>
        </w:rPr>
        <w:t>4.2.4逾期送达的</w:t>
      </w:r>
      <w:r>
        <w:rPr>
          <w:rFonts w:hint="eastAsia"/>
          <w:b w:val="0"/>
          <w:bCs/>
          <w:color w:val="auto"/>
          <w:sz w:val="21"/>
          <w:szCs w:val="21"/>
          <w:lang w:val="en-US" w:eastAsia="zh-CN"/>
        </w:rPr>
        <w:t>响应</w:t>
      </w:r>
      <w:r>
        <w:rPr>
          <w:rFonts w:hint="eastAsia" w:ascii="宋体" w:hAnsi="宋体"/>
          <w:b w:val="0"/>
          <w:bCs/>
          <w:color w:val="auto"/>
          <w:sz w:val="21"/>
          <w:szCs w:val="21"/>
          <w:lang w:val="en-US" w:eastAsia="zh-CN"/>
        </w:rPr>
        <w:t>文件，电子招标投标交易平台将予以拒收。</w:t>
      </w:r>
    </w:p>
    <w:p w14:paraId="539E7419">
      <w:pPr>
        <w:pStyle w:val="4"/>
        <w:numPr>
          <w:ilvl w:val="1"/>
          <w:numId w:val="4"/>
        </w:numPr>
        <w:spacing w:before="0" w:after="0" w:line="360" w:lineRule="auto"/>
        <w:rPr>
          <w:rFonts w:hint="eastAsia"/>
        </w:rPr>
      </w:pPr>
      <w:bookmarkStart w:id="320" w:name="_Toc14123"/>
      <w:bookmarkStart w:id="321" w:name="_Toc9785"/>
      <w:r>
        <w:rPr>
          <w:rFonts w:hint="eastAsia"/>
          <w:lang w:eastAsia="zh-CN"/>
        </w:rPr>
        <w:t>响应文件</w:t>
      </w:r>
      <w:r>
        <w:rPr>
          <w:rFonts w:hint="eastAsia"/>
        </w:rPr>
        <w:t>的修改和撤回</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150D06A6">
      <w:pPr>
        <w:adjustRightInd w:val="0"/>
        <w:snapToGrid w:val="0"/>
        <w:spacing w:line="360" w:lineRule="auto"/>
        <w:ind w:firstLine="420" w:firstLineChars="200"/>
        <w:rPr>
          <w:rFonts w:hint="eastAsia" w:hAnsi="宋体" w:cs="宋体"/>
          <w:color w:val="auto"/>
          <w:sz w:val="21"/>
          <w:szCs w:val="21"/>
          <w:highlight w:val="none"/>
        </w:rPr>
      </w:pPr>
      <w:bookmarkStart w:id="322" w:name="_Toc312133547"/>
      <w:r>
        <w:rPr>
          <w:rFonts w:hint="eastAsia" w:cs="宋体"/>
          <w:color w:val="auto"/>
          <w:sz w:val="21"/>
          <w:szCs w:val="21"/>
          <w:highlight w:val="none"/>
          <w:lang w:val="en-US" w:eastAsia="zh-CN"/>
        </w:rPr>
        <w:t>4.3.1</w:t>
      </w:r>
      <w:r>
        <w:rPr>
          <w:rFonts w:hint="eastAsia" w:hAnsi="宋体" w:cs="宋体"/>
          <w:color w:val="auto"/>
          <w:sz w:val="21"/>
          <w:szCs w:val="21"/>
          <w:highlight w:val="none"/>
        </w:rPr>
        <w:t>供应商在响应文件递交截止时间前，可以对所递交的响应文件进行补充、修改或者撤回。</w:t>
      </w:r>
    </w:p>
    <w:p w14:paraId="395089B9">
      <w:pPr>
        <w:numPr>
          <w:ilvl w:val="0"/>
          <w:numId w:val="0"/>
        </w:numPr>
        <w:spacing w:line="360" w:lineRule="auto"/>
        <w:ind w:leftChars="200"/>
        <w:rPr>
          <w:rFonts w:hint="eastAsia"/>
          <w:szCs w:val="21"/>
        </w:rPr>
      </w:pPr>
      <w:r>
        <w:rPr>
          <w:rFonts w:hint="eastAsia"/>
          <w:szCs w:val="21"/>
          <w:lang w:val="en-US" w:eastAsia="zh-CN"/>
        </w:rPr>
        <w:t>4.3.2</w:t>
      </w:r>
      <w:r>
        <w:rPr>
          <w:rFonts w:hint="eastAsia"/>
          <w:szCs w:val="21"/>
        </w:rPr>
        <w:t>在响应文件</w:t>
      </w:r>
      <w:r>
        <w:rPr>
          <w:rFonts w:hint="eastAsia"/>
          <w:szCs w:val="21"/>
          <w:lang w:eastAsia="zh-CN"/>
        </w:rPr>
        <w:t>递交</w:t>
      </w:r>
      <w:r>
        <w:rPr>
          <w:rFonts w:hint="eastAsia"/>
          <w:szCs w:val="21"/>
        </w:rPr>
        <w:t>截止时间之后，供应商不得对其响应文件做任何修改。</w:t>
      </w:r>
    </w:p>
    <w:p w14:paraId="5B242C06">
      <w:pPr>
        <w:numPr>
          <w:ilvl w:val="0"/>
          <w:numId w:val="0"/>
        </w:numPr>
        <w:spacing w:line="360" w:lineRule="auto"/>
        <w:ind w:leftChars="200"/>
        <w:rPr>
          <w:rFonts w:hint="eastAsia"/>
          <w:szCs w:val="21"/>
        </w:rPr>
      </w:pPr>
      <w:r>
        <w:rPr>
          <w:rFonts w:hint="eastAsia"/>
          <w:szCs w:val="21"/>
          <w:lang w:val="en-US" w:eastAsia="zh-CN"/>
        </w:rPr>
        <w:t>4.3.3</w:t>
      </w:r>
      <w:r>
        <w:rPr>
          <w:rFonts w:hint="eastAsia"/>
          <w:szCs w:val="21"/>
        </w:rPr>
        <w:t>从响应文件</w:t>
      </w:r>
      <w:r>
        <w:rPr>
          <w:rFonts w:hint="eastAsia"/>
          <w:szCs w:val="21"/>
          <w:lang w:eastAsia="zh-CN"/>
        </w:rPr>
        <w:t>递交</w:t>
      </w:r>
      <w:r>
        <w:rPr>
          <w:rFonts w:hint="eastAsia"/>
          <w:szCs w:val="21"/>
        </w:rPr>
        <w:t>截止时间至供应商在响应文件中载明的响应文件有效期满期间，供应商不得撤回其响应文件。</w:t>
      </w:r>
    </w:p>
    <w:p w14:paraId="645C6062">
      <w:pPr>
        <w:pStyle w:val="3"/>
        <w:numPr>
          <w:ilvl w:val="0"/>
          <w:numId w:val="4"/>
        </w:numPr>
        <w:tabs>
          <w:tab w:val="left" w:pos="721"/>
          <w:tab w:val="left" w:pos="2880"/>
          <w:tab w:val="left" w:pos="3780"/>
        </w:tabs>
        <w:spacing w:before="0" w:after="0" w:line="360" w:lineRule="auto"/>
        <w:ind w:left="0" w:firstLine="0"/>
        <w:jc w:val="both"/>
        <w:rPr>
          <w:rFonts w:hint="eastAsia" w:ascii="宋体" w:hAnsi="宋体" w:eastAsia="宋体"/>
          <w:sz w:val="24"/>
          <w:szCs w:val="24"/>
          <w:lang w:val="en-US" w:eastAsia="zh-CN"/>
        </w:rPr>
      </w:pPr>
      <w:bookmarkStart w:id="323" w:name="_Toc14443"/>
      <w:r>
        <w:rPr>
          <w:rFonts w:hint="eastAsia" w:ascii="宋体" w:hAnsi="宋体" w:eastAsia="宋体"/>
          <w:sz w:val="24"/>
          <w:szCs w:val="24"/>
          <w:lang w:val="en-US" w:eastAsia="zh-CN"/>
        </w:rPr>
        <w:t>开标、资格审查与</w:t>
      </w:r>
      <w:bookmarkEnd w:id="322"/>
      <w:r>
        <w:rPr>
          <w:rFonts w:hint="eastAsia" w:ascii="宋体" w:hAnsi="宋体" w:eastAsia="宋体"/>
          <w:sz w:val="24"/>
          <w:szCs w:val="24"/>
          <w:lang w:val="en-US" w:eastAsia="zh-CN"/>
        </w:rPr>
        <w:t>评审</w:t>
      </w:r>
      <w:bookmarkEnd w:id="323"/>
    </w:p>
    <w:p w14:paraId="4F5EC394">
      <w:pPr>
        <w:pStyle w:val="4"/>
        <w:numPr>
          <w:ilvl w:val="1"/>
          <w:numId w:val="4"/>
        </w:numPr>
        <w:spacing w:before="0" w:after="0" w:line="360" w:lineRule="auto"/>
        <w:rPr>
          <w:rFonts w:hint="eastAsia"/>
        </w:rPr>
      </w:pPr>
      <w:bookmarkStart w:id="324" w:name="_Toc10066"/>
      <w:bookmarkStart w:id="325" w:name="_Toc24837"/>
      <w:bookmarkStart w:id="326" w:name="_Toc28821"/>
      <w:bookmarkStart w:id="327" w:name="_Toc15697"/>
      <w:bookmarkStart w:id="328" w:name="_Toc3484"/>
      <w:bookmarkStart w:id="329" w:name="_Toc30834"/>
      <w:bookmarkStart w:id="330" w:name="_Toc1051"/>
      <w:bookmarkStart w:id="331" w:name="_Toc21689"/>
      <w:bookmarkStart w:id="332" w:name="_Toc7329"/>
      <w:bookmarkStart w:id="333" w:name="_Toc28628"/>
      <w:bookmarkStart w:id="334" w:name="_Toc3802"/>
      <w:bookmarkStart w:id="335" w:name="_Toc26412"/>
      <w:bookmarkStart w:id="336" w:name="_Toc27050"/>
      <w:bookmarkStart w:id="337" w:name="_Toc18032"/>
      <w:r>
        <w:rPr>
          <w:rFonts w:hint="eastAsia"/>
        </w:rPr>
        <w:t>开标</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468B8BCB">
      <w:pPr>
        <w:spacing w:line="360" w:lineRule="auto"/>
        <w:ind w:firstLine="420" w:firstLineChars="200"/>
        <w:rPr>
          <w:rFonts w:hint="eastAsia"/>
          <w:szCs w:val="21"/>
        </w:rPr>
      </w:pPr>
      <w:r>
        <w:rPr>
          <w:rFonts w:hint="eastAsia"/>
          <w:szCs w:val="21"/>
          <w:lang w:val="en-US" w:eastAsia="zh-CN"/>
        </w:rPr>
        <w:t>5</w:t>
      </w:r>
      <w:r>
        <w:rPr>
          <w:rFonts w:hint="eastAsia"/>
          <w:szCs w:val="21"/>
        </w:rPr>
        <w:t>.1.1采购代理机构在供应商须知前附表中规定的时间和地点组织公开开标。提交响应文件的供应商少于2家的，不得开启响应文件。</w:t>
      </w:r>
    </w:p>
    <w:p w14:paraId="4BFB12EA">
      <w:pPr>
        <w:spacing w:line="360" w:lineRule="auto"/>
        <w:ind w:firstLine="420" w:firstLineChars="200"/>
        <w:rPr>
          <w:rFonts w:hint="eastAsia"/>
          <w:szCs w:val="21"/>
        </w:rPr>
      </w:pPr>
      <w:r>
        <w:rPr>
          <w:rFonts w:hint="eastAsia"/>
          <w:szCs w:val="21"/>
        </w:rPr>
        <w:t>5.1.2主持人按“不见面开标”有关程序进行开标。</w:t>
      </w:r>
    </w:p>
    <w:p w14:paraId="1DC1CAE3">
      <w:pPr>
        <w:spacing w:line="360" w:lineRule="auto"/>
        <w:ind w:left="420" w:leftChars="200"/>
        <w:rPr>
          <w:rFonts w:hint="eastAsia"/>
          <w:szCs w:val="21"/>
        </w:rPr>
      </w:pPr>
      <w:r>
        <w:rPr>
          <w:rFonts w:hint="eastAsia"/>
          <w:szCs w:val="21"/>
        </w:rPr>
        <w:t>5.1.3供应商未参加开标的，视同认可开标结果。</w:t>
      </w:r>
    </w:p>
    <w:p w14:paraId="1BA06020">
      <w:pPr>
        <w:pStyle w:val="4"/>
        <w:numPr>
          <w:ilvl w:val="1"/>
          <w:numId w:val="4"/>
        </w:numPr>
        <w:spacing w:before="0" w:after="0" w:line="360" w:lineRule="auto"/>
        <w:rPr>
          <w:rFonts w:hint="eastAsia"/>
        </w:rPr>
      </w:pPr>
      <w:bookmarkStart w:id="338" w:name="_Toc8400"/>
      <w:bookmarkStart w:id="339" w:name="_Toc11192"/>
      <w:bookmarkStart w:id="340" w:name="_Toc29955"/>
      <w:bookmarkStart w:id="341" w:name="_Toc24277"/>
      <w:bookmarkStart w:id="342" w:name="_Toc31363"/>
      <w:bookmarkStart w:id="343" w:name="_Toc27296"/>
      <w:bookmarkStart w:id="344" w:name="_Toc22131"/>
      <w:bookmarkStart w:id="345" w:name="_Toc29315"/>
      <w:bookmarkStart w:id="346" w:name="_Toc20142"/>
      <w:bookmarkStart w:id="347" w:name="_Toc18956"/>
      <w:bookmarkStart w:id="348" w:name="_Toc18862"/>
      <w:bookmarkStart w:id="349" w:name="_Toc29637"/>
      <w:bookmarkStart w:id="350" w:name="_Toc16601"/>
      <w:bookmarkStart w:id="351" w:name="_Toc5716"/>
      <w:r>
        <w:rPr>
          <w:rFonts w:hint="eastAsia"/>
        </w:rPr>
        <w:t>资格审查工作</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14:paraId="585ADEEB">
      <w:pPr>
        <w:spacing w:line="360" w:lineRule="auto"/>
        <w:ind w:firstLine="420" w:firstLineChars="200"/>
        <w:rPr>
          <w:rFonts w:hint="eastAsia"/>
          <w:szCs w:val="21"/>
        </w:rPr>
      </w:pPr>
      <w:r>
        <w:rPr>
          <w:rFonts w:hint="eastAsia"/>
          <w:szCs w:val="21"/>
        </w:rPr>
        <w:t>开标结束后，采购代理机构或采购人代表应当依法对供应商的资格进行审查，未通过资格审查的供应商不能进入评审，其响应将被认定为无效响应；合格供应商不足2家的，不得评审。</w:t>
      </w:r>
    </w:p>
    <w:p w14:paraId="04F97ABC">
      <w:pPr>
        <w:spacing w:line="360" w:lineRule="auto"/>
        <w:ind w:firstLine="422" w:firstLineChars="200"/>
        <w:rPr>
          <w:rFonts w:hint="eastAsia"/>
          <w:szCs w:val="21"/>
        </w:rPr>
      </w:pPr>
      <w:r>
        <w:rPr>
          <w:rFonts w:hint="eastAsia"/>
          <w:b/>
          <w:bCs/>
          <w:szCs w:val="21"/>
        </w:rPr>
        <w:t>信用记录查询</w:t>
      </w:r>
      <w:r>
        <w:rPr>
          <w:rFonts w:hint="eastAsia"/>
          <w:szCs w:val="21"/>
        </w:rPr>
        <w:t>：采购代理机构或采购人代表将查询网页打印并存档备查。供应商不良信用记录以采购代理机构或采购人查询结果为准。</w:t>
      </w:r>
    </w:p>
    <w:p w14:paraId="695070B5">
      <w:pPr>
        <w:spacing w:line="360" w:lineRule="auto"/>
        <w:ind w:firstLine="420" w:firstLineChars="200"/>
        <w:rPr>
          <w:rFonts w:hint="eastAsia"/>
          <w:szCs w:val="21"/>
        </w:rPr>
      </w:pPr>
      <w:r>
        <w:rPr>
          <w:rFonts w:hint="eastAsia"/>
          <w:szCs w:val="21"/>
        </w:rPr>
        <w:t>在本征集文件规定的查询时间之后，网站信息发生的任何变更均不再作为评审依据。</w:t>
      </w:r>
    </w:p>
    <w:p w14:paraId="45B192D7">
      <w:pPr>
        <w:spacing w:line="360" w:lineRule="auto"/>
        <w:ind w:firstLine="420" w:firstLineChars="200"/>
        <w:rPr>
          <w:rFonts w:hint="eastAsia"/>
          <w:szCs w:val="21"/>
        </w:rPr>
      </w:pPr>
      <w:r>
        <w:rPr>
          <w:rFonts w:hint="eastAsia"/>
          <w:szCs w:val="21"/>
        </w:rPr>
        <w:t>供应商自行提供的与网站信息不一致的其他证明材料亦不作为资格审查依据。</w:t>
      </w:r>
    </w:p>
    <w:p w14:paraId="0F416246">
      <w:pPr>
        <w:pStyle w:val="4"/>
        <w:numPr>
          <w:ilvl w:val="1"/>
          <w:numId w:val="4"/>
        </w:numPr>
        <w:spacing w:before="0" w:after="0" w:line="360" w:lineRule="auto"/>
        <w:rPr>
          <w:rFonts w:hint="eastAsia"/>
        </w:rPr>
      </w:pPr>
      <w:bookmarkStart w:id="352" w:name="_Toc18872"/>
      <w:bookmarkStart w:id="353" w:name="_Toc29342"/>
      <w:bookmarkStart w:id="354" w:name="_Toc32536"/>
      <w:bookmarkStart w:id="355" w:name="_Toc11870"/>
      <w:r>
        <w:rPr>
          <w:rFonts w:hint="eastAsia"/>
          <w:lang w:eastAsia="zh-CN"/>
        </w:rPr>
        <w:t>评审工作</w:t>
      </w:r>
      <w:bookmarkEnd w:id="352"/>
      <w:bookmarkEnd w:id="353"/>
      <w:bookmarkEnd w:id="354"/>
      <w:bookmarkEnd w:id="355"/>
    </w:p>
    <w:p w14:paraId="733EE645">
      <w:pPr>
        <w:numPr>
          <w:ilvl w:val="2"/>
          <w:numId w:val="4"/>
        </w:numPr>
        <w:spacing w:line="360" w:lineRule="auto"/>
        <w:ind w:firstLine="420" w:firstLineChars="200"/>
        <w:rPr>
          <w:rFonts w:hint="eastAsia"/>
          <w:szCs w:val="21"/>
        </w:rPr>
      </w:pPr>
      <w:r>
        <w:rPr>
          <w:rFonts w:hint="eastAsia"/>
          <w:szCs w:val="21"/>
        </w:rPr>
        <w:t>评审小组</w:t>
      </w:r>
    </w:p>
    <w:p w14:paraId="419D226F">
      <w:pPr>
        <w:numPr>
          <w:ilvl w:val="0"/>
          <w:numId w:val="8"/>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评审工作由采购人依法组建的评审小组负责，对所有供应商的响应文件进行评审，并按评审方法规定的方式确定入围供应商。</w:t>
      </w:r>
    </w:p>
    <w:p w14:paraId="151C91E7">
      <w:pPr>
        <w:numPr>
          <w:ilvl w:val="0"/>
          <w:numId w:val="8"/>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评审小组由采购人代表和评审专家组成，成员人数为</w:t>
      </w:r>
      <w:r>
        <w:rPr>
          <w:rFonts w:hint="eastAsia" w:cs="微软雅黑"/>
          <w:kern w:val="0"/>
          <w:szCs w:val="21"/>
          <w:lang w:val="en-US" w:eastAsia="zh-CN"/>
        </w:rPr>
        <w:t>5</w:t>
      </w:r>
      <w:r>
        <w:rPr>
          <w:rFonts w:hint="eastAsia" w:cs="微软雅黑"/>
          <w:kern w:val="0"/>
          <w:szCs w:val="21"/>
        </w:rPr>
        <w:t>人以上单数，其中评审专家不得少于成员总数的三分之二。</w:t>
      </w:r>
    </w:p>
    <w:p w14:paraId="3D267ED2">
      <w:pPr>
        <w:numPr>
          <w:ilvl w:val="0"/>
          <w:numId w:val="8"/>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评审专家对本单位的采购项目只能作为采购人代表参与评审，对技术复杂、专业性强的采购项目，通过随机方式难以确定合适评审专家的情形除外。</w:t>
      </w:r>
    </w:p>
    <w:p w14:paraId="2EC4643C">
      <w:pPr>
        <w:numPr>
          <w:ilvl w:val="0"/>
          <w:numId w:val="8"/>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采购代理机构工作人员不得参加由本机构代理的政府采购项目的评审。</w:t>
      </w:r>
    </w:p>
    <w:p w14:paraId="37618CE9">
      <w:pPr>
        <w:numPr>
          <w:ilvl w:val="0"/>
          <w:numId w:val="8"/>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评审小组成员名单在评审结果公告前应当保密。</w:t>
      </w:r>
    </w:p>
    <w:p w14:paraId="0DA6DB08">
      <w:pPr>
        <w:numPr>
          <w:ilvl w:val="2"/>
          <w:numId w:val="4"/>
        </w:numPr>
        <w:spacing w:line="360" w:lineRule="auto"/>
        <w:ind w:firstLine="420" w:firstLineChars="200"/>
        <w:rPr>
          <w:rFonts w:hint="eastAsia"/>
          <w:szCs w:val="21"/>
        </w:rPr>
      </w:pPr>
      <w:r>
        <w:rPr>
          <w:rFonts w:hint="eastAsia"/>
          <w:szCs w:val="21"/>
        </w:rPr>
        <w:t>评审小组及其成员不得有下列行为：</w:t>
      </w:r>
    </w:p>
    <w:p w14:paraId="1278292D">
      <w:pPr>
        <w:numPr>
          <w:ilvl w:val="0"/>
          <w:numId w:val="9"/>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确定参与评审至评审结束前私自接触供应商；</w:t>
      </w:r>
    </w:p>
    <w:p w14:paraId="271759A7">
      <w:pPr>
        <w:numPr>
          <w:ilvl w:val="0"/>
          <w:numId w:val="9"/>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接受供应商提出的与响应文件不一致的澄清或者说明（对于响应文件中含义不明确、同类问题表述不一致或者有明显文字和计算错误的内容，评审小组以书面形式要求供应商作出必要的澄清、说明或者补正的除外）；</w:t>
      </w:r>
    </w:p>
    <w:p w14:paraId="0528E13A">
      <w:pPr>
        <w:numPr>
          <w:ilvl w:val="0"/>
          <w:numId w:val="9"/>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违反评审纪律发表倾向性意见或者征询采购人的倾向性意见；</w:t>
      </w:r>
    </w:p>
    <w:p w14:paraId="6AB39FE4">
      <w:pPr>
        <w:numPr>
          <w:ilvl w:val="0"/>
          <w:numId w:val="9"/>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对需要专业判断的主观评审因素协商评分；</w:t>
      </w:r>
    </w:p>
    <w:p w14:paraId="665C86A6">
      <w:pPr>
        <w:numPr>
          <w:ilvl w:val="0"/>
          <w:numId w:val="9"/>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在评审过程中擅离职守，影响评审程序正常进行的；</w:t>
      </w:r>
    </w:p>
    <w:p w14:paraId="6A988BE3">
      <w:pPr>
        <w:numPr>
          <w:ilvl w:val="0"/>
          <w:numId w:val="9"/>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记录、复制或者带走任何评审资料；</w:t>
      </w:r>
    </w:p>
    <w:p w14:paraId="67660E20">
      <w:pPr>
        <w:numPr>
          <w:ilvl w:val="0"/>
          <w:numId w:val="9"/>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其他不遵守评审纪律的行为。</w:t>
      </w:r>
    </w:p>
    <w:p w14:paraId="219F2DF7">
      <w:pPr>
        <w:tabs>
          <w:tab w:val="left" w:pos="720"/>
        </w:tabs>
        <w:spacing w:line="360" w:lineRule="auto"/>
        <w:ind w:firstLine="420" w:firstLineChars="200"/>
        <w:rPr>
          <w:rFonts w:hint="eastAsia"/>
          <w:szCs w:val="21"/>
        </w:rPr>
      </w:pPr>
      <w:r>
        <w:rPr>
          <w:rFonts w:hint="eastAsia"/>
          <w:szCs w:val="21"/>
        </w:rPr>
        <w:t>评审小组成员有本章第5.3.2项第（1）至（5）行为之一的，其评审意见无效，并不得获取评审劳务报酬和报销异地评审差旅费。</w:t>
      </w:r>
    </w:p>
    <w:p w14:paraId="3DFD0796">
      <w:pPr>
        <w:numPr>
          <w:ilvl w:val="2"/>
          <w:numId w:val="4"/>
        </w:numPr>
        <w:spacing w:line="360" w:lineRule="auto"/>
        <w:ind w:firstLine="420" w:firstLineChars="200"/>
        <w:rPr>
          <w:rFonts w:hint="eastAsia"/>
          <w:szCs w:val="21"/>
        </w:rPr>
      </w:pPr>
      <w:r>
        <w:rPr>
          <w:rFonts w:hint="eastAsia"/>
          <w:szCs w:val="21"/>
        </w:rPr>
        <w:t>评审小组成员对需要共同认定的事项存在争议的，应当按照少数服从多数的原则作出结论。持不同意见的评审小组成员应当在评审报告上签署不同意见及理由，否则视为同意评审报告。</w:t>
      </w:r>
    </w:p>
    <w:p w14:paraId="23F3B19F">
      <w:pPr>
        <w:numPr>
          <w:ilvl w:val="2"/>
          <w:numId w:val="4"/>
        </w:numPr>
        <w:spacing w:line="360" w:lineRule="auto"/>
        <w:ind w:firstLine="420" w:firstLineChars="200"/>
        <w:rPr>
          <w:rFonts w:hint="eastAsia"/>
          <w:szCs w:val="21"/>
        </w:rPr>
      </w:pPr>
      <w:r>
        <w:rPr>
          <w:rFonts w:hint="eastAsia"/>
          <w:szCs w:val="21"/>
        </w:rPr>
        <w:t>评审</w:t>
      </w:r>
    </w:p>
    <w:p w14:paraId="2EE1037D">
      <w:pPr>
        <w:numPr>
          <w:ilvl w:val="0"/>
          <w:numId w:val="10"/>
        </w:numPr>
        <w:autoSpaceDE w:val="0"/>
        <w:autoSpaceDN w:val="0"/>
        <w:adjustRightInd w:val="0"/>
        <w:spacing w:line="360" w:lineRule="auto"/>
        <w:ind w:left="0" w:firstLine="420" w:firstLineChars="200"/>
        <w:jc w:val="left"/>
        <w:rPr>
          <w:rFonts w:hint="eastAsia" w:cs="微软雅黑"/>
          <w:kern w:val="0"/>
          <w:szCs w:val="21"/>
        </w:rPr>
      </w:pPr>
      <w:r>
        <w:rPr>
          <w:rFonts w:hint="eastAsia" w:cs="微软雅黑"/>
          <w:kern w:val="0"/>
          <w:szCs w:val="21"/>
        </w:rPr>
        <w:t>评审小组按照第三章评审方法规定的方法、评审因素、标准和程序对响应文件进行评审。第三章评审方法没有规定的方法、评审因素和标准，不作为评审依据。</w:t>
      </w:r>
    </w:p>
    <w:p w14:paraId="4A2A6FF0">
      <w:pPr>
        <w:numPr>
          <w:ilvl w:val="0"/>
          <w:numId w:val="10"/>
        </w:numPr>
        <w:autoSpaceDE w:val="0"/>
        <w:autoSpaceDN w:val="0"/>
        <w:adjustRightInd w:val="0"/>
        <w:spacing w:line="360" w:lineRule="auto"/>
        <w:ind w:left="0" w:firstLine="420" w:firstLineChars="200"/>
        <w:jc w:val="left"/>
        <w:rPr>
          <w:rFonts w:hint="eastAsia" w:cs="微软雅黑"/>
          <w:kern w:val="0"/>
          <w:szCs w:val="21"/>
        </w:rPr>
      </w:pPr>
      <w:bookmarkStart w:id="356" w:name="_Toc11769"/>
      <w:bookmarkStart w:id="357" w:name="_Toc10927"/>
      <w:bookmarkStart w:id="358" w:name="_Toc25530"/>
      <w:bookmarkStart w:id="359" w:name="_Toc12609"/>
      <w:bookmarkStart w:id="360" w:name="_Toc28834"/>
      <w:bookmarkStart w:id="361" w:name="_Toc7396"/>
      <w:bookmarkStart w:id="362" w:name="_Toc27176"/>
      <w:bookmarkStart w:id="363" w:name="_Toc27622"/>
      <w:bookmarkStart w:id="364" w:name="_Toc27170"/>
      <w:bookmarkStart w:id="365" w:name="_Toc608"/>
      <w:bookmarkStart w:id="366" w:name="_Toc12131"/>
      <w:bookmarkStart w:id="367" w:name="_Toc25755"/>
      <w:r>
        <w:rPr>
          <w:rFonts w:hint="eastAsia" w:cs="微软雅黑"/>
          <w:kern w:val="0"/>
          <w:szCs w:val="21"/>
        </w:rPr>
        <w:t>评审完成后，评审小组应当向采购人提交书面评审报告和入围供应商名单。</w:t>
      </w:r>
    </w:p>
    <w:p w14:paraId="56ADB527">
      <w:pPr>
        <w:pStyle w:val="4"/>
        <w:numPr>
          <w:ilvl w:val="1"/>
          <w:numId w:val="4"/>
        </w:numPr>
        <w:spacing w:before="0" w:after="0" w:line="360" w:lineRule="auto"/>
        <w:rPr>
          <w:rFonts w:hint="eastAsia"/>
        </w:rPr>
      </w:pPr>
      <w:bookmarkStart w:id="368" w:name="_Toc16842"/>
      <w:bookmarkStart w:id="369" w:name="_Toc22107"/>
      <w:r>
        <w:rPr>
          <w:rFonts w:hint="eastAsia"/>
        </w:rPr>
        <w:t>保密及其它注意事项</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603B3A3F">
      <w:pPr>
        <w:numPr>
          <w:ilvl w:val="2"/>
          <w:numId w:val="4"/>
        </w:numPr>
        <w:spacing w:line="360" w:lineRule="auto"/>
        <w:ind w:firstLine="420" w:firstLineChars="200"/>
        <w:rPr>
          <w:rFonts w:hint="eastAsia"/>
          <w:szCs w:val="21"/>
        </w:rPr>
      </w:pPr>
      <w:bookmarkStart w:id="370" w:name="_Toc312133548"/>
      <w:r>
        <w:rPr>
          <w:rFonts w:hint="eastAsia"/>
          <w:szCs w:val="21"/>
        </w:rPr>
        <w:t>评审是采购工作的重要环节，评审工作在评审小组内独立进行。</w:t>
      </w:r>
    </w:p>
    <w:p w14:paraId="6639C26E">
      <w:pPr>
        <w:numPr>
          <w:ilvl w:val="2"/>
          <w:numId w:val="4"/>
        </w:numPr>
        <w:spacing w:line="360" w:lineRule="auto"/>
        <w:ind w:firstLine="420" w:firstLineChars="200"/>
        <w:rPr>
          <w:rFonts w:hint="eastAsia"/>
          <w:szCs w:val="21"/>
        </w:rPr>
      </w:pPr>
      <w:r>
        <w:rPr>
          <w:rFonts w:hint="eastAsia"/>
          <w:szCs w:val="21"/>
        </w:rPr>
        <w:t>评审小组将遵照规定的评审方法，公正、平等地对待所有供应商。</w:t>
      </w:r>
    </w:p>
    <w:p w14:paraId="58E36B95">
      <w:pPr>
        <w:numPr>
          <w:ilvl w:val="2"/>
          <w:numId w:val="4"/>
        </w:numPr>
        <w:spacing w:line="360" w:lineRule="auto"/>
        <w:ind w:firstLine="420" w:firstLineChars="200"/>
        <w:rPr>
          <w:rFonts w:hint="eastAsia"/>
          <w:szCs w:val="21"/>
        </w:rPr>
      </w:pPr>
      <w:r>
        <w:rPr>
          <w:rFonts w:hint="eastAsia"/>
          <w:szCs w:val="21"/>
        </w:rPr>
        <w:t>在开标、评审期间，供应商不得向评委询问评审情况，不得进行旨在影响评审结果的活动。否则其响应文件可能被拒绝。</w:t>
      </w:r>
    </w:p>
    <w:p w14:paraId="4CE3106D">
      <w:pPr>
        <w:numPr>
          <w:ilvl w:val="2"/>
          <w:numId w:val="4"/>
        </w:numPr>
        <w:spacing w:line="360" w:lineRule="auto"/>
        <w:ind w:firstLine="420" w:firstLineChars="200"/>
        <w:rPr>
          <w:rFonts w:hint="eastAsia"/>
          <w:szCs w:val="21"/>
        </w:rPr>
      </w:pPr>
      <w:r>
        <w:rPr>
          <w:rFonts w:hint="eastAsia"/>
          <w:szCs w:val="21"/>
        </w:rPr>
        <w:t>为保证评审的公正性，开标后直至授予框架协议，评委不得与供应商私下交换意见。</w:t>
      </w:r>
    </w:p>
    <w:p w14:paraId="28562D45">
      <w:pPr>
        <w:numPr>
          <w:ilvl w:val="2"/>
          <w:numId w:val="4"/>
        </w:numPr>
        <w:spacing w:line="360" w:lineRule="auto"/>
        <w:ind w:firstLine="420" w:firstLineChars="200"/>
        <w:rPr>
          <w:rFonts w:hint="eastAsia"/>
          <w:szCs w:val="21"/>
        </w:rPr>
      </w:pPr>
      <w:r>
        <w:rPr>
          <w:rFonts w:hint="eastAsia"/>
          <w:szCs w:val="21"/>
        </w:rPr>
        <w:t>在评审工作结束后，凡与评审情况有接触的任何人不得擅自将评审情况扩散出评审人员之外。</w:t>
      </w:r>
    </w:p>
    <w:p w14:paraId="65E840D7">
      <w:pPr>
        <w:pStyle w:val="3"/>
        <w:numPr>
          <w:ilvl w:val="0"/>
          <w:numId w:val="4"/>
        </w:numPr>
        <w:tabs>
          <w:tab w:val="left" w:pos="721"/>
          <w:tab w:val="left" w:pos="2880"/>
          <w:tab w:val="left" w:pos="3780"/>
        </w:tabs>
        <w:spacing w:before="0" w:after="0" w:line="360" w:lineRule="auto"/>
        <w:ind w:left="0" w:firstLine="0"/>
        <w:jc w:val="both"/>
        <w:rPr>
          <w:rFonts w:hint="eastAsia" w:ascii="宋体" w:hAnsi="宋体" w:eastAsia="宋体"/>
          <w:sz w:val="24"/>
          <w:szCs w:val="24"/>
          <w:lang w:val="en-US" w:eastAsia="zh-CN"/>
        </w:rPr>
      </w:pPr>
      <w:bookmarkStart w:id="371" w:name="_Toc16355"/>
      <w:r>
        <w:rPr>
          <w:rFonts w:hint="eastAsia" w:ascii="宋体" w:hAnsi="宋体" w:eastAsia="宋体"/>
          <w:sz w:val="24"/>
          <w:szCs w:val="24"/>
          <w:lang w:val="en-US" w:eastAsia="zh-CN"/>
        </w:rPr>
        <w:t>授予</w:t>
      </w:r>
      <w:bookmarkEnd w:id="370"/>
      <w:r>
        <w:rPr>
          <w:rFonts w:hint="eastAsia" w:ascii="宋体" w:hAnsi="宋体" w:eastAsia="宋体"/>
          <w:sz w:val="24"/>
          <w:szCs w:val="24"/>
          <w:lang w:val="en-US" w:eastAsia="zh-CN"/>
        </w:rPr>
        <w:t>框架协议</w:t>
      </w:r>
      <w:bookmarkEnd w:id="371"/>
    </w:p>
    <w:p w14:paraId="2CA42EB9">
      <w:pPr>
        <w:pStyle w:val="4"/>
        <w:numPr>
          <w:ilvl w:val="1"/>
          <w:numId w:val="4"/>
        </w:numPr>
        <w:spacing w:before="0" w:after="0" w:line="360" w:lineRule="auto"/>
        <w:rPr>
          <w:rFonts w:hint="eastAsia" w:cs="宋体"/>
        </w:rPr>
      </w:pPr>
      <w:bookmarkStart w:id="372" w:name="_Toc32241"/>
      <w:bookmarkStart w:id="373" w:name="_Toc27632"/>
      <w:bookmarkStart w:id="374" w:name="_Toc22245"/>
      <w:bookmarkStart w:id="375" w:name="_Toc20199"/>
      <w:bookmarkStart w:id="376" w:name="_Toc13599"/>
      <w:bookmarkStart w:id="377" w:name="_Toc24587"/>
      <w:bookmarkStart w:id="378" w:name="_Toc15386"/>
      <w:bookmarkStart w:id="379" w:name="_Toc3574"/>
      <w:bookmarkStart w:id="380" w:name="_Toc22971"/>
      <w:bookmarkStart w:id="381" w:name="_Toc13743"/>
      <w:bookmarkStart w:id="382" w:name="_Toc21756"/>
      <w:bookmarkStart w:id="383" w:name="_Toc1382"/>
      <w:bookmarkStart w:id="384" w:name="_Toc5223"/>
      <w:bookmarkStart w:id="385" w:name="_Toc6320"/>
      <w:bookmarkStart w:id="386" w:name="_Toc23900"/>
      <w:bookmarkStart w:id="387" w:name="_Toc22088"/>
      <w:bookmarkStart w:id="388" w:name="_Toc30644"/>
      <w:bookmarkStart w:id="389" w:name="_Toc22457"/>
      <w:bookmarkStart w:id="390" w:name="_Toc17818"/>
      <w:bookmarkStart w:id="391" w:name="_Toc26604"/>
      <w:r>
        <w:rPr>
          <w:rFonts w:hint="eastAsia" w:cs="宋体"/>
          <w:lang w:eastAsia="zh-CN"/>
        </w:rPr>
        <w:t>入围结果</w:t>
      </w:r>
      <w:r>
        <w:rPr>
          <w:rFonts w:hint="eastAsia" w:cs="宋体"/>
        </w:rPr>
        <w:t>公告</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bookmarkEnd w:id="386"/>
    <w:bookmarkEnd w:id="387"/>
    <w:bookmarkEnd w:id="388"/>
    <w:bookmarkEnd w:id="389"/>
    <w:bookmarkEnd w:id="390"/>
    <w:bookmarkEnd w:id="391"/>
    <w:p w14:paraId="1F2AEA59">
      <w:pPr>
        <w:numPr>
          <w:ilvl w:val="2"/>
          <w:numId w:val="4"/>
        </w:numPr>
        <w:spacing w:line="360" w:lineRule="auto"/>
        <w:ind w:firstLine="420" w:firstLineChars="200"/>
        <w:rPr>
          <w:rFonts w:hint="eastAsia"/>
          <w:szCs w:val="21"/>
        </w:rPr>
      </w:pPr>
      <w:bookmarkStart w:id="392" w:name="_Toc6603"/>
      <w:bookmarkStart w:id="393" w:name="_Toc18763"/>
      <w:bookmarkStart w:id="394" w:name="_Toc22820"/>
      <w:bookmarkStart w:id="395" w:name="_Toc16455"/>
      <w:bookmarkStart w:id="396" w:name="_Toc16406"/>
      <w:bookmarkStart w:id="397" w:name="_Toc23610"/>
      <w:bookmarkStart w:id="398" w:name="_Toc22911"/>
      <w:bookmarkStart w:id="399" w:name="_Toc29117"/>
      <w:bookmarkStart w:id="400" w:name="_Toc22373"/>
      <w:bookmarkStart w:id="401" w:name="_Toc12224"/>
      <w:bookmarkStart w:id="402" w:name="_Toc21786"/>
      <w:bookmarkStart w:id="403" w:name="_Toc25621"/>
      <w:r>
        <w:rPr>
          <w:rFonts w:hint="eastAsia"/>
          <w:szCs w:val="21"/>
        </w:rPr>
        <w:t>采购代理机构应当在入围供应商确定之日起1个工作日内，在媒体上发布入围结果公告，征集文件应当随入围结果同时公告。公告期限为1个工作日。</w:t>
      </w:r>
    </w:p>
    <w:p w14:paraId="39D9C84B">
      <w:pPr>
        <w:numPr>
          <w:ilvl w:val="2"/>
          <w:numId w:val="4"/>
        </w:numPr>
        <w:spacing w:line="360" w:lineRule="auto"/>
        <w:ind w:firstLine="420" w:firstLineChars="200"/>
        <w:rPr>
          <w:rFonts w:hint="eastAsia"/>
        </w:rPr>
      </w:pPr>
      <w:r>
        <w:rPr>
          <w:rFonts w:hint="eastAsia"/>
          <w:szCs w:val="21"/>
        </w:rPr>
        <w:t>入围结果公告内容包括采购项目名称、编号、采购人的名称、地址、联系人和联系方式、入围供应商名称、地址及排序、主要服务内容及服务标准，评审小组成员名单、采购代理服务收费标准及金额、公告期限及财政部门规定的其他事项。</w:t>
      </w:r>
    </w:p>
    <w:p w14:paraId="04DCD178">
      <w:pPr>
        <w:numPr>
          <w:ilvl w:val="2"/>
          <w:numId w:val="4"/>
        </w:numPr>
        <w:spacing w:line="360" w:lineRule="auto"/>
        <w:ind w:firstLine="420" w:firstLineChars="200"/>
        <w:rPr>
          <w:rFonts w:hint="eastAsia"/>
          <w:szCs w:val="21"/>
        </w:rPr>
      </w:pPr>
      <w:r>
        <w:rPr>
          <w:rFonts w:hint="eastAsia"/>
          <w:szCs w:val="21"/>
        </w:rPr>
        <w:t>入围通知书发出后，采购人不得违法改变入围结果，入围供应商无正当理由不得放弃入围。</w:t>
      </w:r>
    </w:p>
    <w:p w14:paraId="661AD516">
      <w:pPr>
        <w:numPr>
          <w:ilvl w:val="2"/>
          <w:numId w:val="4"/>
        </w:numPr>
        <w:spacing w:line="360" w:lineRule="auto"/>
        <w:ind w:firstLine="420" w:firstLineChars="200"/>
        <w:rPr>
          <w:rFonts w:hint="eastAsia"/>
          <w:szCs w:val="21"/>
        </w:rPr>
      </w:pPr>
      <w:r>
        <w:rPr>
          <w:rFonts w:hint="eastAsia"/>
          <w:szCs w:val="21"/>
        </w:rPr>
        <w:t>入围供应商为残疾人福利性单位的，采购人、采购代理机构将随入围结果同时公告其《残疾人福利性单位声明函》，接受社会监督。入围供应商享受《政府采购促进中小企业发展管理办法》规定的中小企业扶持政策的，采购人、采购代理机构应当随入围结果公开入围供应商的《中小企业声明函》。</w:t>
      </w:r>
    </w:p>
    <w:p w14:paraId="355A2FA5">
      <w:pPr>
        <w:pStyle w:val="4"/>
        <w:numPr>
          <w:ilvl w:val="1"/>
          <w:numId w:val="4"/>
        </w:numPr>
        <w:spacing w:before="0" w:after="0" w:line="360" w:lineRule="auto"/>
        <w:rPr>
          <w:rFonts w:hint="eastAsia"/>
        </w:rPr>
      </w:pPr>
      <w:bookmarkStart w:id="404" w:name="_Toc4255"/>
      <w:bookmarkStart w:id="405" w:name="_Toc19038"/>
      <w:r>
        <w:rPr>
          <w:rFonts w:hint="eastAsia"/>
          <w:lang w:eastAsia="zh-CN"/>
        </w:rPr>
        <w:t>取消入围资格或者</w:t>
      </w:r>
      <w:r>
        <w:rPr>
          <w:rFonts w:hint="eastAsia" w:cs="微软雅黑"/>
          <w:kern w:val="0"/>
          <w:lang w:val="en-US" w:eastAsia="zh-CN"/>
        </w:rPr>
        <w:t>解除框架协议</w:t>
      </w:r>
      <w:bookmarkEnd w:id="392"/>
      <w:bookmarkEnd w:id="393"/>
      <w:bookmarkEnd w:id="394"/>
      <w:r>
        <w:rPr>
          <w:rFonts w:hint="eastAsia" w:cs="微软雅黑"/>
          <w:kern w:val="0"/>
          <w:lang w:val="en-US" w:eastAsia="zh-CN"/>
        </w:rPr>
        <w:t>的情形</w:t>
      </w:r>
      <w:bookmarkEnd w:id="395"/>
      <w:bookmarkEnd w:id="396"/>
      <w:bookmarkEnd w:id="404"/>
      <w:bookmarkEnd w:id="405"/>
    </w:p>
    <w:p w14:paraId="35663E49">
      <w:pPr>
        <w:numPr>
          <w:ilvl w:val="2"/>
          <w:numId w:val="4"/>
        </w:numPr>
        <w:spacing w:line="360" w:lineRule="auto"/>
        <w:ind w:firstLine="420" w:firstLineChars="200"/>
        <w:rPr>
          <w:rFonts w:hint="eastAsia"/>
          <w:szCs w:val="21"/>
        </w:rPr>
      </w:pPr>
      <w:bookmarkStart w:id="406" w:name="_Toc10523"/>
      <w:bookmarkStart w:id="407" w:name="_Toc3263"/>
      <w:r>
        <w:rPr>
          <w:rFonts w:hint="eastAsia"/>
          <w:szCs w:val="21"/>
        </w:rPr>
        <w:t>入围供应商有下列情形之一，尚未签订框架协议的，取消其入围资格；已经签订框架协议的，解除与其签订的框架协议：</w:t>
      </w:r>
    </w:p>
    <w:p w14:paraId="4E0CAE9A">
      <w:pPr>
        <w:widowControl/>
        <w:numPr>
          <w:ilvl w:val="0"/>
          <w:numId w:val="11"/>
        </w:numPr>
        <w:spacing w:line="360" w:lineRule="auto"/>
        <w:ind w:left="0" w:firstLine="420" w:firstLineChars="200"/>
        <w:rPr>
          <w:rFonts w:hint="eastAsia"/>
          <w:kern w:val="0"/>
          <w:szCs w:val="21"/>
          <w:lang w:bidi="ar"/>
        </w:rPr>
      </w:pPr>
      <w:r>
        <w:rPr>
          <w:rFonts w:hint="eastAsia"/>
          <w:kern w:val="0"/>
          <w:szCs w:val="21"/>
          <w:shd w:val="clear" w:color="auto" w:fill="FFFFFF"/>
          <w:lang w:bidi="ar"/>
        </w:rPr>
        <w:t>恶意串通谋取入围或者合同成交的；</w:t>
      </w:r>
    </w:p>
    <w:p w14:paraId="7CE68FF0">
      <w:pPr>
        <w:widowControl/>
        <w:numPr>
          <w:ilvl w:val="0"/>
          <w:numId w:val="11"/>
        </w:numPr>
        <w:spacing w:line="360" w:lineRule="auto"/>
        <w:ind w:left="0" w:firstLine="420" w:firstLineChars="200"/>
        <w:rPr>
          <w:rFonts w:hint="eastAsia"/>
          <w:kern w:val="0"/>
          <w:szCs w:val="21"/>
          <w:lang w:bidi="ar"/>
        </w:rPr>
      </w:pPr>
      <w:r>
        <w:rPr>
          <w:rFonts w:hint="eastAsia"/>
          <w:kern w:val="0"/>
          <w:szCs w:val="21"/>
          <w:shd w:val="clear" w:color="auto" w:fill="FFFFFF"/>
          <w:lang w:bidi="ar"/>
        </w:rPr>
        <w:t>提供虚假材料谋取入围或者合同成交的；</w:t>
      </w:r>
    </w:p>
    <w:p w14:paraId="44DF3B72">
      <w:pPr>
        <w:widowControl/>
        <w:numPr>
          <w:ilvl w:val="0"/>
          <w:numId w:val="11"/>
        </w:numPr>
        <w:spacing w:line="360" w:lineRule="auto"/>
        <w:ind w:left="0" w:firstLine="420" w:firstLineChars="200"/>
        <w:rPr>
          <w:rFonts w:hint="eastAsia"/>
          <w:kern w:val="0"/>
          <w:szCs w:val="21"/>
          <w:lang w:bidi="ar"/>
        </w:rPr>
      </w:pPr>
      <w:r>
        <w:rPr>
          <w:rFonts w:hint="eastAsia"/>
          <w:kern w:val="0"/>
          <w:szCs w:val="21"/>
          <w:shd w:val="clear" w:color="auto" w:fill="FFFFFF"/>
          <w:lang w:bidi="ar"/>
        </w:rPr>
        <w:t>无正当理由拒不接受合同授予的；</w:t>
      </w:r>
    </w:p>
    <w:p w14:paraId="79672484">
      <w:pPr>
        <w:widowControl/>
        <w:numPr>
          <w:ilvl w:val="0"/>
          <w:numId w:val="11"/>
        </w:numPr>
        <w:spacing w:line="360" w:lineRule="auto"/>
        <w:ind w:left="0" w:firstLine="420" w:firstLineChars="200"/>
        <w:rPr>
          <w:rFonts w:hint="eastAsia"/>
          <w:kern w:val="0"/>
          <w:szCs w:val="21"/>
          <w:lang w:bidi="ar"/>
        </w:rPr>
      </w:pPr>
      <w:r>
        <w:rPr>
          <w:rFonts w:hint="eastAsia"/>
          <w:kern w:val="0"/>
          <w:szCs w:val="21"/>
          <w:shd w:val="clear" w:color="auto" w:fill="FFFFFF"/>
          <w:lang w:bidi="ar"/>
        </w:rPr>
        <w:t>不履行合同义务或者履行合同义务不符合约定，经采购人请求履行后仍不履行或者仍未按约定履行的；</w:t>
      </w:r>
    </w:p>
    <w:p w14:paraId="672106B8">
      <w:pPr>
        <w:widowControl/>
        <w:numPr>
          <w:ilvl w:val="0"/>
          <w:numId w:val="11"/>
        </w:numPr>
        <w:spacing w:line="360" w:lineRule="auto"/>
        <w:ind w:left="0" w:firstLine="420" w:firstLineChars="200"/>
        <w:rPr>
          <w:rFonts w:hint="eastAsia"/>
          <w:kern w:val="0"/>
          <w:szCs w:val="21"/>
          <w:lang w:bidi="ar"/>
        </w:rPr>
      </w:pPr>
      <w:r>
        <w:rPr>
          <w:rFonts w:hint="eastAsia"/>
          <w:kern w:val="0"/>
          <w:szCs w:val="21"/>
          <w:shd w:val="clear" w:color="auto" w:fill="FFFFFF"/>
          <w:lang w:bidi="ar"/>
        </w:rPr>
        <w:t>框架协议有效期内，因违法行为被禁止或限制参加政府采购活动的；</w:t>
      </w:r>
    </w:p>
    <w:p w14:paraId="5FCC30A7">
      <w:pPr>
        <w:widowControl/>
        <w:numPr>
          <w:ilvl w:val="0"/>
          <w:numId w:val="11"/>
        </w:numPr>
        <w:spacing w:line="360" w:lineRule="auto"/>
        <w:ind w:left="0" w:firstLine="420" w:firstLineChars="200"/>
        <w:rPr>
          <w:rFonts w:hint="eastAsia"/>
          <w:kern w:val="0"/>
          <w:szCs w:val="21"/>
          <w:lang w:bidi="ar"/>
        </w:rPr>
      </w:pPr>
      <w:r>
        <w:rPr>
          <w:rFonts w:hint="eastAsia"/>
          <w:kern w:val="0"/>
          <w:szCs w:val="21"/>
          <w:shd w:val="clear" w:color="auto" w:fill="FFFFFF"/>
          <w:lang w:bidi="ar"/>
        </w:rPr>
        <w:t>框架协议约定的其他情形。</w:t>
      </w:r>
    </w:p>
    <w:p w14:paraId="639FF42D">
      <w:pPr>
        <w:numPr>
          <w:ilvl w:val="2"/>
          <w:numId w:val="4"/>
        </w:numPr>
        <w:spacing w:line="360" w:lineRule="auto"/>
        <w:ind w:firstLine="420" w:firstLineChars="200"/>
        <w:rPr>
          <w:rFonts w:hint="eastAsia"/>
          <w:szCs w:val="21"/>
        </w:rPr>
      </w:pPr>
      <w:r>
        <w:rPr>
          <w:rFonts w:hint="eastAsia"/>
          <w:szCs w:val="21"/>
        </w:rPr>
        <w:t>被取消入围资格或者被解除框架协议的供应商不得参加同一封闭式框架协议补充征集。</w:t>
      </w:r>
    </w:p>
    <w:p w14:paraId="62048EB0">
      <w:pPr>
        <w:numPr>
          <w:ilvl w:val="2"/>
          <w:numId w:val="4"/>
        </w:numPr>
        <w:spacing w:line="360" w:lineRule="auto"/>
        <w:ind w:firstLine="420" w:firstLineChars="200"/>
        <w:rPr>
          <w:rFonts w:hint="eastAsia"/>
        </w:rPr>
      </w:pPr>
      <w:r>
        <w:rPr>
          <w:rFonts w:hint="eastAsia"/>
          <w:szCs w:val="21"/>
        </w:rPr>
        <w:t>因重大变故采购任务取消时，采购人有权拒绝任何供应商入围，且对受影响的供应商不承担任何责任。</w:t>
      </w:r>
    </w:p>
    <w:p w14:paraId="6451B105">
      <w:pPr>
        <w:pStyle w:val="4"/>
        <w:numPr>
          <w:ilvl w:val="1"/>
          <w:numId w:val="4"/>
        </w:numPr>
        <w:spacing w:before="0" w:after="0" w:line="360" w:lineRule="auto"/>
        <w:rPr>
          <w:rFonts w:hint="eastAsia"/>
        </w:rPr>
      </w:pPr>
      <w:bookmarkStart w:id="408" w:name="_Toc27145"/>
      <w:bookmarkStart w:id="409" w:name="_Toc7333"/>
      <w:r>
        <w:rPr>
          <w:rFonts w:hint="eastAsia"/>
          <w:lang w:eastAsia="zh-CN"/>
        </w:rPr>
        <w:t>入围通知书</w:t>
      </w:r>
      <w:bookmarkEnd w:id="406"/>
      <w:bookmarkEnd w:id="407"/>
      <w:bookmarkEnd w:id="408"/>
      <w:bookmarkEnd w:id="409"/>
    </w:p>
    <w:p w14:paraId="24E6A5FD">
      <w:pPr>
        <w:numPr>
          <w:ilvl w:val="2"/>
          <w:numId w:val="4"/>
        </w:numPr>
        <w:spacing w:line="360" w:lineRule="auto"/>
        <w:ind w:firstLine="420" w:firstLineChars="200"/>
        <w:rPr>
          <w:rFonts w:hint="eastAsia"/>
          <w:szCs w:val="21"/>
        </w:rPr>
      </w:pPr>
      <w:r>
        <w:rPr>
          <w:rFonts w:hint="eastAsia"/>
          <w:szCs w:val="21"/>
        </w:rPr>
        <w:t>在公告入围结果的同时，采购人或者采购代理机构应当向入围供应商发出入围通知书，入围通知书将作为签订框架协议的依据。</w:t>
      </w:r>
    </w:p>
    <w:bookmarkEnd w:id="397"/>
    <w:bookmarkEnd w:id="398"/>
    <w:bookmarkEnd w:id="399"/>
    <w:bookmarkEnd w:id="400"/>
    <w:bookmarkEnd w:id="401"/>
    <w:bookmarkEnd w:id="402"/>
    <w:bookmarkEnd w:id="403"/>
    <w:p w14:paraId="6F15CDE5">
      <w:pPr>
        <w:pStyle w:val="4"/>
        <w:numPr>
          <w:ilvl w:val="1"/>
          <w:numId w:val="4"/>
        </w:numPr>
        <w:spacing w:before="0" w:after="0" w:line="360" w:lineRule="auto"/>
        <w:rPr>
          <w:rFonts w:hint="eastAsia"/>
        </w:rPr>
      </w:pPr>
      <w:bookmarkStart w:id="410" w:name="_Toc13906"/>
      <w:bookmarkStart w:id="411" w:name="_Toc14397"/>
      <w:bookmarkStart w:id="412" w:name="_Toc15209"/>
      <w:bookmarkStart w:id="413" w:name="_Toc21924"/>
      <w:bookmarkStart w:id="414" w:name="_Toc889"/>
      <w:bookmarkStart w:id="415" w:name="_Toc22112"/>
      <w:bookmarkStart w:id="416" w:name="_Toc9865"/>
      <w:bookmarkStart w:id="417" w:name="_Toc3979"/>
      <w:bookmarkStart w:id="418" w:name="_Toc25686"/>
      <w:bookmarkStart w:id="419" w:name="_Toc1040"/>
      <w:bookmarkStart w:id="420" w:name="_Toc14180"/>
      <w:bookmarkStart w:id="421" w:name="_Toc26111"/>
      <w:bookmarkStart w:id="422" w:name="_Toc11136"/>
      <w:bookmarkStart w:id="423" w:name="_Toc3815"/>
      <w:bookmarkStart w:id="424" w:name="_Toc12530"/>
      <w:bookmarkStart w:id="425" w:name="_Toc26471"/>
      <w:bookmarkStart w:id="426" w:name="_Toc3376"/>
      <w:bookmarkStart w:id="427" w:name="_Toc11221"/>
      <w:bookmarkStart w:id="428" w:name="_Toc15061"/>
      <w:bookmarkStart w:id="429" w:name="_Toc1226"/>
      <w:r>
        <w:rPr>
          <w:rFonts w:hint="eastAsia"/>
        </w:rPr>
        <w:t>履约保证金</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526B79A8">
      <w:pPr>
        <w:spacing w:line="360" w:lineRule="auto"/>
        <w:ind w:firstLine="420" w:firstLineChars="200"/>
        <w:rPr>
          <w:szCs w:val="21"/>
        </w:rPr>
      </w:pPr>
      <w:bookmarkStart w:id="430" w:name="_Toc22384"/>
      <w:r>
        <w:rPr>
          <w:rFonts w:hint="eastAsia"/>
          <w:szCs w:val="21"/>
        </w:rPr>
        <w:t>不要求</w:t>
      </w:r>
    </w:p>
    <w:p w14:paraId="563EAD39">
      <w:pPr>
        <w:pStyle w:val="4"/>
        <w:numPr>
          <w:ilvl w:val="1"/>
          <w:numId w:val="4"/>
        </w:numPr>
        <w:spacing w:before="0" w:after="0" w:line="360" w:lineRule="auto"/>
        <w:rPr>
          <w:rFonts w:hint="eastAsia"/>
        </w:rPr>
      </w:pPr>
      <w:bookmarkStart w:id="431" w:name="_Toc8166"/>
      <w:bookmarkStart w:id="432" w:name="_Toc10148"/>
      <w:bookmarkStart w:id="433" w:name="_Toc22876"/>
      <w:bookmarkStart w:id="434" w:name="_Toc17849"/>
      <w:bookmarkStart w:id="435" w:name="_Toc27066"/>
      <w:bookmarkStart w:id="436" w:name="_Toc396"/>
      <w:bookmarkStart w:id="437" w:name="_Toc27976"/>
      <w:r>
        <w:rPr>
          <w:rFonts w:hint="eastAsia"/>
        </w:rPr>
        <w:t>签订</w:t>
      </w:r>
      <w:bookmarkEnd w:id="424"/>
      <w:bookmarkEnd w:id="425"/>
      <w:bookmarkEnd w:id="426"/>
      <w:bookmarkEnd w:id="427"/>
      <w:bookmarkEnd w:id="428"/>
      <w:bookmarkEnd w:id="429"/>
      <w:bookmarkEnd w:id="430"/>
      <w:bookmarkEnd w:id="431"/>
      <w:bookmarkEnd w:id="432"/>
      <w:bookmarkEnd w:id="433"/>
      <w:r>
        <w:rPr>
          <w:rFonts w:hint="eastAsia"/>
          <w:lang w:eastAsia="zh-CN"/>
        </w:rPr>
        <w:t>框架协议</w:t>
      </w:r>
      <w:bookmarkEnd w:id="434"/>
      <w:bookmarkEnd w:id="435"/>
      <w:bookmarkEnd w:id="436"/>
      <w:bookmarkEnd w:id="437"/>
    </w:p>
    <w:p w14:paraId="2C541DA5">
      <w:pPr>
        <w:adjustRightInd w:val="0"/>
        <w:snapToGrid w:val="0"/>
        <w:spacing w:line="360" w:lineRule="auto"/>
        <w:ind w:firstLine="420" w:firstLineChars="200"/>
        <w:rPr>
          <w:rFonts w:hint="eastAsia"/>
          <w:szCs w:val="21"/>
        </w:rPr>
      </w:pPr>
      <w:r>
        <w:rPr>
          <w:rFonts w:hint="eastAsia"/>
          <w:szCs w:val="21"/>
        </w:rPr>
        <w:t>采购人应当自入围通知书发出之日起30日内和入围供应商签订框架协议，并在框架协议签订后7个工作日内，将框架协议副本报本级财政部门备案。</w:t>
      </w:r>
    </w:p>
    <w:p w14:paraId="1ABD5087">
      <w:pPr>
        <w:numPr>
          <w:ilvl w:val="2"/>
          <w:numId w:val="4"/>
        </w:numPr>
        <w:spacing w:line="360" w:lineRule="auto"/>
        <w:ind w:firstLine="420" w:firstLineChars="200"/>
        <w:rPr>
          <w:rFonts w:hint="eastAsia"/>
          <w:szCs w:val="21"/>
        </w:rPr>
      </w:pPr>
      <w:r>
        <w:rPr>
          <w:rFonts w:hint="eastAsia"/>
          <w:szCs w:val="21"/>
        </w:rPr>
        <w:t>所签订的框架协议不得对征集文件确定的事项和入围供应商响应文件作实质性修改。</w:t>
      </w:r>
    </w:p>
    <w:p w14:paraId="728B8EEB">
      <w:pPr>
        <w:numPr>
          <w:ilvl w:val="2"/>
          <w:numId w:val="4"/>
        </w:numPr>
        <w:spacing w:line="360" w:lineRule="auto"/>
        <w:ind w:firstLine="420" w:firstLineChars="200"/>
        <w:rPr>
          <w:rFonts w:hint="eastAsia"/>
          <w:szCs w:val="21"/>
        </w:rPr>
      </w:pPr>
      <w:r>
        <w:rPr>
          <w:rFonts w:hint="eastAsia"/>
          <w:szCs w:val="21"/>
        </w:rPr>
        <w:t>入围供应商拒绝与采购人签订框架协议或者不按本章第6.5.1项约定签订框架协议的，采购人将取消其入围资格，剩余入围供应商不足入围供应商总数70%且影响框架协议执行的，框架协议有效期内，征集人可以补充征集供应商。</w:t>
      </w:r>
    </w:p>
    <w:p w14:paraId="7C4F7477">
      <w:pPr>
        <w:numPr>
          <w:ilvl w:val="2"/>
          <w:numId w:val="4"/>
        </w:numPr>
        <w:spacing w:line="360" w:lineRule="auto"/>
        <w:ind w:firstLine="420" w:firstLineChars="200"/>
        <w:rPr>
          <w:rFonts w:hint="eastAsia"/>
          <w:szCs w:val="21"/>
        </w:rPr>
      </w:pPr>
      <w:r>
        <w:rPr>
          <w:rFonts w:hint="eastAsia"/>
          <w:szCs w:val="21"/>
        </w:rPr>
        <w:t>征集文件、入围供应商的响应文件和澄清文件等，均应作为签约的合同文本的基础。</w:t>
      </w:r>
    </w:p>
    <w:p w14:paraId="5A9741D6">
      <w:pPr>
        <w:numPr>
          <w:ilvl w:val="2"/>
          <w:numId w:val="4"/>
        </w:numPr>
        <w:spacing w:line="360" w:lineRule="auto"/>
        <w:ind w:firstLine="420" w:firstLineChars="200"/>
        <w:rPr>
          <w:rFonts w:hint="eastAsia"/>
          <w:szCs w:val="21"/>
        </w:rPr>
      </w:pPr>
      <w:r>
        <w:rPr>
          <w:rFonts w:hint="eastAsia"/>
          <w:szCs w:val="21"/>
        </w:rPr>
        <w:t>入围供应商无正当理由，不得主动放弃入围资格或者退出框架协议。</w:t>
      </w:r>
    </w:p>
    <w:p w14:paraId="2E80F162">
      <w:pPr>
        <w:numPr>
          <w:ilvl w:val="2"/>
          <w:numId w:val="4"/>
        </w:numPr>
        <w:spacing w:line="360" w:lineRule="auto"/>
        <w:ind w:firstLine="420" w:firstLineChars="200"/>
        <w:rPr>
          <w:rFonts w:hint="eastAsia"/>
          <w:szCs w:val="21"/>
        </w:rPr>
      </w:pPr>
      <w:r>
        <w:rPr>
          <w:rFonts w:hint="eastAsia"/>
          <w:szCs w:val="21"/>
          <w:highlight w:val="none"/>
        </w:rPr>
        <w:t>采购人在框架协议签订后3个工作日内</w:t>
      </w:r>
      <w:r>
        <w:rPr>
          <w:rFonts w:hint="eastAsia"/>
          <w:szCs w:val="21"/>
          <w:highlight w:val="none"/>
          <w:lang w:val="en-US" w:eastAsia="zh-CN"/>
        </w:rPr>
        <w:t>将</w:t>
      </w:r>
      <w:r>
        <w:rPr>
          <w:rFonts w:hint="eastAsia"/>
          <w:szCs w:val="21"/>
          <w:highlight w:val="none"/>
        </w:rPr>
        <w:t>入围信息告知适用框架协议的所</w:t>
      </w:r>
      <w:r>
        <w:rPr>
          <w:rFonts w:hint="eastAsia"/>
          <w:szCs w:val="21"/>
        </w:rPr>
        <w:t>有采购人或者服务对象。</w:t>
      </w:r>
    </w:p>
    <w:p w14:paraId="24546037">
      <w:pPr>
        <w:numPr>
          <w:ilvl w:val="2"/>
          <w:numId w:val="4"/>
        </w:numPr>
        <w:spacing w:line="360" w:lineRule="auto"/>
        <w:ind w:firstLine="420" w:firstLineChars="200"/>
        <w:rPr>
          <w:rFonts w:hint="eastAsia"/>
          <w:color w:val="auto"/>
          <w:szCs w:val="21"/>
        </w:rPr>
      </w:pPr>
      <w:r>
        <w:rPr>
          <w:rFonts w:hint="eastAsia"/>
          <w:color w:val="auto"/>
          <w:szCs w:val="21"/>
        </w:rPr>
        <w:t>入围信息应当包括所有入围供应商的名称、地址、联系方式、协议价格等内容。入围信息应当详细列明技术规格或者服务内容、服务标准等能反映</w:t>
      </w:r>
      <w:r>
        <w:rPr>
          <w:rFonts w:hint="eastAsia"/>
          <w:color w:val="auto"/>
          <w:szCs w:val="21"/>
          <w:lang w:val="en-US" w:eastAsia="zh-CN"/>
        </w:rPr>
        <w:t>服务</w:t>
      </w:r>
      <w:r>
        <w:rPr>
          <w:rFonts w:hint="eastAsia"/>
          <w:color w:val="auto"/>
          <w:szCs w:val="21"/>
        </w:rPr>
        <w:t>质量特点的内容。</w:t>
      </w:r>
    </w:p>
    <w:p w14:paraId="0607596E">
      <w:pPr>
        <w:numPr>
          <w:ilvl w:val="2"/>
          <w:numId w:val="4"/>
        </w:numPr>
        <w:spacing w:line="360" w:lineRule="auto"/>
        <w:ind w:firstLine="420" w:firstLineChars="200"/>
        <w:rPr>
          <w:rFonts w:hint="eastAsia"/>
          <w:szCs w:val="21"/>
        </w:rPr>
      </w:pPr>
      <w:r>
        <w:rPr>
          <w:rFonts w:hint="eastAsia"/>
          <w:szCs w:val="21"/>
        </w:rPr>
        <w:t>征集文件和入围信息在整个框架协议有效期内随时可供查阅。</w:t>
      </w:r>
    </w:p>
    <w:p w14:paraId="2D09471D">
      <w:pPr>
        <w:pStyle w:val="4"/>
        <w:numPr>
          <w:ilvl w:val="1"/>
          <w:numId w:val="4"/>
        </w:numPr>
        <w:spacing w:before="0" w:after="0" w:line="360" w:lineRule="auto"/>
        <w:rPr>
          <w:rFonts w:hint="eastAsia" w:cs="宋体"/>
          <w:highlight w:val="none"/>
          <w:lang w:val="en-US" w:eastAsia="zh-CN"/>
        </w:rPr>
      </w:pPr>
      <w:bookmarkStart w:id="438" w:name="_Toc31510"/>
      <w:bookmarkStart w:id="439" w:name="_Toc31873"/>
      <w:bookmarkStart w:id="440" w:name="_Toc18515"/>
      <w:bookmarkStart w:id="441" w:name="_Toc949"/>
      <w:r>
        <w:rPr>
          <w:rFonts w:hint="eastAsia" w:cs="宋体"/>
          <w:highlight w:val="none"/>
          <w:lang w:val="en-US" w:eastAsia="zh-CN"/>
        </w:rPr>
        <w:t>第二阶段成交供应商的选定</w:t>
      </w:r>
      <w:bookmarkEnd w:id="438"/>
      <w:bookmarkEnd w:id="439"/>
      <w:bookmarkEnd w:id="440"/>
      <w:bookmarkEnd w:id="441"/>
    </w:p>
    <w:p w14:paraId="3063247D">
      <w:pPr>
        <w:numPr>
          <w:ilvl w:val="2"/>
          <w:numId w:val="4"/>
        </w:numPr>
        <w:spacing w:line="360" w:lineRule="auto"/>
        <w:ind w:firstLine="420" w:firstLineChars="200"/>
        <w:rPr>
          <w:rFonts w:hint="eastAsia"/>
          <w:szCs w:val="21"/>
          <w:highlight w:val="none"/>
        </w:rPr>
      </w:pPr>
      <w:r>
        <w:rPr>
          <w:rFonts w:hint="eastAsia"/>
          <w:szCs w:val="21"/>
          <w:highlight w:val="none"/>
        </w:rPr>
        <w:t>由采购人按照供应商须知表6.6.1中规定的方式确定第二阶段成交供应商。</w:t>
      </w:r>
    </w:p>
    <w:p w14:paraId="0ABE4C8B">
      <w:pPr>
        <w:numPr>
          <w:ilvl w:val="2"/>
          <w:numId w:val="4"/>
        </w:numPr>
        <w:spacing w:line="360" w:lineRule="auto"/>
        <w:ind w:firstLine="420" w:firstLineChars="200"/>
        <w:rPr>
          <w:rFonts w:hint="eastAsia"/>
          <w:szCs w:val="21"/>
          <w:highlight w:val="none"/>
        </w:rPr>
      </w:pPr>
      <w:r>
        <w:rPr>
          <w:rFonts w:hint="eastAsia"/>
          <w:szCs w:val="21"/>
          <w:highlight w:val="none"/>
        </w:rPr>
        <w:t>采购人应当在确定成交供应商后1个工作日内逐笔发布成交结果公告。单笔公告包括采购人的名称、地址和联系方式、框架协议采购项目名称、编号、成交供应商名称、地址和成交金额、成交标的名称、主要服务内容及服务标准、入围供应商数量、公告期限。</w:t>
      </w:r>
    </w:p>
    <w:p w14:paraId="344757F2">
      <w:pPr>
        <w:numPr>
          <w:ilvl w:val="2"/>
          <w:numId w:val="4"/>
        </w:numPr>
        <w:spacing w:line="360" w:lineRule="auto"/>
        <w:ind w:firstLine="420" w:firstLineChars="200"/>
        <w:rPr>
          <w:rFonts w:hint="eastAsia"/>
          <w:szCs w:val="21"/>
          <w:highlight w:val="none"/>
        </w:rPr>
      </w:pPr>
      <w:r>
        <w:rPr>
          <w:rFonts w:hint="eastAsia"/>
          <w:szCs w:val="21"/>
          <w:highlight w:val="none"/>
        </w:rPr>
        <w:t>服务对象采购框架协议约定的服务，应当将第二阶段的采购合同授予入围供应商。</w:t>
      </w:r>
    </w:p>
    <w:p w14:paraId="4EAE066F">
      <w:pPr>
        <w:numPr>
          <w:ilvl w:val="2"/>
          <w:numId w:val="4"/>
        </w:numPr>
        <w:spacing w:line="360" w:lineRule="auto"/>
        <w:ind w:firstLine="420" w:firstLineChars="200"/>
        <w:rPr>
          <w:rFonts w:hint="eastAsia"/>
          <w:szCs w:val="21"/>
          <w:highlight w:val="none"/>
        </w:rPr>
      </w:pPr>
      <w:r>
        <w:rPr>
          <w:rFonts w:hint="eastAsia"/>
          <w:szCs w:val="21"/>
          <w:highlight w:val="none"/>
        </w:rPr>
        <w:t>同一框架协议采购应当使用统一的采购合同文本，服务对象和供应商不得擅自改变框架协议约定的合同实质性条款。</w:t>
      </w:r>
    </w:p>
    <w:p w14:paraId="6DC1F9E5">
      <w:pPr>
        <w:pStyle w:val="4"/>
        <w:numPr>
          <w:ilvl w:val="1"/>
          <w:numId w:val="4"/>
        </w:numPr>
        <w:spacing w:before="0" w:after="0" w:line="360" w:lineRule="auto"/>
        <w:rPr>
          <w:rFonts w:hint="eastAsia" w:cs="宋体"/>
          <w:lang w:val="en-US" w:eastAsia="zh-CN"/>
        </w:rPr>
      </w:pPr>
      <w:bookmarkStart w:id="442" w:name="_Toc28294"/>
      <w:bookmarkStart w:id="443" w:name="_Toc1407"/>
      <w:bookmarkStart w:id="444" w:name="_Toc17795"/>
      <w:bookmarkStart w:id="445" w:name="_Toc8757"/>
      <w:r>
        <w:rPr>
          <w:rFonts w:hint="eastAsia" w:cs="宋体"/>
          <w:lang w:val="en-US" w:eastAsia="zh-CN"/>
        </w:rPr>
        <w:t>入围供应商的清退</w:t>
      </w:r>
      <w:bookmarkEnd w:id="442"/>
      <w:bookmarkEnd w:id="443"/>
      <w:bookmarkEnd w:id="444"/>
      <w:r>
        <w:rPr>
          <w:rFonts w:hint="eastAsia" w:cs="宋体"/>
          <w:lang w:val="en-US" w:eastAsia="zh-CN"/>
        </w:rPr>
        <w:t>和补充</w:t>
      </w:r>
      <w:bookmarkEnd w:id="445"/>
    </w:p>
    <w:p w14:paraId="3AD5B4BE">
      <w:pPr>
        <w:numPr>
          <w:ilvl w:val="2"/>
          <w:numId w:val="4"/>
        </w:numPr>
        <w:spacing w:line="360" w:lineRule="auto"/>
        <w:ind w:firstLine="420" w:firstLineChars="200"/>
        <w:rPr>
          <w:rFonts w:hint="eastAsia"/>
        </w:rPr>
      </w:pPr>
      <w:r>
        <w:rPr>
          <w:rFonts w:hint="eastAsia"/>
          <w:szCs w:val="21"/>
        </w:rPr>
        <w:t>入围供应商无正当理由，不得主动放弃入围资格或者退出框架协议。</w:t>
      </w:r>
    </w:p>
    <w:p w14:paraId="6806A580">
      <w:pPr>
        <w:numPr>
          <w:ilvl w:val="2"/>
          <w:numId w:val="4"/>
        </w:numPr>
        <w:spacing w:line="360" w:lineRule="auto"/>
        <w:ind w:firstLine="420" w:firstLineChars="200"/>
        <w:rPr>
          <w:rFonts w:hint="eastAsia"/>
        </w:rPr>
      </w:pPr>
      <w:r>
        <w:rPr>
          <w:rFonts w:hint="eastAsia"/>
          <w:szCs w:val="21"/>
        </w:rPr>
        <w:t>入围供应商的清退</w:t>
      </w:r>
    </w:p>
    <w:p w14:paraId="46159CDE">
      <w:pPr>
        <w:adjustRightInd w:val="0"/>
        <w:snapToGrid w:val="0"/>
        <w:spacing w:line="360" w:lineRule="auto"/>
        <w:ind w:firstLine="420" w:firstLineChars="200"/>
        <w:rPr>
          <w:rFonts w:hint="eastAsia"/>
          <w:szCs w:val="21"/>
        </w:rPr>
      </w:pPr>
      <w:r>
        <w:rPr>
          <w:rFonts w:hint="eastAsia"/>
          <w:szCs w:val="21"/>
        </w:rPr>
        <w:t>入围供应商有下列情形之一，尚未签订框架协议的，取消其入围资格；已经签订框架协议的，解除与其签订的框架协议：</w:t>
      </w:r>
    </w:p>
    <w:p w14:paraId="2E02B36C">
      <w:pPr>
        <w:adjustRightInd w:val="0"/>
        <w:snapToGrid w:val="0"/>
        <w:spacing w:line="360" w:lineRule="auto"/>
        <w:ind w:firstLine="420" w:firstLineChars="200"/>
        <w:rPr>
          <w:rFonts w:hint="eastAsia"/>
          <w:szCs w:val="21"/>
        </w:rPr>
      </w:pPr>
      <w:r>
        <w:rPr>
          <w:rFonts w:hint="eastAsia"/>
          <w:szCs w:val="21"/>
        </w:rPr>
        <w:t>（一）恶意串通谋取入围或者合同成交的；</w:t>
      </w:r>
    </w:p>
    <w:p w14:paraId="009CCD81">
      <w:pPr>
        <w:adjustRightInd w:val="0"/>
        <w:snapToGrid w:val="0"/>
        <w:spacing w:line="360" w:lineRule="auto"/>
        <w:ind w:firstLine="420" w:firstLineChars="200"/>
        <w:rPr>
          <w:rFonts w:hint="eastAsia"/>
          <w:szCs w:val="21"/>
        </w:rPr>
      </w:pPr>
      <w:r>
        <w:rPr>
          <w:rFonts w:hint="eastAsia"/>
          <w:szCs w:val="21"/>
        </w:rPr>
        <w:t>（二）提供虚假材料谋取入围或者合同成交的</w:t>
      </w:r>
    </w:p>
    <w:p w14:paraId="2CE9DA27">
      <w:pPr>
        <w:adjustRightInd w:val="0"/>
        <w:snapToGrid w:val="0"/>
        <w:spacing w:line="360" w:lineRule="auto"/>
        <w:ind w:firstLine="420" w:firstLineChars="200"/>
        <w:rPr>
          <w:rFonts w:hint="eastAsia"/>
          <w:szCs w:val="21"/>
        </w:rPr>
      </w:pPr>
      <w:r>
        <w:rPr>
          <w:rFonts w:hint="eastAsia"/>
          <w:szCs w:val="21"/>
        </w:rPr>
        <w:t>（三）无正当理由拒不接受合同授予的； </w:t>
      </w:r>
    </w:p>
    <w:p w14:paraId="44457A03">
      <w:pPr>
        <w:adjustRightInd w:val="0"/>
        <w:snapToGrid w:val="0"/>
        <w:spacing w:line="360" w:lineRule="auto"/>
        <w:ind w:firstLine="420" w:firstLineChars="200"/>
        <w:rPr>
          <w:rFonts w:hint="eastAsia"/>
          <w:szCs w:val="21"/>
        </w:rPr>
      </w:pPr>
      <w:r>
        <w:rPr>
          <w:rFonts w:hint="eastAsia"/>
          <w:szCs w:val="21"/>
        </w:rPr>
        <w:t>（四）不履行合同义务或者履行合同义务不符合约定，经采购人请求履行后仍不履行或者仍未按约定履行的；</w:t>
      </w:r>
    </w:p>
    <w:p w14:paraId="227F5E70">
      <w:pPr>
        <w:adjustRightInd w:val="0"/>
        <w:snapToGrid w:val="0"/>
        <w:spacing w:line="360" w:lineRule="auto"/>
        <w:ind w:firstLine="420" w:firstLineChars="200"/>
        <w:rPr>
          <w:rFonts w:hint="eastAsia"/>
          <w:szCs w:val="21"/>
        </w:rPr>
      </w:pPr>
      <w:r>
        <w:rPr>
          <w:rFonts w:hint="eastAsia"/>
          <w:szCs w:val="21"/>
        </w:rPr>
        <w:t>（五）框架协议有效期内，因违法行为被禁止或限制参加政府采购活动的；</w:t>
      </w:r>
    </w:p>
    <w:p w14:paraId="1D01F76E">
      <w:pPr>
        <w:adjustRightInd w:val="0"/>
        <w:snapToGrid w:val="0"/>
        <w:spacing w:line="360" w:lineRule="auto"/>
        <w:ind w:firstLine="420" w:firstLineChars="200"/>
        <w:rPr>
          <w:rFonts w:hint="eastAsia"/>
          <w:szCs w:val="21"/>
        </w:rPr>
      </w:pPr>
      <w:r>
        <w:rPr>
          <w:rFonts w:hint="eastAsia"/>
          <w:szCs w:val="21"/>
        </w:rPr>
        <w:t>（六）框架协议约定的其他情形。</w:t>
      </w:r>
    </w:p>
    <w:p w14:paraId="70CDCDB8">
      <w:pPr>
        <w:adjustRightInd w:val="0"/>
        <w:snapToGrid w:val="0"/>
        <w:spacing w:line="360" w:lineRule="auto"/>
        <w:ind w:firstLine="420" w:firstLineChars="200"/>
        <w:rPr>
          <w:rFonts w:hint="eastAsia"/>
          <w:szCs w:val="21"/>
        </w:rPr>
      </w:pPr>
      <w:r>
        <w:rPr>
          <w:rFonts w:hint="eastAsia"/>
          <w:szCs w:val="21"/>
        </w:rPr>
        <w:t>6.7.3除剩余入围供应商不足入围供应商总数70%且影响框架协议执行的情形外，框架协议有效期内，征集人不得补充征集供应商。</w:t>
      </w:r>
    </w:p>
    <w:p w14:paraId="484D2036">
      <w:pPr>
        <w:pStyle w:val="3"/>
        <w:numPr>
          <w:ilvl w:val="0"/>
          <w:numId w:val="4"/>
        </w:numPr>
        <w:tabs>
          <w:tab w:val="left" w:pos="721"/>
          <w:tab w:val="left" w:pos="2880"/>
          <w:tab w:val="left" w:pos="3780"/>
        </w:tabs>
        <w:spacing w:before="0" w:after="0" w:line="360" w:lineRule="auto"/>
        <w:ind w:left="0" w:firstLine="0"/>
        <w:jc w:val="both"/>
        <w:rPr>
          <w:rFonts w:hint="eastAsia" w:ascii="宋体" w:hAnsi="宋体" w:eastAsia="宋体" w:cs="宋体"/>
          <w:sz w:val="24"/>
          <w:szCs w:val="24"/>
          <w:lang w:val="en-US" w:eastAsia="zh-CN"/>
        </w:rPr>
      </w:pPr>
      <w:bookmarkStart w:id="446" w:name="_Toc1998"/>
      <w:r>
        <w:rPr>
          <w:rFonts w:hint="eastAsia" w:ascii="宋体" w:hAnsi="宋体" w:eastAsia="宋体" w:cs="宋体"/>
          <w:sz w:val="24"/>
          <w:szCs w:val="24"/>
          <w:lang w:val="en-US" w:eastAsia="zh-CN"/>
        </w:rPr>
        <w:t>采购代理服务费</w:t>
      </w:r>
      <w:bookmarkEnd w:id="446"/>
    </w:p>
    <w:p w14:paraId="30197997">
      <w:pPr>
        <w:numPr>
          <w:ilvl w:val="2"/>
          <w:numId w:val="4"/>
        </w:numPr>
        <w:spacing w:line="360" w:lineRule="auto"/>
        <w:ind w:firstLine="420" w:firstLineChars="200"/>
        <w:rPr>
          <w:rFonts w:hint="eastAsia"/>
        </w:rPr>
      </w:pPr>
      <w:r>
        <w:rPr>
          <w:rFonts w:hint="eastAsia"/>
          <w:szCs w:val="21"/>
          <w:shd w:val="clear" w:color="auto" w:fill="FFFFFF"/>
        </w:rPr>
        <w:t>入围单位在领取入围通知书时应向采购代理机构支付采购代理服务费。</w:t>
      </w:r>
    </w:p>
    <w:p w14:paraId="6324B346">
      <w:pPr>
        <w:pStyle w:val="3"/>
        <w:numPr>
          <w:ilvl w:val="0"/>
          <w:numId w:val="4"/>
        </w:numPr>
        <w:tabs>
          <w:tab w:val="left" w:pos="721"/>
          <w:tab w:val="left" w:pos="2880"/>
          <w:tab w:val="left" w:pos="3780"/>
        </w:tabs>
        <w:spacing w:before="0" w:after="0" w:line="360" w:lineRule="auto"/>
        <w:ind w:left="0" w:firstLine="0"/>
        <w:jc w:val="both"/>
        <w:rPr>
          <w:rFonts w:hint="eastAsia" w:ascii="宋体" w:hAnsi="宋体" w:eastAsia="宋体"/>
          <w:sz w:val="24"/>
          <w:szCs w:val="24"/>
          <w:lang w:val="en-US" w:eastAsia="zh-CN"/>
        </w:rPr>
      </w:pPr>
      <w:bookmarkStart w:id="447" w:name="_Toc8289"/>
      <w:r>
        <w:rPr>
          <w:rFonts w:hint="eastAsia" w:ascii="宋体" w:hAnsi="宋体" w:eastAsia="宋体"/>
          <w:sz w:val="24"/>
          <w:szCs w:val="24"/>
          <w:lang w:val="en-US" w:eastAsia="zh-CN"/>
        </w:rPr>
        <w:t>需要补充的其他内容</w:t>
      </w:r>
      <w:bookmarkEnd w:id="447"/>
    </w:p>
    <w:p w14:paraId="6C8291E6">
      <w:pPr>
        <w:numPr>
          <w:ilvl w:val="1"/>
          <w:numId w:val="4"/>
        </w:numPr>
        <w:spacing w:line="360" w:lineRule="auto"/>
        <w:ind w:firstLine="420" w:firstLineChars="200"/>
        <w:rPr>
          <w:rFonts w:hint="eastAsia"/>
          <w:szCs w:val="21"/>
        </w:rPr>
      </w:pPr>
      <w:r>
        <w:rPr>
          <w:rFonts w:hint="eastAsia"/>
          <w:szCs w:val="21"/>
        </w:rPr>
        <w:t>需要补充的其他内容：见供应商须知前附表。</w:t>
      </w:r>
    </w:p>
    <w:p w14:paraId="79D24D87">
      <w:pPr>
        <w:keepNext w:val="0"/>
        <w:keepLines w:val="0"/>
        <w:pageBreakBefore w:val="0"/>
        <w:widowControl/>
        <w:suppressLineNumbers w:val="0"/>
        <w:kinsoku/>
        <w:wordWrap/>
        <w:overflowPunct/>
        <w:topLinePunct w:val="0"/>
        <w:bidi w:val="0"/>
        <w:snapToGrid/>
        <w:spacing w:line="440" w:lineRule="exact"/>
        <w:ind w:firstLine="602" w:firstLineChars="200"/>
        <w:jc w:val="left"/>
        <w:textAlignment w:val="auto"/>
        <w:rPr>
          <w:rStyle w:val="42"/>
          <w:rFonts w:hint="eastAsia"/>
          <w:b/>
          <w:bCs w:val="0"/>
          <w:szCs w:val="22"/>
          <w:lang w:val="en-US" w:eastAsia="zh-CN"/>
        </w:rPr>
      </w:pPr>
    </w:p>
    <w:p w14:paraId="58D0BD4A">
      <w:pPr>
        <w:bidi w:val="0"/>
        <w:rPr>
          <w:rStyle w:val="42"/>
          <w:rFonts w:hint="eastAsia"/>
          <w:b/>
          <w:bCs w:val="0"/>
          <w:szCs w:val="22"/>
          <w:lang w:val="en-US" w:eastAsia="zh-CN"/>
        </w:rPr>
      </w:pPr>
    </w:p>
    <w:p w14:paraId="73E5F4C1">
      <w:pPr>
        <w:bidi w:val="0"/>
        <w:rPr>
          <w:rStyle w:val="42"/>
          <w:rFonts w:hint="eastAsia"/>
          <w:b/>
          <w:bCs w:val="0"/>
          <w:szCs w:val="22"/>
          <w:lang w:val="en-US" w:eastAsia="zh-CN"/>
        </w:rPr>
      </w:pPr>
    </w:p>
    <w:p w14:paraId="3779B7D6">
      <w:pPr>
        <w:bidi w:val="0"/>
        <w:rPr>
          <w:rStyle w:val="42"/>
          <w:rFonts w:hint="eastAsia"/>
          <w:b/>
          <w:bCs w:val="0"/>
          <w:szCs w:val="22"/>
          <w:lang w:val="en-US" w:eastAsia="zh-CN"/>
        </w:rPr>
      </w:pPr>
    </w:p>
    <w:p w14:paraId="51CFE2F9">
      <w:pPr>
        <w:bidi w:val="0"/>
        <w:rPr>
          <w:rStyle w:val="42"/>
          <w:rFonts w:hint="eastAsia"/>
          <w:b/>
          <w:bCs w:val="0"/>
          <w:szCs w:val="22"/>
          <w:lang w:val="en-US" w:eastAsia="zh-CN"/>
        </w:rPr>
      </w:pPr>
    </w:p>
    <w:p w14:paraId="1BBF9042">
      <w:pPr>
        <w:bidi w:val="0"/>
        <w:jc w:val="left"/>
        <w:rPr>
          <w:rFonts w:hint="eastAsia"/>
          <w:lang w:val="en-US" w:eastAsia="zh-CN"/>
        </w:rPr>
      </w:pPr>
      <w:r>
        <w:rPr>
          <w:rStyle w:val="42"/>
          <w:rFonts w:hint="eastAsia"/>
          <w:b/>
          <w:bCs w:val="0"/>
          <w:szCs w:val="22"/>
          <w:lang w:val="en-US" w:eastAsia="zh-CN"/>
        </w:rPr>
        <w:br w:type="page"/>
      </w:r>
      <w:bookmarkStart w:id="448" w:name="_Toc5247"/>
      <w:r>
        <w:rPr>
          <w:rStyle w:val="42"/>
          <w:rFonts w:hint="eastAsia"/>
          <w:b/>
          <w:bCs w:val="0"/>
          <w:szCs w:val="22"/>
          <w:lang w:val="en-US" w:eastAsia="zh-CN"/>
        </w:rPr>
        <w:t xml:space="preserve">            </w:t>
      </w:r>
      <w:r>
        <w:rPr>
          <w:rStyle w:val="42"/>
          <w:rFonts w:hint="eastAsia"/>
          <w:b/>
          <w:bCs w:val="0"/>
          <w:sz w:val="30"/>
          <w:szCs w:val="30"/>
          <w:lang w:val="en-US" w:eastAsia="zh-CN"/>
        </w:rPr>
        <w:t xml:space="preserve"> </w:t>
      </w:r>
      <w:r>
        <w:rPr>
          <w:rFonts w:hint="eastAsia"/>
          <w:b/>
          <w:bCs w:val="0"/>
          <w:sz w:val="30"/>
          <w:szCs w:val="30"/>
          <w:lang w:val="en-US" w:eastAsia="zh-CN"/>
        </w:rPr>
        <w:t xml:space="preserve">  第三章  评审方法（质量优先法）</w:t>
      </w:r>
      <w:bookmarkEnd w:id="448"/>
    </w:p>
    <w:p w14:paraId="0EFCAD72">
      <w:pPr>
        <w:keepNext w:val="0"/>
        <w:keepLines w:val="0"/>
        <w:pageBreakBefore w:val="0"/>
        <w:widowControl/>
        <w:suppressLineNumbers w:val="0"/>
        <w:kinsoku/>
        <w:wordWrap/>
        <w:overflowPunct/>
        <w:topLinePunct w:val="0"/>
        <w:bidi w:val="0"/>
        <w:snapToGrid/>
        <w:spacing w:line="440" w:lineRule="exact"/>
        <w:ind w:firstLine="482" w:firstLineChars="200"/>
        <w:jc w:val="center"/>
        <w:textAlignment w:val="auto"/>
        <w:rPr>
          <w:rFonts w:hint="eastAsia"/>
          <w:b/>
          <w:bCs/>
          <w:sz w:val="24"/>
          <w:szCs w:val="24"/>
        </w:rPr>
      </w:pPr>
      <w:bookmarkStart w:id="449" w:name="_Toc30398"/>
      <w:bookmarkStart w:id="450" w:name="_Toc21173"/>
      <w:bookmarkStart w:id="451" w:name="_Toc28882"/>
      <w:bookmarkStart w:id="452" w:name="_Toc31431"/>
      <w:bookmarkStart w:id="453" w:name="_Toc27033"/>
      <w:bookmarkStart w:id="454" w:name="_Toc4018"/>
      <w:bookmarkStart w:id="455" w:name="_Toc27205"/>
      <w:bookmarkStart w:id="456" w:name="_Toc12487"/>
      <w:bookmarkStart w:id="457" w:name="_Toc32551"/>
      <w:bookmarkStart w:id="458" w:name="_Toc10606"/>
      <w:bookmarkStart w:id="459" w:name="_Toc13197"/>
      <w:bookmarkStart w:id="460" w:name="_Toc30806"/>
      <w:r>
        <w:rPr>
          <w:rFonts w:hint="eastAsia"/>
          <w:b/>
          <w:bCs/>
          <w:sz w:val="24"/>
          <w:szCs w:val="24"/>
          <w:lang w:eastAsia="zh-CN"/>
        </w:rPr>
        <w:t>一、</w:t>
      </w:r>
      <w:r>
        <w:rPr>
          <w:rFonts w:hint="eastAsia"/>
          <w:b/>
          <w:bCs/>
          <w:sz w:val="24"/>
          <w:szCs w:val="24"/>
        </w:rPr>
        <w:t>资格审查</w:t>
      </w:r>
      <w:r>
        <w:rPr>
          <w:rFonts w:hint="eastAsia"/>
          <w:b/>
          <w:bCs/>
          <w:sz w:val="24"/>
          <w:szCs w:val="24"/>
          <w:lang w:eastAsia="zh-CN"/>
        </w:rPr>
        <w:t>前附</w:t>
      </w:r>
      <w:r>
        <w:rPr>
          <w:rFonts w:hint="eastAsia"/>
          <w:b/>
          <w:bCs/>
          <w:sz w:val="24"/>
          <w:szCs w:val="24"/>
        </w:rPr>
        <w:t>表</w:t>
      </w:r>
      <w:bookmarkEnd w:id="449"/>
      <w:bookmarkEnd w:id="450"/>
      <w:bookmarkEnd w:id="451"/>
      <w:bookmarkEnd w:id="452"/>
      <w:bookmarkEnd w:id="453"/>
      <w:bookmarkEnd w:id="454"/>
      <w:bookmarkEnd w:id="455"/>
      <w:bookmarkEnd w:id="456"/>
      <w:bookmarkEnd w:id="457"/>
      <w:bookmarkEnd w:id="458"/>
      <w:bookmarkEnd w:id="459"/>
      <w:bookmarkEnd w:id="460"/>
    </w:p>
    <w:tbl>
      <w:tblPr>
        <w:tblStyle w:val="31"/>
        <w:tblW w:w="9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3649"/>
        <w:gridCol w:w="4887"/>
      </w:tblGrid>
      <w:tr w14:paraId="5DA4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exact"/>
          <w:jc w:val="center"/>
        </w:trPr>
        <w:tc>
          <w:tcPr>
            <w:tcW w:w="984" w:type="dxa"/>
            <w:noWrap w:val="0"/>
            <w:vAlign w:val="center"/>
          </w:tcPr>
          <w:p w14:paraId="5FD2F066">
            <w:pPr>
              <w:widowControl/>
              <w:spacing w:before="72" w:beforeLines="30" w:line="288" w:lineRule="auto"/>
              <w:jc w:val="center"/>
              <w:rPr>
                <w:rFonts w:hint="eastAsia"/>
                <w:b/>
                <w:bCs/>
                <w:kern w:val="0"/>
                <w:szCs w:val="21"/>
              </w:rPr>
            </w:pPr>
            <w:r>
              <w:rPr>
                <w:rFonts w:hint="eastAsia"/>
                <w:b/>
                <w:bCs/>
                <w:kern w:val="0"/>
                <w:szCs w:val="21"/>
              </w:rPr>
              <w:t>条款</w:t>
            </w:r>
          </w:p>
        </w:tc>
        <w:tc>
          <w:tcPr>
            <w:tcW w:w="3649" w:type="dxa"/>
            <w:noWrap w:val="0"/>
            <w:vAlign w:val="center"/>
          </w:tcPr>
          <w:p w14:paraId="0807A64D">
            <w:pPr>
              <w:widowControl/>
              <w:spacing w:before="72" w:beforeLines="30" w:line="288" w:lineRule="auto"/>
              <w:jc w:val="center"/>
              <w:rPr>
                <w:rFonts w:hint="eastAsia"/>
                <w:b/>
                <w:bCs/>
                <w:kern w:val="0"/>
                <w:szCs w:val="21"/>
              </w:rPr>
            </w:pPr>
            <w:r>
              <w:rPr>
                <w:rFonts w:hint="eastAsia"/>
                <w:b/>
                <w:bCs/>
                <w:kern w:val="0"/>
                <w:szCs w:val="21"/>
              </w:rPr>
              <w:t>评审因素</w:t>
            </w:r>
          </w:p>
        </w:tc>
        <w:tc>
          <w:tcPr>
            <w:tcW w:w="4887" w:type="dxa"/>
            <w:noWrap w:val="0"/>
            <w:vAlign w:val="center"/>
          </w:tcPr>
          <w:p w14:paraId="6FECFD49">
            <w:pPr>
              <w:widowControl/>
              <w:spacing w:before="72" w:beforeLines="30" w:line="288" w:lineRule="auto"/>
              <w:jc w:val="center"/>
              <w:rPr>
                <w:rFonts w:hint="eastAsia"/>
                <w:b/>
                <w:bCs/>
                <w:kern w:val="0"/>
                <w:szCs w:val="21"/>
              </w:rPr>
            </w:pPr>
            <w:r>
              <w:rPr>
                <w:rFonts w:hint="eastAsia"/>
                <w:b/>
                <w:bCs/>
                <w:kern w:val="0"/>
                <w:szCs w:val="21"/>
              </w:rPr>
              <w:t>评审标准</w:t>
            </w:r>
          </w:p>
        </w:tc>
      </w:tr>
      <w:tr w14:paraId="033C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984" w:type="dxa"/>
            <w:vMerge w:val="restart"/>
            <w:noWrap w:val="0"/>
            <w:vAlign w:val="center"/>
          </w:tcPr>
          <w:p w14:paraId="74BAE1FE">
            <w:pPr>
              <w:widowControl/>
              <w:spacing w:before="72" w:beforeLines="30" w:line="288" w:lineRule="auto"/>
              <w:jc w:val="center"/>
              <w:rPr>
                <w:rFonts w:hint="eastAsia"/>
                <w:kern w:val="0"/>
                <w:szCs w:val="21"/>
              </w:rPr>
            </w:pPr>
            <w:r>
              <w:rPr>
                <w:rFonts w:hint="eastAsia"/>
                <w:szCs w:val="21"/>
              </w:rPr>
              <w:t>资格审查</w:t>
            </w:r>
            <w:r>
              <w:rPr>
                <w:rFonts w:hint="eastAsia"/>
                <w:kern w:val="0"/>
                <w:szCs w:val="21"/>
              </w:rPr>
              <w:t>标准</w:t>
            </w:r>
          </w:p>
        </w:tc>
        <w:tc>
          <w:tcPr>
            <w:tcW w:w="3649" w:type="dxa"/>
            <w:noWrap w:val="0"/>
            <w:vAlign w:val="center"/>
          </w:tcPr>
          <w:p w14:paraId="49183C31">
            <w:pPr>
              <w:widowControl/>
              <w:spacing w:before="72" w:beforeLines="30" w:line="288"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供应商名称</w:t>
            </w:r>
          </w:p>
        </w:tc>
        <w:tc>
          <w:tcPr>
            <w:tcW w:w="4887" w:type="dxa"/>
            <w:noWrap w:val="0"/>
            <w:vAlign w:val="center"/>
          </w:tcPr>
          <w:p w14:paraId="34F4E74C">
            <w:pPr>
              <w:widowControl/>
              <w:spacing w:before="72" w:beforeLines="30" w:line="288" w:lineRule="auto"/>
              <w:jc w:val="center"/>
              <w:rPr>
                <w:rFonts w:hint="eastAsia" w:ascii="宋体" w:hAnsi="宋体" w:eastAsia="宋体" w:cs="宋体"/>
                <w:kern w:val="0"/>
                <w:sz w:val="21"/>
                <w:szCs w:val="21"/>
              </w:rPr>
            </w:pPr>
            <w:r>
              <w:rPr>
                <w:rFonts w:hint="eastAsia" w:ascii="宋体" w:hAnsi="宋体" w:eastAsia="宋体" w:cs="宋体"/>
                <w:kern w:val="0"/>
                <w:sz w:val="21"/>
                <w:szCs w:val="21"/>
                <w:highlight w:val="none"/>
              </w:rPr>
              <w:t>与营业执照一致</w:t>
            </w:r>
          </w:p>
        </w:tc>
      </w:tr>
      <w:tr w14:paraId="2691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984" w:type="dxa"/>
            <w:vMerge w:val="continue"/>
            <w:noWrap w:val="0"/>
            <w:vAlign w:val="center"/>
          </w:tcPr>
          <w:p w14:paraId="632C50FE">
            <w:pPr>
              <w:widowControl/>
              <w:spacing w:before="72" w:beforeLines="30" w:line="288" w:lineRule="auto"/>
              <w:jc w:val="center"/>
              <w:rPr>
                <w:rFonts w:hint="eastAsia"/>
                <w:szCs w:val="21"/>
              </w:rPr>
            </w:pPr>
          </w:p>
        </w:tc>
        <w:tc>
          <w:tcPr>
            <w:tcW w:w="3649" w:type="dxa"/>
            <w:shd w:val="clear" w:color="auto" w:fill="auto"/>
            <w:noWrap w:val="0"/>
            <w:vAlign w:val="center"/>
          </w:tcPr>
          <w:p w14:paraId="2E8A1DB2">
            <w:pPr>
              <w:widowControl/>
              <w:spacing w:before="72" w:beforeLines="30" w:line="288" w:lineRule="auto"/>
              <w:jc w:val="center"/>
              <w:rPr>
                <w:rFonts w:hint="eastAsia" w:ascii="宋体" w:hAnsi="宋体" w:eastAsia="宋体" w:cs="宋体"/>
                <w:kern w:val="0"/>
                <w:sz w:val="21"/>
                <w:szCs w:val="21"/>
                <w:lang w:val="en-US" w:eastAsia="zh-CN" w:bidi="ar-SA"/>
              </w:rPr>
            </w:pPr>
            <w:r>
              <w:rPr>
                <w:rFonts w:hint="eastAsia" w:ascii="宋体" w:hAnsi="宋体" w:eastAsia="宋体" w:cs="宋体"/>
                <w:color w:val="auto"/>
                <w:sz w:val="21"/>
                <w:szCs w:val="21"/>
                <w:highlight w:val="none"/>
              </w:rPr>
              <w:t>满足《中华人民共和国政府采购法》第二十</w:t>
            </w:r>
            <w:r>
              <w:rPr>
                <w:rFonts w:hint="eastAsia" w:ascii="宋体" w:hAnsi="宋体" w:eastAsia="宋体" w:cs="宋体"/>
                <w:color w:val="auto"/>
                <w:sz w:val="21"/>
                <w:szCs w:val="21"/>
              </w:rPr>
              <w:t>二条规定</w:t>
            </w:r>
          </w:p>
        </w:tc>
        <w:tc>
          <w:tcPr>
            <w:tcW w:w="4887" w:type="dxa"/>
            <w:shd w:val="clear" w:color="auto" w:fill="auto"/>
            <w:noWrap w:val="0"/>
            <w:vAlign w:val="center"/>
          </w:tcPr>
          <w:p w14:paraId="55254FF7">
            <w:pPr>
              <w:widowControl/>
              <w:spacing w:before="72" w:beforeLines="30" w:line="288" w:lineRule="auto"/>
              <w:jc w:val="center"/>
              <w:rPr>
                <w:rFonts w:hint="eastAsia" w:ascii="宋体" w:hAnsi="宋体" w:eastAsia="宋体" w:cs="宋体"/>
                <w:kern w:val="0"/>
                <w:sz w:val="21"/>
                <w:szCs w:val="21"/>
                <w:lang w:val="en-US" w:eastAsia="zh-CN" w:bidi="ar-SA"/>
              </w:rPr>
            </w:pPr>
            <w:r>
              <w:rPr>
                <w:rFonts w:hint="eastAsia" w:ascii="宋体" w:hAnsi="宋体" w:cs="宋体"/>
                <w:sz w:val="21"/>
                <w:szCs w:val="21"/>
              </w:rPr>
              <w:t>按</w:t>
            </w:r>
            <w:r>
              <w:rPr>
                <w:rFonts w:hint="eastAsia" w:cs="宋体"/>
                <w:sz w:val="21"/>
                <w:szCs w:val="21"/>
                <w:lang w:val="en-US" w:eastAsia="zh-CN"/>
              </w:rPr>
              <w:t>征集</w:t>
            </w:r>
            <w:r>
              <w:rPr>
                <w:rFonts w:hint="eastAsia" w:ascii="宋体" w:hAnsi="宋体" w:cs="宋体"/>
                <w:sz w:val="21"/>
                <w:szCs w:val="21"/>
              </w:rPr>
              <w:t>文件要求的格式提供“资格承诺声明函”</w:t>
            </w:r>
          </w:p>
        </w:tc>
      </w:tr>
      <w:tr w14:paraId="73C0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984" w:type="dxa"/>
            <w:vMerge w:val="continue"/>
            <w:noWrap w:val="0"/>
            <w:vAlign w:val="center"/>
          </w:tcPr>
          <w:p w14:paraId="18F7D7B4">
            <w:pPr>
              <w:widowControl/>
              <w:spacing w:before="72" w:beforeLines="30" w:line="288" w:lineRule="auto"/>
              <w:jc w:val="center"/>
              <w:rPr>
                <w:rFonts w:hint="eastAsia"/>
                <w:kern w:val="0"/>
                <w:szCs w:val="21"/>
              </w:rPr>
            </w:pPr>
          </w:p>
        </w:tc>
        <w:tc>
          <w:tcPr>
            <w:tcW w:w="3649" w:type="dxa"/>
            <w:noWrap w:val="0"/>
            <w:vAlign w:val="center"/>
          </w:tcPr>
          <w:p w14:paraId="77D320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color w:val="auto"/>
                <w:sz w:val="21"/>
                <w:szCs w:val="21"/>
              </w:rPr>
            </w:pPr>
            <w:r>
              <w:rPr>
                <w:rFonts w:hint="eastAsia" w:ascii="宋体" w:hAnsi="宋体" w:cs="宋体"/>
                <w:color w:val="auto"/>
                <w:sz w:val="21"/>
                <w:szCs w:val="21"/>
              </w:rPr>
              <w:t>落实政府采购政策满足的</w:t>
            </w:r>
          </w:p>
          <w:p w14:paraId="0224E78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0"/>
                <w:sz w:val="21"/>
                <w:szCs w:val="21"/>
              </w:rPr>
            </w:pPr>
            <w:r>
              <w:rPr>
                <w:rFonts w:hint="eastAsia" w:ascii="宋体" w:hAnsi="宋体" w:cs="宋体"/>
                <w:color w:val="auto"/>
                <w:sz w:val="21"/>
                <w:szCs w:val="21"/>
              </w:rPr>
              <w:t>资格要求</w:t>
            </w:r>
          </w:p>
        </w:tc>
        <w:tc>
          <w:tcPr>
            <w:tcW w:w="4887" w:type="dxa"/>
            <w:noWrap w:val="0"/>
            <w:vAlign w:val="center"/>
          </w:tcPr>
          <w:p w14:paraId="030AC7E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kern w:val="0"/>
                <w:sz w:val="21"/>
                <w:szCs w:val="21"/>
              </w:rPr>
            </w:pPr>
            <w:r>
              <w:rPr>
                <w:rFonts w:hint="eastAsia" w:ascii="宋体" w:hAnsi="宋体" w:cs="宋体"/>
                <w:color w:val="auto"/>
                <w:sz w:val="21"/>
                <w:szCs w:val="21"/>
              </w:rPr>
              <w:t>须提供《中小企业声明函》或残疾人福利性单位声明函或监狱企业证明材料</w:t>
            </w:r>
          </w:p>
        </w:tc>
      </w:tr>
      <w:tr w14:paraId="06AB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84" w:type="dxa"/>
            <w:vMerge w:val="continue"/>
            <w:noWrap w:val="0"/>
            <w:vAlign w:val="center"/>
          </w:tcPr>
          <w:p w14:paraId="501BE9C8">
            <w:pPr>
              <w:widowControl/>
              <w:spacing w:before="72" w:beforeLines="30" w:line="288" w:lineRule="auto"/>
              <w:jc w:val="center"/>
              <w:rPr>
                <w:rFonts w:hint="eastAsia"/>
                <w:kern w:val="0"/>
                <w:szCs w:val="21"/>
              </w:rPr>
            </w:pPr>
          </w:p>
        </w:tc>
        <w:tc>
          <w:tcPr>
            <w:tcW w:w="3649" w:type="dxa"/>
            <w:noWrap w:val="0"/>
            <w:vAlign w:val="center"/>
          </w:tcPr>
          <w:p w14:paraId="7D9F304F">
            <w:pPr>
              <w:widowControl/>
              <w:spacing w:before="72" w:beforeLines="30" w:line="288" w:lineRule="auto"/>
              <w:jc w:val="center"/>
              <w:rPr>
                <w:rFonts w:hint="eastAsia" w:ascii="宋体" w:hAnsi="宋体" w:eastAsia="宋体" w:cs="宋体"/>
                <w:sz w:val="21"/>
                <w:szCs w:val="21"/>
                <w:lang w:val="en-US" w:eastAsia="zh-CN"/>
              </w:rPr>
            </w:pPr>
            <w:r>
              <w:rPr>
                <w:rFonts w:hint="eastAsia" w:cs="宋体"/>
                <w:sz w:val="21"/>
                <w:szCs w:val="21"/>
                <w:lang w:val="en-US" w:eastAsia="zh-CN"/>
              </w:rPr>
              <w:t>营业执照</w:t>
            </w:r>
          </w:p>
        </w:tc>
        <w:tc>
          <w:tcPr>
            <w:tcW w:w="4887" w:type="dxa"/>
            <w:noWrap w:val="0"/>
            <w:vAlign w:val="center"/>
          </w:tcPr>
          <w:p w14:paraId="7D7ECBED">
            <w:pPr>
              <w:widowControl/>
              <w:spacing w:before="72" w:beforeLines="30" w:line="288" w:lineRule="auto"/>
              <w:jc w:val="center"/>
              <w:rPr>
                <w:rFonts w:hint="eastAsia" w:ascii="宋体" w:hAnsi="宋体" w:cs="宋体"/>
                <w:szCs w:val="21"/>
              </w:rPr>
            </w:pPr>
            <w:r>
              <w:rPr>
                <w:rFonts w:hint="eastAsia" w:ascii="宋体" w:hAnsi="宋体" w:eastAsia="宋体" w:cs="宋体"/>
                <w:kern w:val="0"/>
                <w:sz w:val="21"/>
                <w:szCs w:val="21"/>
              </w:rPr>
              <w:t>符合第二章“供应商须知前附表”第1.4.1项规定</w:t>
            </w:r>
          </w:p>
        </w:tc>
      </w:tr>
      <w:tr w14:paraId="6741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84" w:type="dxa"/>
            <w:vMerge w:val="continue"/>
            <w:noWrap w:val="0"/>
            <w:vAlign w:val="center"/>
          </w:tcPr>
          <w:p w14:paraId="7F5ECFEB">
            <w:pPr>
              <w:widowControl/>
              <w:spacing w:before="72" w:beforeLines="30" w:line="288" w:lineRule="auto"/>
              <w:jc w:val="center"/>
              <w:rPr>
                <w:rFonts w:hint="eastAsia"/>
                <w:kern w:val="0"/>
                <w:szCs w:val="21"/>
              </w:rPr>
            </w:pPr>
          </w:p>
        </w:tc>
        <w:tc>
          <w:tcPr>
            <w:tcW w:w="3649" w:type="dxa"/>
            <w:noWrap w:val="0"/>
            <w:vAlign w:val="center"/>
          </w:tcPr>
          <w:p w14:paraId="46962832">
            <w:pPr>
              <w:widowControl/>
              <w:spacing w:before="72" w:beforeLines="30" w:line="288" w:lineRule="auto"/>
              <w:jc w:val="center"/>
              <w:rPr>
                <w:rFonts w:hint="default" w:ascii="宋体" w:hAnsi="宋体" w:cs="宋体"/>
                <w:kern w:val="2"/>
                <w:sz w:val="21"/>
                <w:szCs w:val="21"/>
                <w:lang w:val="en-US" w:eastAsia="zh-CN" w:bidi="ar-SA"/>
              </w:rPr>
            </w:pPr>
            <w:r>
              <w:rPr>
                <w:rFonts w:hint="eastAsia" w:cs="宋体"/>
                <w:kern w:val="2"/>
                <w:sz w:val="21"/>
                <w:szCs w:val="21"/>
                <w:lang w:val="en-US" w:eastAsia="zh-CN" w:bidi="ar-SA"/>
              </w:rPr>
              <w:t>信用结果查询</w:t>
            </w:r>
          </w:p>
        </w:tc>
        <w:tc>
          <w:tcPr>
            <w:tcW w:w="4887" w:type="dxa"/>
            <w:noWrap w:val="0"/>
            <w:vAlign w:val="center"/>
          </w:tcPr>
          <w:p w14:paraId="6F806E34">
            <w:pPr>
              <w:widowControl/>
              <w:spacing w:before="72" w:beforeLines="30" w:line="288" w:lineRule="auto"/>
              <w:jc w:val="center"/>
              <w:rPr>
                <w:rFonts w:hint="eastAsia" w:ascii="宋体" w:hAnsi="宋体" w:cs="宋体"/>
                <w:szCs w:val="21"/>
              </w:rPr>
            </w:pPr>
            <w:r>
              <w:rPr>
                <w:rFonts w:hint="eastAsia" w:ascii="宋体" w:hAnsi="宋体" w:eastAsia="宋体" w:cs="宋体"/>
                <w:kern w:val="0"/>
                <w:sz w:val="21"/>
                <w:szCs w:val="21"/>
              </w:rPr>
              <w:t>符合第二章“供应商须知前附表”第1.4.1项规定</w:t>
            </w:r>
          </w:p>
        </w:tc>
      </w:tr>
      <w:tr w14:paraId="5871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84" w:type="dxa"/>
            <w:vMerge w:val="continue"/>
            <w:noWrap w:val="0"/>
            <w:vAlign w:val="center"/>
          </w:tcPr>
          <w:p w14:paraId="5DC84008">
            <w:pPr>
              <w:widowControl/>
              <w:spacing w:before="72" w:beforeLines="30" w:line="288" w:lineRule="auto"/>
              <w:jc w:val="center"/>
              <w:rPr>
                <w:rFonts w:hint="eastAsia"/>
                <w:kern w:val="0"/>
                <w:szCs w:val="21"/>
              </w:rPr>
            </w:pPr>
          </w:p>
        </w:tc>
        <w:tc>
          <w:tcPr>
            <w:tcW w:w="3649" w:type="dxa"/>
            <w:noWrap w:val="0"/>
            <w:vAlign w:val="center"/>
          </w:tcPr>
          <w:p w14:paraId="1C52B80A">
            <w:pPr>
              <w:widowControl/>
              <w:spacing w:before="72" w:beforeLines="30" w:line="288" w:lineRule="auto"/>
              <w:jc w:val="center"/>
              <w:rPr>
                <w:rFonts w:hint="eastAsia" w:ascii="宋体" w:hAnsi="宋体" w:eastAsia="宋体" w:cs="宋体"/>
                <w:bCs/>
                <w:color w:val="auto"/>
                <w:sz w:val="21"/>
                <w:szCs w:val="21"/>
              </w:rPr>
            </w:pPr>
            <w:r>
              <w:rPr>
                <w:rFonts w:hint="eastAsia" w:cs="宋体"/>
                <w:color w:val="auto"/>
                <w:sz w:val="21"/>
                <w:szCs w:val="21"/>
                <w:lang w:val="en-US" w:eastAsia="zh-CN"/>
              </w:rPr>
              <w:t>其他</w:t>
            </w:r>
            <w:r>
              <w:rPr>
                <w:rFonts w:hint="eastAsia" w:ascii="宋体" w:hAnsi="宋体" w:eastAsia="宋体" w:cs="宋体"/>
                <w:color w:val="auto"/>
                <w:sz w:val="21"/>
                <w:szCs w:val="21"/>
              </w:rPr>
              <w:t>要求</w:t>
            </w:r>
          </w:p>
        </w:tc>
        <w:tc>
          <w:tcPr>
            <w:tcW w:w="4887" w:type="dxa"/>
            <w:noWrap w:val="0"/>
            <w:vAlign w:val="center"/>
          </w:tcPr>
          <w:p w14:paraId="65FB344B">
            <w:pPr>
              <w:widowControl/>
              <w:spacing w:before="72" w:beforeLines="30" w:line="288" w:lineRule="auto"/>
              <w:jc w:val="center"/>
              <w:rPr>
                <w:rFonts w:hint="eastAsia" w:ascii="宋体" w:hAnsi="宋体" w:eastAsia="宋体" w:cs="宋体"/>
                <w:color w:val="auto"/>
                <w:sz w:val="21"/>
                <w:szCs w:val="21"/>
                <w:lang w:eastAsia="zh-CN"/>
              </w:rPr>
            </w:pPr>
            <w:r>
              <w:rPr>
                <w:rFonts w:hint="eastAsia" w:ascii="宋体" w:hAnsi="宋体" w:eastAsia="宋体" w:cs="宋体"/>
                <w:kern w:val="0"/>
                <w:sz w:val="21"/>
                <w:szCs w:val="21"/>
              </w:rPr>
              <w:t>符合第二章“供应商须知前附表”第1.4.1项规定</w:t>
            </w:r>
          </w:p>
        </w:tc>
      </w:tr>
    </w:tbl>
    <w:p w14:paraId="6E1AD424">
      <w:pPr>
        <w:pStyle w:val="4"/>
        <w:numPr>
          <w:ilvl w:val="0"/>
          <w:numId w:val="0"/>
        </w:numPr>
        <w:spacing w:before="0" w:after="0" w:line="360" w:lineRule="auto"/>
        <w:rPr>
          <w:rFonts w:hint="eastAsia"/>
          <w:lang w:val="en-US" w:eastAsia="zh-CN"/>
        </w:rPr>
      </w:pPr>
      <w:bookmarkStart w:id="461" w:name="_Toc21337"/>
      <w:bookmarkStart w:id="462" w:name="_Toc14234"/>
      <w:bookmarkStart w:id="463" w:name="_Toc9461"/>
      <w:bookmarkStart w:id="464" w:name="_Toc14278"/>
      <w:bookmarkStart w:id="465" w:name="_Toc16293"/>
      <w:bookmarkStart w:id="466" w:name="_Toc23399"/>
      <w:bookmarkStart w:id="467" w:name="_Toc465"/>
      <w:bookmarkStart w:id="468" w:name="_Toc2378"/>
      <w:bookmarkStart w:id="469" w:name="_Toc12891"/>
      <w:bookmarkStart w:id="470" w:name="_Toc6983"/>
      <w:bookmarkStart w:id="471" w:name="_Toc16266"/>
      <w:bookmarkStart w:id="472" w:name="_Toc16607"/>
      <w:bookmarkStart w:id="473" w:name="_Toc16179"/>
      <w:bookmarkStart w:id="474" w:name="_Toc1301"/>
      <w:bookmarkStart w:id="475" w:name="_Toc12353"/>
      <w:bookmarkStart w:id="476" w:name="_Toc25514"/>
    </w:p>
    <w:p w14:paraId="284569D9">
      <w:pPr>
        <w:pStyle w:val="4"/>
        <w:pageBreakBefore w:val="0"/>
        <w:numPr>
          <w:ilvl w:val="0"/>
          <w:numId w:val="0"/>
        </w:numPr>
        <w:kinsoku/>
        <w:wordWrap/>
        <w:overflowPunct/>
        <w:topLinePunct w:val="0"/>
        <w:bidi w:val="0"/>
        <w:snapToGrid/>
        <w:spacing w:before="0" w:after="0" w:line="440" w:lineRule="exact"/>
        <w:textAlignment w:val="auto"/>
        <w:rPr>
          <w:rFonts w:hint="eastAsia"/>
          <w:lang w:val="en-US" w:eastAsia="zh-CN"/>
        </w:rPr>
      </w:pPr>
      <w:r>
        <w:rPr>
          <w:rFonts w:hint="eastAsia" w:cs="宋体"/>
          <w:sz w:val="24"/>
          <w:szCs w:val="24"/>
          <w:lang w:val="en-US" w:eastAsia="zh-CN"/>
        </w:rPr>
        <w:t>1.资格审查</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14:paraId="5971C812">
      <w:pPr>
        <w:keepNext w:val="0"/>
        <w:keepLines w:val="0"/>
        <w:pageBreakBefore w:val="0"/>
        <w:widowControl/>
        <w:suppressLineNumbers w:val="0"/>
        <w:kinsoku/>
        <w:wordWrap/>
        <w:overflowPunct/>
        <w:topLinePunct w:val="0"/>
        <w:bidi w:val="0"/>
        <w:snapToGrid/>
        <w:spacing w:line="440" w:lineRule="exact"/>
        <w:ind w:firstLine="420" w:firstLineChars="200"/>
        <w:jc w:val="left"/>
        <w:textAlignment w:val="auto"/>
        <w:rPr>
          <w:rFonts w:hint="eastAsia"/>
        </w:rPr>
      </w:pPr>
      <w:r>
        <w:rPr>
          <w:rFonts w:hint="eastAsia"/>
        </w:rPr>
        <w:t>开标结束后，</w:t>
      </w:r>
      <w:r>
        <w:rPr>
          <w:rFonts w:hint="eastAsia"/>
          <w:lang w:val="en-US" w:eastAsia="zh-CN"/>
        </w:rPr>
        <w:t>依据法律法规和征集文件的规定，由</w:t>
      </w:r>
      <w:r>
        <w:rPr>
          <w:rFonts w:hint="eastAsia"/>
        </w:rPr>
        <w:t>采购代理机构或采购人代表应当依法对供应商的资格进行审查。</w:t>
      </w:r>
    </w:p>
    <w:p w14:paraId="5358391F">
      <w:pPr>
        <w:pStyle w:val="4"/>
        <w:pageBreakBefore w:val="0"/>
        <w:numPr>
          <w:ilvl w:val="0"/>
          <w:numId w:val="12"/>
        </w:numPr>
        <w:kinsoku/>
        <w:wordWrap/>
        <w:overflowPunct/>
        <w:topLinePunct w:val="0"/>
        <w:bidi w:val="0"/>
        <w:snapToGrid/>
        <w:spacing w:before="0" w:after="0" w:line="440" w:lineRule="exact"/>
        <w:textAlignment w:val="auto"/>
        <w:rPr>
          <w:rFonts w:hint="eastAsia"/>
          <w:lang w:val="en-US" w:eastAsia="zh-CN"/>
        </w:rPr>
      </w:pPr>
      <w:bookmarkStart w:id="477" w:name="_Toc11542"/>
      <w:bookmarkStart w:id="478" w:name="_Toc22158"/>
      <w:bookmarkStart w:id="479" w:name="_Toc3310"/>
      <w:bookmarkStart w:id="480" w:name="_Toc7630"/>
      <w:bookmarkStart w:id="481" w:name="_Toc18033"/>
      <w:bookmarkStart w:id="482" w:name="_Toc23237"/>
      <w:bookmarkStart w:id="483" w:name="_Toc10952"/>
      <w:bookmarkStart w:id="484" w:name="_Toc8280"/>
      <w:bookmarkStart w:id="485" w:name="_Toc21015"/>
      <w:bookmarkStart w:id="486" w:name="_Toc8631"/>
      <w:bookmarkStart w:id="487" w:name="_Toc24912"/>
      <w:bookmarkStart w:id="488" w:name="_Toc29893"/>
      <w:bookmarkStart w:id="489" w:name="_Toc2610"/>
      <w:bookmarkStart w:id="490" w:name="_Toc21593"/>
      <w:bookmarkStart w:id="491" w:name="_Toc23230"/>
      <w:bookmarkStart w:id="492" w:name="_Toc14364"/>
      <w:r>
        <w:rPr>
          <w:rFonts w:hint="eastAsia"/>
          <w:lang w:val="en-US" w:eastAsia="zh-CN"/>
        </w:rPr>
        <w:t>资格审查标准</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14:paraId="7E2792EF">
      <w:pPr>
        <w:pageBreakBefore w:val="0"/>
        <w:kinsoku/>
        <w:wordWrap/>
        <w:overflowPunct/>
        <w:topLinePunct w:val="0"/>
        <w:autoSpaceDE w:val="0"/>
        <w:autoSpaceDN w:val="0"/>
        <w:bidi w:val="0"/>
        <w:adjustRightInd w:val="0"/>
        <w:snapToGrid/>
        <w:spacing w:line="440" w:lineRule="exact"/>
        <w:ind w:firstLine="420" w:firstLineChars="200"/>
        <w:jc w:val="left"/>
        <w:textAlignment w:val="auto"/>
      </w:pPr>
      <w:r>
        <w:rPr>
          <w:rFonts w:hint="eastAsia" w:cs="微软雅黑"/>
          <w:kern w:val="0"/>
          <w:szCs w:val="21"/>
        </w:rPr>
        <w:t>资格审查标准：见资格审查前附表。</w:t>
      </w:r>
    </w:p>
    <w:p w14:paraId="739AFEC2">
      <w:pPr>
        <w:pStyle w:val="4"/>
        <w:pageBreakBefore w:val="0"/>
        <w:numPr>
          <w:ilvl w:val="0"/>
          <w:numId w:val="12"/>
        </w:numPr>
        <w:kinsoku/>
        <w:wordWrap/>
        <w:overflowPunct/>
        <w:topLinePunct w:val="0"/>
        <w:bidi w:val="0"/>
        <w:snapToGrid/>
        <w:spacing w:before="0" w:after="0" w:line="440" w:lineRule="exact"/>
        <w:textAlignment w:val="auto"/>
        <w:rPr>
          <w:rFonts w:hint="eastAsia"/>
          <w:lang w:val="en-US" w:eastAsia="zh-CN"/>
        </w:rPr>
      </w:pPr>
      <w:bookmarkStart w:id="493" w:name="_Toc29674"/>
      <w:bookmarkStart w:id="494" w:name="_Toc28164"/>
      <w:bookmarkStart w:id="495" w:name="_Toc650"/>
      <w:bookmarkStart w:id="496" w:name="_Toc6743"/>
      <w:bookmarkStart w:id="497" w:name="_Toc5940"/>
      <w:bookmarkStart w:id="498" w:name="_Toc32375"/>
      <w:bookmarkStart w:id="499" w:name="_Toc2259"/>
      <w:bookmarkStart w:id="500" w:name="_Toc14542"/>
      <w:bookmarkStart w:id="501" w:name="_Toc16031"/>
      <w:bookmarkStart w:id="502" w:name="_Toc13549"/>
      <w:bookmarkStart w:id="503" w:name="_Toc15233"/>
      <w:bookmarkStart w:id="504" w:name="_Toc10180"/>
      <w:bookmarkStart w:id="505" w:name="_Toc14072"/>
      <w:bookmarkStart w:id="506" w:name="_Toc27738"/>
      <w:bookmarkStart w:id="507" w:name="_Toc19383"/>
      <w:bookmarkStart w:id="508" w:name="_Toc920"/>
      <w:r>
        <w:rPr>
          <w:rFonts w:hint="eastAsia"/>
          <w:lang w:val="en-US" w:eastAsia="zh-CN"/>
        </w:rPr>
        <w:t>资格审查程序</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14:paraId="756C87BC">
      <w:pPr>
        <w:keepNext w:val="0"/>
        <w:keepLines w:val="0"/>
        <w:pageBreakBefore w:val="0"/>
        <w:widowControl/>
        <w:suppressLineNumbers w:val="0"/>
        <w:kinsoku/>
        <w:wordWrap/>
        <w:overflowPunct/>
        <w:topLinePunct w:val="0"/>
        <w:bidi w:val="0"/>
        <w:snapToGrid/>
        <w:spacing w:line="440" w:lineRule="exact"/>
        <w:ind w:firstLine="412" w:firstLineChars="200"/>
        <w:jc w:val="left"/>
        <w:textAlignment w:val="auto"/>
        <w:rPr>
          <w:rFonts w:hint="eastAsia" w:cs="微软雅黑"/>
          <w:kern w:val="0"/>
          <w:szCs w:val="21"/>
        </w:rPr>
      </w:pPr>
      <w:r>
        <w:rPr>
          <w:rFonts w:hint="eastAsia" w:cs="微软雅黑"/>
          <w:spacing w:val="-2"/>
          <w:kern w:val="0"/>
          <w:szCs w:val="21"/>
        </w:rPr>
        <w:t>资格审查人员依</w:t>
      </w:r>
      <w:r>
        <w:rPr>
          <w:rFonts w:hint="eastAsia" w:cs="微软雅黑"/>
          <w:kern w:val="0"/>
          <w:szCs w:val="21"/>
        </w:rPr>
        <w:t>据本</w:t>
      </w:r>
      <w:r>
        <w:rPr>
          <w:rFonts w:hint="eastAsia" w:cs="微软雅黑"/>
          <w:spacing w:val="-2"/>
          <w:kern w:val="0"/>
          <w:szCs w:val="21"/>
        </w:rPr>
        <w:t>章</w:t>
      </w:r>
      <w:r>
        <w:rPr>
          <w:rFonts w:hint="eastAsia" w:cs="微软雅黑"/>
          <w:kern w:val="0"/>
          <w:szCs w:val="21"/>
        </w:rPr>
        <w:t>资格审查前附表</w:t>
      </w:r>
      <w:r>
        <w:rPr>
          <w:rFonts w:hint="eastAsia" w:cs="微软雅黑"/>
          <w:spacing w:val="-2"/>
          <w:kern w:val="0"/>
          <w:szCs w:val="21"/>
        </w:rPr>
        <w:t>规</w:t>
      </w:r>
      <w:r>
        <w:rPr>
          <w:rFonts w:hint="eastAsia" w:cs="微软雅黑"/>
          <w:kern w:val="0"/>
          <w:szCs w:val="21"/>
        </w:rPr>
        <w:t>定</w:t>
      </w:r>
      <w:r>
        <w:rPr>
          <w:rFonts w:hint="eastAsia" w:cs="微软雅黑"/>
          <w:spacing w:val="-2"/>
          <w:kern w:val="0"/>
          <w:szCs w:val="21"/>
        </w:rPr>
        <w:t>的标</w:t>
      </w:r>
      <w:r>
        <w:rPr>
          <w:rFonts w:hint="eastAsia" w:cs="微软雅黑"/>
          <w:kern w:val="0"/>
          <w:szCs w:val="21"/>
        </w:rPr>
        <w:t>准对</w:t>
      </w:r>
      <w:r>
        <w:rPr>
          <w:rFonts w:hint="eastAsia" w:cs="微软雅黑"/>
          <w:spacing w:val="-2"/>
          <w:kern w:val="0"/>
          <w:szCs w:val="21"/>
        </w:rPr>
        <w:t>响应文件进</w:t>
      </w:r>
      <w:r>
        <w:rPr>
          <w:rFonts w:hint="eastAsia" w:cs="微软雅黑"/>
          <w:kern w:val="0"/>
          <w:szCs w:val="21"/>
        </w:rPr>
        <w:t>行</w:t>
      </w:r>
      <w:r>
        <w:rPr>
          <w:rFonts w:hint="eastAsia" w:cs="微软雅黑"/>
          <w:spacing w:val="-2"/>
          <w:kern w:val="0"/>
          <w:szCs w:val="21"/>
        </w:rPr>
        <w:t>资</w:t>
      </w:r>
      <w:r>
        <w:rPr>
          <w:rFonts w:hint="eastAsia" w:cs="微软雅黑"/>
          <w:kern w:val="0"/>
          <w:szCs w:val="21"/>
        </w:rPr>
        <w:t>格审查，以确定供应商是否具备入围资格，有一项不符合评审标准的，资格审查人员应当认定其响应文件无效，</w:t>
      </w:r>
      <w:r>
        <w:rPr>
          <w:rFonts w:hint="eastAsia" w:cs="微软雅黑"/>
          <w:kern w:val="0"/>
          <w:szCs w:val="21"/>
          <w:lang w:val="en-US" w:eastAsia="zh-CN"/>
        </w:rPr>
        <w:t>只有通过资格审查的合格供应商才能进入下一步评标程序.</w:t>
      </w:r>
      <w:r>
        <w:rPr>
          <w:rFonts w:hint="eastAsia" w:cs="微软雅黑"/>
          <w:kern w:val="0"/>
          <w:szCs w:val="21"/>
        </w:rPr>
        <w:t>合格供应商不足2家的，不得评审。</w:t>
      </w:r>
    </w:p>
    <w:p w14:paraId="0724E3ED">
      <w:pPr>
        <w:pageBreakBefore w:val="0"/>
        <w:kinsoku/>
        <w:wordWrap/>
        <w:overflowPunct/>
        <w:topLinePunct w:val="0"/>
        <w:autoSpaceDE w:val="0"/>
        <w:autoSpaceDN w:val="0"/>
        <w:bidi w:val="0"/>
        <w:adjustRightInd w:val="0"/>
        <w:snapToGrid/>
        <w:spacing w:line="440" w:lineRule="exact"/>
        <w:textAlignment w:val="auto"/>
        <w:rPr>
          <w:rFonts w:hint="eastAsia"/>
          <w:kern w:val="0"/>
          <w:szCs w:val="21"/>
        </w:rPr>
        <w:sectPr>
          <w:headerReference r:id="rId4" w:type="default"/>
          <w:footerReference r:id="rId5" w:type="default"/>
          <w:pgSz w:w="11906" w:h="16838"/>
          <w:pgMar w:top="1417" w:right="1417" w:bottom="1417" w:left="1417" w:header="777" w:footer="641" w:gutter="0"/>
          <w:pgNumType w:fmt="numberInDash" w:start="1"/>
          <w:cols w:space="720" w:num="1"/>
          <w:docGrid w:linePitch="1" w:charSpace="0"/>
        </w:sectPr>
      </w:pPr>
    </w:p>
    <w:p w14:paraId="38F29A9C">
      <w:pPr>
        <w:pStyle w:val="4"/>
        <w:spacing w:before="0" w:after="0" w:line="360" w:lineRule="auto"/>
        <w:jc w:val="center"/>
        <w:rPr>
          <w:rFonts w:hint="eastAsia"/>
          <w:sz w:val="24"/>
          <w:szCs w:val="24"/>
          <w:lang w:val="en-US" w:eastAsia="zh-CN"/>
        </w:rPr>
      </w:pPr>
      <w:bookmarkStart w:id="509" w:name="_Toc11325"/>
      <w:bookmarkStart w:id="510" w:name="_Toc14114"/>
      <w:bookmarkStart w:id="511" w:name="_Toc22753"/>
      <w:bookmarkStart w:id="512" w:name="_Toc9469"/>
      <w:bookmarkStart w:id="513" w:name="_Toc16535"/>
      <w:bookmarkStart w:id="514" w:name="_Toc8830"/>
      <w:bookmarkStart w:id="515" w:name="_Toc12415"/>
      <w:bookmarkStart w:id="516" w:name="_Toc16950"/>
      <w:bookmarkStart w:id="517" w:name="_Toc12975"/>
      <w:bookmarkStart w:id="518" w:name="_Toc11507"/>
      <w:bookmarkStart w:id="519" w:name="_Toc31921"/>
      <w:bookmarkStart w:id="520" w:name="_Toc6633"/>
      <w:bookmarkStart w:id="521" w:name="_Toc12074"/>
    </w:p>
    <w:p w14:paraId="39F6C262">
      <w:pPr>
        <w:pStyle w:val="4"/>
        <w:spacing w:before="0" w:after="0" w:line="360" w:lineRule="auto"/>
        <w:jc w:val="center"/>
        <w:rPr>
          <w:rFonts w:hint="eastAsia"/>
          <w:sz w:val="24"/>
          <w:szCs w:val="24"/>
          <w:lang w:val="en-US" w:eastAsia="zh-CN"/>
        </w:rPr>
      </w:pPr>
      <w:r>
        <w:rPr>
          <w:rFonts w:hint="eastAsia"/>
          <w:sz w:val="24"/>
          <w:szCs w:val="24"/>
          <w:lang w:val="en-US" w:eastAsia="zh-CN"/>
        </w:rPr>
        <w:t>二、评审方法前附表</w:t>
      </w:r>
      <w:bookmarkEnd w:id="509"/>
      <w:bookmarkEnd w:id="510"/>
      <w:bookmarkEnd w:id="511"/>
      <w:bookmarkEnd w:id="512"/>
      <w:bookmarkEnd w:id="513"/>
      <w:bookmarkEnd w:id="514"/>
      <w:bookmarkEnd w:id="515"/>
      <w:bookmarkEnd w:id="516"/>
      <w:bookmarkEnd w:id="517"/>
      <w:bookmarkEnd w:id="518"/>
      <w:bookmarkEnd w:id="519"/>
      <w:bookmarkEnd w:id="520"/>
      <w:r>
        <w:rPr>
          <w:rFonts w:hint="eastAsia"/>
          <w:sz w:val="24"/>
          <w:szCs w:val="24"/>
          <w:lang w:val="en-US" w:eastAsia="zh-CN"/>
        </w:rPr>
        <w:t>（质量优先法）</w:t>
      </w:r>
      <w:bookmarkEnd w:id="521"/>
    </w:p>
    <w:tbl>
      <w:tblPr>
        <w:tblStyle w:val="31"/>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
        <w:gridCol w:w="140"/>
        <w:gridCol w:w="958"/>
        <w:gridCol w:w="1860"/>
        <w:gridCol w:w="5432"/>
      </w:tblGrid>
      <w:tr w14:paraId="0120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2088" w:type="dxa"/>
            <w:gridSpan w:val="3"/>
            <w:noWrap w:val="0"/>
            <w:vAlign w:val="center"/>
          </w:tcPr>
          <w:p w14:paraId="012D770C">
            <w:pPr>
              <w:widowControl/>
              <w:jc w:val="center"/>
              <w:rPr>
                <w:rFonts w:hint="eastAsia"/>
                <w:szCs w:val="21"/>
              </w:rPr>
            </w:pPr>
            <w:r>
              <w:rPr>
                <w:rFonts w:hint="eastAsia"/>
                <w:szCs w:val="21"/>
              </w:rPr>
              <w:t>条款号</w:t>
            </w:r>
          </w:p>
        </w:tc>
        <w:tc>
          <w:tcPr>
            <w:tcW w:w="1860" w:type="dxa"/>
            <w:noWrap w:val="0"/>
            <w:vAlign w:val="center"/>
          </w:tcPr>
          <w:p w14:paraId="4389E7C3">
            <w:pPr>
              <w:autoSpaceDE w:val="0"/>
              <w:autoSpaceDN w:val="0"/>
              <w:adjustRightInd w:val="0"/>
              <w:spacing w:line="400" w:lineRule="exact"/>
              <w:ind w:left="38" w:leftChars="18"/>
              <w:jc w:val="center"/>
              <w:rPr>
                <w:rFonts w:hint="eastAsia"/>
                <w:kern w:val="0"/>
                <w:szCs w:val="21"/>
              </w:rPr>
            </w:pPr>
            <w:r>
              <w:rPr>
                <w:rFonts w:hint="eastAsia"/>
                <w:kern w:val="0"/>
                <w:szCs w:val="21"/>
              </w:rPr>
              <w:t>评审因素</w:t>
            </w:r>
          </w:p>
        </w:tc>
        <w:tc>
          <w:tcPr>
            <w:tcW w:w="5432" w:type="dxa"/>
            <w:noWrap w:val="0"/>
            <w:vAlign w:val="center"/>
          </w:tcPr>
          <w:p w14:paraId="2E1687A7">
            <w:pPr>
              <w:autoSpaceDE w:val="0"/>
              <w:autoSpaceDN w:val="0"/>
              <w:adjustRightInd w:val="0"/>
              <w:spacing w:line="400" w:lineRule="exact"/>
              <w:ind w:left="38" w:leftChars="18"/>
              <w:jc w:val="center"/>
              <w:rPr>
                <w:rFonts w:hint="eastAsia"/>
                <w:szCs w:val="21"/>
              </w:rPr>
            </w:pPr>
            <w:r>
              <w:rPr>
                <w:rFonts w:hint="eastAsia"/>
                <w:kern w:val="0"/>
                <w:szCs w:val="21"/>
              </w:rPr>
              <w:t>评审标准</w:t>
            </w:r>
          </w:p>
        </w:tc>
      </w:tr>
      <w:tr w14:paraId="6DB8B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130" w:type="dxa"/>
            <w:gridSpan w:val="2"/>
            <w:vMerge w:val="restart"/>
            <w:noWrap w:val="0"/>
            <w:vAlign w:val="center"/>
          </w:tcPr>
          <w:p w14:paraId="474B53A5">
            <w:pPr>
              <w:widowControl/>
              <w:jc w:val="center"/>
              <w:rPr>
                <w:rFonts w:hint="eastAsia"/>
                <w:kern w:val="0"/>
                <w:szCs w:val="21"/>
              </w:rPr>
            </w:pPr>
            <w:r>
              <w:rPr>
                <w:rFonts w:hint="eastAsia"/>
                <w:kern w:val="0"/>
                <w:szCs w:val="21"/>
              </w:rPr>
              <w:t>2.1</w:t>
            </w:r>
          </w:p>
        </w:tc>
        <w:tc>
          <w:tcPr>
            <w:tcW w:w="958" w:type="dxa"/>
            <w:vMerge w:val="restart"/>
            <w:noWrap w:val="0"/>
            <w:vAlign w:val="center"/>
          </w:tcPr>
          <w:p w14:paraId="7CF8C7D0">
            <w:pPr>
              <w:widowControl/>
              <w:jc w:val="center"/>
              <w:rPr>
                <w:rFonts w:hint="eastAsia"/>
                <w:kern w:val="0"/>
                <w:szCs w:val="21"/>
              </w:rPr>
            </w:pPr>
            <w:r>
              <w:rPr>
                <w:rFonts w:hint="eastAsia"/>
                <w:szCs w:val="21"/>
              </w:rPr>
              <w:t>符合性审查</w:t>
            </w:r>
            <w:r>
              <w:rPr>
                <w:rFonts w:hint="eastAsia"/>
                <w:kern w:val="0"/>
                <w:szCs w:val="21"/>
              </w:rPr>
              <w:t>标准</w:t>
            </w:r>
          </w:p>
        </w:tc>
        <w:tc>
          <w:tcPr>
            <w:tcW w:w="1860" w:type="dxa"/>
            <w:noWrap w:val="0"/>
            <w:vAlign w:val="center"/>
          </w:tcPr>
          <w:p w14:paraId="2DFC4F90">
            <w:pPr>
              <w:widowControl/>
              <w:snapToGrid w:val="0"/>
              <w:spacing w:before="36" w:beforeLines="15" w:line="340" w:lineRule="exact"/>
              <w:jc w:val="center"/>
              <w:rPr>
                <w:rFonts w:hint="eastAsia"/>
                <w:kern w:val="0"/>
                <w:szCs w:val="21"/>
              </w:rPr>
            </w:pPr>
            <w:r>
              <w:rPr>
                <w:rFonts w:hint="eastAsia" w:ascii="Times New Roman" w:hAnsi="Times New Roman"/>
                <w:kern w:val="0"/>
                <w:szCs w:val="21"/>
              </w:rPr>
              <w:t>响应文件</w:t>
            </w:r>
            <w:r>
              <w:rPr>
                <w:rFonts w:hint="eastAsia"/>
                <w:kern w:val="0"/>
                <w:szCs w:val="21"/>
              </w:rPr>
              <w:t>签署、盖章</w:t>
            </w:r>
          </w:p>
        </w:tc>
        <w:tc>
          <w:tcPr>
            <w:tcW w:w="5432" w:type="dxa"/>
            <w:noWrap w:val="0"/>
            <w:vAlign w:val="center"/>
          </w:tcPr>
          <w:p w14:paraId="02DBC5CF">
            <w:pPr>
              <w:widowControl/>
              <w:snapToGrid w:val="0"/>
              <w:spacing w:before="36" w:beforeLines="15" w:line="340" w:lineRule="exact"/>
              <w:jc w:val="center"/>
              <w:rPr>
                <w:rFonts w:hint="eastAsia"/>
                <w:kern w:val="0"/>
                <w:szCs w:val="21"/>
              </w:rPr>
            </w:pPr>
            <w:r>
              <w:rPr>
                <w:rFonts w:hint="eastAsia" w:ascii="Times New Roman" w:hAnsi="Times New Roman"/>
                <w:szCs w:val="21"/>
              </w:rPr>
              <w:t>响应文件</w:t>
            </w:r>
            <w:r>
              <w:rPr>
                <w:rFonts w:hint="eastAsia"/>
                <w:szCs w:val="21"/>
              </w:rPr>
              <w:t>按</w:t>
            </w:r>
            <w:r>
              <w:rPr>
                <w:rFonts w:hint="eastAsia" w:ascii="Times New Roman" w:hAnsi="Times New Roman"/>
                <w:szCs w:val="21"/>
              </w:rPr>
              <w:t>征集文件</w:t>
            </w:r>
            <w:r>
              <w:rPr>
                <w:rFonts w:hint="eastAsia"/>
                <w:szCs w:val="21"/>
              </w:rPr>
              <w:t>要求签署、盖章的</w:t>
            </w:r>
          </w:p>
        </w:tc>
      </w:tr>
      <w:tr w14:paraId="7980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130" w:type="dxa"/>
            <w:gridSpan w:val="2"/>
            <w:vMerge w:val="continue"/>
            <w:noWrap w:val="0"/>
            <w:vAlign w:val="center"/>
          </w:tcPr>
          <w:p w14:paraId="320AF429">
            <w:pPr>
              <w:widowControl/>
              <w:jc w:val="center"/>
              <w:rPr>
                <w:rFonts w:hint="eastAsia"/>
                <w:kern w:val="0"/>
                <w:szCs w:val="21"/>
              </w:rPr>
            </w:pPr>
          </w:p>
        </w:tc>
        <w:tc>
          <w:tcPr>
            <w:tcW w:w="958" w:type="dxa"/>
            <w:vMerge w:val="continue"/>
            <w:noWrap w:val="0"/>
            <w:vAlign w:val="center"/>
          </w:tcPr>
          <w:p w14:paraId="3931A582">
            <w:pPr>
              <w:widowControl/>
              <w:jc w:val="center"/>
              <w:rPr>
                <w:rFonts w:hint="eastAsia"/>
                <w:kern w:val="0"/>
                <w:szCs w:val="21"/>
              </w:rPr>
            </w:pPr>
          </w:p>
        </w:tc>
        <w:tc>
          <w:tcPr>
            <w:tcW w:w="1860" w:type="dxa"/>
            <w:noWrap w:val="0"/>
            <w:vAlign w:val="center"/>
          </w:tcPr>
          <w:p w14:paraId="3791E9B7">
            <w:pPr>
              <w:widowControl/>
              <w:snapToGrid w:val="0"/>
              <w:spacing w:before="36" w:beforeLines="15" w:line="340" w:lineRule="exact"/>
              <w:jc w:val="center"/>
              <w:rPr>
                <w:rFonts w:hint="eastAsia"/>
                <w:kern w:val="0"/>
                <w:szCs w:val="21"/>
              </w:rPr>
            </w:pPr>
            <w:r>
              <w:rPr>
                <w:rFonts w:hint="eastAsia" w:ascii="Times New Roman" w:hAnsi="Times New Roman"/>
                <w:kern w:val="0"/>
                <w:szCs w:val="21"/>
              </w:rPr>
              <w:t>响应文件</w:t>
            </w:r>
            <w:r>
              <w:rPr>
                <w:rFonts w:hint="eastAsia"/>
                <w:kern w:val="0"/>
                <w:szCs w:val="21"/>
              </w:rPr>
              <w:t>格式</w:t>
            </w:r>
          </w:p>
        </w:tc>
        <w:tc>
          <w:tcPr>
            <w:tcW w:w="5432" w:type="dxa"/>
            <w:noWrap w:val="0"/>
            <w:vAlign w:val="center"/>
          </w:tcPr>
          <w:p w14:paraId="339E015E">
            <w:pPr>
              <w:widowControl/>
              <w:snapToGrid w:val="0"/>
              <w:spacing w:before="36" w:beforeLines="15" w:line="340" w:lineRule="exact"/>
              <w:jc w:val="center"/>
              <w:rPr>
                <w:rFonts w:hint="eastAsia"/>
                <w:kern w:val="0"/>
                <w:szCs w:val="21"/>
              </w:rPr>
            </w:pPr>
            <w:r>
              <w:rPr>
                <w:rFonts w:hint="eastAsia"/>
                <w:kern w:val="0"/>
                <w:szCs w:val="21"/>
              </w:rPr>
              <w:t>符合</w:t>
            </w:r>
            <w:r>
              <w:rPr>
                <w:rFonts w:hint="eastAsia" w:ascii="Times New Roman" w:hAnsi="Times New Roman"/>
                <w:kern w:val="0"/>
                <w:szCs w:val="21"/>
              </w:rPr>
              <w:t>征集文件</w:t>
            </w:r>
            <w:r>
              <w:rPr>
                <w:rFonts w:hint="eastAsia"/>
                <w:kern w:val="0"/>
                <w:szCs w:val="21"/>
              </w:rPr>
              <w:t>中提供的</w:t>
            </w:r>
            <w:r>
              <w:rPr>
                <w:rFonts w:hint="eastAsia" w:ascii="Times New Roman" w:hAnsi="Times New Roman"/>
                <w:kern w:val="0"/>
                <w:szCs w:val="21"/>
              </w:rPr>
              <w:t>响应文件</w:t>
            </w:r>
            <w:r>
              <w:rPr>
                <w:rFonts w:hint="eastAsia"/>
                <w:kern w:val="0"/>
                <w:szCs w:val="21"/>
              </w:rPr>
              <w:t>格式</w:t>
            </w:r>
          </w:p>
        </w:tc>
      </w:tr>
      <w:tr w14:paraId="59C98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130" w:type="dxa"/>
            <w:gridSpan w:val="2"/>
            <w:vMerge w:val="continue"/>
            <w:noWrap w:val="0"/>
            <w:vAlign w:val="center"/>
          </w:tcPr>
          <w:p w14:paraId="0563FC2B">
            <w:pPr>
              <w:widowControl/>
              <w:jc w:val="center"/>
              <w:rPr>
                <w:rFonts w:hint="eastAsia"/>
                <w:kern w:val="0"/>
                <w:szCs w:val="21"/>
              </w:rPr>
            </w:pPr>
          </w:p>
        </w:tc>
        <w:tc>
          <w:tcPr>
            <w:tcW w:w="958" w:type="dxa"/>
            <w:vMerge w:val="continue"/>
            <w:noWrap w:val="0"/>
            <w:vAlign w:val="center"/>
          </w:tcPr>
          <w:p w14:paraId="35D9497A">
            <w:pPr>
              <w:widowControl/>
              <w:jc w:val="center"/>
              <w:rPr>
                <w:rFonts w:hint="eastAsia"/>
                <w:kern w:val="0"/>
                <w:szCs w:val="21"/>
              </w:rPr>
            </w:pPr>
          </w:p>
        </w:tc>
        <w:tc>
          <w:tcPr>
            <w:tcW w:w="1860" w:type="dxa"/>
            <w:noWrap w:val="0"/>
            <w:vAlign w:val="center"/>
          </w:tcPr>
          <w:p w14:paraId="3CFDE7ED">
            <w:pPr>
              <w:widowControl/>
              <w:snapToGrid w:val="0"/>
              <w:spacing w:before="36" w:beforeLines="15" w:line="340" w:lineRule="exact"/>
              <w:jc w:val="center"/>
              <w:rPr>
                <w:rFonts w:hint="eastAsia"/>
                <w:kern w:val="0"/>
                <w:szCs w:val="21"/>
              </w:rPr>
            </w:pPr>
            <w:r>
              <w:rPr>
                <w:rFonts w:hint="eastAsia"/>
              </w:rPr>
              <w:t>采购范围</w:t>
            </w:r>
          </w:p>
        </w:tc>
        <w:tc>
          <w:tcPr>
            <w:tcW w:w="5432" w:type="dxa"/>
            <w:noWrap w:val="0"/>
            <w:vAlign w:val="center"/>
          </w:tcPr>
          <w:p w14:paraId="11E35CB8">
            <w:pPr>
              <w:widowControl/>
              <w:snapToGrid w:val="0"/>
              <w:spacing w:before="36" w:beforeLines="15" w:line="340" w:lineRule="exact"/>
              <w:jc w:val="center"/>
              <w:rPr>
                <w:rFonts w:hint="eastAsia"/>
                <w:kern w:val="0"/>
                <w:szCs w:val="21"/>
              </w:rPr>
            </w:pPr>
            <w:r>
              <w:rPr>
                <w:rFonts w:hint="eastAsia"/>
                <w:kern w:val="0"/>
                <w:szCs w:val="21"/>
              </w:rPr>
              <w:t>符合第二章“</w:t>
            </w:r>
            <w:r>
              <w:rPr>
                <w:rFonts w:hint="eastAsia" w:ascii="Times New Roman" w:hAnsi="Times New Roman"/>
                <w:kern w:val="0"/>
                <w:szCs w:val="21"/>
              </w:rPr>
              <w:t>供应商</w:t>
            </w:r>
            <w:r>
              <w:rPr>
                <w:rFonts w:hint="eastAsia"/>
                <w:kern w:val="0"/>
                <w:szCs w:val="21"/>
              </w:rPr>
              <w:t>须知前附表”第1.3.1项规定</w:t>
            </w:r>
          </w:p>
        </w:tc>
      </w:tr>
      <w:tr w14:paraId="0B56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130" w:type="dxa"/>
            <w:gridSpan w:val="2"/>
            <w:vMerge w:val="continue"/>
            <w:noWrap w:val="0"/>
            <w:vAlign w:val="center"/>
          </w:tcPr>
          <w:p w14:paraId="7EF5EBE3">
            <w:pPr>
              <w:widowControl/>
              <w:jc w:val="center"/>
              <w:rPr>
                <w:rFonts w:hint="eastAsia"/>
                <w:kern w:val="0"/>
                <w:szCs w:val="21"/>
              </w:rPr>
            </w:pPr>
          </w:p>
        </w:tc>
        <w:tc>
          <w:tcPr>
            <w:tcW w:w="958" w:type="dxa"/>
            <w:vMerge w:val="continue"/>
            <w:noWrap w:val="0"/>
            <w:vAlign w:val="center"/>
          </w:tcPr>
          <w:p w14:paraId="38322D83">
            <w:pPr>
              <w:widowControl/>
              <w:jc w:val="center"/>
              <w:rPr>
                <w:rFonts w:hint="eastAsia"/>
                <w:kern w:val="0"/>
                <w:szCs w:val="21"/>
              </w:rPr>
            </w:pPr>
          </w:p>
        </w:tc>
        <w:tc>
          <w:tcPr>
            <w:tcW w:w="1860" w:type="dxa"/>
            <w:noWrap w:val="0"/>
            <w:vAlign w:val="center"/>
          </w:tcPr>
          <w:p w14:paraId="76A01D17">
            <w:pPr>
              <w:widowControl/>
              <w:snapToGrid w:val="0"/>
              <w:spacing w:before="36" w:beforeLines="15" w:line="340" w:lineRule="exact"/>
              <w:jc w:val="center"/>
              <w:rPr>
                <w:rFonts w:hint="default" w:eastAsia="宋体"/>
                <w:kern w:val="0"/>
                <w:szCs w:val="21"/>
                <w:lang w:val="en-US" w:eastAsia="zh-CN"/>
              </w:rPr>
            </w:pPr>
            <w:r>
              <w:rPr>
                <w:rFonts w:hint="eastAsia"/>
                <w:lang w:val="en-US" w:eastAsia="zh-CN"/>
              </w:rPr>
              <w:t>框架协议期限</w:t>
            </w:r>
          </w:p>
        </w:tc>
        <w:tc>
          <w:tcPr>
            <w:tcW w:w="5432" w:type="dxa"/>
            <w:noWrap w:val="0"/>
            <w:vAlign w:val="center"/>
          </w:tcPr>
          <w:p w14:paraId="27F36545">
            <w:pPr>
              <w:widowControl/>
              <w:snapToGrid w:val="0"/>
              <w:spacing w:before="36" w:beforeLines="15" w:line="340" w:lineRule="exact"/>
              <w:jc w:val="center"/>
              <w:rPr>
                <w:rFonts w:hint="eastAsia"/>
                <w:kern w:val="0"/>
                <w:szCs w:val="21"/>
              </w:rPr>
            </w:pPr>
            <w:r>
              <w:rPr>
                <w:rFonts w:hint="eastAsia"/>
                <w:kern w:val="0"/>
                <w:szCs w:val="21"/>
              </w:rPr>
              <w:t>符合第二章“</w:t>
            </w:r>
            <w:r>
              <w:rPr>
                <w:rFonts w:hint="eastAsia" w:ascii="Times New Roman" w:hAnsi="Times New Roman"/>
                <w:kern w:val="0"/>
                <w:szCs w:val="21"/>
              </w:rPr>
              <w:t>供应商</w:t>
            </w:r>
            <w:r>
              <w:rPr>
                <w:rFonts w:hint="eastAsia"/>
                <w:kern w:val="0"/>
                <w:szCs w:val="21"/>
              </w:rPr>
              <w:t>须知前附表”第1.3.</w:t>
            </w:r>
            <w:r>
              <w:rPr>
                <w:rFonts w:hint="eastAsia"/>
                <w:kern w:val="0"/>
                <w:szCs w:val="21"/>
                <w:lang w:val="en-US" w:eastAsia="zh-CN"/>
              </w:rPr>
              <w:t>2</w:t>
            </w:r>
            <w:r>
              <w:rPr>
                <w:rFonts w:hint="eastAsia"/>
                <w:kern w:val="0"/>
                <w:szCs w:val="21"/>
              </w:rPr>
              <w:t>项规定</w:t>
            </w:r>
          </w:p>
        </w:tc>
      </w:tr>
      <w:tr w14:paraId="4110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130" w:type="dxa"/>
            <w:gridSpan w:val="2"/>
            <w:vMerge w:val="continue"/>
            <w:noWrap w:val="0"/>
            <w:vAlign w:val="center"/>
          </w:tcPr>
          <w:p w14:paraId="67C70D0C">
            <w:pPr>
              <w:widowControl/>
              <w:jc w:val="center"/>
              <w:rPr>
                <w:rFonts w:hint="eastAsia"/>
                <w:kern w:val="0"/>
                <w:szCs w:val="21"/>
              </w:rPr>
            </w:pPr>
          </w:p>
        </w:tc>
        <w:tc>
          <w:tcPr>
            <w:tcW w:w="958" w:type="dxa"/>
            <w:vMerge w:val="continue"/>
            <w:noWrap w:val="0"/>
            <w:vAlign w:val="center"/>
          </w:tcPr>
          <w:p w14:paraId="2EA4B262">
            <w:pPr>
              <w:widowControl/>
              <w:jc w:val="center"/>
              <w:rPr>
                <w:rFonts w:hint="eastAsia"/>
                <w:kern w:val="0"/>
                <w:szCs w:val="21"/>
              </w:rPr>
            </w:pPr>
          </w:p>
        </w:tc>
        <w:tc>
          <w:tcPr>
            <w:tcW w:w="1860" w:type="dxa"/>
            <w:noWrap w:val="0"/>
            <w:vAlign w:val="center"/>
          </w:tcPr>
          <w:p w14:paraId="64BF8B71">
            <w:pPr>
              <w:widowControl/>
              <w:snapToGrid w:val="0"/>
              <w:spacing w:before="36" w:beforeLines="15" w:line="340" w:lineRule="exact"/>
              <w:jc w:val="center"/>
              <w:rPr>
                <w:rFonts w:hint="default" w:eastAsia="宋体"/>
                <w:kern w:val="0"/>
                <w:szCs w:val="21"/>
                <w:lang w:val="en-US" w:eastAsia="zh-CN"/>
              </w:rPr>
            </w:pPr>
            <w:r>
              <w:rPr>
                <w:rFonts w:hint="eastAsia"/>
                <w:kern w:val="0"/>
                <w:szCs w:val="21"/>
                <w:lang w:val="en-US" w:eastAsia="zh-CN"/>
              </w:rPr>
              <w:t>质量要求</w:t>
            </w:r>
          </w:p>
        </w:tc>
        <w:tc>
          <w:tcPr>
            <w:tcW w:w="5432" w:type="dxa"/>
            <w:noWrap w:val="0"/>
            <w:vAlign w:val="center"/>
          </w:tcPr>
          <w:p w14:paraId="399FC54A">
            <w:pPr>
              <w:widowControl/>
              <w:snapToGrid w:val="0"/>
              <w:spacing w:before="36" w:beforeLines="15" w:line="340" w:lineRule="exact"/>
              <w:jc w:val="center"/>
              <w:rPr>
                <w:rFonts w:hint="eastAsia"/>
                <w:kern w:val="0"/>
                <w:szCs w:val="21"/>
              </w:rPr>
            </w:pPr>
            <w:r>
              <w:rPr>
                <w:rFonts w:hint="eastAsia"/>
                <w:kern w:val="0"/>
                <w:szCs w:val="21"/>
              </w:rPr>
              <w:t>符合第二章“</w:t>
            </w:r>
            <w:r>
              <w:rPr>
                <w:rFonts w:hint="eastAsia" w:ascii="Times New Roman" w:hAnsi="Times New Roman"/>
                <w:kern w:val="0"/>
                <w:szCs w:val="21"/>
              </w:rPr>
              <w:t>供应商</w:t>
            </w:r>
            <w:r>
              <w:rPr>
                <w:rFonts w:hint="eastAsia"/>
                <w:kern w:val="0"/>
                <w:szCs w:val="21"/>
              </w:rPr>
              <w:t>须知前附表”第1.3.</w:t>
            </w:r>
            <w:r>
              <w:rPr>
                <w:rFonts w:hint="eastAsia"/>
                <w:kern w:val="0"/>
                <w:szCs w:val="21"/>
                <w:lang w:val="en-US" w:eastAsia="zh-CN"/>
              </w:rPr>
              <w:t>3</w:t>
            </w:r>
            <w:r>
              <w:rPr>
                <w:rFonts w:hint="eastAsia"/>
                <w:kern w:val="0"/>
                <w:szCs w:val="21"/>
              </w:rPr>
              <w:t>项规定</w:t>
            </w:r>
          </w:p>
        </w:tc>
      </w:tr>
      <w:tr w14:paraId="161E5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130" w:type="dxa"/>
            <w:gridSpan w:val="2"/>
            <w:vMerge w:val="continue"/>
            <w:noWrap w:val="0"/>
            <w:vAlign w:val="center"/>
          </w:tcPr>
          <w:p w14:paraId="76A0AC39">
            <w:pPr>
              <w:widowControl/>
              <w:jc w:val="center"/>
              <w:rPr>
                <w:rFonts w:hint="eastAsia"/>
                <w:kern w:val="0"/>
                <w:szCs w:val="21"/>
              </w:rPr>
            </w:pPr>
          </w:p>
        </w:tc>
        <w:tc>
          <w:tcPr>
            <w:tcW w:w="958" w:type="dxa"/>
            <w:vMerge w:val="continue"/>
            <w:noWrap w:val="0"/>
            <w:vAlign w:val="center"/>
          </w:tcPr>
          <w:p w14:paraId="2AA6B3AC">
            <w:pPr>
              <w:widowControl/>
              <w:jc w:val="center"/>
              <w:rPr>
                <w:rFonts w:hint="eastAsia"/>
                <w:kern w:val="0"/>
                <w:szCs w:val="21"/>
              </w:rPr>
            </w:pPr>
          </w:p>
        </w:tc>
        <w:tc>
          <w:tcPr>
            <w:tcW w:w="1860" w:type="dxa"/>
            <w:noWrap w:val="0"/>
            <w:vAlign w:val="center"/>
          </w:tcPr>
          <w:p w14:paraId="5A78AF80">
            <w:pPr>
              <w:widowControl/>
              <w:snapToGrid w:val="0"/>
              <w:spacing w:before="36" w:beforeLines="15" w:line="340" w:lineRule="exact"/>
              <w:jc w:val="center"/>
              <w:rPr>
                <w:rFonts w:hint="eastAsia" w:cs="Times New Roman"/>
                <w:szCs w:val="21"/>
              </w:rPr>
            </w:pPr>
            <w:r>
              <w:rPr>
                <w:rFonts w:hint="eastAsia"/>
              </w:rPr>
              <w:t>响应文件有效期</w:t>
            </w:r>
          </w:p>
        </w:tc>
        <w:tc>
          <w:tcPr>
            <w:tcW w:w="5432" w:type="dxa"/>
            <w:noWrap w:val="0"/>
            <w:vAlign w:val="center"/>
          </w:tcPr>
          <w:p w14:paraId="4291532A">
            <w:pPr>
              <w:widowControl/>
              <w:snapToGrid w:val="0"/>
              <w:spacing w:before="36" w:beforeLines="15" w:line="340" w:lineRule="exact"/>
              <w:jc w:val="center"/>
              <w:rPr>
                <w:rFonts w:hint="eastAsia"/>
                <w:kern w:val="0"/>
                <w:szCs w:val="21"/>
              </w:rPr>
            </w:pPr>
            <w:r>
              <w:rPr>
                <w:rFonts w:hint="eastAsia"/>
                <w:kern w:val="0"/>
                <w:szCs w:val="21"/>
              </w:rPr>
              <w:t>符合第二章“</w:t>
            </w:r>
            <w:r>
              <w:rPr>
                <w:rFonts w:hint="eastAsia" w:ascii="Times New Roman" w:hAnsi="Times New Roman"/>
                <w:kern w:val="0"/>
                <w:szCs w:val="21"/>
              </w:rPr>
              <w:t>供应商</w:t>
            </w:r>
            <w:r>
              <w:rPr>
                <w:rFonts w:hint="eastAsia"/>
                <w:kern w:val="0"/>
                <w:szCs w:val="21"/>
              </w:rPr>
              <w:t>须知前附表”第3.3.1项规定</w:t>
            </w:r>
          </w:p>
        </w:tc>
      </w:tr>
      <w:tr w14:paraId="69F7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130" w:type="dxa"/>
            <w:gridSpan w:val="2"/>
            <w:vMerge w:val="continue"/>
            <w:noWrap w:val="0"/>
            <w:vAlign w:val="center"/>
          </w:tcPr>
          <w:p w14:paraId="217AA8C6">
            <w:pPr>
              <w:widowControl/>
              <w:jc w:val="center"/>
              <w:rPr>
                <w:rFonts w:hint="eastAsia"/>
                <w:kern w:val="0"/>
                <w:szCs w:val="21"/>
              </w:rPr>
            </w:pPr>
          </w:p>
        </w:tc>
        <w:tc>
          <w:tcPr>
            <w:tcW w:w="958" w:type="dxa"/>
            <w:vMerge w:val="continue"/>
            <w:noWrap w:val="0"/>
            <w:vAlign w:val="center"/>
          </w:tcPr>
          <w:p w14:paraId="4AE4C0FA">
            <w:pPr>
              <w:widowControl/>
              <w:jc w:val="center"/>
              <w:rPr>
                <w:rFonts w:hint="eastAsia"/>
                <w:kern w:val="0"/>
                <w:szCs w:val="21"/>
              </w:rPr>
            </w:pPr>
          </w:p>
        </w:tc>
        <w:tc>
          <w:tcPr>
            <w:tcW w:w="1860" w:type="dxa"/>
            <w:noWrap w:val="0"/>
            <w:vAlign w:val="center"/>
          </w:tcPr>
          <w:p w14:paraId="3D977E93">
            <w:pPr>
              <w:widowControl/>
              <w:snapToGrid w:val="0"/>
              <w:spacing w:before="36" w:beforeLines="15" w:line="340" w:lineRule="exact"/>
              <w:jc w:val="center"/>
              <w:rPr>
                <w:rFonts w:hint="eastAsia"/>
              </w:rPr>
            </w:pPr>
            <w:r>
              <w:rPr>
                <w:rFonts w:hint="eastAsia" w:ascii="宋体" w:hAnsi="宋体" w:eastAsia="宋体" w:cs="宋体"/>
                <w:color w:val="auto"/>
                <w:sz w:val="21"/>
                <w:szCs w:val="21"/>
                <w:lang w:eastAsia="zh-CN"/>
              </w:rPr>
              <w:t>响应</w:t>
            </w:r>
            <w:r>
              <w:rPr>
                <w:rFonts w:hint="eastAsia" w:ascii="宋体" w:hAnsi="宋体" w:eastAsia="宋体" w:cs="宋体"/>
                <w:color w:val="auto"/>
                <w:sz w:val="21"/>
                <w:szCs w:val="21"/>
              </w:rPr>
              <w:t>报价</w:t>
            </w:r>
          </w:p>
        </w:tc>
        <w:tc>
          <w:tcPr>
            <w:tcW w:w="5432" w:type="dxa"/>
            <w:noWrap w:val="0"/>
            <w:vAlign w:val="center"/>
          </w:tcPr>
          <w:p w14:paraId="0F2F791A">
            <w:pPr>
              <w:widowControl/>
              <w:snapToGrid w:val="0"/>
              <w:spacing w:before="36" w:beforeLines="15" w:line="340" w:lineRule="exact"/>
              <w:jc w:val="center"/>
              <w:rPr>
                <w:rFonts w:hint="default" w:eastAsia="宋体"/>
                <w:kern w:val="0"/>
                <w:szCs w:val="21"/>
                <w:lang w:val="en-US" w:eastAsia="zh-CN"/>
              </w:rPr>
            </w:pPr>
            <w:r>
              <w:rPr>
                <w:rFonts w:hint="eastAsia"/>
                <w:kern w:val="0"/>
                <w:szCs w:val="21"/>
                <w:lang w:val="en-US" w:eastAsia="zh-CN"/>
              </w:rPr>
              <w:t>不高于采购最高限价</w:t>
            </w:r>
          </w:p>
        </w:tc>
      </w:tr>
      <w:tr w14:paraId="4600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2088" w:type="dxa"/>
            <w:gridSpan w:val="3"/>
            <w:noWrap w:val="0"/>
            <w:vAlign w:val="center"/>
          </w:tcPr>
          <w:p w14:paraId="46991258">
            <w:pPr>
              <w:autoSpaceDE w:val="0"/>
              <w:autoSpaceDN w:val="0"/>
              <w:adjustRightInd w:val="0"/>
              <w:spacing w:line="400" w:lineRule="exact"/>
              <w:ind w:left="38" w:leftChars="18"/>
              <w:jc w:val="center"/>
              <w:rPr>
                <w:rFonts w:hint="eastAsia"/>
                <w:kern w:val="0"/>
                <w:szCs w:val="21"/>
              </w:rPr>
            </w:pPr>
            <w:r>
              <w:rPr>
                <w:rFonts w:hint="eastAsia"/>
                <w:kern w:val="0"/>
                <w:szCs w:val="21"/>
              </w:rPr>
              <w:t>条款号</w:t>
            </w:r>
          </w:p>
        </w:tc>
        <w:tc>
          <w:tcPr>
            <w:tcW w:w="1860" w:type="dxa"/>
            <w:noWrap w:val="0"/>
            <w:vAlign w:val="center"/>
          </w:tcPr>
          <w:p w14:paraId="656A4056">
            <w:pPr>
              <w:autoSpaceDE w:val="0"/>
              <w:autoSpaceDN w:val="0"/>
              <w:adjustRightInd w:val="0"/>
              <w:spacing w:line="400" w:lineRule="exact"/>
              <w:ind w:left="38" w:leftChars="18"/>
              <w:jc w:val="center"/>
              <w:rPr>
                <w:rFonts w:hint="eastAsia"/>
                <w:kern w:val="0"/>
                <w:szCs w:val="21"/>
              </w:rPr>
            </w:pPr>
            <w:r>
              <w:rPr>
                <w:rFonts w:hint="eastAsia"/>
                <w:kern w:val="0"/>
                <w:szCs w:val="21"/>
              </w:rPr>
              <w:t>条款内容</w:t>
            </w:r>
          </w:p>
        </w:tc>
        <w:tc>
          <w:tcPr>
            <w:tcW w:w="5432" w:type="dxa"/>
            <w:noWrap w:val="0"/>
            <w:vAlign w:val="center"/>
          </w:tcPr>
          <w:p w14:paraId="4371A8BD">
            <w:pPr>
              <w:autoSpaceDE w:val="0"/>
              <w:autoSpaceDN w:val="0"/>
              <w:adjustRightInd w:val="0"/>
              <w:spacing w:line="400" w:lineRule="exact"/>
              <w:ind w:left="38" w:leftChars="18"/>
              <w:jc w:val="center"/>
              <w:rPr>
                <w:rFonts w:hint="eastAsia"/>
                <w:kern w:val="0"/>
                <w:szCs w:val="21"/>
              </w:rPr>
            </w:pPr>
            <w:r>
              <w:rPr>
                <w:rFonts w:hint="eastAsia"/>
                <w:kern w:val="0"/>
                <w:szCs w:val="21"/>
              </w:rPr>
              <w:t>编列内容</w:t>
            </w:r>
          </w:p>
        </w:tc>
      </w:tr>
      <w:tr w14:paraId="35DB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088" w:type="dxa"/>
            <w:gridSpan w:val="3"/>
            <w:noWrap w:val="0"/>
            <w:vAlign w:val="center"/>
          </w:tcPr>
          <w:p w14:paraId="12E5FE37">
            <w:pPr>
              <w:autoSpaceDE w:val="0"/>
              <w:autoSpaceDN w:val="0"/>
              <w:adjustRightInd w:val="0"/>
              <w:spacing w:line="400" w:lineRule="exact"/>
              <w:ind w:left="38" w:leftChars="18"/>
              <w:jc w:val="center"/>
              <w:rPr>
                <w:rFonts w:hint="default" w:eastAsia="宋体"/>
                <w:color w:val="auto"/>
                <w:kern w:val="0"/>
                <w:szCs w:val="21"/>
                <w:lang w:val="en-US" w:eastAsia="zh-CN"/>
              </w:rPr>
            </w:pPr>
            <w:r>
              <w:rPr>
                <w:rFonts w:hint="eastAsia"/>
                <w:color w:val="auto"/>
                <w:kern w:val="0"/>
                <w:szCs w:val="21"/>
              </w:rPr>
              <w:t>2.2</w:t>
            </w:r>
            <w:r>
              <w:rPr>
                <w:rFonts w:hint="eastAsia"/>
                <w:color w:val="auto"/>
                <w:kern w:val="0"/>
                <w:szCs w:val="21"/>
                <w:lang w:val="en-US" w:eastAsia="zh-CN"/>
              </w:rPr>
              <w:t>.1</w:t>
            </w:r>
          </w:p>
        </w:tc>
        <w:tc>
          <w:tcPr>
            <w:tcW w:w="1860" w:type="dxa"/>
            <w:noWrap w:val="0"/>
            <w:vAlign w:val="center"/>
          </w:tcPr>
          <w:p w14:paraId="54A39099">
            <w:pPr>
              <w:autoSpaceDE w:val="0"/>
              <w:autoSpaceDN w:val="0"/>
              <w:adjustRightInd w:val="0"/>
              <w:spacing w:line="400" w:lineRule="exact"/>
              <w:ind w:left="38" w:leftChars="18"/>
              <w:jc w:val="center"/>
              <w:rPr>
                <w:rFonts w:hint="eastAsia"/>
                <w:color w:val="auto"/>
                <w:kern w:val="0"/>
                <w:szCs w:val="21"/>
              </w:rPr>
            </w:pPr>
            <w:r>
              <w:rPr>
                <w:rFonts w:hint="eastAsia"/>
                <w:color w:val="auto"/>
                <w:kern w:val="0"/>
                <w:szCs w:val="21"/>
              </w:rPr>
              <w:t>分值构成</w:t>
            </w:r>
          </w:p>
          <w:p w14:paraId="2C601895">
            <w:pPr>
              <w:autoSpaceDE w:val="0"/>
              <w:autoSpaceDN w:val="0"/>
              <w:adjustRightInd w:val="0"/>
              <w:spacing w:line="400" w:lineRule="exact"/>
              <w:ind w:left="38" w:leftChars="18"/>
              <w:jc w:val="center"/>
              <w:rPr>
                <w:rFonts w:hint="eastAsia"/>
                <w:color w:val="auto"/>
                <w:kern w:val="0"/>
                <w:szCs w:val="21"/>
              </w:rPr>
            </w:pPr>
            <w:r>
              <w:rPr>
                <w:rFonts w:hint="eastAsia"/>
                <w:color w:val="auto"/>
                <w:kern w:val="0"/>
                <w:szCs w:val="21"/>
              </w:rPr>
              <w:t>(总分100分)</w:t>
            </w:r>
          </w:p>
        </w:tc>
        <w:tc>
          <w:tcPr>
            <w:tcW w:w="5432" w:type="dxa"/>
            <w:noWrap w:val="0"/>
            <w:vAlign w:val="center"/>
          </w:tcPr>
          <w:p w14:paraId="1CAB6A48">
            <w:pPr>
              <w:autoSpaceDE w:val="0"/>
              <w:autoSpaceDN w:val="0"/>
              <w:adjustRightInd w:val="0"/>
              <w:spacing w:line="400" w:lineRule="exact"/>
              <w:ind w:left="38" w:leftChars="18"/>
              <w:jc w:val="left"/>
              <w:rPr>
                <w:rFonts w:hint="default" w:eastAsia="宋体"/>
                <w:b w:val="0"/>
                <w:bCs/>
                <w:color w:val="auto"/>
                <w:szCs w:val="21"/>
                <w:lang w:val="en-US" w:eastAsia="zh-CN"/>
              </w:rPr>
            </w:pPr>
            <w:r>
              <w:rPr>
                <w:rFonts w:hint="eastAsia"/>
                <w:b w:val="0"/>
                <w:bCs/>
                <w:color w:val="auto"/>
                <w:szCs w:val="21"/>
                <w:lang w:val="en-US" w:eastAsia="zh-CN"/>
              </w:rPr>
              <w:t>响应报价：20分</w:t>
            </w:r>
          </w:p>
          <w:p w14:paraId="7D21D51B">
            <w:pPr>
              <w:autoSpaceDE w:val="0"/>
              <w:autoSpaceDN w:val="0"/>
              <w:adjustRightInd w:val="0"/>
              <w:spacing w:line="400" w:lineRule="exact"/>
              <w:ind w:left="38" w:leftChars="18"/>
              <w:jc w:val="left"/>
              <w:rPr>
                <w:rFonts w:hint="eastAsia"/>
                <w:b w:val="0"/>
                <w:bCs/>
                <w:color w:val="auto"/>
                <w:szCs w:val="21"/>
              </w:rPr>
            </w:pPr>
            <w:r>
              <w:rPr>
                <w:rFonts w:hint="eastAsia"/>
                <w:b w:val="0"/>
                <w:bCs/>
                <w:color w:val="auto"/>
                <w:szCs w:val="21"/>
              </w:rPr>
              <w:t>技术部分：</w:t>
            </w:r>
            <w:r>
              <w:rPr>
                <w:rFonts w:hint="eastAsia"/>
                <w:b w:val="0"/>
                <w:bCs/>
                <w:color w:val="auto"/>
                <w:szCs w:val="21"/>
                <w:lang w:val="en-US" w:eastAsia="zh-CN"/>
              </w:rPr>
              <w:t>60</w:t>
            </w:r>
            <w:r>
              <w:rPr>
                <w:rFonts w:hint="eastAsia"/>
                <w:b w:val="0"/>
                <w:bCs/>
                <w:color w:val="auto"/>
                <w:szCs w:val="21"/>
              </w:rPr>
              <w:t>分</w:t>
            </w:r>
          </w:p>
          <w:p w14:paraId="221C87EE">
            <w:pPr>
              <w:autoSpaceDE w:val="0"/>
              <w:autoSpaceDN w:val="0"/>
              <w:adjustRightInd w:val="0"/>
              <w:spacing w:line="400" w:lineRule="exact"/>
              <w:ind w:left="38" w:leftChars="18"/>
              <w:jc w:val="left"/>
              <w:rPr>
                <w:rFonts w:hint="eastAsia"/>
                <w:b/>
                <w:color w:val="auto"/>
                <w:szCs w:val="21"/>
              </w:rPr>
            </w:pPr>
            <w:r>
              <w:rPr>
                <w:rFonts w:hint="eastAsia"/>
                <w:b w:val="0"/>
                <w:bCs/>
                <w:color w:val="auto"/>
              </w:rPr>
              <w:t>商务部分：</w:t>
            </w:r>
            <w:r>
              <w:rPr>
                <w:rFonts w:hint="eastAsia"/>
                <w:b w:val="0"/>
                <w:bCs/>
                <w:color w:val="auto"/>
                <w:lang w:val="en-US" w:eastAsia="zh-CN"/>
              </w:rPr>
              <w:t>20</w:t>
            </w:r>
            <w:r>
              <w:rPr>
                <w:rFonts w:hint="eastAsia"/>
                <w:b w:val="0"/>
                <w:bCs/>
                <w:color w:val="auto"/>
              </w:rPr>
              <w:t>分</w:t>
            </w:r>
          </w:p>
        </w:tc>
      </w:tr>
      <w:tr w14:paraId="3759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5" w:hRule="atLeast"/>
          <w:jc w:val="center"/>
        </w:trPr>
        <w:tc>
          <w:tcPr>
            <w:tcW w:w="2088" w:type="dxa"/>
            <w:gridSpan w:val="3"/>
            <w:noWrap w:val="0"/>
            <w:vAlign w:val="center"/>
          </w:tcPr>
          <w:p w14:paraId="395A3A5C">
            <w:pPr>
              <w:autoSpaceDE w:val="0"/>
              <w:autoSpaceDN w:val="0"/>
              <w:adjustRightInd w:val="0"/>
              <w:spacing w:line="400" w:lineRule="exact"/>
              <w:ind w:left="38" w:leftChars="18"/>
              <w:jc w:val="center"/>
              <w:rPr>
                <w:rFonts w:hint="default" w:eastAsia="宋体"/>
                <w:color w:val="auto"/>
                <w:kern w:val="0"/>
                <w:szCs w:val="21"/>
                <w:lang w:val="en-US" w:eastAsia="zh-CN"/>
              </w:rPr>
            </w:pPr>
            <w:r>
              <w:rPr>
                <w:rFonts w:hint="eastAsia"/>
                <w:color w:val="auto"/>
                <w:kern w:val="0"/>
                <w:szCs w:val="21"/>
                <w:lang w:val="en-US" w:eastAsia="zh-CN"/>
              </w:rPr>
              <w:t>2.2.1（1）</w:t>
            </w:r>
          </w:p>
        </w:tc>
        <w:tc>
          <w:tcPr>
            <w:tcW w:w="1860" w:type="dxa"/>
            <w:noWrap w:val="0"/>
            <w:vAlign w:val="center"/>
          </w:tcPr>
          <w:p w14:paraId="71FF694D">
            <w:pPr>
              <w:pStyle w:val="46"/>
              <w:keepNext w:val="0"/>
              <w:keepLines w:val="0"/>
              <w:pageBreakBefore w:val="0"/>
              <w:widowControl w:val="0"/>
              <w:kinsoku/>
              <w:wordWrap/>
              <w:overflowPunct/>
              <w:topLinePunct w:val="0"/>
              <w:autoSpaceDE/>
              <w:autoSpaceDN/>
              <w:bidi w:val="0"/>
              <w:adjustRightInd/>
              <w:snapToGrid/>
              <w:spacing w:before="65" w:line="440" w:lineRule="exact"/>
              <w:ind w:right="142"/>
              <w:jc w:val="center"/>
              <w:textAlignment w:val="auto"/>
              <w:rPr>
                <w:rFonts w:hint="eastAsia"/>
                <w:color w:val="auto"/>
                <w:kern w:val="0"/>
                <w:szCs w:val="21"/>
              </w:rPr>
            </w:pPr>
            <w:r>
              <w:rPr>
                <w:rFonts w:hint="eastAsia" w:cs="宋体"/>
                <w:color w:val="auto"/>
                <w:spacing w:val="7"/>
                <w:sz w:val="21"/>
                <w:szCs w:val="21"/>
                <w:lang w:val="en-US" w:eastAsia="zh-CN"/>
              </w:rPr>
              <w:t>响应</w:t>
            </w:r>
            <w:r>
              <w:rPr>
                <w:rFonts w:hint="eastAsia" w:ascii="宋体" w:hAnsi="宋体" w:eastAsia="宋体" w:cs="宋体"/>
                <w:color w:val="auto"/>
                <w:spacing w:val="7"/>
                <w:sz w:val="21"/>
                <w:szCs w:val="21"/>
              </w:rPr>
              <w:t>报价</w:t>
            </w:r>
            <w:r>
              <w:rPr>
                <w:rFonts w:hint="eastAsia" w:ascii="宋体" w:hAnsi="宋体" w:eastAsia="宋体" w:cs="宋体"/>
                <w:color w:val="auto"/>
                <w:spacing w:val="1"/>
                <w:sz w:val="21"/>
                <w:szCs w:val="21"/>
                <w:lang w:val="en-US" w:eastAsia="zh-CN"/>
              </w:rPr>
              <w:t>20</w:t>
            </w:r>
            <w:r>
              <w:rPr>
                <w:rFonts w:hint="eastAsia" w:ascii="宋体" w:hAnsi="宋体" w:eastAsia="宋体" w:cs="宋体"/>
                <w:color w:val="auto"/>
                <w:spacing w:val="1"/>
                <w:sz w:val="21"/>
                <w:szCs w:val="21"/>
              </w:rPr>
              <w:t>分</w:t>
            </w:r>
          </w:p>
        </w:tc>
        <w:tc>
          <w:tcPr>
            <w:tcW w:w="5432" w:type="dxa"/>
            <w:noWrap w:val="0"/>
            <w:vAlign w:val="center"/>
          </w:tcPr>
          <w:p w14:paraId="5EA95A8E">
            <w:pPr>
              <w:keepNext w:val="0"/>
              <w:keepLines w:val="0"/>
              <w:pageBreakBefore w:val="0"/>
              <w:widowControl/>
              <w:kinsoku/>
              <w:wordWrap/>
              <w:overflowPunct/>
              <w:topLinePunct w:val="0"/>
              <w:autoSpaceDE/>
              <w:autoSpaceDN/>
              <w:bidi w:val="0"/>
              <w:adjustRightInd/>
              <w:snapToGrid/>
              <w:spacing w:line="440" w:lineRule="exact"/>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color w:val="auto"/>
                <w:spacing w:val="11"/>
                <w:sz w:val="21"/>
                <w:szCs w:val="21"/>
              </w:rPr>
              <w:t>价格分采用低价优先法计算，即满足</w:t>
            </w:r>
            <w:r>
              <w:rPr>
                <w:rFonts w:hint="eastAsia" w:ascii="宋体" w:hAnsi="宋体" w:eastAsia="宋体" w:cs="宋体"/>
                <w:color w:val="auto"/>
                <w:spacing w:val="11"/>
                <w:sz w:val="21"/>
                <w:szCs w:val="21"/>
                <w:lang w:val="en-US" w:eastAsia="zh-CN"/>
              </w:rPr>
              <w:t>征集</w:t>
            </w:r>
            <w:r>
              <w:rPr>
                <w:rFonts w:hint="eastAsia" w:ascii="宋体" w:hAnsi="宋体" w:eastAsia="宋体" w:cs="宋体"/>
                <w:color w:val="auto"/>
                <w:spacing w:val="11"/>
                <w:sz w:val="21"/>
                <w:szCs w:val="21"/>
              </w:rPr>
              <w:t>文件要求且投标价格最低</w:t>
            </w:r>
            <w:r>
              <w:rPr>
                <w:rFonts w:hint="eastAsia" w:ascii="宋体" w:hAnsi="宋体" w:eastAsia="宋体" w:cs="宋体"/>
                <w:color w:val="auto"/>
                <w:spacing w:val="10"/>
                <w:sz w:val="21"/>
                <w:szCs w:val="21"/>
              </w:rPr>
              <w:t>的</w:t>
            </w:r>
            <w:r>
              <w:rPr>
                <w:rFonts w:hint="eastAsia" w:cs="宋体"/>
                <w:color w:val="auto"/>
                <w:spacing w:val="7"/>
                <w:sz w:val="21"/>
                <w:szCs w:val="21"/>
                <w:lang w:val="en-US" w:eastAsia="zh-CN"/>
              </w:rPr>
              <w:t>响应</w:t>
            </w:r>
            <w:r>
              <w:rPr>
                <w:rFonts w:hint="eastAsia" w:ascii="宋体" w:hAnsi="宋体" w:eastAsia="宋体" w:cs="宋体"/>
                <w:color w:val="auto"/>
                <w:spacing w:val="10"/>
                <w:sz w:val="21"/>
                <w:szCs w:val="21"/>
              </w:rPr>
              <w:t>报价为评标</w:t>
            </w:r>
            <w:r>
              <w:rPr>
                <w:rFonts w:hint="eastAsia" w:ascii="宋体" w:hAnsi="宋体" w:eastAsia="宋体" w:cs="宋体"/>
                <w:color w:val="auto"/>
                <w:spacing w:val="9"/>
                <w:sz w:val="21"/>
                <w:szCs w:val="21"/>
              </w:rPr>
              <w:t>基准价，其价格分为满分，其他供应商的价格分统一按照下列公式计算</w:t>
            </w:r>
            <w:r>
              <w:rPr>
                <w:rFonts w:hint="eastAsia" w:ascii="宋体" w:hAnsi="宋体" w:eastAsia="宋体" w:cs="宋体"/>
                <w:color w:val="auto"/>
                <w:sz w:val="21"/>
                <w:szCs w:val="21"/>
                <w:highlight w:val="none"/>
              </w:rPr>
              <w:t>：</w:t>
            </w:r>
          </w:p>
          <w:p w14:paraId="22EBBC9D">
            <w:pPr>
              <w:keepNext w:val="0"/>
              <w:keepLines w:val="0"/>
              <w:pageBreakBefore w:val="0"/>
              <w:widowControl/>
              <w:kinsoku/>
              <w:wordWrap/>
              <w:overflowPunct/>
              <w:topLinePunct w:val="0"/>
              <w:autoSpaceDE/>
              <w:autoSpaceDN/>
              <w:bidi w:val="0"/>
              <w:adjustRightInd/>
              <w:snapToGrid/>
              <w:spacing w:line="440" w:lineRule="exact"/>
              <w:textAlignment w:val="auto"/>
              <w:outlineLvl w:val="9"/>
              <w:rPr>
                <w:rFonts w:hint="eastAsia" w:ascii="宋体" w:hAnsi="宋体" w:eastAsia="宋体" w:cs="宋体"/>
                <w:b/>
                <w:bCs/>
                <w:color w:val="auto"/>
                <w:sz w:val="21"/>
                <w:szCs w:val="21"/>
                <w:highlight w:val="none"/>
                <w:lang w:val="en-US" w:eastAsia="zh-CN"/>
              </w:rPr>
            </w:pPr>
            <w:r>
              <w:rPr>
                <w:rFonts w:hint="eastAsia" w:cs="宋体"/>
                <w:b/>
                <w:bCs/>
                <w:color w:val="auto"/>
                <w:spacing w:val="7"/>
                <w:sz w:val="21"/>
                <w:szCs w:val="21"/>
                <w:lang w:val="en-US" w:eastAsia="zh-CN"/>
              </w:rPr>
              <w:t>响应</w:t>
            </w:r>
            <w:r>
              <w:rPr>
                <w:rFonts w:hint="eastAsia" w:ascii="宋体" w:hAnsi="宋体" w:eastAsia="宋体" w:cs="宋体"/>
                <w:b/>
                <w:bCs/>
                <w:color w:val="auto"/>
                <w:sz w:val="21"/>
                <w:szCs w:val="21"/>
                <w:highlight w:val="none"/>
              </w:rPr>
              <w:t>报价得分=(评标基准价/</w:t>
            </w:r>
            <w:r>
              <w:rPr>
                <w:rFonts w:hint="eastAsia" w:cs="宋体"/>
                <w:b/>
                <w:bCs/>
                <w:color w:val="auto"/>
                <w:spacing w:val="7"/>
                <w:sz w:val="21"/>
                <w:szCs w:val="21"/>
                <w:lang w:val="en-US" w:eastAsia="zh-CN"/>
              </w:rPr>
              <w:t>响应</w:t>
            </w:r>
            <w:r>
              <w:rPr>
                <w:rFonts w:hint="eastAsia" w:ascii="宋体" w:hAnsi="宋体" w:eastAsia="宋体" w:cs="宋体"/>
                <w:b/>
                <w:bCs/>
                <w:color w:val="auto"/>
                <w:sz w:val="21"/>
                <w:szCs w:val="21"/>
                <w:highlight w:val="none"/>
              </w:rPr>
              <w:t>报价)×</w:t>
            </w:r>
            <w:r>
              <w:rPr>
                <w:rFonts w:hint="eastAsia" w:ascii="宋体" w:hAnsi="宋体" w:eastAsia="宋体" w:cs="宋体"/>
                <w:b/>
                <w:bCs/>
                <w:color w:val="auto"/>
                <w:sz w:val="21"/>
                <w:szCs w:val="21"/>
                <w:highlight w:val="none"/>
                <w:lang w:val="en-US" w:eastAsia="zh-CN"/>
              </w:rPr>
              <w:t>20</w:t>
            </w:r>
          </w:p>
          <w:p w14:paraId="47E2ECB7">
            <w:pPr>
              <w:pStyle w:val="30"/>
              <w:keepNext w:val="0"/>
              <w:keepLines w:val="0"/>
              <w:pageBreakBefore w:val="0"/>
              <w:kinsoku/>
              <w:wordWrap/>
              <w:overflowPunct/>
              <w:topLinePunct w:val="0"/>
              <w:autoSpaceDE/>
              <w:autoSpaceDN/>
              <w:bidi w:val="0"/>
              <w:adjustRightInd/>
              <w:snapToGrid/>
              <w:spacing w:after="0" w:line="440" w:lineRule="exact"/>
              <w:ind w:left="0" w:leftChars="0" w:firstLine="0" w:firstLineChars="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注：</w:t>
            </w:r>
          </w:p>
          <w:p w14:paraId="3205E2C5">
            <w:pPr>
              <w:pStyle w:val="30"/>
              <w:keepNext w:val="0"/>
              <w:keepLines w:val="0"/>
              <w:pageBreakBefore w:val="0"/>
              <w:kinsoku/>
              <w:wordWrap/>
              <w:overflowPunct/>
              <w:topLinePunct w:val="0"/>
              <w:autoSpaceDE/>
              <w:autoSpaceDN/>
              <w:bidi w:val="0"/>
              <w:adjustRightInd/>
              <w:snapToGrid/>
              <w:spacing w:after="0" w:line="44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残疾人福利性单位、监狱企业视同小型、微型企业，享受小型、微型企业同等政策待遇。残疾人福利性单位应提供《残疾人福利性单位声明函》；监狱企业应当提供省级以上监狱管理局、戒毒管理局（含新疆生产建设兵团）出具的属于监狱企业的证明文件；</w:t>
            </w:r>
          </w:p>
          <w:p w14:paraId="549CEA0F">
            <w:pPr>
              <w:pStyle w:val="30"/>
              <w:keepNext w:val="0"/>
              <w:keepLines w:val="0"/>
              <w:pageBreakBefore w:val="0"/>
              <w:kinsoku/>
              <w:wordWrap/>
              <w:overflowPunct/>
              <w:topLinePunct w:val="0"/>
              <w:autoSpaceDE/>
              <w:autoSpaceDN/>
              <w:bidi w:val="0"/>
              <w:adjustRightInd/>
              <w:snapToGrid/>
              <w:spacing w:after="0" w:line="44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2）供应商需提供中小企业声明函，并对其真实性负责；</w:t>
            </w:r>
          </w:p>
          <w:p w14:paraId="0BDAE666">
            <w:pPr>
              <w:keepNext w:val="0"/>
              <w:keepLines w:val="0"/>
              <w:pageBreakBefore w:val="0"/>
              <w:widowControl w:val="0"/>
              <w:kinsoku/>
              <w:wordWrap/>
              <w:overflowPunct/>
              <w:topLinePunct w:val="0"/>
              <w:autoSpaceDE w:val="0"/>
              <w:autoSpaceDN w:val="0"/>
              <w:bidi w:val="0"/>
              <w:adjustRightInd w:val="0"/>
              <w:snapToGrid/>
              <w:spacing w:line="440" w:lineRule="exact"/>
              <w:ind w:left="38" w:leftChars="18"/>
              <w:jc w:val="left"/>
              <w:textAlignment w:val="auto"/>
              <w:rPr>
                <w:rFonts w:hint="eastAsia"/>
                <w:b w:val="0"/>
                <w:bCs/>
                <w:color w:val="auto"/>
              </w:rPr>
            </w:pPr>
            <w:r>
              <w:rPr>
                <w:rFonts w:hint="eastAsia" w:ascii="宋体" w:hAnsi="宋体" w:eastAsia="宋体" w:cs="宋体"/>
                <w:color w:val="auto"/>
                <w:sz w:val="21"/>
                <w:szCs w:val="21"/>
                <w:highlight w:val="none"/>
              </w:rPr>
              <w:t>3）本项目专门面向</w:t>
            </w:r>
            <w:r>
              <w:rPr>
                <w:rFonts w:hint="eastAsia" w:ascii="宋体" w:hAnsi="宋体" w:eastAsia="宋体" w:cs="宋体"/>
                <w:color w:val="auto"/>
                <w:sz w:val="21"/>
                <w:szCs w:val="21"/>
                <w:highlight w:val="none"/>
                <w:lang w:val="en-US" w:eastAsia="zh-CN"/>
              </w:rPr>
              <w:t>中</w:t>
            </w:r>
            <w:r>
              <w:rPr>
                <w:rFonts w:hint="eastAsia" w:ascii="宋体" w:hAnsi="宋体" w:eastAsia="宋体" w:cs="宋体"/>
                <w:color w:val="auto"/>
                <w:sz w:val="21"/>
                <w:szCs w:val="21"/>
                <w:highlight w:val="none"/>
              </w:rPr>
              <w:t>小微企业采购，不再执行价格评审优惠的扶持政策；</w:t>
            </w:r>
          </w:p>
        </w:tc>
      </w:tr>
      <w:tr w14:paraId="3C47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88" w:type="dxa"/>
            <w:gridSpan w:val="3"/>
            <w:noWrap w:val="0"/>
            <w:vAlign w:val="center"/>
          </w:tcPr>
          <w:p w14:paraId="4AB12989">
            <w:pPr>
              <w:autoSpaceDE w:val="0"/>
              <w:autoSpaceDN w:val="0"/>
              <w:adjustRightInd w:val="0"/>
              <w:spacing w:line="400" w:lineRule="exact"/>
              <w:ind w:left="38" w:leftChars="18"/>
              <w:jc w:val="center"/>
              <w:rPr>
                <w:rFonts w:hint="eastAsia"/>
                <w:kern w:val="0"/>
                <w:szCs w:val="21"/>
              </w:rPr>
            </w:pPr>
            <w:r>
              <w:rPr>
                <w:rFonts w:hint="eastAsia"/>
                <w:kern w:val="0"/>
                <w:szCs w:val="21"/>
              </w:rPr>
              <w:t>条款号</w:t>
            </w:r>
          </w:p>
        </w:tc>
        <w:tc>
          <w:tcPr>
            <w:tcW w:w="1860" w:type="dxa"/>
            <w:noWrap w:val="0"/>
            <w:vAlign w:val="center"/>
          </w:tcPr>
          <w:p w14:paraId="512DCB7F">
            <w:pPr>
              <w:autoSpaceDE w:val="0"/>
              <w:autoSpaceDN w:val="0"/>
              <w:adjustRightInd w:val="0"/>
              <w:spacing w:line="400" w:lineRule="exact"/>
              <w:ind w:left="38" w:leftChars="18"/>
              <w:jc w:val="center"/>
              <w:rPr>
                <w:rFonts w:hint="eastAsia"/>
                <w:kern w:val="0"/>
                <w:szCs w:val="21"/>
              </w:rPr>
            </w:pPr>
            <w:r>
              <w:rPr>
                <w:rFonts w:hint="eastAsia"/>
                <w:kern w:val="0"/>
                <w:szCs w:val="21"/>
              </w:rPr>
              <w:t>评分因素</w:t>
            </w:r>
          </w:p>
        </w:tc>
        <w:tc>
          <w:tcPr>
            <w:tcW w:w="5432" w:type="dxa"/>
            <w:noWrap w:val="0"/>
            <w:vAlign w:val="center"/>
          </w:tcPr>
          <w:p w14:paraId="62E107B5">
            <w:pPr>
              <w:autoSpaceDE w:val="0"/>
              <w:autoSpaceDN w:val="0"/>
              <w:adjustRightInd w:val="0"/>
              <w:spacing w:line="400" w:lineRule="exact"/>
              <w:ind w:left="38" w:leftChars="18"/>
              <w:jc w:val="center"/>
              <w:rPr>
                <w:rFonts w:hint="eastAsia"/>
                <w:b/>
              </w:rPr>
            </w:pPr>
            <w:r>
              <w:rPr>
                <w:rFonts w:hint="eastAsia"/>
                <w:kern w:val="0"/>
                <w:szCs w:val="21"/>
              </w:rPr>
              <w:t>评分标准</w:t>
            </w:r>
          </w:p>
        </w:tc>
      </w:tr>
      <w:tr w14:paraId="6718C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0" w:hRule="atLeast"/>
          <w:jc w:val="center"/>
        </w:trPr>
        <w:tc>
          <w:tcPr>
            <w:tcW w:w="990" w:type="dxa"/>
            <w:vMerge w:val="restart"/>
            <w:noWrap w:val="0"/>
            <w:vAlign w:val="center"/>
          </w:tcPr>
          <w:p w14:paraId="2C1DF3CF">
            <w:pPr>
              <w:widowControl/>
              <w:jc w:val="center"/>
              <w:rPr>
                <w:rFonts w:hint="eastAsia"/>
                <w:kern w:val="0"/>
                <w:szCs w:val="21"/>
              </w:rPr>
            </w:pPr>
          </w:p>
          <w:p w14:paraId="01795F5B">
            <w:pPr>
              <w:widowControl/>
              <w:jc w:val="both"/>
              <w:rPr>
                <w:rFonts w:hint="eastAsia"/>
                <w:kern w:val="0"/>
                <w:szCs w:val="21"/>
              </w:rPr>
            </w:pPr>
            <w:r>
              <w:rPr>
                <w:rFonts w:hint="eastAsia"/>
                <w:kern w:val="0"/>
                <w:szCs w:val="21"/>
              </w:rPr>
              <w:t>2.2.</w:t>
            </w:r>
            <w:r>
              <w:rPr>
                <w:rFonts w:hint="eastAsia"/>
                <w:kern w:val="0"/>
                <w:szCs w:val="21"/>
                <w:lang w:val="en-US" w:eastAsia="zh-CN"/>
              </w:rPr>
              <w:t>1</w:t>
            </w:r>
            <w:r>
              <w:rPr>
                <w:rFonts w:hint="eastAsia"/>
                <w:kern w:val="0"/>
                <w:szCs w:val="21"/>
              </w:rPr>
              <w:t>（</w:t>
            </w:r>
            <w:r>
              <w:rPr>
                <w:rFonts w:hint="eastAsia"/>
                <w:kern w:val="0"/>
                <w:szCs w:val="21"/>
                <w:lang w:val="en-US" w:eastAsia="zh-CN"/>
              </w:rPr>
              <w:t>2</w:t>
            </w:r>
            <w:r>
              <w:rPr>
                <w:rFonts w:hint="eastAsia"/>
                <w:kern w:val="0"/>
                <w:szCs w:val="21"/>
              </w:rPr>
              <w:t>）</w:t>
            </w:r>
          </w:p>
        </w:tc>
        <w:tc>
          <w:tcPr>
            <w:tcW w:w="1098" w:type="dxa"/>
            <w:gridSpan w:val="2"/>
            <w:vMerge w:val="restart"/>
            <w:noWrap w:val="0"/>
            <w:vAlign w:val="center"/>
          </w:tcPr>
          <w:p w14:paraId="6818656A">
            <w:pPr>
              <w:pStyle w:val="43"/>
              <w:spacing w:before="107"/>
              <w:ind w:left="57" w:right="57"/>
              <w:jc w:val="center"/>
              <w:rPr>
                <w:rFonts w:hint="eastAsia" w:cs="Times New Roman"/>
                <w:b w:val="0"/>
                <w:bCs/>
                <w:szCs w:val="21"/>
              </w:rPr>
            </w:pPr>
          </w:p>
          <w:p w14:paraId="6DD7A3DF">
            <w:pPr>
              <w:pStyle w:val="43"/>
              <w:spacing w:before="107"/>
              <w:ind w:left="57" w:right="57"/>
              <w:jc w:val="center"/>
              <w:rPr>
                <w:rFonts w:hint="eastAsia" w:cs="Times New Roman"/>
                <w:b w:val="0"/>
                <w:bCs/>
                <w:szCs w:val="21"/>
              </w:rPr>
            </w:pPr>
          </w:p>
          <w:p w14:paraId="42913B5D">
            <w:pPr>
              <w:pStyle w:val="43"/>
              <w:spacing w:before="107"/>
              <w:ind w:right="57" w:firstLine="210" w:firstLineChars="100"/>
              <w:jc w:val="both"/>
              <w:rPr>
                <w:rFonts w:hint="eastAsia" w:cs="Times New Roman"/>
                <w:b w:val="0"/>
                <w:bCs/>
                <w:szCs w:val="21"/>
              </w:rPr>
            </w:pPr>
            <w:r>
              <w:rPr>
                <w:rFonts w:hint="eastAsia" w:cs="Times New Roman"/>
                <w:b w:val="0"/>
                <w:bCs/>
                <w:szCs w:val="21"/>
              </w:rPr>
              <w:t>技术</w:t>
            </w:r>
          </w:p>
          <w:p w14:paraId="0C9C683A">
            <w:pPr>
              <w:pStyle w:val="43"/>
              <w:spacing w:before="107"/>
              <w:ind w:left="57" w:right="57"/>
              <w:jc w:val="center"/>
              <w:rPr>
                <w:rFonts w:hint="eastAsia" w:ascii="仿宋" w:hAnsi="仿宋" w:cs="仿宋"/>
                <w:b w:val="0"/>
                <w:bCs/>
                <w:szCs w:val="21"/>
              </w:rPr>
            </w:pPr>
            <w:r>
              <w:rPr>
                <w:rFonts w:hint="eastAsia" w:cs="Times New Roman"/>
                <w:b w:val="0"/>
                <w:bCs/>
                <w:szCs w:val="21"/>
              </w:rPr>
              <w:t>部分</w:t>
            </w:r>
          </w:p>
          <w:p w14:paraId="0E674A29">
            <w:pPr>
              <w:widowControl/>
              <w:jc w:val="center"/>
              <w:rPr>
                <w:rFonts w:hint="eastAsia" w:cs="Times New Roman"/>
                <w:b/>
                <w:szCs w:val="21"/>
              </w:rPr>
            </w:pPr>
            <w:r>
              <w:rPr>
                <w:rFonts w:hint="eastAsia" w:cs="Times New Roman"/>
                <w:b w:val="0"/>
                <w:bCs/>
                <w:szCs w:val="21"/>
              </w:rPr>
              <w:t>（</w:t>
            </w:r>
            <w:r>
              <w:rPr>
                <w:rFonts w:hint="eastAsia" w:cs="Times New Roman"/>
                <w:b w:val="0"/>
                <w:bCs/>
                <w:szCs w:val="21"/>
                <w:lang w:val="en-US" w:eastAsia="zh-CN"/>
              </w:rPr>
              <w:t>60</w:t>
            </w:r>
            <w:r>
              <w:rPr>
                <w:rFonts w:hint="eastAsia" w:cs="Times New Roman"/>
                <w:b w:val="0"/>
                <w:bCs/>
                <w:szCs w:val="21"/>
              </w:rPr>
              <w:t>分）</w:t>
            </w:r>
          </w:p>
        </w:tc>
        <w:tc>
          <w:tcPr>
            <w:tcW w:w="1860" w:type="dxa"/>
            <w:noWrap w:val="0"/>
            <w:vAlign w:val="center"/>
          </w:tcPr>
          <w:p w14:paraId="6A64E0C7">
            <w:pPr>
              <w:autoSpaceDE w:val="0"/>
              <w:autoSpaceDN w:val="0"/>
              <w:adjustRightInd w:val="0"/>
              <w:spacing w:line="400" w:lineRule="exact"/>
              <w:ind w:left="38" w:leftChars="18"/>
              <w:jc w:val="center"/>
              <w:rPr>
                <w:rFonts w:hint="eastAsia" w:cs="宋体"/>
                <w:kern w:val="0"/>
                <w:szCs w:val="21"/>
                <w:lang w:val="en-US" w:eastAsia="zh-CN"/>
              </w:rPr>
            </w:pPr>
            <w:r>
              <w:rPr>
                <w:rFonts w:hint="eastAsia" w:cs="宋体"/>
                <w:kern w:val="0"/>
                <w:szCs w:val="21"/>
                <w:lang w:val="en-US" w:eastAsia="zh-CN"/>
              </w:rPr>
              <w:t>总体服务方案</w:t>
            </w:r>
          </w:p>
          <w:p w14:paraId="53F762AA">
            <w:pPr>
              <w:autoSpaceDE w:val="0"/>
              <w:autoSpaceDN w:val="0"/>
              <w:adjustRightInd w:val="0"/>
              <w:spacing w:line="400" w:lineRule="exact"/>
              <w:ind w:left="38" w:leftChars="18"/>
              <w:jc w:val="center"/>
              <w:rPr>
                <w:rFonts w:hint="eastAsia"/>
                <w:b/>
                <w:bCs/>
                <w:kern w:val="0"/>
                <w:sz w:val="21"/>
                <w:szCs w:val="21"/>
              </w:rPr>
            </w:pPr>
            <w:r>
              <w:rPr>
                <w:rFonts w:hint="eastAsia" w:ascii="宋体" w:hAnsi="宋体" w:eastAsia="宋体" w:cs="宋体"/>
                <w:kern w:val="0"/>
                <w:szCs w:val="21"/>
              </w:rPr>
              <w:t>（</w:t>
            </w:r>
            <w:r>
              <w:rPr>
                <w:rFonts w:hint="eastAsia" w:cs="宋体"/>
                <w:kern w:val="0"/>
                <w:szCs w:val="21"/>
                <w:lang w:val="en-US" w:eastAsia="zh-CN"/>
              </w:rPr>
              <w:t>9</w:t>
            </w:r>
            <w:r>
              <w:rPr>
                <w:rFonts w:hint="eastAsia" w:ascii="宋体" w:hAnsi="宋体" w:eastAsia="宋体" w:cs="宋体"/>
                <w:kern w:val="0"/>
                <w:szCs w:val="21"/>
              </w:rPr>
              <w:t>分）</w:t>
            </w:r>
          </w:p>
        </w:tc>
        <w:tc>
          <w:tcPr>
            <w:tcW w:w="5432" w:type="dxa"/>
            <w:noWrap w:val="0"/>
            <w:vAlign w:val="top"/>
          </w:tcPr>
          <w:p w14:paraId="18743538">
            <w:pPr>
              <w:keepNext w:val="0"/>
              <w:keepLines w:val="0"/>
              <w:pageBreakBefore w:val="0"/>
              <w:kinsoku/>
              <w:wordWrap/>
              <w:overflowPunct/>
              <w:topLinePunct w:val="0"/>
              <w:autoSpaceDE/>
              <w:autoSpaceDN/>
              <w:bidi w:val="0"/>
              <w:adjustRightInd/>
              <w:snapToGrid/>
              <w:spacing w:line="440" w:lineRule="exact"/>
              <w:textAlignment w:val="auto"/>
              <w:rPr>
                <w:rFonts w:hint="default" w:eastAsia="宋体"/>
                <w:sz w:val="21"/>
                <w:szCs w:val="21"/>
                <w:lang w:val="en-US" w:eastAsia="zh-CN"/>
              </w:rPr>
            </w:pPr>
            <w:r>
              <w:rPr>
                <w:rFonts w:hint="eastAsia"/>
                <w:sz w:val="21"/>
                <w:szCs w:val="21"/>
                <w:lang w:val="en-US" w:eastAsia="zh-CN"/>
              </w:rPr>
              <w:t>根据供应商制定的</w:t>
            </w:r>
            <w:r>
              <w:rPr>
                <w:rFonts w:hint="eastAsia"/>
                <w:sz w:val="21"/>
                <w:szCs w:val="21"/>
                <w:highlight w:val="none"/>
                <w:lang w:val="en-US" w:eastAsia="zh-CN"/>
              </w:rPr>
              <w:t>总体</w:t>
            </w:r>
            <w:r>
              <w:rPr>
                <w:rFonts w:hint="eastAsia"/>
                <w:sz w:val="21"/>
                <w:szCs w:val="21"/>
                <w:highlight w:val="none"/>
              </w:rPr>
              <w:t>方案</w:t>
            </w:r>
            <w:r>
              <w:rPr>
                <w:rFonts w:hint="eastAsia"/>
                <w:sz w:val="21"/>
                <w:szCs w:val="21"/>
                <w:highlight w:val="none"/>
                <w:lang w:eastAsia="zh-CN"/>
              </w:rPr>
              <w:t>（</w:t>
            </w:r>
            <w:r>
              <w:rPr>
                <w:rFonts w:hint="eastAsia"/>
                <w:sz w:val="21"/>
                <w:szCs w:val="21"/>
                <w:highlight w:val="none"/>
                <w:lang w:val="en-US" w:eastAsia="zh-CN"/>
              </w:rPr>
              <w:t>包括但不限于各阶段工作任务划分及进度安排计划、关键时间节点把握、维护调试方案、故障解决方案等）进行综合评分。</w:t>
            </w:r>
            <w:r>
              <w:rPr>
                <w:rFonts w:hint="eastAsia" w:cs="宋体"/>
                <w:color w:val="000000"/>
                <w:sz w:val="21"/>
                <w:highlight w:val="none"/>
                <w:lang w:val="en-US" w:eastAsia="zh-CN"/>
              </w:rPr>
              <w:t>内容</w:t>
            </w:r>
            <w:r>
              <w:rPr>
                <w:rFonts w:ascii="宋体" w:hAnsi="宋体" w:eastAsia="宋体" w:cs="宋体"/>
                <w:color w:val="000000"/>
                <w:sz w:val="21"/>
                <w:highlight w:val="none"/>
              </w:rPr>
              <w:t>考虑周全、详实具体，安排科学合理、可行性高得</w:t>
            </w:r>
            <w:r>
              <w:rPr>
                <w:rFonts w:hint="eastAsia" w:cs="宋体"/>
                <w:color w:val="000000"/>
                <w:sz w:val="21"/>
                <w:highlight w:val="none"/>
                <w:lang w:val="en-US" w:eastAsia="zh-CN"/>
              </w:rPr>
              <w:t>9</w:t>
            </w:r>
            <w:r>
              <w:rPr>
                <w:rFonts w:ascii="宋体" w:hAnsi="宋体" w:eastAsia="宋体" w:cs="宋体"/>
                <w:color w:val="000000"/>
                <w:sz w:val="21"/>
                <w:highlight w:val="none"/>
              </w:rPr>
              <w:t>分；</w:t>
            </w:r>
            <w:r>
              <w:rPr>
                <w:rFonts w:hint="eastAsia" w:cs="宋体"/>
                <w:color w:val="000000"/>
                <w:sz w:val="21"/>
                <w:highlight w:val="none"/>
                <w:lang w:val="en-US" w:eastAsia="zh-CN"/>
              </w:rPr>
              <w:t>措施</w:t>
            </w:r>
            <w:r>
              <w:rPr>
                <w:rFonts w:ascii="宋体" w:hAnsi="宋体" w:eastAsia="宋体" w:cs="宋体"/>
                <w:color w:val="000000"/>
                <w:sz w:val="21"/>
                <w:highlight w:val="none"/>
              </w:rPr>
              <w:t>较为详细，安排较为科学、较为可行得</w:t>
            </w:r>
            <w:r>
              <w:rPr>
                <w:rFonts w:hint="eastAsia" w:ascii="宋体" w:hAnsi="宋体" w:eastAsia="宋体" w:cs="宋体"/>
                <w:color w:val="000000"/>
                <w:sz w:val="21"/>
                <w:highlight w:val="none"/>
                <w:lang w:val="en-US" w:eastAsia="zh-CN"/>
              </w:rPr>
              <w:t>7</w:t>
            </w:r>
            <w:r>
              <w:rPr>
                <w:rFonts w:ascii="宋体" w:hAnsi="宋体" w:eastAsia="宋体" w:cs="宋体"/>
                <w:color w:val="000000"/>
                <w:sz w:val="21"/>
                <w:highlight w:val="none"/>
              </w:rPr>
              <w:t>分；方案详实程度及合理性一般得</w:t>
            </w:r>
            <w:r>
              <w:rPr>
                <w:rFonts w:hint="eastAsia" w:ascii="宋体" w:hAnsi="宋体" w:eastAsia="宋体" w:cs="宋体"/>
                <w:color w:val="000000"/>
                <w:sz w:val="21"/>
                <w:highlight w:val="none"/>
                <w:lang w:val="en-US" w:eastAsia="zh-CN"/>
              </w:rPr>
              <w:t>5</w:t>
            </w:r>
            <w:r>
              <w:rPr>
                <w:rFonts w:ascii="宋体" w:hAnsi="宋体" w:eastAsia="宋体" w:cs="宋体"/>
                <w:color w:val="000000"/>
                <w:sz w:val="21"/>
                <w:highlight w:val="none"/>
              </w:rPr>
              <w:t>分；方案不够详细</w:t>
            </w:r>
            <w:r>
              <w:rPr>
                <w:rFonts w:hint="eastAsia" w:cs="宋体"/>
                <w:color w:val="000000"/>
                <w:sz w:val="21"/>
                <w:highlight w:val="none"/>
                <w:lang w:eastAsia="zh-CN"/>
              </w:rPr>
              <w:t>、</w:t>
            </w:r>
            <w:r>
              <w:rPr>
                <w:rFonts w:ascii="宋体" w:hAnsi="宋体" w:eastAsia="宋体" w:cs="宋体"/>
                <w:color w:val="000000"/>
                <w:sz w:val="21"/>
                <w:highlight w:val="none"/>
              </w:rPr>
              <w:t>合理性较差</w:t>
            </w:r>
            <w:r>
              <w:rPr>
                <w:rFonts w:hint="eastAsia" w:cs="宋体"/>
                <w:color w:val="000000"/>
                <w:sz w:val="21"/>
                <w:highlight w:val="none"/>
                <w:lang w:val="en-US" w:eastAsia="zh-CN"/>
              </w:rPr>
              <w:t>的</w:t>
            </w:r>
            <w:r>
              <w:rPr>
                <w:rFonts w:ascii="宋体" w:hAnsi="宋体" w:eastAsia="宋体" w:cs="宋体"/>
                <w:color w:val="000000"/>
                <w:sz w:val="21"/>
                <w:highlight w:val="none"/>
              </w:rPr>
              <w:t>得</w:t>
            </w:r>
            <w:r>
              <w:rPr>
                <w:rFonts w:hint="eastAsia" w:cs="宋体"/>
                <w:color w:val="000000"/>
                <w:sz w:val="21"/>
                <w:highlight w:val="none"/>
                <w:lang w:val="en-US" w:eastAsia="zh-CN"/>
              </w:rPr>
              <w:t>1</w:t>
            </w:r>
            <w:r>
              <w:rPr>
                <w:rFonts w:ascii="宋体" w:hAnsi="宋体" w:eastAsia="宋体" w:cs="宋体"/>
                <w:color w:val="000000"/>
                <w:sz w:val="21"/>
                <w:highlight w:val="none"/>
              </w:rPr>
              <w:t>分；</w:t>
            </w:r>
            <w:r>
              <w:rPr>
                <w:rFonts w:hint="eastAsia"/>
                <w:sz w:val="21"/>
                <w:szCs w:val="21"/>
                <w:highlight w:val="none"/>
              </w:rPr>
              <w:t>缺项得0分。</w:t>
            </w:r>
          </w:p>
        </w:tc>
      </w:tr>
      <w:tr w14:paraId="3B942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990" w:type="dxa"/>
            <w:vMerge w:val="continue"/>
            <w:noWrap w:val="0"/>
            <w:vAlign w:val="center"/>
          </w:tcPr>
          <w:p w14:paraId="71541DD8">
            <w:pPr>
              <w:widowControl/>
              <w:jc w:val="center"/>
              <w:rPr>
                <w:rFonts w:hint="eastAsia"/>
                <w:kern w:val="0"/>
                <w:szCs w:val="21"/>
              </w:rPr>
            </w:pPr>
          </w:p>
        </w:tc>
        <w:tc>
          <w:tcPr>
            <w:tcW w:w="1098" w:type="dxa"/>
            <w:gridSpan w:val="2"/>
            <w:vMerge w:val="continue"/>
            <w:noWrap w:val="0"/>
            <w:vAlign w:val="center"/>
          </w:tcPr>
          <w:p w14:paraId="5D0B679C">
            <w:pPr>
              <w:widowControl/>
              <w:jc w:val="center"/>
              <w:rPr>
                <w:rFonts w:hint="eastAsia" w:cs="Times New Roman"/>
                <w:b/>
                <w:szCs w:val="21"/>
              </w:rPr>
            </w:pPr>
          </w:p>
        </w:tc>
        <w:tc>
          <w:tcPr>
            <w:tcW w:w="1860" w:type="dxa"/>
            <w:noWrap w:val="0"/>
            <w:vAlign w:val="top"/>
          </w:tcPr>
          <w:p w14:paraId="0559167A">
            <w:pPr>
              <w:pStyle w:val="46"/>
              <w:spacing w:before="68" w:line="222" w:lineRule="auto"/>
              <w:jc w:val="both"/>
              <w:rPr>
                <w:rFonts w:hint="eastAsia"/>
                <w:sz w:val="21"/>
                <w:szCs w:val="21"/>
                <w:highlight w:val="none"/>
              </w:rPr>
            </w:pPr>
          </w:p>
          <w:p w14:paraId="47C1A230">
            <w:pPr>
              <w:pStyle w:val="46"/>
              <w:spacing w:before="68" w:line="222" w:lineRule="auto"/>
              <w:jc w:val="center"/>
              <w:rPr>
                <w:rFonts w:hint="eastAsia"/>
                <w:sz w:val="21"/>
                <w:szCs w:val="21"/>
                <w:highlight w:val="none"/>
              </w:rPr>
            </w:pPr>
          </w:p>
          <w:p w14:paraId="67BB99E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sz w:val="21"/>
                <w:szCs w:val="21"/>
              </w:rPr>
            </w:pPr>
            <w:r>
              <w:rPr>
                <w:rFonts w:hint="eastAsia" w:cs="宋体"/>
                <w:sz w:val="21"/>
                <w:szCs w:val="21"/>
                <w:lang w:val="en-US" w:eastAsia="zh-CN"/>
              </w:rPr>
              <w:t>服务</w:t>
            </w:r>
            <w:r>
              <w:rPr>
                <w:rFonts w:hint="eastAsia" w:ascii="宋体" w:hAnsi="宋体" w:eastAsia="宋体" w:cs="宋体"/>
                <w:sz w:val="21"/>
                <w:szCs w:val="21"/>
              </w:rPr>
              <w:t>质量保证</w:t>
            </w:r>
          </w:p>
          <w:p w14:paraId="1E61A2DC">
            <w:pPr>
              <w:pStyle w:val="46"/>
              <w:spacing w:before="68" w:line="222" w:lineRule="auto"/>
              <w:jc w:val="center"/>
              <w:rPr>
                <w:rFonts w:hint="eastAsia"/>
                <w:b/>
                <w:bCs/>
                <w:kern w:val="0"/>
                <w:sz w:val="21"/>
                <w:szCs w:val="21"/>
              </w:rPr>
            </w:pPr>
            <w:r>
              <w:rPr>
                <w:rFonts w:hint="eastAsia" w:ascii="宋体" w:hAnsi="宋体" w:eastAsia="宋体" w:cs="宋体"/>
                <w:sz w:val="21"/>
                <w:szCs w:val="21"/>
              </w:rPr>
              <w:t>措施</w:t>
            </w:r>
            <w:r>
              <w:rPr>
                <w:spacing w:val="-4"/>
                <w:sz w:val="21"/>
                <w:szCs w:val="21"/>
              </w:rPr>
              <w:t>（</w:t>
            </w:r>
            <w:r>
              <w:rPr>
                <w:rFonts w:hint="eastAsia"/>
                <w:spacing w:val="-4"/>
                <w:sz w:val="21"/>
                <w:szCs w:val="21"/>
                <w:lang w:val="en-US" w:eastAsia="zh-CN"/>
              </w:rPr>
              <w:t>9</w:t>
            </w:r>
            <w:r>
              <w:rPr>
                <w:spacing w:val="-4"/>
                <w:sz w:val="21"/>
                <w:szCs w:val="21"/>
              </w:rPr>
              <w:t>分）</w:t>
            </w:r>
          </w:p>
        </w:tc>
        <w:tc>
          <w:tcPr>
            <w:tcW w:w="5432" w:type="dxa"/>
            <w:noWrap w:val="0"/>
            <w:vAlign w:val="top"/>
          </w:tcPr>
          <w:p w14:paraId="56453D24">
            <w:pPr>
              <w:keepNext w:val="0"/>
              <w:keepLines w:val="0"/>
              <w:pageBreakBefore w:val="0"/>
              <w:kinsoku/>
              <w:wordWrap/>
              <w:overflowPunct/>
              <w:topLinePunct w:val="0"/>
              <w:autoSpaceDE/>
              <w:autoSpaceDN/>
              <w:bidi w:val="0"/>
              <w:adjustRightInd/>
              <w:snapToGrid/>
              <w:spacing w:line="440" w:lineRule="exact"/>
              <w:textAlignment w:val="auto"/>
              <w:rPr>
                <w:rFonts w:hint="eastAsia"/>
                <w:spacing w:val="1"/>
                <w:sz w:val="21"/>
                <w:szCs w:val="21"/>
              </w:rPr>
            </w:pPr>
            <w:r>
              <w:rPr>
                <w:rFonts w:hint="eastAsia" w:ascii="宋体" w:hAnsi="宋体" w:eastAsia="宋体" w:cs="宋体"/>
                <w:color w:val="auto"/>
                <w:kern w:val="0"/>
                <w:sz w:val="21"/>
                <w:szCs w:val="21"/>
                <w:lang w:val="en-US" w:eastAsia="zh-CN" w:bidi="ar"/>
              </w:rPr>
              <w:t>根据供应商制定的</w:t>
            </w:r>
            <w:r>
              <w:rPr>
                <w:rFonts w:hint="eastAsia" w:ascii="宋体" w:hAnsi="宋体" w:eastAsia="宋体" w:cs="宋体"/>
                <w:sz w:val="21"/>
                <w:szCs w:val="21"/>
                <w:lang w:val="en-US" w:eastAsia="zh-CN"/>
              </w:rPr>
              <w:t>服务</w:t>
            </w:r>
            <w:r>
              <w:rPr>
                <w:rFonts w:hint="eastAsia" w:ascii="宋体" w:hAnsi="宋体" w:eastAsia="宋体" w:cs="宋体"/>
                <w:sz w:val="21"/>
                <w:szCs w:val="21"/>
              </w:rPr>
              <w:t>质量保证措施</w:t>
            </w:r>
            <w:r>
              <w:rPr>
                <w:rFonts w:hint="eastAsia" w:ascii="宋体" w:hAnsi="宋体" w:eastAsia="宋体" w:cs="宋体"/>
                <w:color w:val="auto"/>
                <w:kern w:val="0"/>
                <w:sz w:val="21"/>
                <w:szCs w:val="21"/>
                <w:lang w:val="en-US" w:eastAsia="zh-CN" w:bidi="ar"/>
              </w:rPr>
              <w:t>进行综合评分</w:t>
            </w:r>
            <w:r>
              <w:rPr>
                <w:rFonts w:hint="eastAsia" w:cs="宋体"/>
                <w:color w:val="auto"/>
                <w:kern w:val="0"/>
                <w:sz w:val="21"/>
                <w:szCs w:val="21"/>
                <w:lang w:val="en-US" w:eastAsia="zh-CN" w:bidi="ar"/>
              </w:rPr>
              <w:t>。</w:t>
            </w:r>
            <w:r>
              <w:rPr>
                <w:rFonts w:hint="eastAsia" w:cs="宋体"/>
                <w:color w:val="000000"/>
                <w:sz w:val="21"/>
                <w:highlight w:val="none"/>
                <w:lang w:val="en-US" w:eastAsia="zh-CN"/>
              </w:rPr>
              <w:t>内容</w:t>
            </w:r>
            <w:r>
              <w:rPr>
                <w:rFonts w:ascii="宋体" w:hAnsi="宋体" w:eastAsia="宋体" w:cs="宋体"/>
                <w:color w:val="000000"/>
                <w:sz w:val="21"/>
                <w:highlight w:val="none"/>
              </w:rPr>
              <w:t>考虑周全、详实具体，安排科学合理、可行性高得</w:t>
            </w:r>
            <w:r>
              <w:rPr>
                <w:rFonts w:hint="eastAsia" w:cs="宋体"/>
                <w:color w:val="000000"/>
                <w:sz w:val="21"/>
                <w:highlight w:val="none"/>
                <w:lang w:val="en-US" w:eastAsia="zh-CN"/>
              </w:rPr>
              <w:t>9</w:t>
            </w:r>
            <w:r>
              <w:rPr>
                <w:rFonts w:ascii="宋体" w:hAnsi="宋体" w:eastAsia="宋体" w:cs="宋体"/>
                <w:color w:val="000000"/>
                <w:sz w:val="21"/>
                <w:highlight w:val="none"/>
              </w:rPr>
              <w:t>分；</w:t>
            </w:r>
            <w:r>
              <w:rPr>
                <w:rFonts w:hint="eastAsia" w:cs="宋体"/>
                <w:color w:val="000000"/>
                <w:sz w:val="21"/>
                <w:highlight w:val="none"/>
                <w:lang w:val="en-US" w:eastAsia="zh-CN"/>
              </w:rPr>
              <w:t>措施</w:t>
            </w:r>
            <w:r>
              <w:rPr>
                <w:rFonts w:ascii="宋体" w:hAnsi="宋体" w:eastAsia="宋体" w:cs="宋体"/>
                <w:color w:val="000000"/>
                <w:sz w:val="21"/>
                <w:highlight w:val="none"/>
              </w:rPr>
              <w:t>较为详细，安排较为科学、较为可行得</w:t>
            </w:r>
            <w:r>
              <w:rPr>
                <w:rFonts w:hint="eastAsia" w:ascii="宋体" w:hAnsi="宋体" w:eastAsia="宋体" w:cs="宋体"/>
                <w:color w:val="000000"/>
                <w:sz w:val="21"/>
                <w:highlight w:val="none"/>
                <w:lang w:val="en-US" w:eastAsia="zh-CN"/>
              </w:rPr>
              <w:t>7</w:t>
            </w:r>
            <w:r>
              <w:rPr>
                <w:rFonts w:ascii="宋体" w:hAnsi="宋体" w:eastAsia="宋体" w:cs="宋体"/>
                <w:color w:val="000000"/>
                <w:sz w:val="21"/>
                <w:highlight w:val="none"/>
              </w:rPr>
              <w:t>分；方案详实程度及合理性一般得</w:t>
            </w:r>
            <w:r>
              <w:rPr>
                <w:rFonts w:hint="eastAsia" w:ascii="宋体" w:hAnsi="宋体" w:eastAsia="宋体" w:cs="宋体"/>
                <w:color w:val="000000"/>
                <w:sz w:val="21"/>
                <w:highlight w:val="none"/>
                <w:lang w:val="en-US" w:eastAsia="zh-CN"/>
              </w:rPr>
              <w:t>5</w:t>
            </w:r>
            <w:r>
              <w:rPr>
                <w:rFonts w:ascii="宋体" w:hAnsi="宋体" w:eastAsia="宋体" w:cs="宋体"/>
                <w:color w:val="000000"/>
                <w:sz w:val="21"/>
                <w:highlight w:val="none"/>
              </w:rPr>
              <w:t>分；方案不够详细</w:t>
            </w:r>
            <w:r>
              <w:rPr>
                <w:rFonts w:hint="eastAsia" w:cs="宋体"/>
                <w:color w:val="000000"/>
                <w:sz w:val="21"/>
                <w:highlight w:val="none"/>
                <w:lang w:eastAsia="zh-CN"/>
              </w:rPr>
              <w:t>、</w:t>
            </w:r>
            <w:r>
              <w:rPr>
                <w:rFonts w:ascii="宋体" w:hAnsi="宋体" w:eastAsia="宋体" w:cs="宋体"/>
                <w:color w:val="000000"/>
                <w:sz w:val="21"/>
                <w:highlight w:val="none"/>
              </w:rPr>
              <w:t>合理性较差</w:t>
            </w:r>
            <w:r>
              <w:rPr>
                <w:rFonts w:hint="eastAsia" w:cs="宋体"/>
                <w:color w:val="000000"/>
                <w:sz w:val="21"/>
                <w:highlight w:val="none"/>
                <w:lang w:val="en-US" w:eastAsia="zh-CN"/>
              </w:rPr>
              <w:t>的</w:t>
            </w:r>
            <w:r>
              <w:rPr>
                <w:rFonts w:ascii="宋体" w:hAnsi="宋体" w:eastAsia="宋体" w:cs="宋体"/>
                <w:color w:val="000000"/>
                <w:sz w:val="21"/>
                <w:highlight w:val="none"/>
              </w:rPr>
              <w:t>得</w:t>
            </w:r>
            <w:r>
              <w:rPr>
                <w:rFonts w:hint="eastAsia" w:cs="宋体"/>
                <w:color w:val="000000"/>
                <w:sz w:val="21"/>
                <w:highlight w:val="none"/>
                <w:lang w:val="en-US" w:eastAsia="zh-CN"/>
              </w:rPr>
              <w:t>1</w:t>
            </w:r>
            <w:r>
              <w:rPr>
                <w:rFonts w:ascii="宋体" w:hAnsi="宋体" w:eastAsia="宋体" w:cs="宋体"/>
                <w:color w:val="000000"/>
                <w:sz w:val="21"/>
                <w:highlight w:val="none"/>
              </w:rPr>
              <w:t>分；</w:t>
            </w:r>
            <w:r>
              <w:rPr>
                <w:rFonts w:hint="eastAsia"/>
                <w:sz w:val="21"/>
                <w:szCs w:val="21"/>
                <w:highlight w:val="none"/>
              </w:rPr>
              <w:t>缺项得0分。</w:t>
            </w:r>
          </w:p>
        </w:tc>
      </w:tr>
      <w:tr w14:paraId="3E74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0" w:type="dxa"/>
            <w:vMerge w:val="continue"/>
            <w:noWrap w:val="0"/>
            <w:vAlign w:val="center"/>
          </w:tcPr>
          <w:p w14:paraId="0E381669">
            <w:pPr>
              <w:widowControl/>
              <w:jc w:val="center"/>
              <w:rPr>
                <w:rFonts w:hint="eastAsia"/>
                <w:kern w:val="0"/>
                <w:szCs w:val="21"/>
              </w:rPr>
            </w:pPr>
          </w:p>
        </w:tc>
        <w:tc>
          <w:tcPr>
            <w:tcW w:w="1098" w:type="dxa"/>
            <w:gridSpan w:val="2"/>
            <w:vMerge w:val="continue"/>
            <w:noWrap w:val="0"/>
            <w:vAlign w:val="center"/>
          </w:tcPr>
          <w:p w14:paraId="13EFD354">
            <w:pPr>
              <w:widowControl/>
              <w:jc w:val="center"/>
              <w:rPr>
                <w:rFonts w:hint="eastAsia" w:cs="Times New Roman"/>
                <w:b/>
                <w:szCs w:val="21"/>
              </w:rPr>
            </w:pPr>
          </w:p>
        </w:tc>
        <w:tc>
          <w:tcPr>
            <w:tcW w:w="1860" w:type="dxa"/>
            <w:noWrap w:val="0"/>
            <w:vAlign w:val="top"/>
          </w:tcPr>
          <w:p w14:paraId="31A94BBA">
            <w:pPr>
              <w:pStyle w:val="46"/>
              <w:spacing w:before="68" w:line="221" w:lineRule="auto"/>
              <w:ind w:left="215"/>
              <w:jc w:val="center"/>
              <w:rPr>
                <w:rFonts w:hint="eastAsia"/>
                <w:sz w:val="21"/>
                <w:szCs w:val="21"/>
                <w:highlight w:val="none"/>
              </w:rPr>
            </w:pPr>
          </w:p>
          <w:p w14:paraId="5824EF7C">
            <w:pPr>
              <w:pStyle w:val="46"/>
              <w:spacing w:before="68" w:line="221" w:lineRule="auto"/>
              <w:ind w:left="215"/>
              <w:jc w:val="center"/>
              <w:rPr>
                <w:rFonts w:ascii="宋体" w:hAnsi="宋体" w:eastAsia="宋体" w:cs="宋体"/>
                <w:b w:val="0"/>
                <w:bCs/>
                <w:color w:val="000000"/>
                <w:sz w:val="21"/>
                <w:highlight w:val="none"/>
              </w:rPr>
            </w:pPr>
          </w:p>
          <w:p w14:paraId="29CC9955">
            <w:pPr>
              <w:pStyle w:val="46"/>
              <w:spacing w:before="68" w:line="221" w:lineRule="auto"/>
              <w:ind w:left="215"/>
              <w:jc w:val="center"/>
              <w:rPr>
                <w:rFonts w:ascii="宋体" w:hAnsi="宋体" w:eastAsia="宋体" w:cs="宋体"/>
                <w:b w:val="0"/>
                <w:bCs/>
                <w:color w:val="000000"/>
                <w:sz w:val="21"/>
                <w:highlight w:val="none"/>
              </w:rPr>
            </w:pPr>
          </w:p>
          <w:p w14:paraId="77B95D14">
            <w:pPr>
              <w:pStyle w:val="46"/>
              <w:spacing w:before="68" w:line="221" w:lineRule="auto"/>
              <w:ind w:left="215"/>
              <w:jc w:val="center"/>
              <w:rPr>
                <w:rFonts w:ascii="宋体" w:hAnsi="宋体" w:eastAsia="宋体" w:cs="宋体"/>
                <w:b w:val="0"/>
                <w:bCs/>
                <w:color w:val="000000"/>
                <w:sz w:val="21"/>
                <w:highlight w:val="none"/>
              </w:rPr>
            </w:pPr>
            <w:r>
              <w:rPr>
                <w:rFonts w:ascii="宋体" w:hAnsi="宋体" w:eastAsia="宋体" w:cs="宋体"/>
                <w:b w:val="0"/>
                <w:bCs/>
                <w:color w:val="000000"/>
                <w:sz w:val="21"/>
                <w:highlight w:val="none"/>
              </w:rPr>
              <w:t>安全管理方案</w:t>
            </w:r>
          </w:p>
          <w:p w14:paraId="301822DE">
            <w:pPr>
              <w:pStyle w:val="46"/>
              <w:spacing w:before="68" w:line="221" w:lineRule="auto"/>
              <w:ind w:left="215"/>
              <w:jc w:val="center"/>
              <w:rPr>
                <w:b/>
                <w:bCs/>
                <w:kern w:val="0"/>
                <w:sz w:val="21"/>
                <w:szCs w:val="21"/>
              </w:rPr>
            </w:pPr>
            <w:r>
              <w:rPr>
                <w:rFonts w:hint="eastAsia" w:cs="宋体"/>
                <w:color w:val="auto"/>
                <w:spacing w:val="9"/>
                <w:sz w:val="21"/>
                <w:szCs w:val="21"/>
                <w:lang w:val="en-US" w:eastAsia="zh-CN"/>
              </w:rPr>
              <w:t>（9分）</w:t>
            </w:r>
          </w:p>
        </w:tc>
        <w:tc>
          <w:tcPr>
            <w:tcW w:w="5432" w:type="dxa"/>
            <w:noWrap w:val="0"/>
            <w:vAlign w:val="top"/>
          </w:tcPr>
          <w:p w14:paraId="059C918C">
            <w:pPr>
              <w:keepNext w:val="0"/>
              <w:keepLines w:val="0"/>
              <w:pageBreakBefore w:val="0"/>
              <w:kinsoku/>
              <w:wordWrap/>
              <w:overflowPunct/>
              <w:topLinePunct w:val="0"/>
              <w:autoSpaceDE/>
              <w:autoSpaceDN/>
              <w:bidi w:val="0"/>
              <w:adjustRightInd/>
              <w:snapToGrid/>
              <w:spacing w:line="440" w:lineRule="exact"/>
              <w:textAlignment w:val="auto"/>
              <w:rPr>
                <w:rFonts w:hint="eastAsia"/>
                <w:sz w:val="21"/>
                <w:szCs w:val="21"/>
              </w:rPr>
            </w:pPr>
            <w:r>
              <w:rPr>
                <w:rFonts w:hint="eastAsia"/>
                <w:sz w:val="21"/>
                <w:szCs w:val="21"/>
                <w:highlight w:val="none"/>
                <w:lang w:val="en-US" w:eastAsia="zh-CN"/>
              </w:rPr>
              <w:t>根据供应商制定的安全管理方案（</w:t>
            </w:r>
            <w:r>
              <w:rPr>
                <w:rFonts w:ascii="宋体" w:hAnsi="宋体" w:eastAsia="宋体" w:cs="宋体"/>
                <w:color w:val="000000"/>
                <w:sz w:val="21"/>
                <w:highlight w:val="none"/>
              </w:rPr>
              <w:t>包括</w:t>
            </w:r>
            <w:r>
              <w:rPr>
                <w:rFonts w:hint="eastAsia" w:cs="宋体"/>
                <w:color w:val="auto"/>
                <w:sz w:val="21"/>
                <w:szCs w:val="21"/>
                <w:highlight w:val="none"/>
                <w:lang w:val="en-US" w:eastAsia="zh-CN"/>
              </w:rPr>
              <w:t>但不限于</w:t>
            </w:r>
            <w:r>
              <w:rPr>
                <w:rFonts w:ascii="宋体" w:hAnsi="宋体" w:eastAsia="宋体" w:cs="宋体"/>
                <w:color w:val="000000"/>
                <w:sz w:val="21"/>
                <w:highlight w:val="none"/>
              </w:rPr>
              <w:t>正常</w:t>
            </w:r>
            <w:r>
              <w:rPr>
                <w:rFonts w:hint="eastAsia" w:ascii="宋体" w:hAnsi="宋体" w:eastAsia="宋体" w:cs="宋体"/>
                <w:color w:val="000000"/>
                <w:sz w:val="21"/>
                <w:highlight w:val="none"/>
                <w:lang w:val="en-US" w:eastAsia="zh-CN"/>
              </w:rPr>
              <w:t>维</w:t>
            </w:r>
            <w:r>
              <w:rPr>
                <w:rFonts w:ascii="宋体" w:hAnsi="宋体" w:eastAsia="宋体" w:cs="宋体"/>
                <w:color w:val="000000"/>
                <w:sz w:val="21"/>
                <w:highlight w:val="none"/>
              </w:rPr>
              <w:t>护作业时和发生事故时的交通组织和安全防护措施</w:t>
            </w:r>
            <w:r>
              <w:rPr>
                <w:rFonts w:hint="eastAsia" w:ascii="宋体" w:hAnsi="宋体" w:eastAsia="宋体" w:cs="宋体"/>
                <w:color w:val="000000"/>
                <w:sz w:val="21"/>
                <w:highlight w:val="none"/>
                <w:lang w:val="en-US" w:eastAsia="zh-CN"/>
              </w:rPr>
              <w:t>等</w:t>
            </w:r>
            <w:r>
              <w:rPr>
                <w:rFonts w:hint="eastAsia" w:cs="宋体"/>
                <w:color w:val="000000"/>
                <w:sz w:val="21"/>
                <w:highlight w:val="none"/>
                <w:lang w:val="en-US" w:eastAsia="zh-CN"/>
              </w:rPr>
              <w:t>）</w:t>
            </w:r>
            <w:r>
              <w:rPr>
                <w:rFonts w:hint="eastAsia"/>
                <w:sz w:val="21"/>
                <w:szCs w:val="21"/>
                <w:highlight w:val="none"/>
                <w:lang w:val="en-US" w:eastAsia="zh-CN"/>
              </w:rPr>
              <w:t>；</w:t>
            </w:r>
            <w:r>
              <w:rPr>
                <w:rFonts w:hint="eastAsia" w:cs="宋体"/>
                <w:color w:val="000000"/>
                <w:sz w:val="21"/>
                <w:highlight w:val="none"/>
                <w:lang w:val="en-US" w:eastAsia="zh-CN"/>
              </w:rPr>
              <w:t>内容</w:t>
            </w:r>
            <w:r>
              <w:rPr>
                <w:rFonts w:ascii="宋体" w:hAnsi="宋体" w:eastAsia="宋体" w:cs="宋体"/>
                <w:color w:val="000000"/>
                <w:sz w:val="21"/>
                <w:highlight w:val="none"/>
              </w:rPr>
              <w:t>考虑周全、详实具体，安排科学合理、可行性高得</w:t>
            </w:r>
            <w:r>
              <w:rPr>
                <w:rFonts w:hint="eastAsia" w:ascii="宋体" w:hAnsi="宋体" w:eastAsia="宋体" w:cs="宋体"/>
                <w:color w:val="000000"/>
                <w:sz w:val="21"/>
                <w:highlight w:val="none"/>
                <w:lang w:val="en-US" w:eastAsia="zh-CN"/>
              </w:rPr>
              <w:t>9</w:t>
            </w:r>
            <w:r>
              <w:rPr>
                <w:rFonts w:ascii="宋体" w:hAnsi="宋体" w:eastAsia="宋体" w:cs="宋体"/>
                <w:color w:val="000000"/>
                <w:sz w:val="21"/>
                <w:highlight w:val="none"/>
              </w:rPr>
              <w:t>分；</w:t>
            </w:r>
            <w:r>
              <w:rPr>
                <w:rFonts w:hint="eastAsia" w:cs="宋体"/>
                <w:color w:val="000000"/>
                <w:sz w:val="21"/>
                <w:highlight w:val="none"/>
                <w:lang w:val="en-US" w:eastAsia="zh-CN"/>
              </w:rPr>
              <w:t>措施</w:t>
            </w:r>
            <w:r>
              <w:rPr>
                <w:rFonts w:ascii="宋体" w:hAnsi="宋体" w:eastAsia="宋体" w:cs="宋体"/>
                <w:color w:val="000000"/>
                <w:sz w:val="21"/>
                <w:highlight w:val="none"/>
              </w:rPr>
              <w:t>较为详细，安排较为科学、较为可行得</w:t>
            </w:r>
            <w:r>
              <w:rPr>
                <w:rFonts w:hint="eastAsia" w:ascii="宋体" w:hAnsi="宋体" w:eastAsia="宋体" w:cs="宋体"/>
                <w:color w:val="000000"/>
                <w:sz w:val="21"/>
                <w:highlight w:val="none"/>
                <w:lang w:val="en-US" w:eastAsia="zh-CN"/>
              </w:rPr>
              <w:t>7</w:t>
            </w:r>
            <w:r>
              <w:rPr>
                <w:rFonts w:ascii="宋体" w:hAnsi="宋体" w:eastAsia="宋体" w:cs="宋体"/>
                <w:color w:val="000000"/>
                <w:sz w:val="21"/>
                <w:highlight w:val="none"/>
              </w:rPr>
              <w:t>分；方案详实程度及合理性一般得</w:t>
            </w:r>
            <w:r>
              <w:rPr>
                <w:rFonts w:hint="eastAsia" w:ascii="宋体" w:hAnsi="宋体" w:eastAsia="宋体" w:cs="宋体"/>
                <w:color w:val="000000"/>
                <w:sz w:val="21"/>
                <w:highlight w:val="none"/>
                <w:lang w:val="en-US" w:eastAsia="zh-CN"/>
              </w:rPr>
              <w:t>5</w:t>
            </w:r>
            <w:r>
              <w:rPr>
                <w:rFonts w:ascii="宋体" w:hAnsi="宋体" w:eastAsia="宋体" w:cs="宋体"/>
                <w:color w:val="000000"/>
                <w:sz w:val="21"/>
                <w:highlight w:val="none"/>
              </w:rPr>
              <w:t>分；方案不够详细</w:t>
            </w:r>
            <w:r>
              <w:rPr>
                <w:rFonts w:hint="eastAsia" w:cs="宋体"/>
                <w:color w:val="000000"/>
                <w:sz w:val="21"/>
                <w:highlight w:val="none"/>
                <w:lang w:eastAsia="zh-CN"/>
              </w:rPr>
              <w:t>、</w:t>
            </w:r>
            <w:r>
              <w:rPr>
                <w:rFonts w:ascii="宋体" w:hAnsi="宋体" w:eastAsia="宋体" w:cs="宋体"/>
                <w:color w:val="000000"/>
                <w:sz w:val="21"/>
                <w:highlight w:val="none"/>
              </w:rPr>
              <w:t>合理性较差</w:t>
            </w:r>
            <w:r>
              <w:rPr>
                <w:rFonts w:hint="eastAsia" w:cs="宋体"/>
                <w:color w:val="000000"/>
                <w:sz w:val="21"/>
                <w:highlight w:val="none"/>
                <w:lang w:val="en-US" w:eastAsia="zh-CN"/>
              </w:rPr>
              <w:t>的</w:t>
            </w:r>
            <w:r>
              <w:rPr>
                <w:rFonts w:ascii="宋体" w:hAnsi="宋体" w:eastAsia="宋体" w:cs="宋体"/>
                <w:color w:val="000000"/>
                <w:sz w:val="21"/>
                <w:highlight w:val="none"/>
              </w:rPr>
              <w:t>得</w:t>
            </w:r>
            <w:r>
              <w:rPr>
                <w:rFonts w:hint="eastAsia" w:cs="宋体"/>
                <w:color w:val="000000"/>
                <w:sz w:val="21"/>
                <w:highlight w:val="none"/>
                <w:lang w:val="en-US" w:eastAsia="zh-CN"/>
              </w:rPr>
              <w:t>1</w:t>
            </w:r>
            <w:r>
              <w:rPr>
                <w:rFonts w:ascii="宋体" w:hAnsi="宋体" w:eastAsia="宋体" w:cs="宋体"/>
                <w:color w:val="000000"/>
                <w:sz w:val="21"/>
                <w:highlight w:val="none"/>
              </w:rPr>
              <w:t>分；</w:t>
            </w:r>
            <w:r>
              <w:rPr>
                <w:rFonts w:hint="eastAsia"/>
                <w:sz w:val="21"/>
                <w:szCs w:val="21"/>
                <w:highlight w:val="none"/>
              </w:rPr>
              <w:t>缺项得0分。</w:t>
            </w:r>
          </w:p>
        </w:tc>
      </w:tr>
      <w:tr w14:paraId="33B8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990" w:type="dxa"/>
            <w:vMerge w:val="continue"/>
            <w:noWrap w:val="0"/>
            <w:vAlign w:val="center"/>
          </w:tcPr>
          <w:p w14:paraId="43E84E49">
            <w:pPr>
              <w:widowControl/>
              <w:jc w:val="center"/>
              <w:rPr>
                <w:rFonts w:hint="eastAsia"/>
                <w:kern w:val="0"/>
                <w:szCs w:val="21"/>
              </w:rPr>
            </w:pPr>
          </w:p>
        </w:tc>
        <w:tc>
          <w:tcPr>
            <w:tcW w:w="1098" w:type="dxa"/>
            <w:gridSpan w:val="2"/>
            <w:vMerge w:val="continue"/>
            <w:noWrap w:val="0"/>
            <w:vAlign w:val="center"/>
          </w:tcPr>
          <w:p w14:paraId="1F1EF139">
            <w:pPr>
              <w:widowControl/>
              <w:jc w:val="center"/>
              <w:rPr>
                <w:rFonts w:hint="eastAsia" w:cs="Times New Roman"/>
                <w:b/>
                <w:szCs w:val="21"/>
              </w:rPr>
            </w:pPr>
          </w:p>
        </w:tc>
        <w:tc>
          <w:tcPr>
            <w:tcW w:w="1860" w:type="dxa"/>
            <w:noWrap w:val="0"/>
            <w:vAlign w:val="top"/>
          </w:tcPr>
          <w:p w14:paraId="48BC41EC">
            <w:pPr>
              <w:pStyle w:val="46"/>
              <w:spacing w:before="238" w:line="220" w:lineRule="auto"/>
              <w:jc w:val="both"/>
              <w:rPr>
                <w:rFonts w:hint="eastAsia" w:ascii="宋体" w:hAnsi="宋体" w:eastAsia="宋体" w:cs="宋体"/>
                <w:color w:val="auto"/>
                <w:spacing w:val="9"/>
                <w:sz w:val="21"/>
                <w:szCs w:val="21"/>
                <w:lang w:val="en-US" w:eastAsia="zh-CN"/>
              </w:rPr>
            </w:pPr>
          </w:p>
          <w:p w14:paraId="3B0E6450">
            <w:pPr>
              <w:pStyle w:val="46"/>
              <w:spacing w:before="238" w:line="220" w:lineRule="auto"/>
              <w:jc w:val="center"/>
              <w:rPr>
                <w:rFonts w:hint="default" w:eastAsia="宋体"/>
                <w:b/>
                <w:bCs/>
                <w:kern w:val="0"/>
                <w:sz w:val="21"/>
                <w:szCs w:val="21"/>
                <w:lang w:val="en-US" w:eastAsia="zh-CN"/>
              </w:rPr>
            </w:pPr>
            <w:r>
              <w:rPr>
                <w:rFonts w:hint="eastAsia" w:ascii="宋体" w:hAnsi="宋体" w:eastAsia="宋体" w:cs="宋体"/>
                <w:color w:val="auto"/>
                <w:spacing w:val="9"/>
                <w:sz w:val="21"/>
                <w:szCs w:val="21"/>
                <w:lang w:val="en-US" w:eastAsia="zh-CN"/>
              </w:rPr>
              <w:t>文明管理体系与措施（9分）</w:t>
            </w:r>
          </w:p>
        </w:tc>
        <w:tc>
          <w:tcPr>
            <w:tcW w:w="5432" w:type="dxa"/>
            <w:noWrap w:val="0"/>
            <w:vAlign w:val="top"/>
          </w:tcPr>
          <w:p w14:paraId="5A07C933">
            <w:pPr>
              <w:keepNext w:val="0"/>
              <w:keepLines w:val="0"/>
              <w:pageBreakBefore w:val="0"/>
              <w:kinsoku/>
              <w:wordWrap/>
              <w:overflowPunct/>
              <w:topLinePunct w:val="0"/>
              <w:autoSpaceDE/>
              <w:autoSpaceDN/>
              <w:bidi w:val="0"/>
              <w:adjustRightInd/>
              <w:snapToGrid/>
              <w:spacing w:line="440" w:lineRule="exact"/>
              <w:textAlignment w:val="auto"/>
              <w:rPr>
                <w:rFonts w:hint="default" w:eastAsia="宋体"/>
                <w:sz w:val="21"/>
                <w:szCs w:val="21"/>
                <w:lang w:val="en-US" w:eastAsia="zh-CN"/>
              </w:rPr>
            </w:pPr>
            <w:r>
              <w:rPr>
                <w:rFonts w:hint="eastAsia"/>
                <w:sz w:val="21"/>
                <w:szCs w:val="21"/>
                <w:lang w:val="en-US" w:eastAsia="zh-CN"/>
              </w:rPr>
              <w:t>根据供应商制定的</w:t>
            </w:r>
            <w:r>
              <w:rPr>
                <w:rFonts w:hint="eastAsia"/>
                <w:sz w:val="21"/>
                <w:szCs w:val="21"/>
                <w:highlight w:val="none"/>
              </w:rPr>
              <w:t>文明管理体系与措施</w:t>
            </w:r>
            <w:r>
              <w:rPr>
                <w:rFonts w:hint="eastAsia"/>
                <w:sz w:val="21"/>
                <w:szCs w:val="21"/>
                <w:highlight w:val="none"/>
                <w:lang w:val="en-US" w:eastAsia="zh-CN"/>
              </w:rPr>
              <w:t>进行综合打分。</w:t>
            </w:r>
            <w:r>
              <w:rPr>
                <w:rFonts w:hint="eastAsia" w:cs="宋体"/>
                <w:color w:val="000000"/>
                <w:sz w:val="21"/>
                <w:highlight w:val="none"/>
                <w:lang w:val="en-US" w:eastAsia="zh-CN"/>
              </w:rPr>
              <w:t>内容</w:t>
            </w:r>
            <w:r>
              <w:rPr>
                <w:rFonts w:ascii="宋体" w:hAnsi="宋体" w:eastAsia="宋体" w:cs="宋体"/>
                <w:color w:val="000000"/>
                <w:sz w:val="21"/>
                <w:highlight w:val="none"/>
              </w:rPr>
              <w:t>考虑周全、详实具体，安排科学合理、可行性高得</w:t>
            </w:r>
            <w:r>
              <w:rPr>
                <w:rFonts w:hint="eastAsia" w:ascii="宋体" w:hAnsi="宋体" w:eastAsia="宋体" w:cs="宋体"/>
                <w:color w:val="000000"/>
                <w:sz w:val="21"/>
                <w:highlight w:val="none"/>
                <w:lang w:val="en-US" w:eastAsia="zh-CN"/>
              </w:rPr>
              <w:t>9</w:t>
            </w:r>
            <w:r>
              <w:rPr>
                <w:rFonts w:ascii="宋体" w:hAnsi="宋体" w:eastAsia="宋体" w:cs="宋体"/>
                <w:color w:val="000000"/>
                <w:sz w:val="21"/>
                <w:highlight w:val="none"/>
              </w:rPr>
              <w:t>分；</w:t>
            </w:r>
            <w:r>
              <w:rPr>
                <w:rFonts w:hint="eastAsia" w:cs="宋体"/>
                <w:color w:val="000000"/>
                <w:sz w:val="21"/>
                <w:highlight w:val="none"/>
                <w:lang w:val="en-US" w:eastAsia="zh-CN"/>
              </w:rPr>
              <w:t>措施</w:t>
            </w:r>
            <w:r>
              <w:rPr>
                <w:rFonts w:ascii="宋体" w:hAnsi="宋体" w:eastAsia="宋体" w:cs="宋体"/>
                <w:color w:val="000000"/>
                <w:sz w:val="21"/>
                <w:highlight w:val="none"/>
              </w:rPr>
              <w:t>较为详细，安排较为科学、较为可行得</w:t>
            </w:r>
            <w:r>
              <w:rPr>
                <w:rFonts w:hint="eastAsia" w:ascii="宋体" w:hAnsi="宋体" w:eastAsia="宋体" w:cs="宋体"/>
                <w:color w:val="000000"/>
                <w:sz w:val="21"/>
                <w:highlight w:val="none"/>
                <w:lang w:val="en-US" w:eastAsia="zh-CN"/>
              </w:rPr>
              <w:t>7</w:t>
            </w:r>
            <w:r>
              <w:rPr>
                <w:rFonts w:ascii="宋体" w:hAnsi="宋体" w:eastAsia="宋体" w:cs="宋体"/>
                <w:color w:val="000000"/>
                <w:sz w:val="21"/>
                <w:highlight w:val="none"/>
              </w:rPr>
              <w:t>分；方案详实程度及合理性一般得</w:t>
            </w:r>
            <w:r>
              <w:rPr>
                <w:rFonts w:hint="eastAsia" w:ascii="宋体" w:hAnsi="宋体" w:eastAsia="宋体" w:cs="宋体"/>
                <w:color w:val="000000"/>
                <w:sz w:val="21"/>
                <w:highlight w:val="none"/>
                <w:lang w:val="en-US" w:eastAsia="zh-CN"/>
              </w:rPr>
              <w:t>5</w:t>
            </w:r>
            <w:r>
              <w:rPr>
                <w:rFonts w:ascii="宋体" w:hAnsi="宋体" w:eastAsia="宋体" w:cs="宋体"/>
                <w:color w:val="000000"/>
                <w:sz w:val="21"/>
                <w:highlight w:val="none"/>
              </w:rPr>
              <w:t>分；方案不够详细</w:t>
            </w:r>
            <w:r>
              <w:rPr>
                <w:rFonts w:hint="eastAsia" w:cs="宋体"/>
                <w:color w:val="000000"/>
                <w:sz w:val="21"/>
                <w:highlight w:val="none"/>
                <w:lang w:eastAsia="zh-CN"/>
              </w:rPr>
              <w:t>、</w:t>
            </w:r>
            <w:r>
              <w:rPr>
                <w:rFonts w:ascii="宋体" w:hAnsi="宋体" w:eastAsia="宋体" w:cs="宋体"/>
                <w:color w:val="000000"/>
                <w:sz w:val="21"/>
                <w:highlight w:val="none"/>
              </w:rPr>
              <w:t>合理性较差</w:t>
            </w:r>
            <w:r>
              <w:rPr>
                <w:rFonts w:hint="eastAsia" w:cs="宋体"/>
                <w:color w:val="000000"/>
                <w:sz w:val="21"/>
                <w:highlight w:val="none"/>
                <w:lang w:val="en-US" w:eastAsia="zh-CN"/>
              </w:rPr>
              <w:t>的</w:t>
            </w:r>
            <w:r>
              <w:rPr>
                <w:rFonts w:ascii="宋体" w:hAnsi="宋体" w:eastAsia="宋体" w:cs="宋体"/>
                <w:color w:val="000000"/>
                <w:sz w:val="21"/>
                <w:highlight w:val="none"/>
              </w:rPr>
              <w:t>得</w:t>
            </w:r>
            <w:r>
              <w:rPr>
                <w:rFonts w:hint="eastAsia" w:cs="宋体"/>
                <w:color w:val="000000"/>
                <w:sz w:val="21"/>
                <w:highlight w:val="none"/>
                <w:lang w:val="en-US" w:eastAsia="zh-CN"/>
              </w:rPr>
              <w:t>1</w:t>
            </w:r>
            <w:r>
              <w:rPr>
                <w:rFonts w:ascii="宋体" w:hAnsi="宋体" w:eastAsia="宋体" w:cs="宋体"/>
                <w:color w:val="000000"/>
                <w:sz w:val="21"/>
                <w:highlight w:val="none"/>
              </w:rPr>
              <w:t>分；</w:t>
            </w:r>
            <w:r>
              <w:rPr>
                <w:rFonts w:hint="eastAsia"/>
                <w:sz w:val="21"/>
                <w:szCs w:val="21"/>
                <w:highlight w:val="none"/>
              </w:rPr>
              <w:t>缺项得0分。</w:t>
            </w:r>
          </w:p>
        </w:tc>
      </w:tr>
      <w:tr w14:paraId="6448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0" w:type="dxa"/>
            <w:vMerge w:val="continue"/>
            <w:noWrap w:val="0"/>
            <w:vAlign w:val="center"/>
          </w:tcPr>
          <w:p w14:paraId="406291DC">
            <w:pPr>
              <w:widowControl/>
              <w:jc w:val="center"/>
              <w:rPr>
                <w:rFonts w:hint="eastAsia"/>
                <w:kern w:val="0"/>
                <w:szCs w:val="21"/>
              </w:rPr>
            </w:pPr>
          </w:p>
        </w:tc>
        <w:tc>
          <w:tcPr>
            <w:tcW w:w="1098" w:type="dxa"/>
            <w:gridSpan w:val="2"/>
            <w:vMerge w:val="continue"/>
            <w:noWrap w:val="0"/>
            <w:vAlign w:val="center"/>
          </w:tcPr>
          <w:p w14:paraId="0C5DE06C">
            <w:pPr>
              <w:widowControl/>
              <w:jc w:val="center"/>
              <w:rPr>
                <w:rFonts w:hint="eastAsia" w:cs="Times New Roman"/>
                <w:b/>
                <w:szCs w:val="21"/>
              </w:rPr>
            </w:pPr>
          </w:p>
        </w:tc>
        <w:tc>
          <w:tcPr>
            <w:tcW w:w="1860" w:type="dxa"/>
            <w:noWrap w:val="0"/>
            <w:vAlign w:val="center"/>
          </w:tcPr>
          <w:p w14:paraId="64CE559A">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auto"/>
                <w:spacing w:val="9"/>
                <w:sz w:val="21"/>
                <w:szCs w:val="21"/>
                <w:lang w:val="en-US" w:eastAsia="zh-CN"/>
              </w:rPr>
            </w:pPr>
            <w:r>
              <w:rPr>
                <w:rFonts w:hint="eastAsia" w:ascii="宋体" w:hAnsi="宋体" w:eastAsia="宋体" w:cs="宋体"/>
                <w:sz w:val="21"/>
                <w:szCs w:val="21"/>
                <w:lang w:val="en-US" w:eastAsia="zh-CN"/>
              </w:rPr>
              <w:t>重点、难点分析和控制措施</w:t>
            </w:r>
            <w:r>
              <w:rPr>
                <w:rFonts w:hint="eastAsia" w:ascii="宋体" w:hAnsi="宋体" w:eastAsia="宋体" w:cs="宋体"/>
                <w:b w:val="0"/>
                <w:bCs/>
                <w:color w:val="000000"/>
                <w:sz w:val="21"/>
                <w:highlight w:val="none"/>
                <w:lang w:val="en-US" w:eastAsia="zh-CN"/>
              </w:rPr>
              <w:t>（</w:t>
            </w:r>
            <w:r>
              <w:rPr>
                <w:rFonts w:hint="eastAsia" w:cs="宋体"/>
                <w:b w:val="0"/>
                <w:bCs/>
                <w:color w:val="000000"/>
                <w:sz w:val="21"/>
                <w:highlight w:val="none"/>
                <w:lang w:val="en-US" w:eastAsia="zh-CN"/>
              </w:rPr>
              <w:t>8</w:t>
            </w:r>
            <w:r>
              <w:rPr>
                <w:rFonts w:hint="eastAsia" w:ascii="宋体" w:hAnsi="宋体" w:eastAsia="宋体" w:cs="宋体"/>
                <w:b w:val="0"/>
                <w:bCs/>
                <w:color w:val="000000"/>
                <w:sz w:val="21"/>
                <w:highlight w:val="none"/>
                <w:lang w:val="en-US" w:eastAsia="zh-CN"/>
              </w:rPr>
              <w:t>分）</w:t>
            </w:r>
          </w:p>
        </w:tc>
        <w:tc>
          <w:tcPr>
            <w:tcW w:w="5432" w:type="dxa"/>
            <w:noWrap w:val="0"/>
            <w:vAlign w:val="top"/>
          </w:tcPr>
          <w:p w14:paraId="5A96049B">
            <w:pPr>
              <w:keepNext w:val="0"/>
              <w:keepLines w:val="0"/>
              <w:pageBreakBefore w:val="0"/>
              <w:kinsoku/>
              <w:wordWrap/>
              <w:overflowPunct/>
              <w:topLinePunct w:val="0"/>
              <w:autoSpaceDE/>
              <w:autoSpaceDN/>
              <w:bidi w:val="0"/>
              <w:adjustRightInd/>
              <w:snapToGrid/>
              <w:spacing w:line="440" w:lineRule="exact"/>
              <w:textAlignment w:val="auto"/>
              <w:rPr>
                <w:rFonts w:hint="default"/>
                <w:lang w:val="en-US" w:eastAsia="zh-CN"/>
              </w:rPr>
            </w:pPr>
            <w:r>
              <w:rPr>
                <w:rFonts w:hint="eastAsia" w:cs="宋体"/>
                <w:color w:val="auto"/>
                <w:sz w:val="21"/>
                <w:szCs w:val="21"/>
                <w:highlight w:val="none"/>
                <w:lang w:val="en-US" w:eastAsia="zh-CN"/>
              </w:rPr>
              <w:t>根据供应商制定的</w:t>
            </w:r>
            <w:r>
              <w:rPr>
                <w:rFonts w:hint="eastAsia" w:ascii="宋体" w:hAnsi="宋体" w:eastAsia="宋体" w:cs="宋体"/>
                <w:sz w:val="21"/>
                <w:szCs w:val="21"/>
                <w:lang w:val="en-US" w:eastAsia="zh-CN"/>
              </w:rPr>
              <w:t>重点、难点分析和控制措施</w:t>
            </w:r>
            <w:r>
              <w:rPr>
                <w:rFonts w:hint="eastAsia" w:cs="宋体"/>
                <w:color w:val="auto"/>
                <w:spacing w:val="9"/>
                <w:sz w:val="21"/>
                <w:szCs w:val="21"/>
                <w:lang w:val="en-US" w:eastAsia="zh-CN"/>
              </w:rPr>
              <w:t>进行综合打分。</w:t>
            </w:r>
            <w:r>
              <w:rPr>
                <w:rFonts w:hint="eastAsia" w:cs="宋体"/>
                <w:color w:val="000000"/>
                <w:sz w:val="21"/>
                <w:highlight w:val="none"/>
                <w:lang w:val="en-US" w:eastAsia="zh-CN"/>
              </w:rPr>
              <w:t>内容</w:t>
            </w:r>
            <w:r>
              <w:rPr>
                <w:rFonts w:ascii="宋体" w:hAnsi="宋体" w:eastAsia="宋体" w:cs="宋体"/>
                <w:color w:val="000000"/>
                <w:sz w:val="21"/>
                <w:highlight w:val="none"/>
              </w:rPr>
              <w:t>考虑周全、详实具体，安排科学合理、可行性高得</w:t>
            </w:r>
            <w:r>
              <w:rPr>
                <w:rFonts w:hint="eastAsia" w:cs="宋体"/>
                <w:color w:val="000000"/>
                <w:sz w:val="21"/>
                <w:highlight w:val="none"/>
                <w:lang w:val="en-US" w:eastAsia="zh-CN"/>
              </w:rPr>
              <w:t>8</w:t>
            </w:r>
            <w:r>
              <w:rPr>
                <w:rFonts w:ascii="宋体" w:hAnsi="宋体" w:eastAsia="宋体" w:cs="宋体"/>
                <w:color w:val="000000"/>
                <w:sz w:val="21"/>
                <w:highlight w:val="none"/>
              </w:rPr>
              <w:t>分；方案较为详细，安排较为科学、较为可行得</w:t>
            </w:r>
            <w:r>
              <w:rPr>
                <w:rFonts w:hint="eastAsia" w:cs="宋体"/>
                <w:color w:val="000000"/>
                <w:sz w:val="21"/>
                <w:highlight w:val="none"/>
                <w:lang w:val="en-US" w:eastAsia="zh-CN"/>
              </w:rPr>
              <w:t>5</w:t>
            </w:r>
            <w:r>
              <w:rPr>
                <w:rFonts w:ascii="宋体" w:hAnsi="宋体" w:eastAsia="宋体" w:cs="宋体"/>
                <w:color w:val="000000"/>
                <w:sz w:val="21"/>
                <w:highlight w:val="none"/>
              </w:rPr>
              <w:t>分；方案详实程度及合理性一般得</w:t>
            </w:r>
            <w:r>
              <w:rPr>
                <w:rFonts w:hint="eastAsia" w:cs="宋体"/>
                <w:color w:val="000000"/>
                <w:sz w:val="21"/>
                <w:highlight w:val="none"/>
                <w:lang w:val="en-US" w:eastAsia="zh-CN"/>
              </w:rPr>
              <w:t>3</w:t>
            </w:r>
            <w:r>
              <w:rPr>
                <w:rFonts w:ascii="宋体" w:hAnsi="宋体" w:eastAsia="宋体" w:cs="宋体"/>
                <w:color w:val="000000"/>
                <w:sz w:val="21"/>
                <w:highlight w:val="none"/>
              </w:rPr>
              <w:t>分；方案不够详细</w:t>
            </w:r>
            <w:r>
              <w:rPr>
                <w:rFonts w:hint="eastAsia" w:cs="宋体"/>
                <w:color w:val="000000"/>
                <w:sz w:val="21"/>
                <w:highlight w:val="none"/>
                <w:lang w:eastAsia="zh-CN"/>
              </w:rPr>
              <w:t>、</w:t>
            </w:r>
            <w:r>
              <w:rPr>
                <w:rFonts w:ascii="宋体" w:hAnsi="宋体" w:eastAsia="宋体" w:cs="宋体"/>
                <w:color w:val="000000"/>
                <w:sz w:val="21"/>
                <w:highlight w:val="none"/>
              </w:rPr>
              <w:t>合理性较差</w:t>
            </w:r>
            <w:r>
              <w:rPr>
                <w:rFonts w:hint="eastAsia" w:cs="宋体"/>
                <w:color w:val="000000"/>
                <w:sz w:val="21"/>
                <w:highlight w:val="none"/>
                <w:lang w:val="en-US" w:eastAsia="zh-CN"/>
              </w:rPr>
              <w:t>的</w:t>
            </w:r>
            <w:r>
              <w:rPr>
                <w:rFonts w:ascii="宋体" w:hAnsi="宋体" w:eastAsia="宋体" w:cs="宋体"/>
                <w:color w:val="000000"/>
                <w:sz w:val="21"/>
                <w:highlight w:val="none"/>
              </w:rPr>
              <w:t>得</w:t>
            </w:r>
            <w:r>
              <w:rPr>
                <w:rFonts w:hint="eastAsia" w:cs="宋体"/>
                <w:color w:val="000000"/>
                <w:sz w:val="21"/>
                <w:highlight w:val="none"/>
                <w:lang w:val="en-US" w:eastAsia="zh-CN"/>
              </w:rPr>
              <w:t>1</w:t>
            </w:r>
            <w:r>
              <w:rPr>
                <w:rFonts w:ascii="宋体" w:hAnsi="宋体" w:eastAsia="宋体" w:cs="宋体"/>
                <w:color w:val="000000"/>
                <w:sz w:val="21"/>
                <w:highlight w:val="none"/>
              </w:rPr>
              <w:t>分；</w:t>
            </w:r>
            <w:r>
              <w:rPr>
                <w:rFonts w:hint="eastAsia"/>
                <w:sz w:val="21"/>
                <w:szCs w:val="21"/>
                <w:highlight w:val="none"/>
              </w:rPr>
              <w:t>缺项得0分。</w:t>
            </w:r>
          </w:p>
        </w:tc>
      </w:tr>
      <w:tr w14:paraId="557D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jc w:val="center"/>
        </w:trPr>
        <w:tc>
          <w:tcPr>
            <w:tcW w:w="990" w:type="dxa"/>
            <w:vMerge w:val="continue"/>
            <w:noWrap w:val="0"/>
            <w:vAlign w:val="center"/>
          </w:tcPr>
          <w:p w14:paraId="35DE50B2">
            <w:pPr>
              <w:widowControl/>
              <w:jc w:val="center"/>
              <w:rPr>
                <w:rFonts w:hint="eastAsia"/>
                <w:kern w:val="0"/>
                <w:szCs w:val="21"/>
              </w:rPr>
            </w:pPr>
          </w:p>
        </w:tc>
        <w:tc>
          <w:tcPr>
            <w:tcW w:w="1098" w:type="dxa"/>
            <w:gridSpan w:val="2"/>
            <w:vMerge w:val="continue"/>
            <w:noWrap w:val="0"/>
            <w:vAlign w:val="center"/>
          </w:tcPr>
          <w:p w14:paraId="626A8A22">
            <w:pPr>
              <w:widowControl/>
              <w:jc w:val="center"/>
              <w:rPr>
                <w:rFonts w:hint="eastAsia" w:cs="Times New Roman"/>
                <w:b/>
                <w:szCs w:val="21"/>
              </w:rPr>
            </w:pPr>
          </w:p>
        </w:tc>
        <w:tc>
          <w:tcPr>
            <w:tcW w:w="1860" w:type="dxa"/>
            <w:noWrap w:val="0"/>
            <w:vAlign w:val="center"/>
          </w:tcPr>
          <w:p w14:paraId="36185641">
            <w:pPr>
              <w:pStyle w:val="46"/>
              <w:spacing w:before="68" w:line="221" w:lineRule="auto"/>
              <w:ind w:left="129"/>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日常巡</w:t>
            </w:r>
            <w:r>
              <w:rPr>
                <w:rFonts w:hint="eastAsia" w:cs="宋体"/>
                <w:sz w:val="21"/>
                <w:szCs w:val="21"/>
                <w:highlight w:val="none"/>
                <w:lang w:val="en-US" w:eastAsia="zh-CN"/>
              </w:rPr>
              <w:t>检</w:t>
            </w:r>
            <w:r>
              <w:rPr>
                <w:rFonts w:hint="eastAsia" w:ascii="宋体" w:hAnsi="宋体" w:eastAsia="宋体" w:cs="宋体"/>
                <w:sz w:val="21"/>
                <w:szCs w:val="21"/>
                <w:highlight w:val="none"/>
                <w:lang w:val="en-US" w:eastAsia="zh-CN"/>
              </w:rPr>
              <w:t>方案</w:t>
            </w:r>
          </w:p>
          <w:p w14:paraId="00F4E574">
            <w:pPr>
              <w:pStyle w:val="46"/>
              <w:spacing w:before="68" w:line="221" w:lineRule="auto"/>
              <w:ind w:left="129"/>
              <w:jc w:val="center"/>
              <w:rPr>
                <w:rFonts w:hint="default" w:cs="宋体"/>
                <w:color w:val="auto"/>
                <w:spacing w:val="9"/>
                <w:sz w:val="21"/>
                <w:szCs w:val="21"/>
                <w:lang w:val="en-US" w:eastAsia="zh-CN"/>
              </w:rPr>
            </w:pPr>
            <w:r>
              <w:rPr>
                <w:rFonts w:hint="eastAsia" w:ascii="宋体" w:hAnsi="宋体" w:eastAsia="宋体" w:cs="宋体"/>
                <w:sz w:val="21"/>
                <w:szCs w:val="21"/>
                <w:highlight w:val="none"/>
                <w:lang w:val="en-US" w:eastAsia="zh-CN"/>
              </w:rPr>
              <w:t>（</w:t>
            </w:r>
            <w:r>
              <w:rPr>
                <w:rFonts w:hint="eastAsia" w:cs="宋体"/>
                <w:sz w:val="21"/>
                <w:szCs w:val="21"/>
                <w:highlight w:val="none"/>
                <w:lang w:val="en-US" w:eastAsia="zh-CN"/>
              </w:rPr>
              <w:t>8</w:t>
            </w:r>
            <w:r>
              <w:rPr>
                <w:rFonts w:hint="eastAsia" w:ascii="宋体" w:hAnsi="宋体" w:eastAsia="宋体" w:cs="宋体"/>
                <w:sz w:val="21"/>
                <w:szCs w:val="21"/>
                <w:highlight w:val="none"/>
                <w:lang w:val="en-US" w:eastAsia="zh-CN"/>
              </w:rPr>
              <w:t>分）</w:t>
            </w:r>
          </w:p>
        </w:tc>
        <w:tc>
          <w:tcPr>
            <w:tcW w:w="5432" w:type="dxa"/>
            <w:noWrap w:val="0"/>
            <w:vAlign w:val="top"/>
          </w:tcPr>
          <w:p w14:paraId="6D8A8607">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default" w:cs="宋体"/>
                <w:color w:val="auto"/>
                <w:sz w:val="21"/>
                <w:szCs w:val="21"/>
                <w:highlight w:val="none"/>
                <w:lang w:val="en-US" w:eastAsia="zh-CN"/>
              </w:rPr>
            </w:pPr>
            <w:r>
              <w:rPr>
                <w:rFonts w:hint="eastAsia" w:ascii="宋体" w:hAnsi="宋体" w:eastAsia="宋体" w:cs="宋体"/>
                <w:color w:val="000000"/>
                <w:kern w:val="0"/>
                <w:sz w:val="21"/>
                <w:szCs w:val="21"/>
                <w:lang w:val="en-US" w:eastAsia="zh-CN" w:bidi="ar"/>
              </w:rPr>
              <w:t>根据供应商制定的日常巡</w:t>
            </w:r>
            <w:r>
              <w:rPr>
                <w:rFonts w:hint="eastAsia" w:cs="宋体"/>
                <w:color w:val="000000"/>
                <w:kern w:val="0"/>
                <w:sz w:val="21"/>
                <w:szCs w:val="21"/>
                <w:lang w:val="en-US" w:eastAsia="zh-CN" w:bidi="ar"/>
              </w:rPr>
              <w:t>检</w:t>
            </w:r>
            <w:r>
              <w:rPr>
                <w:rFonts w:hint="eastAsia" w:ascii="宋体" w:hAnsi="宋体" w:eastAsia="宋体" w:cs="宋体"/>
                <w:color w:val="000000"/>
                <w:kern w:val="0"/>
                <w:sz w:val="21"/>
                <w:szCs w:val="21"/>
                <w:lang w:val="en-US" w:eastAsia="zh-CN" w:bidi="ar"/>
              </w:rPr>
              <w:t>方案进行综合打分。</w:t>
            </w:r>
            <w:r>
              <w:rPr>
                <w:rFonts w:ascii="宋体" w:hAnsi="宋体" w:eastAsia="宋体" w:cs="宋体"/>
                <w:color w:val="000000"/>
                <w:sz w:val="21"/>
                <w:highlight w:val="none"/>
              </w:rPr>
              <w:t>方案考虑周全、详实具体，安排科学合理、可行性高得</w:t>
            </w:r>
            <w:r>
              <w:rPr>
                <w:rFonts w:hint="eastAsia" w:cs="宋体"/>
                <w:color w:val="000000"/>
                <w:sz w:val="21"/>
                <w:highlight w:val="none"/>
                <w:lang w:val="en-US" w:eastAsia="zh-CN"/>
              </w:rPr>
              <w:t>8</w:t>
            </w:r>
            <w:r>
              <w:rPr>
                <w:rFonts w:ascii="宋体" w:hAnsi="宋体" w:eastAsia="宋体" w:cs="宋体"/>
                <w:color w:val="000000"/>
                <w:sz w:val="21"/>
                <w:highlight w:val="none"/>
              </w:rPr>
              <w:t>分；方案较为详细，安排较为科学、较为可行得</w:t>
            </w:r>
            <w:r>
              <w:rPr>
                <w:rFonts w:hint="eastAsia" w:cs="宋体"/>
                <w:color w:val="000000"/>
                <w:sz w:val="21"/>
                <w:highlight w:val="none"/>
                <w:lang w:val="en-US" w:eastAsia="zh-CN"/>
              </w:rPr>
              <w:t>5</w:t>
            </w:r>
            <w:r>
              <w:rPr>
                <w:rFonts w:ascii="宋体" w:hAnsi="宋体" w:eastAsia="宋体" w:cs="宋体"/>
                <w:color w:val="000000"/>
                <w:sz w:val="21"/>
                <w:highlight w:val="none"/>
              </w:rPr>
              <w:t>分；方案详实程度及合理性一般得</w:t>
            </w:r>
            <w:r>
              <w:rPr>
                <w:rFonts w:hint="eastAsia" w:cs="宋体"/>
                <w:color w:val="000000"/>
                <w:sz w:val="21"/>
                <w:highlight w:val="none"/>
                <w:lang w:val="en-US" w:eastAsia="zh-CN"/>
              </w:rPr>
              <w:t>3</w:t>
            </w:r>
            <w:r>
              <w:rPr>
                <w:rFonts w:ascii="宋体" w:hAnsi="宋体" w:eastAsia="宋体" w:cs="宋体"/>
                <w:color w:val="000000"/>
                <w:sz w:val="21"/>
                <w:highlight w:val="none"/>
              </w:rPr>
              <w:t>分；方案不够详细</w:t>
            </w:r>
            <w:r>
              <w:rPr>
                <w:rFonts w:hint="eastAsia" w:cs="宋体"/>
                <w:color w:val="000000"/>
                <w:sz w:val="21"/>
                <w:highlight w:val="none"/>
                <w:lang w:eastAsia="zh-CN"/>
              </w:rPr>
              <w:t>、</w:t>
            </w:r>
            <w:r>
              <w:rPr>
                <w:rFonts w:ascii="宋体" w:hAnsi="宋体" w:eastAsia="宋体" w:cs="宋体"/>
                <w:color w:val="000000"/>
                <w:sz w:val="21"/>
                <w:highlight w:val="none"/>
              </w:rPr>
              <w:t>合理性较差</w:t>
            </w:r>
            <w:r>
              <w:rPr>
                <w:rFonts w:hint="eastAsia" w:cs="宋体"/>
                <w:color w:val="000000"/>
                <w:sz w:val="21"/>
                <w:highlight w:val="none"/>
                <w:lang w:val="en-US" w:eastAsia="zh-CN"/>
              </w:rPr>
              <w:t>的</w:t>
            </w:r>
            <w:r>
              <w:rPr>
                <w:rFonts w:ascii="宋体" w:hAnsi="宋体" w:eastAsia="宋体" w:cs="宋体"/>
                <w:color w:val="000000"/>
                <w:sz w:val="21"/>
                <w:highlight w:val="none"/>
              </w:rPr>
              <w:t>得</w:t>
            </w:r>
            <w:r>
              <w:rPr>
                <w:rFonts w:hint="eastAsia" w:cs="宋体"/>
                <w:color w:val="000000"/>
                <w:sz w:val="21"/>
                <w:highlight w:val="none"/>
                <w:lang w:val="en-US" w:eastAsia="zh-CN"/>
              </w:rPr>
              <w:t>1</w:t>
            </w:r>
            <w:r>
              <w:rPr>
                <w:rFonts w:ascii="宋体" w:hAnsi="宋体" w:eastAsia="宋体" w:cs="宋体"/>
                <w:color w:val="000000"/>
                <w:sz w:val="21"/>
                <w:highlight w:val="none"/>
              </w:rPr>
              <w:t>分；</w:t>
            </w:r>
            <w:r>
              <w:rPr>
                <w:rFonts w:hint="eastAsia"/>
                <w:sz w:val="21"/>
                <w:szCs w:val="21"/>
                <w:highlight w:val="none"/>
              </w:rPr>
              <w:t>缺项得0分。</w:t>
            </w:r>
          </w:p>
        </w:tc>
      </w:tr>
      <w:tr w14:paraId="6731F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5" w:hRule="atLeast"/>
          <w:jc w:val="center"/>
        </w:trPr>
        <w:tc>
          <w:tcPr>
            <w:tcW w:w="990" w:type="dxa"/>
            <w:vMerge w:val="continue"/>
            <w:noWrap w:val="0"/>
            <w:vAlign w:val="center"/>
          </w:tcPr>
          <w:p w14:paraId="1886876A">
            <w:pPr>
              <w:widowControl/>
              <w:jc w:val="center"/>
              <w:rPr>
                <w:rFonts w:hint="eastAsia"/>
                <w:kern w:val="0"/>
                <w:szCs w:val="21"/>
              </w:rPr>
            </w:pPr>
          </w:p>
        </w:tc>
        <w:tc>
          <w:tcPr>
            <w:tcW w:w="1098" w:type="dxa"/>
            <w:gridSpan w:val="2"/>
            <w:vMerge w:val="continue"/>
            <w:noWrap w:val="0"/>
            <w:vAlign w:val="center"/>
          </w:tcPr>
          <w:p w14:paraId="6AEFF13A">
            <w:pPr>
              <w:widowControl/>
              <w:jc w:val="center"/>
              <w:rPr>
                <w:rFonts w:hint="eastAsia" w:cs="Times New Roman"/>
                <w:b/>
                <w:szCs w:val="21"/>
              </w:rPr>
            </w:pPr>
          </w:p>
        </w:tc>
        <w:tc>
          <w:tcPr>
            <w:tcW w:w="1860" w:type="dxa"/>
            <w:noWrap w:val="0"/>
            <w:vAlign w:val="top"/>
          </w:tcPr>
          <w:p w14:paraId="3AA0FD1C">
            <w:pPr>
              <w:pStyle w:val="46"/>
              <w:spacing w:before="68" w:line="221" w:lineRule="auto"/>
              <w:jc w:val="both"/>
              <w:rPr>
                <w:rFonts w:hint="eastAsia" w:ascii="宋体" w:hAnsi="宋体" w:eastAsia="宋体" w:cs="宋体"/>
                <w:sz w:val="21"/>
                <w:szCs w:val="21"/>
                <w:highlight w:val="none"/>
              </w:rPr>
            </w:pPr>
          </w:p>
          <w:p w14:paraId="10288ED7">
            <w:pPr>
              <w:pStyle w:val="46"/>
              <w:spacing w:before="68" w:line="221" w:lineRule="auto"/>
              <w:jc w:val="center"/>
              <w:rPr>
                <w:rFonts w:hint="eastAsia" w:ascii="宋体" w:hAnsi="宋体" w:eastAsia="宋体" w:cs="宋体"/>
                <w:sz w:val="21"/>
                <w:szCs w:val="21"/>
                <w:highlight w:val="none"/>
              </w:rPr>
            </w:pPr>
          </w:p>
          <w:p w14:paraId="615325F6">
            <w:pPr>
              <w:pStyle w:val="46"/>
              <w:spacing w:before="68" w:line="221" w:lineRule="auto"/>
              <w:jc w:val="center"/>
              <w:rPr>
                <w:rFonts w:hint="eastAsia" w:ascii="宋体" w:hAnsi="宋体" w:eastAsia="宋体" w:cs="宋体"/>
                <w:sz w:val="21"/>
                <w:szCs w:val="21"/>
                <w:highlight w:val="none"/>
              </w:rPr>
            </w:pPr>
          </w:p>
          <w:p w14:paraId="52CD181C">
            <w:pPr>
              <w:pStyle w:val="46"/>
              <w:spacing w:before="68" w:line="221" w:lineRule="auto"/>
              <w:jc w:val="center"/>
              <w:rPr>
                <w:rFonts w:hint="eastAsia" w:ascii="宋体" w:hAnsi="宋体" w:eastAsia="宋体" w:cs="宋体"/>
                <w:sz w:val="21"/>
                <w:szCs w:val="21"/>
                <w:highlight w:val="none"/>
              </w:rPr>
            </w:pPr>
          </w:p>
          <w:p w14:paraId="36A565B2">
            <w:pPr>
              <w:pStyle w:val="46"/>
              <w:spacing w:before="68" w:line="221"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突发事件应急</w:t>
            </w:r>
          </w:p>
          <w:p w14:paraId="00877D1F">
            <w:pPr>
              <w:pStyle w:val="46"/>
              <w:spacing w:before="68" w:line="221" w:lineRule="auto"/>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z w:val="21"/>
                <w:szCs w:val="21"/>
                <w:highlight w:val="none"/>
              </w:rPr>
              <w:t>预案</w:t>
            </w:r>
            <w:r>
              <w:rPr>
                <w:rFonts w:hint="eastAsia" w:ascii="宋体" w:hAnsi="宋体" w:eastAsia="宋体" w:cs="宋体"/>
                <w:spacing w:val="-2"/>
                <w:sz w:val="21"/>
                <w:szCs w:val="21"/>
                <w:lang w:val="en-US" w:eastAsia="zh-CN"/>
              </w:rPr>
              <w:t>（</w:t>
            </w:r>
            <w:r>
              <w:rPr>
                <w:rFonts w:hint="eastAsia" w:cs="宋体"/>
                <w:spacing w:val="-1"/>
                <w:sz w:val="21"/>
                <w:szCs w:val="21"/>
                <w:lang w:val="en-US" w:eastAsia="zh-CN"/>
              </w:rPr>
              <w:t>8</w:t>
            </w:r>
            <w:r>
              <w:rPr>
                <w:rFonts w:hint="eastAsia" w:ascii="宋体" w:hAnsi="宋体" w:eastAsia="宋体" w:cs="宋体"/>
                <w:spacing w:val="-6"/>
                <w:sz w:val="21"/>
                <w:szCs w:val="21"/>
              </w:rPr>
              <w:t>分）</w:t>
            </w:r>
          </w:p>
        </w:tc>
        <w:tc>
          <w:tcPr>
            <w:tcW w:w="5432" w:type="dxa"/>
            <w:noWrap w:val="0"/>
            <w:vAlign w:val="top"/>
          </w:tcPr>
          <w:p w14:paraId="3172126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sz w:val="21"/>
                <w:highlight w:val="none"/>
                <w:lang w:val="en-US" w:eastAsia="zh-CN"/>
              </w:rPr>
              <w:t>根据供应商制定的突发事件应急预案（包括但不限于</w:t>
            </w:r>
            <w:r>
              <w:rPr>
                <w:rFonts w:hint="eastAsia" w:cs="宋体"/>
                <w:color w:val="000000"/>
                <w:sz w:val="21"/>
                <w:highlight w:val="none"/>
                <w:lang w:val="en-US" w:eastAsia="zh-CN"/>
              </w:rPr>
              <w:t>应急小组人员配置、</w:t>
            </w:r>
            <w:r>
              <w:rPr>
                <w:rFonts w:hint="eastAsia" w:ascii="宋体" w:hAnsi="宋体" w:eastAsia="宋体" w:cs="宋体"/>
                <w:color w:val="000000"/>
                <w:sz w:val="21"/>
                <w:highlight w:val="none"/>
                <w:lang w:val="en-US" w:eastAsia="zh-CN"/>
              </w:rPr>
              <w:t>检修和抢修服务方案、迎检工作处理、接到报修故障后迅速到达</w:t>
            </w:r>
            <w:r>
              <w:rPr>
                <w:rFonts w:hint="eastAsia" w:cs="宋体"/>
                <w:color w:val="000000"/>
                <w:sz w:val="21"/>
                <w:highlight w:val="none"/>
                <w:lang w:val="en-US" w:eastAsia="zh-CN"/>
              </w:rPr>
              <w:t>的服务方案</w:t>
            </w:r>
            <w:r>
              <w:rPr>
                <w:rFonts w:hint="eastAsia" w:ascii="宋体" w:hAnsi="宋体" w:eastAsia="宋体" w:cs="宋体"/>
                <w:color w:val="000000"/>
                <w:sz w:val="21"/>
                <w:highlight w:val="none"/>
                <w:lang w:val="en-US" w:eastAsia="zh-CN"/>
              </w:rPr>
              <w:t>、服务过程中出现紧急情况的应急预案等）进行综合评分。方案考虑周全、详实具体，安排科学合理、可行性高得8分；方案较为详细，安排较为科学、较为可行得5分；方案详实程度及合理性一般得3分；方案不够详细、合理性较差的得1分；缺项得0分。</w:t>
            </w:r>
          </w:p>
        </w:tc>
      </w:tr>
      <w:tr w14:paraId="499C2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990" w:type="dxa"/>
            <w:vMerge w:val="restart"/>
            <w:noWrap w:val="0"/>
            <w:vAlign w:val="center"/>
          </w:tcPr>
          <w:p w14:paraId="407F9018">
            <w:pPr>
              <w:widowControl/>
              <w:jc w:val="center"/>
              <w:rPr>
                <w:rFonts w:hint="eastAsia"/>
                <w:kern w:val="0"/>
                <w:szCs w:val="21"/>
              </w:rPr>
            </w:pPr>
            <w:r>
              <w:rPr>
                <w:rFonts w:hint="eastAsia"/>
                <w:kern w:val="0"/>
                <w:szCs w:val="21"/>
              </w:rPr>
              <w:t>2.2.</w:t>
            </w:r>
            <w:r>
              <w:rPr>
                <w:rFonts w:hint="eastAsia"/>
                <w:kern w:val="0"/>
                <w:szCs w:val="21"/>
                <w:lang w:val="en-US" w:eastAsia="zh-CN"/>
              </w:rPr>
              <w:t>1</w:t>
            </w:r>
            <w:r>
              <w:rPr>
                <w:rFonts w:hint="eastAsia"/>
                <w:kern w:val="0"/>
                <w:szCs w:val="21"/>
              </w:rPr>
              <w:t>（</w:t>
            </w:r>
            <w:r>
              <w:rPr>
                <w:rFonts w:hint="eastAsia"/>
                <w:kern w:val="0"/>
                <w:szCs w:val="21"/>
                <w:lang w:val="en-US" w:eastAsia="zh-CN"/>
              </w:rPr>
              <w:t>3</w:t>
            </w:r>
            <w:r>
              <w:rPr>
                <w:rFonts w:hint="eastAsia"/>
                <w:kern w:val="0"/>
                <w:szCs w:val="21"/>
              </w:rPr>
              <w:t>）</w:t>
            </w:r>
          </w:p>
        </w:tc>
        <w:tc>
          <w:tcPr>
            <w:tcW w:w="1098" w:type="dxa"/>
            <w:gridSpan w:val="2"/>
            <w:vMerge w:val="restart"/>
            <w:noWrap w:val="0"/>
            <w:vAlign w:val="center"/>
          </w:tcPr>
          <w:p w14:paraId="6E50C356">
            <w:pPr>
              <w:widowControl/>
              <w:jc w:val="center"/>
              <w:rPr>
                <w:rFonts w:hint="eastAsia" w:ascii="Times New Roman" w:cs="Times New Roman"/>
                <w:b w:val="0"/>
                <w:bCs/>
                <w:lang w:val="en-US" w:eastAsia="zh-CN"/>
              </w:rPr>
            </w:pPr>
            <w:r>
              <w:rPr>
                <w:rFonts w:hint="eastAsia" w:ascii="Times New Roman" w:cs="Times New Roman"/>
                <w:b w:val="0"/>
                <w:bCs/>
                <w:lang w:val="en-US" w:eastAsia="zh-CN"/>
              </w:rPr>
              <w:t>综合</w:t>
            </w:r>
          </w:p>
          <w:p w14:paraId="6D82D749">
            <w:pPr>
              <w:widowControl/>
              <w:jc w:val="center"/>
              <w:rPr>
                <w:rFonts w:hint="eastAsia" w:ascii="Times New Roman" w:cs="Times New Roman"/>
                <w:b w:val="0"/>
                <w:bCs/>
              </w:rPr>
            </w:pPr>
            <w:r>
              <w:rPr>
                <w:rFonts w:hint="eastAsia" w:ascii="Times New Roman" w:cs="Times New Roman"/>
                <w:b w:val="0"/>
                <w:bCs/>
              </w:rPr>
              <w:t>部分</w:t>
            </w:r>
          </w:p>
          <w:p w14:paraId="5E10548C">
            <w:pPr>
              <w:widowControl/>
              <w:jc w:val="center"/>
              <w:rPr>
                <w:rFonts w:hint="eastAsia" w:ascii="Times New Roman" w:cs="Times New Roman"/>
                <w:b/>
              </w:rPr>
            </w:pPr>
            <w:r>
              <w:rPr>
                <w:rFonts w:hint="eastAsia"/>
                <w:b w:val="0"/>
                <w:bCs/>
              </w:rPr>
              <w:t>（</w:t>
            </w:r>
            <w:r>
              <w:rPr>
                <w:rFonts w:hint="eastAsia"/>
                <w:b w:val="0"/>
                <w:bCs/>
                <w:lang w:val="en-US" w:eastAsia="zh-CN"/>
              </w:rPr>
              <w:t>20</w:t>
            </w:r>
            <w:r>
              <w:rPr>
                <w:rFonts w:hint="eastAsia"/>
                <w:b w:val="0"/>
                <w:bCs/>
              </w:rPr>
              <w:t>分</w:t>
            </w:r>
            <w:r>
              <w:rPr>
                <w:rFonts w:hint="eastAsia" w:ascii="Times New Roman" w:cs="Times New Roman"/>
                <w:b w:val="0"/>
                <w:bCs/>
              </w:rPr>
              <w:t>）</w:t>
            </w:r>
          </w:p>
          <w:p w14:paraId="0BC1E88D">
            <w:pPr>
              <w:widowControl/>
              <w:jc w:val="center"/>
              <w:rPr>
                <w:rFonts w:hint="eastAsia" w:ascii="Times New Roman" w:cs="Times New Roman"/>
                <w:b/>
              </w:rPr>
            </w:pPr>
          </w:p>
        </w:tc>
        <w:tc>
          <w:tcPr>
            <w:tcW w:w="1860" w:type="dxa"/>
            <w:shd w:val="clear" w:color="auto" w:fill="auto"/>
            <w:noWrap w:val="0"/>
            <w:vAlign w:val="center"/>
          </w:tcPr>
          <w:p w14:paraId="7ED9BF53">
            <w:pPr>
              <w:pStyle w:val="46"/>
              <w:spacing w:before="32" w:line="360" w:lineRule="auto"/>
              <w:ind w:right="169"/>
              <w:jc w:val="center"/>
              <w:rPr>
                <w:rFonts w:hint="default"/>
                <w:sz w:val="21"/>
                <w:szCs w:val="21"/>
                <w:lang w:val="en-US" w:eastAsia="zh-CN"/>
              </w:rPr>
            </w:pPr>
            <w:r>
              <w:rPr>
                <w:rFonts w:hint="eastAsia"/>
                <w:sz w:val="21"/>
                <w:szCs w:val="21"/>
                <w:lang w:val="en-US" w:eastAsia="zh-CN"/>
              </w:rPr>
              <w:t xml:space="preserve">  业绩（4分）</w:t>
            </w:r>
          </w:p>
        </w:tc>
        <w:tc>
          <w:tcPr>
            <w:tcW w:w="5432" w:type="dxa"/>
            <w:shd w:val="clear" w:color="auto" w:fill="auto"/>
            <w:noWrap w:val="0"/>
            <w:vAlign w:val="center"/>
          </w:tcPr>
          <w:p w14:paraId="4C523C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2022年1月1日以来（以合同签订时间为准）供应商承接过类似项目业绩的，每提供一份得2分，最多得</w:t>
            </w:r>
            <w:r>
              <w:rPr>
                <w:rFonts w:hint="eastAsia" w:cs="宋体"/>
                <w:color w:val="000000"/>
                <w:kern w:val="0"/>
                <w:sz w:val="21"/>
                <w:szCs w:val="21"/>
                <w:lang w:val="en-US" w:eastAsia="zh-CN" w:bidi="ar"/>
              </w:rPr>
              <w:t>4</w:t>
            </w:r>
            <w:r>
              <w:rPr>
                <w:rFonts w:hint="eastAsia" w:ascii="宋体" w:hAnsi="宋体" w:eastAsia="宋体" w:cs="宋体"/>
                <w:color w:val="000000"/>
                <w:kern w:val="0"/>
                <w:sz w:val="21"/>
                <w:szCs w:val="21"/>
                <w:lang w:val="en-US" w:eastAsia="zh-CN" w:bidi="ar"/>
              </w:rPr>
              <w:t>分。（</w:t>
            </w:r>
            <w:r>
              <w:rPr>
                <w:rFonts w:hint="eastAsia" w:cs="宋体"/>
                <w:color w:val="000000"/>
                <w:kern w:val="0"/>
                <w:sz w:val="21"/>
                <w:szCs w:val="21"/>
                <w:lang w:val="en-US" w:eastAsia="zh-CN" w:bidi="ar"/>
              </w:rPr>
              <w:t>响应</w:t>
            </w:r>
            <w:r>
              <w:rPr>
                <w:rFonts w:hint="eastAsia" w:ascii="宋体" w:hAnsi="宋体" w:eastAsia="宋体" w:cs="宋体"/>
                <w:color w:val="000000"/>
                <w:kern w:val="0"/>
                <w:sz w:val="21"/>
                <w:szCs w:val="21"/>
                <w:lang w:val="en-US" w:eastAsia="zh-CN" w:bidi="ar"/>
              </w:rPr>
              <w:t>文件中须提供合同协议书</w:t>
            </w:r>
            <w:r>
              <w:rPr>
                <w:rFonts w:hint="eastAsia" w:cs="宋体"/>
                <w:color w:val="000000"/>
                <w:kern w:val="0"/>
                <w:sz w:val="21"/>
                <w:szCs w:val="21"/>
                <w:lang w:val="en-US" w:eastAsia="zh-CN" w:bidi="ar"/>
              </w:rPr>
              <w:t>及中标通知书</w:t>
            </w:r>
            <w:r>
              <w:rPr>
                <w:rFonts w:hint="eastAsia" w:ascii="宋体" w:hAnsi="宋体" w:eastAsia="宋体" w:cs="宋体"/>
                <w:color w:val="000000"/>
                <w:kern w:val="0"/>
                <w:sz w:val="21"/>
                <w:szCs w:val="21"/>
                <w:lang w:val="en-US" w:eastAsia="zh-CN" w:bidi="ar"/>
              </w:rPr>
              <w:t>的扫描件）</w:t>
            </w:r>
          </w:p>
        </w:tc>
      </w:tr>
      <w:tr w14:paraId="10EF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0" w:type="dxa"/>
            <w:vMerge w:val="continue"/>
            <w:noWrap w:val="0"/>
            <w:vAlign w:val="center"/>
          </w:tcPr>
          <w:p w14:paraId="1A0BADB1">
            <w:pPr>
              <w:widowControl/>
              <w:jc w:val="center"/>
              <w:rPr>
                <w:rFonts w:hint="eastAsia"/>
                <w:kern w:val="0"/>
                <w:szCs w:val="21"/>
              </w:rPr>
            </w:pPr>
          </w:p>
        </w:tc>
        <w:tc>
          <w:tcPr>
            <w:tcW w:w="1098" w:type="dxa"/>
            <w:gridSpan w:val="2"/>
            <w:vMerge w:val="continue"/>
            <w:noWrap w:val="0"/>
            <w:vAlign w:val="center"/>
          </w:tcPr>
          <w:p w14:paraId="0E4B3968">
            <w:pPr>
              <w:widowControl/>
              <w:jc w:val="center"/>
              <w:rPr>
                <w:rFonts w:hint="eastAsia" w:ascii="Times New Roman" w:cs="Times New Roman"/>
                <w:b/>
              </w:rPr>
            </w:pPr>
          </w:p>
        </w:tc>
        <w:tc>
          <w:tcPr>
            <w:tcW w:w="1860" w:type="dxa"/>
            <w:shd w:val="clear" w:color="auto" w:fill="auto"/>
            <w:noWrap w:val="0"/>
            <w:vAlign w:val="center"/>
          </w:tcPr>
          <w:p w14:paraId="74850291">
            <w:pPr>
              <w:pStyle w:val="46"/>
              <w:spacing w:before="32" w:line="360" w:lineRule="auto"/>
              <w:ind w:right="169"/>
              <w:jc w:val="center"/>
              <w:rPr>
                <w:rFonts w:hint="default"/>
                <w:sz w:val="21"/>
                <w:szCs w:val="21"/>
                <w:lang w:val="en-US" w:eastAsia="zh-CN"/>
              </w:rPr>
            </w:pPr>
            <w:r>
              <w:rPr>
                <w:rFonts w:hint="eastAsia"/>
                <w:sz w:val="21"/>
                <w:szCs w:val="21"/>
                <w:lang w:val="en-US" w:eastAsia="zh-CN"/>
              </w:rPr>
              <w:t>车辆配备（6分)</w:t>
            </w:r>
          </w:p>
        </w:tc>
        <w:tc>
          <w:tcPr>
            <w:tcW w:w="5432" w:type="dxa"/>
            <w:shd w:val="clear" w:color="auto" w:fill="auto"/>
            <w:noWrap w:val="0"/>
            <w:vAlign w:val="center"/>
          </w:tcPr>
          <w:p w14:paraId="7B81E09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供应商提供1台高空升降作业车和1台施工作业车的得基本分</w:t>
            </w:r>
            <w:r>
              <w:rPr>
                <w:rFonts w:hint="eastAsia" w:cs="宋体"/>
                <w:color w:val="000000"/>
                <w:kern w:val="0"/>
                <w:sz w:val="21"/>
                <w:szCs w:val="21"/>
                <w:lang w:val="en-US" w:eastAsia="zh-CN" w:bidi="ar"/>
              </w:rPr>
              <w:t>3</w:t>
            </w:r>
            <w:r>
              <w:rPr>
                <w:rFonts w:hint="eastAsia" w:ascii="宋体" w:hAnsi="宋体" w:eastAsia="宋体" w:cs="宋体"/>
                <w:color w:val="000000"/>
                <w:kern w:val="0"/>
                <w:sz w:val="21"/>
                <w:szCs w:val="21"/>
                <w:lang w:val="en-US" w:eastAsia="zh-CN" w:bidi="ar"/>
              </w:rPr>
              <w:t>分，每加一辆得</w:t>
            </w:r>
            <w:r>
              <w:rPr>
                <w:rFonts w:hint="eastAsia" w:cs="宋体"/>
                <w:color w:val="000000"/>
                <w:kern w:val="0"/>
                <w:sz w:val="21"/>
                <w:szCs w:val="21"/>
                <w:lang w:val="en-US" w:eastAsia="zh-CN" w:bidi="ar"/>
              </w:rPr>
              <w:t>1</w:t>
            </w:r>
            <w:r>
              <w:rPr>
                <w:rFonts w:hint="eastAsia" w:ascii="宋体" w:hAnsi="宋体" w:eastAsia="宋体" w:cs="宋体"/>
                <w:color w:val="000000"/>
                <w:kern w:val="0"/>
                <w:sz w:val="21"/>
                <w:szCs w:val="21"/>
                <w:lang w:val="en-US" w:eastAsia="zh-CN" w:bidi="ar"/>
              </w:rPr>
              <w:t>分，最多得</w:t>
            </w:r>
            <w:r>
              <w:rPr>
                <w:rFonts w:hint="eastAsia" w:cs="宋体"/>
                <w:color w:val="000000"/>
                <w:kern w:val="0"/>
                <w:sz w:val="21"/>
                <w:szCs w:val="21"/>
                <w:lang w:val="en-US" w:eastAsia="zh-CN" w:bidi="ar"/>
              </w:rPr>
              <w:t>6</w:t>
            </w:r>
            <w:r>
              <w:rPr>
                <w:rFonts w:hint="eastAsia" w:ascii="宋体" w:hAnsi="宋体" w:eastAsia="宋体" w:cs="宋体"/>
                <w:color w:val="000000"/>
                <w:kern w:val="0"/>
                <w:sz w:val="21"/>
                <w:szCs w:val="21"/>
                <w:lang w:val="en-US" w:eastAsia="zh-CN" w:bidi="ar"/>
              </w:rPr>
              <w:t>分。若为自有车辆的，需提供车辆产权证、有效期内行驶证扫描件；若为租赁车辆的，提供租赁合同及出租单位的车辆产权证、有效期内行驶证扫描件。</w:t>
            </w:r>
          </w:p>
        </w:tc>
      </w:tr>
      <w:tr w14:paraId="13C22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jc w:val="center"/>
        </w:trPr>
        <w:tc>
          <w:tcPr>
            <w:tcW w:w="990" w:type="dxa"/>
            <w:vMerge w:val="continue"/>
            <w:noWrap w:val="0"/>
            <w:vAlign w:val="center"/>
          </w:tcPr>
          <w:p w14:paraId="68C1C55F">
            <w:pPr>
              <w:widowControl/>
              <w:jc w:val="center"/>
              <w:rPr>
                <w:rFonts w:hint="eastAsia"/>
                <w:kern w:val="0"/>
                <w:szCs w:val="21"/>
              </w:rPr>
            </w:pPr>
          </w:p>
        </w:tc>
        <w:tc>
          <w:tcPr>
            <w:tcW w:w="1098" w:type="dxa"/>
            <w:gridSpan w:val="2"/>
            <w:vMerge w:val="continue"/>
            <w:noWrap w:val="0"/>
            <w:vAlign w:val="center"/>
          </w:tcPr>
          <w:p w14:paraId="18DCB0BD">
            <w:pPr>
              <w:widowControl/>
              <w:jc w:val="center"/>
              <w:rPr>
                <w:rFonts w:hint="eastAsia" w:ascii="Times New Roman" w:cs="Times New Roman"/>
                <w:b/>
              </w:rPr>
            </w:pPr>
          </w:p>
        </w:tc>
        <w:tc>
          <w:tcPr>
            <w:tcW w:w="1860" w:type="dxa"/>
            <w:shd w:val="clear" w:color="auto" w:fill="auto"/>
            <w:noWrap w:val="0"/>
            <w:vAlign w:val="center"/>
          </w:tcPr>
          <w:p w14:paraId="2E6366E6">
            <w:pPr>
              <w:keepNext w:val="0"/>
              <w:keepLines w:val="0"/>
              <w:pageBreakBefore w:val="0"/>
              <w:widowControl/>
              <w:shd w:val="clear" w:color="auto" w:fill="auto"/>
              <w:kinsoku/>
              <w:wordWrap/>
              <w:overflowPunct/>
              <w:topLinePunct w:val="0"/>
              <w:bidi w:val="0"/>
              <w:snapToGrid/>
              <w:spacing w:line="360" w:lineRule="auto"/>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eastAsia="zh-CN"/>
              </w:rPr>
              <w:t>服务承诺（</w:t>
            </w:r>
            <w:r>
              <w:rPr>
                <w:rFonts w:hint="eastAsia"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en-US" w:eastAsia="zh-CN"/>
              </w:rPr>
              <w:t>分</w:t>
            </w:r>
            <w:r>
              <w:rPr>
                <w:rFonts w:hint="eastAsia" w:ascii="宋体" w:hAnsi="宋体" w:eastAsia="宋体" w:cs="宋体"/>
                <w:color w:val="auto"/>
                <w:kern w:val="0"/>
                <w:sz w:val="21"/>
                <w:szCs w:val="21"/>
                <w:highlight w:val="none"/>
                <w:lang w:eastAsia="zh-CN"/>
              </w:rPr>
              <w:t>）</w:t>
            </w:r>
          </w:p>
        </w:tc>
        <w:tc>
          <w:tcPr>
            <w:tcW w:w="5432" w:type="dxa"/>
            <w:shd w:val="clear" w:color="auto" w:fill="auto"/>
            <w:noWrap w:val="0"/>
            <w:vAlign w:val="center"/>
          </w:tcPr>
          <w:p w14:paraId="3ED00E9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000000"/>
                <w:kern w:val="0"/>
                <w:sz w:val="21"/>
                <w:szCs w:val="21"/>
                <w:lang w:val="en-US" w:eastAsia="zh-CN" w:bidi="ar"/>
              </w:rPr>
              <w:t>配合采购人完成相关工作方面的承诺及措施。内容全面、合理，切合实际，有详尽的说明文件，可实施性强，响应程度高的得5分；内容比较合理、比较切合实际，有说明文件，可实施性较强，响应程度较高的得3分；基本合理、切合实际，响应程度一般的得1分；缺项得0分。</w:t>
            </w:r>
          </w:p>
        </w:tc>
      </w:tr>
      <w:tr w14:paraId="1E1AD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990" w:type="dxa"/>
            <w:vMerge w:val="continue"/>
            <w:noWrap w:val="0"/>
            <w:vAlign w:val="center"/>
          </w:tcPr>
          <w:p w14:paraId="1F8354BD">
            <w:pPr>
              <w:widowControl/>
              <w:jc w:val="center"/>
              <w:rPr>
                <w:rFonts w:hint="eastAsia"/>
                <w:kern w:val="0"/>
                <w:szCs w:val="21"/>
              </w:rPr>
            </w:pPr>
            <w:bookmarkStart w:id="522" w:name="_Toc9836"/>
          </w:p>
        </w:tc>
        <w:tc>
          <w:tcPr>
            <w:tcW w:w="1098" w:type="dxa"/>
            <w:gridSpan w:val="2"/>
            <w:vMerge w:val="continue"/>
            <w:noWrap w:val="0"/>
            <w:vAlign w:val="center"/>
          </w:tcPr>
          <w:p w14:paraId="6016F7C6">
            <w:pPr>
              <w:widowControl/>
              <w:jc w:val="center"/>
              <w:rPr>
                <w:rFonts w:hint="eastAsia" w:ascii="Times New Roman" w:cs="Times New Roman"/>
                <w:b/>
              </w:rPr>
            </w:pPr>
          </w:p>
        </w:tc>
        <w:tc>
          <w:tcPr>
            <w:tcW w:w="1860" w:type="dxa"/>
            <w:noWrap w:val="0"/>
            <w:vAlign w:val="center"/>
          </w:tcPr>
          <w:p w14:paraId="315FD4D8">
            <w:pPr>
              <w:keepNext w:val="0"/>
              <w:keepLines w:val="0"/>
              <w:pageBreakBefore w:val="0"/>
              <w:widowControl/>
              <w:shd w:val="clear" w:color="auto" w:fill="auto"/>
              <w:kinsoku/>
              <w:wordWrap/>
              <w:overflowPunct/>
              <w:topLinePunct w:val="0"/>
              <w:bidi w:val="0"/>
              <w:snapToGrid/>
              <w:spacing w:line="360" w:lineRule="auto"/>
              <w:jc w:val="center"/>
              <w:textAlignment w:val="auto"/>
              <w:rPr>
                <w:rFonts w:hint="eastAsia" w:ascii="宋体" w:hAnsi="宋体" w:eastAsia="宋体" w:cs="宋体"/>
                <w:color w:val="auto"/>
                <w:kern w:val="0"/>
                <w:sz w:val="21"/>
                <w:szCs w:val="21"/>
                <w:highlight w:val="none"/>
                <w:lang w:eastAsia="zh-CN"/>
              </w:rPr>
            </w:pPr>
            <w:r>
              <w:rPr>
                <w:rFonts w:hint="eastAsia" w:cs="宋体"/>
                <w:color w:val="auto"/>
                <w:kern w:val="0"/>
                <w:sz w:val="21"/>
                <w:szCs w:val="21"/>
                <w:highlight w:val="none"/>
                <w:lang w:val="en-US" w:eastAsia="zh-CN"/>
              </w:rPr>
              <w:t>合理化建议</w:t>
            </w:r>
            <w:r>
              <w:rPr>
                <w:rFonts w:hint="eastAsia" w:ascii="宋体" w:hAnsi="宋体" w:eastAsia="宋体" w:cs="宋体"/>
                <w:color w:val="auto"/>
                <w:kern w:val="0"/>
                <w:sz w:val="21"/>
                <w:szCs w:val="21"/>
                <w:highlight w:val="none"/>
                <w:lang w:eastAsia="zh-CN"/>
              </w:rPr>
              <w:t>（</w:t>
            </w:r>
            <w:r>
              <w:rPr>
                <w:rFonts w:hint="eastAsia"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en-US" w:eastAsia="zh-CN"/>
              </w:rPr>
              <w:t>分</w:t>
            </w:r>
            <w:r>
              <w:rPr>
                <w:rFonts w:hint="eastAsia" w:ascii="宋体" w:hAnsi="宋体" w:eastAsia="宋体" w:cs="宋体"/>
                <w:color w:val="auto"/>
                <w:kern w:val="0"/>
                <w:sz w:val="21"/>
                <w:szCs w:val="21"/>
                <w:highlight w:val="none"/>
                <w:lang w:eastAsia="zh-CN"/>
              </w:rPr>
              <w:t>）</w:t>
            </w:r>
          </w:p>
        </w:tc>
        <w:tc>
          <w:tcPr>
            <w:tcW w:w="5432" w:type="dxa"/>
            <w:noWrap w:val="0"/>
            <w:vAlign w:val="center"/>
          </w:tcPr>
          <w:p w14:paraId="24DA4161">
            <w:pPr>
              <w:keepNext w:val="0"/>
              <w:keepLines w:val="0"/>
              <w:pageBreakBefore w:val="0"/>
              <w:widowControl/>
              <w:suppressLineNumbers w:val="0"/>
              <w:tabs>
                <w:tab w:val="left" w:pos="2100"/>
              </w:tabs>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kern w:val="0"/>
                <w:sz w:val="21"/>
                <w:szCs w:val="21"/>
                <w:lang w:val="en-US" w:eastAsia="zh-CN" w:bidi="ar"/>
              </w:rPr>
              <w:t>供应商根据本项目特点提出合理化建议，为采购人排忧解难的服务承诺，并有违背承诺的处罚措施。内容全面、合理，切合实际，有详尽的说明文件，可实施性强，响应程度高的得5分；内容比较合理、比较切合实际，有说明文件，可实施性较强，响应程度较高的得3分；基本合理、切合实际，响应程度一般的得1分；缺项得0分。</w:t>
            </w:r>
          </w:p>
        </w:tc>
      </w:tr>
      <w:bookmarkEnd w:id="522"/>
    </w:tbl>
    <w:p w14:paraId="5B9DE0FB">
      <w:pPr>
        <w:pStyle w:val="4"/>
        <w:numPr>
          <w:ilvl w:val="0"/>
          <w:numId w:val="0"/>
        </w:numPr>
        <w:spacing w:before="0" w:after="0" w:line="360" w:lineRule="auto"/>
        <w:rPr>
          <w:rFonts w:hint="eastAsia" w:ascii="宋体" w:hAnsi="宋体" w:eastAsia="宋体" w:cs="宋体"/>
          <w:b w:val="0"/>
          <w:kern w:val="0"/>
          <w:sz w:val="21"/>
          <w:szCs w:val="21"/>
          <w:lang w:val="en-US" w:eastAsia="zh-CN" w:bidi="ar-SA"/>
        </w:rPr>
      </w:pPr>
      <w:bookmarkStart w:id="523" w:name="_Toc11532"/>
      <w:bookmarkStart w:id="524" w:name="_Toc12121"/>
      <w:bookmarkStart w:id="525" w:name="_Toc8739"/>
      <w:bookmarkStart w:id="526" w:name="_Toc179"/>
      <w:bookmarkStart w:id="527" w:name="_Toc4881"/>
    </w:p>
    <w:p w14:paraId="5AF17920">
      <w:pPr>
        <w:pStyle w:val="4"/>
        <w:numPr>
          <w:ilvl w:val="0"/>
          <w:numId w:val="13"/>
        </w:numPr>
        <w:spacing w:before="0" w:after="0" w:line="360" w:lineRule="auto"/>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评审方法</w:t>
      </w:r>
      <w:bookmarkEnd w:id="523"/>
      <w:bookmarkEnd w:id="524"/>
      <w:bookmarkEnd w:id="525"/>
      <w:bookmarkEnd w:id="526"/>
      <w:bookmarkEnd w:id="527"/>
    </w:p>
    <w:p w14:paraId="34BA2045">
      <w:pPr>
        <w:autoSpaceDE w:val="0"/>
        <w:autoSpaceDN w:val="0"/>
        <w:adjustRightInd w:val="0"/>
        <w:spacing w:line="360" w:lineRule="auto"/>
        <w:ind w:firstLine="420" w:firstLineChars="200"/>
        <w:jc w:val="left"/>
        <w:rPr>
          <w:rFonts w:hint="eastAsia"/>
          <w:kern w:val="0"/>
          <w:szCs w:val="21"/>
        </w:rPr>
      </w:pPr>
      <w:r>
        <w:rPr>
          <w:rFonts w:hint="eastAsia"/>
          <w:kern w:val="0"/>
          <w:szCs w:val="21"/>
        </w:rPr>
        <w:t>本次采购采用质量优先法评审，对满足采购需求按照质量评分从高到低排序，根据征集文件规定的淘汰率或者入围供应商数量上限，确定入围供应商的评审方法。</w:t>
      </w:r>
    </w:p>
    <w:p w14:paraId="6E57D68F">
      <w:pPr>
        <w:pStyle w:val="4"/>
        <w:numPr>
          <w:ilvl w:val="0"/>
          <w:numId w:val="13"/>
        </w:numPr>
        <w:spacing w:before="0" w:after="0" w:line="360" w:lineRule="auto"/>
        <w:rPr>
          <w:rFonts w:hint="eastAsia" w:cs="宋体"/>
          <w:sz w:val="24"/>
          <w:szCs w:val="24"/>
          <w:lang w:val="en-US" w:eastAsia="zh-CN"/>
        </w:rPr>
      </w:pPr>
      <w:bookmarkStart w:id="528" w:name="_Toc15517"/>
      <w:bookmarkStart w:id="529" w:name="_Toc1289"/>
      <w:bookmarkStart w:id="530" w:name="_Toc6135"/>
      <w:bookmarkStart w:id="531" w:name="_Toc26303"/>
      <w:bookmarkStart w:id="532" w:name="_Toc11495"/>
      <w:bookmarkStart w:id="533" w:name="_Toc31103"/>
      <w:bookmarkStart w:id="534" w:name="_Toc904"/>
      <w:bookmarkStart w:id="535" w:name="_Toc26533"/>
      <w:bookmarkStart w:id="536" w:name="_Toc4003"/>
      <w:bookmarkStart w:id="537" w:name="_Toc5920"/>
      <w:bookmarkStart w:id="538" w:name="_Toc8325"/>
      <w:bookmarkStart w:id="539" w:name="_Toc3406"/>
      <w:r>
        <w:rPr>
          <w:rFonts w:hint="eastAsia" w:cs="宋体"/>
          <w:sz w:val="24"/>
          <w:szCs w:val="24"/>
          <w:lang w:val="en-US" w:eastAsia="zh-CN"/>
        </w:rPr>
        <w:t>评审标准</w:t>
      </w:r>
      <w:bookmarkEnd w:id="528"/>
      <w:bookmarkEnd w:id="529"/>
      <w:bookmarkEnd w:id="530"/>
      <w:bookmarkEnd w:id="531"/>
      <w:bookmarkEnd w:id="532"/>
      <w:bookmarkEnd w:id="533"/>
      <w:bookmarkEnd w:id="534"/>
      <w:bookmarkEnd w:id="535"/>
      <w:bookmarkEnd w:id="536"/>
      <w:bookmarkEnd w:id="537"/>
      <w:bookmarkEnd w:id="538"/>
      <w:bookmarkEnd w:id="539"/>
    </w:p>
    <w:p w14:paraId="4137976F">
      <w:pPr>
        <w:pStyle w:val="4"/>
        <w:spacing w:before="0" w:after="0" w:line="360" w:lineRule="auto"/>
        <w:rPr>
          <w:rFonts w:hint="eastAsia" w:cs="宋体"/>
          <w:lang w:val="en-US" w:eastAsia="zh-CN"/>
        </w:rPr>
      </w:pPr>
      <w:bookmarkStart w:id="540" w:name="_Toc23446"/>
      <w:bookmarkStart w:id="541" w:name="_Toc24699"/>
      <w:bookmarkStart w:id="542" w:name="_Toc2572"/>
      <w:bookmarkStart w:id="543" w:name="_Toc1486"/>
      <w:bookmarkStart w:id="544" w:name="_Toc4247"/>
      <w:bookmarkStart w:id="545" w:name="_Toc21567"/>
      <w:bookmarkStart w:id="546" w:name="_Toc20701"/>
      <w:bookmarkStart w:id="547" w:name="_Toc28459"/>
      <w:bookmarkStart w:id="548" w:name="_Toc6703"/>
      <w:bookmarkStart w:id="549" w:name="_Toc761"/>
      <w:bookmarkStart w:id="550" w:name="_Toc12847"/>
      <w:bookmarkStart w:id="551" w:name="_Toc20996"/>
      <w:r>
        <w:rPr>
          <w:rFonts w:hint="eastAsia" w:cs="宋体"/>
          <w:lang w:val="en-US" w:eastAsia="zh-CN"/>
        </w:rPr>
        <w:t>2.1 符合性评审</w:t>
      </w:r>
      <w:bookmarkEnd w:id="540"/>
      <w:bookmarkEnd w:id="541"/>
      <w:bookmarkEnd w:id="542"/>
      <w:bookmarkEnd w:id="543"/>
      <w:bookmarkEnd w:id="544"/>
      <w:bookmarkEnd w:id="545"/>
      <w:bookmarkEnd w:id="546"/>
      <w:bookmarkEnd w:id="547"/>
      <w:bookmarkEnd w:id="548"/>
      <w:bookmarkEnd w:id="549"/>
      <w:bookmarkEnd w:id="550"/>
      <w:bookmarkEnd w:id="551"/>
    </w:p>
    <w:p w14:paraId="5FC94C1B">
      <w:pPr>
        <w:autoSpaceDE w:val="0"/>
        <w:autoSpaceDN w:val="0"/>
        <w:adjustRightInd w:val="0"/>
        <w:spacing w:line="360" w:lineRule="auto"/>
        <w:ind w:firstLine="420" w:firstLineChars="200"/>
        <w:jc w:val="left"/>
        <w:rPr>
          <w:rFonts w:hint="eastAsia"/>
          <w:kern w:val="0"/>
          <w:szCs w:val="21"/>
        </w:rPr>
      </w:pPr>
      <w:r>
        <w:rPr>
          <w:rFonts w:hint="eastAsia"/>
          <w:kern w:val="0"/>
          <w:szCs w:val="21"/>
        </w:rPr>
        <w:t>符合性审查标准：见评审方法前附表。</w:t>
      </w:r>
    </w:p>
    <w:p w14:paraId="2C229172">
      <w:pPr>
        <w:pStyle w:val="4"/>
        <w:spacing w:before="0" w:after="0" w:line="360" w:lineRule="auto"/>
        <w:rPr>
          <w:rFonts w:hint="eastAsia" w:cs="宋体"/>
        </w:rPr>
      </w:pPr>
      <w:bookmarkStart w:id="552" w:name="_Toc31413"/>
      <w:bookmarkStart w:id="553" w:name="_Toc17735"/>
      <w:bookmarkStart w:id="554" w:name="_Toc25284"/>
      <w:bookmarkStart w:id="555" w:name="_Toc15345"/>
      <w:bookmarkStart w:id="556" w:name="_Toc15635"/>
      <w:bookmarkStart w:id="557" w:name="_Toc6440"/>
      <w:bookmarkStart w:id="558" w:name="_Toc28336"/>
      <w:bookmarkStart w:id="559" w:name="_Toc7259"/>
      <w:bookmarkStart w:id="560" w:name="_Toc17599"/>
      <w:bookmarkStart w:id="561" w:name="_Toc29139"/>
      <w:bookmarkStart w:id="562" w:name="_Toc31651"/>
      <w:bookmarkStart w:id="563" w:name="_Toc15689"/>
      <w:r>
        <w:rPr>
          <w:rFonts w:hint="eastAsia" w:cs="宋体"/>
          <w:lang w:val="en-US" w:eastAsia="zh-CN"/>
        </w:rPr>
        <w:t xml:space="preserve">2.2 </w:t>
      </w:r>
      <w:r>
        <w:rPr>
          <w:rFonts w:hint="eastAsia" w:cs="宋体"/>
        </w:rPr>
        <w:t>分值构成与评分标准</w:t>
      </w:r>
      <w:bookmarkEnd w:id="552"/>
      <w:bookmarkEnd w:id="553"/>
      <w:bookmarkEnd w:id="554"/>
      <w:bookmarkEnd w:id="555"/>
      <w:bookmarkEnd w:id="556"/>
      <w:bookmarkEnd w:id="557"/>
      <w:bookmarkEnd w:id="558"/>
      <w:bookmarkEnd w:id="559"/>
      <w:bookmarkEnd w:id="560"/>
      <w:bookmarkEnd w:id="561"/>
      <w:bookmarkEnd w:id="562"/>
      <w:bookmarkEnd w:id="563"/>
    </w:p>
    <w:p w14:paraId="193DE6D3">
      <w:pPr>
        <w:autoSpaceDE w:val="0"/>
        <w:autoSpaceDN w:val="0"/>
        <w:adjustRightInd w:val="0"/>
        <w:spacing w:line="360" w:lineRule="auto"/>
        <w:jc w:val="left"/>
        <w:rPr>
          <w:rFonts w:hint="eastAsia"/>
          <w:kern w:val="0"/>
          <w:szCs w:val="21"/>
        </w:rPr>
      </w:pPr>
      <w:r>
        <w:rPr>
          <w:rFonts w:hint="eastAsia"/>
          <w:kern w:val="0"/>
          <w:szCs w:val="21"/>
        </w:rPr>
        <w:t>2.2.1 分</w:t>
      </w:r>
      <w:r>
        <w:rPr>
          <w:rFonts w:hint="eastAsia"/>
          <w:spacing w:val="-2"/>
          <w:kern w:val="0"/>
          <w:szCs w:val="21"/>
        </w:rPr>
        <w:t>值</w:t>
      </w:r>
      <w:r>
        <w:rPr>
          <w:rFonts w:hint="eastAsia"/>
          <w:kern w:val="0"/>
          <w:szCs w:val="21"/>
        </w:rPr>
        <w:t>构成</w:t>
      </w:r>
    </w:p>
    <w:p w14:paraId="5B63D560">
      <w:pPr>
        <w:autoSpaceDE w:val="0"/>
        <w:autoSpaceDN w:val="0"/>
        <w:adjustRightInd w:val="0"/>
        <w:spacing w:line="360" w:lineRule="auto"/>
        <w:ind w:firstLine="420" w:firstLineChars="200"/>
        <w:jc w:val="left"/>
        <w:rPr>
          <w:rFonts w:hint="default" w:eastAsia="宋体"/>
          <w:kern w:val="0"/>
          <w:szCs w:val="21"/>
          <w:lang w:val="en-US" w:eastAsia="zh-CN"/>
        </w:rPr>
      </w:pPr>
      <w:r>
        <w:rPr>
          <w:rFonts w:hint="eastAsia"/>
          <w:kern w:val="0"/>
          <w:szCs w:val="21"/>
          <w:lang w:eastAsia="zh-CN"/>
        </w:rPr>
        <w:t>（</w:t>
      </w:r>
      <w:r>
        <w:rPr>
          <w:rFonts w:hint="eastAsia"/>
          <w:kern w:val="0"/>
          <w:szCs w:val="21"/>
          <w:lang w:val="en-US" w:eastAsia="zh-CN"/>
        </w:rPr>
        <w:t>1）响应报价;</w:t>
      </w:r>
      <w:r>
        <w:rPr>
          <w:rFonts w:hint="eastAsia"/>
          <w:kern w:val="0"/>
          <w:szCs w:val="21"/>
        </w:rPr>
        <w:t>见评审方法前附表；</w:t>
      </w:r>
    </w:p>
    <w:p w14:paraId="0E11E56B">
      <w:pPr>
        <w:autoSpaceDE w:val="0"/>
        <w:autoSpaceDN w:val="0"/>
        <w:adjustRightInd w:val="0"/>
        <w:spacing w:line="360" w:lineRule="auto"/>
        <w:ind w:firstLine="420" w:firstLineChars="200"/>
        <w:jc w:val="left"/>
        <w:rPr>
          <w:rFonts w:hint="eastAsia" w:ascii="宋体" w:hAnsi="宋体" w:eastAsia="宋体" w:cs="宋体"/>
          <w:kern w:val="0"/>
          <w:szCs w:val="21"/>
          <w:lang w:eastAsia="zh-CN"/>
        </w:rPr>
      </w:pP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2</w:t>
      </w:r>
      <w:r>
        <w:rPr>
          <w:rFonts w:hint="eastAsia" w:ascii="宋体" w:hAnsi="宋体" w:eastAsia="宋体" w:cs="宋体"/>
          <w:kern w:val="0"/>
          <w:szCs w:val="21"/>
          <w:lang w:eastAsia="zh-CN"/>
        </w:rPr>
        <w:t>）技术部分：见评审方法前附表；</w:t>
      </w:r>
    </w:p>
    <w:p w14:paraId="08188F95">
      <w:pPr>
        <w:autoSpaceDE w:val="0"/>
        <w:autoSpaceDN w:val="0"/>
        <w:adjustRightInd w:val="0"/>
        <w:spacing w:line="360" w:lineRule="auto"/>
        <w:ind w:firstLine="420" w:firstLineChars="200"/>
        <w:jc w:val="left"/>
        <w:rPr>
          <w:rFonts w:hint="eastAsia" w:ascii="宋体" w:hAnsi="宋体" w:eastAsia="宋体" w:cs="宋体"/>
          <w:kern w:val="0"/>
          <w:szCs w:val="21"/>
          <w:lang w:eastAsia="zh-CN"/>
        </w:rPr>
      </w:pP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3</w:t>
      </w: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综合</w:t>
      </w:r>
      <w:r>
        <w:rPr>
          <w:rFonts w:hint="eastAsia" w:ascii="宋体" w:hAnsi="宋体" w:eastAsia="宋体" w:cs="宋体"/>
          <w:kern w:val="0"/>
          <w:szCs w:val="21"/>
          <w:lang w:eastAsia="zh-CN"/>
        </w:rPr>
        <w:t>部分：见评审方法前附表；</w:t>
      </w:r>
    </w:p>
    <w:p w14:paraId="3D8A476D">
      <w:pPr>
        <w:autoSpaceDE w:val="0"/>
        <w:autoSpaceDN w:val="0"/>
        <w:adjustRightInd w:val="0"/>
        <w:spacing w:line="360" w:lineRule="auto"/>
        <w:jc w:val="left"/>
        <w:rPr>
          <w:rFonts w:hint="eastAsia"/>
          <w:kern w:val="0"/>
          <w:szCs w:val="21"/>
        </w:rPr>
      </w:pPr>
      <w:r>
        <w:rPr>
          <w:rFonts w:hint="eastAsia"/>
          <w:kern w:val="0"/>
          <w:szCs w:val="21"/>
        </w:rPr>
        <w:t>2.2.2 评</w:t>
      </w:r>
      <w:r>
        <w:rPr>
          <w:rFonts w:hint="eastAsia"/>
          <w:spacing w:val="-2"/>
          <w:kern w:val="0"/>
          <w:szCs w:val="21"/>
        </w:rPr>
        <w:t>分</w:t>
      </w:r>
      <w:r>
        <w:rPr>
          <w:rFonts w:hint="eastAsia"/>
          <w:kern w:val="0"/>
          <w:szCs w:val="21"/>
        </w:rPr>
        <w:t>标准</w:t>
      </w:r>
    </w:p>
    <w:p w14:paraId="1914044C">
      <w:pPr>
        <w:autoSpaceDE w:val="0"/>
        <w:autoSpaceDN w:val="0"/>
        <w:adjustRightInd w:val="0"/>
        <w:spacing w:line="360" w:lineRule="auto"/>
        <w:ind w:firstLine="420" w:firstLineChars="200"/>
        <w:jc w:val="left"/>
        <w:rPr>
          <w:rFonts w:hint="default" w:eastAsia="宋体"/>
          <w:kern w:val="0"/>
          <w:szCs w:val="21"/>
          <w:lang w:val="en-US" w:eastAsia="zh-CN"/>
        </w:rPr>
      </w:pPr>
      <w:bookmarkStart w:id="564" w:name="_Toc21732"/>
      <w:bookmarkStart w:id="565" w:name="_Toc16356"/>
      <w:bookmarkStart w:id="566" w:name="_Toc7546"/>
      <w:bookmarkStart w:id="567" w:name="_Toc4338"/>
      <w:bookmarkStart w:id="568" w:name="_Toc28724"/>
      <w:bookmarkStart w:id="569" w:name="_Toc11872"/>
      <w:bookmarkStart w:id="570" w:name="_Toc26726"/>
      <w:r>
        <w:rPr>
          <w:rFonts w:hint="eastAsia"/>
          <w:kern w:val="0"/>
          <w:szCs w:val="21"/>
          <w:lang w:eastAsia="zh-CN"/>
        </w:rPr>
        <w:t>（</w:t>
      </w:r>
      <w:r>
        <w:rPr>
          <w:rFonts w:hint="eastAsia"/>
          <w:kern w:val="0"/>
          <w:szCs w:val="21"/>
          <w:lang w:val="en-US" w:eastAsia="zh-CN"/>
        </w:rPr>
        <w:t>1）响应报价;</w:t>
      </w:r>
      <w:r>
        <w:rPr>
          <w:rFonts w:hint="eastAsia"/>
          <w:kern w:val="0"/>
          <w:szCs w:val="21"/>
        </w:rPr>
        <w:t>见评审方法前附表；</w:t>
      </w:r>
    </w:p>
    <w:p w14:paraId="76920687">
      <w:pPr>
        <w:autoSpaceDE w:val="0"/>
        <w:autoSpaceDN w:val="0"/>
        <w:adjustRightInd w:val="0"/>
        <w:spacing w:line="360" w:lineRule="auto"/>
        <w:ind w:firstLine="420" w:firstLineChars="200"/>
        <w:jc w:val="left"/>
        <w:rPr>
          <w:rFonts w:hint="eastAsia" w:ascii="宋体" w:hAnsi="宋体" w:eastAsia="宋体" w:cs="宋体"/>
          <w:kern w:val="0"/>
          <w:szCs w:val="21"/>
          <w:lang w:eastAsia="zh-CN"/>
        </w:rPr>
      </w:pP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2</w:t>
      </w:r>
      <w:r>
        <w:rPr>
          <w:rFonts w:hint="eastAsia" w:ascii="宋体" w:hAnsi="宋体" w:eastAsia="宋体" w:cs="宋体"/>
          <w:kern w:val="0"/>
          <w:szCs w:val="21"/>
          <w:lang w:eastAsia="zh-CN"/>
        </w:rPr>
        <w:t>）技术部分：见评审方法前附表；</w:t>
      </w:r>
    </w:p>
    <w:p w14:paraId="68D80B31">
      <w:pPr>
        <w:autoSpaceDE w:val="0"/>
        <w:autoSpaceDN w:val="0"/>
        <w:adjustRightInd w:val="0"/>
        <w:spacing w:line="360" w:lineRule="auto"/>
        <w:ind w:firstLine="420" w:firstLineChars="200"/>
        <w:jc w:val="left"/>
        <w:rPr>
          <w:rFonts w:hint="eastAsia"/>
          <w:kern w:val="0"/>
          <w:szCs w:val="21"/>
        </w:rPr>
      </w:pP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3</w:t>
      </w: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综合</w:t>
      </w:r>
      <w:r>
        <w:rPr>
          <w:rFonts w:hint="eastAsia" w:ascii="宋体" w:hAnsi="宋体" w:eastAsia="宋体" w:cs="宋体"/>
          <w:kern w:val="0"/>
          <w:szCs w:val="21"/>
          <w:lang w:eastAsia="zh-CN"/>
        </w:rPr>
        <w:t>部分：见评审方法前附表；</w:t>
      </w:r>
    </w:p>
    <w:p w14:paraId="726A0B91">
      <w:pPr>
        <w:pStyle w:val="4"/>
        <w:numPr>
          <w:ilvl w:val="0"/>
          <w:numId w:val="13"/>
        </w:numPr>
        <w:spacing w:before="0" w:after="0" w:line="360" w:lineRule="auto"/>
        <w:rPr>
          <w:rFonts w:hint="eastAsia" w:cs="宋体"/>
          <w:sz w:val="24"/>
          <w:szCs w:val="24"/>
          <w:lang w:val="en-US" w:eastAsia="zh-CN"/>
        </w:rPr>
      </w:pPr>
      <w:bookmarkStart w:id="571" w:name="_Toc26602"/>
      <w:bookmarkStart w:id="572" w:name="_Toc25276"/>
      <w:bookmarkStart w:id="573" w:name="_Toc21590"/>
      <w:bookmarkStart w:id="574" w:name="_Toc23675"/>
      <w:bookmarkStart w:id="575" w:name="_Toc8420"/>
      <w:r>
        <w:rPr>
          <w:rFonts w:hint="eastAsia" w:cs="宋体"/>
          <w:sz w:val="24"/>
          <w:szCs w:val="24"/>
          <w:lang w:val="en-US" w:eastAsia="zh-CN"/>
        </w:rPr>
        <w:t>评审程序</w:t>
      </w:r>
      <w:bookmarkEnd w:id="564"/>
      <w:bookmarkEnd w:id="565"/>
      <w:bookmarkEnd w:id="566"/>
      <w:bookmarkEnd w:id="567"/>
      <w:bookmarkEnd w:id="568"/>
      <w:bookmarkEnd w:id="569"/>
      <w:bookmarkEnd w:id="570"/>
      <w:bookmarkEnd w:id="571"/>
      <w:bookmarkEnd w:id="572"/>
      <w:bookmarkEnd w:id="573"/>
      <w:bookmarkEnd w:id="574"/>
      <w:bookmarkEnd w:id="575"/>
    </w:p>
    <w:p w14:paraId="3B8A95AF">
      <w:pPr>
        <w:pStyle w:val="4"/>
        <w:spacing w:before="0" w:after="0" w:line="360" w:lineRule="auto"/>
        <w:rPr>
          <w:rFonts w:hint="eastAsia" w:cs="宋体"/>
          <w:lang w:val="en-US" w:eastAsia="zh-CN"/>
        </w:rPr>
      </w:pPr>
      <w:bookmarkStart w:id="576" w:name="_Toc8073"/>
      <w:bookmarkStart w:id="577" w:name="_Toc1654"/>
      <w:bookmarkStart w:id="578" w:name="_Toc9443"/>
      <w:bookmarkStart w:id="579" w:name="_Toc4311"/>
      <w:bookmarkStart w:id="580" w:name="_Toc32083"/>
      <w:bookmarkStart w:id="581" w:name="_Toc26008"/>
      <w:bookmarkStart w:id="582" w:name="_Toc13317"/>
      <w:bookmarkStart w:id="583" w:name="_Toc5708"/>
      <w:bookmarkStart w:id="584" w:name="_Toc11546"/>
      <w:bookmarkStart w:id="585" w:name="_Toc26611"/>
      <w:bookmarkStart w:id="586" w:name="_Toc10682"/>
      <w:bookmarkStart w:id="587" w:name="_Toc15855"/>
      <w:r>
        <w:rPr>
          <w:rFonts w:hint="eastAsia" w:cs="宋体"/>
          <w:lang w:val="en-US" w:eastAsia="zh-CN"/>
        </w:rPr>
        <w:t>3.1 符合性审查</w:t>
      </w:r>
      <w:bookmarkEnd w:id="576"/>
      <w:bookmarkEnd w:id="577"/>
      <w:bookmarkEnd w:id="578"/>
      <w:bookmarkEnd w:id="579"/>
      <w:bookmarkEnd w:id="580"/>
      <w:bookmarkEnd w:id="581"/>
      <w:bookmarkEnd w:id="582"/>
      <w:bookmarkEnd w:id="583"/>
      <w:bookmarkEnd w:id="584"/>
      <w:bookmarkEnd w:id="585"/>
      <w:bookmarkEnd w:id="586"/>
      <w:bookmarkEnd w:id="587"/>
    </w:p>
    <w:p w14:paraId="654F5816">
      <w:pPr>
        <w:autoSpaceDE w:val="0"/>
        <w:autoSpaceDN w:val="0"/>
        <w:adjustRightInd w:val="0"/>
        <w:spacing w:line="360" w:lineRule="auto"/>
        <w:ind w:firstLine="420"/>
        <w:jc w:val="left"/>
        <w:rPr>
          <w:rFonts w:hint="eastAsia"/>
          <w:b w:val="0"/>
          <w:bCs w:val="0"/>
          <w:spacing w:val="-2"/>
          <w:kern w:val="0"/>
          <w:szCs w:val="21"/>
        </w:rPr>
      </w:pPr>
      <w:r>
        <w:rPr>
          <w:rFonts w:hint="eastAsia"/>
          <w:kern w:val="0"/>
          <w:szCs w:val="21"/>
        </w:rPr>
        <w:t>评审小组</w:t>
      </w:r>
      <w:r>
        <w:rPr>
          <w:rFonts w:hint="eastAsia"/>
          <w:spacing w:val="-2"/>
          <w:kern w:val="0"/>
          <w:szCs w:val="21"/>
        </w:rPr>
        <w:t>依</w:t>
      </w:r>
      <w:r>
        <w:rPr>
          <w:rFonts w:hint="eastAsia"/>
          <w:kern w:val="0"/>
          <w:szCs w:val="21"/>
        </w:rPr>
        <w:t>据本</w:t>
      </w:r>
      <w:r>
        <w:rPr>
          <w:rFonts w:hint="eastAsia"/>
          <w:spacing w:val="-2"/>
          <w:kern w:val="0"/>
          <w:szCs w:val="21"/>
        </w:rPr>
        <w:t>章</w:t>
      </w:r>
      <w:r>
        <w:rPr>
          <w:rFonts w:hint="eastAsia"/>
          <w:kern w:val="0"/>
          <w:szCs w:val="21"/>
        </w:rPr>
        <w:t>评审方法前附表</w:t>
      </w:r>
      <w:r>
        <w:rPr>
          <w:rFonts w:hint="eastAsia"/>
          <w:spacing w:val="-2"/>
          <w:kern w:val="0"/>
          <w:szCs w:val="21"/>
        </w:rPr>
        <w:t>规</w:t>
      </w:r>
      <w:r>
        <w:rPr>
          <w:rFonts w:hint="eastAsia"/>
          <w:kern w:val="0"/>
          <w:szCs w:val="21"/>
        </w:rPr>
        <w:t>定</w:t>
      </w:r>
      <w:r>
        <w:rPr>
          <w:rFonts w:hint="eastAsia"/>
          <w:spacing w:val="-2"/>
          <w:kern w:val="0"/>
          <w:szCs w:val="21"/>
        </w:rPr>
        <w:t>的标</w:t>
      </w:r>
      <w:r>
        <w:rPr>
          <w:rFonts w:hint="eastAsia"/>
          <w:kern w:val="0"/>
          <w:szCs w:val="21"/>
        </w:rPr>
        <w:t>准，对</w:t>
      </w:r>
      <w:r>
        <w:rPr>
          <w:rFonts w:hint="eastAsia"/>
          <w:spacing w:val="-2"/>
          <w:kern w:val="0"/>
          <w:szCs w:val="21"/>
        </w:rPr>
        <w:t>符合资格的供应商的响应文件进行符合性审查，以确定其是否满足征集文件的实质性要求</w:t>
      </w:r>
      <w:r>
        <w:rPr>
          <w:rFonts w:hint="eastAsia"/>
          <w:kern w:val="0"/>
          <w:szCs w:val="21"/>
        </w:rPr>
        <w:t>，</w:t>
      </w:r>
      <w:r>
        <w:rPr>
          <w:rFonts w:hint="eastAsia"/>
          <w:spacing w:val="-2"/>
          <w:kern w:val="0"/>
          <w:szCs w:val="21"/>
        </w:rPr>
        <w:t>有</w:t>
      </w:r>
      <w:r>
        <w:rPr>
          <w:rFonts w:hint="eastAsia"/>
          <w:kern w:val="0"/>
          <w:szCs w:val="21"/>
        </w:rPr>
        <w:t>一</w:t>
      </w:r>
      <w:r>
        <w:rPr>
          <w:rFonts w:hint="eastAsia"/>
          <w:spacing w:val="-2"/>
          <w:kern w:val="0"/>
          <w:szCs w:val="21"/>
        </w:rPr>
        <w:t>项</w:t>
      </w:r>
      <w:r>
        <w:rPr>
          <w:rFonts w:hint="eastAsia"/>
          <w:kern w:val="0"/>
          <w:szCs w:val="21"/>
        </w:rPr>
        <w:t>不</w:t>
      </w:r>
      <w:r>
        <w:rPr>
          <w:rFonts w:hint="eastAsia"/>
          <w:spacing w:val="-2"/>
          <w:kern w:val="0"/>
          <w:szCs w:val="21"/>
        </w:rPr>
        <w:t>符</w:t>
      </w:r>
      <w:r>
        <w:rPr>
          <w:rFonts w:hint="eastAsia"/>
          <w:kern w:val="0"/>
          <w:szCs w:val="21"/>
        </w:rPr>
        <w:t>合评审</w:t>
      </w:r>
      <w:r>
        <w:rPr>
          <w:rFonts w:hint="eastAsia"/>
          <w:spacing w:val="-2"/>
          <w:kern w:val="0"/>
          <w:szCs w:val="21"/>
        </w:rPr>
        <w:t>标</w:t>
      </w:r>
      <w:r>
        <w:rPr>
          <w:rFonts w:hint="eastAsia"/>
          <w:kern w:val="0"/>
          <w:szCs w:val="21"/>
        </w:rPr>
        <w:t>准</w:t>
      </w:r>
      <w:r>
        <w:rPr>
          <w:rFonts w:hint="eastAsia"/>
          <w:spacing w:val="-2"/>
          <w:kern w:val="0"/>
          <w:szCs w:val="21"/>
        </w:rPr>
        <w:t>的</w:t>
      </w:r>
      <w:r>
        <w:rPr>
          <w:rFonts w:hint="eastAsia"/>
          <w:kern w:val="0"/>
          <w:szCs w:val="21"/>
        </w:rPr>
        <w:t>，</w:t>
      </w:r>
      <w:r>
        <w:rPr>
          <w:rFonts w:hint="eastAsia"/>
          <w:spacing w:val="-2"/>
          <w:kern w:val="0"/>
          <w:szCs w:val="21"/>
        </w:rPr>
        <w:t>评审小组</w:t>
      </w:r>
      <w:r>
        <w:rPr>
          <w:rFonts w:hint="eastAsia"/>
          <w:kern w:val="0"/>
          <w:szCs w:val="21"/>
        </w:rPr>
        <w:t>应当</w:t>
      </w:r>
      <w:r>
        <w:rPr>
          <w:rFonts w:hint="eastAsia"/>
          <w:szCs w:val="21"/>
        </w:rPr>
        <w:t>认定其</w:t>
      </w:r>
      <w:r>
        <w:rPr>
          <w:rFonts w:hint="eastAsia"/>
          <w:b w:val="0"/>
          <w:bCs w:val="0"/>
          <w:szCs w:val="21"/>
        </w:rPr>
        <w:t>响应文件无效</w:t>
      </w:r>
      <w:r>
        <w:rPr>
          <w:rFonts w:hint="eastAsia"/>
          <w:b w:val="0"/>
          <w:bCs w:val="0"/>
          <w:spacing w:val="-2"/>
          <w:kern w:val="0"/>
          <w:szCs w:val="21"/>
        </w:rPr>
        <w:t>。</w:t>
      </w:r>
    </w:p>
    <w:p w14:paraId="0F19EF7E">
      <w:pPr>
        <w:pStyle w:val="4"/>
        <w:spacing w:before="0" w:after="0" w:line="360" w:lineRule="auto"/>
        <w:rPr>
          <w:rFonts w:hint="eastAsia" w:cs="宋体"/>
          <w:lang w:val="en-US" w:eastAsia="zh-CN"/>
        </w:rPr>
      </w:pPr>
      <w:bookmarkStart w:id="588" w:name="_Toc30428"/>
      <w:bookmarkStart w:id="589" w:name="_Toc14717"/>
      <w:bookmarkStart w:id="590" w:name="_Toc13336"/>
      <w:bookmarkStart w:id="591" w:name="_Toc12053"/>
      <w:bookmarkStart w:id="592" w:name="_Toc7702"/>
      <w:bookmarkStart w:id="593" w:name="_Toc18705"/>
      <w:bookmarkStart w:id="594" w:name="_Toc1221"/>
      <w:bookmarkStart w:id="595" w:name="_Toc4037"/>
      <w:bookmarkStart w:id="596" w:name="_Toc20721"/>
      <w:bookmarkStart w:id="597" w:name="_Toc26654"/>
      <w:bookmarkStart w:id="598" w:name="_Toc31993"/>
      <w:bookmarkStart w:id="599" w:name="_Toc10132"/>
      <w:r>
        <w:rPr>
          <w:rFonts w:hint="eastAsia" w:cs="宋体"/>
          <w:lang w:val="en-US" w:eastAsia="zh-CN"/>
        </w:rPr>
        <w:t>3.2 详细评审</w:t>
      </w:r>
      <w:bookmarkEnd w:id="588"/>
      <w:bookmarkEnd w:id="589"/>
      <w:bookmarkEnd w:id="590"/>
      <w:bookmarkEnd w:id="591"/>
      <w:bookmarkEnd w:id="592"/>
      <w:bookmarkEnd w:id="593"/>
      <w:bookmarkEnd w:id="594"/>
      <w:bookmarkEnd w:id="595"/>
      <w:bookmarkEnd w:id="596"/>
      <w:bookmarkEnd w:id="597"/>
      <w:bookmarkEnd w:id="598"/>
      <w:bookmarkEnd w:id="599"/>
    </w:p>
    <w:p w14:paraId="544A5548">
      <w:pPr>
        <w:autoSpaceDE w:val="0"/>
        <w:autoSpaceDN w:val="0"/>
        <w:adjustRightInd w:val="0"/>
        <w:spacing w:line="360" w:lineRule="auto"/>
        <w:ind w:firstLine="420" w:firstLineChars="200"/>
        <w:jc w:val="left"/>
        <w:rPr>
          <w:rFonts w:hint="eastAsia"/>
          <w:kern w:val="0"/>
          <w:szCs w:val="21"/>
        </w:rPr>
      </w:pPr>
      <w:r>
        <w:rPr>
          <w:rFonts w:hint="eastAsia"/>
          <w:kern w:val="0"/>
          <w:szCs w:val="21"/>
        </w:rPr>
        <w:t>3.2.1 评审小组</w:t>
      </w:r>
      <w:r>
        <w:rPr>
          <w:rFonts w:hint="eastAsia"/>
          <w:spacing w:val="-2"/>
          <w:kern w:val="0"/>
          <w:szCs w:val="21"/>
        </w:rPr>
        <w:t>按</w:t>
      </w:r>
      <w:r>
        <w:rPr>
          <w:rFonts w:hint="eastAsia"/>
          <w:kern w:val="0"/>
          <w:szCs w:val="21"/>
        </w:rPr>
        <w:t>本</w:t>
      </w:r>
      <w:r>
        <w:rPr>
          <w:rFonts w:hint="eastAsia"/>
          <w:spacing w:val="-2"/>
          <w:kern w:val="0"/>
          <w:szCs w:val="21"/>
        </w:rPr>
        <w:t>章</w:t>
      </w:r>
      <w:r>
        <w:rPr>
          <w:rFonts w:hint="eastAsia"/>
          <w:kern w:val="0"/>
          <w:szCs w:val="21"/>
        </w:rPr>
        <w:t>评审方法规</w:t>
      </w:r>
      <w:r>
        <w:rPr>
          <w:rFonts w:hint="eastAsia"/>
          <w:spacing w:val="-2"/>
          <w:kern w:val="0"/>
          <w:szCs w:val="21"/>
        </w:rPr>
        <w:t>定</w:t>
      </w:r>
      <w:r>
        <w:rPr>
          <w:rFonts w:hint="eastAsia"/>
          <w:kern w:val="0"/>
          <w:szCs w:val="21"/>
        </w:rPr>
        <w:t>的</w:t>
      </w:r>
      <w:r>
        <w:rPr>
          <w:rFonts w:hint="eastAsia"/>
          <w:spacing w:val="-2"/>
          <w:kern w:val="0"/>
          <w:szCs w:val="21"/>
        </w:rPr>
        <w:t>量</w:t>
      </w:r>
      <w:r>
        <w:rPr>
          <w:rFonts w:hint="eastAsia"/>
          <w:kern w:val="0"/>
          <w:szCs w:val="21"/>
        </w:rPr>
        <w:t>化</w:t>
      </w:r>
      <w:r>
        <w:rPr>
          <w:rFonts w:hint="eastAsia"/>
          <w:spacing w:val="-2"/>
          <w:kern w:val="0"/>
          <w:szCs w:val="21"/>
        </w:rPr>
        <w:t>因</w:t>
      </w:r>
      <w:r>
        <w:rPr>
          <w:rFonts w:hint="eastAsia"/>
          <w:kern w:val="0"/>
          <w:szCs w:val="21"/>
        </w:rPr>
        <w:t>素</w:t>
      </w:r>
      <w:r>
        <w:rPr>
          <w:rFonts w:hint="eastAsia"/>
          <w:spacing w:val="-2"/>
          <w:kern w:val="0"/>
          <w:szCs w:val="21"/>
        </w:rPr>
        <w:t>和</w:t>
      </w:r>
      <w:r>
        <w:rPr>
          <w:rFonts w:hint="eastAsia"/>
          <w:kern w:val="0"/>
          <w:szCs w:val="21"/>
        </w:rPr>
        <w:t>分值</w:t>
      </w:r>
      <w:r>
        <w:rPr>
          <w:rFonts w:hint="eastAsia"/>
          <w:spacing w:val="-2"/>
          <w:kern w:val="0"/>
          <w:szCs w:val="21"/>
        </w:rPr>
        <w:t>进</w:t>
      </w:r>
      <w:r>
        <w:rPr>
          <w:rFonts w:hint="eastAsia"/>
          <w:kern w:val="0"/>
          <w:szCs w:val="21"/>
        </w:rPr>
        <w:t>行</w:t>
      </w:r>
      <w:r>
        <w:rPr>
          <w:rFonts w:hint="eastAsia"/>
          <w:spacing w:val="-2"/>
          <w:kern w:val="0"/>
          <w:szCs w:val="21"/>
        </w:rPr>
        <w:t>打</w:t>
      </w:r>
      <w:r>
        <w:rPr>
          <w:rFonts w:hint="eastAsia"/>
          <w:kern w:val="0"/>
          <w:szCs w:val="21"/>
        </w:rPr>
        <w:t>分</w:t>
      </w:r>
      <w:r>
        <w:rPr>
          <w:rFonts w:hint="eastAsia"/>
          <w:spacing w:val="-108"/>
          <w:kern w:val="0"/>
          <w:szCs w:val="21"/>
        </w:rPr>
        <w:t>，</w:t>
      </w:r>
      <w:r>
        <w:rPr>
          <w:rFonts w:hint="eastAsia"/>
          <w:kern w:val="0"/>
          <w:szCs w:val="21"/>
        </w:rPr>
        <w:t>并</w:t>
      </w:r>
      <w:r>
        <w:rPr>
          <w:rFonts w:hint="eastAsia"/>
          <w:spacing w:val="-2"/>
          <w:kern w:val="0"/>
          <w:szCs w:val="21"/>
        </w:rPr>
        <w:t>计</w:t>
      </w:r>
      <w:r>
        <w:rPr>
          <w:rFonts w:hint="eastAsia"/>
          <w:kern w:val="0"/>
          <w:szCs w:val="21"/>
        </w:rPr>
        <w:t>算</w:t>
      </w:r>
      <w:r>
        <w:rPr>
          <w:rFonts w:hint="eastAsia"/>
          <w:spacing w:val="-2"/>
          <w:kern w:val="0"/>
          <w:szCs w:val="21"/>
        </w:rPr>
        <w:t>出综</w:t>
      </w:r>
      <w:r>
        <w:rPr>
          <w:rFonts w:hint="eastAsia"/>
          <w:kern w:val="0"/>
          <w:szCs w:val="21"/>
        </w:rPr>
        <w:t>合得</w:t>
      </w:r>
      <w:r>
        <w:rPr>
          <w:rFonts w:hint="eastAsia"/>
          <w:spacing w:val="-2"/>
          <w:kern w:val="0"/>
          <w:szCs w:val="21"/>
        </w:rPr>
        <w:t>分</w:t>
      </w:r>
      <w:r>
        <w:rPr>
          <w:rFonts w:hint="eastAsia"/>
          <w:kern w:val="0"/>
          <w:szCs w:val="21"/>
        </w:rPr>
        <w:t>。</w:t>
      </w:r>
    </w:p>
    <w:p w14:paraId="073D9FAD">
      <w:pPr>
        <w:numPr>
          <w:ilvl w:val="0"/>
          <w:numId w:val="0"/>
        </w:numPr>
        <w:autoSpaceDE w:val="0"/>
        <w:autoSpaceDN w:val="0"/>
        <w:adjustRightInd w:val="0"/>
        <w:spacing w:line="360" w:lineRule="auto"/>
        <w:ind w:leftChars="200"/>
        <w:jc w:val="left"/>
        <w:rPr>
          <w:rFonts w:hint="eastAsia" w:eastAsia="宋体"/>
          <w:kern w:val="0"/>
          <w:szCs w:val="21"/>
          <w:lang w:eastAsia="zh-CN"/>
        </w:rPr>
      </w:pPr>
      <w:r>
        <w:rPr>
          <w:rFonts w:hint="eastAsia"/>
          <w:kern w:val="0"/>
          <w:szCs w:val="21"/>
          <w:lang w:eastAsia="zh-CN"/>
        </w:rPr>
        <w:t>（</w:t>
      </w:r>
      <w:r>
        <w:rPr>
          <w:rFonts w:hint="eastAsia"/>
          <w:kern w:val="0"/>
          <w:szCs w:val="21"/>
          <w:lang w:val="en-US" w:eastAsia="zh-CN"/>
        </w:rPr>
        <w:t>1</w:t>
      </w:r>
      <w:r>
        <w:rPr>
          <w:rFonts w:hint="eastAsia"/>
          <w:kern w:val="0"/>
          <w:szCs w:val="21"/>
          <w:lang w:eastAsia="zh-CN"/>
        </w:rPr>
        <w:t>）</w:t>
      </w:r>
      <w:r>
        <w:rPr>
          <w:rFonts w:hint="eastAsia"/>
          <w:kern w:val="0"/>
          <w:szCs w:val="21"/>
        </w:rPr>
        <w:t>按本章第2.2.2（1）目规定的评审因素和分值对</w:t>
      </w:r>
      <w:r>
        <w:rPr>
          <w:rFonts w:hint="eastAsia"/>
          <w:kern w:val="0"/>
          <w:szCs w:val="21"/>
          <w:lang w:val="en-US" w:eastAsia="zh-CN"/>
        </w:rPr>
        <w:t>响应报价</w:t>
      </w:r>
      <w:r>
        <w:rPr>
          <w:rFonts w:hint="eastAsia"/>
          <w:kern w:val="0"/>
          <w:szCs w:val="21"/>
        </w:rPr>
        <w:t>计算出得分A；</w:t>
      </w:r>
    </w:p>
    <w:p w14:paraId="73BE4083">
      <w:pPr>
        <w:numPr>
          <w:ilvl w:val="0"/>
          <w:numId w:val="0"/>
        </w:numPr>
        <w:autoSpaceDE w:val="0"/>
        <w:autoSpaceDN w:val="0"/>
        <w:adjustRightInd w:val="0"/>
        <w:spacing w:line="360" w:lineRule="auto"/>
        <w:ind w:leftChars="200"/>
        <w:jc w:val="left"/>
        <w:rPr>
          <w:rFonts w:hint="eastAsia" w:ascii="宋体" w:hAnsi="宋体" w:eastAsia="宋体" w:cs="宋体"/>
          <w:kern w:val="0"/>
          <w:szCs w:val="21"/>
          <w:lang w:eastAsia="zh-CN"/>
        </w:rPr>
      </w:pPr>
      <w:r>
        <w:rPr>
          <w:rFonts w:hint="eastAsia"/>
          <w:kern w:val="0"/>
          <w:szCs w:val="21"/>
          <w:lang w:eastAsia="zh-CN"/>
        </w:rPr>
        <w:t>（</w:t>
      </w:r>
      <w:r>
        <w:rPr>
          <w:rFonts w:hint="eastAsia"/>
          <w:kern w:val="0"/>
          <w:szCs w:val="21"/>
          <w:lang w:val="en-US" w:eastAsia="zh-CN"/>
        </w:rPr>
        <w:t>2</w:t>
      </w:r>
      <w:r>
        <w:rPr>
          <w:rFonts w:hint="eastAsia"/>
          <w:kern w:val="0"/>
          <w:szCs w:val="21"/>
          <w:lang w:eastAsia="zh-CN"/>
        </w:rPr>
        <w:t>）</w:t>
      </w:r>
      <w:r>
        <w:rPr>
          <w:rFonts w:hint="eastAsia" w:ascii="宋体" w:hAnsi="宋体" w:eastAsia="宋体" w:cs="宋体"/>
          <w:kern w:val="0"/>
          <w:szCs w:val="21"/>
          <w:lang w:eastAsia="zh-CN"/>
        </w:rPr>
        <w:t>按本章第2.2.2（</w:t>
      </w:r>
      <w:r>
        <w:rPr>
          <w:rFonts w:hint="eastAsia" w:cs="宋体"/>
          <w:kern w:val="0"/>
          <w:szCs w:val="21"/>
          <w:lang w:val="en-US" w:eastAsia="zh-CN"/>
        </w:rPr>
        <w:t>2</w:t>
      </w:r>
      <w:r>
        <w:rPr>
          <w:rFonts w:hint="eastAsia" w:ascii="宋体" w:hAnsi="宋体" w:eastAsia="宋体" w:cs="宋体"/>
          <w:kern w:val="0"/>
          <w:szCs w:val="21"/>
          <w:lang w:eastAsia="zh-CN"/>
        </w:rPr>
        <w:t>）目规定的评审因素和分值对技术部分计算出得分</w:t>
      </w:r>
      <w:r>
        <w:rPr>
          <w:rFonts w:hint="eastAsia" w:ascii="宋体" w:hAnsi="宋体" w:eastAsia="宋体" w:cs="宋体"/>
          <w:kern w:val="0"/>
          <w:szCs w:val="21"/>
          <w:lang w:val="en-US" w:eastAsia="zh-CN"/>
        </w:rPr>
        <w:t>B</w:t>
      </w:r>
      <w:r>
        <w:rPr>
          <w:rFonts w:hint="eastAsia" w:ascii="宋体" w:hAnsi="宋体" w:eastAsia="宋体" w:cs="宋体"/>
          <w:kern w:val="0"/>
          <w:szCs w:val="21"/>
          <w:lang w:eastAsia="zh-CN"/>
        </w:rPr>
        <w:t>；</w:t>
      </w:r>
    </w:p>
    <w:p w14:paraId="5B66761D">
      <w:pPr>
        <w:numPr>
          <w:ilvl w:val="0"/>
          <w:numId w:val="0"/>
        </w:numPr>
        <w:autoSpaceDE w:val="0"/>
        <w:autoSpaceDN w:val="0"/>
        <w:adjustRightInd w:val="0"/>
        <w:spacing w:line="360" w:lineRule="auto"/>
        <w:ind w:leftChars="200"/>
        <w:jc w:val="left"/>
        <w:rPr>
          <w:rFonts w:hint="default" w:ascii="宋体" w:hAnsi="宋体" w:eastAsia="宋体" w:cs="宋体"/>
          <w:kern w:val="0"/>
          <w:szCs w:val="21"/>
          <w:lang w:val="en-US" w:eastAsia="zh-CN"/>
        </w:rPr>
      </w:pPr>
      <w:r>
        <w:rPr>
          <w:rFonts w:hint="eastAsia"/>
          <w:kern w:val="0"/>
          <w:szCs w:val="21"/>
          <w:lang w:eastAsia="zh-CN"/>
        </w:rPr>
        <w:t>（</w:t>
      </w:r>
      <w:r>
        <w:rPr>
          <w:rFonts w:hint="eastAsia"/>
          <w:kern w:val="0"/>
          <w:szCs w:val="21"/>
          <w:lang w:val="en-US" w:eastAsia="zh-CN"/>
        </w:rPr>
        <w:t>3</w:t>
      </w:r>
      <w:r>
        <w:rPr>
          <w:rFonts w:hint="eastAsia"/>
          <w:kern w:val="0"/>
          <w:szCs w:val="21"/>
          <w:lang w:eastAsia="zh-CN"/>
        </w:rPr>
        <w:t>）</w:t>
      </w:r>
      <w:r>
        <w:rPr>
          <w:rFonts w:hint="eastAsia" w:ascii="宋体" w:hAnsi="宋体" w:eastAsia="宋体" w:cs="宋体"/>
          <w:kern w:val="0"/>
          <w:szCs w:val="21"/>
          <w:lang w:eastAsia="zh-CN"/>
        </w:rPr>
        <w:t>按本章第2.2.2（</w:t>
      </w:r>
      <w:r>
        <w:rPr>
          <w:rFonts w:hint="eastAsia" w:cs="宋体"/>
          <w:kern w:val="0"/>
          <w:szCs w:val="21"/>
          <w:lang w:val="en-US" w:eastAsia="zh-CN"/>
        </w:rPr>
        <w:t>3</w:t>
      </w:r>
      <w:r>
        <w:rPr>
          <w:rFonts w:hint="eastAsia" w:ascii="宋体" w:hAnsi="宋体" w:eastAsia="宋体" w:cs="宋体"/>
          <w:kern w:val="0"/>
          <w:szCs w:val="21"/>
          <w:lang w:eastAsia="zh-CN"/>
        </w:rPr>
        <w:t>）目规定的评审因素和分值对</w:t>
      </w:r>
      <w:r>
        <w:rPr>
          <w:rFonts w:hint="eastAsia" w:ascii="宋体" w:hAnsi="宋体" w:eastAsia="宋体" w:cs="宋体"/>
          <w:kern w:val="0"/>
          <w:szCs w:val="21"/>
          <w:lang w:val="en-US" w:eastAsia="zh-CN"/>
        </w:rPr>
        <w:t>综合</w:t>
      </w:r>
      <w:r>
        <w:rPr>
          <w:rFonts w:hint="eastAsia" w:ascii="宋体" w:hAnsi="宋体" w:eastAsia="宋体" w:cs="宋体"/>
          <w:kern w:val="0"/>
          <w:szCs w:val="21"/>
          <w:lang w:eastAsia="zh-CN"/>
        </w:rPr>
        <w:t>部分计算出得分</w:t>
      </w:r>
      <w:r>
        <w:rPr>
          <w:rFonts w:hint="eastAsia" w:ascii="宋体" w:hAnsi="宋体" w:eastAsia="宋体" w:cs="宋体"/>
          <w:kern w:val="0"/>
          <w:szCs w:val="21"/>
          <w:lang w:val="en-US" w:eastAsia="zh-CN"/>
        </w:rPr>
        <w:t>C;</w:t>
      </w:r>
    </w:p>
    <w:p w14:paraId="41DB1AC0">
      <w:pPr>
        <w:autoSpaceDE w:val="0"/>
        <w:autoSpaceDN w:val="0"/>
        <w:adjustRightInd w:val="0"/>
        <w:spacing w:line="360" w:lineRule="auto"/>
        <w:ind w:firstLine="420" w:firstLineChars="200"/>
        <w:jc w:val="left"/>
        <w:rPr>
          <w:rFonts w:hint="eastAsia"/>
          <w:kern w:val="0"/>
          <w:szCs w:val="21"/>
        </w:rPr>
      </w:pPr>
      <w:r>
        <w:rPr>
          <w:rFonts w:hint="eastAsia"/>
          <w:kern w:val="0"/>
          <w:szCs w:val="21"/>
        </w:rPr>
        <w:t>3.2.2 评分分值计算保留小数点后两位，小数点后第三位“四舍五入”。</w:t>
      </w:r>
    </w:p>
    <w:p w14:paraId="70BA100F">
      <w:pPr>
        <w:autoSpaceDE w:val="0"/>
        <w:autoSpaceDN w:val="0"/>
        <w:adjustRightInd w:val="0"/>
        <w:spacing w:line="360" w:lineRule="auto"/>
        <w:ind w:firstLine="420" w:firstLineChars="200"/>
        <w:jc w:val="left"/>
        <w:rPr>
          <w:rFonts w:hint="eastAsia"/>
          <w:kern w:val="0"/>
          <w:szCs w:val="21"/>
          <w:lang w:eastAsia="zh-CN"/>
        </w:rPr>
      </w:pPr>
      <w:r>
        <w:rPr>
          <w:rFonts w:hint="eastAsia"/>
          <w:kern w:val="0"/>
          <w:szCs w:val="21"/>
        </w:rPr>
        <w:t>3.2.3 供应商得分＝A+B+C。</w:t>
      </w:r>
    </w:p>
    <w:p w14:paraId="002A6CB7">
      <w:pPr>
        <w:pStyle w:val="4"/>
        <w:spacing w:before="0" w:after="0" w:line="360" w:lineRule="auto"/>
        <w:rPr>
          <w:rFonts w:hint="eastAsia" w:cs="宋体"/>
          <w:lang w:val="en-US" w:eastAsia="zh-CN"/>
        </w:rPr>
      </w:pPr>
      <w:bookmarkStart w:id="600" w:name="_Toc3683"/>
      <w:bookmarkStart w:id="601" w:name="_Toc7845"/>
      <w:bookmarkStart w:id="602" w:name="_Toc11722"/>
      <w:bookmarkStart w:id="603" w:name="_Toc25328"/>
      <w:bookmarkStart w:id="604" w:name="_Toc5640"/>
      <w:bookmarkStart w:id="605" w:name="_Toc15098"/>
      <w:bookmarkStart w:id="606" w:name="_Toc32466"/>
      <w:bookmarkStart w:id="607" w:name="_Toc5864"/>
      <w:bookmarkStart w:id="608" w:name="_Toc13854"/>
      <w:bookmarkStart w:id="609" w:name="_Toc18083"/>
      <w:bookmarkStart w:id="610" w:name="_Toc22546"/>
      <w:bookmarkStart w:id="611" w:name="_Toc11785"/>
      <w:r>
        <w:rPr>
          <w:rFonts w:hint="eastAsia" w:cs="宋体"/>
          <w:lang w:val="en-US" w:eastAsia="zh-CN"/>
        </w:rPr>
        <w:t>3.3 响应文件的澄清</w:t>
      </w:r>
      <w:bookmarkEnd w:id="600"/>
      <w:bookmarkEnd w:id="601"/>
      <w:bookmarkEnd w:id="602"/>
      <w:bookmarkEnd w:id="603"/>
      <w:bookmarkEnd w:id="604"/>
      <w:bookmarkEnd w:id="605"/>
      <w:bookmarkEnd w:id="606"/>
      <w:bookmarkEnd w:id="607"/>
      <w:bookmarkEnd w:id="608"/>
      <w:bookmarkEnd w:id="609"/>
      <w:bookmarkEnd w:id="610"/>
      <w:bookmarkEnd w:id="611"/>
    </w:p>
    <w:p w14:paraId="78441F0C">
      <w:pPr>
        <w:autoSpaceDE w:val="0"/>
        <w:autoSpaceDN w:val="0"/>
        <w:adjustRightInd w:val="0"/>
        <w:spacing w:line="360" w:lineRule="auto"/>
        <w:ind w:firstLine="420"/>
        <w:rPr>
          <w:rFonts w:hint="eastAsia"/>
          <w:kern w:val="0"/>
          <w:szCs w:val="21"/>
        </w:rPr>
      </w:pPr>
      <w:r>
        <w:rPr>
          <w:rFonts w:hint="eastAsia"/>
          <w:kern w:val="0"/>
          <w:szCs w:val="21"/>
        </w:rPr>
        <w:t>3.3.1在</w:t>
      </w:r>
      <w:r>
        <w:rPr>
          <w:rFonts w:hint="eastAsia"/>
          <w:spacing w:val="-2"/>
          <w:kern w:val="0"/>
          <w:szCs w:val="21"/>
        </w:rPr>
        <w:t>评审过</w:t>
      </w:r>
      <w:r>
        <w:rPr>
          <w:rFonts w:hint="eastAsia"/>
          <w:kern w:val="0"/>
          <w:szCs w:val="21"/>
        </w:rPr>
        <w:t>程中</w:t>
      </w:r>
      <w:r>
        <w:rPr>
          <w:rFonts w:hint="eastAsia"/>
          <w:spacing w:val="-41"/>
          <w:kern w:val="0"/>
          <w:szCs w:val="21"/>
        </w:rPr>
        <w:t>，</w:t>
      </w:r>
      <w:r>
        <w:rPr>
          <w:rFonts w:hint="eastAsia"/>
          <w:kern w:val="0"/>
          <w:szCs w:val="21"/>
        </w:rPr>
        <w:t>评审小组可</w:t>
      </w:r>
      <w:r>
        <w:rPr>
          <w:rFonts w:hint="eastAsia"/>
          <w:spacing w:val="-2"/>
          <w:kern w:val="0"/>
          <w:szCs w:val="21"/>
        </w:rPr>
        <w:t>以</w:t>
      </w:r>
      <w:r>
        <w:rPr>
          <w:rFonts w:hint="eastAsia"/>
          <w:kern w:val="0"/>
          <w:szCs w:val="21"/>
        </w:rPr>
        <w:t>书</w:t>
      </w:r>
      <w:r>
        <w:rPr>
          <w:rFonts w:hint="eastAsia"/>
          <w:spacing w:val="-2"/>
          <w:kern w:val="0"/>
          <w:szCs w:val="21"/>
        </w:rPr>
        <w:t>面</w:t>
      </w:r>
      <w:r>
        <w:rPr>
          <w:rFonts w:hint="eastAsia"/>
          <w:kern w:val="0"/>
          <w:szCs w:val="21"/>
        </w:rPr>
        <w:t>形</w:t>
      </w:r>
      <w:r>
        <w:rPr>
          <w:rFonts w:hint="eastAsia"/>
          <w:spacing w:val="-2"/>
          <w:kern w:val="0"/>
          <w:szCs w:val="21"/>
        </w:rPr>
        <w:t>式</w:t>
      </w:r>
      <w:r>
        <w:rPr>
          <w:rFonts w:hint="eastAsia"/>
          <w:kern w:val="0"/>
          <w:szCs w:val="21"/>
        </w:rPr>
        <w:t>要</w:t>
      </w:r>
      <w:r>
        <w:rPr>
          <w:rFonts w:hint="eastAsia"/>
          <w:spacing w:val="-2"/>
          <w:kern w:val="0"/>
          <w:szCs w:val="21"/>
        </w:rPr>
        <w:t>求</w:t>
      </w:r>
      <w:r>
        <w:rPr>
          <w:rFonts w:hint="eastAsia"/>
          <w:kern w:val="0"/>
          <w:szCs w:val="21"/>
        </w:rPr>
        <w:t>供应商对</w:t>
      </w:r>
      <w:r>
        <w:rPr>
          <w:rFonts w:hint="eastAsia"/>
          <w:spacing w:val="-2"/>
          <w:kern w:val="0"/>
          <w:szCs w:val="21"/>
        </w:rPr>
        <w:t>响应文件中</w:t>
      </w:r>
      <w:r>
        <w:rPr>
          <w:rFonts w:hint="eastAsia"/>
          <w:kern w:val="0"/>
          <w:szCs w:val="21"/>
        </w:rPr>
        <w:t>含</w:t>
      </w:r>
      <w:r>
        <w:rPr>
          <w:rFonts w:hint="eastAsia"/>
          <w:spacing w:val="-2"/>
          <w:kern w:val="0"/>
          <w:szCs w:val="21"/>
        </w:rPr>
        <w:t>义</w:t>
      </w:r>
      <w:r>
        <w:rPr>
          <w:rFonts w:hint="eastAsia"/>
          <w:kern w:val="0"/>
          <w:szCs w:val="21"/>
        </w:rPr>
        <w:t>不明</w:t>
      </w:r>
      <w:r>
        <w:rPr>
          <w:rFonts w:hint="eastAsia"/>
          <w:spacing w:val="-2"/>
          <w:kern w:val="0"/>
          <w:szCs w:val="21"/>
        </w:rPr>
        <w:t>确</w:t>
      </w:r>
      <w:r>
        <w:rPr>
          <w:rFonts w:hint="eastAsia"/>
          <w:spacing w:val="-38"/>
          <w:kern w:val="0"/>
          <w:szCs w:val="21"/>
        </w:rPr>
        <w:t>、</w:t>
      </w:r>
      <w:r>
        <w:rPr>
          <w:rFonts w:hint="eastAsia"/>
          <w:spacing w:val="-2"/>
          <w:kern w:val="0"/>
          <w:szCs w:val="21"/>
        </w:rPr>
        <w:t>对</w:t>
      </w:r>
      <w:r>
        <w:rPr>
          <w:rFonts w:hint="eastAsia"/>
          <w:kern w:val="0"/>
          <w:szCs w:val="21"/>
        </w:rPr>
        <w:t>同类问题表述不一</w:t>
      </w:r>
      <w:r>
        <w:rPr>
          <w:rFonts w:hint="eastAsia"/>
          <w:spacing w:val="-2"/>
          <w:kern w:val="0"/>
          <w:szCs w:val="21"/>
        </w:rPr>
        <w:t>致</w:t>
      </w:r>
      <w:r>
        <w:rPr>
          <w:rFonts w:hint="eastAsia"/>
          <w:kern w:val="0"/>
          <w:szCs w:val="21"/>
        </w:rPr>
        <w:t>或者</w:t>
      </w:r>
      <w:r>
        <w:rPr>
          <w:rFonts w:hint="eastAsia"/>
          <w:spacing w:val="-2"/>
          <w:kern w:val="0"/>
          <w:szCs w:val="21"/>
        </w:rPr>
        <w:t>有</w:t>
      </w:r>
      <w:r>
        <w:rPr>
          <w:rFonts w:hint="eastAsia"/>
          <w:kern w:val="0"/>
          <w:szCs w:val="21"/>
        </w:rPr>
        <w:t>明显文字和计算</w:t>
      </w:r>
      <w:r>
        <w:rPr>
          <w:rFonts w:hint="eastAsia"/>
          <w:spacing w:val="-2"/>
          <w:kern w:val="0"/>
          <w:szCs w:val="21"/>
        </w:rPr>
        <w:t>错</w:t>
      </w:r>
      <w:r>
        <w:rPr>
          <w:rFonts w:hint="eastAsia"/>
          <w:kern w:val="0"/>
          <w:szCs w:val="21"/>
        </w:rPr>
        <w:t>误的</w:t>
      </w:r>
      <w:r>
        <w:rPr>
          <w:rFonts w:hint="eastAsia"/>
          <w:spacing w:val="-2"/>
          <w:kern w:val="0"/>
          <w:szCs w:val="21"/>
        </w:rPr>
        <w:t>内</w:t>
      </w:r>
      <w:r>
        <w:rPr>
          <w:rFonts w:hint="eastAsia"/>
          <w:kern w:val="0"/>
          <w:szCs w:val="21"/>
        </w:rPr>
        <w:t>容作必要的澄</w:t>
      </w:r>
      <w:r>
        <w:rPr>
          <w:rFonts w:hint="eastAsia"/>
          <w:spacing w:val="1"/>
          <w:kern w:val="0"/>
          <w:szCs w:val="21"/>
        </w:rPr>
        <w:t>清</w:t>
      </w:r>
      <w:r>
        <w:rPr>
          <w:rFonts w:hint="eastAsia"/>
          <w:spacing w:val="-2"/>
          <w:kern w:val="0"/>
          <w:szCs w:val="21"/>
        </w:rPr>
        <w:t>、</w:t>
      </w:r>
      <w:r>
        <w:rPr>
          <w:rFonts w:hint="eastAsia"/>
          <w:kern w:val="0"/>
          <w:szCs w:val="21"/>
        </w:rPr>
        <w:t>说明</w:t>
      </w:r>
      <w:r>
        <w:rPr>
          <w:rFonts w:hint="eastAsia"/>
          <w:spacing w:val="-2"/>
          <w:kern w:val="0"/>
          <w:szCs w:val="21"/>
        </w:rPr>
        <w:t>或</w:t>
      </w:r>
      <w:r>
        <w:rPr>
          <w:rFonts w:hint="eastAsia"/>
          <w:kern w:val="0"/>
          <w:szCs w:val="21"/>
        </w:rPr>
        <w:t>补正。澄</w:t>
      </w:r>
      <w:r>
        <w:rPr>
          <w:rFonts w:hint="eastAsia"/>
          <w:spacing w:val="1"/>
          <w:kern w:val="0"/>
          <w:szCs w:val="21"/>
        </w:rPr>
        <w:t>清</w:t>
      </w:r>
      <w:r>
        <w:rPr>
          <w:rFonts w:hint="eastAsia"/>
          <w:kern w:val="0"/>
          <w:szCs w:val="21"/>
        </w:rPr>
        <w:t>、</w:t>
      </w:r>
      <w:r>
        <w:rPr>
          <w:rFonts w:hint="eastAsia"/>
          <w:spacing w:val="-2"/>
          <w:kern w:val="0"/>
          <w:szCs w:val="21"/>
        </w:rPr>
        <w:t>说</w:t>
      </w:r>
      <w:r>
        <w:rPr>
          <w:rFonts w:hint="eastAsia"/>
          <w:kern w:val="0"/>
          <w:szCs w:val="21"/>
        </w:rPr>
        <w:t>明或补</w:t>
      </w:r>
      <w:r>
        <w:rPr>
          <w:rFonts w:hint="eastAsia"/>
          <w:spacing w:val="-2"/>
          <w:kern w:val="0"/>
          <w:szCs w:val="21"/>
        </w:rPr>
        <w:t>正</w:t>
      </w:r>
      <w:r>
        <w:rPr>
          <w:rFonts w:hint="eastAsia"/>
          <w:kern w:val="0"/>
          <w:szCs w:val="21"/>
        </w:rPr>
        <w:t>应</w:t>
      </w:r>
      <w:r>
        <w:rPr>
          <w:rFonts w:hint="eastAsia"/>
          <w:spacing w:val="-2"/>
          <w:kern w:val="0"/>
          <w:szCs w:val="21"/>
        </w:rPr>
        <w:t>以</w:t>
      </w:r>
      <w:r>
        <w:rPr>
          <w:rFonts w:hint="eastAsia"/>
          <w:kern w:val="0"/>
          <w:szCs w:val="21"/>
        </w:rPr>
        <w:t>书</w:t>
      </w:r>
      <w:r>
        <w:rPr>
          <w:rFonts w:hint="eastAsia"/>
          <w:spacing w:val="-2"/>
          <w:kern w:val="0"/>
          <w:szCs w:val="21"/>
        </w:rPr>
        <w:t>面</w:t>
      </w:r>
      <w:r>
        <w:rPr>
          <w:rFonts w:hint="eastAsia"/>
          <w:kern w:val="0"/>
          <w:szCs w:val="21"/>
        </w:rPr>
        <w:t>方</w:t>
      </w:r>
      <w:r>
        <w:rPr>
          <w:rFonts w:hint="eastAsia"/>
          <w:spacing w:val="-2"/>
          <w:kern w:val="0"/>
          <w:szCs w:val="21"/>
        </w:rPr>
        <w:t>式</w:t>
      </w:r>
      <w:r>
        <w:rPr>
          <w:rFonts w:hint="eastAsia"/>
          <w:kern w:val="0"/>
          <w:szCs w:val="21"/>
        </w:rPr>
        <w:t>进</w:t>
      </w:r>
      <w:r>
        <w:rPr>
          <w:rFonts w:hint="eastAsia"/>
          <w:spacing w:val="-2"/>
          <w:kern w:val="0"/>
          <w:szCs w:val="21"/>
        </w:rPr>
        <w:t>行</w:t>
      </w:r>
      <w:r>
        <w:rPr>
          <w:rFonts w:hint="eastAsia"/>
          <w:szCs w:val="21"/>
        </w:rPr>
        <w:t>，并加盖公章，或者由法定代表人或其授权的代表签字</w:t>
      </w:r>
      <w:r>
        <w:rPr>
          <w:rFonts w:hint="eastAsia"/>
          <w:kern w:val="0"/>
          <w:szCs w:val="21"/>
        </w:rPr>
        <w:t>。评审小组</w:t>
      </w:r>
      <w:r>
        <w:rPr>
          <w:rFonts w:hint="eastAsia"/>
          <w:spacing w:val="-2"/>
          <w:kern w:val="0"/>
          <w:szCs w:val="21"/>
        </w:rPr>
        <w:t>不</w:t>
      </w:r>
      <w:r>
        <w:rPr>
          <w:rFonts w:hint="eastAsia"/>
          <w:kern w:val="0"/>
          <w:szCs w:val="21"/>
        </w:rPr>
        <w:t>接</w:t>
      </w:r>
      <w:r>
        <w:rPr>
          <w:rFonts w:hint="eastAsia"/>
          <w:spacing w:val="-2"/>
          <w:kern w:val="0"/>
          <w:szCs w:val="21"/>
        </w:rPr>
        <w:t>受</w:t>
      </w:r>
      <w:r>
        <w:rPr>
          <w:rFonts w:hint="eastAsia"/>
          <w:kern w:val="0"/>
          <w:szCs w:val="21"/>
        </w:rPr>
        <w:t>供应商主</w:t>
      </w:r>
      <w:r>
        <w:rPr>
          <w:rFonts w:hint="eastAsia"/>
          <w:spacing w:val="-2"/>
          <w:kern w:val="0"/>
          <w:szCs w:val="21"/>
        </w:rPr>
        <w:t>动</w:t>
      </w:r>
      <w:r>
        <w:rPr>
          <w:rFonts w:hint="eastAsia"/>
          <w:kern w:val="0"/>
          <w:szCs w:val="21"/>
        </w:rPr>
        <w:t>提</w:t>
      </w:r>
      <w:r>
        <w:rPr>
          <w:rFonts w:hint="eastAsia"/>
          <w:spacing w:val="-2"/>
          <w:kern w:val="0"/>
          <w:szCs w:val="21"/>
        </w:rPr>
        <w:t>出</w:t>
      </w:r>
      <w:r>
        <w:rPr>
          <w:rFonts w:hint="eastAsia"/>
          <w:kern w:val="0"/>
          <w:szCs w:val="21"/>
        </w:rPr>
        <w:t>的</w:t>
      </w:r>
      <w:r>
        <w:rPr>
          <w:rFonts w:hint="eastAsia"/>
          <w:spacing w:val="-2"/>
          <w:kern w:val="0"/>
          <w:szCs w:val="21"/>
        </w:rPr>
        <w:t>澄</w:t>
      </w:r>
      <w:r>
        <w:rPr>
          <w:rFonts w:hint="eastAsia"/>
          <w:kern w:val="0"/>
          <w:szCs w:val="21"/>
        </w:rPr>
        <w:t>清</w:t>
      </w:r>
      <w:r>
        <w:rPr>
          <w:rFonts w:hint="eastAsia"/>
          <w:spacing w:val="-2"/>
          <w:kern w:val="0"/>
          <w:szCs w:val="21"/>
        </w:rPr>
        <w:t>、</w:t>
      </w:r>
      <w:r>
        <w:rPr>
          <w:rFonts w:hint="eastAsia"/>
          <w:kern w:val="0"/>
          <w:szCs w:val="21"/>
        </w:rPr>
        <w:t>说</w:t>
      </w:r>
      <w:r>
        <w:rPr>
          <w:rFonts w:hint="eastAsia"/>
          <w:spacing w:val="-2"/>
          <w:kern w:val="0"/>
          <w:szCs w:val="21"/>
        </w:rPr>
        <w:t>明</w:t>
      </w:r>
      <w:r>
        <w:rPr>
          <w:rFonts w:hint="eastAsia"/>
          <w:kern w:val="0"/>
          <w:szCs w:val="21"/>
        </w:rPr>
        <w:t>或补</w:t>
      </w:r>
      <w:r>
        <w:rPr>
          <w:rFonts w:hint="eastAsia"/>
          <w:spacing w:val="-2"/>
          <w:kern w:val="0"/>
          <w:szCs w:val="21"/>
        </w:rPr>
        <w:t>正</w:t>
      </w:r>
      <w:r>
        <w:rPr>
          <w:rFonts w:hint="eastAsia"/>
          <w:kern w:val="0"/>
          <w:szCs w:val="21"/>
        </w:rPr>
        <w:t>。</w:t>
      </w:r>
    </w:p>
    <w:p w14:paraId="157B0137">
      <w:pPr>
        <w:autoSpaceDE w:val="0"/>
        <w:autoSpaceDN w:val="0"/>
        <w:adjustRightInd w:val="0"/>
        <w:spacing w:line="360" w:lineRule="auto"/>
        <w:ind w:firstLine="420"/>
        <w:rPr>
          <w:rFonts w:hint="eastAsia"/>
          <w:kern w:val="0"/>
          <w:szCs w:val="21"/>
        </w:rPr>
      </w:pPr>
      <w:r>
        <w:rPr>
          <w:rFonts w:hint="eastAsia"/>
          <w:kern w:val="0"/>
          <w:szCs w:val="21"/>
        </w:rPr>
        <w:t>3.3.2 澄清</w:t>
      </w:r>
      <w:r>
        <w:rPr>
          <w:rFonts w:hint="eastAsia"/>
          <w:spacing w:val="-41"/>
          <w:kern w:val="0"/>
          <w:szCs w:val="21"/>
        </w:rPr>
        <w:t>、</w:t>
      </w:r>
      <w:r>
        <w:rPr>
          <w:rFonts w:hint="eastAsia"/>
          <w:kern w:val="0"/>
          <w:szCs w:val="21"/>
        </w:rPr>
        <w:t>说</w:t>
      </w:r>
      <w:r>
        <w:rPr>
          <w:rFonts w:hint="eastAsia"/>
          <w:spacing w:val="-2"/>
          <w:kern w:val="0"/>
          <w:szCs w:val="21"/>
        </w:rPr>
        <w:t>明</w:t>
      </w:r>
      <w:r>
        <w:rPr>
          <w:rFonts w:hint="eastAsia"/>
          <w:kern w:val="0"/>
          <w:szCs w:val="21"/>
        </w:rPr>
        <w:t>或</w:t>
      </w:r>
      <w:r>
        <w:rPr>
          <w:rFonts w:hint="eastAsia"/>
          <w:spacing w:val="-2"/>
          <w:kern w:val="0"/>
          <w:szCs w:val="21"/>
        </w:rPr>
        <w:t>补</w:t>
      </w:r>
      <w:r>
        <w:rPr>
          <w:rFonts w:hint="eastAsia"/>
          <w:kern w:val="0"/>
          <w:szCs w:val="21"/>
        </w:rPr>
        <w:t>正</w:t>
      </w:r>
      <w:r>
        <w:rPr>
          <w:rFonts w:hint="eastAsia"/>
          <w:spacing w:val="-2"/>
          <w:kern w:val="0"/>
          <w:szCs w:val="21"/>
        </w:rPr>
        <w:t>不</w:t>
      </w:r>
      <w:r>
        <w:rPr>
          <w:rFonts w:hint="eastAsia"/>
          <w:kern w:val="0"/>
          <w:szCs w:val="21"/>
        </w:rPr>
        <w:t>得超</w:t>
      </w:r>
      <w:r>
        <w:rPr>
          <w:rFonts w:hint="eastAsia"/>
          <w:spacing w:val="-2"/>
          <w:kern w:val="0"/>
          <w:szCs w:val="21"/>
        </w:rPr>
        <w:t>出</w:t>
      </w:r>
      <w:r>
        <w:rPr>
          <w:rFonts w:hint="eastAsia"/>
          <w:kern w:val="0"/>
          <w:szCs w:val="21"/>
        </w:rPr>
        <w:t>响应文件的</w:t>
      </w:r>
      <w:r>
        <w:rPr>
          <w:rFonts w:hint="eastAsia"/>
          <w:spacing w:val="-2"/>
          <w:kern w:val="0"/>
          <w:szCs w:val="21"/>
        </w:rPr>
        <w:t>范</w:t>
      </w:r>
      <w:r>
        <w:rPr>
          <w:rFonts w:hint="eastAsia"/>
          <w:kern w:val="0"/>
          <w:szCs w:val="21"/>
        </w:rPr>
        <w:t>围</w:t>
      </w:r>
      <w:r>
        <w:rPr>
          <w:rFonts w:hint="eastAsia"/>
          <w:spacing w:val="-2"/>
          <w:kern w:val="0"/>
          <w:szCs w:val="21"/>
        </w:rPr>
        <w:t>且</w:t>
      </w:r>
      <w:r>
        <w:rPr>
          <w:rFonts w:hint="eastAsia"/>
          <w:kern w:val="0"/>
          <w:szCs w:val="21"/>
        </w:rPr>
        <w:t>不得</w:t>
      </w:r>
      <w:r>
        <w:rPr>
          <w:rFonts w:hint="eastAsia"/>
          <w:spacing w:val="-2"/>
          <w:kern w:val="0"/>
          <w:szCs w:val="21"/>
        </w:rPr>
        <w:t>改</w:t>
      </w:r>
      <w:r>
        <w:rPr>
          <w:rFonts w:hint="eastAsia"/>
          <w:kern w:val="0"/>
          <w:szCs w:val="21"/>
        </w:rPr>
        <w:t>变</w:t>
      </w:r>
      <w:r>
        <w:rPr>
          <w:rFonts w:hint="eastAsia"/>
          <w:spacing w:val="-2"/>
          <w:kern w:val="0"/>
          <w:szCs w:val="21"/>
        </w:rPr>
        <w:t>响应文件的</w:t>
      </w:r>
      <w:r>
        <w:rPr>
          <w:rFonts w:hint="eastAsia"/>
          <w:kern w:val="0"/>
          <w:szCs w:val="21"/>
        </w:rPr>
        <w:t>实</w:t>
      </w:r>
      <w:r>
        <w:rPr>
          <w:rFonts w:hint="eastAsia"/>
          <w:spacing w:val="-2"/>
          <w:kern w:val="0"/>
          <w:szCs w:val="21"/>
        </w:rPr>
        <w:t>质</w:t>
      </w:r>
      <w:r>
        <w:rPr>
          <w:rFonts w:hint="eastAsia"/>
          <w:kern w:val="0"/>
          <w:szCs w:val="21"/>
        </w:rPr>
        <w:t>性内</w:t>
      </w:r>
      <w:r>
        <w:rPr>
          <w:rFonts w:hint="eastAsia"/>
          <w:spacing w:val="-2"/>
          <w:kern w:val="0"/>
          <w:szCs w:val="21"/>
        </w:rPr>
        <w:t>容</w:t>
      </w:r>
      <w:r>
        <w:rPr>
          <w:rFonts w:hint="eastAsia"/>
          <w:spacing w:val="-38"/>
          <w:kern w:val="0"/>
          <w:szCs w:val="21"/>
        </w:rPr>
        <w:t>，</w:t>
      </w:r>
      <w:r>
        <w:rPr>
          <w:rFonts w:hint="eastAsia"/>
          <w:spacing w:val="-2"/>
          <w:kern w:val="0"/>
          <w:szCs w:val="21"/>
        </w:rPr>
        <w:t>并</w:t>
      </w:r>
      <w:r>
        <w:rPr>
          <w:rFonts w:hint="eastAsia"/>
          <w:kern w:val="0"/>
          <w:szCs w:val="21"/>
        </w:rPr>
        <w:t>构成响应文件的</w:t>
      </w:r>
      <w:r>
        <w:rPr>
          <w:rFonts w:hint="eastAsia"/>
          <w:spacing w:val="-2"/>
          <w:kern w:val="0"/>
          <w:szCs w:val="21"/>
        </w:rPr>
        <w:t>组</w:t>
      </w:r>
      <w:r>
        <w:rPr>
          <w:rFonts w:hint="eastAsia"/>
          <w:kern w:val="0"/>
          <w:szCs w:val="21"/>
        </w:rPr>
        <w:t>成</w:t>
      </w:r>
      <w:r>
        <w:rPr>
          <w:rFonts w:hint="eastAsia"/>
          <w:spacing w:val="-2"/>
          <w:kern w:val="0"/>
          <w:szCs w:val="21"/>
        </w:rPr>
        <w:t>部</w:t>
      </w:r>
      <w:r>
        <w:rPr>
          <w:rFonts w:hint="eastAsia"/>
          <w:kern w:val="0"/>
          <w:szCs w:val="21"/>
        </w:rPr>
        <w:t>分。</w:t>
      </w:r>
    </w:p>
    <w:p w14:paraId="473878D7">
      <w:pPr>
        <w:autoSpaceDE w:val="0"/>
        <w:autoSpaceDN w:val="0"/>
        <w:adjustRightInd w:val="0"/>
        <w:spacing w:line="360" w:lineRule="auto"/>
        <w:ind w:firstLine="420"/>
        <w:jc w:val="left"/>
        <w:rPr>
          <w:rFonts w:hint="eastAsia"/>
          <w:kern w:val="0"/>
          <w:szCs w:val="21"/>
        </w:rPr>
      </w:pPr>
      <w:r>
        <w:rPr>
          <w:rFonts w:hint="eastAsia"/>
          <w:kern w:val="0"/>
          <w:szCs w:val="21"/>
        </w:rPr>
        <w:t>3.3.3 评审小组</w:t>
      </w:r>
      <w:r>
        <w:rPr>
          <w:rFonts w:hint="eastAsia"/>
          <w:spacing w:val="-2"/>
          <w:kern w:val="0"/>
          <w:szCs w:val="21"/>
        </w:rPr>
        <w:t>对</w:t>
      </w:r>
      <w:r>
        <w:rPr>
          <w:rFonts w:hint="eastAsia"/>
          <w:kern w:val="0"/>
          <w:szCs w:val="21"/>
        </w:rPr>
        <w:t>供应商提交</w:t>
      </w:r>
      <w:r>
        <w:rPr>
          <w:rFonts w:hint="eastAsia"/>
          <w:spacing w:val="-2"/>
          <w:kern w:val="0"/>
          <w:szCs w:val="21"/>
        </w:rPr>
        <w:t>的</w:t>
      </w:r>
      <w:r>
        <w:rPr>
          <w:rFonts w:hint="eastAsia"/>
          <w:kern w:val="0"/>
          <w:szCs w:val="21"/>
        </w:rPr>
        <w:t>澄清</w:t>
      </w:r>
      <w:r>
        <w:rPr>
          <w:rFonts w:hint="eastAsia"/>
          <w:spacing w:val="-94"/>
          <w:kern w:val="0"/>
          <w:szCs w:val="21"/>
        </w:rPr>
        <w:t>、</w:t>
      </w:r>
      <w:r>
        <w:rPr>
          <w:rFonts w:hint="eastAsia"/>
          <w:kern w:val="0"/>
          <w:szCs w:val="21"/>
        </w:rPr>
        <w:t>说</w:t>
      </w:r>
      <w:r>
        <w:rPr>
          <w:rFonts w:hint="eastAsia"/>
          <w:spacing w:val="-2"/>
          <w:kern w:val="0"/>
          <w:szCs w:val="21"/>
        </w:rPr>
        <w:t>明</w:t>
      </w:r>
      <w:r>
        <w:rPr>
          <w:rFonts w:hint="eastAsia"/>
          <w:kern w:val="0"/>
          <w:szCs w:val="21"/>
        </w:rPr>
        <w:t>或</w:t>
      </w:r>
      <w:r>
        <w:rPr>
          <w:rFonts w:hint="eastAsia"/>
          <w:spacing w:val="-2"/>
          <w:kern w:val="0"/>
          <w:szCs w:val="21"/>
        </w:rPr>
        <w:t>补</w:t>
      </w:r>
      <w:r>
        <w:rPr>
          <w:rFonts w:hint="eastAsia"/>
          <w:kern w:val="0"/>
          <w:szCs w:val="21"/>
        </w:rPr>
        <w:t>正</w:t>
      </w:r>
      <w:r>
        <w:rPr>
          <w:rFonts w:hint="eastAsia"/>
          <w:spacing w:val="-2"/>
          <w:kern w:val="0"/>
          <w:szCs w:val="21"/>
        </w:rPr>
        <w:t>有</w:t>
      </w:r>
      <w:r>
        <w:rPr>
          <w:rFonts w:hint="eastAsia"/>
          <w:kern w:val="0"/>
          <w:szCs w:val="21"/>
        </w:rPr>
        <w:t>疑问的</w:t>
      </w:r>
      <w:r>
        <w:rPr>
          <w:rFonts w:hint="eastAsia"/>
          <w:spacing w:val="-94"/>
          <w:kern w:val="0"/>
          <w:szCs w:val="21"/>
        </w:rPr>
        <w:t>，</w:t>
      </w:r>
      <w:r>
        <w:rPr>
          <w:rFonts w:hint="eastAsia"/>
          <w:kern w:val="0"/>
          <w:szCs w:val="21"/>
        </w:rPr>
        <w:t>可</w:t>
      </w:r>
      <w:r>
        <w:rPr>
          <w:rFonts w:hint="eastAsia"/>
          <w:spacing w:val="-2"/>
          <w:kern w:val="0"/>
          <w:szCs w:val="21"/>
        </w:rPr>
        <w:t>以</w:t>
      </w:r>
      <w:r>
        <w:rPr>
          <w:rFonts w:hint="eastAsia"/>
          <w:kern w:val="0"/>
          <w:szCs w:val="21"/>
        </w:rPr>
        <w:t>要</w:t>
      </w:r>
      <w:r>
        <w:rPr>
          <w:rFonts w:hint="eastAsia"/>
          <w:spacing w:val="-2"/>
          <w:kern w:val="0"/>
          <w:szCs w:val="21"/>
        </w:rPr>
        <w:t>求</w:t>
      </w:r>
      <w:r>
        <w:rPr>
          <w:rFonts w:hint="eastAsia"/>
          <w:kern w:val="0"/>
          <w:szCs w:val="21"/>
        </w:rPr>
        <w:t>供应商</w:t>
      </w:r>
      <w:r>
        <w:rPr>
          <w:rFonts w:hint="eastAsia"/>
          <w:spacing w:val="-2"/>
          <w:kern w:val="0"/>
          <w:szCs w:val="21"/>
        </w:rPr>
        <w:t>进</w:t>
      </w:r>
      <w:r>
        <w:rPr>
          <w:rFonts w:hint="eastAsia"/>
          <w:kern w:val="0"/>
          <w:szCs w:val="21"/>
        </w:rPr>
        <w:t>一步</w:t>
      </w:r>
      <w:r>
        <w:rPr>
          <w:rFonts w:hint="eastAsia"/>
          <w:spacing w:val="-2"/>
          <w:kern w:val="0"/>
          <w:szCs w:val="21"/>
        </w:rPr>
        <w:t>澄</w:t>
      </w:r>
      <w:r>
        <w:rPr>
          <w:rFonts w:hint="eastAsia"/>
          <w:kern w:val="0"/>
          <w:szCs w:val="21"/>
        </w:rPr>
        <w:t>清、说明</w:t>
      </w:r>
      <w:r>
        <w:rPr>
          <w:rFonts w:hint="eastAsia"/>
          <w:spacing w:val="-2"/>
          <w:kern w:val="0"/>
          <w:szCs w:val="21"/>
        </w:rPr>
        <w:t>或</w:t>
      </w:r>
      <w:r>
        <w:rPr>
          <w:rFonts w:hint="eastAsia"/>
          <w:kern w:val="0"/>
          <w:szCs w:val="21"/>
        </w:rPr>
        <w:t>补</w:t>
      </w:r>
      <w:r>
        <w:rPr>
          <w:rFonts w:hint="eastAsia"/>
          <w:spacing w:val="-3"/>
          <w:kern w:val="0"/>
          <w:szCs w:val="21"/>
        </w:rPr>
        <w:t>正</w:t>
      </w:r>
      <w:r>
        <w:rPr>
          <w:rFonts w:hint="eastAsia"/>
          <w:kern w:val="0"/>
          <w:szCs w:val="21"/>
        </w:rPr>
        <w:t>，</w:t>
      </w:r>
      <w:r>
        <w:rPr>
          <w:rFonts w:hint="eastAsia"/>
          <w:spacing w:val="-2"/>
          <w:kern w:val="0"/>
          <w:szCs w:val="21"/>
        </w:rPr>
        <w:t>直</w:t>
      </w:r>
      <w:r>
        <w:rPr>
          <w:rFonts w:hint="eastAsia"/>
          <w:kern w:val="0"/>
          <w:szCs w:val="21"/>
        </w:rPr>
        <w:t>至</w:t>
      </w:r>
      <w:r>
        <w:rPr>
          <w:rFonts w:hint="eastAsia"/>
          <w:spacing w:val="-2"/>
          <w:kern w:val="0"/>
          <w:szCs w:val="21"/>
        </w:rPr>
        <w:t>满</w:t>
      </w:r>
      <w:r>
        <w:rPr>
          <w:rFonts w:hint="eastAsia"/>
          <w:kern w:val="0"/>
          <w:szCs w:val="21"/>
        </w:rPr>
        <w:t>足</w:t>
      </w:r>
      <w:r>
        <w:rPr>
          <w:rFonts w:hint="eastAsia"/>
          <w:spacing w:val="-2"/>
          <w:kern w:val="0"/>
          <w:szCs w:val="21"/>
        </w:rPr>
        <w:t>评审小组的</w:t>
      </w:r>
      <w:r>
        <w:rPr>
          <w:rFonts w:hint="eastAsia"/>
          <w:kern w:val="0"/>
          <w:szCs w:val="21"/>
        </w:rPr>
        <w:t>要</w:t>
      </w:r>
      <w:r>
        <w:rPr>
          <w:rFonts w:hint="eastAsia"/>
          <w:spacing w:val="-2"/>
          <w:kern w:val="0"/>
          <w:szCs w:val="21"/>
        </w:rPr>
        <w:t>求</w:t>
      </w:r>
      <w:r>
        <w:rPr>
          <w:rFonts w:hint="eastAsia"/>
          <w:kern w:val="0"/>
          <w:szCs w:val="21"/>
        </w:rPr>
        <w:t>。</w:t>
      </w:r>
    </w:p>
    <w:p w14:paraId="5DFDA2D2">
      <w:pPr>
        <w:pStyle w:val="4"/>
        <w:spacing w:before="0" w:after="0" w:line="360" w:lineRule="auto"/>
        <w:rPr>
          <w:rFonts w:hint="eastAsia" w:cs="宋体"/>
          <w:lang w:val="en-US" w:eastAsia="zh-CN"/>
        </w:rPr>
      </w:pPr>
      <w:bookmarkStart w:id="612" w:name="_Toc27845"/>
      <w:bookmarkStart w:id="613" w:name="_Toc16597"/>
      <w:bookmarkStart w:id="614" w:name="_Toc9486"/>
      <w:bookmarkStart w:id="615" w:name="_Toc15882"/>
      <w:bookmarkStart w:id="616" w:name="_Toc26739"/>
      <w:bookmarkStart w:id="617" w:name="_Toc21267"/>
      <w:bookmarkStart w:id="618" w:name="_Toc12108"/>
      <w:bookmarkStart w:id="619" w:name="_Toc23476"/>
      <w:bookmarkStart w:id="620" w:name="_Toc25857"/>
      <w:bookmarkStart w:id="621" w:name="_Toc8318"/>
      <w:bookmarkStart w:id="622" w:name="_Toc10336"/>
      <w:bookmarkStart w:id="623" w:name="_Toc19426"/>
      <w:r>
        <w:rPr>
          <w:rFonts w:hint="eastAsia" w:cs="宋体"/>
          <w:lang w:val="en-US" w:eastAsia="zh-CN"/>
        </w:rPr>
        <w:t>3.4 评审结果</w:t>
      </w:r>
      <w:bookmarkEnd w:id="612"/>
      <w:bookmarkEnd w:id="613"/>
      <w:bookmarkEnd w:id="614"/>
      <w:bookmarkEnd w:id="615"/>
      <w:bookmarkEnd w:id="616"/>
      <w:bookmarkEnd w:id="617"/>
      <w:bookmarkEnd w:id="618"/>
      <w:bookmarkEnd w:id="619"/>
      <w:bookmarkEnd w:id="620"/>
      <w:bookmarkEnd w:id="621"/>
      <w:bookmarkEnd w:id="622"/>
      <w:bookmarkEnd w:id="623"/>
    </w:p>
    <w:p w14:paraId="1A635442">
      <w:pPr>
        <w:autoSpaceDE w:val="0"/>
        <w:autoSpaceDN w:val="0"/>
        <w:adjustRightInd w:val="0"/>
        <w:spacing w:line="360" w:lineRule="auto"/>
        <w:ind w:firstLine="420"/>
        <w:rPr>
          <w:rFonts w:hint="eastAsia"/>
          <w:kern w:val="0"/>
          <w:szCs w:val="21"/>
        </w:rPr>
      </w:pPr>
      <w:r>
        <w:rPr>
          <w:rFonts w:hint="eastAsia"/>
          <w:kern w:val="0"/>
          <w:szCs w:val="21"/>
        </w:rPr>
        <w:t xml:space="preserve">3.4.1 </w:t>
      </w:r>
      <w:r>
        <w:rPr>
          <w:rFonts w:hint="eastAsia"/>
          <w:szCs w:val="21"/>
        </w:rPr>
        <w:t>评审小组按照各评审专家评分的算术平均值得分由高到低的顺序推荐入围供应商，评分相同的，由评审小组随机抽取。</w:t>
      </w:r>
    </w:p>
    <w:p w14:paraId="281A1A09">
      <w:pPr>
        <w:autoSpaceDE w:val="0"/>
        <w:autoSpaceDN w:val="0"/>
        <w:adjustRightInd w:val="0"/>
        <w:spacing w:line="360" w:lineRule="auto"/>
        <w:ind w:firstLine="420"/>
        <w:rPr>
          <w:rFonts w:hint="eastAsia"/>
          <w:kern w:val="0"/>
          <w:szCs w:val="21"/>
        </w:rPr>
      </w:pPr>
      <w:r>
        <w:rPr>
          <w:rFonts w:hint="eastAsia"/>
          <w:kern w:val="0"/>
          <w:szCs w:val="21"/>
        </w:rPr>
        <w:t>3.4.2</w:t>
      </w:r>
      <w:r>
        <w:rPr>
          <w:rFonts w:hint="eastAsia"/>
          <w:kern w:val="0"/>
          <w:szCs w:val="21"/>
          <w:lang w:val="en-US" w:eastAsia="zh-CN"/>
        </w:rPr>
        <w:t xml:space="preserve"> </w:t>
      </w:r>
      <w:r>
        <w:rPr>
          <w:rFonts w:hint="eastAsia"/>
          <w:kern w:val="0"/>
          <w:szCs w:val="21"/>
        </w:rPr>
        <w:t>评审小组完成评审后，应当根据征集文件规定的淘汰率或者入围供应商数量上限，确定入围供应商并向采购人提交书面评审报告。</w:t>
      </w:r>
    </w:p>
    <w:p w14:paraId="779A0205">
      <w:pPr>
        <w:pStyle w:val="4"/>
        <w:spacing w:before="0" w:after="0" w:line="360" w:lineRule="auto"/>
        <w:rPr>
          <w:rFonts w:hint="default" w:ascii="宋体" w:hAnsi="宋体" w:eastAsia="宋体" w:cs="宋体"/>
          <w:szCs w:val="21"/>
          <w:lang w:val="en-US" w:eastAsia="zh-CN"/>
        </w:rPr>
      </w:pPr>
      <w:bookmarkStart w:id="624" w:name="_Toc20846"/>
      <w:r>
        <w:rPr>
          <w:rFonts w:hint="eastAsia" w:ascii="宋体" w:hAnsi="宋体" w:eastAsia="宋体" w:cs="宋体"/>
          <w:b/>
          <w:lang w:val="en-US" w:eastAsia="zh-CN"/>
        </w:rPr>
        <w:t>4.无效标的情形</w:t>
      </w:r>
      <w:bookmarkEnd w:id="624"/>
    </w:p>
    <w:p w14:paraId="6464ABBA">
      <w:pPr>
        <w:autoSpaceDE w:val="0"/>
        <w:autoSpaceDN w:val="0"/>
        <w:adjustRightInd w:val="0"/>
        <w:spacing w:line="360" w:lineRule="auto"/>
        <w:ind w:firstLine="420"/>
        <w:rPr>
          <w:rFonts w:hint="default" w:ascii="宋体" w:hAnsi="宋体" w:eastAsia="宋体" w:cs="宋体"/>
          <w:szCs w:val="21"/>
          <w:lang w:val="en-US" w:eastAsia="zh-CN"/>
        </w:rPr>
      </w:pPr>
      <w:r>
        <w:rPr>
          <w:rFonts w:hint="eastAsia" w:ascii="宋体" w:hAnsi="宋体" w:eastAsia="宋体" w:cs="宋体"/>
          <w:szCs w:val="21"/>
          <w:lang w:val="en-US" w:eastAsia="zh-CN"/>
        </w:rPr>
        <w:t>（</w:t>
      </w:r>
      <w:r>
        <w:rPr>
          <w:rFonts w:hint="eastAsia" w:cs="宋体"/>
          <w:szCs w:val="21"/>
          <w:lang w:val="en-US" w:eastAsia="zh-CN"/>
        </w:rPr>
        <w:t>1</w:t>
      </w:r>
      <w:r>
        <w:rPr>
          <w:rFonts w:hint="eastAsia" w:ascii="宋体" w:hAnsi="宋体" w:eastAsia="宋体" w:cs="宋体"/>
          <w:szCs w:val="21"/>
          <w:lang w:val="en-US" w:eastAsia="zh-CN"/>
        </w:rPr>
        <w:t>）在符合性审查中，评审委员会认定投标人的投标不符合评审办法前附表中规定的任何一项评审标准；</w:t>
      </w:r>
    </w:p>
    <w:p w14:paraId="765944D4">
      <w:pPr>
        <w:autoSpaceDE w:val="0"/>
        <w:autoSpaceDN w:val="0"/>
        <w:adjustRightInd w:val="0"/>
        <w:spacing w:line="360" w:lineRule="auto"/>
        <w:ind w:firstLine="420"/>
        <w:rPr>
          <w:rFonts w:hint="default" w:ascii="宋体" w:hAnsi="宋体" w:eastAsia="宋体" w:cs="宋体"/>
          <w:szCs w:val="21"/>
          <w:lang w:val="en-US" w:eastAsia="zh-CN"/>
        </w:rPr>
      </w:pPr>
      <w:r>
        <w:rPr>
          <w:rFonts w:hint="eastAsia" w:ascii="宋体" w:hAnsi="宋体" w:eastAsia="宋体" w:cs="宋体"/>
          <w:szCs w:val="21"/>
          <w:lang w:val="en-US" w:eastAsia="zh-CN"/>
        </w:rPr>
        <w:t>（</w:t>
      </w:r>
      <w:r>
        <w:rPr>
          <w:rFonts w:hint="eastAsia" w:cs="宋体"/>
          <w:szCs w:val="21"/>
          <w:lang w:val="en-US" w:eastAsia="zh-CN"/>
        </w:rPr>
        <w:t>2</w:t>
      </w:r>
      <w:r>
        <w:rPr>
          <w:rFonts w:hint="eastAsia" w:ascii="宋体" w:hAnsi="宋体" w:eastAsia="宋体" w:cs="宋体"/>
          <w:szCs w:val="21"/>
          <w:lang w:val="en-US" w:eastAsia="zh-CN"/>
        </w:rPr>
        <w:t>）不符合</w:t>
      </w:r>
      <w:r>
        <w:rPr>
          <w:rFonts w:hint="eastAsia" w:cs="宋体"/>
          <w:szCs w:val="21"/>
          <w:lang w:val="en-US" w:eastAsia="zh-CN"/>
        </w:rPr>
        <w:t>征集</w:t>
      </w:r>
      <w:r>
        <w:rPr>
          <w:rFonts w:hint="eastAsia" w:ascii="宋体" w:hAnsi="宋体" w:eastAsia="宋体" w:cs="宋体"/>
          <w:szCs w:val="21"/>
          <w:lang w:val="en-US" w:eastAsia="zh-CN"/>
        </w:rPr>
        <w:t>文件中规定的其它实质性要求的；</w:t>
      </w:r>
    </w:p>
    <w:p w14:paraId="6BD3565F">
      <w:pPr>
        <w:autoSpaceDE w:val="0"/>
        <w:autoSpaceDN w:val="0"/>
        <w:adjustRightInd w:val="0"/>
        <w:spacing w:line="360" w:lineRule="auto"/>
        <w:ind w:firstLine="420"/>
        <w:rPr>
          <w:rFonts w:hint="default" w:ascii="宋体" w:hAnsi="宋体" w:eastAsia="宋体" w:cs="宋体"/>
          <w:szCs w:val="21"/>
          <w:lang w:val="en-US" w:eastAsia="zh-CN"/>
        </w:rPr>
      </w:pPr>
      <w:r>
        <w:rPr>
          <w:rFonts w:hint="eastAsia" w:ascii="宋体" w:hAnsi="宋体" w:eastAsia="宋体" w:cs="宋体"/>
          <w:szCs w:val="21"/>
          <w:lang w:val="en-US" w:eastAsia="zh-CN"/>
        </w:rPr>
        <w:t>（</w:t>
      </w:r>
      <w:r>
        <w:rPr>
          <w:rFonts w:hint="eastAsia" w:cs="宋体"/>
          <w:szCs w:val="21"/>
          <w:lang w:val="en-US" w:eastAsia="zh-CN"/>
        </w:rPr>
        <w:t>3</w:t>
      </w:r>
      <w:r>
        <w:rPr>
          <w:rFonts w:hint="eastAsia" w:ascii="宋体" w:hAnsi="宋体" w:eastAsia="宋体" w:cs="宋体"/>
          <w:szCs w:val="21"/>
          <w:lang w:val="en-US" w:eastAsia="zh-CN"/>
        </w:rPr>
        <w:t>）</w:t>
      </w:r>
      <w:r>
        <w:rPr>
          <w:rFonts w:hint="eastAsia" w:cs="宋体"/>
          <w:szCs w:val="21"/>
          <w:lang w:val="en-US" w:eastAsia="zh-CN"/>
        </w:rPr>
        <w:t>响应</w:t>
      </w:r>
      <w:r>
        <w:rPr>
          <w:rFonts w:hint="eastAsia" w:ascii="宋体" w:hAnsi="宋体" w:eastAsia="宋体" w:cs="宋体"/>
          <w:szCs w:val="21"/>
          <w:lang w:val="en-US" w:eastAsia="zh-CN"/>
        </w:rPr>
        <w:t>文件附有采购人不能接受的条件的；</w:t>
      </w:r>
    </w:p>
    <w:p w14:paraId="542130D1">
      <w:pPr>
        <w:autoSpaceDE w:val="0"/>
        <w:autoSpaceDN w:val="0"/>
        <w:adjustRightInd w:val="0"/>
        <w:spacing w:line="360" w:lineRule="auto"/>
        <w:ind w:firstLine="420"/>
        <w:rPr>
          <w:rFonts w:hint="eastAsia" w:ascii="宋体" w:hAnsi="宋体" w:eastAsia="宋体" w:cs="宋体"/>
          <w:szCs w:val="21"/>
          <w:lang w:val="en-US" w:eastAsia="zh-CN"/>
        </w:rPr>
      </w:pPr>
      <w:r>
        <w:rPr>
          <w:rFonts w:hint="eastAsia" w:ascii="宋体" w:hAnsi="宋体" w:eastAsia="宋体" w:cs="宋体"/>
          <w:szCs w:val="21"/>
          <w:lang w:val="en-US" w:eastAsia="zh-CN"/>
        </w:rPr>
        <w:t>（4）有串通投标或弄虚作假或有其他违法行为的（包含供应商</w:t>
      </w:r>
      <w:r>
        <w:rPr>
          <w:rFonts w:hint="eastAsia" w:cs="宋体"/>
          <w:szCs w:val="21"/>
          <w:lang w:val="en-US" w:eastAsia="zh-CN"/>
        </w:rPr>
        <w:t>投标</w:t>
      </w:r>
      <w:r>
        <w:rPr>
          <w:rFonts w:hint="eastAsia" w:ascii="宋体" w:hAnsi="宋体" w:eastAsia="宋体" w:cs="宋体"/>
          <w:szCs w:val="21"/>
          <w:lang w:val="en-US" w:eastAsia="zh-CN"/>
        </w:rPr>
        <w:t>文件制作机器码一致的）</w:t>
      </w:r>
      <w:r>
        <w:rPr>
          <w:rFonts w:hint="eastAsia" w:cs="宋体"/>
          <w:szCs w:val="21"/>
          <w:lang w:val="en-US" w:eastAsia="zh-CN"/>
        </w:rPr>
        <w:t>；</w:t>
      </w:r>
    </w:p>
    <w:p w14:paraId="3E810D7D">
      <w:pPr>
        <w:autoSpaceDE w:val="0"/>
        <w:autoSpaceDN w:val="0"/>
        <w:adjustRightInd w:val="0"/>
        <w:spacing w:line="360" w:lineRule="auto"/>
        <w:ind w:firstLine="420"/>
        <w:rPr>
          <w:rFonts w:hint="default" w:ascii="宋体" w:hAnsi="宋体" w:eastAsia="宋体" w:cs="宋体"/>
          <w:szCs w:val="21"/>
          <w:lang w:val="en-US" w:eastAsia="zh-CN"/>
        </w:rPr>
      </w:pPr>
      <w:r>
        <w:rPr>
          <w:rFonts w:hint="eastAsia" w:ascii="宋体" w:hAnsi="宋体" w:eastAsia="宋体" w:cs="宋体"/>
          <w:szCs w:val="21"/>
          <w:lang w:val="en-US" w:eastAsia="zh-CN"/>
        </w:rPr>
        <w:t>（5）不按评标委员会要求澄清、说明或补正；</w:t>
      </w:r>
    </w:p>
    <w:p w14:paraId="56FE9284">
      <w:pPr>
        <w:pStyle w:val="41"/>
        <w:rPr>
          <w:rFonts w:hint="eastAsia"/>
        </w:rPr>
        <w:sectPr>
          <w:headerReference r:id="rId6" w:type="default"/>
          <w:footerReference r:id="rId7" w:type="default"/>
          <w:pgSz w:w="11906" w:h="16838"/>
          <w:pgMar w:top="1417" w:right="1417" w:bottom="1417" w:left="1417" w:header="777" w:footer="641" w:gutter="0"/>
          <w:pgNumType w:fmt="numberInDash"/>
          <w:cols w:space="720" w:num="1"/>
        </w:sectPr>
      </w:pPr>
    </w:p>
    <w:p w14:paraId="17961091">
      <w:pPr>
        <w:pStyle w:val="2"/>
        <w:spacing w:line="360" w:lineRule="auto"/>
        <w:rPr>
          <w:rStyle w:val="42"/>
          <w:rFonts w:hint="eastAsia"/>
          <w:b/>
          <w:bCs w:val="0"/>
          <w:szCs w:val="22"/>
          <w:lang w:val="en-US" w:eastAsia="zh-CN"/>
        </w:rPr>
      </w:pPr>
      <w:bookmarkStart w:id="625" w:name="_Toc20256"/>
      <w:bookmarkStart w:id="626" w:name="_Toc312133549"/>
      <w:r>
        <w:rPr>
          <w:rStyle w:val="42"/>
          <w:rFonts w:hint="eastAsia"/>
          <w:b/>
          <w:bCs w:val="0"/>
          <w:szCs w:val="22"/>
          <w:lang w:val="en-US" w:eastAsia="zh-CN"/>
        </w:rPr>
        <w:t xml:space="preserve">                  第四章  </w:t>
      </w:r>
      <w:r>
        <w:rPr>
          <w:rStyle w:val="42"/>
          <w:rFonts w:hint="eastAsia"/>
          <w:b/>
          <w:bCs w:val="0"/>
          <w:szCs w:val="22"/>
        </w:rPr>
        <w:t>政府采购</w:t>
      </w:r>
      <w:r>
        <w:rPr>
          <w:rStyle w:val="42"/>
          <w:rFonts w:hint="eastAsia"/>
          <w:b/>
          <w:bCs w:val="0"/>
          <w:szCs w:val="22"/>
          <w:lang w:val="en-US" w:eastAsia="zh-CN"/>
        </w:rPr>
        <w:t>框架协议文本</w:t>
      </w:r>
      <w:bookmarkEnd w:id="625"/>
    </w:p>
    <w:bookmarkEnd w:id="626"/>
    <w:p w14:paraId="3E4952A5">
      <w:pPr>
        <w:widowControl/>
        <w:spacing w:line="360" w:lineRule="auto"/>
        <w:jc w:val="left"/>
        <w:rPr>
          <w:rFonts w:hint="eastAsia"/>
          <w:kern w:val="0"/>
          <w:szCs w:val="21"/>
        </w:rPr>
      </w:pPr>
    </w:p>
    <w:p w14:paraId="69E77DDA">
      <w:pPr>
        <w:widowControl/>
        <w:spacing w:line="360" w:lineRule="auto"/>
        <w:ind w:firstLine="420" w:firstLineChars="200"/>
        <w:jc w:val="left"/>
        <w:rPr>
          <w:rFonts w:hint="eastAsia"/>
          <w:sz w:val="24"/>
        </w:rPr>
      </w:pPr>
      <w:r>
        <w:rPr>
          <w:rFonts w:hint="eastAsia"/>
          <w:kern w:val="0"/>
          <w:szCs w:val="21"/>
        </w:rPr>
        <w:t>甲方（</w:t>
      </w:r>
      <w:r>
        <w:rPr>
          <w:rFonts w:hint="eastAsia"/>
          <w:kern w:val="0"/>
          <w:szCs w:val="21"/>
          <w:lang w:val="en-US" w:eastAsia="zh-CN"/>
        </w:rPr>
        <w:t>采购人</w:t>
      </w:r>
      <w:r>
        <w:rPr>
          <w:rFonts w:hint="eastAsia"/>
          <w:kern w:val="0"/>
          <w:szCs w:val="21"/>
        </w:rPr>
        <w:t>）：</w:t>
      </w:r>
      <w:r>
        <w:rPr>
          <w:rFonts w:hint="eastAsia"/>
          <w:kern w:val="0"/>
          <w:szCs w:val="21"/>
          <w:u w:val="single"/>
        </w:rPr>
        <w:t xml:space="preserve">                         </w:t>
      </w:r>
      <w:r>
        <w:rPr>
          <w:rFonts w:hint="eastAsia"/>
          <w:kern w:val="0"/>
          <w:szCs w:val="21"/>
        </w:rPr>
        <w:t xml:space="preserve">               </w:t>
      </w:r>
    </w:p>
    <w:p w14:paraId="2AF475DD">
      <w:pPr>
        <w:widowControl/>
        <w:spacing w:line="360" w:lineRule="auto"/>
        <w:ind w:firstLine="420" w:firstLineChars="200"/>
        <w:jc w:val="left"/>
        <w:rPr>
          <w:rFonts w:hint="eastAsia"/>
          <w:szCs w:val="21"/>
        </w:rPr>
      </w:pPr>
      <w:r>
        <w:rPr>
          <w:rFonts w:hint="eastAsia"/>
          <w:kern w:val="0"/>
          <w:szCs w:val="21"/>
        </w:rPr>
        <w:t>乙方（入围供应商）：</w:t>
      </w:r>
      <w:r>
        <w:rPr>
          <w:rFonts w:hint="eastAsia"/>
          <w:kern w:val="0"/>
          <w:szCs w:val="21"/>
          <w:u w:val="single"/>
        </w:rPr>
        <w:t xml:space="preserve">                     </w:t>
      </w:r>
    </w:p>
    <w:p w14:paraId="78E7B872">
      <w:pPr>
        <w:spacing w:line="360" w:lineRule="auto"/>
        <w:ind w:firstLine="420" w:firstLineChars="200"/>
        <w:rPr>
          <w:rFonts w:hint="eastAsia"/>
          <w:szCs w:val="21"/>
        </w:rPr>
      </w:pPr>
      <w:r>
        <w:rPr>
          <w:rFonts w:hint="eastAsia"/>
          <w:szCs w:val="21"/>
        </w:rPr>
        <w:t>根据《中华人民共和国民法典》、《中华人民共和国政府采购法》、《中华人民共和国采购法实施条例》</w:t>
      </w:r>
      <w:r>
        <w:rPr>
          <w:rFonts w:hint="eastAsia"/>
        </w:rPr>
        <w:t>、《政府采购框架协议采购方式管理暂行办法》</w:t>
      </w:r>
      <w:r>
        <w:rPr>
          <w:rFonts w:hint="eastAsia"/>
          <w:szCs w:val="21"/>
        </w:rPr>
        <w:t>及国家的有关法律、行政法规和本项目征集文件，甲乙双方遵循平等、自愿、公平和诚实信用的原则，就</w:t>
      </w:r>
      <w:r>
        <w:rPr>
          <w:rFonts w:hint="eastAsia"/>
          <w:szCs w:val="21"/>
          <w:u w:val="single"/>
        </w:rPr>
        <w:t xml:space="preserve"> </w:t>
      </w:r>
      <w:r>
        <w:rPr>
          <w:rFonts w:hint="eastAsia"/>
          <w:szCs w:val="21"/>
          <w:u w:val="single"/>
          <w:lang w:val="en-US" w:eastAsia="zh-CN"/>
        </w:rPr>
        <w:t xml:space="preserve">                    </w:t>
      </w:r>
      <w:r>
        <w:rPr>
          <w:rFonts w:hint="eastAsia"/>
          <w:szCs w:val="21"/>
          <w:u w:val="single"/>
        </w:rPr>
        <w:t xml:space="preserve"> </w:t>
      </w:r>
      <w:r>
        <w:rPr>
          <w:rFonts w:hint="eastAsia"/>
          <w:szCs w:val="21"/>
        </w:rPr>
        <w:t>项目公开征集入围供应商事宜协商一致，订立本框架协议。</w:t>
      </w:r>
    </w:p>
    <w:p w14:paraId="4BFC02DA">
      <w:pPr>
        <w:spacing w:line="360" w:lineRule="auto"/>
        <w:ind w:firstLine="422" w:firstLineChars="200"/>
        <w:rPr>
          <w:rFonts w:hint="eastAsia"/>
          <w:szCs w:val="21"/>
        </w:rPr>
      </w:pPr>
      <w:r>
        <w:rPr>
          <w:rFonts w:hint="eastAsia"/>
          <w:b/>
          <w:bCs/>
          <w:szCs w:val="21"/>
        </w:rPr>
        <w:t>一、</w:t>
      </w:r>
      <w:r>
        <w:rPr>
          <w:rFonts w:hint="eastAsia"/>
          <w:szCs w:val="21"/>
        </w:rPr>
        <w:t>甲方通过公开征集确定乙方为甲方委托项目范围的入围供应商，承担具体委托项目的服务工作。</w:t>
      </w:r>
    </w:p>
    <w:p w14:paraId="1FDEB198">
      <w:pPr>
        <w:spacing w:line="360" w:lineRule="auto"/>
        <w:ind w:firstLine="422" w:firstLineChars="200"/>
        <w:rPr>
          <w:rFonts w:hint="eastAsia"/>
          <w:b/>
          <w:bCs/>
          <w:szCs w:val="21"/>
        </w:rPr>
      </w:pPr>
      <w:r>
        <w:rPr>
          <w:rFonts w:hint="eastAsia"/>
          <w:b/>
          <w:bCs/>
          <w:szCs w:val="21"/>
        </w:rPr>
        <w:t>二、项目基本情况</w:t>
      </w:r>
    </w:p>
    <w:p w14:paraId="7DC7978B">
      <w:pPr>
        <w:numPr>
          <w:ilvl w:val="0"/>
          <w:numId w:val="14"/>
        </w:numPr>
        <w:autoSpaceDE w:val="0"/>
        <w:autoSpaceDN w:val="0"/>
        <w:adjustRightInd w:val="0"/>
        <w:spacing w:line="360" w:lineRule="auto"/>
        <w:ind w:firstLine="420" w:firstLineChars="200"/>
        <w:rPr>
          <w:rFonts w:hint="eastAsia"/>
          <w:szCs w:val="21"/>
          <w:u w:val="single"/>
        </w:rPr>
      </w:pPr>
      <w:r>
        <w:rPr>
          <w:rFonts w:hint="eastAsia"/>
          <w:szCs w:val="21"/>
        </w:rPr>
        <w:t>采购项目名称：</w:t>
      </w:r>
      <w:r>
        <w:rPr>
          <w:rFonts w:hint="eastAsia"/>
          <w:szCs w:val="21"/>
          <w:u w:val="single"/>
          <w:lang w:val="en-US" w:eastAsia="zh-CN"/>
        </w:rPr>
        <w:t xml:space="preserve">                          </w:t>
      </w:r>
      <w:r>
        <w:rPr>
          <w:rFonts w:hint="eastAsia"/>
          <w:szCs w:val="21"/>
          <w:u w:val="single"/>
        </w:rPr>
        <w:t xml:space="preserve"> </w:t>
      </w:r>
    </w:p>
    <w:p w14:paraId="06CE915A">
      <w:pPr>
        <w:numPr>
          <w:ilvl w:val="0"/>
          <w:numId w:val="14"/>
        </w:numPr>
        <w:autoSpaceDE w:val="0"/>
        <w:autoSpaceDN w:val="0"/>
        <w:adjustRightInd w:val="0"/>
        <w:spacing w:line="360" w:lineRule="auto"/>
        <w:ind w:firstLine="420" w:firstLineChars="200"/>
        <w:rPr>
          <w:rFonts w:hint="eastAsia"/>
          <w:szCs w:val="21"/>
        </w:rPr>
      </w:pPr>
      <w:r>
        <w:rPr>
          <w:rFonts w:hint="eastAsia"/>
          <w:szCs w:val="21"/>
        </w:rPr>
        <w:t>采购项目编号：</w:t>
      </w:r>
      <w:r>
        <w:rPr>
          <w:rFonts w:hint="eastAsia"/>
          <w:szCs w:val="21"/>
          <w:u w:val="single"/>
          <w:lang w:val="en-US" w:eastAsia="zh-CN"/>
        </w:rPr>
        <w:t xml:space="preserve">                          </w:t>
      </w:r>
      <w:r>
        <w:rPr>
          <w:rFonts w:hint="eastAsia"/>
          <w:szCs w:val="21"/>
          <w:u w:val="single"/>
        </w:rPr>
        <w:t xml:space="preserve"> </w:t>
      </w:r>
    </w:p>
    <w:p w14:paraId="020BD2E3">
      <w:pPr>
        <w:numPr>
          <w:ilvl w:val="0"/>
          <w:numId w:val="14"/>
        </w:numPr>
        <w:autoSpaceDE w:val="0"/>
        <w:autoSpaceDN w:val="0"/>
        <w:adjustRightInd w:val="0"/>
        <w:spacing w:line="360" w:lineRule="auto"/>
        <w:ind w:firstLine="420" w:firstLineChars="200"/>
        <w:rPr>
          <w:rFonts w:hint="eastAsia"/>
          <w:szCs w:val="21"/>
          <w:u w:val="single"/>
        </w:rPr>
      </w:pPr>
      <w:r>
        <w:rPr>
          <w:rFonts w:hint="eastAsia"/>
          <w:szCs w:val="21"/>
        </w:rPr>
        <w:t>采购</w:t>
      </w:r>
      <w:r>
        <w:rPr>
          <w:rFonts w:hint="eastAsia"/>
          <w:szCs w:val="21"/>
          <w:lang w:val="en-US" w:eastAsia="zh-CN"/>
        </w:rPr>
        <w:t>内容</w:t>
      </w:r>
      <w:r>
        <w:rPr>
          <w:rFonts w:hint="eastAsia"/>
          <w:szCs w:val="21"/>
        </w:rPr>
        <w:t>：</w:t>
      </w:r>
      <w:r>
        <w:rPr>
          <w:rFonts w:hint="eastAsia"/>
          <w:szCs w:val="21"/>
          <w:u w:val="single"/>
          <w:lang w:val="en-US" w:eastAsia="zh-CN"/>
        </w:rPr>
        <w:t xml:space="preserve">                          </w:t>
      </w:r>
      <w:r>
        <w:rPr>
          <w:rFonts w:hint="eastAsia"/>
          <w:szCs w:val="21"/>
          <w:u w:val="single"/>
        </w:rPr>
        <w:t xml:space="preserve"> </w:t>
      </w:r>
      <w:r>
        <w:rPr>
          <w:rFonts w:hint="eastAsia"/>
          <w:szCs w:val="21"/>
          <w:u w:val="single"/>
          <w:lang w:val="en-US" w:eastAsia="zh-CN"/>
        </w:rPr>
        <w:t xml:space="preserve">    </w:t>
      </w:r>
    </w:p>
    <w:p w14:paraId="583E2108">
      <w:pPr>
        <w:numPr>
          <w:ilvl w:val="0"/>
          <w:numId w:val="14"/>
        </w:numPr>
        <w:autoSpaceDE w:val="0"/>
        <w:autoSpaceDN w:val="0"/>
        <w:adjustRightInd w:val="0"/>
        <w:spacing w:line="360" w:lineRule="auto"/>
        <w:ind w:firstLine="420" w:firstLineChars="200"/>
        <w:rPr>
          <w:rFonts w:hint="eastAsia" w:ascii="宋体" w:hAnsi="宋体" w:eastAsia="宋体" w:cs="宋体"/>
          <w:szCs w:val="21"/>
        </w:rPr>
      </w:pPr>
      <w:r>
        <w:rPr>
          <w:rFonts w:hint="eastAsia" w:cs="宋体"/>
          <w:szCs w:val="21"/>
          <w:lang w:val="en-US" w:eastAsia="zh-CN"/>
        </w:rPr>
        <w:t>框架协议</w:t>
      </w:r>
      <w:r>
        <w:rPr>
          <w:rFonts w:hint="eastAsia" w:ascii="宋体" w:hAnsi="宋体" w:eastAsia="宋体" w:cs="宋体"/>
          <w:szCs w:val="21"/>
          <w:lang w:eastAsia="zh-CN"/>
        </w:rPr>
        <w:t>期限</w:t>
      </w:r>
      <w:r>
        <w:rPr>
          <w:rFonts w:hint="eastAsia" w:ascii="宋体" w:hAnsi="宋体" w:eastAsia="宋体" w:cs="宋体"/>
          <w:szCs w:val="21"/>
        </w:rPr>
        <w:t>：</w:t>
      </w:r>
      <w:r>
        <w:rPr>
          <w:rFonts w:hint="eastAsia" w:ascii="宋体" w:hAnsi="宋体" w:eastAsia="宋体" w:cs="宋体"/>
          <w:szCs w:val="21"/>
          <w:lang w:val="en-US" w:eastAsia="zh-CN"/>
        </w:rPr>
        <w:t xml:space="preserve"> </w:t>
      </w:r>
      <w:r>
        <w:rPr>
          <w:rFonts w:hint="eastAsia"/>
          <w:szCs w:val="21"/>
          <w:u w:val="single"/>
          <w:lang w:val="en-US" w:eastAsia="zh-CN"/>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p>
    <w:p w14:paraId="1D2B2181">
      <w:pPr>
        <w:numPr>
          <w:ilvl w:val="0"/>
          <w:numId w:val="14"/>
        </w:numPr>
        <w:autoSpaceDE w:val="0"/>
        <w:autoSpaceDN w:val="0"/>
        <w:adjustRightInd w:val="0"/>
        <w:spacing w:line="360" w:lineRule="auto"/>
        <w:ind w:firstLine="420" w:firstLineChars="200"/>
        <w:rPr>
          <w:rFonts w:hint="eastAsia" w:ascii="宋体" w:hAnsi="宋体" w:eastAsia="宋体" w:cs="宋体"/>
          <w:szCs w:val="21"/>
        </w:rPr>
      </w:pPr>
      <w:r>
        <w:rPr>
          <w:rFonts w:hint="eastAsia" w:cs="宋体"/>
          <w:szCs w:val="21"/>
          <w:lang w:val="en-US" w:eastAsia="zh-CN"/>
        </w:rPr>
        <w:t>质量要求</w:t>
      </w:r>
      <w:r>
        <w:rPr>
          <w:rFonts w:hint="eastAsia" w:ascii="宋体" w:hAnsi="宋体" w:eastAsia="宋体" w:cs="宋体"/>
          <w:szCs w:val="21"/>
        </w:rPr>
        <w:t>：</w:t>
      </w:r>
      <w:r>
        <w:rPr>
          <w:rFonts w:hint="eastAsia"/>
          <w:szCs w:val="21"/>
          <w:u w:val="single"/>
          <w:lang w:val="en-US" w:eastAsia="zh-CN"/>
        </w:rPr>
        <w:t xml:space="preserve">                          </w:t>
      </w:r>
      <w:r>
        <w:rPr>
          <w:rFonts w:hint="eastAsia"/>
          <w:szCs w:val="21"/>
          <w:u w:val="single"/>
        </w:rPr>
        <w:t xml:space="preserve"> </w:t>
      </w:r>
      <w:r>
        <w:rPr>
          <w:rFonts w:hint="eastAsia"/>
          <w:szCs w:val="21"/>
          <w:u w:val="single"/>
          <w:lang w:val="en-US" w:eastAsia="zh-CN"/>
        </w:rPr>
        <w:t xml:space="preserve">    </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 </w:t>
      </w:r>
      <w:r>
        <w:rPr>
          <w:rFonts w:hint="eastAsia" w:ascii="宋体" w:hAnsi="宋体" w:eastAsia="宋体" w:cs="宋体"/>
          <w:szCs w:val="21"/>
          <w:lang w:val="en-US" w:eastAsia="zh-CN"/>
        </w:rPr>
        <w:t xml:space="preserve">    </w:t>
      </w:r>
    </w:p>
    <w:p w14:paraId="34F6E665">
      <w:pPr>
        <w:spacing w:line="360" w:lineRule="auto"/>
        <w:ind w:firstLine="422" w:firstLineChars="200"/>
        <w:rPr>
          <w:rFonts w:hint="eastAsia"/>
          <w:b/>
          <w:bCs/>
          <w:szCs w:val="21"/>
        </w:rPr>
      </w:pPr>
      <w:r>
        <w:rPr>
          <w:rFonts w:hint="eastAsia"/>
          <w:b/>
          <w:bCs/>
          <w:szCs w:val="21"/>
        </w:rPr>
        <w:t>三、双方的权利义务</w:t>
      </w:r>
    </w:p>
    <w:p w14:paraId="6932A58F">
      <w:pPr>
        <w:spacing w:line="360" w:lineRule="auto"/>
        <w:ind w:firstLine="422" w:firstLineChars="200"/>
        <w:rPr>
          <w:rFonts w:hint="eastAsia"/>
          <w:szCs w:val="21"/>
        </w:rPr>
      </w:pPr>
      <w:r>
        <w:rPr>
          <w:rFonts w:hint="eastAsia"/>
          <w:b/>
          <w:bCs/>
          <w:szCs w:val="21"/>
        </w:rPr>
        <w:t>（一）甲方的权利与义务</w:t>
      </w:r>
    </w:p>
    <w:p w14:paraId="52EF47B7">
      <w:pPr>
        <w:numPr>
          <w:ilvl w:val="0"/>
          <w:numId w:val="15"/>
        </w:numPr>
        <w:autoSpaceDE w:val="0"/>
        <w:autoSpaceDN w:val="0"/>
        <w:adjustRightInd w:val="0"/>
        <w:spacing w:line="360" w:lineRule="auto"/>
        <w:ind w:firstLine="420" w:firstLineChars="200"/>
        <w:rPr>
          <w:rFonts w:hint="eastAsia"/>
          <w:szCs w:val="21"/>
        </w:rPr>
      </w:pPr>
      <w:r>
        <w:rPr>
          <w:rFonts w:hint="eastAsia"/>
          <w:szCs w:val="21"/>
        </w:rPr>
        <w:t>甲方为第二阶段合同授予提供工作便利。</w:t>
      </w:r>
    </w:p>
    <w:p w14:paraId="46F127DB">
      <w:pPr>
        <w:numPr>
          <w:ilvl w:val="0"/>
          <w:numId w:val="15"/>
        </w:numPr>
        <w:autoSpaceDE w:val="0"/>
        <w:autoSpaceDN w:val="0"/>
        <w:adjustRightInd w:val="0"/>
        <w:spacing w:line="360" w:lineRule="auto"/>
        <w:ind w:firstLine="420" w:firstLineChars="200"/>
        <w:rPr>
          <w:rFonts w:hint="eastAsia"/>
          <w:szCs w:val="21"/>
        </w:rPr>
      </w:pPr>
      <w:r>
        <w:rPr>
          <w:rFonts w:hint="eastAsia"/>
          <w:szCs w:val="21"/>
        </w:rPr>
        <w:t>甲方对第二阶段最高限价和需求标准执行情况进行管理。</w:t>
      </w:r>
    </w:p>
    <w:p w14:paraId="24C86024">
      <w:pPr>
        <w:numPr>
          <w:ilvl w:val="0"/>
          <w:numId w:val="15"/>
        </w:numPr>
        <w:autoSpaceDE w:val="0"/>
        <w:autoSpaceDN w:val="0"/>
        <w:adjustRightInd w:val="0"/>
        <w:spacing w:line="360" w:lineRule="auto"/>
        <w:ind w:firstLine="420" w:firstLineChars="200"/>
        <w:rPr>
          <w:rFonts w:hint="eastAsia"/>
          <w:szCs w:val="21"/>
        </w:rPr>
      </w:pPr>
      <w:r>
        <w:rPr>
          <w:rFonts w:hint="eastAsia"/>
          <w:szCs w:val="21"/>
        </w:rPr>
        <w:t>甲方对第二阶段成交供应商的情况进行管理。</w:t>
      </w:r>
    </w:p>
    <w:p w14:paraId="2D94044D">
      <w:pPr>
        <w:numPr>
          <w:ilvl w:val="0"/>
          <w:numId w:val="15"/>
        </w:numPr>
        <w:autoSpaceDE w:val="0"/>
        <w:autoSpaceDN w:val="0"/>
        <w:adjustRightInd w:val="0"/>
        <w:spacing w:line="360" w:lineRule="auto"/>
        <w:ind w:firstLine="420" w:firstLineChars="200"/>
        <w:rPr>
          <w:rFonts w:hint="eastAsia"/>
          <w:szCs w:val="21"/>
        </w:rPr>
      </w:pPr>
      <w:r>
        <w:rPr>
          <w:rFonts w:hint="eastAsia"/>
          <w:szCs w:val="21"/>
        </w:rPr>
        <w:t>甲方根据框架协议约定，在</w:t>
      </w:r>
      <w:r>
        <w:rPr>
          <w:rFonts w:hint="eastAsia"/>
          <w:szCs w:val="21"/>
          <w:lang w:val="en-US" w:eastAsia="zh-CN"/>
        </w:rPr>
        <w:t>服务</w:t>
      </w:r>
      <w:r>
        <w:rPr>
          <w:rFonts w:hint="eastAsia"/>
          <w:szCs w:val="21"/>
        </w:rPr>
        <w:t>质量不降低、价格不提高的前提下，对入围供应商</w:t>
      </w:r>
      <w:r>
        <w:rPr>
          <w:rFonts w:hint="eastAsia"/>
          <w:szCs w:val="21"/>
          <w:lang w:val="en-US" w:eastAsia="zh-CN"/>
        </w:rPr>
        <w:t>提供优于基本服务的</w:t>
      </w:r>
      <w:r>
        <w:rPr>
          <w:rFonts w:hint="eastAsia"/>
          <w:szCs w:val="21"/>
        </w:rPr>
        <w:t>情</w:t>
      </w:r>
      <w:r>
        <w:rPr>
          <w:rFonts w:hint="eastAsia"/>
          <w:szCs w:val="21"/>
          <w:lang w:val="en-US" w:eastAsia="zh-CN"/>
        </w:rPr>
        <w:t>况</w:t>
      </w:r>
      <w:r>
        <w:rPr>
          <w:rFonts w:hint="eastAsia"/>
          <w:szCs w:val="21"/>
        </w:rPr>
        <w:t>进行审核。</w:t>
      </w:r>
    </w:p>
    <w:p w14:paraId="2C333012">
      <w:pPr>
        <w:numPr>
          <w:ilvl w:val="0"/>
          <w:numId w:val="15"/>
        </w:numPr>
        <w:autoSpaceDE w:val="0"/>
        <w:autoSpaceDN w:val="0"/>
        <w:adjustRightInd w:val="0"/>
        <w:spacing w:line="360" w:lineRule="auto"/>
        <w:ind w:firstLine="420" w:firstLineChars="200"/>
        <w:rPr>
          <w:rFonts w:hint="eastAsia"/>
          <w:szCs w:val="21"/>
        </w:rPr>
      </w:pPr>
      <w:r>
        <w:rPr>
          <w:rFonts w:hint="eastAsia"/>
          <w:szCs w:val="21"/>
        </w:rPr>
        <w:t>建立用户反馈和评价机制，接受服务对象对入围供应商履行框架协议和采购合同情况的反馈与评价，并将用户反馈和评价情况向服务对象公开，作为第二阶段直接选定成交供应商的参考。 </w:t>
      </w:r>
    </w:p>
    <w:p w14:paraId="31662069">
      <w:pPr>
        <w:numPr>
          <w:ilvl w:val="0"/>
          <w:numId w:val="15"/>
        </w:numPr>
        <w:autoSpaceDE w:val="0"/>
        <w:autoSpaceDN w:val="0"/>
        <w:adjustRightInd w:val="0"/>
        <w:spacing w:line="360" w:lineRule="auto"/>
        <w:ind w:firstLine="420" w:firstLineChars="200"/>
        <w:rPr>
          <w:rFonts w:hint="eastAsia"/>
          <w:szCs w:val="21"/>
        </w:rPr>
      </w:pPr>
      <w:r>
        <w:rPr>
          <w:rFonts w:hint="eastAsia"/>
          <w:szCs w:val="21"/>
        </w:rPr>
        <w:t>公开第二阶段成交结果。 </w:t>
      </w:r>
    </w:p>
    <w:p w14:paraId="059BAD7B">
      <w:pPr>
        <w:numPr>
          <w:ilvl w:val="0"/>
          <w:numId w:val="15"/>
        </w:numPr>
        <w:autoSpaceDE w:val="0"/>
        <w:autoSpaceDN w:val="0"/>
        <w:adjustRightInd w:val="0"/>
        <w:spacing w:line="360" w:lineRule="auto"/>
        <w:ind w:firstLine="420" w:firstLineChars="200"/>
        <w:rPr>
          <w:rFonts w:hint="eastAsia"/>
          <w:szCs w:val="21"/>
        </w:rPr>
      </w:pPr>
      <w:r>
        <w:rPr>
          <w:rFonts w:hint="eastAsia"/>
          <w:szCs w:val="21"/>
        </w:rPr>
        <w:t>办理入围供应商清退和补充相关事宜。</w:t>
      </w:r>
    </w:p>
    <w:p w14:paraId="35080F83">
      <w:pPr>
        <w:spacing w:line="360" w:lineRule="auto"/>
        <w:ind w:firstLine="422" w:firstLineChars="200"/>
        <w:rPr>
          <w:rFonts w:hint="eastAsia"/>
          <w:b/>
          <w:bCs/>
        </w:rPr>
      </w:pPr>
      <w:r>
        <w:rPr>
          <w:rFonts w:hint="eastAsia"/>
          <w:b/>
          <w:bCs/>
        </w:rPr>
        <w:t>（二）乙方的权利</w:t>
      </w:r>
      <w:r>
        <w:rPr>
          <w:rFonts w:hint="eastAsia"/>
          <w:b/>
          <w:bCs/>
          <w:szCs w:val="21"/>
        </w:rPr>
        <w:t>与</w:t>
      </w:r>
      <w:r>
        <w:rPr>
          <w:rFonts w:hint="eastAsia"/>
          <w:b/>
          <w:bCs/>
        </w:rPr>
        <w:t>义务</w:t>
      </w:r>
    </w:p>
    <w:p w14:paraId="25AF7DD5">
      <w:pPr>
        <w:numPr>
          <w:ilvl w:val="0"/>
          <w:numId w:val="16"/>
        </w:numPr>
        <w:autoSpaceDE w:val="0"/>
        <w:autoSpaceDN w:val="0"/>
        <w:adjustRightInd w:val="0"/>
        <w:spacing w:line="360" w:lineRule="auto"/>
        <w:ind w:firstLine="420" w:firstLineChars="200"/>
        <w:rPr>
          <w:rFonts w:hint="eastAsia"/>
          <w:szCs w:val="21"/>
        </w:rPr>
      </w:pPr>
      <w:r>
        <w:rPr>
          <w:rFonts w:hint="eastAsia"/>
          <w:szCs w:val="21"/>
        </w:rPr>
        <w:t>被服务对象确定为成交供应商后，乙方在入围范围内取得向服务对象提供入围的服务的资格。如果成为第二阶段供应商，有签订</w:t>
      </w:r>
      <w:r>
        <w:rPr>
          <w:rFonts w:hint="eastAsia"/>
          <w:szCs w:val="21"/>
          <w:lang w:val="en-US" w:eastAsia="zh-CN"/>
        </w:rPr>
        <w:t>项目</w:t>
      </w:r>
      <w:r>
        <w:rPr>
          <w:rFonts w:hint="eastAsia"/>
          <w:szCs w:val="21"/>
        </w:rPr>
        <w:t>合同的义务。</w:t>
      </w:r>
    </w:p>
    <w:p w14:paraId="7E7F3763">
      <w:pPr>
        <w:numPr>
          <w:ilvl w:val="0"/>
          <w:numId w:val="16"/>
        </w:numPr>
        <w:autoSpaceDE w:val="0"/>
        <w:autoSpaceDN w:val="0"/>
        <w:adjustRightInd w:val="0"/>
        <w:spacing w:line="360" w:lineRule="auto"/>
        <w:ind w:firstLine="420" w:firstLineChars="200"/>
        <w:rPr>
          <w:rFonts w:hint="eastAsia"/>
          <w:szCs w:val="21"/>
        </w:rPr>
      </w:pPr>
      <w:r>
        <w:rPr>
          <w:rFonts w:hint="eastAsia"/>
          <w:szCs w:val="21"/>
        </w:rPr>
        <w:t>乙方保证，在质量不降低，价格不提高的前提下，</w:t>
      </w:r>
      <w:r>
        <w:rPr>
          <w:rFonts w:hint="eastAsia"/>
          <w:szCs w:val="21"/>
          <w:lang w:val="en-US" w:eastAsia="zh-CN"/>
        </w:rPr>
        <w:t>提供更优质的服务</w:t>
      </w:r>
      <w:r>
        <w:rPr>
          <w:rFonts w:hint="eastAsia"/>
          <w:szCs w:val="21"/>
        </w:rPr>
        <w:t>。</w:t>
      </w:r>
    </w:p>
    <w:p w14:paraId="0C2E57A6">
      <w:pPr>
        <w:numPr>
          <w:ilvl w:val="0"/>
          <w:numId w:val="16"/>
        </w:numPr>
        <w:autoSpaceDE w:val="0"/>
        <w:autoSpaceDN w:val="0"/>
        <w:adjustRightInd w:val="0"/>
        <w:spacing w:line="360" w:lineRule="auto"/>
        <w:ind w:firstLine="420" w:firstLineChars="200"/>
        <w:rPr>
          <w:rFonts w:hint="eastAsia"/>
          <w:szCs w:val="21"/>
        </w:rPr>
      </w:pPr>
      <w:r>
        <w:rPr>
          <w:rFonts w:hint="eastAsia"/>
          <w:szCs w:val="21"/>
        </w:rPr>
        <w:t>乙方同意甲方为实施政府采购工作的需要，可以在相关政府采购网站和相关文件上公布乙方服务价格等相关信息，且无需事先经过乙方审查同意，任何在官方媒体的信息公布均属于或均被视为符合法律程序的信息公布，均不属于对有关保密义务的违反。</w:t>
      </w:r>
    </w:p>
    <w:p w14:paraId="22673913">
      <w:pPr>
        <w:numPr>
          <w:ilvl w:val="0"/>
          <w:numId w:val="16"/>
        </w:numPr>
        <w:autoSpaceDE w:val="0"/>
        <w:autoSpaceDN w:val="0"/>
        <w:adjustRightInd w:val="0"/>
        <w:spacing w:line="360" w:lineRule="auto"/>
        <w:ind w:firstLine="420" w:firstLineChars="200"/>
        <w:rPr>
          <w:rFonts w:hint="eastAsia"/>
          <w:szCs w:val="21"/>
        </w:rPr>
      </w:pPr>
      <w:r>
        <w:rPr>
          <w:rFonts w:hint="eastAsia"/>
          <w:szCs w:val="21"/>
        </w:rPr>
        <w:t>乙方承诺在本项目项下的任何行为均将严格遵守法律、法规的规定，包括但不限于应当符合有关依法纳税、环境保护、</w:t>
      </w:r>
      <w:r>
        <w:rPr>
          <w:rFonts w:hint="eastAsia"/>
          <w:szCs w:val="21"/>
          <w:lang w:val="en-US" w:eastAsia="zh-CN"/>
        </w:rPr>
        <w:t>安全生产、</w:t>
      </w:r>
      <w:r>
        <w:rPr>
          <w:rFonts w:hint="eastAsia"/>
          <w:szCs w:val="21"/>
        </w:rPr>
        <w:t>知识产权、童工禁用、劳动保护、劳动保险与待遇等各方面的规定。尽管乙方已做出上述保证，若一旦发生违反法律、法规、承诺之任何情形，均属乙方单方面之因素、原因、责任，任何情况下乙方均应当承担相应的法律责任。</w:t>
      </w:r>
    </w:p>
    <w:p w14:paraId="6C827FD1">
      <w:pPr>
        <w:numPr>
          <w:ilvl w:val="0"/>
          <w:numId w:val="16"/>
        </w:numPr>
        <w:autoSpaceDE w:val="0"/>
        <w:autoSpaceDN w:val="0"/>
        <w:adjustRightInd w:val="0"/>
        <w:spacing w:line="360" w:lineRule="auto"/>
        <w:ind w:firstLine="420" w:firstLineChars="200"/>
        <w:rPr>
          <w:rFonts w:hint="eastAsia"/>
          <w:szCs w:val="21"/>
        </w:rPr>
      </w:pPr>
      <w:r>
        <w:rPr>
          <w:rFonts w:hint="eastAsia"/>
          <w:szCs w:val="21"/>
        </w:rPr>
        <w:t>乙方有下列情形之一的，尚未签订框架协议的，取消其入围资格；已经签订框架协议的，解除与其签订的框架协议：恶意串通谋取入围或者合同成交的；提供虚假材料谋取入围或者合同成交的；无正当理由拒不接受合同授予的；不履行合同义务或者履行合同义务不符合约定，经采购人请求履行后仍不履行或者仍未按约定履行的；框架协议有效期内，因违法行为被禁止或限制参加政府采购活动的。</w:t>
      </w:r>
    </w:p>
    <w:p w14:paraId="3EB72A9D">
      <w:pPr>
        <w:numPr>
          <w:ilvl w:val="0"/>
          <w:numId w:val="17"/>
        </w:numPr>
        <w:spacing w:line="360" w:lineRule="auto"/>
        <w:ind w:left="420" w:leftChars="200"/>
        <w:rPr>
          <w:rFonts w:hint="eastAsia"/>
          <w:b/>
          <w:bCs/>
          <w:szCs w:val="21"/>
        </w:rPr>
      </w:pPr>
      <w:r>
        <w:rPr>
          <w:rFonts w:hint="eastAsia"/>
          <w:b/>
          <w:bCs/>
          <w:szCs w:val="21"/>
          <w:shd w:val="clear" w:color="auto" w:fill="FFFFFF"/>
        </w:rPr>
        <w:t>第一阶段的入围服务内容、</w:t>
      </w:r>
      <w:r>
        <w:rPr>
          <w:rFonts w:hint="eastAsia"/>
          <w:b/>
          <w:bCs/>
          <w:szCs w:val="21"/>
          <w:shd w:val="clear" w:color="auto" w:fill="FFFFFF"/>
          <w:lang w:val="en-US" w:eastAsia="zh-CN"/>
        </w:rPr>
        <w:t>质量要求、框架协议期限</w:t>
      </w:r>
      <w:r>
        <w:rPr>
          <w:rFonts w:hint="eastAsia"/>
          <w:b/>
          <w:bCs/>
          <w:szCs w:val="21"/>
          <w:shd w:val="clear" w:color="auto" w:fill="FFFFFF"/>
        </w:rPr>
        <w:t>及协议价格</w:t>
      </w:r>
    </w:p>
    <w:p w14:paraId="3F9BB0AF">
      <w:pPr>
        <w:spacing w:line="360" w:lineRule="auto"/>
        <w:ind w:firstLine="420" w:firstLineChars="200"/>
        <w:rPr>
          <w:szCs w:val="21"/>
          <w:u w:val="single"/>
          <w:shd w:val="clear" w:color="auto" w:fill="FFFFFF"/>
        </w:rPr>
      </w:pPr>
      <w:r>
        <w:rPr>
          <w:rFonts w:hint="eastAsia"/>
          <w:szCs w:val="21"/>
          <w:shd w:val="clear" w:color="auto" w:fill="FFFFFF"/>
        </w:rPr>
        <w:t>服务内容：</w:t>
      </w:r>
      <w:r>
        <w:rPr>
          <w:rFonts w:hint="eastAsia"/>
          <w:szCs w:val="21"/>
          <w:u w:val="single"/>
          <w:shd w:val="clear" w:color="auto" w:fill="FFFFFF"/>
        </w:rPr>
        <w:t xml:space="preserve">  </w:t>
      </w:r>
      <w:r>
        <w:rPr>
          <w:rFonts w:hint="eastAsia"/>
          <w:szCs w:val="21"/>
          <w:u w:val="single"/>
          <w:lang w:val="en-US" w:eastAsia="zh-CN"/>
        </w:rPr>
        <w:t xml:space="preserve">                                   </w:t>
      </w:r>
      <w:r>
        <w:rPr>
          <w:rFonts w:hint="eastAsia"/>
          <w:szCs w:val="21"/>
          <w:u w:val="single"/>
          <w:shd w:val="clear" w:color="auto" w:fill="FFFFFF"/>
        </w:rPr>
        <w:t xml:space="preserve">     </w:t>
      </w:r>
    </w:p>
    <w:p w14:paraId="0716F065">
      <w:pPr>
        <w:spacing w:line="360" w:lineRule="auto"/>
        <w:ind w:firstLine="420" w:firstLineChars="200"/>
        <w:rPr>
          <w:rFonts w:hint="eastAsia"/>
          <w:szCs w:val="21"/>
          <w:u w:val="single"/>
          <w:shd w:val="clear" w:color="auto" w:fill="FFFFFF"/>
        </w:rPr>
      </w:pPr>
      <w:r>
        <w:rPr>
          <w:rFonts w:hint="eastAsia"/>
          <w:szCs w:val="21"/>
          <w:shd w:val="clear" w:color="auto" w:fill="FFFFFF"/>
          <w:lang w:val="en-US" w:eastAsia="zh-CN"/>
        </w:rPr>
        <w:t>质量要求</w:t>
      </w:r>
      <w:r>
        <w:rPr>
          <w:rFonts w:hint="eastAsia"/>
          <w:szCs w:val="21"/>
          <w:shd w:val="clear" w:color="auto" w:fill="FFFFFF"/>
        </w:rPr>
        <w:t>：</w:t>
      </w:r>
      <w:r>
        <w:rPr>
          <w:rFonts w:hint="eastAsia"/>
          <w:szCs w:val="21"/>
          <w:u w:val="single"/>
          <w:shd w:val="clear" w:color="auto" w:fill="FFFFFF"/>
        </w:rPr>
        <w:t xml:space="preserve">  </w:t>
      </w:r>
      <w:r>
        <w:rPr>
          <w:rFonts w:hint="eastAsia"/>
          <w:szCs w:val="21"/>
          <w:u w:val="single"/>
          <w:lang w:val="en-US" w:eastAsia="zh-CN"/>
        </w:rPr>
        <w:t xml:space="preserve">                                    </w:t>
      </w:r>
      <w:r>
        <w:rPr>
          <w:rFonts w:hint="eastAsia"/>
          <w:szCs w:val="21"/>
          <w:u w:val="single"/>
          <w:shd w:val="clear" w:color="auto" w:fill="FFFFFF"/>
        </w:rPr>
        <w:t xml:space="preserve">    </w:t>
      </w:r>
    </w:p>
    <w:p w14:paraId="7F273BC9">
      <w:pPr>
        <w:spacing w:line="360" w:lineRule="auto"/>
        <w:ind w:firstLine="420" w:firstLineChars="200"/>
        <w:rPr>
          <w:rFonts w:hint="eastAsia"/>
          <w:szCs w:val="21"/>
          <w:u w:val="single"/>
          <w:shd w:val="clear" w:color="auto" w:fill="FFFFFF"/>
          <w:lang w:val="en-US" w:eastAsia="zh-CN"/>
        </w:rPr>
      </w:pPr>
      <w:r>
        <w:rPr>
          <w:rFonts w:hint="eastAsia"/>
          <w:b w:val="0"/>
          <w:bCs w:val="0"/>
          <w:szCs w:val="21"/>
          <w:shd w:val="clear" w:color="auto" w:fill="FFFFFF"/>
          <w:lang w:val="en-US" w:eastAsia="zh-CN"/>
        </w:rPr>
        <w:t>框架协议期限</w:t>
      </w:r>
      <w:r>
        <w:rPr>
          <w:rFonts w:hint="eastAsia"/>
          <w:b/>
          <w:bCs/>
          <w:szCs w:val="21"/>
          <w:shd w:val="clear" w:color="auto" w:fill="FFFFFF"/>
          <w:lang w:val="en-US" w:eastAsia="zh-CN"/>
        </w:rPr>
        <w:t>：</w:t>
      </w:r>
      <w:r>
        <w:rPr>
          <w:rFonts w:hint="eastAsia"/>
          <w:szCs w:val="21"/>
          <w:u w:val="single"/>
          <w:shd w:val="clear" w:color="auto" w:fill="FFFFFF"/>
        </w:rPr>
        <w:t xml:space="preserve">  </w:t>
      </w:r>
      <w:r>
        <w:rPr>
          <w:rFonts w:hint="eastAsia"/>
          <w:szCs w:val="21"/>
          <w:u w:val="single"/>
          <w:lang w:val="en-US" w:eastAsia="zh-CN"/>
        </w:rPr>
        <w:t xml:space="preserve">                                    </w:t>
      </w:r>
    </w:p>
    <w:p w14:paraId="4A8191CA">
      <w:pPr>
        <w:spacing w:line="360" w:lineRule="auto"/>
        <w:ind w:firstLine="420" w:firstLineChars="200"/>
        <w:rPr>
          <w:rFonts w:hint="eastAsia" w:eastAsia="宋体"/>
          <w:szCs w:val="21"/>
          <w:u w:val="none"/>
          <w:shd w:val="clear" w:color="auto" w:fill="FFFFFF"/>
          <w:lang w:val="en-US" w:eastAsia="zh-CN"/>
        </w:rPr>
      </w:pPr>
      <w:r>
        <w:rPr>
          <w:rFonts w:hint="eastAsia"/>
          <w:szCs w:val="21"/>
          <w:u w:val="none"/>
          <w:shd w:val="clear" w:color="auto" w:fill="FFFFFF"/>
          <w:lang w:val="en-US" w:eastAsia="zh-CN"/>
        </w:rPr>
        <w:t>协议价格：</w:t>
      </w:r>
      <w:r>
        <w:rPr>
          <w:rFonts w:hint="eastAsia"/>
          <w:szCs w:val="21"/>
          <w:u w:val="single"/>
          <w:shd w:val="clear" w:color="auto" w:fill="FFFFFF"/>
        </w:rPr>
        <w:t xml:space="preserve">  </w:t>
      </w:r>
      <w:r>
        <w:rPr>
          <w:rFonts w:hint="eastAsia"/>
          <w:szCs w:val="21"/>
          <w:u w:val="single"/>
          <w:lang w:val="en-US" w:eastAsia="zh-CN"/>
        </w:rPr>
        <w:t xml:space="preserve">                                    </w:t>
      </w:r>
      <w:r>
        <w:rPr>
          <w:rFonts w:hint="eastAsia"/>
          <w:szCs w:val="21"/>
          <w:u w:val="single"/>
          <w:shd w:val="clear" w:color="auto" w:fill="FFFFFF"/>
        </w:rPr>
        <w:t xml:space="preserve">    </w:t>
      </w:r>
    </w:p>
    <w:p w14:paraId="4B2D7182">
      <w:pPr>
        <w:numPr>
          <w:ilvl w:val="0"/>
          <w:numId w:val="17"/>
        </w:numPr>
        <w:spacing w:line="360" w:lineRule="auto"/>
        <w:ind w:left="420" w:leftChars="200"/>
        <w:rPr>
          <w:rFonts w:hint="eastAsia"/>
          <w:b/>
          <w:bCs/>
          <w:szCs w:val="21"/>
        </w:rPr>
      </w:pPr>
      <w:r>
        <w:rPr>
          <w:rFonts w:hint="eastAsia"/>
          <w:b/>
          <w:bCs/>
          <w:szCs w:val="21"/>
        </w:rPr>
        <w:t>确定第二阶段成交供应商的方式</w:t>
      </w:r>
    </w:p>
    <w:p w14:paraId="15D98B80">
      <w:pPr>
        <w:autoSpaceDE w:val="0"/>
        <w:autoSpaceDN w:val="0"/>
        <w:adjustRightInd w:val="0"/>
        <w:spacing w:line="360" w:lineRule="auto"/>
        <w:ind w:left="420"/>
        <w:rPr>
          <w:szCs w:val="21"/>
          <w:highlight w:val="none"/>
        </w:rPr>
      </w:pPr>
      <w:r>
        <w:rPr>
          <w:rFonts w:hint="eastAsia"/>
          <w:szCs w:val="21"/>
          <w:highlight w:val="none"/>
          <w:u w:val="single"/>
        </w:rPr>
        <w:t xml:space="preserve">  采用直接选定的方式。</w:t>
      </w:r>
    </w:p>
    <w:p w14:paraId="66A65ED8">
      <w:pPr>
        <w:numPr>
          <w:ilvl w:val="0"/>
          <w:numId w:val="17"/>
        </w:numPr>
        <w:spacing w:line="360" w:lineRule="auto"/>
        <w:ind w:firstLine="422" w:firstLineChars="200"/>
        <w:rPr>
          <w:rFonts w:hint="eastAsia"/>
          <w:b/>
          <w:bCs/>
          <w:szCs w:val="21"/>
          <w:highlight w:val="none"/>
        </w:rPr>
      </w:pPr>
      <w:r>
        <w:rPr>
          <w:rFonts w:hint="eastAsia"/>
          <w:b/>
          <w:bCs/>
          <w:szCs w:val="21"/>
          <w:highlight w:val="none"/>
        </w:rPr>
        <w:t>资金支付方式、时间和条件</w:t>
      </w:r>
    </w:p>
    <w:p w14:paraId="4CEC9B71">
      <w:pPr>
        <w:numPr>
          <w:ilvl w:val="0"/>
          <w:numId w:val="0"/>
        </w:numPr>
        <w:spacing w:line="360" w:lineRule="auto"/>
        <w:rPr>
          <w:rFonts w:hint="eastAsia"/>
          <w:szCs w:val="21"/>
          <w:u w:val="none"/>
          <w:lang w:val="en-US" w:eastAsia="zh-CN"/>
        </w:rPr>
      </w:pPr>
      <w:r>
        <w:rPr>
          <w:rFonts w:hint="eastAsia"/>
          <w:szCs w:val="21"/>
          <w:u w:val="none"/>
          <w:shd w:val="clear" w:color="auto" w:fill="FFFFFF"/>
          <w:lang w:val="en-US" w:eastAsia="zh-CN"/>
        </w:rPr>
        <w:t xml:space="preserve">     资金支付方式：</w:t>
      </w:r>
      <w:r>
        <w:rPr>
          <w:rFonts w:hint="eastAsia"/>
          <w:szCs w:val="21"/>
          <w:u w:val="single"/>
          <w:lang w:val="en-US" w:eastAsia="zh-CN"/>
        </w:rPr>
        <w:t>供应商的结算单价以“交通设施维修项目清单”给出的单价乘以中标费率为准，工程量以实际发生为准，据实结算。</w:t>
      </w:r>
      <w:r>
        <w:rPr>
          <w:rFonts w:hint="eastAsia"/>
          <w:szCs w:val="21"/>
          <w:u w:val="none"/>
          <w:lang w:val="en-US" w:eastAsia="zh-CN"/>
        </w:rPr>
        <w:t xml:space="preserve"> </w:t>
      </w:r>
    </w:p>
    <w:p w14:paraId="063C5381">
      <w:pPr>
        <w:numPr>
          <w:ilvl w:val="0"/>
          <w:numId w:val="0"/>
        </w:numPr>
        <w:spacing w:line="360" w:lineRule="auto"/>
        <w:rPr>
          <w:rFonts w:hint="eastAsia"/>
          <w:b/>
          <w:bCs/>
          <w:szCs w:val="21"/>
          <w:highlight w:val="none"/>
          <w:u w:val="single"/>
          <w:lang w:val="en-US" w:eastAsia="zh-CN"/>
        </w:rPr>
      </w:pPr>
      <w:r>
        <w:rPr>
          <w:rFonts w:hint="eastAsia"/>
          <w:szCs w:val="21"/>
          <w:u w:val="none"/>
          <w:lang w:val="en-US" w:eastAsia="zh-CN"/>
        </w:rPr>
        <w:t xml:space="preserve">      </w:t>
      </w:r>
      <w:r>
        <w:rPr>
          <w:rFonts w:hint="eastAsia"/>
          <w:szCs w:val="21"/>
          <w:u w:val="none"/>
          <w:shd w:val="clear" w:color="auto" w:fill="FFFFFF"/>
        </w:rPr>
        <w:t xml:space="preserve"> </w:t>
      </w:r>
      <w:r>
        <w:rPr>
          <w:rFonts w:hint="eastAsia"/>
          <w:szCs w:val="21"/>
          <w:u w:val="none"/>
          <w:shd w:val="clear" w:color="auto" w:fill="FFFFFF"/>
          <w:lang w:val="en-US" w:eastAsia="zh-CN"/>
        </w:rPr>
        <w:t>时间和条件：</w:t>
      </w:r>
      <w:r>
        <w:rPr>
          <w:rFonts w:hint="eastAsia"/>
          <w:b/>
          <w:bCs/>
          <w:szCs w:val="21"/>
          <w:highlight w:val="none"/>
          <w:u w:val="single"/>
          <w:lang w:val="en-US" w:eastAsia="zh-CN"/>
        </w:rPr>
        <w:t xml:space="preserve">                    </w:t>
      </w:r>
    </w:p>
    <w:p w14:paraId="06D5A609">
      <w:pPr>
        <w:numPr>
          <w:ilvl w:val="0"/>
          <w:numId w:val="0"/>
        </w:numPr>
        <w:spacing w:line="360" w:lineRule="auto"/>
        <w:rPr>
          <w:rFonts w:hint="eastAsia"/>
          <w:b/>
          <w:bCs/>
          <w:szCs w:val="21"/>
        </w:rPr>
      </w:pPr>
      <w:r>
        <w:rPr>
          <w:rFonts w:hint="eastAsia"/>
          <w:b/>
          <w:bCs/>
          <w:szCs w:val="21"/>
        </w:rPr>
        <w:t>入围供应商清退和补充规则</w:t>
      </w:r>
    </w:p>
    <w:p w14:paraId="33105F5E">
      <w:pPr>
        <w:numPr>
          <w:ilvl w:val="0"/>
          <w:numId w:val="18"/>
        </w:numPr>
        <w:autoSpaceDE w:val="0"/>
        <w:autoSpaceDN w:val="0"/>
        <w:adjustRightInd w:val="0"/>
        <w:spacing w:line="360" w:lineRule="auto"/>
        <w:ind w:firstLine="420" w:firstLineChars="200"/>
        <w:rPr>
          <w:rFonts w:hint="eastAsia"/>
          <w:szCs w:val="21"/>
        </w:rPr>
      </w:pPr>
      <w:r>
        <w:rPr>
          <w:rFonts w:hint="eastAsia"/>
          <w:szCs w:val="21"/>
        </w:rPr>
        <w:t>入围供应商无正当理由，不得主动放弃入围资格或者退出框架协议。</w:t>
      </w:r>
    </w:p>
    <w:p w14:paraId="1272C871">
      <w:pPr>
        <w:spacing w:line="360" w:lineRule="auto"/>
        <w:ind w:firstLine="420" w:firstLineChars="200"/>
        <w:rPr>
          <w:rFonts w:hint="eastAsia"/>
          <w:szCs w:val="21"/>
        </w:rPr>
      </w:pPr>
      <w:r>
        <w:rPr>
          <w:rFonts w:hint="eastAsia"/>
          <w:szCs w:val="21"/>
        </w:rPr>
        <w:t>如发现乙方以下情况，甲方有权要求乙方退出框架协议：</w:t>
      </w:r>
    </w:p>
    <w:p w14:paraId="5B9B9039">
      <w:pPr>
        <w:spacing w:line="360" w:lineRule="auto"/>
        <w:ind w:firstLine="420" w:firstLineChars="200"/>
        <w:rPr>
          <w:rFonts w:hint="eastAsia"/>
          <w:u w:val="single"/>
        </w:rPr>
      </w:pPr>
      <w:r>
        <w:rPr>
          <w:rFonts w:hint="eastAsia"/>
          <w:u w:val="none"/>
        </w:rPr>
        <w:t>（1）</w:t>
      </w:r>
      <w:r>
        <w:rPr>
          <w:rFonts w:hint="eastAsia"/>
          <w:u w:val="single"/>
        </w:rPr>
        <w:t>有重大违法记录，受到其他行政处罚或行业惩戒，被行业监管部门列为经营异常目录，被人民法院列为被执行人或者失信被执行人名单的；</w:t>
      </w:r>
    </w:p>
    <w:p w14:paraId="568F97A8">
      <w:pPr>
        <w:spacing w:line="360" w:lineRule="auto"/>
        <w:ind w:firstLine="420" w:firstLineChars="200"/>
        <w:rPr>
          <w:rFonts w:hint="eastAsia"/>
          <w:u w:val="single"/>
        </w:rPr>
      </w:pPr>
      <w:r>
        <w:rPr>
          <w:rFonts w:hint="eastAsia"/>
          <w:u w:val="none"/>
        </w:rPr>
        <w:t>（2）</w:t>
      </w:r>
      <w:r>
        <w:rPr>
          <w:rFonts w:hint="eastAsia"/>
          <w:u w:val="single"/>
        </w:rPr>
        <w:t>在企业资质、业绩、执业人员等方面提供不真实信息的；</w:t>
      </w:r>
    </w:p>
    <w:p w14:paraId="6B89172F">
      <w:pPr>
        <w:spacing w:line="360" w:lineRule="auto"/>
        <w:ind w:firstLine="420" w:firstLineChars="200"/>
        <w:rPr>
          <w:rFonts w:hint="eastAsia"/>
          <w:u w:val="single"/>
        </w:rPr>
      </w:pPr>
      <w:r>
        <w:rPr>
          <w:rFonts w:hint="eastAsia"/>
          <w:u w:val="none"/>
        </w:rPr>
        <w:t>（3）</w:t>
      </w:r>
      <w:r>
        <w:rPr>
          <w:rFonts w:hint="eastAsia"/>
          <w:u w:val="single"/>
        </w:rPr>
        <w:t>与项目单位或关联方串通舞弊，弄虚作假的；</w:t>
      </w:r>
    </w:p>
    <w:p w14:paraId="35FA1B50">
      <w:pPr>
        <w:spacing w:line="360" w:lineRule="auto"/>
        <w:ind w:firstLine="420" w:firstLineChars="200"/>
        <w:rPr>
          <w:rFonts w:hint="eastAsia"/>
          <w:u w:val="single"/>
        </w:rPr>
      </w:pPr>
      <w:r>
        <w:rPr>
          <w:rFonts w:hint="eastAsia"/>
          <w:u w:val="none"/>
        </w:rPr>
        <w:t>（4）</w:t>
      </w:r>
      <w:r>
        <w:rPr>
          <w:rFonts w:hint="eastAsia"/>
          <w:u w:val="single"/>
        </w:rPr>
        <w:t>索取或接受被审核单位礼金、有价证券、礼品、宴请等违反廉政规定的；</w:t>
      </w:r>
    </w:p>
    <w:p w14:paraId="71D28E0C">
      <w:pPr>
        <w:spacing w:line="360" w:lineRule="auto"/>
        <w:ind w:firstLine="420" w:firstLineChars="200"/>
        <w:rPr>
          <w:rFonts w:hint="eastAsia"/>
          <w:u w:val="single"/>
        </w:rPr>
      </w:pPr>
      <w:r>
        <w:rPr>
          <w:rFonts w:hint="eastAsia"/>
          <w:u w:val="none"/>
        </w:rPr>
        <w:t>（5）</w:t>
      </w:r>
      <w:r>
        <w:rPr>
          <w:rFonts w:hint="eastAsia"/>
          <w:u w:val="single"/>
        </w:rPr>
        <w:t>出具的评审报告严重失误的；</w:t>
      </w:r>
    </w:p>
    <w:p w14:paraId="5BA7E03E">
      <w:pPr>
        <w:spacing w:line="360" w:lineRule="auto"/>
        <w:ind w:firstLine="420" w:firstLineChars="200"/>
        <w:rPr>
          <w:rFonts w:hint="eastAsia"/>
          <w:u w:val="single"/>
        </w:rPr>
      </w:pPr>
      <w:r>
        <w:rPr>
          <w:rFonts w:hint="eastAsia"/>
          <w:u w:val="none"/>
        </w:rPr>
        <w:t>（6）</w:t>
      </w:r>
      <w:r>
        <w:rPr>
          <w:rFonts w:hint="eastAsia"/>
          <w:u w:val="single"/>
        </w:rPr>
        <w:t>工作失误给国家造成损失的；</w:t>
      </w:r>
    </w:p>
    <w:p w14:paraId="26812BFB">
      <w:pPr>
        <w:spacing w:line="360" w:lineRule="auto"/>
        <w:ind w:firstLine="420" w:firstLineChars="200"/>
        <w:rPr>
          <w:rFonts w:hint="eastAsia"/>
          <w:u w:val="single"/>
        </w:rPr>
      </w:pPr>
      <w:r>
        <w:rPr>
          <w:rFonts w:hint="eastAsia"/>
          <w:u w:val="none"/>
        </w:rPr>
        <w:t>（7）</w:t>
      </w:r>
      <w:r>
        <w:rPr>
          <w:rFonts w:hint="eastAsia"/>
          <w:u w:val="single"/>
        </w:rPr>
        <w:t>违反保密及回避规定的；</w:t>
      </w:r>
    </w:p>
    <w:p w14:paraId="27967C68">
      <w:pPr>
        <w:spacing w:line="360" w:lineRule="auto"/>
        <w:ind w:firstLine="420" w:firstLineChars="200"/>
        <w:rPr>
          <w:rFonts w:hint="eastAsia"/>
          <w:u w:val="single"/>
        </w:rPr>
      </w:pPr>
      <w:r>
        <w:rPr>
          <w:rFonts w:hint="eastAsia"/>
          <w:u w:val="none"/>
        </w:rPr>
        <w:t>（8）</w:t>
      </w:r>
      <w:r>
        <w:rPr>
          <w:rFonts w:hint="eastAsia"/>
          <w:u w:val="single"/>
        </w:rPr>
        <w:t>拒绝接受委托单位的监督，不履行合同义务的；</w:t>
      </w:r>
    </w:p>
    <w:p w14:paraId="2C7A924F">
      <w:pPr>
        <w:spacing w:line="360" w:lineRule="auto"/>
        <w:ind w:firstLine="420" w:firstLineChars="200"/>
        <w:rPr>
          <w:rFonts w:hint="eastAsia"/>
          <w:u w:val="single"/>
        </w:rPr>
      </w:pPr>
      <w:r>
        <w:rPr>
          <w:rFonts w:hint="eastAsia"/>
          <w:u w:val="none"/>
        </w:rPr>
        <w:t>（9）</w:t>
      </w:r>
      <w:r>
        <w:rPr>
          <w:rFonts w:hint="eastAsia"/>
          <w:u w:val="single"/>
        </w:rPr>
        <w:t>转让其应履行合同义务的；</w:t>
      </w:r>
    </w:p>
    <w:p w14:paraId="21F2FDD0">
      <w:pPr>
        <w:spacing w:line="360" w:lineRule="auto"/>
        <w:ind w:firstLine="420" w:firstLineChars="200"/>
        <w:rPr>
          <w:rFonts w:hint="eastAsia"/>
          <w:u w:val="single"/>
        </w:rPr>
      </w:pPr>
      <w:r>
        <w:rPr>
          <w:rFonts w:hint="eastAsia"/>
          <w:u w:val="none"/>
        </w:rPr>
        <w:t>（10）</w:t>
      </w:r>
      <w:r>
        <w:rPr>
          <w:rFonts w:hint="eastAsia"/>
          <w:u w:val="single"/>
        </w:rPr>
        <w:t>一年内有一次拒绝或推脱提供服务的，或一个服务期内累计两次拒绝或推脱提供服务的；</w:t>
      </w:r>
    </w:p>
    <w:p w14:paraId="3ADBB12F">
      <w:pPr>
        <w:numPr>
          <w:ilvl w:val="0"/>
          <w:numId w:val="0"/>
        </w:numPr>
        <w:autoSpaceDE w:val="0"/>
        <w:autoSpaceDN w:val="0"/>
        <w:adjustRightInd w:val="0"/>
        <w:spacing w:line="360" w:lineRule="auto"/>
        <w:ind w:firstLine="420" w:firstLineChars="200"/>
        <w:rPr>
          <w:rFonts w:hint="eastAsia"/>
          <w:u w:val="single"/>
        </w:rPr>
      </w:pPr>
      <w:r>
        <w:rPr>
          <w:rFonts w:hint="eastAsia" w:ascii="宋体" w:hAnsi="宋体" w:eastAsia="宋体" w:cs="宋体"/>
          <w:kern w:val="2"/>
          <w:sz w:val="21"/>
          <w:szCs w:val="24"/>
          <w:u w:val="none"/>
          <w:lang w:val="en-US" w:eastAsia="zh-CN" w:bidi="ar-SA"/>
        </w:rPr>
        <w:t>（11）</w:t>
      </w:r>
      <w:r>
        <w:rPr>
          <w:rFonts w:hint="eastAsia"/>
          <w:u w:val="single"/>
        </w:rPr>
        <w:t>考核受到处罚被取消提供服务资格的；</w:t>
      </w:r>
    </w:p>
    <w:p w14:paraId="79C053B6">
      <w:pPr>
        <w:numPr>
          <w:ilvl w:val="0"/>
          <w:numId w:val="0"/>
        </w:numPr>
        <w:autoSpaceDE w:val="0"/>
        <w:autoSpaceDN w:val="0"/>
        <w:adjustRightInd w:val="0"/>
        <w:spacing w:line="360" w:lineRule="auto"/>
        <w:ind w:firstLine="420" w:firstLineChars="200"/>
        <w:rPr>
          <w:rFonts w:hint="eastAsia"/>
          <w:u w:val="single"/>
        </w:rPr>
      </w:pPr>
      <w:r>
        <w:rPr>
          <w:rFonts w:hint="eastAsia"/>
          <w:u w:val="none"/>
        </w:rPr>
        <w:t>（12）</w:t>
      </w:r>
      <w:r>
        <w:rPr>
          <w:rFonts w:hint="eastAsia"/>
          <w:u w:val="single"/>
        </w:rPr>
        <w:t>其他违法违规行为的。</w:t>
      </w:r>
    </w:p>
    <w:p w14:paraId="543BF55F">
      <w:pPr>
        <w:numPr>
          <w:ilvl w:val="0"/>
          <w:numId w:val="18"/>
        </w:numPr>
        <w:autoSpaceDE w:val="0"/>
        <w:autoSpaceDN w:val="0"/>
        <w:adjustRightInd w:val="0"/>
        <w:spacing w:line="360" w:lineRule="auto"/>
        <w:ind w:firstLine="420" w:firstLineChars="200"/>
        <w:rPr>
          <w:rFonts w:hint="eastAsia"/>
          <w:szCs w:val="21"/>
          <w:u w:val="none"/>
        </w:rPr>
      </w:pPr>
      <w:r>
        <w:rPr>
          <w:rFonts w:hint="eastAsia"/>
          <w:u w:val="none"/>
        </w:rPr>
        <w:t>被取消入围资格或者被解除框架协议的供应商不得参加同一封闭式框架协议补充征集，或者重新申请加入同一开放式框架协议。</w:t>
      </w:r>
    </w:p>
    <w:p w14:paraId="75C15D59">
      <w:pPr>
        <w:numPr>
          <w:ilvl w:val="0"/>
          <w:numId w:val="18"/>
        </w:numPr>
        <w:autoSpaceDE w:val="0"/>
        <w:autoSpaceDN w:val="0"/>
        <w:adjustRightInd w:val="0"/>
        <w:spacing w:line="360" w:lineRule="auto"/>
        <w:ind w:firstLine="420" w:firstLineChars="200"/>
        <w:rPr>
          <w:rFonts w:hint="eastAsia"/>
          <w:szCs w:val="21"/>
        </w:rPr>
      </w:pPr>
      <w:r>
        <w:rPr>
          <w:rFonts w:hint="eastAsia"/>
          <w:szCs w:val="21"/>
        </w:rPr>
        <w:t>入围供应商有违规、违法行为的，甲方有权终止合同。除剩余入围供应商不足入围供应商总数70%且影响框架协议执行的情形外，框架协议有效期内，征集人不得补充征集供应商。</w:t>
      </w:r>
    </w:p>
    <w:p w14:paraId="7DBAB561">
      <w:pPr>
        <w:spacing w:line="360" w:lineRule="auto"/>
        <w:ind w:firstLine="422" w:firstLineChars="200"/>
        <w:rPr>
          <w:rFonts w:hint="eastAsia"/>
          <w:b/>
          <w:bCs/>
        </w:rPr>
      </w:pPr>
      <w:r>
        <w:rPr>
          <w:rFonts w:hint="eastAsia"/>
          <w:b/>
          <w:bCs/>
        </w:rPr>
        <w:t>八、违约责任</w:t>
      </w:r>
    </w:p>
    <w:p w14:paraId="7B4FE0FA">
      <w:pPr>
        <w:spacing w:line="360" w:lineRule="auto"/>
        <w:ind w:firstLine="420" w:firstLineChars="200"/>
        <w:rPr>
          <w:rFonts w:hint="eastAsia"/>
          <w:szCs w:val="21"/>
        </w:rPr>
      </w:pPr>
      <w:r>
        <w:rPr>
          <w:rFonts w:hint="eastAsia"/>
          <w:szCs w:val="21"/>
        </w:rPr>
        <w:t>入围供应商无正当理由放弃入围资格或者退出封闭式框架协议的，依照政府采购法等有关法律、行政法规追究法律责任。</w:t>
      </w:r>
    </w:p>
    <w:p w14:paraId="78A4E690">
      <w:pPr>
        <w:spacing w:line="360" w:lineRule="auto"/>
        <w:ind w:firstLine="420" w:firstLineChars="200"/>
        <w:rPr>
          <w:rFonts w:hint="eastAsia"/>
          <w:szCs w:val="21"/>
        </w:rPr>
      </w:pPr>
      <w:r>
        <w:rPr>
          <w:rFonts w:hint="eastAsia"/>
          <w:szCs w:val="21"/>
        </w:rPr>
        <w:t>甲乙双方应遵守法律法规和本合同规定，否则，将承担相应的法律责任。因违约造成经济损失的，由违约方承担。</w:t>
      </w:r>
    </w:p>
    <w:p w14:paraId="383CC84D">
      <w:pPr>
        <w:spacing w:line="360" w:lineRule="auto"/>
        <w:ind w:firstLine="422" w:firstLineChars="200"/>
        <w:rPr>
          <w:rFonts w:hint="eastAsia"/>
          <w:b/>
          <w:bCs/>
        </w:rPr>
      </w:pPr>
      <w:r>
        <w:rPr>
          <w:rFonts w:hint="eastAsia"/>
          <w:b/>
          <w:bCs/>
        </w:rPr>
        <w:t>九、其他</w:t>
      </w:r>
    </w:p>
    <w:p w14:paraId="36D27FFE">
      <w:pPr>
        <w:numPr>
          <w:ilvl w:val="0"/>
          <w:numId w:val="0"/>
        </w:numPr>
        <w:autoSpaceDE w:val="0"/>
        <w:autoSpaceDN w:val="0"/>
        <w:adjustRightInd w:val="0"/>
        <w:spacing w:line="360" w:lineRule="auto"/>
        <w:ind w:firstLine="420" w:firstLineChars="200"/>
        <w:rPr>
          <w:szCs w:val="21"/>
        </w:rPr>
      </w:pPr>
      <w:r>
        <w:rPr>
          <w:rFonts w:hint="default" w:ascii="宋体" w:hAnsi="宋体" w:eastAsia="宋体" w:cs="宋体"/>
          <w:kern w:val="2"/>
          <w:sz w:val="21"/>
          <w:szCs w:val="21"/>
          <w:lang w:val="en-US" w:eastAsia="zh-CN" w:bidi="ar-SA"/>
        </w:rPr>
        <w:t>1、</w:t>
      </w:r>
      <w:r>
        <w:rPr>
          <w:rFonts w:hint="eastAsia"/>
          <w:szCs w:val="21"/>
        </w:rPr>
        <w:t>本框架协议一式</w:t>
      </w:r>
      <w:r>
        <w:rPr>
          <w:rFonts w:hint="eastAsia"/>
          <w:szCs w:val="21"/>
          <w:u w:val="none"/>
          <w:lang w:val="en-US" w:eastAsia="zh-CN"/>
        </w:rPr>
        <w:t xml:space="preserve"> </w:t>
      </w:r>
      <w:r>
        <w:rPr>
          <w:rFonts w:hint="eastAsia"/>
          <w:szCs w:val="21"/>
          <w:u w:val="single"/>
          <w:lang w:val="en-US" w:eastAsia="zh-CN"/>
        </w:rPr>
        <w:t>陆</w:t>
      </w:r>
      <w:r>
        <w:rPr>
          <w:rFonts w:hint="eastAsia"/>
          <w:szCs w:val="21"/>
          <w:u w:val="single"/>
        </w:rPr>
        <w:t xml:space="preserve"> </w:t>
      </w:r>
      <w:r>
        <w:rPr>
          <w:rFonts w:hint="eastAsia"/>
          <w:szCs w:val="21"/>
        </w:rPr>
        <w:t>份，其中，甲方</w:t>
      </w:r>
      <w:r>
        <w:rPr>
          <w:rFonts w:hint="eastAsia"/>
          <w:szCs w:val="21"/>
          <w:u w:val="single"/>
        </w:rPr>
        <w:t xml:space="preserve"> </w:t>
      </w:r>
      <w:r>
        <w:rPr>
          <w:rFonts w:hint="eastAsia"/>
          <w:szCs w:val="21"/>
          <w:u w:val="single"/>
          <w:lang w:val="en-US" w:eastAsia="zh-CN"/>
        </w:rPr>
        <w:t xml:space="preserve">叁 </w:t>
      </w:r>
      <w:r>
        <w:rPr>
          <w:rFonts w:hint="eastAsia"/>
          <w:szCs w:val="21"/>
        </w:rPr>
        <w:t>份，乙方</w:t>
      </w:r>
      <w:r>
        <w:rPr>
          <w:rFonts w:hint="eastAsia"/>
          <w:szCs w:val="21"/>
          <w:u w:val="single"/>
        </w:rPr>
        <w:t xml:space="preserve"> </w:t>
      </w:r>
      <w:r>
        <w:rPr>
          <w:rFonts w:hint="eastAsia"/>
          <w:szCs w:val="21"/>
          <w:u w:val="single"/>
          <w:lang w:val="en-US" w:eastAsia="zh-CN"/>
        </w:rPr>
        <w:t xml:space="preserve">叁 </w:t>
      </w:r>
      <w:r>
        <w:rPr>
          <w:rFonts w:hint="eastAsia"/>
          <w:szCs w:val="21"/>
        </w:rPr>
        <w:t>份。</w:t>
      </w:r>
    </w:p>
    <w:p w14:paraId="1EF34B78">
      <w:pPr>
        <w:numPr>
          <w:ilvl w:val="0"/>
          <w:numId w:val="0"/>
        </w:numPr>
        <w:autoSpaceDE w:val="0"/>
        <w:autoSpaceDN w:val="0"/>
        <w:adjustRightInd w:val="0"/>
        <w:spacing w:line="360" w:lineRule="auto"/>
        <w:ind w:firstLine="420" w:firstLineChars="200"/>
        <w:rPr>
          <w:rFonts w:hint="eastAsia"/>
          <w:szCs w:val="21"/>
        </w:rPr>
      </w:pPr>
      <w:r>
        <w:rPr>
          <w:rFonts w:hint="default" w:ascii="宋体" w:hAnsi="宋体" w:eastAsia="宋体" w:cs="宋体"/>
          <w:kern w:val="2"/>
          <w:sz w:val="21"/>
          <w:szCs w:val="21"/>
          <w:lang w:val="en-US" w:eastAsia="zh-CN" w:bidi="ar-SA"/>
        </w:rPr>
        <w:t>2、</w:t>
      </w:r>
      <w:r>
        <w:rPr>
          <w:rFonts w:hint="eastAsia"/>
          <w:szCs w:val="21"/>
        </w:rPr>
        <w:t>本框架协议有效期为</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u w:val="single"/>
          <w:lang w:val="en-US" w:eastAsia="zh-CN"/>
        </w:rPr>
        <w:t xml:space="preserve"> </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u w:val="single"/>
          <w:lang w:val="en-US" w:eastAsia="zh-CN"/>
        </w:rPr>
        <w:t xml:space="preserve"> </w:t>
      </w:r>
      <w:r>
        <w:rPr>
          <w:rFonts w:hint="eastAsia"/>
          <w:szCs w:val="21"/>
        </w:rPr>
        <w:t>日至</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u w:val="single"/>
          <w:lang w:val="en-US" w:eastAsia="zh-CN"/>
        </w:rPr>
        <w:t xml:space="preserve">  </w:t>
      </w:r>
      <w:r>
        <w:rPr>
          <w:rFonts w:hint="eastAsia"/>
          <w:szCs w:val="21"/>
        </w:rPr>
        <w:t>月</w:t>
      </w:r>
      <w:r>
        <w:rPr>
          <w:rFonts w:hint="eastAsia"/>
          <w:szCs w:val="21"/>
          <w:u w:val="single"/>
        </w:rPr>
        <w:t xml:space="preserve"> </w:t>
      </w:r>
      <w:r>
        <w:rPr>
          <w:rFonts w:hint="eastAsia"/>
          <w:szCs w:val="21"/>
          <w:u w:val="single"/>
          <w:lang w:val="en-US" w:eastAsia="zh-CN"/>
        </w:rPr>
        <w:t xml:space="preserve"> </w:t>
      </w:r>
      <w:r>
        <w:rPr>
          <w:rFonts w:hint="eastAsia"/>
          <w:szCs w:val="21"/>
          <w:u w:val="single"/>
        </w:rPr>
        <w:t xml:space="preserve"> </w:t>
      </w:r>
      <w:r>
        <w:rPr>
          <w:rFonts w:hint="eastAsia"/>
          <w:szCs w:val="21"/>
        </w:rPr>
        <w:t>日，双方签字盖章后生效。</w:t>
      </w:r>
    </w:p>
    <w:p w14:paraId="53E85F31">
      <w:pPr>
        <w:numPr>
          <w:ilvl w:val="0"/>
          <w:numId w:val="0"/>
        </w:numPr>
        <w:autoSpaceDE w:val="0"/>
        <w:autoSpaceDN w:val="0"/>
        <w:adjustRightInd w:val="0"/>
        <w:spacing w:line="360" w:lineRule="auto"/>
        <w:ind w:firstLine="420" w:firstLineChars="200"/>
        <w:rPr>
          <w:rFonts w:hint="eastAsia"/>
          <w:szCs w:val="21"/>
        </w:rPr>
      </w:pPr>
    </w:p>
    <w:p w14:paraId="232D2C1B">
      <w:pPr>
        <w:numPr>
          <w:ilvl w:val="0"/>
          <w:numId w:val="0"/>
        </w:numPr>
        <w:autoSpaceDE w:val="0"/>
        <w:autoSpaceDN w:val="0"/>
        <w:adjustRightInd w:val="0"/>
        <w:spacing w:line="360" w:lineRule="auto"/>
        <w:ind w:firstLine="420" w:firstLineChars="200"/>
        <w:rPr>
          <w:rFonts w:hint="eastAsia"/>
          <w:szCs w:val="21"/>
        </w:rPr>
      </w:pPr>
    </w:p>
    <w:tbl>
      <w:tblPr>
        <w:tblStyle w:val="31"/>
        <w:tblW w:w="0" w:type="auto"/>
        <w:tblInd w:w="69" w:type="dxa"/>
        <w:tblLayout w:type="fixed"/>
        <w:tblCellMar>
          <w:top w:w="0" w:type="dxa"/>
          <w:left w:w="108" w:type="dxa"/>
          <w:bottom w:w="0" w:type="dxa"/>
          <w:right w:w="108" w:type="dxa"/>
        </w:tblCellMar>
      </w:tblPr>
      <w:tblGrid>
        <w:gridCol w:w="4450"/>
        <w:gridCol w:w="4734"/>
      </w:tblGrid>
      <w:tr w14:paraId="7EF06634">
        <w:tblPrEx>
          <w:tblCellMar>
            <w:top w:w="0" w:type="dxa"/>
            <w:left w:w="108" w:type="dxa"/>
            <w:bottom w:w="0" w:type="dxa"/>
            <w:right w:w="108" w:type="dxa"/>
          </w:tblCellMar>
        </w:tblPrEx>
        <w:trPr>
          <w:trHeight w:val="841" w:hRule="atLeast"/>
        </w:trPr>
        <w:tc>
          <w:tcPr>
            <w:tcW w:w="4450" w:type="dxa"/>
            <w:noWrap w:val="0"/>
            <w:vAlign w:val="top"/>
          </w:tcPr>
          <w:p w14:paraId="6EAD560B">
            <w:pPr>
              <w:spacing w:line="360" w:lineRule="auto"/>
              <w:rPr>
                <w:rFonts w:hint="eastAsia"/>
                <w:szCs w:val="21"/>
              </w:rPr>
            </w:pPr>
            <w:r>
              <w:rPr>
                <w:rFonts w:hint="eastAsia"/>
                <w:szCs w:val="21"/>
              </w:rPr>
              <w:t xml:space="preserve">甲方（盖章）： </w:t>
            </w:r>
          </w:p>
        </w:tc>
        <w:tc>
          <w:tcPr>
            <w:tcW w:w="4734" w:type="dxa"/>
            <w:noWrap w:val="0"/>
            <w:vAlign w:val="top"/>
          </w:tcPr>
          <w:p w14:paraId="6AD41BD2">
            <w:pPr>
              <w:spacing w:line="360" w:lineRule="auto"/>
              <w:rPr>
                <w:rFonts w:hint="eastAsia"/>
                <w:szCs w:val="21"/>
              </w:rPr>
            </w:pPr>
            <w:r>
              <w:rPr>
                <w:rFonts w:hint="eastAsia"/>
                <w:szCs w:val="21"/>
              </w:rPr>
              <w:t xml:space="preserve">乙方（盖章）： </w:t>
            </w:r>
          </w:p>
        </w:tc>
      </w:tr>
      <w:tr w14:paraId="14C3C155">
        <w:tblPrEx>
          <w:tblCellMar>
            <w:top w:w="0" w:type="dxa"/>
            <w:left w:w="108" w:type="dxa"/>
            <w:bottom w:w="0" w:type="dxa"/>
            <w:right w:w="108" w:type="dxa"/>
          </w:tblCellMar>
        </w:tblPrEx>
        <w:trPr>
          <w:trHeight w:val="1668" w:hRule="atLeast"/>
        </w:trPr>
        <w:tc>
          <w:tcPr>
            <w:tcW w:w="4450" w:type="dxa"/>
            <w:noWrap w:val="0"/>
            <w:vAlign w:val="top"/>
          </w:tcPr>
          <w:p w14:paraId="43FFC774">
            <w:pPr>
              <w:spacing w:line="360" w:lineRule="auto"/>
              <w:rPr>
                <w:rFonts w:hint="eastAsia"/>
                <w:szCs w:val="21"/>
              </w:rPr>
            </w:pPr>
            <w:r>
              <w:rPr>
                <w:rFonts w:hint="eastAsia"/>
                <w:szCs w:val="21"/>
              </w:rPr>
              <w:t>法定代表人或授权代理人（签字或盖章）：</w:t>
            </w:r>
          </w:p>
        </w:tc>
        <w:tc>
          <w:tcPr>
            <w:tcW w:w="4734" w:type="dxa"/>
            <w:noWrap w:val="0"/>
            <w:vAlign w:val="top"/>
          </w:tcPr>
          <w:p w14:paraId="49F09647">
            <w:pPr>
              <w:spacing w:line="360" w:lineRule="auto"/>
              <w:rPr>
                <w:rFonts w:hint="eastAsia"/>
                <w:szCs w:val="21"/>
              </w:rPr>
            </w:pPr>
            <w:r>
              <w:rPr>
                <w:rFonts w:hint="eastAsia"/>
                <w:szCs w:val="21"/>
              </w:rPr>
              <w:t>法定代表人或授权代理人（签字或盖章）：</w:t>
            </w:r>
          </w:p>
        </w:tc>
      </w:tr>
    </w:tbl>
    <w:p w14:paraId="0607DBCA">
      <w:pPr>
        <w:rPr>
          <w:rFonts w:ascii="Times New Roman" w:hAnsi="Times New Roman" w:cs="Times New Roman"/>
        </w:rPr>
      </w:pPr>
    </w:p>
    <w:p w14:paraId="0B77E003">
      <w:pPr>
        <w:spacing w:line="360" w:lineRule="auto"/>
        <w:ind w:firstLine="420" w:firstLineChars="200"/>
        <w:rPr>
          <w:rFonts w:hint="eastAsia"/>
          <w:szCs w:val="21"/>
        </w:rPr>
      </w:pPr>
      <w:r>
        <w:rPr>
          <w:rFonts w:hint="eastAsia"/>
          <w:szCs w:val="21"/>
        </w:rPr>
        <w:t xml:space="preserve">        </w:t>
      </w:r>
      <w:bookmarkStart w:id="627" w:name="_Toc31904"/>
    </w:p>
    <w:p w14:paraId="3BF7C462">
      <w:pPr>
        <w:rPr>
          <w:rFonts w:hint="eastAsia"/>
          <w:szCs w:val="21"/>
        </w:rPr>
      </w:pPr>
      <w:r>
        <w:rPr>
          <w:rFonts w:hint="eastAsia"/>
          <w:szCs w:val="21"/>
        </w:rPr>
        <w:br w:type="page"/>
      </w:r>
    </w:p>
    <w:p w14:paraId="50193956">
      <w:pPr>
        <w:keepNext/>
        <w:keepLines/>
        <w:pageBreakBefore w:val="0"/>
        <w:widowControl w:val="0"/>
        <w:numPr>
          <w:ilvl w:val="0"/>
          <w:numId w:val="0"/>
        </w:numPr>
        <w:kinsoku/>
        <w:wordWrap/>
        <w:overflowPunct/>
        <w:topLinePunct w:val="0"/>
        <w:autoSpaceDE/>
        <w:autoSpaceDN/>
        <w:bidi w:val="0"/>
        <w:adjustRightInd/>
        <w:snapToGrid/>
        <w:spacing w:line="500" w:lineRule="exact"/>
        <w:ind w:firstLine="2711" w:firstLineChars="900"/>
        <w:jc w:val="both"/>
        <w:textAlignment w:val="auto"/>
        <w:outlineLvl w:val="0"/>
        <w:rPr>
          <w:rStyle w:val="42"/>
          <w:rFonts w:hint="eastAsia"/>
          <w:color w:val="C00000"/>
          <w:szCs w:val="22"/>
          <w:highlight w:val="none"/>
        </w:rPr>
      </w:pPr>
      <w:r>
        <w:rPr>
          <w:rFonts w:hint="eastAsia"/>
          <w:b/>
          <w:bCs/>
          <w:color w:val="auto"/>
          <w:sz w:val="30"/>
          <w:szCs w:val="30"/>
          <w:lang w:val="en-US" w:eastAsia="zh-CN"/>
        </w:rPr>
        <w:t>第五章</w:t>
      </w:r>
      <w:r>
        <w:rPr>
          <w:rStyle w:val="42"/>
          <w:rFonts w:hint="eastAsia"/>
          <w:b/>
          <w:bCs/>
          <w:color w:val="auto"/>
          <w:sz w:val="30"/>
          <w:szCs w:val="30"/>
          <w:highlight w:val="none"/>
        </w:rPr>
        <w:t xml:space="preserve"> </w:t>
      </w:r>
      <w:r>
        <w:rPr>
          <w:rStyle w:val="42"/>
          <w:rFonts w:hint="eastAsia"/>
          <w:b/>
          <w:bCs/>
          <w:color w:val="auto"/>
          <w:szCs w:val="22"/>
          <w:highlight w:val="none"/>
        </w:rPr>
        <w:t>采购</w:t>
      </w:r>
      <w:bookmarkEnd w:id="627"/>
      <w:r>
        <w:rPr>
          <w:rStyle w:val="42"/>
          <w:rFonts w:hint="eastAsia"/>
          <w:b/>
          <w:bCs/>
          <w:color w:val="auto"/>
          <w:szCs w:val="22"/>
          <w:highlight w:val="none"/>
          <w:lang w:val="en-US" w:eastAsia="zh-CN"/>
        </w:rPr>
        <w:t>项目技术要求</w:t>
      </w:r>
    </w:p>
    <w:p w14:paraId="309E0C72">
      <w:pPr>
        <w:rPr>
          <w:rFonts w:hint="eastAsia" w:ascii="宋体" w:hAnsi="宋体" w:eastAsia="宋体" w:cs="宋体"/>
          <w:bCs w:val="0"/>
          <w:snapToGrid/>
          <w:color w:val="C00000"/>
          <w:kern w:val="2"/>
          <w:sz w:val="21"/>
          <w:szCs w:val="21"/>
          <w:highlight w:val="none"/>
          <w:lang w:val="en-US" w:eastAsia="zh-CN" w:bidi="ar-SA"/>
        </w:rPr>
      </w:pPr>
      <w:bookmarkStart w:id="628" w:name="_Toc21963"/>
    </w:p>
    <w:p w14:paraId="624A2E17">
      <w:pPr>
        <w:rPr>
          <w:rFonts w:hint="eastAsia" w:ascii="宋体" w:hAnsi="宋体" w:eastAsia="宋体" w:cs="宋体"/>
          <w:bCs w:val="0"/>
          <w:snapToGrid/>
          <w:color w:val="C00000"/>
          <w:kern w:val="2"/>
          <w:sz w:val="21"/>
          <w:szCs w:val="21"/>
          <w:highlight w:val="none"/>
          <w:lang w:val="en-US" w:eastAsia="zh-CN" w:bidi="ar-SA"/>
        </w:rPr>
      </w:pPr>
    </w:p>
    <w:p w14:paraId="6700059E">
      <w:pPr>
        <w:spacing w:before="211" w:line="219" w:lineRule="auto"/>
        <w:ind w:left="4"/>
        <w:rPr>
          <w:rFonts w:ascii="宋体" w:hAnsi="宋体" w:eastAsia="宋体" w:cs="宋体"/>
          <w:sz w:val="24"/>
          <w:szCs w:val="24"/>
        </w:rPr>
      </w:pPr>
      <w:r>
        <w:rPr>
          <w:rFonts w:ascii="宋体" w:hAnsi="宋体" w:eastAsia="宋体" w:cs="宋体"/>
          <w:b/>
          <w:bCs/>
          <w:spacing w:val="-4"/>
          <w:sz w:val="24"/>
          <w:szCs w:val="24"/>
        </w:rPr>
        <w:t>一、项目基本情况</w:t>
      </w:r>
    </w:p>
    <w:p w14:paraId="65296AF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lang w:val="en-US" w:eastAsia="zh-CN"/>
        </w:rPr>
        <w:t>框架协议期限</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合同履行</w:t>
      </w:r>
      <w:r>
        <w:rPr>
          <w:rFonts w:hint="eastAsia" w:ascii="宋体" w:hAnsi="宋体" w:eastAsia="宋体" w:cs="宋体"/>
          <w:sz w:val="24"/>
          <w:szCs w:val="24"/>
          <w:highlight w:val="none"/>
          <w:lang w:eastAsia="zh-CN"/>
        </w:rPr>
        <w:t>期限）：1年（自合同签订之日起）；</w:t>
      </w:r>
    </w:p>
    <w:p w14:paraId="4706686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2、质量要求：符合国家及行业相关要求合格标准，且满足采购人要求；</w:t>
      </w:r>
    </w:p>
    <w:p w14:paraId="3CAE00D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3、采购需求：荥阳市公安局交通设施维护服务项目是对荥阳市道路交通信号灯、标线、标牌、隔离栏等破损、故障设施进行维护管理的服务项目。</w:t>
      </w:r>
    </w:p>
    <w:p w14:paraId="491668C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4、招标范围：信号灯、标线</w:t>
      </w:r>
      <w:r>
        <w:rPr>
          <w:rFonts w:hint="eastAsia" w:cs="宋体"/>
          <w:sz w:val="24"/>
          <w:szCs w:val="24"/>
          <w:highlight w:val="none"/>
          <w:lang w:eastAsia="zh-CN"/>
        </w:rPr>
        <w:t>、</w:t>
      </w:r>
      <w:r>
        <w:rPr>
          <w:rFonts w:hint="eastAsia" w:ascii="宋体" w:hAnsi="宋体" w:eastAsia="宋体" w:cs="宋体"/>
          <w:sz w:val="24"/>
          <w:szCs w:val="24"/>
          <w:highlight w:val="none"/>
          <w:lang w:eastAsia="zh-CN"/>
        </w:rPr>
        <w:t>标牌、交通标志、</w:t>
      </w:r>
      <w:r>
        <w:rPr>
          <w:rFonts w:hint="eastAsia" w:cs="宋体"/>
          <w:sz w:val="24"/>
          <w:szCs w:val="24"/>
          <w:highlight w:val="none"/>
          <w:lang w:val="en-US" w:eastAsia="zh-CN"/>
        </w:rPr>
        <w:t>隔离栏</w:t>
      </w:r>
      <w:r>
        <w:rPr>
          <w:rFonts w:hint="eastAsia" w:ascii="宋体" w:hAnsi="宋体" w:eastAsia="宋体" w:cs="宋体"/>
          <w:sz w:val="24"/>
          <w:szCs w:val="24"/>
          <w:highlight w:val="none"/>
          <w:lang w:eastAsia="zh-CN"/>
        </w:rPr>
        <w:t>等交通设施维护服务。</w:t>
      </w:r>
    </w:p>
    <w:p w14:paraId="59BA9CE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highlight w:val="none"/>
          <w:lang w:eastAsia="zh-CN"/>
        </w:rPr>
        <w:t>5、入围单位确定后，将无条件服从入围单位管理</w:t>
      </w:r>
      <w:r>
        <w:rPr>
          <w:rFonts w:ascii="宋体" w:hAnsi="宋体" w:eastAsia="宋体" w:cs="宋体"/>
          <w:spacing w:val="-2"/>
          <w:sz w:val="24"/>
          <w:szCs w:val="24"/>
        </w:rPr>
        <w:t>办法。</w:t>
      </w:r>
    </w:p>
    <w:p w14:paraId="1D46C60C">
      <w:pPr>
        <w:keepNext w:val="0"/>
        <w:keepLines w:val="0"/>
        <w:pageBreakBefore w:val="0"/>
        <w:widowControl w:val="0"/>
        <w:kinsoku/>
        <w:wordWrap/>
        <w:overflowPunct/>
        <w:topLinePunct w:val="0"/>
        <w:autoSpaceDE/>
        <w:autoSpaceDN/>
        <w:bidi w:val="0"/>
        <w:adjustRightInd/>
        <w:snapToGrid/>
        <w:spacing w:before="182" w:line="480" w:lineRule="exact"/>
        <w:ind w:left="4"/>
        <w:textAlignment w:val="auto"/>
        <w:rPr>
          <w:rFonts w:ascii="宋体" w:hAnsi="宋体" w:eastAsia="宋体" w:cs="宋体"/>
          <w:sz w:val="24"/>
          <w:szCs w:val="24"/>
        </w:rPr>
      </w:pPr>
      <w:r>
        <w:rPr>
          <w:rFonts w:ascii="宋体" w:hAnsi="宋体" w:eastAsia="宋体" w:cs="宋体"/>
          <w:b/>
          <w:bCs/>
          <w:spacing w:val="-4"/>
          <w:sz w:val="24"/>
          <w:szCs w:val="24"/>
        </w:rPr>
        <w:t>二、详细维护标准及要求</w:t>
      </w:r>
    </w:p>
    <w:p w14:paraId="1A65D38D">
      <w:pPr>
        <w:keepNext w:val="0"/>
        <w:keepLines w:val="0"/>
        <w:pageBreakBefore w:val="0"/>
        <w:widowControl w:val="0"/>
        <w:kinsoku/>
        <w:wordWrap/>
        <w:overflowPunct/>
        <w:topLinePunct w:val="0"/>
        <w:autoSpaceDE/>
        <w:autoSpaceDN/>
        <w:bidi w:val="0"/>
        <w:adjustRightInd/>
        <w:snapToGrid/>
        <w:spacing w:before="181" w:line="480" w:lineRule="exact"/>
        <w:ind w:left="12"/>
        <w:textAlignment w:val="auto"/>
        <w:outlineLvl w:val="0"/>
        <w:rPr>
          <w:rFonts w:ascii="宋体" w:hAnsi="宋体" w:eastAsia="宋体" w:cs="宋体"/>
          <w:sz w:val="24"/>
          <w:szCs w:val="24"/>
        </w:rPr>
      </w:pPr>
      <w:r>
        <w:rPr>
          <w:rFonts w:ascii="宋体" w:hAnsi="宋体" w:eastAsia="宋体" w:cs="宋体"/>
          <w:b/>
          <w:bCs/>
          <w:spacing w:val="-4"/>
          <w:sz w:val="24"/>
          <w:szCs w:val="24"/>
        </w:rPr>
        <w:t>（一）信号灯技术规格要求</w:t>
      </w:r>
    </w:p>
    <w:p w14:paraId="713E5C1F">
      <w:pPr>
        <w:keepNext w:val="0"/>
        <w:keepLines w:val="0"/>
        <w:pageBreakBefore w:val="0"/>
        <w:widowControl w:val="0"/>
        <w:kinsoku/>
        <w:wordWrap/>
        <w:overflowPunct/>
        <w:topLinePunct w:val="0"/>
        <w:autoSpaceDE/>
        <w:autoSpaceDN/>
        <w:bidi w:val="0"/>
        <w:adjustRightInd/>
        <w:snapToGrid/>
        <w:spacing w:line="480" w:lineRule="exact"/>
        <w:ind w:firstLine="240" w:firstLineChars="10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信号灯必须符合国家标准及GB14887-2011的相关测试标准。产品出厂时有合格证书，确保产品符合有关标准和要求。</w:t>
      </w:r>
    </w:p>
    <w:p w14:paraId="7CE1964B">
      <w:pPr>
        <w:keepNext w:val="0"/>
        <w:keepLines w:val="0"/>
        <w:pageBreakBefore w:val="0"/>
        <w:widowControl w:val="0"/>
        <w:kinsoku/>
        <w:wordWrap/>
        <w:overflowPunct/>
        <w:topLinePunct w:val="0"/>
        <w:autoSpaceDE/>
        <w:autoSpaceDN/>
        <w:bidi w:val="0"/>
        <w:adjustRightInd/>
        <w:snapToGrid/>
        <w:spacing w:before="152" w:line="480" w:lineRule="exact"/>
        <w:ind w:left="18"/>
        <w:textAlignment w:val="auto"/>
        <w:outlineLvl w:val="1"/>
        <w:rPr>
          <w:rFonts w:ascii="宋体" w:hAnsi="宋体" w:eastAsia="宋体" w:cs="宋体"/>
          <w:sz w:val="24"/>
          <w:szCs w:val="24"/>
        </w:rPr>
      </w:pPr>
      <w:r>
        <w:rPr>
          <w:rFonts w:ascii="宋体" w:hAnsi="宋体" w:eastAsia="宋体" w:cs="宋体"/>
          <w:b/>
          <w:bCs/>
          <w:spacing w:val="-7"/>
          <w:sz w:val="24"/>
          <w:szCs w:val="24"/>
        </w:rPr>
        <w:t>1、LED</w:t>
      </w:r>
      <w:r>
        <w:rPr>
          <w:rFonts w:ascii="宋体" w:hAnsi="宋体" w:eastAsia="宋体" w:cs="宋体"/>
          <w:spacing w:val="-39"/>
          <w:sz w:val="24"/>
          <w:szCs w:val="24"/>
        </w:rPr>
        <w:t xml:space="preserve"> </w:t>
      </w:r>
      <w:r>
        <w:rPr>
          <w:rFonts w:ascii="宋体" w:hAnsi="宋体" w:eastAsia="宋体" w:cs="宋体"/>
          <w:b/>
          <w:bCs/>
          <w:spacing w:val="-7"/>
          <w:sz w:val="24"/>
          <w:szCs w:val="24"/>
        </w:rPr>
        <w:t>箭头信号灯、非机动车信号灯</w:t>
      </w:r>
      <w:r>
        <w:rPr>
          <w:rFonts w:ascii="宋体" w:hAnsi="宋体" w:eastAsia="宋体" w:cs="宋体"/>
          <w:spacing w:val="-7"/>
          <w:sz w:val="24"/>
          <w:szCs w:val="24"/>
        </w:rPr>
        <w:t xml:space="preserve"> </w:t>
      </w:r>
      <w:r>
        <w:rPr>
          <w:rFonts w:ascii="宋体" w:hAnsi="宋体" w:eastAsia="宋体" w:cs="宋体"/>
          <w:b/>
          <w:bCs/>
          <w:spacing w:val="-7"/>
          <w:sz w:val="24"/>
          <w:szCs w:val="24"/>
        </w:rPr>
        <w:t>(</w:t>
      </w:r>
      <w:r>
        <w:rPr>
          <w:rFonts w:ascii="宋体" w:hAnsi="宋体" w:eastAsia="宋体" w:cs="宋体"/>
          <w:spacing w:val="-25"/>
          <w:sz w:val="24"/>
          <w:szCs w:val="24"/>
        </w:rPr>
        <w:t xml:space="preserve"> </w:t>
      </w:r>
      <w:r>
        <w:rPr>
          <w:rFonts w:ascii="宋体" w:hAnsi="宋体" w:eastAsia="宋体" w:cs="宋体"/>
          <w:b/>
          <w:bCs/>
          <w:spacing w:val="-7"/>
          <w:sz w:val="24"/>
          <w:szCs w:val="24"/>
        </w:rPr>
        <w:t>φ400mm）</w:t>
      </w:r>
    </w:p>
    <w:p w14:paraId="6802C7AE">
      <w:pPr>
        <w:keepNext w:val="0"/>
        <w:keepLines w:val="0"/>
        <w:pageBreakBefore w:val="0"/>
        <w:widowControl w:val="0"/>
        <w:kinsoku/>
        <w:wordWrap/>
        <w:overflowPunct/>
        <w:topLinePunct w:val="0"/>
        <w:autoSpaceDE/>
        <w:autoSpaceDN/>
        <w:bidi w:val="0"/>
        <w:adjustRightInd/>
        <w:snapToGrid/>
        <w:spacing w:before="78" w:line="480" w:lineRule="exact"/>
        <w:ind w:firstLine="496" w:firstLineChars="200"/>
        <w:textAlignment w:val="auto"/>
        <w:rPr>
          <w:rFonts w:ascii="宋体" w:hAnsi="宋体" w:eastAsia="宋体" w:cs="宋体"/>
          <w:sz w:val="24"/>
          <w:szCs w:val="24"/>
        </w:rPr>
      </w:pPr>
      <w:r>
        <w:rPr>
          <w:rFonts w:ascii="宋体" w:hAnsi="宋体" w:eastAsia="宋体" w:cs="宋体"/>
          <w:spacing w:val="4"/>
          <w:sz w:val="24"/>
          <w:szCs w:val="24"/>
        </w:rPr>
        <w:t>（1）、400</w:t>
      </w:r>
      <w:r>
        <w:rPr>
          <w:rFonts w:ascii="宋体" w:hAnsi="宋体" w:eastAsia="宋体" w:cs="宋体"/>
          <w:spacing w:val="-36"/>
          <w:sz w:val="24"/>
          <w:szCs w:val="24"/>
        </w:rPr>
        <w:t xml:space="preserve"> </w:t>
      </w:r>
      <w:r>
        <w:rPr>
          <w:rFonts w:ascii="宋体" w:hAnsi="宋体" w:eastAsia="宋体" w:cs="宋体"/>
          <w:spacing w:val="4"/>
          <w:sz w:val="24"/>
          <w:szCs w:val="24"/>
        </w:rPr>
        <w:t>型</w:t>
      </w:r>
      <w:r>
        <w:rPr>
          <w:rFonts w:ascii="宋体" w:hAnsi="宋体" w:eastAsia="宋体" w:cs="宋体"/>
          <w:spacing w:val="-45"/>
          <w:sz w:val="24"/>
          <w:szCs w:val="24"/>
        </w:rPr>
        <w:t xml:space="preserve"> </w:t>
      </w:r>
      <w:r>
        <w:rPr>
          <w:rFonts w:ascii="宋体" w:hAnsi="宋体" w:eastAsia="宋体" w:cs="宋体"/>
          <w:sz w:val="24"/>
          <w:szCs w:val="24"/>
        </w:rPr>
        <w:t>LED</w:t>
      </w:r>
      <w:r>
        <w:rPr>
          <w:rFonts w:ascii="宋体" w:hAnsi="宋体" w:eastAsia="宋体" w:cs="宋体"/>
          <w:spacing w:val="-42"/>
          <w:sz w:val="24"/>
          <w:szCs w:val="24"/>
        </w:rPr>
        <w:t xml:space="preserve"> </w:t>
      </w:r>
      <w:r>
        <w:rPr>
          <w:rFonts w:ascii="宋体" w:hAnsi="宋体" w:eastAsia="宋体" w:cs="宋体"/>
          <w:spacing w:val="4"/>
          <w:sz w:val="24"/>
          <w:szCs w:val="24"/>
        </w:rPr>
        <w:t>箭头灯由三个单色（红、</w:t>
      </w:r>
      <w:r>
        <w:rPr>
          <w:rFonts w:ascii="宋体" w:hAnsi="宋体" w:eastAsia="宋体" w:cs="宋体"/>
          <w:spacing w:val="3"/>
          <w:sz w:val="24"/>
          <w:szCs w:val="24"/>
        </w:rPr>
        <w:t>黄、绿）箭头信号灯组合而成，400</w:t>
      </w:r>
      <w:r>
        <w:rPr>
          <w:rFonts w:ascii="宋体" w:hAnsi="宋体" w:eastAsia="宋体" w:cs="宋体"/>
          <w:spacing w:val="-1"/>
          <w:sz w:val="24"/>
          <w:szCs w:val="24"/>
        </w:rPr>
        <w:t>型</w:t>
      </w:r>
      <w:r>
        <w:rPr>
          <w:rFonts w:ascii="宋体" w:hAnsi="宋体" w:eastAsia="宋体" w:cs="宋体"/>
          <w:spacing w:val="-53"/>
          <w:sz w:val="24"/>
          <w:szCs w:val="24"/>
        </w:rPr>
        <w:t xml:space="preserve"> </w:t>
      </w:r>
      <w:r>
        <w:rPr>
          <w:rFonts w:ascii="宋体" w:hAnsi="宋体" w:eastAsia="宋体" w:cs="宋体"/>
          <w:spacing w:val="-1"/>
          <w:sz w:val="24"/>
          <w:szCs w:val="24"/>
        </w:rPr>
        <w:t>LED</w:t>
      </w:r>
      <w:r>
        <w:rPr>
          <w:rFonts w:ascii="宋体" w:hAnsi="宋体" w:eastAsia="宋体" w:cs="宋体"/>
          <w:spacing w:val="-46"/>
          <w:sz w:val="24"/>
          <w:szCs w:val="24"/>
        </w:rPr>
        <w:t xml:space="preserve"> </w:t>
      </w:r>
      <w:r>
        <w:rPr>
          <w:rFonts w:ascii="宋体" w:hAnsi="宋体" w:eastAsia="宋体" w:cs="宋体"/>
          <w:spacing w:val="-1"/>
          <w:sz w:val="24"/>
          <w:szCs w:val="24"/>
        </w:rPr>
        <w:t>非机动车信号灯由三个单色（红、黄、绿）非机动车信号灯组</w:t>
      </w:r>
      <w:r>
        <w:rPr>
          <w:rFonts w:ascii="宋体" w:hAnsi="宋体" w:eastAsia="宋体" w:cs="宋体"/>
          <w:spacing w:val="-2"/>
          <w:sz w:val="24"/>
          <w:szCs w:val="24"/>
        </w:rPr>
        <w:t>合而成；</w:t>
      </w:r>
    </w:p>
    <w:p w14:paraId="33B1A875">
      <w:pPr>
        <w:keepNext w:val="0"/>
        <w:keepLines w:val="0"/>
        <w:pageBreakBefore w:val="0"/>
        <w:widowControl w:val="0"/>
        <w:kinsoku/>
        <w:wordWrap/>
        <w:overflowPunct/>
        <w:topLinePunct w:val="0"/>
        <w:autoSpaceDE/>
        <w:autoSpaceDN/>
        <w:bidi w:val="0"/>
        <w:adjustRightInd/>
        <w:snapToGrid/>
        <w:spacing w:before="78" w:line="480" w:lineRule="exact"/>
        <w:ind w:left="8" w:firstLine="484"/>
        <w:textAlignment w:val="auto"/>
        <w:rPr>
          <w:rFonts w:ascii="宋体" w:hAnsi="宋体" w:eastAsia="宋体" w:cs="宋体"/>
          <w:spacing w:val="4"/>
          <w:sz w:val="24"/>
          <w:szCs w:val="24"/>
        </w:rPr>
      </w:pPr>
      <w:r>
        <w:rPr>
          <w:rFonts w:ascii="宋体" w:hAnsi="宋体" w:eastAsia="宋体" w:cs="宋体"/>
          <w:sz w:val="24"/>
          <w:szCs w:val="24"/>
        </w:rPr>
        <w:t>（2</w:t>
      </w:r>
      <w:r>
        <w:rPr>
          <w:rFonts w:ascii="宋体" w:hAnsi="宋体" w:eastAsia="宋体" w:cs="宋体"/>
          <w:spacing w:val="4"/>
          <w:sz w:val="24"/>
          <w:szCs w:val="24"/>
        </w:rPr>
        <w:t>）、信号灯发光单元、壳体、遮沿表面应平滑，无开裂、无银丝、无明显变形和毛刺等缺陷，壳体颜色应与光信号颜色有明显区别；</w:t>
      </w:r>
    </w:p>
    <w:p w14:paraId="3F728EF5">
      <w:pPr>
        <w:keepNext w:val="0"/>
        <w:keepLines w:val="0"/>
        <w:pageBreakBefore w:val="0"/>
        <w:widowControl w:val="0"/>
        <w:kinsoku/>
        <w:wordWrap/>
        <w:overflowPunct/>
        <w:topLinePunct w:val="0"/>
        <w:autoSpaceDE/>
        <w:autoSpaceDN/>
        <w:bidi w:val="0"/>
        <w:adjustRightInd/>
        <w:snapToGrid/>
        <w:spacing w:before="78" w:line="480" w:lineRule="exact"/>
        <w:ind w:left="8" w:firstLine="484"/>
        <w:textAlignment w:val="auto"/>
        <w:rPr>
          <w:rFonts w:ascii="宋体" w:hAnsi="宋体" w:eastAsia="宋体" w:cs="宋体"/>
          <w:spacing w:val="4"/>
          <w:sz w:val="24"/>
          <w:szCs w:val="24"/>
        </w:rPr>
      </w:pPr>
      <w:r>
        <w:rPr>
          <w:rFonts w:ascii="宋体" w:hAnsi="宋体" w:eastAsia="宋体" w:cs="宋体"/>
          <w:spacing w:val="4"/>
          <w:sz w:val="24"/>
          <w:szCs w:val="24"/>
        </w:rPr>
        <w:t>（3）、显示部分要求采用高亮度发光二极管，性能稳定，亮度均匀；</w:t>
      </w:r>
    </w:p>
    <w:p w14:paraId="5C248B72">
      <w:pPr>
        <w:keepNext w:val="0"/>
        <w:keepLines w:val="0"/>
        <w:pageBreakBefore w:val="0"/>
        <w:widowControl w:val="0"/>
        <w:kinsoku/>
        <w:wordWrap/>
        <w:overflowPunct/>
        <w:topLinePunct w:val="0"/>
        <w:autoSpaceDE/>
        <w:autoSpaceDN/>
        <w:bidi w:val="0"/>
        <w:adjustRightInd/>
        <w:snapToGrid/>
        <w:spacing w:before="78" w:line="480" w:lineRule="exact"/>
        <w:ind w:left="8" w:firstLine="484"/>
        <w:textAlignment w:val="auto"/>
        <w:rPr>
          <w:rFonts w:ascii="宋体" w:hAnsi="宋体" w:eastAsia="宋体" w:cs="宋体"/>
          <w:spacing w:val="4"/>
          <w:sz w:val="24"/>
          <w:szCs w:val="24"/>
        </w:rPr>
      </w:pPr>
      <w:r>
        <w:rPr>
          <w:rFonts w:ascii="宋体" w:hAnsi="宋体" w:eastAsia="宋体" w:cs="宋体"/>
          <w:spacing w:val="4"/>
          <w:sz w:val="24"/>
          <w:szCs w:val="24"/>
        </w:rPr>
        <w:t>（4）、箭头信号灯的排列顺序为：垂直安装，从上到下应为红、黄、绿；</w:t>
      </w:r>
    </w:p>
    <w:p w14:paraId="2FCCE254">
      <w:pPr>
        <w:keepNext w:val="0"/>
        <w:keepLines w:val="0"/>
        <w:pageBreakBefore w:val="0"/>
        <w:widowControl w:val="0"/>
        <w:kinsoku/>
        <w:wordWrap/>
        <w:overflowPunct/>
        <w:topLinePunct w:val="0"/>
        <w:autoSpaceDE/>
        <w:autoSpaceDN/>
        <w:bidi w:val="0"/>
        <w:adjustRightInd/>
        <w:snapToGrid/>
        <w:spacing w:before="78" w:line="480" w:lineRule="exact"/>
        <w:ind w:left="8" w:firstLine="484"/>
        <w:textAlignment w:val="auto"/>
        <w:rPr>
          <w:rFonts w:ascii="宋体" w:hAnsi="宋体" w:eastAsia="宋体" w:cs="宋体"/>
          <w:spacing w:val="4"/>
          <w:sz w:val="24"/>
          <w:szCs w:val="24"/>
        </w:rPr>
      </w:pPr>
      <w:r>
        <w:rPr>
          <w:rFonts w:ascii="宋体" w:hAnsi="宋体" w:eastAsia="宋体" w:cs="宋体"/>
          <w:spacing w:val="4"/>
          <w:sz w:val="24"/>
          <w:szCs w:val="24"/>
        </w:rPr>
        <w:t>（5）、箭头灯，箭头部分的色片图案应明显透光，其余部分不应出现透明光点；</w:t>
      </w:r>
    </w:p>
    <w:p w14:paraId="6E017BB1">
      <w:pPr>
        <w:keepNext w:val="0"/>
        <w:keepLines w:val="0"/>
        <w:pageBreakBefore w:val="0"/>
        <w:widowControl w:val="0"/>
        <w:kinsoku/>
        <w:wordWrap/>
        <w:overflowPunct/>
        <w:topLinePunct w:val="0"/>
        <w:autoSpaceDE/>
        <w:autoSpaceDN/>
        <w:bidi w:val="0"/>
        <w:adjustRightInd/>
        <w:snapToGrid/>
        <w:spacing w:before="78" w:line="480" w:lineRule="exact"/>
        <w:ind w:left="8" w:firstLine="484"/>
        <w:textAlignment w:val="auto"/>
        <w:rPr>
          <w:rFonts w:hint="eastAsia" w:ascii="宋体" w:hAnsi="宋体" w:eastAsia="宋体" w:cs="宋体"/>
          <w:sz w:val="24"/>
          <w:szCs w:val="24"/>
          <w:lang w:eastAsia="zh-CN"/>
        </w:rPr>
      </w:pPr>
      <w:r>
        <w:rPr>
          <w:rFonts w:ascii="宋体" w:hAnsi="宋体" w:eastAsia="宋体" w:cs="宋体"/>
          <w:spacing w:val="4"/>
          <w:sz w:val="24"/>
          <w:szCs w:val="24"/>
        </w:rPr>
        <w:t>（6）、发</w:t>
      </w:r>
      <w:r>
        <w:rPr>
          <w:rFonts w:ascii="宋体" w:hAnsi="宋体" w:eastAsia="宋体" w:cs="宋体"/>
          <w:sz w:val="24"/>
          <w:szCs w:val="24"/>
        </w:rPr>
        <w:t>光单元的出光面直径为φ365mm±2mm，安装孔直径为φ390mm±2mm，遮</w:t>
      </w:r>
      <w:r>
        <w:rPr>
          <w:rFonts w:ascii="宋体" w:hAnsi="宋体" w:eastAsia="宋体" w:cs="宋体"/>
          <w:spacing w:val="-5"/>
          <w:sz w:val="24"/>
          <w:szCs w:val="24"/>
        </w:rPr>
        <w:t>沿侧夹角应小于80</w:t>
      </w:r>
      <w:r>
        <w:rPr>
          <w:rFonts w:ascii="宋体" w:hAnsi="宋体" w:eastAsia="宋体" w:cs="宋体"/>
          <w:spacing w:val="-81"/>
          <w:sz w:val="24"/>
          <w:szCs w:val="24"/>
        </w:rPr>
        <w:t xml:space="preserve"> </w:t>
      </w:r>
      <w:r>
        <w:rPr>
          <w:rFonts w:ascii="宋体" w:hAnsi="宋体" w:eastAsia="宋体" w:cs="宋体"/>
          <w:spacing w:val="-5"/>
          <w:sz w:val="24"/>
          <w:szCs w:val="24"/>
        </w:rPr>
        <w:t>°</w:t>
      </w:r>
      <w:r>
        <w:rPr>
          <w:rFonts w:ascii="宋体" w:hAnsi="宋体" w:eastAsia="宋体" w:cs="宋体"/>
          <w:spacing w:val="-94"/>
          <w:sz w:val="24"/>
          <w:szCs w:val="24"/>
        </w:rPr>
        <w:t xml:space="preserve"> </w:t>
      </w:r>
      <w:r>
        <w:rPr>
          <w:rFonts w:ascii="宋体" w:hAnsi="宋体" w:eastAsia="宋体" w:cs="宋体"/>
          <w:spacing w:val="-5"/>
          <w:sz w:val="24"/>
          <w:szCs w:val="24"/>
        </w:rPr>
        <w:t>,遮沿包角不应小于</w:t>
      </w:r>
      <w:r>
        <w:rPr>
          <w:rFonts w:ascii="宋体" w:hAnsi="宋体" w:eastAsia="宋体" w:cs="宋体"/>
          <w:spacing w:val="-48"/>
          <w:sz w:val="24"/>
          <w:szCs w:val="24"/>
        </w:rPr>
        <w:t xml:space="preserve"> </w:t>
      </w:r>
      <w:r>
        <w:rPr>
          <w:rFonts w:ascii="宋体" w:hAnsi="宋体" w:eastAsia="宋体" w:cs="宋体"/>
          <w:spacing w:val="-5"/>
          <w:sz w:val="24"/>
          <w:szCs w:val="24"/>
        </w:rPr>
        <w:t>270</w:t>
      </w:r>
      <w:r>
        <w:rPr>
          <w:rFonts w:ascii="宋体" w:hAnsi="宋体" w:eastAsia="宋体" w:cs="宋体"/>
          <w:spacing w:val="-89"/>
          <w:sz w:val="24"/>
          <w:szCs w:val="24"/>
        </w:rPr>
        <w:t xml:space="preserve"> </w:t>
      </w:r>
      <w:r>
        <w:rPr>
          <w:rFonts w:ascii="宋体" w:hAnsi="宋体" w:eastAsia="宋体" w:cs="宋体"/>
          <w:spacing w:val="-5"/>
          <w:sz w:val="24"/>
          <w:szCs w:val="24"/>
        </w:rPr>
        <w:t>°</w:t>
      </w:r>
      <w:r>
        <w:rPr>
          <w:rFonts w:ascii="宋体" w:hAnsi="宋体" w:eastAsia="宋体" w:cs="宋体"/>
          <w:spacing w:val="-90"/>
          <w:sz w:val="24"/>
          <w:szCs w:val="24"/>
        </w:rPr>
        <w:t xml:space="preserve"> </w:t>
      </w:r>
      <w:r>
        <w:rPr>
          <w:rFonts w:hint="eastAsia" w:cs="宋体"/>
          <w:spacing w:val="-5"/>
          <w:sz w:val="24"/>
          <w:szCs w:val="24"/>
          <w:lang w:eastAsia="zh-CN"/>
        </w:rPr>
        <w:t>；</w:t>
      </w:r>
    </w:p>
    <w:p w14:paraId="7AD1DB7E">
      <w:pPr>
        <w:spacing w:before="186" w:line="217" w:lineRule="auto"/>
        <w:ind w:left="492"/>
        <w:rPr>
          <w:rFonts w:ascii="宋体" w:hAnsi="宋体" w:eastAsia="宋体" w:cs="宋体"/>
          <w:sz w:val="24"/>
          <w:szCs w:val="24"/>
        </w:rPr>
      </w:pPr>
      <w:r>
        <w:rPr>
          <w:rFonts w:ascii="宋体" w:hAnsi="宋体" w:eastAsia="宋体" w:cs="宋体"/>
          <w:spacing w:val="-1"/>
          <w:sz w:val="24"/>
          <w:szCs w:val="24"/>
        </w:rPr>
        <w:t>（7）、功率≤15W,功率因数≥0.85；</w:t>
      </w:r>
    </w:p>
    <w:p w14:paraId="14453B2C">
      <w:pPr>
        <w:spacing w:before="186" w:line="220" w:lineRule="auto"/>
        <w:ind w:left="492"/>
        <w:rPr>
          <w:rFonts w:ascii="宋体" w:hAnsi="宋体" w:eastAsia="宋体" w:cs="宋体"/>
          <w:sz w:val="24"/>
          <w:szCs w:val="24"/>
        </w:rPr>
      </w:pPr>
      <w:r>
        <w:rPr>
          <w:rFonts w:ascii="宋体" w:hAnsi="宋体" w:eastAsia="宋体" w:cs="宋体"/>
          <w:spacing w:val="-1"/>
          <w:sz w:val="24"/>
          <w:szCs w:val="24"/>
        </w:rPr>
        <w:t>（8）、额定工作电压：220V/50Hz±2Hz；</w:t>
      </w:r>
    </w:p>
    <w:p w14:paraId="2D236A5F">
      <w:pPr>
        <w:spacing w:before="182" w:line="220" w:lineRule="auto"/>
        <w:ind w:left="492"/>
        <w:rPr>
          <w:rFonts w:ascii="宋体" w:hAnsi="宋体" w:eastAsia="宋体" w:cs="宋体"/>
          <w:sz w:val="24"/>
          <w:szCs w:val="24"/>
        </w:rPr>
      </w:pPr>
      <w:r>
        <w:rPr>
          <w:rFonts w:ascii="宋体" w:hAnsi="宋体" w:eastAsia="宋体" w:cs="宋体"/>
          <w:spacing w:val="-2"/>
          <w:sz w:val="24"/>
          <w:szCs w:val="24"/>
        </w:rPr>
        <w:t>（9）、</w:t>
      </w:r>
      <w:r>
        <w:rPr>
          <w:rFonts w:ascii="宋体" w:hAnsi="宋体" w:eastAsia="宋体" w:cs="宋体"/>
          <w:spacing w:val="-1"/>
          <w:sz w:val="24"/>
          <w:szCs w:val="24"/>
        </w:rPr>
        <w:t>外壳防护等级</w:t>
      </w:r>
      <w:r>
        <w:rPr>
          <w:rFonts w:ascii="宋体" w:hAnsi="宋体" w:eastAsia="宋体" w:cs="宋体"/>
          <w:spacing w:val="-2"/>
          <w:sz w:val="24"/>
          <w:szCs w:val="24"/>
        </w:rPr>
        <w:t>：IP53；</w:t>
      </w:r>
    </w:p>
    <w:p w14:paraId="37AA5A8C">
      <w:pPr>
        <w:spacing w:before="182" w:line="221" w:lineRule="auto"/>
        <w:ind w:left="432"/>
        <w:rPr>
          <w:rFonts w:ascii="宋体" w:hAnsi="宋体" w:eastAsia="宋体" w:cs="宋体"/>
          <w:sz w:val="24"/>
          <w:szCs w:val="24"/>
        </w:rPr>
      </w:pPr>
      <w:r>
        <w:rPr>
          <w:rFonts w:ascii="宋体" w:hAnsi="宋体" w:eastAsia="宋体" w:cs="宋体"/>
          <w:spacing w:val="4"/>
          <w:sz w:val="24"/>
          <w:szCs w:val="24"/>
        </w:rPr>
        <w:t>（10</w:t>
      </w:r>
      <w:r>
        <w:rPr>
          <w:rFonts w:hint="eastAsia" w:cs="宋体"/>
          <w:spacing w:val="4"/>
          <w:sz w:val="24"/>
          <w:szCs w:val="24"/>
          <w:lang w:eastAsia="zh-CN"/>
        </w:rPr>
        <w:t>）</w:t>
      </w:r>
      <w:r>
        <w:rPr>
          <w:rFonts w:ascii="宋体" w:hAnsi="宋体" w:eastAsia="宋体" w:cs="宋体"/>
          <w:spacing w:val="4"/>
          <w:sz w:val="24"/>
          <w:szCs w:val="24"/>
        </w:rPr>
        <w:t>、工作温度：-40℃</w:t>
      </w:r>
      <w:r>
        <w:rPr>
          <w:rFonts w:hint="eastAsia" w:ascii="宋体" w:hAnsi="宋体" w:eastAsia="宋体" w:cs="宋体"/>
          <w:spacing w:val="4"/>
          <w:sz w:val="24"/>
          <w:szCs w:val="24"/>
        </w:rPr>
        <w:t>～</w:t>
      </w:r>
      <w:r>
        <w:rPr>
          <w:rFonts w:ascii="宋体" w:hAnsi="宋体" w:eastAsia="宋体" w:cs="宋体"/>
          <w:spacing w:val="4"/>
          <w:sz w:val="24"/>
          <w:szCs w:val="24"/>
        </w:rPr>
        <w:t>+80℃。</w:t>
      </w:r>
    </w:p>
    <w:p w14:paraId="2C76C40F">
      <w:pPr>
        <w:spacing w:before="78" w:line="220" w:lineRule="auto"/>
        <w:outlineLvl w:val="1"/>
      </w:pPr>
      <w:r>
        <w:rPr>
          <w:rFonts w:ascii="宋体" w:hAnsi="宋体" w:eastAsia="宋体" w:cs="宋体"/>
          <w:b/>
          <w:bCs/>
          <w:spacing w:val="-9"/>
          <w:sz w:val="24"/>
          <w:szCs w:val="24"/>
        </w:rPr>
        <w:t>2、LED</w:t>
      </w:r>
      <w:r>
        <w:rPr>
          <w:rFonts w:ascii="宋体" w:hAnsi="宋体" w:eastAsia="宋体" w:cs="宋体"/>
          <w:spacing w:val="-24"/>
          <w:sz w:val="24"/>
          <w:szCs w:val="24"/>
        </w:rPr>
        <w:t xml:space="preserve"> </w:t>
      </w:r>
      <w:r>
        <w:rPr>
          <w:rFonts w:ascii="宋体" w:hAnsi="宋体" w:eastAsia="宋体" w:cs="宋体"/>
          <w:b/>
          <w:bCs/>
          <w:spacing w:val="-9"/>
          <w:sz w:val="24"/>
          <w:szCs w:val="24"/>
        </w:rPr>
        <w:t>圆头信号灯</w:t>
      </w:r>
      <w:r>
        <w:rPr>
          <w:rFonts w:ascii="宋体" w:hAnsi="宋体" w:eastAsia="宋体" w:cs="宋体"/>
          <w:spacing w:val="-9"/>
          <w:sz w:val="24"/>
          <w:szCs w:val="24"/>
        </w:rPr>
        <w:t xml:space="preserve"> </w:t>
      </w:r>
      <w:r>
        <w:rPr>
          <w:rFonts w:ascii="宋体" w:hAnsi="宋体" w:eastAsia="宋体" w:cs="宋体"/>
          <w:b/>
          <w:bCs/>
          <w:spacing w:val="-9"/>
          <w:sz w:val="24"/>
          <w:szCs w:val="24"/>
        </w:rPr>
        <w:t>(</w:t>
      </w:r>
      <w:r>
        <w:rPr>
          <w:rFonts w:ascii="宋体" w:hAnsi="宋体" w:eastAsia="宋体" w:cs="宋体"/>
          <w:spacing w:val="-27"/>
          <w:sz w:val="24"/>
          <w:szCs w:val="24"/>
        </w:rPr>
        <w:t xml:space="preserve"> </w:t>
      </w:r>
      <w:r>
        <w:rPr>
          <w:rFonts w:ascii="宋体" w:hAnsi="宋体" w:eastAsia="宋体" w:cs="宋体"/>
          <w:b/>
          <w:bCs/>
          <w:spacing w:val="-9"/>
          <w:sz w:val="24"/>
          <w:szCs w:val="24"/>
        </w:rPr>
        <w:t>φ400mm）</w:t>
      </w:r>
    </w:p>
    <w:p w14:paraId="5C8F88DA">
      <w:pPr>
        <w:numPr>
          <w:ilvl w:val="0"/>
          <w:numId w:val="19"/>
        </w:numPr>
        <w:spacing w:before="79" w:line="362" w:lineRule="auto"/>
        <w:ind w:firstLine="491"/>
        <w:rPr>
          <w:rFonts w:ascii="宋体" w:hAnsi="宋体" w:eastAsia="宋体" w:cs="宋体"/>
          <w:spacing w:val="-3"/>
          <w:sz w:val="24"/>
          <w:szCs w:val="24"/>
        </w:rPr>
      </w:pPr>
      <w:r>
        <w:rPr>
          <w:rFonts w:ascii="宋体" w:hAnsi="宋体" w:eastAsia="宋体" w:cs="宋体"/>
          <w:sz w:val="24"/>
          <w:szCs w:val="24"/>
        </w:rPr>
        <w:t>、400</w:t>
      </w:r>
      <w:r>
        <w:rPr>
          <w:rFonts w:ascii="宋体" w:hAnsi="宋体" w:eastAsia="宋体" w:cs="宋体"/>
          <w:spacing w:val="-37"/>
          <w:sz w:val="24"/>
          <w:szCs w:val="24"/>
        </w:rPr>
        <w:t xml:space="preserve"> </w:t>
      </w:r>
      <w:r>
        <w:rPr>
          <w:rFonts w:ascii="宋体" w:hAnsi="宋体" w:eastAsia="宋体" w:cs="宋体"/>
          <w:sz w:val="24"/>
          <w:szCs w:val="24"/>
        </w:rPr>
        <w:t>型</w:t>
      </w:r>
      <w:r>
        <w:rPr>
          <w:rFonts w:ascii="宋体" w:hAnsi="宋体" w:eastAsia="宋体" w:cs="宋体"/>
          <w:spacing w:val="-51"/>
          <w:sz w:val="24"/>
          <w:szCs w:val="24"/>
        </w:rPr>
        <w:t xml:space="preserve"> </w:t>
      </w:r>
      <w:r>
        <w:rPr>
          <w:rFonts w:ascii="宋体" w:hAnsi="宋体" w:eastAsia="宋体" w:cs="宋体"/>
          <w:sz w:val="24"/>
          <w:szCs w:val="24"/>
        </w:rPr>
        <w:t>LED</w:t>
      </w:r>
      <w:r>
        <w:rPr>
          <w:rFonts w:ascii="宋体" w:hAnsi="宋体" w:eastAsia="宋体" w:cs="宋体"/>
          <w:spacing w:val="-28"/>
          <w:sz w:val="24"/>
          <w:szCs w:val="24"/>
        </w:rPr>
        <w:t xml:space="preserve"> </w:t>
      </w:r>
      <w:r>
        <w:rPr>
          <w:rFonts w:ascii="宋体" w:hAnsi="宋体" w:eastAsia="宋体" w:cs="宋体"/>
          <w:sz w:val="24"/>
          <w:szCs w:val="24"/>
        </w:rPr>
        <w:t>圆头信号灯由红、黄、绿三个颜色的信号灯组合而成一个单元</w:t>
      </w:r>
      <w:r>
        <w:rPr>
          <w:rFonts w:ascii="宋体" w:hAnsi="宋体" w:eastAsia="宋体" w:cs="宋体"/>
          <w:spacing w:val="-3"/>
          <w:sz w:val="24"/>
          <w:szCs w:val="24"/>
        </w:rPr>
        <w:t>信号灯；</w:t>
      </w:r>
    </w:p>
    <w:p w14:paraId="526A4BF0">
      <w:pPr>
        <w:spacing w:before="122" w:line="290" w:lineRule="auto"/>
        <w:ind w:left="1" w:firstLine="490"/>
        <w:rPr>
          <w:rFonts w:ascii="宋体" w:hAnsi="宋体" w:eastAsia="宋体" w:cs="宋体"/>
          <w:sz w:val="24"/>
          <w:szCs w:val="24"/>
        </w:rPr>
      </w:pPr>
      <w:r>
        <w:rPr>
          <w:rFonts w:ascii="宋体" w:hAnsi="宋体" w:eastAsia="宋体" w:cs="宋体"/>
          <w:sz w:val="24"/>
          <w:szCs w:val="24"/>
        </w:rPr>
        <w:t>（2）、信号灯发光单元、壳体、遮沿表面应平滑，无开裂、无银丝、无明显变形</w:t>
      </w:r>
      <w:r>
        <w:rPr>
          <w:rFonts w:ascii="宋体" w:hAnsi="宋体" w:eastAsia="宋体" w:cs="宋体"/>
          <w:spacing w:val="-1"/>
          <w:sz w:val="24"/>
          <w:szCs w:val="24"/>
        </w:rPr>
        <w:t>和毛刺等缺陷，壳体颜色应与光信号颜色有明显区别；</w:t>
      </w:r>
    </w:p>
    <w:p w14:paraId="2FBF6C4F">
      <w:pPr>
        <w:spacing w:before="182" w:line="219" w:lineRule="auto"/>
        <w:ind w:left="492"/>
        <w:rPr>
          <w:rFonts w:ascii="宋体" w:hAnsi="宋体" w:eastAsia="宋体" w:cs="宋体"/>
          <w:sz w:val="24"/>
          <w:szCs w:val="24"/>
        </w:rPr>
      </w:pPr>
      <w:r>
        <w:rPr>
          <w:rFonts w:ascii="宋体" w:hAnsi="宋体" w:eastAsia="宋体" w:cs="宋体"/>
          <w:spacing w:val="-1"/>
          <w:sz w:val="24"/>
          <w:szCs w:val="24"/>
        </w:rPr>
        <w:t>（3）、显示部分要求采用高亮度发光二极管，性能稳定，亮度均匀；</w:t>
      </w:r>
    </w:p>
    <w:p w14:paraId="5894B59D">
      <w:pPr>
        <w:spacing w:before="183" w:line="219" w:lineRule="auto"/>
        <w:ind w:left="492"/>
        <w:rPr>
          <w:rFonts w:ascii="宋体" w:hAnsi="宋体" w:eastAsia="宋体" w:cs="宋体"/>
          <w:sz w:val="24"/>
          <w:szCs w:val="24"/>
        </w:rPr>
      </w:pPr>
      <w:r>
        <w:rPr>
          <w:rFonts w:ascii="宋体" w:hAnsi="宋体" w:eastAsia="宋体" w:cs="宋体"/>
          <w:spacing w:val="-1"/>
          <w:sz w:val="24"/>
          <w:szCs w:val="24"/>
        </w:rPr>
        <w:t>（4）、进行垂直安装，信号灯的排列顺序，从上至下依次为红、黄、绿；</w:t>
      </w:r>
    </w:p>
    <w:p w14:paraId="3C736597">
      <w:pPr>
        <w:spacing w:before="181" w:line="289" w:lineRule="auto"/>
        <w:ind w:left="1" w:firstLine="490"/>
        <w:rPr>
          <w:rFonts w:ascii="宋体" w:hAnsi="宋体" w:eastAsia="宋体" w:cs="宋体"/>
          <w:sz w:val="24"/>
          <w:szCs w:val="24"/>
        </w:rPr>
      </w:pPr>
      <w:r>
        <w:rPr>
          <w:rFonts w:ascii="宋体" w:hAnsi="宋体" w:eastAsia="宋体" w:cs="宋体"/>
          <w:sz w:val="24"/>
          <w:szCs w:val="24"/>
        </w:rPr>
        <w:t>（5）、发光单元的出光面直径为φ365mm±2mm，安装孔直径为φ390mm±2mm，遮</w:t>
      </w:r>
      <w:r>
        <w:rPr>
          <w:rFonts w:ascii="宋体" w:hAnsi="宋体" w:eastAsia="宋体" w:cs="宋体"/>
          <w:spacing w:val="-5"/>
          <w:sz w:val="24"/>
          <w:szCs w:val="24"/>
        </w:rPr>
        <w:t>沿侧夹角应小于80</w:t>
      </w:r>
      <w:r>
        <w:rPr>
          <w:rFonts w:ascii="宋体" w:hAnsi="宋体" w:eastAsia="宋体" w:cs="宋体"/>
          <w:spacing w:val="-81"/>
          <w:sz w:val="24"/>
          <w:szCs w:val="24"/>
        </w:rPr>
        <w:t xml:space="preserve"> </w:t>
      </w:r>
      <w:r>
        <w:rPr>
          <w:rFonts w:ascii="宋体" w:hAnsi="宋体" w:eastAsia="宋体" w:cs="宋体"/>
          <w:spacing w:val="-5"/>
          <w:sz w:val="24"/>
          <w:szCs w:val="24"/>
        </w:rPr>
        <w:t>°</w:t>
      </w:r>
      <w:r>
        <w:rPr>
          <w:rFonts w:ascii="宋体" w:hAnsi="宋体" w:eastAsia="宋体" w:cs="宋体"/>
          <w:spacing w:val="-94"/>
          <w:sz w:val="24"/>
          <w:szCs w:val="24"/>
        </w:rPr>
        <w:t xml:space="preserve"> </w:t>
      </w:r>
      <w:r>
        <w:rPr>
          <w:rFonts w:ascii="宋体" w:hAnsi="宋体" w:eastAsia="宋体" w:cs="宋体"/>
          <w:spacing w:val="-5"/>
          <w:sz w:val="24"/>
          <w:szCs w:val="24"/>
        </w:rPr>
        <w:t>,遮沿包角不应小于</w:t>
      </w:r>
      <w:r>
        <w:rPr>
          <w:rFonts w:ascii="宋体" w:hAnsi="宋体" w:eastAsia="宋体" w:cs="宋体"/>
          <w:spacing w:val="-48"/>
          <w:sz w:val="24"/>
          <w:szCs w:val="24"/>
        </w:rPr>
        <w:t xml:space="preserve"> </w:t>
      </w:r>
      <w:r>
        <w:rPr>
          <w:rFonts w:ascii="宋体" w:hAnsi="宋体" w:eastAsia="宋体" w:cs="宋体"/>
          <w:spacing w:val="-5"/>
          <w:sz w:val="24"/>
          <w:szCs w:val="24"/>
        </w:rPr>
        <w:t>270</w:t>
      </w:r>
      <w:r>
        <w:rPr>
          <w:rFonts w:ascii="宋体" w:hAnsi="宋体" w:eastAsia="宋体" w:cs="宋体"/>
          <w:spacing w:val="-89"/>
          <w:sz w:val="24"/>
          <w:szCs w:val="24"/>
        </w:rPr>
        <w:t xml:space="preserve"> </w:t>
      </w:r>
      <w:r>
        <w:rPr>
          <w:rFonts w:ascii="宋体" w:hAnsi="宋体" w:eastAsia="宋体" w:cs="宋体"/>
          <w:spacing w:val="-5"/>
          <w:sz w:val="24"/>
          <w:szCs w:val="24"/>
        </w:rPr>
        <w:t>°</w:t>
      </w:r>
      <w:r>
        <w:rPr>
          <w:rFonts w:ascii="宋体" w:hAnsi="宋体" w:eastAsia="宋体" w:cs="宋体"/>
          <w:spacing w:val="-90"/>
          <w:sz w:val="24"/>
          <w:szCs w:val="24"/>
        </w:rPr>
        <w:t xml:space="preserve"> </w:t>
      </w:r>
      <w:r>
        <w:rPr>
          <w:rFonts w:ascii="宋体" w:hAnsi="宋体" w:eastAsia="宋体" w:cs="宋体"/>
          <w:spacing w:val="-5"/>
          <w:sz w:val="24"/>
          <w:szCs w:val="24"/>
        </w:rPr>
        <w:t>;</w:t>
      </w:r>
    </w:p>
    <w:p w14:paraId="0B6E7FC7">
      <w:pPr>
        <w:spacing w:before="185" w:line="220" w:lineRule="auto"/>
        <w:ind w:left="492"/>
        <w:rPr>
          <w:rFonts w:ascii="宋体" w:hAnsi="宋体" w:eastAsia="宋体" w:cs="宋体"/>
          <w:sz w:val="24"/>
          <w:szCs w:val="24"/>
        </w:rPr>
      </w:pPr>
      <w:r>
        <w:rPr>
          <w:rFonts w:ascii="宋体" w:hAnsi="宋体" w:eastAsia="宋体" w:cs="宋体"/>
          <w:spacing w:val="-1"/>
          <w:sz w:val="24"/>
          <w:szCs w:val="24"/>
        </w:rPr>
        <w:t>（6）、功率≤15W，功率因数≥0.85；</w:t>
      </w:r>
    </w:p>
    <w:p w14:paraId="3F961780">
      <w:pPr>
        <w:spacing w:before="182" w:line="220" w:lineRule="auto"/>
        <w:ind w:left="492"/>
        <w:rPr>
          <w:rFonts w:ascii="宋体" w:hAnsi="宋体" w:eastAsia="宋体" w:cs="宋体"/>
          <w:sz w:val="24"/>
          <w:szCs w:val="24"/>
        </w:rPr>
      </w:pPr>
      <w:r>
        <w:rPr>
          <w:rFonts w:ascii="宋体" w:hAnsi="宋体" w:eastAsia="宋体" w:cs="宋体"/>
          <w:spacing w:val="-1"/>
          <w:sz w:val="24"/>
          <w:szCs w:val="24"/>
        </w:rPr>
        <w:t>（7）、额定工作电压：220V/50Hz±2Hz；</w:t>
      </w:r>
    </w:p>
    <w:p w14:paraId="20B09A14">
      <w:pPr>
        <w:spacing w:before="182" w:line="220" w:lineRule="auto"/>
        <w:ind w:left="492"/>
        <w:rPr>
          <w:rFonts w:ascii="宋体" w:hAnsi="宋体" w:eastAsia="宋体" w:cs="宋体"/>
          <w:sz w:val="24"/>
          <w:szCs w:val="24"/>
        </w:rPr>
      </w:pPr>
      <w:r>
        <w:rPr>
          <w:rFonts w:ascii="宋体" w:hAnsi="宋体" w:eastAsia="宋体" w:cs="宋体"/>
          <w:spacing w:val="-2"/>
          <w:sz w:val="24"/>
          <w:szCs w:val="24"/>
        </w:rPr>
        <w:t>（8）、外壳防护等级：IP53；</w:t>
      </w:r>
    </w:p>
    <w:p w14:paraId="3CBD26AE">
      <w:pPr>
        <w:spacing w:before="182" w:line="221" w:lineRule="auto"/>
        <w:ind w:left="492"/>
        <w:rPr>
          <w:rFonts w:ascii="宋体" w:hAnsi="宋体" w:eastAsia="宋体" w:cs="宋体"/>
          <w:sz w:val="24"/>
          <w:szCs w:val="24"/>
        </w:rPr>
      </w:pPr>
      <w:r>
        <w:rPr>
          <w:rFonts w:ascii="宋体" w:hAnsi="宋体" w:eastAsia="宋体" w:cs="宋体"/>
          <w:spacing w:val="5"/>
          <w:sz w:val="24"/>
          <w:szCs w:val="24"/>
        </w:rPr>
        <w:t>（9）、工作温度：-40℃</w:t>
      </w:r>
      <w:r>
        <w:rPr>
          <w:rFonts w:hint="eastAsia" w:ascii="宋体" w:hAnsi="宋体" w:eastAsia="宋体" w:cs="宋体"/>
          <w:spacing w:val="5"/>
          <w:sz w:val="24"/>
          <w:szCs w:val="24"/>
        </w:rPr>
        <w:t>～</w:t>
      </w:r>
      <w:r>
        <w:rPr>
          <w:rFonts w:ascii="宋体" w:hAnsi="宋体" w:eastAsia="宋体" w:cs="宋体"/>
          <w:spacing w:val="5"/>
          <w:sz w:val="24"/>
          <w:szCs w:val="24"/>
        </w:rPr>
        <w:t>+80℃。</w:t>
      </w:r>
    </w:p>
    <w:p w14:paraId="249035E4">
      <w:pPr>
        <w:pStyle w:val="12"/>
        <w:spacing w:line="257" w:lineRule="auto"/>
      </w:pPr>
    </w:p>
    <w:p w14:paraId="3F2B2879">
      <w:pPr>
        <w:spacing w:before="79" w:line="220" w:lineRule="auto"/>
        <w:ind w:left="5"/>
        <w:outlineLvl w:val="1"/>
        <w:rPr>
          <w:rFonts w:ascii="宋体" w:hAnsi="宋体" w:eastAsia="宋体" w:cs="宋体"/>
          <w:sz w:val="24"/>
          <w:szCs w:val="24"/>
        </w:rPr>
      </w:pPr>
      <w:r>
        <w:rPr>
          <w:rFonts w:ascii="宋体" w:hAnsi="宋体" w:eastAsia="宋体" w:cs="宋体"/>
          <w:b/>
          <w:bCs/>
          <w:spacing w:val="-8"/>
          <w:sz w:val="24"/>
          <w:szCs w:val="24"/>
        </w:rPr>
        <w:t>3、LED</w:t>
      </w:r>
      <w:r>
        <w:rPr>
          <w:rFonts w:ascii="宋体" w:hAnsi="宋体" w:eastAsia="宋体" w:cs="宋体"/>
          <w:spacing w:val="-45"/>
          <w:sz w:val="24"/>
          <w:szCs w:val="24"/>
        </w:rPr>
        <w:t xml:space="preserve"> </w:t>
      </w:r>
      <w:r>
        <w:rPr>
          <w:rFonts w:ascii="宋体" w:hAnsi="宋体" w:eastAsia="宋体" w:cs="宋体"/>
          <w:b/>
          <w:bCs/>
          <w:spacing w:val="-8"/>
          <w:sz w:val="24"/>
          <w:szCs w:val="24"/>
        </w:rPr>
        <w:t>人行横道灯</w:t>
      </w:r>
      <w:r>
        <w:rPr>
          <w:rFonts w:ascii="宋体" w:hAnsi="宋体" w:eastAsia="宋体" w:cs="宋体"/>
          <w:spacing w:val="-8"/>
          <w:sz w:val="24"/>
          <w:szCs w:val="24"/>
        </w:rPr>
        <w:t xml:space="preserve"> </w:t>
      </w:r>
      <w:r>
        <w:rPr>
          <w:rFonts w:ascii="宋体" w:hAnsi="宋体" w:eastAsia="宋体" w:cs="宋体"/>
          <w:b/>
          <w:bCs/>
          <w:spacing w:val="-8"/>
          <w:sz w:val="24"/>
          <w:szCs w:val="24"/>
        </w:rPr>
        <w:t>(</w:t>
      </w:r>
      <w:r>
        <w:rPr>
          <w:rFonts w:ascii="宋体" w:hAnsi="宋体" w:eastAsia="宋体" w:cs="宋体"/>
          <w:spacing w:val="-27"/>
          <w:sz w:val="24"/>
          <w:szCs w:val="24"/>
        </w:rPr>
        <w:t xml:space="preserve"> </w:t>
      </w:r>
      <w:r>
        <w:rPr>
          <w:rFonts w:ascii="宋体" w:hAnsi="宋体" w:eastAsia="宋体" w:cs="宋体"/>
          <w:b/>
          <w:bCs/>
          <w:spacing w:val="-8"/>
          <w:sz w:val="24"/>
          <w:szCs w:val="24"/>
        </w:rPr>
        <w:t>φ400mm）</w:t>
      </w:r>
    </w:p>
    <w:p w14:paraId="1775A31F">
      <w:pPr>
        <w:pStyle w:val="12"/>
        <w:spacing w:line="258" w:lineRule="auto"/>
      </w:pPr>
    </w:p>
    <w:p w14:paraId="1E896AD7">
      <w:pPr>
        <w:spacing w:before="78" w:line="290" w:lineRule="auto"/>
        <w:ind w:left="1" w:firstLine="490"/>
        <w:rPr>
          <w:rFonts w:ascii="宋体" w:hAnsi="宋体" w:eastAsia="宋体" w:cs="宋体"/>
          <w:sz w:val="24"/>
          <w:szCs w:val="24"/>
        </w:rPr>
      </w:pPr>
      <w:r>
        <w:rPr>
          <w:rFonts w:ascii="宋体" w:hAnsi="宋体" w:eastAsia="宋体" w:cs="宋体"/>
          <w:sz w:val="24"/>
          <w:szCs w:val="24"/>
        </w:rPr>
        <w:t>（1）、信号灯发光单元、壳体、遮沿表面应平滑，无开裂、无银丝、无明显变形</w:t>
      </w:r>
      <w:r>
        <w:rPr>
          <w:rFonts w:ascii="宋体" w:hAnsi="宋体" w:eastAsia="宋体" w:cs="宋体"/>
          <w:spacing w:val="-1"/>
          <w:sz w:val="24"/>
          <w:szCs w:val="24"/>
        </w:rPr>
        <w:t>和毛刺等缺陷，壳体颜色应与光信号颜色有明显区别；</w:t>
      </w:r>
    </w:p>
    <w:p w14:paraId="00C24EA9">
      <w:pPr>
        <w:spacing w:before="182" w:line="219" w:lineRule="auto"/>
        <w:ind w:left="492"/>
        <w:rPr>
          <w:rFonts w:ascii="宋体" w:hAnsi="宋体" w:eastAsia="宋体" w:cs="宋体"/>
          <w:sz w:val="24"/>
          <w:szCs w:val="24"/>
        </w:rPr>
      </w:pPr>
      <w:r>
        <w:rPr>
          <w:rFonts w:ascii="宋体" w:hAnsi="宋体" w:eastAsia="宋体" w:cs="宋体"/>
          <w:spacing w:val="-1"/>
          <w:sz w:val="24"/>
          <w:szCs w:val="24"/>
        </w:rPr>
        <w:t>（2）、显示部分要求采用高亮度发光二极管，性能稳定，亮度均匀；</w:t>
      </w:r>
    </w:p>
    <w:p w14:paraId="7A7FBDBD">
      <w:pPr>
        <w:spacing w:before="183" w:line="220" w:lineRule="auto"/>
        <w:ind w:left="492"/>
        <w:rPr>
          <w:rFonts w:ascii="宋体" w:hAnsi="宋体" w:eastAsia="宋体" w:cs="宋体"/>
          <w:sz w:val="24"/>
          <w:szCs w:val="24"/>
        </w:rPr>
      </w:pPr>
      <w:r>
        <w:rPr>
          <w:rFonts w:ascii="宋体" w:hAnsi="宋体" w:eastAsia="宋体" w:cs="宋体"/>
          <w:spacing w:val="-1"/>
          <w:sz w:val="24"/>
          <w:szCs w:val="24"/>
        </w:rPr>
        <w:t>（3）、额定工作电压：220V/50Hz±2Hz；</w:t>
      </w:r>
    </w:p>
    <w:p w14:paraId="787F9F2E">
      <w:pPr>
        <w:spacing w:before="182" w:line="220" w:lineRule="auto"/>
        <w:ind w:left="492"/>
        <w:rPr>
          <w:rFonts w:ascii="宋体" w:hAnsi="宋体" w:eastAsia="宋体" w:cs="宋体"/>
          <w:sz w:val="24"/>
          <w:szCs w:val="24"/>
        </w:rPr>
      </w:pPr>
      <w:r>
        <w:rPr>
          <w:rFonts w:ascii="宋体" w:hAnsi="宋体" w:eastAsia="宋体" w:cs="宋体"/>
          <w:spacing w:val="-2"/>
          <w:sz w:val="24"/>
          <w:szCs w:val="24"/>
        </w:rPr>
        <w:t>（4）、功率≤15W；</w:t>
      </w:r>
    </w:p>
    <w:p w14:paraId="072F8F7A">
      <w:pPr>
        <w:spacing w:before="181" w:line="289" w:lineRule="auto"/>
        <w:ind w:left="1" w:firstLine="490"/>
        <w:rPr>
          <w:rFonts w:ascii="宋体" w:hAnsi="宋体" w:eastAsia="宋体" w:cs="宋体"/>
          <w:sz w:val="24"/>
          <w:szCs w:val="24"/>
        </w:rPr>
      </w:pPr>
      <w:r>
        <w:rPr>
          <w:rFonts w:ascii="宋体" w:hAnsi="宋体" w:eastAsia="宋体" w:cs="宋体"/>
          <w:sz w:val="24"/>
          <w:szCs w:val="24"/>
        </w:rPr>
        <w:t>（5）、发光单元的出光面直径为φ365mm±2mm，安装孔直径为φ390mm±2mm，遮</w:t>
      </w:r>
      <w:r>
        <w:rPr>
          <w:rFonts w:ascii="宋体" w:hAnsi="宋体" w:eastAsia="宋体" w:cs="宋体"/>
          <w:spacing w:val="-5"/>
          <w:sz w:val="24"/>
          <w:szCs w:val="24"/>
        </w:rPr>
        <w:t>沿侧夹角应小于80</w:t>
      </w:r>
      <w:r>
        <w:rPr>
          <w:rFonts w:ascii="宋体" w:hAnsi="宋体" w:eastAsia="宋体" w:cs="宋体"/>
          <w:spacing w:val="-81"/>
          <w:sz w:val="24"/>
          <w:szCs w:val="24"/>
        </w:rPr>
        <w:t xml:space="preserve"> </w:t>
      </w:r>
      <w:r>
        <w:rPr>
          <w:rFonts w:ascii="宋体" w:hAnsi="宋体" w:eastAsia="宋体" w:cs="宋体"/>
          <w:spacing w:val="-5"/>
          <w:sz w:val="24"/>
          <w:szCs w:val="24"/>
        </w:rPr>
        <w:t>°</w:t>
      </w:r>
      <w:r>
        <w:rPr>
          <w:rFonts w:ascii="宋体" w:hAnsi="宋体" w:eastAsia="宋体" w:cs="宋体"/>
          <w:spacing w:val="-94"/>
          <w:sz w:val="24"/>
          <w:szCs w:val="24"/>
        </w:rPr>
        <w:t xml:space="preserve"> </w:t>
      </w:r>
      <w:r>
        <w:rPr>
          <w:rFonts w:ascii="宋体" w:hAnsi="宋体" w:eastAsia="宋体" w:cs="宋体"/>
          <w:spacing w:val="-5"/>
          <w:sz w:val="24"/>
          <w:szCs w:val="24"/>
        </w:rPr>
        <w:t>,遮沿包角不应小于</w:t>
      </w:r>
      <w:r>
        <w:rPr>
          <w:rFonts w:ascii="宋体" w:hAnsi="宋体" w:eastAsia="宋体" w:cs="宋体"/>
          <w:spacing w:val="-48"/>
          <w:sz w:val="24"/>
          <w:szCs w:val="24"/>
        </w:rPr>
        <w:t xml:space="preserve"> </w:t>
      </w:r>
      <w:r>
        <w:rPr>
          <w:rFonts w:ascii="宋体" w:hAnsi="宋体" w:eastAsia="宋体" w:cs="宋体"/>
          <w:spacing w:val="-5"/>
          <w:sz w:val="24"/>
          <w:szCs w:val="24"/>
        </w:rPr>
        <w:t>270</w:t>
      </w:r>
      <w:r>
        <w:rPr>
          <w:rFonts w:ascii="宋体" w:hAnsi="宋体" w:eastAsia="宋体" w:cs="宋体"/>
          <w:spacing w:val="-89"/>
          <w:sz w:val="24"/>
          <w:szCs w:val="24"/>
        </w:rPr>
        <w:t xml:space="preserve"> </w:t>
      </w:r>
      <w:r>
        <w:rPr>
          <w:rFonts w:ascii="宋体" w:hAnsi="宋体" w:eastAsia="宋体" w:cs="宋体"/>
          <w:spacing w:val="-5"/>
          <w:sz w:val="24"/>
          <w:szCs w:val="24"/>
        </w:rPr>
        <w:t>°。</w:t>
      </w:r>
    </w:p>
    <w:p w14:paraId="1F12BD0D">
      <w:pPr>
        <w:spacing w:before="186" w:line="220" w:lineRule="auto"/>
        <w:ind w:left="492"/>
        <w:rPr>
          <w:rFonts w:ascii="宋体" w:hAnsi="宋体" w:eastAsia="宋体" w:cs="宋体"/>
          <w:sz w:val="24"/>
          <w:szCs w:val="24"/>
        </w:rPr>
      </w:pPr>
      <w:r>
        <w:rPr>
          <w:rFonts w:ascii="宋体" w:hAnsi="宋体" w:eastAsia="宋体" w:cs="宋体"/>
          <w:spacing w:val="-2"/>
          <w:sz w:val="24"/>
          <w:szCs w:val="24"/>
        </w:rPr>
        <w:t>（6）、颜色：红色、黄色、绿色；</w:t>
      </w:r>
    </w:p>
    <w:p w14:paraId="7B6906A5">
      <w:pPr>
        <w:spacing w:before="182" w:line="220" w:lineRule="auto"/>
        <w:ind w:left="492"/>
        <w:rPr>
          <w:rFonts w:ascii="宋体" w:hAnsi="宋体" w:eastAsia="宋体" w:cs="宋体"/>
          <w:sz w:val="24"/>
          <w:szCs w:val="24"/>
        </w:rPr>
      </w:pPr>
      <w:r>
        <w:rPr>
          <w:rFonts w:ascii="宋体" w:hAnsi="宋体" w:eastAsia="宋体" w:cs="宋体"/>
          <w:spacing w:val="-2"/>
          <w:sz w:val="24"/>
          <w:szCs w:val="24"/>
        </w:rPr>
        <w:t>（7）、外壳防护等级：IP53；</w:t>
      </w:r>
    </w:p>
    <w:p w14:paraId="71794410">
      <w:pPr>
        <w:spacing w:before="181" w:line="221" w:lineRule="auto"/>
        <w:ind w:left="492"/>
        <w:rPr>
          <w:rFonts w:ascii="宋体" w:hAnsi="宋体" w:eastAsia="宋体" w:cs="宋体"/>
          <w:sz w:val="24"/>
          <w:szCs w:val="24"/>
        </w:rPr>
      </w:pPr>
      <w:r>
        <w:rPr>
          <w:rFonts w:ascii="宋体" w:hAnsi="宋体" w:eastAsia="宋体" w:cs="宋体"/>
          <w:spacing w:val="5"/>
          <w:sz w:val="24"/>
          <w:szCs w:val="24"/>
        </w:rPr>
        <w:t>（8）、工作温度：-40℃</w:t>
      </w:r>
      <w:r>
        <w:rPr>
          <w:rFonts w:hint="eastAsia" w:ascii="宋体" w:hAnsi="宋体" w:eastAsia="宋体" w:cs="宋体"/>
          <w:spacing w:val="5"/>
          <w:sz w:val="24"/>
          <w:szCs w:val="24"/>
        </w:rPr>
        <w:t>～</w:t>
      </w:r>
      <w:r>
        <w:rPr>
          <w:rFonts w:ascii="宋体" w:hAnsi="宋体" w:eastAsia="宋体" w:cs="宋体"/>
          <w:spacing w:val="5"/>
          <w:sz w:val="24"/>
          <w:szCs w:val="24"/>
        </w:rPr>
        <w:t>+80℃。</w:t>
      </w:r>
    </w:p>
    <w:p w14:paraId="72C83634">
      <w:pPr>
        <w:pStyle w:val="12"/>
        <w:spacing w:line="257" w:lineRule="auto"/>
      </w:pPr>
    </w:p>
    <w:p w14:paraId="356B2C9A">
      <w:pPr>
        <w:spacing w:before="79" w:line="219" w:lineRule="auto"/>
        <w:outlineLvl w:val="1"/>
        <w:rPr>
          <w:rFonts w:ascii="宋体" w:hAnsi="宋体" w:eastAsia="宋体" w:cs="宋体"/>
          <w:sz w:val="24"/>
          <w:szCs w:val="24"/>
        </w:rPr>
      </w:pPr>
      <w:r>
        <w:rPr>
          <w:rFonts w:ascii="宋体" w:hAnsi="宋体" w:eastAsia="宋体" w:cs="宋体"/>
          <w:b/>
          <w:bCs/>
          <w:spacing w:val="-3"/>
          <w:sz w:val="24"/>
          <w:szCs w:val="24"/>
        </w:rPr>
        <w:t>4、联网信号控制机</w:t>
      </w:r>
    </w:p>
    <w:p w14:paraId="324FB70F">
      <w:pPr>
        <w:pStyle w:val="12"/>
        <w:spacing w:line="259" w:lineRule="auto"/>
      </w:pPr>
    </w:p>
    <w:p w14:paraId="147382D4">
      <w:pPr>
        <w:spacing w:before="79" w:line="220" w:lineRule="auto"/>
        <w:ind w:left="492"/>
        <w:rPr>
          <w:rFonts w:ascii="宋体" w:hAnsi="宋体" w:eastAsia="宋体" w:cs="宋体"/>
          <w:sz w:val="24"/>
          <w:szCs w:val="24"/>
        </w:rPr>
      </w:pPr>
      <w:r>
        <w:rPr>
          <w:rFonts w:ascii="宋体" w:hAnsi="宋体" w:eastAsia="宋体" w:cs="宋体"/>
          <w:spacing w:val="-3"/>
          <w:sz w:val="24"/>
          <w:szCs w:val="24"/>
        </w:rPr>
        <w:t>（1）、可编程的</w:t>
      </w:r>
      <w:r>
        <w:rPr>
          <w:rFonts w:ascii="宋体" w:hAnsi="宋体" w:eastAsia="宋体" w:cs="宋体"/>
          <w:spacing w:val="-50"/>
          <w:sz w:val="24"/>
          <w:szCs w:val="24"/>
        </w:rPr>
        <w:t xml:space="preserve"> </w:t>
      </w:r>
      <w:r>
        <w:rPr>
          <w:rFonts w:ascii="宋体" w:hAnsi="宋体" w:eastAsia="宋体" w:cs="宋体"/>
          <w:spacing w:val="-3"/>
          <w:sz w:val="24"/>
          <w:szCs w:val="24"/>
        </w:rPr>
        <w:t>8</w:t>
      </w:r>
      <w:r>
        <w:rPr>
          <w:rFonts w:ascii="宋体" w:hAnsi="宋体" w:eastAsia="宋体" w:cs="宋体"/>
          <w:spacing w:val="-50"/>
          <w:sz w:val="24"/>
          <w:szCs w:val="24"/>
        </w:rPr>
        <w:t xml:space="preserve"> </w:t>
      </w:r>
      <w:r>
        <w:rPr>
          <w:rFonts w:ascii="宋体" w:hAnsi="宋体" w:eastAsia="宋体" w:cs="宋体"/>
          <w:spacing w:val="-3"/>
          <w:sz w:val="24"/>
          <w:szCs w:val="24"/>
        </w:rPr>
        <w:t>相位控制。</w:t>
      </w:r>
    </w:p>
    <w:p w14:paraId="408702B2">
      <w:pPr>
        <w:spacing w:before="182" w:line="220" w:lineRule="auto"/>
        <w:ind w:left="492"/>
        <w:rPr>
          <w:rFonts w:ascii="宋体" w:hAnsi="宋体" w:eastAsia="宋体" w:cs="宋体"/>
          <w:sz w:val="24"/>
          <w:szCs w:val="24"/>
        </w:rPr>
      </w:pPr>
      <w:r>
        <w:rPr>
          <w:rFonts w:ascii="宋体" w:hAnsi="宋体" w:eastAsia="宋体" w:cs="宋体"/>
          <w:spacing w:val="-2"/>
          <w:sz w:val="24"/>
          <w:szCs w:val="24"/>
        </w:rPr>
        <w:t>（2）、8</w:t>
      </w:r>
      <w:r>
        <w:rPr>
          <w:rFonts w:ascii="宋体" w:hAnsi="宋体" w:eastAsia="宋体" w:cs="宋体"/>
          <w:spacing w:val="-50"/>
          <w:sz w:val="24"/>
          <w:szCs w:val="24"/>
        </w:rPr>
        <w:t xml:space="preserve"> </w:t>
      </w:r>
      <w:r>
        <w:rPr>
          <w:rFonts w:ascii="宋体" w:hAnsi="宋体" w:eastAsia="宋体" w:cs="宋体"/>
          <w:spacing w:val="-2"/>
          <w:sz w:val="24"/>
          <w:szCs w:val="24"/>
        </w:rPr>
        <w:t>个独立的信号灯组输出。</w:t>
      </w:r>
    </w:p>
    <w:p w14:paraId="4F3E8C20">
      <w:pPr>
        <w:spacing w:before="182" w:line="217" w:lineRule="auto"/>
        <w:ind w:left="492"/>
        <w:rPr>
          <w:rFonts w:ascii="宋体" w:hAnsi="宋体" w:eastAsia="宋体" w:cs="宋体"/>
          <w:sz w:val="24"/>
          <w:szCs w:val="24"/>
        </w:rPr>
      </w:pPr>
      <w:r>
        <w:rPr>
          <w:rFonts w:ascii="宋体" w:hAnsi="宋体" w:eastAsia="宋体" w:cs="宋体"/>
          <w:spacing w:val="-2"/>
          <w:sz w:val="24"/>
          <w:szCs w:val="24"/>
        </w:rPr>
        <w:t>（3）、提供</w:t>
      </w:r>
      <w:r>
        <w:rPr>
          <w:rFonts w:ascii="宋体" w:hAnsi="宋体" w:eastAsia="宋体" w:cs="宋体"/>
          <w:spacing w:val="-36"/>
          <w:sz w:val="24"/>
          <w:szCs w:val="24"/>
        </w:rPr>
        <w:t xml:space="preserve"> </w:t>
      </w:r>
      <w:r>
        <w:rPr>
          <w:rFonts w:ascii="宋体" w:hAnsi="宋体" w:eastAsia="宋体" w:cs="宋体"/>
          <w:spacing w:val="-2"/>
          <w:sz w:val="24"/>
          <w:szCs w:val="24"/>
        </w:rPr>
        <w:t>2</w:t>
      </w:r>
      <w:r>
        <w:rPr>
          <w:rFonts w:ascii="宋体" w:hAnsi="宋体" w:eastAsia="宋体" w:cs="宋体"/>
          <w:spacing w:val="-48"/>
          <w:sz w:val="24"/>
          <w:szCs w:val="24"/>
        </w:rPr>
        <w:t xml:space="preserve"> </w:t>
      </w:r>
      <w:r>
        <w:rPr>
          <w:rFonts w:ascii="宋体" w:hAnsi="宋体" w:eastAsia="宋体" w:cs="宋体"/>
          <w:spacing w:val="-2"/>
          <w:sz w:val="24"/>
          <w:szCs w:val="24"/>
        </w:rPr>
        <w:t>路行人过街按钮输入,可实现行人过街控制功能。</w:t>
      </w:r>
    </w:p>
    <w:p w14:paraId="79026854">
      <w:pPr>
        <w:spacing w:before="185" w:line="221" w:lineRule="auto"/>
        <w:ind w:left="492"/>
        <w:rPr>
          <w:rFonts w:ascii="宋体" w:hAnsi="宋体" w:eastAsia="宋体" w:cs="宋体"/>
          <w:sz w:val="24"/>
          <w:szCs w:val="24"/>
        </w:rPr>
      </w:pPr>
      <w:r>
        <w:rPr>
          <w:rFonts w:ascii="宋体" w:hAnsi="宋体" w:eastAsia="宋体" w:cs="宋体"/>
          <w:spacing w:val="-4"/>
          <w:sz w:val="24"/>
          <w:szCs w:val="24"/>
        </w:rPr>
        <w:t>（4）、具有手动、</w:t>
      </w:r>
      <w:r>
        <w:rPr>
          <w:rFonts w:ascii="宋体" w:hAnsi="宋体" w:eastAsia="宋体" w:cs="宋体"/>
          <w:spacing w:val="-71"/>
          <w:sz w:val="24"/>
          <w:szCs w:val="24"/>
        </w:rPr>
        <w:t xml:space="preserve"> </w:t>
      </w:r>
      <w:r>
        <w:rPr>
          <w:rFonts w:ascii="宋体" w:hAnsi="宋体" w:eastAsia="宋体" w:cs="宋体"/>
          <w:spacing w:val="-4"/>
          <w:sz w:val="24"/>
          <w:szCs w:val="24"/>
        </w:rPr>
        <w:t>自动和远程控制</w:t>
      </w:r>
      <w:r>
        <w:rPr>
          <w:rFonts w:ascii="宋体" w:hAnsi="宋体" w:eastAsia="宋体" w:cs="宋体"/>
          <w:spacing w:val="-46"/>
          <w:sz w:val="24"/>
          <w:szCs w:val="24"/>
        </w:rPr>
        <w:t xml:space="preserve"> </w:t>
      </w:r>
      <w:r>
        <w:rPr>
          <w:rFonts w:ascii="宋体" w:hAnsi="宋体" w:eastAsia="宋体" w:cs="宋体"/>
          <w:spacing w:val="-4"/>
          <w:sz w:val="24"/>
          <w:szCs w:val="24"/>
        </w:rPr>
        <w:t>3</w:t>
      </w:r>
      <w:r>
        <w:rPr>
          <w:rFonts w:ascii="宋体" w:hAnsi="宋体" w:eastAsia="宋体" w:cs="宋体"/>
          <w:spacing w:val="-50"/>
          <w:sz w:val="24"/>
          <w:szCs w:val="24"/>
        </w:rPr>
        <w:t xml:space="preserve"> </w:t>
      </w:r>
      <w:r>
        <w:rPr>
          <w:rFonts w:ascii="宋体" w:hAnsi="宋体" w:eastAsia="宋体" w:cs="宋体"/>
          <w:spacing w:val="-4"/>
          <w:sz w:val="24"/>
          <w:szCs w:val="24"/>
        </w:rPr>
        <w:t>种控制</w:t>
      </w:r>
      <w:r>
        <w:rPr>
          <w:rFonts w:ascii="宋体" w:hAnsi="宋体" w:eastAsia="宋体" w:cs="宋体"/>
          <w:spacing w:val="-5"/>
          <w:sz w:val="24"/>
          <w:szCs w:val="24"/>
        </w:rPr>
        <w:t>方式。</w:t>
      </w:r>
    </w:p>
    <w:p w14:paraId="5677C731">
      <w:pPr>
        <w:spacing w:before="181" w:line="220" w:lineRule="auto"/>
        <w:ind w:left="492"/>
        <w:rPr>
          <w:rFonts w:ascii="宋体" w:hAnsi="宋体" w:eastAsia="宋体" w:cs="宋体"/>
          <w:sz w:val="24"/>
          <w:szCs w:val="24"/>
        </w:rPr>
      </w:pPr>
      <w:r>
        <w:rPr>
          <w:rFonts w:ascii="宋体" w:hAnsi="宋体" w:eastAsia="宋体" w:cs="宋体"/>
          <w:spacing w:val="-1"/>
          <w:sz w:val="24"/>
          <w:szCs w:val="24"/>
        </w:rPr>
        <w:t>（5）、可实现定时多方案和无缆协调等控制功能。</w:t>
      </w:r>
    </w:p>
    <w:p w14:paraId="1258760D">
      <w:pPr>
        <w:spacing w:before="182" w:line="220" w:lineRule="auto"/>
        <w:ind w:left="492"/>
        <w:rPr>
          <w:rFonts w:ascii="宋体" w:hAnsi="宋体" w:eastAsia="宋体" w:cs="宋体"/>
          <w:sz w:val="24"/>
          <w:szCs w:val="24"/>
        </w:rPr>
      </w:pPr>
      <w:r>
        <w:rPr>
          <w:rFonts w:ascii="宋体" w:hAnsi="宋体" w:eastAsia="宋体" w:cs="宋体"/>
          <w:spacing w:val="-3"/>
          <w:sz w:val="24"/>
          <w:szCs w:val="24"/>
        </w:rPr>
        <w:t>（6）、在线修改日期、时间、</w:t>
      </w:r>
      <w:r>
        <w:rPr>
          <w:rFonts w:ascii="宋体" w:hAnsi="宋体" w:eastAsia="宋体" w:cs="宋体"/>
          <w:spacing w:val="-55"/>
          <w:sz w:val="24"/>
          <w:szCs w:val="24"/>
        </w:rPr>
        <w:t xml:space="preserve"> </w:t>
      </w:r>
      <w:r>
        <w:rPr>
          <w:rFonts w:ascii="宋体" w:hAnsi="宋体" w:eastAsia="宋体" w:cs="宋体"/>
          <w:spacing w:val="-3"/>
          <w:sz w:val="24"/>
          <w:szCs w:val="24"/>
        </w:rPr>
        <w:t>日时方案、配时方案等控制参数。</w:t>
      </w:r>
    </w:p>
    <w:p w14:paraId="622202C7">
      <w:pPr>
        <w:spacing w:before="122" w:line="217" w:lineRule="auto"/>
        <w:ind w:left="489"/>
        <w:rPr>
          <w:rFonts w:ascii="宋体" w:hAnsi="宋体" w:eastAsia="宋体" w:cs="宋体"/>
          <w:sz w:val="24"/>
          <w:szCs w:val="24"/>
        </w:rPr>
      </w:pPr>
      <w:r>
        <w:rPr>
          <w:rFonts w:ascii="宋体" w:hAnsi="宋体" w:eastAsia="宋体" w:cs="宋体"/>
          <w:spacing w:val="-2"/>
          <w:sz w:val="24"/>
          <w:szCs w:val="24"/>
        </w:rPr>
        <w:t>（7）、每天可划分</w:t>
      </w:r>
      <w:r>
        <w:rPr>
          <w:rFonts w:ascii="宋体" w:hAnsi="宋体" w:eastAsia="宋体" w:cs="宋体"/>
          <w:spacing w:val="-50"/>
          <w:sz w:val="24"/>
          <w:szCs w:val="24"/>
        </w:rPr>
        <w:t xml:space="preserve"> </w:t>
      </w:r>
      <w:r>
        <w:rPr>
          <w:rFonts w:ascii="宋体" w:hAnsi="宋体" w:eastAsia="宋体" w:cs="宋体"/>
          <w:spacing w:val="-2"/>
          <w:sz w:val="24"/>
          <w:szCs w:val="24"/>
        </w:rPr>
        <w:t>8</w:t>
      </w:r>
      <w:r>
        <w:rPr>
          <w:rFonts w:ascii="宋体" w:hAnsi="宋体" w:eastAsia="宋体" w:cs="宋体"/>
          <w:spacing w:val="-50"/>
          <w:sz w:val="24"/>
          <w:szCs w:val="24"/>
        </w:rPr>
        <w:t xml:space="preserve"> </w:t>
      </w:r>
      <w:r>
        <w:rPr>
          <w:rFonts w:ascii="宋体" w:hAnsi="宋体" w:eastAsia="宋体" w:cs="宋体"/>
          <w:spacing w:val="-2"/>
          <w:sz w:val="24"/>
          <w:szCs w:val="24"/>
        </w:rPr>
        <w:t>个时段；可存储</w:t>
      </w:r>
      <w:r>
        <w:rPr>
          <w:rFonts w:ascii="宋体" w:hAnsi="宋体" w:eastAsia="宋体" w:cs="宋体"/>
          <w:spacing w:val="-50"/>
          <w:sz w:val="24"/>
          <w:szCs w:val="24"/>
        </w:rPr>
        <w:t xml:space="preserve"> </w:t>
      </w:r>
      <w:r>
        <w:rPr>
          <w:rFonts w:ascii="宋体" w:hAnsi="宋体" w:eastAsia="宋体" w:cs="宋体"/>
          <w:spacing w:val="-2"/>
          <w:sz w:val="24"/>
          <w:szCs w:val="24"/>
        </w:rPr>
        <w:t>9</w:t>
      </w:r>
      <w:r>
        <w:rPr>
          <w:rFonts w:ascii="宋体" w:hAnsi="宋体" w:eastAsia="宋体" w:cs="宋体"/>
          <w:spacing w:val="-51"/>
          <w:sz w:val="24"/>
          <w:szCs w:val="24"/>
        </w:rPr>
        <w:t xml:space="preserve"> </w:t>
      </w:r>
      <w:r>
        <w:rPr>
          <w:rFonts w:ascii="宋体" w:hAnsi="宋体" w:eastAsia="宋体" w:cs="宋体"/>
          <w:spacing w:val="-2"/>
          <w:sz w:val="24"/>
          <w:szCs w:val="24"/>
        </w:rPr>
        <w:t>种日时方案,1</w:t>
      </w:r>
      <w:r>
        <w:rPr>
          <w:rFonts w:ascii="宋体" w:hAnsi="宋体" w:eastAsia="宋体" w:cs="宋体"/>
          <w:spacing w:val="-3"/>
          <w:sz w:val="24"/>
          <w:szCs w:val="24"/>
        </w:rPr>
        <w:t>7</w:t>
      </w:r>
      <w:r>
        <w:rPr>
          <w:rFonts w:ascii="宋体" w:hAnsi="宋体" w:eastAsia="宋体" w:cs="宋体"/>
          <w:spacing w:val="-50"/>
          <w:sz w:val="24"/>
          <w:szCs w:val="24"/>
        </w:rPr>
        <w:t xml:space="preserve"> </w:t>
      </w:r>
      <w:r>
        <w:rPr>
          <w:rFonts w:ascii="宋体" w:hAnsi="宋体" w:eastAsia="宋体" w:cs="宋体"/>
          <w:spacing w:val="-3"/>
          <w:sz w:val="24"/>
          <w:szCs w:val="24"/>
        </w:rPr>
        <w:t>种配时方案。</w:t>
      </w:r>
    </w:p>
    <w:p w14:paraId="7D44B45F">
      <w:pPr>
        <w:spacing w:before="185" w:line="220" w:lineRule="auto"/>
        <w:ind w:left="489"/>
        <w:rPr>
          <w:rFonts w:ascii="宋体" w:hAnsi="宋体" w:eastAsia="宋体" w:cs="宋体"/>
          <w:sz w:val="24"/>
          <w:szCs w:val="24"/>
        </w:rPr>
      </w:pPr>
      <w:r>
        <w:rPr>
          <w:rFonts w:ascii="宋体" w:hAnsi="宋体" w:eastAsia="宋体" w:cs="宋体"/>
          <w:spacing w:val="-1"/>
          <w:sz w:val="24"/>
          <w:szCs w:val="24"/>
        </w:rPr>
        <w:t>（8）、在线显示各相位状态、故障状态等信息。</w:t>
      </w:r>
    </w:p>
    <w:p w14:paraId="69429C1E">
      <w:pPr>
        <w:spacing w:before="182" w:line="220" w:lineRule="auto"/>
        <w:ind w:left="489"/>
        <w:rPr>
          <w:rFonts w:ascii="宋体" w:hAnsi="宋体" w:eastAsia="宋体" w:cs="宋体"/>
          <w:sz w:val="24"/>
          <w:szCs w:val="24"/>
        </w:rPr>
      </w:pPr>
      <w:r>
        <w:rPr>
          <w:rFonts w:ascii="宋体" w:hAnsi="宋体" w:eastAsia="宋体" w:cs="宋体"/>
          <w:spacing w:val="-1"/>
          <w:sz w:val="24"/>
          <w:szCs w:val="24"/>
        </w:rPr>
        <w:t>（9）、相位冲突监视和控制，信号灯故障检测及报警。</w:t>
      </w:r>
    </w:p>
    <w:p w14:paraId="57B82BAE">
      <w:pPr>
        <w:spacing w:before="181" w:line="290" w:lineRule="auto"/>
        <w:ind w:firstLine="488"/>
        <w:rPr>
          <w:rFonts w:ascii="宋体" w:hAnsi="宋体" w:eastAsia="宋体" w:cs="宋体"/>
          <w:sz w:val="24"/>
          <w:szCs w:val="24"/>
        </w:rPr>
      </w:pPr>
      <w:r>
        <w:rPr>
          <w:rFonts w:ascii="宋体" w:hAnsi="宋体" w:eastAsia="宋体" w:cs="宋体"/>
          <w:spacing w:val="-1"/>
          <w:sz w:val="24"/>
          <w:szCs w:val="24"/>
        </w:rPr>
        <w:t>（10）、提供一个标准的</w:t>
      </w:r>
      <w:r>
        <w:rPr>
          <w:rFonts w:ascii="宋体" w:hAnsi="宋体" w:eastAsia="宋体" w:cs="宋体"/>
          <w:spacing w:val="-48"/>
          <w:sz w:val="24"/>
          <w:szCs w:val="24"/>
        </w:rPr>
        <w:t xml:space="preserve"> </w:t>
      </w:r>
      <w:r>
        <w:rPr>
          <w:rFonts w:ascii="宋体" w:hAnsi="宋体" w:eastAsia="宋体" w:cs="宋体"/>
          <w:spacing w:val="-1"/>
          <w:sz w:val="24"/>
          <w:szCs w:val="24"/>
        </w:rPr>
        <w:t>RS-232</w:t>
      </w:r>
      <w:r>
        <w:rPr>
          <w:rFonts w:ascii="宋体" w:hAnsi="宋体" w:eastAsia="宋体" w:cs="宋体"/>
          <w:spacing w:val="-29"/>
          <w:sz w:val="24"/>
          <w:szCs w:val="24"/>
        </w:rPr>
        <w:t xml:space="preserve"> </w:t>
      </w:r>
      <w:r>
        <w:rPr>
          <w:rFonts w:ascii="宋体" w:hAnsi="宋体" w:eastAsia="宋体" w:cs="宋体"/>
          <w:spacing w:val="-1"/>
          <w:sz w:val="24"/>
          <w:szCs w:val="24"/>
        </w:rPr>
        <w:t>串行通信接口，可实现电话线、专线、光纤、无</w:t>
      </w:r>
      <w:r>
        <w:rPr>
          <w:rFonts w:ascii="宋体" w:hAnsi="宋体" w:eastAsia="宋体" w:cs="宋体"/>
          <w:spacing w:val="-2"/>
          <w:sz w:val="24"/>
          <w:szCs w:val="24"/>
        </w:rPr>
        <w:t>线等多种方式的通信。</w:t>
      </w:r>
    </w:p>
    <w:p w14:paraId="1E487604">
      <w:pPr>
        <w:spacing w:before="182" w:line="219" w:lineRule="auto"/>
        <w:ind w:left="489"/>
        <w:rPr>
          <w:rFonts w:ascii="宋体" w:hAnsi="宋体" w:eastAsia="宋体" w:cs="宋体"/>
          <w:sz w:val="24"/>
          <w:szCs w:val="24"/>
        </w:rPr>
      </w:pPr>
      <w:r>
        <w:rPr>
          <w:rFonts w:ascii="宋体" w:hAnsi="宋体" w:eastAsia="宋体" w:cs="宋体"/>
          <w:spacing w:val="-1"/>
          <w:sz w:val="24"/>
          <w:szCs w:val="24"/>
        </w:rPr>
        <w:t>（11）、提供一个</w:t>
      </w:r>
      <w:r>
        <w:rPr>
          <w:rFonts w:ascii="宋体" w:hAnsi="宋体" w:eastAsia="宋体" w:cs="宋体"/>
          <w:spacing w:val="-53"/>
          <w:sz w:val="24"/>
          <w:szCs w:val="24"/>
        </w:rPr>
        <w:t xml:space="preserve"> </w:t>
      </w:r>
      <w:r>
        <w:rPr>
          <w:rFonts w:ascii="宋体" w:hAnsi="宋体" w:eastAsia="宋体" w:cs="宋体"/>
          <w:spacing w:val="-1"/>
          <w:sz w:val="24"/>
          <w:szCs w:val="24"/>
        </w:rPr>
        <w:t>RS-485</w:t>
      </w:r>
      <w:r>
        <w:rPr>
          <w:rFonts w:ascii="宋体" w:hAnsi="宋体" w:eastAsia="宋体" w:cs="宋体"/>
          <w:spacing w:val="-50"/>
          <w:sz w:val="24"/>
          <w:szCs w:val="24"/>
        </w:rPr>
        <w:t xml:space="preserve"> </w:t>
      </w:r>
      <w:r>
        <w:rPr>
          <w:rFonts w:ascii="宋体" w:hAnsi="宋体" w:eastAsia="宋体" w:cs="宋体"/>
          <w:spacing w:val="-1"/>
          <w:sz w:val="24"/>
          <w:szCs w:val="24"/>
        </w:rPr>
        <w:t>通信接口，可实现与倒计时牌的</w:t>
      </w:r>
      <w:r>
        <w:rPr>
          <w:rFonts w:ascii="宋体" w:hAnsi="宋体" w:eastAsia="宋体" w:cs="宋体"/>
          <w:spacing w:val="-2"/>
          <w:sz w:val="24"/>
          <w:szCs w:val="24"/>
        </w:rPr>
        <w:t>串行通信。</w:t>
      </w:r>
    </w:p>
    <w:p w14:paraId="6DEC93BE">
      <w:pPr>
        <w:spacing w:before="184" w:line="219" w:lineRule="auto"/>
        <w:ind w:left="489"/>
        <w:rPr>
          <w:rFonts w:ascii="宋体" w:hAnsi="宋体" w:eastAsia="宋体" w:cs="宋体"/>
          <w:sz w:val="24"/>
          <w:szCs w:val="24"/>
        </w:rPr>
      </w:pPr>
      <w:r>
        <w:rPr>
          <w:rFonts w:ascii="宋体" w:hAnsi="宋体" w:eastAsia="宋体" w:cs="宋体"/>
          <w:spacing w:val="-1"/>
          <w:sz w:val="24"/>
          <w:szCs w:val="24"/>
        </w:rPr>
        <w:t>（12）、适合于单路口控制和主干道控制。出现故障系统可自动降级使用。</w:t>
      </w:r>
    </w:p>
    <w:p w14:paraId="785F9A23">
      <w:pPr>
        <w:spacing w:before="183" w:line="220" w:lineRule="auto"/>
        <w:ind w:left="489"/>
        <w:rPr>
          <w:rFonts w:ascii="宋体" w:hAnsi="宋体" w:eastAsia="宋体" w:cs="宋体"/>
          <w:sz w:val="24"/>
          <w:szCs w:val="24"/>
        </w:rPr>
      </w:pPr>
      <w:r>
        <w:rPr>
          <w:rFonts w:ascii="宋体" w:hAnsi="宋体" w:eastAsia="宋体" w:cs="宋体"/>
          <w:spacing w:val="-2"/>
          <w:sz w:val="24"/>
          <w:szCs w:val="24"/>
        </w:rPr>
        <w:t>（13）、控制最大相位数： 8</w:t>
      </w:r>
      <w:r>
        <w:rPr>
          <w:rFonts w:ascii="宋体" w:hAnsi="宋体" w:eastAsia="宋体" w:cs="宋体"/>
          <w:spacing w:val="-41"/>
          <w:sz w:val="24"/>
          <w:szCs w:val="24"/>
        </w:rPr>
        <w:t xml:space="preserve"> </w:t>
      </w:r>
      <w:r>
        <w:rPr>
          <w:rFonts w:ascii="宋体" w:hAnsi="宋体" w:eastAsia="宋体" w:cs="宋体"/>
          <w:spacing w:val="-2"/>
          <w:sz w:val="24"/>
          <w:szCs w:val="24"/>
        </w:rPr>
        <w:t>个</w:t>
      </w:r>
    </w:p>
    <w:p w14:paraId="7043202D">
      <w:pPr>
        <w:spacing w:before="182" w:line="220" w:lineRule="auto"/>
        <w:ind w:left="489"/>
        <w:rPr>
          <w:rFonts w:ascii="宋体" w:hAnsi="宋体" w:eastAsia="宋体" w:cs="宋体"/>
          <w:sz w:val="24"/>
          <w:szCs w:val="24"/>
        </w:rPr>
      </w:pPr>
      <w:r>
        <w:rPr>
          <w:rFonts w:ascii="宋体" w:hAnsi="宋体" w:eastAsia="宋体" w:cs="宋体"/>
          <w:spacing w:val="-1"/>
          <w:sz w:val="24"/>
          <w:szCs w:val="24"/>
        </w:rPr>
        <w:t>（14）、驱动能力：500W/220V/路</w:t>
      </w:r>
    </w:p>
    <w:p w14:paraId="0C55193E">
      <w:pPr>
        <w:spacing w:before="181" w:line="221" w:lineRule="auto"/>
        <w:ind w:left="489"/>
        <w:rPr>
          <w:rFonts w:ascii="宋体" w:hAnsi="宋体" w:eastAsia="宋体" w:cs="宋体"/>
          <w:sz w:val="24"/>
          <w:szCs w:val="24"/>
        </w:rPr>
      </w:pPr>
      <w:r>
        <w:rPr>
          <w:rFonts w:ascii="宋体" w:hAnsi="宋体" w:eastAsia="宋体" w:cs="宋体"/>
          <w:spacing w:val="-1"/>
          <w:sz w:val="24"/>
          <w:szCs w:val="24"/>
        </w:rPr>
        <w:t>（15）、工作电压  AC176V～264V</w:t>
      </w:r>
    </w:p>
    <w:p w14:paraId="72FBEE3C">
      <w:pPr>
        <w:spacing w:before="181" w:line="220" w:lineRule="auto"/>
        <w:ind w:left="489"/>
        <w:rPr>
          <w:rFonts w:ascii="宋体" w:hAnsi="宋体" w:eastAsia="宋体" w:cs="宋体"/>
          <w:sz w:val="24"/>
          <w:szCs w:val="24"/>
        </w:rPr>
      </w:pPr>
      <w:r>
        <w:rPr>
          <w:rFonts w:ascii="宋体" w:hAnsi="宋体" w:eastAsia="宋体" w:cs="宋体"/>
          <w:spacing w:val="-2"/>
          <w:sz w:val="24"/>
          <w:szCs w:val="24"/>
        </w:rPr>
        <w:t>（16）、绝缘等级 不低于</w:t>
      </w:r>
      <w:r>
        <w:rPr>
          <w:rFonts w:ascii="宋体" w:hAnsi="宋体" w:eastAsia="宋体" w:cs="宋体"/>
          <w:spacing w:val="-32"/>
          <w:sz w:val="24"/>
          <w:szCs w:val="24"/>
        </w:rPr>
        <w:t xml:space="preserve"> </w:t>
      </w:r>
      <w:r>
        <w:rPr>
          <w:rFonts w:ascii="宋体" w:hAnsi="宋体" w:eastAsia="宋体" w:cs="宋体"/>
          <w:spacing w:val="-2"/>
          <w:sz w:val="24"/>
          <w:szCs w:val="24"/>
        </w:rPr>
        <w:t>10MΩ（不包含避雷器）</w:t>
      </w:r>
    </w:p>
    <w:p w14:paraId="099C4DA3">
      <w:pPr>
        <w:spacing w:before="182" w:line="220" w:lineRule="auto"/>
        <w:ind w:left="489"/>
        <w:rPr>
          <w:rFonts w:ascii="宋体" w:hAnsi="宋体" w:eastAsia="宋体" w:cs="宋体"/>
          <w:sz w:val="24"/>
          <w:szCs w:val="24"/>
        </w:rPr>
      </w:pPr>
      <w:r>
        <w:rPr>
          <w:rFonts w:ascii="宋体" w:hAnsi="宋体" w:eastAsia="宋体" w:cs="宋体"/>
          <w:spacing w:val="-3"/>
          <w:sz w:val="24"/>
          <w:szCs w:val="24"/>
        </w:rPr>
        <w:t>（17）、耐压等级</w:t>
      </w:r>
      <w:r>
        <w:rPr>
          <w:rFonts w:ascii="宋体" w:hAnsi="宋体" w:eastAsia="宋体" w:cs="宋体"/>
          <w:spacing w:val="22"/>
          <w:sz w:val="24"/>
          <w:szCs w:val="24"/>
        </w:rPr>
        <w:t xml:space="preserve">  </w:t>
      </w:r>
      <w:r>
        <w:rPr>
          <w:rFonts w:ascii="宋体" w:hAnsi="宋体" w:eastAsia="宋体" w:cs="宋体"/>
          <w:spacing w:val="-3"/>
          <w:sz w:val="24"/>
          <w:szCs w:val="24"/>
        </w:rPr>
        <w:t>1500VAC  50HZ</w:t>
      </w:r>
    </w:p>
    <w:p w14:paraId="77E3436A">
      <w:pPr>
        <w:spacing w:before="182" w:line="221" w:lineRule="auto"/>
        <w:ind w:left="489"/>
        <w:rPr>
          <w:rFonts w:ascii="宋体" w:hAnsi="宋体" w:eastAsia="宋体" w:cs="宋体"/>
          <w:sz w:val="24"/>
          <w:szCs w:val="24"/>
        </w:rPr>
      </w:pPr>
      <w:r>
        <w:rPr>
          <w:rFonts w:ascii="宋体" w:hAnsi="宋体" w:eastAsia="宋体" w:cs="宋体"/>
          <w:spacing w:val="-2"/>
          <w:sz w:val="24"/>
          <w:szCs w:val="24"/>
        </w:rPr>
        <w:t>（18）、工作环境相对湿度：20～95%</w:t>
      </w:r>
    </w:p>
    <w:p w14:paraId="1340A7B4">
      <w:pPr>
        <w:spacing w:before="181" w:line="219" w:lineRule="auto"/>
        <w:ind w:left="489"/>
        <w:rPr>
          <w:rFonts w:ascii="宋体" w:hAnsi="宋体" w:eastAsia="宋体" w:cs="宋体"/>
          <w:sz w:val="24"/>
          <w:szCs w:val="24"/>
        </w:rPr>
      </w:pPr>
      <w:r>
        <w:rPr>
          <w:rFonts w:ascii="宋体" w:hAnsi="宋体" w:eastAsia="宋体" w:cs="宋体"/>
          <w:spacing w:val="-1"/>
          <w:sz w:val="24"/>
          <w:szCs w:val="24"/>
        </w:rPr>
        <w:t>（19）、外型尺寸：495×350×270（mm）</w:t>
      </w:r>
    </w:p>
    <w:p w14:paraId="0B4C48AC">
      <w:pPr>
        <w:pStyle w:val="12"/>
        <w:spacing w:line="259" w:lineRule="auto"/>
      </w:pPr>
    </w:p>
    <w:p w14:paraId="505C9F13">
      <w:pPr>
        <w:spacing w:before="79" w:line="219" w:lineRule="auto"/>
        <w:ind w:left="2"/>
        <w:outlineLvl w:val="1"/>
        <w:rPr>
          <w:rFonts w:ascii="宋体" w:hAnsi="宋体" w:eastAsia="宋体" w:cs="宋体"/>
          <w:spacing w:val="-3"/>
          <w:kern w:val="2"/>
          <w:sz w:val="24"/>
          <w:szCs w:val="24"/>
          <w:lang w:val="en-US" w:eastAsia="zh-CN" w:bidi="ar-SA"/>
        </w:rPr>
      </w:pPr>
      <w:r>
        <w:rPr>
          <w:rFonts w:ascii="宋体" w:hAnsi="宋体" w:eastAsia="宋体" w:cs="宋体"/>
          <w:b/>
          <w:bCs/>
          <w:spacing w:val="-4"/>
          <w:sz w:val="24"/>
          <w:szCs w:val="24"/>
        </w:rPr>
        <w:t>5、信号控制机</w:t>
      </w:r>
    </w:p>
    <w:p w14:paraId="72854E86">
      <w:pPr>
        <w:spacing w:before="182" w:line="220" w:lineRule="auto"/>
        <w:ind w:left="489"/>
        <w:rPr>
          <w:rFonts w:ascii="宋体" w:hAnsi="宋体" w:eastAsia="宋体" w:cs="宋体"/>
          <w:spacing w:val="-3"/>
          <w:sz w:val="24"/>
          <w:szCs w:val="24"/>
        </w:rPr>
      </w:pPr>
      <w:r>
        <w:rPr>
          <w:rFonts w:ascii="宋体" w:hAnsi="宋体" w:eastAsia="宋体" w:cs="宋体"/>
          <w:spacing w:val="-3"/>
          <w:sz w:val="24"/>
          <w:szCs w:val="24"/>
          <w:lang w:val="en-US" w:eastAsia="zh-CN"/>
        </w:rPr>
        <w:t>（1）、中文人机</w:t>
      </w:r>
      <w:r>
        <w:rPr>
          <w:rFonts w:ascii="宋体" w:hAnsi="宋体" w:eastAsia="宋体" w:cs="宋体"/>
          <w:spacing w:val="-3"/>
          <w:sz w:val="24"/>
          <w:szCs w:val="24"/>
        </w:rPr>
        <w:t>交互界面：简单。直观的中文人机界面，轻松实现信号机配时方案查询及设置。</w:t>
      </w:r>
    </w:p>
    <w:p w14:paraId="04559A5C">
      <w:pPr>
        <w:spacing w:before="182" w:line="220" w:lineRule="auto"/>
        <w:ind w:left="489"/>
        <w:rPr>
          <w:rFonts w:ascii="宋体" w:hAnsi="宋体" w:eastAsia="宋体" w:cs="宋体"/>
          <w:sz w:val="24"/>
          <w:szCs w:val="24"/>
        </w:rPr>
      </w:pPr>
      <w:r>
        <w:rPr>
          <w:rFonts w:ascii="宋体" w:hAnsi="宋体" w:eastAsia="宋体" w:cs="宋体"/>
          <w:spacing w:val="-3"/>
          <w:sz w:val="24"/>
          <w:szCs w:val="24"/>
        </w:rPr>
        <w:t>（2）、具有</w:t>
      </w:r>
      <w:r>
        <w:rPr>
          <w:rFonts w:ascii="宋体" w:hAnsi="宋体" w:eastAsia="宋体" w:cs="宋体"/>
          <w:spacing w:val="-43"/>
          <w:sz w:val="24"/>
          <w:szCs w:val="24"/>
        </w:rPr>
        <w:t xml:space="preserve"> </w:t>
      </w:r>
      <w:r>
        <w:rPr>
          <w:rFonts w:ascii="宋体" w:hAnsi="宋体" w:eastAsia="宋体" w:cs="宋体"/>
          <w:spacing w:val="-3"/>
          <w:sz w:val="24"/>
          <w:szCs w:val="24"/>
        </w:rPr>
        <w:t>8</w:t>
      </w:r>
      <w:r>
        <w:rPr>
          <w:rFonts w:ascii="宋体" w:hAnsi="宋体" w:eastAsia="宋体" w:cs="宋体"/>
          <w:spacing w:val="-51"/>
          <w:sz w:val="24"/>
          <w:szCs w:val="24"/>
        </w:rPr>
        <w:t xml:space="preserve"> </w:t>
      </w:r>
      <w:r>
        <w:rPr>
          <w:rFonts w:ascii="宋体" w:hAnsi="宋体" w:eastAsia="宋体" w:cs="宋体"/>
          <w:spacing w:val="-3"/>
          <w:sz w:val="24"/>
          <w:szCs w:val="24"/>
        </w:rPr>
        <w:t>相位、24</w:t>
      </w:r>
      <w:r>
        <w:rPr>
          <w:rFonts w:ascii="宋体" w:hAnsi="宋体" w:eastAsia="宋体" w:cs="宋体"/>
          <w:spacing w:val="-48"/>
          <w:sz w:val="24"/>
          <w:szCs w:val="24"/>
        </w:rPr>
        <w:t xml:space="preserve"> </w:t>
      </w:r>
      <w:r>
        <w:rPr>
          <w:rFonts w:ascii="宋体" w:hAnsi="宋体" w:eastAsia="宋体" w:cs="宋体"/>
          <w:spacing w:val="-3"/>
          <w:sz w:val="24"/>
          <w:szCs w:val="24"/>
        </w:rPr>
        <w:t>路输出、多时段。</w:t>
      </w:r>
    </w:p>
    <w:p w14:paraId="343CC402">
      <w:pPr>
        <w:spacing w:before="182" w:line="219" w:lineRule="auto"/>
        <w:ind w:left="489"/>
        <w:rPr>
          <w:rFonts w:ascii="宋体" w:hAnsi="宋体" w:eastAsia="宋体" w:cs="宋体"/>
          <w:sz w:val="24"/>
          <w:szCs w:val="24"/>
        </w:rPr>
      </w:pPr>
      <w:r>
        <w:rPr>
          <w:rFonts w:ascii="宋体" w:hAnsi="宋体" w:eastAsia="宋体" w:cs="宋体"/>
          <w:spacing w:val="-1"/>
          <w:sz w:val="24"/>
          <w:szCs w:val="24"/>
        </w:rPr>
        <w:t>（3）、面板具有</w:t>
      </w:r>
      <w:r>
        <w:rPr>
          <w:rFonts w:ascii="宋体" w:hAnsi="宋体" w:eastAsia="宋体" w:cs="宋体"/>
          <w:spacing w:val="-53"/>
          <w:sz w:val="24"/>
          <w:szCs w:val="24"/>
        </w:rPr>
        <w:t xml:space="preserve"> </w:t>
      </w:r>
      <w:r>
        <w:rPr>
          <w:rFonts w:ascii="宋体" w:hAnsi="宋体" w:eastAsia="宋体" w:cs="宋体"/>
          <w:spacing w:val="-1"/>
          <w:sz w:val="24"/>
          <w:szCs w:val="24"/>
        </w:rPr>
        <w:t>LED</w:t>
      </w:r>
      <w:r>
        <w:rPr>
          <w:rFonts w:ascii="宋体" w:hAnsi="宋体" w:eastAsia="宋体" w:cs="宋体"/>
          <w:spacing w:val="-51"/>
          <w:sz w:val="24"/>
          <w:szCs w:val="24"/>
        </w:rPr>
        <w:t xml:space="preserve"> </w:t>
      </w:r>
      <w:r>
        <w:rPr>
          <w:rFonts w:ascii="宋体" w:hAnsi="宋体" w:eastAsia="宋体" w:cs="宋体"/>
          <w:spacing w:val="-1"/>
          <w:sz w:val="24"/>
          <w:szCs w:val="24"/>
        </w:rPr>
        <w:t>模拟显示，与实际路口显示一致，便于</w:t>
      </w:r>
      <w:r>
        <w:rPr>
          <w:rFonts w:ascii="宋体" w:hAnsi="宋体" w:eastAsia="宋体" w:cs="宋体"/>
          <w:spacing w:val="-2"/>
          <w:sz w:val="24"/>
          <w:szCs w:val="24"/>
        </w:rPr>
        <w:t>观察调试。</w:t>
      </w:r>
    </w:p>
    <w:p w14:paraId="1F8E7DC2">
      <w:pPr>
        <w:spacing w:before="183" w:line="290" w:lineRule="auto"/>
        <w:ind w:firstLine="489"/>
        <w:rPr>
          <w:rFonts w:ascii="宋体" w:hAnsi="宋体" w:eastAsia="宋体" w:cs="宋体"/>
          <w:sz w:val="24"/>
          <w:szCs w:val="24"/>
        </w:rPr>
      </w:pPr>
      <w:r>
        <w:rPr>
          <w:rFonts w:ascii="宋体" w:hAnsi="宋体" w:eastAsia="宋体" w:cs="宋体"/>
          <w:sz w:val="24"/>
          <w:szCs w:val="24"/>
        </w:rPr>
        <w:t>（4）、软信号转换：在线设置完毕后在相位切换过程中不会出现信号状态突变情</w:t>
      </w:r>
      <w:r>
        <w:rPr>
          <w:rFonts w:ascii="宋体" w:hAnsi="宋体" w:eastAsia="宋体" w:cs="宋体"/>
          <w:spacing w:val="-1"/>
          <w:sz w:val="24"/>
          <w:szCs w:val="24"/>
        </w:rPr>
        <w:t>况。设备运行一个周期后再自动切换。</w:t>
      </w:r>
    </w:p>
    <w:p w14:paraId="2D61B409">
      <w:pPr>
        <w:spacing w:before="181" w:line="221" w:lineRule="auto"/>
        <w:ind w:left="489"/>
        <w:rPr>
          <w:rFonts w:ascii="宋体" w:hAnsi="宋体" w:eastAsia="宋体" w:cs="宋体"/>
          <w:sz w:val="24"/>
          <w:szCs w:val="24"/>
        </w:rPr>
      </w:pPr>
      <w:r>
        <w:rPr>
          <w:rFonts w:ascii="宋体" w:hAnsi="宋体" w:eastAsia="宋体" w:cs="宋体"/>
          <w:spacing w:val="-2"/>
          <w:sz w:val="24"/>
          <w:szCs w:val="24"/>
        </w:rPr>
        <w:t>（5）、工作电压：AC220V±10%</w:t>
      </w:r>
    </w:p>
    <w:p w14:paraId="07669CA0">
      <w:pPr>
        <w:spacing w:before="182" w:line="220" w:lineRule="auto"/>
        <w:ind w:left="489"/>
        <w:rPr>
          <w:rFonts w:ascii="宋体" w:hAnsi="宋体" w:eastAsia="宋体" w:cs="宋体"/>
          <w:sz w:val="21"/>
          <w:szCs w:val="21"/>
        </w:rPr>
      </w:pPr>
      <w:r>
        <w:rPr>
          <w:rFonts w:ascii="宋体" w:hAnsi="宋体" w:eastAsia="宋体" w:cs="宋体"/>
          <w:spacing w:val="-2"/>
          <w:sz w:val="24"/>
          <w:szCs w:val="24"/>
        </w:rPr>
        <w:t>（6）、频率：50</w:t>
      </w:r>
      <w:r>
        <w:rPr>
          <w:rFonts w:hint="eastAsia" w:ascii="宋体" w:hAnsi="宋体" w:eastAsia="宋体" w:cs="宋体"/>
          <w:spacing w:val="5"/>
          <w:sz w:val="24"/>
          <w:szCs w:val="24"/>
        </w:rPr>
        <w:t>～</w:t>
      </w:r>
      <w:r>
        <w:rPr>
          <w:rFonts w:ascii="宋体" w:hAnsi="宋体" w:eastAsia="宋体" w:cs="宋体"/>
          <w:spacing w:val="-2"/>
          <w:sz w:val="24"/>
          <w:szCs w:val="24"/>
        </w:rPr>
        <w:t>60Hz</w:t>
      </w:r>
    </w:p>
    <w:p w14:paraId="722CD504">
      <w:pPr>
        <w:spacing w:before="182" w:line="220" w:lineRule="auto"/>
        <w:ind w:left="489"/>
        <w:rPr>
          <w:rFonts w:ascii="宋体" w:hAnsi="宋体" w:eastAsia="宋体" w:cs="宋体"/>
          <w:sz w:val="21"/>
          <w:szCs w:val="21"/>
        </w:rPr>
      </w:pPr>
      <w:r>
        <w:rPr>
          <w:rFonts w:ascii="宋体" w:hAnsi="宋体" w:eastAsia="宋体" w:cs="宋体"/>
          <w:spacing w:val="-2"/>
          <w:sz w:val="21"/>
          <w:szCs w:val="21"/>
        </w:rPr>
        <w:t>（7）、功耗：≤20W</w:t>
      </w:r>
    </w:p>
    <w:p w14:paraId="38898D6B">
      <w:pPr>
        <w:spacing w:before="182" w:line="220" w:lineRule="auto"/>
        <w:ind w:left="489"/>
        <w:rPr>
          <w:rFonts w:ascii="宋体" w:hAnsi="宋体" w:eastAsia="宋体" w:cs="宋体"/>
          <w:sz w:val="21"/>
          <w:szCs w:val="21"/>
        </w:rPr>
      </w:pPr>
      <w:r>
        <w:rPr>
          <w:rFonts w:ascii="宋体" w:hAnsi="宋体" w:eastAsia="宋体" w:cs="宋体"/>
          <w:spacing w:val="-2"/>
          <w:sz w:val="21"/>
          <w:szCs w:val="21"/>
        </w:rPr>
        <w:t>（8）、每路输出负载：≤1000W</w:t>
      </w:r>
    </w:p>
    <w:p w14:paraId="26B1B095">
      <w:pPr>
        <w:spacing w:before="181" w:line="221" w:lineRule="auto"/>
        <w:ind w:left="489"/>
        <w:rPr>
          <w:rFonts w:ascii="宋体" w:hAnsi="宋体" w:eastAsia="宋体" w:cs="宋体"/>
          <w:sz w:val="24"/>
          <w:szCs w:val="24"/>
        </w:rPr>
      </w:pPr>
      <w:r>
        <w:rPr>
          <w:rFonts w:ascii="宋体" w:hAnsi="宋体" w:eastAsia="宋体" w:cs="宋体"/>
          <w:spacing w:val="-2"/>
          <w:sz w:val="24"/>
          <w:szCs w:val="24"/>
        </w:rPr>
        <w:t>（9）、工作环境温度：—40℃</w:t>
      </w:r>
      <w:r>
        <w:rPr>
          <w:rFonts w:hint="eastAsia" w:ascii="宋体" w:hAnsi="宋体" w:eastAsia="宋体" w:cs="宋体"/>
          <w:spacing w:val="5"/>
          <w:sz w:val="24"/>
          <w:szCs w:val="24"/>
        </w:rPr>
        <w:t>～</w:t>
      </w:r>
      <w:r>
        <w:rPr>
          <w:rFonts w:ascii="宋体" w:hAnsi="宋体" w:eastAsia="宋体" w:cs="宋体"/>
          <w:spacing w:val="-2"/>
          <w:sz w:val="24"/>
          <w:szCs w:val="24"/>
        </w:rPr>
        <w:t>+50℃</w:t>
      </w:r>
    </w:p>
    <w:p w14:paraId="60CDBA4A">
      <w:pPr>
        <w:spacing w:before="181" w:line="221" w:lineRule="auto"/>
        <w:ind w:left="489"/>
        <w:rPr>
          <w:rFonts w:ascii="宋体" w:hAnsi="宋体" w:eastAsia="宋体" w:cs="宋体"/>
          <w:sz w:val="24"/>
          <w:szCs w:val="24"/>
        </w:rPr>
      </w:pPr>
      <w:r>
        <w:rPr>
          <w:rFonts w:ascii="宋体" w:hAnsi="宋体" w:eastAsia="宋体" w:cs="宋体"/>
          <w:spacing w:val="-3"/>
          <w:sz w:val="24"/>
          <w:szCs w:val="24"/>
        </w:rPr>
        <w:t>（10）、相对湿度：≤90%（环境温度</w:t>
      </w:r>
      <w:r>
        <w:rPr>
          <w:rFonts w:ascii="宋体" w:hAnsi="宋体" w:eastAsia="宋体" w:cs="宋体"/>
          <w:spacing w:val="-41"/>
          <w:sz w:val="24"/>
          <w:szCs w:val="24"/>
        </w:rPr>
        <w:t xml:space="preserve"> </w:t>
      </w:r>
      <w:r>
        <w:rPr>
          <w:rFonts w:ascii="宋体" w:hAnsi="宋体" w:eastAsia="宋体" w:cs="宋体"/>
          <w:spacing w:val="-3"/>
          <w:sz w:val="24"/>
          <w:szCs w:val="24"/>
        </w:rPr>
        <w:t>25</w:t>
      </w:r>
      <w:r>
        <w:rPr>
          <w:rFonts w:ascii="宋体" w:hAnsi="宋体" w:eastAsia="宋体" w:cs="宋体"/>
          <w:spacing w:val="-89"/>
          <w:sz w:val="24"/>
          <w:szCs w:val="24"/>
        </w:rPr>
        <w:t xml:space="preserve"> </w:t>
      </w:r>
      <w:r>
        <w:rPr>
          <w:rFonts w:ascii="宋体" w:hAnsi="宋体" w:eastAsia="宋体" w:cs="宋体"/>
          <w:spacing w:val="-3"/>
          <w:sz w:val="24"/>
          <w:szCs w:val="24"/>
        </w:rPr>
        <w:t>°时）</w:t>
      </w:r>
    </w:p>
    <w:p w14:paraId="365138A8">
      <w:pPr>
        <w:spacing w:before="181" w:line="219" w:lineRule="auto"/>
        <w:ind w:left="489"/>
        <w:rPr>
          <w:rFonts w:ascii="宋体" w:hAnsi="宋体" w:eastAsia="宋体" w:cs="宋体"/>
          <w:sz w:val="24"/>
          <w:szCs w:val="24"/>
        </w:rPr>
      </w:pPr>
      <w:r>
        <w:rPr>
          <w:rFonts w:ascii="宋体" w:hAnsi="宋体" w:eastAsia="宋体" w:cs="宋体"/>
          <w:spacing w:val="-2"/>
          <w:sz w:val="24"/>
          <w:szCs w:val="24"/>
        </w:rPr>
        <w:t>（11）、外形尺寸：330*245*115 （㎜）</w:t>
      </w:r>
    </w:p>
    <w:p w14:paraId="35727573">
      <w:pPr>
        <w:spacing w:before="183" w:line="221" w:lineRule="auto"/>
        <w:ind w:left="489"/>
        <w:rPr>
          <w:rFonts w:ascii="宋体" w:hAnsi="宋体" w:eastAsia="宋体" w:cs="宋体"/>
          <w:sz w:val="24"/>
          <w:szCs w:val="24"/>
        </w:rPr>
      </w:pPr>
      <w:r>
        <w:rPr>
          <w:rFonts w:ascii="宋体" w:hAnsi="宋体" w:eastAsia="宋体" w:cs="宋体"/>
          <w:spacing w:val="-5"/>
          <w:sz w:val="24"/>
          <w:szCs w:val="24"/>
        </w:rPr>
        <w:t>（12）、系统时钟：24</w:t>
      </w:r>
      <w:r>
        <w:rPr>
          <w:rFonts w:ascii="宋体" w:hAnsi="宋体" w:eastAsia="宋体" w:cs="宋体"/>
          <w:spacing w:val="-43"/>
          <w:sz w:val="24"/>
          <w:szCs w:val="24"/>
        </w:rPr>
        <w:t xml:space="preserve"> </w:t>
      </w:r>
      <w:r>
        <w:rPr>
          <w:rFonts w:ascii="宋体" w:hAnsi="宋体" w:eastAsia="宋体" w:cs="宋体"/>
          <w:spacing w:val="-5"/>
          <w:sz w:val="24"/>
          <w:szCs w:val="24"/>
        </w:rPr>
        <w:t>小时制，</w:t>
      </w:r>
      <w:r>
        <w:rPr>
          <w:rFonts w:ascii="宋体" w:hAnsi="宋体" w:eastAsia="宋体" w:cs="宋体"/>
          <w:spacing w:val="-71"/>
          <w:sz w:val="24"/>
          <w:szCs w:val="24"/>
        </w:rPr>
        <w:t xml:space="preserve"> </w:t>
      </w:r>
      <w:r>
        <w:rPr>
          <w:rFonts w:ascii="宋体" w:hAnsi="宋体" w:eastAsia="宋体" w:cs="宋体"/>
          <w:spacing w:val="-5"/>
          <w:sz w:val="24"/>
          <w:szCs w:val="24"/>
        </w:rPr>
        <w:t>日误差小于</w:t>
      </w:r>
      <w:r>
        <w:rPr>
          <w:rFonts w:ascii="宋体" w:hAnsi="宋体" w:eastAsia="宋体" w:cs="宋体"/>
          <w:spacing w:val="-33"/>
          <w:sz w:val="24"/>
          <w:szCs w:val="24"/>
        </w:rPr>
        <w:t xml:space="preserve"> </w:t>
      </w:r>
      <w:r>
        <w:rPr>
          <w:rFonts w:ascii="宋体" w:hAnsi="宋体" w:eastAsia="宋体" w:cs="宋体"/>
          <w:spacing w:val="-5"/>
          <w:sz w:val="24"/>
          <w:szCs w:val="24"/>
        </w:rPr>
        <w:t>1</w:t>
      </w:r>
      <w:r>
        <w:rPr>
          <w:rFonts w:ascii="宋体" w:hAnsi="宋体" w:eastAsia="宋体" w:cs="宋体"/>
          <w:spacing w:val="-52"/>
          <w:sz w:val="24"/>
          <w:szCs w:val="24"/>
        </w:rPr>
        <w:t xml:space="preserve"> </w:t>
      </w:r>
      <w:r>
        <w:rPr>
          <w:rFonts w:ascii="宋体" w:hAnsi="宋体" w:eastAsia="宋体" w:cs="宋体"/>
          <w:spacing w:val="-5"/>
          <w:sz w:val="24"/>
          <w:szCs w:val="24"/>
        </w:rPr>
        <w:t>秒</w:t>
      </w:r>
    </w:p>
    <w:p w14:paraId="4EF1A340">
      <w:pPr>
        <w:spacing w:before="122" w:line="220" w:lineRule="auto"/>
        <w:ind w:left="492"/>
        <w:rPr>
          <w:rFonts w:ascii="宋体" w:hAnsi="宋体" w:eastAsia="宋体" w:cs="宋体"/>
          <w:sz w:val="24"/>
          <w:szCs w:val="24"/>
        </w:rPr>
      </w:pPr>
      <w:r>
        <w:rPr>
          <w:rFonts w:ascii="宋体" w:hAnsi="宋体" w:eastAsia="宋体" w:cs="宋体"/>
          <w:spacing w:val="-2"/>
          <w:sz w:val="24"/>
          <w:szCs w:val="24"/>
        </w:rPr>
        <w:t>（13）、正常使用寿命：50000h</w:t>
      </w:r>
    </w:p>
    <w:p w14:paraId="400D5448">
      <w:pPr>
        <w:spacing w:before="182" w:line="219" w:lineRule="auto"/>
        <w:ind w:left="492"/>
        <w:rPr>
          <w:rFonts w:ascii="宋体" w:hAnsi="宋体" w:eastAsia="宋体" w:cs="宋体"/>
          <w:spacing w:val="-3"/>
          <w:sz w:val="24"/>
          <w:szCs w:val="24"/>
        </w:rPr>
      </w:pPr>
      <w:r>
        <w:rPr>
          <w:rFonts w:ascii="宋体" w:hAnsi="宋体" w:eastAsia="宋体" w:cs="宋体"/>
          <w:spacing w:val="-3"/>
          <w:sz w:val="24"/>
          <w:szCs w:val="24"/>
        </w:rPr>
        <w:t>（14）、主机保险丝规格</w:t>
      </w:r>
      <w:r>
        <w:rPr>
          <w:rFonts w:ascii="宋体" w:hAnsi="宋体" w:eastAsia="宋体" w:cs="宋体"/>
          <w:spacing w:val="-37"/>
          <w:sz w:val="24"/>
          <w:szCs w:val="24"/>
        </w:rPr>
        <w:t xml:space="preserve"> </w:t>
      </w:r>
      <w:r>
        <w:rPr>
          <w:rFonts w:ascii="宋体" w:hAnsi="宋体" w:eastAsia="宋体" w:cs="宋体"/>
          <w:spacing w:val="-3"/>
          <w:sz w:val="24"/>
          <w:szCs w:val="24"/>
        </w:rPr>
        <w:t>5A。</w:t>
      </w:r>
    </w:p>
    <w:p w14:paraId="2ABE48EC">
      <w:pPr>
        <w:spacing w:before="182" w:line="219" w:lineRule="auto"/>
        <w:ind w:left="492"/>
        <w:rPr>
          <w:rFonts w:hint="eastAsia" w:ascii="宋体" w:hAnsi="宋体" w:eastAsia="宋体" w:cs="宋体"/>
          <w:spacing w:val="-3"/>
          <w:sz w:val="24"/>
          <w:szCs w:val="24"/>
          <w:lang w:val="en-US" w:eastAsia="zh-CN"/>
        </w:rPr>
      </w:pPr>
      <w:r>
        <w:rPr>
          <w:rFonts w:ascii="宋体" w:hAnsi="宋体" w:eastAsia="宋体" w:cs="宋体"/>
          <w:spacing w:val="-3"/>
          <w:sz w:val="24"/>
          <w:szCs w:val="24"/>
        </w:rPr>
        <w:t>（1</w:t>
      </w:r>
      <w:r>
        <w:rPr>
          <w:rFonts w:hint="eastAsia" w:cs="宋体"/>
          <w:spacing w:val="-3"/>
          <w:sz w:val="24"/>
          <w:szCs w:val="24"/>
          <w:lang w:val="en-US" w:eastAsia="zh-CN"/>
        </w:rPr>
        <w:t>5</w:t>
      </w:r>
      <w:r>
        <w:rPr>
          <w:rFonts w:ascii="宋体" w:hAnsi="宋体" w:eastAsia="宋体" w:cs="宋体"/>
          <w:spacing w:val="-3"/>
          <w:sz w:val="24"/>
          <w:szCs w:val="24"/>
        </w:rPr>
        <w:t>）</w:t>
      </w:r>
      <w:r>
        <w:rPr>
          <w:rFonts w:hint="eastAsia" w:cs="宋体"/>
          <w:spacing w:val="-3"/>
          <w:sz w:val="24"/>
          <w:szCs w:val="24"/>
          <w:lang w:eastAsia="zh-CN"/>
        </w:rPr>
        <w:t>、</w:t>
      </w:r>
      <w:r>
        <w:rPr>
          <w:rFonts w:hint="eastAsia" w:ascii="宋体" w:hAnsi="宋体" w:eastAsia="宋体" w:cs="宋体"/>
          <w:spacing w:val="-3"/>
          <w:sz w:val="24"/>
          <w:szCs w:val="24"/>
          <w:lang w:val="en-US" w:eastAsia="zh-CN"/>
        </w:rPr>
        <w:t>智能交通管理维护运营（信号灯配时联网管理）。</w:t>
      </w:r>
    </w:p>
    <w:p w14:paraId="4C791E4C">
      <w:pPr>
        <w:spacing w:before="78" w:line="220" w:lineRule="auto"/>
        <w:ind w:left="2"/>
        <w:outlineLvl w:val="1"/>
        <w:rPr>
          <w:rFonts w:ascii="宋体" w:hAnsi="宋体" w:eastAsia="宋体" w:cs="宋体"/>
          <w:sz w:val="24"/>
          <w:szCs w:val="24"/>
        </w:rPr>
      </w:pPr>
      <w:r>
        <w:rPr>
          <w:rFonts w:ascii="宋体" w:hAnsi="宋体" w:eastAsia="宋体" w:cs="宋体"/>
          <w:b/>
          <w:bCs/>
          <w:spacing w:val="-4"/>
          <w:sz w:val="24"/>
          <w:szCs w:val="24"/>
        </w:rPr>
        <w:t>6、八棱信号灯杆</w:t>
      </w:r>
    </w:p>
    <w:p w14:paraId="169F88B3">
      <w:pPr>
        <w:pStyle w:val="12"/>
        <w:spacing w:line="258" w:lineRule="auto"/>
      </w:pPr>
    </w:p>
    <w:p w14:paraId="5BFF3188">
      <w:pPr>
        <w:spacing w:before="78" w:line="219" w:lineRule="auto"/>
        <w:ind w:left="492"/>
        <w:rPr>
          <w:rFonts w:ascii="宋体" w:hAnsi="宋体" w:eastAsia="宋体" w:cs="宋体"/>
          <w:sz w:val="24"/>
          <w:szCs w:val="24"/>
        </w:rPr>
      </w:pPr>
      <w:r>
        <w:rPr>
          <w:rFonts w:ascii="宋体" w:hAnsi="宋体" w:eastAsia="宋体" w:cs="宋体"/>
          <w:spacing w:val="-3"/>
          <w:sz w:val="24"/>
          <w:szCs w:val="24"/>
        </w:rPr>
        <w:t>（1）、主杆：高</w:t>
      </w:r>
      <w:r>
        <w:rPr>
          <w:rFonts w:ascii="宋体" w:hAnsi="宋体" w:eastAsia="宋体" w:cs="宋体"/>
          <w:spacing w:val="-49"/>
          <w:sz w:val="24"/>
          <w:szCs w:val="24"/>
        </w:rPr>
        <w:t xml:space="preserve"> </w:t>
      </w:r>
      <w:r>
        <w:rPr>
          <w:rFonts w:ascii="宋体" w:hAnsi="宋体" w:eastAsia="宋体" w:cs="宋体"/>
          <w:spacing w:val="-3"/>
          <w:sz w:val="24"/>
          <w:szCs w:val="24"/>
        </w:rPr>
        <w:t>6.5</w:t>
      </w:r>
      <w:r>
        <w:rPr>
          <w:rFonts w:ascii="宋体" w:hAnsi="宋体" w:eastAsia="宋体" w:cs="宋体"/>
          <w:spacing w:val="-51"/>
          <w:sz w:val="24"/>
          <w:szCs w:val="24"/>
        </w:rPr>
        <w:t xml:space="preserve"> </w:t>
      </w:r>
      <w:r>
        <w:rPr>
          <w:rFonts w:ascii="宋体" w:hAnsi="宋体" w:eastAsia="宋体" w:cs="宋体"/>
          <w:spacing w:val="-3"/>
          <w:sz w:val="24"/>
          <w:szCs w:val="24"/>
        </w:rPr>
        <w:t>米，臂厚</w:t>
      </w:r>
      <w:r>
        <w:rPr>
          <w:rFonts w:ascii="宋体" w:hAnsi="宋体" w:eastAsia="宋体" w:cs="宋体"/>
          <w:spacing w:val="-46"/>
          <w:sz w:val="24"/>
          <w:szCs w:val="24"/>
        </w:rPr>
        <w:t xml:space="preserve"> </w:t>
      </w:r>
      <w:r>
        <w:rPr>
          <w:rFonts w:ascii="宋体" w:hAnsi="宋体" w:eastAsia="宋体" w:cs="宋体"/>
          <w:spacing w:val="-3"/>
          <w:sz w:val="24"/>
          <w:szCs w:val="24"/>
        </w:rPr>
        <w:t>5mm（大头</w:t>
      </w:r>
      <w:r>
        <w:rPr>
          <w:rFonts w:ascii="宋体" w:hAnsi="宋体" w:eastAsia="宋体" w:cs="宋体"/>
          <w:spacing w:val="-47"/>
          <w:sz w:val="24"/>
          <w:szCs w:val="24"/>
        </w:rPr>
        <w:t xml:space="preserve"> </w:t>
      </w:r>
      <w:r>
        <w:rPr>
          <w:rFonts w:ascii="宋体" w:hAnsi="宋体" w:eastAsia="宋体" w:cs="宋体"/>
          <w:spacing w:val="-3"/>
          <w:sz w:val="24"/>
          <w:szCs w:val="24"/>
        </w:rPr>
        <w:t>230mm，小头</w:t>
      </w:r>
      <w:r>
        <w:rPr>
          <w:rFonts w:ascii="宋体" w:hAnsi="宋体" w:eastAsia="宋体" w:cs="宋体"/>
          <w:spacing w:val="-33"/>
          <w:sz w:val="24"/>
          <w:szCs w:val="24"/>
        </w:rPr>
        <w:t xml:space="preserve"> </w:t>
      </w:r>
      <w:r>
        <w:rPr>
          <w:rFonts w:ascii="宋体" w:hAnsi="宋体" w:eastAsia="宋体" w:cs="宋体"/>
          <w:spacing w:val="-3"/>
          <w:sz w:val="24"/>
          <w:szCs w:val="24"/>
        </w:rPr>
        <w:t>190mm</w:t>
      </w:r>
      <w:r>
        <w:rPr>
          <w:rFonts w:ascii="宋体" w:hAnsi="宋体" w:eastAsia="宋体" w:cs="宋体"/>
          <w:spacing w:val="3"/>
          <w:sz w:val="24"/>
          <w:szCs w:val="24"/>
        </w:rPr>
        <w:t>）；</w:t>
      </w:r>
    </w:p>
    <w:p w14:paraId="242B5E77">
      <w:pPr>
        <w:spacing w:before="183" w:line="219" w:lineRule="auto"/>
        <w:ind w:left="492"/>
        <w:rPr>
          <w:rFonts w:ascii="宋体" w:hAnsi="宋体" w:eastAsia="宋体" w:cs="宋体"/>
          <w:sz w:val="24"/>
          <w:szCs w:val="24"/>
        </w:rPr>
      </w:pPr>
      <w:r>
        <w:rPr>
          <w:rFonts w:ascii="宋体" w:hAnsi="宋体" w:eastAsia="宋体" w:cs="宋体"/>
          <w:spacing w:val="-3"/>
          <w:sz w:val="24"/>
          <w:szCs w:val="24"/>
        </w:rPr>
        <w:t>（2）、横杆：长</w:t>
      </w:r>
      <w:r>
        <w:rPr>
          <w:rFonts w:ascii="宋体" w:hAnsi="宋体" w:eastAsia="宋体" w:cs="宋体"/>
          <w:spacing w:val="-48"/>
          <w:sz w:val="24"/>
          <w:szCs w:val="24"/>
        </w:rPr>
        <w:t xml:space="preserve"> </w:t>
      </w:r>
      <w:r>
        <w:rPr>
          <w:rFonts w:ascii="宋体" w:hAnsi="宋体" w:eastAsia="宋体" w:cs="宋体"/>
          <w:spacing w:val="-3"/>
          <w:sz w:val="24"/>
          <w:szCs w:val="24"/>
        </w:rPr>
        <w:t>6</w:t>
      </w:r>
      <w:r>
        <w:rPr>
          <w:rFonts w:ascii="宋体" w:hAnsi="宋体" w:eastAsia="宋体" w:cs="宋体"/>
          <w:spacing w:val="-51"/>
          <w:sz w:val="24"/>
          <w:szCs w:val="24"/>
        </w:rPr>
        <w:t xml:space="preserve"> </w:t>
      </w:r>
      <w:r>
        <w:rPr>
          <w:rFonts w:ascii="宋体" w:hAnsi="宋体" w:eastAsia="宋体" w:cs="宋体"/>
          <w:spacing w:val="-3"/>
          <w:sz w:val="24"/>
          <w:szCs w:val="24"/>
        </w:rPr>
        <w:t>米，臂厚</w:t>
      </w:r>
      <w:r>
        <w:rPr>
          <w:rFonts w:ascii="宋体" w:hAnsi="宋体" w:eastAsia="宋体" w:cs="宋体"/>
          <w:spacing w:val="-52"/>
          <w:sz w:val="24"/>
          <w:szCs w:val="24"/>
        </w:rPr>
        <w:t xml:space="preserve"> </w:t>
      </w:r>
      <w:r>
        <w:rPr>
          <w:rFonts w:ascii="宋体" w:hAnsi="宋体" w:eastAsia="宋体" w:cs="宋体"/>
          <w:spacing w:val="-3"/>
          <w:sz w:val="24"/>
          <w:szCs w:val="24"/>
        </w:rPr>
        <w:t>4mm（大头</w:t>
      </w:r>
      <w:r>
        <w:rPr>
          <w:rFonts w:ascii="宋体" w:hAnsi="宋体" w:eastAsia="宋体" w:cs="宋体"/>
          <w:spacing w:val="-32"/>
          <w:sz w:val="24"/>
          <w:szCs w:val="24"/>
        </w:rPr>
        <w:t xml:space="preserve"> </w:t>
      </w:r>
      <w:r>
        <w:rPr>
          <w:rFonts w:ascii="宋体" w:hAnsi="宋体" w:eastAsia="宋体" w:cs="宋体"/>
          <w:spacing w:val="-3"/>
          <w:sz w:val="24"/>
          <w:szCs w:val="24"/>
        </w:rPr>
        <w:t>170</w:t>
      </w:r>
      <w:r>
        <w:rPr>
          <w:rFonts w:ascii="宋体" w:hAnsi="宋体" w:eastAsia="宋体" w:cs="宋体"/>
          <w:spacing w:val="-4"/>
          <w:sz w:val="24"/>
          <w:szCs w:val="24"/>
        </w:rPr>
        <w:t>mm，小头</w:t>
      </w:r>
      <w:r>
        <w:rPr>
          <w:rFonts w:ascii="宋体" w:hAnsi="宋体" w:eastAsia="宋体" w:cs="宋体"/>
          <w:spacing w:val="-33"/>
          <w:sz w:val="24"/>
          <w:szCs w:val="24"/>
        </w:rPr>
        <w:t xml:space="preserve"> </w:t>
      </w:r>
      <w:r>
        <w:rPr>
          <w:rFonts w:ascii="宋体" w:hAnsi="宋体" w:eastAsia="宋体" w:cs="宋体"/>
          <w:spacing w:val="-4"/>
          <w:sz w:val="24"/>
          <w:szCs w:val="24"/>
        </w:rPr>
        <w:t>110mm</w:t>
      </w:r>
      <w:r>
        <w:rPr>
          <w:rFonts w:ascii="宋体" w:hAnsi="宋体" w:eastAsia="宋体" w:cs="宋体"/>
          <w:sz w:val="24"/>
          <w:szCs w:val="24"/>
        </w:rPr>
        <w:t>）；</w:t>
      </w:r>
    </w:p>
    <w:p w14:paraId="16C1B38E">
      <w:pPr>
        <w:spacing w:before="182" w:line="222" w:lineRule="auto"/>
        <w:ind w:left="492"/>
        <w:rPr>
          <w:rFonts w:ascii="宋体" w:hAnsi="宋体" w:eastAsia="宋体" w:cs="宋体"/>
          <w:sz w:val="24"/>
          <w:szCs w:val="24"/>
        </w:rPr>
      </w:pPr>
      <w:r>
        <w:rPr>
          <w:rFonts w:ascii="宋体" w:hAnsi="宋体" w:eastAsia="宋体" w:cs="宋体"/>
          <w:spacing w:val="-1"/>
          <w:sz w:val="24"/>
          <w:szCs w:val="24"/>
        </w:rPr>
        <w:t>（3）、C25</w:t>
      </w:r>
      <w:r>
        <w:rPr>
          <w:rFonts w:ascii="宋体" w:hAnsi="宋体" w:eastAsia="宋体" w:cs="宋体"/>
          <w:spacing w:val="-47"/>
          <w:sz w:val="24"/>
          <w:szCs w:val="24"/>
        </w:rPr>
        <w:t xml:space="preserve"> </w:t>
      </w:r>
      <w:r>
        <w:rPr>
          <w:rFonts w:ascii="宋体" w:hAnsi="宋体" w:eastAsia="宋体" w:cs="宋体"/>
          <w:spacing w:val="-1"/>
          <w:sz w:val="24"/>
          <w:szCs w:val="24"/>
        </w:rPr>
        <w:t>混凝土基础：1.5m*1.5</w:t>
      </w:r>
      <w:r>
        <w:rPr>
          <w:rFonts w:ascii="宋体" w:hAnsi="宋体" w:eastAsia="宋体" w:cs="宋体"/>
          <w:spacing w:val="-2"/>
          <w:sz w:val="24"/>
          <w:szCs w:val="24"/>
        </w:rPr>
        <w:t>m*1.5m；</w:t>
      </w:r>
    </w:p>
    <w:p w14:paraId="69431458">
      <w:pPr>
        <w:spacing w:before="180" w:line="220" w:lineRule="auto"/>
        <w:ind w:left="492"/>
        <w:rPr>
          <w:rFonts w:ascii="宋体" w:hAnsi="宋体" w:eastAsia="宋体" w:cs="宋体"/>
          <w:sz w:val="24"/>
          <w:szCs w:val="24"/>
        </w:rPr>
      </w:pPr>
      <w:r>
        <w:rPr>
          <w:rFonts w:ascii="宋体" w:hAnsi="宋体" w:eastAsia="宋体" w:cs="宋体"/>
          <w:spacing w:val="-3"/>
          <w:sz w:val="24"/>
          <w:szCs w:val="24"/>
        </w:rPr>
        <w:t>（4）、地笼：M24*6</w:t>
      </w:r>
      <w:r>
        <w:rPr>
          <w:rFonts w:ascii="宋体" w:hAnsi="宋体" w:eastAsia="宋体" w:cs="宋体"/>
          <w:spacing w:val="-38"/>
          <w:sz w:val="24"/>
          <w:szCs w:val="24"/>
        </w:rPr>
        <w:t xml:space="preserve"> </w:t>
      </w:r>
      <w:r>
        <w:rPr>
          <w:rFonts w:ascii="宋体" w:hAnsi="宋体" w:eastAsia="宋体" w:cs="宋体"/>
          <w:spacing w:val="-3"/>
          <w:sz w:val="24"/>
          <w:szCs w:val="24"/>
        </w:rPr>
        <w:t>根*1.4m</w:t>
      </w:r>
      <w:r>
        <w:rPr>
          <w:rFonts w:ascii="宋体" w:hAnsi="宋体" w:eastAsia="宋体" w:cs="宋体"/>
          <w:spacing w:val="-44"/>
          <w:sz w:val="24"/>
          <w:szCs w:val="24"/>
        </w:rPr>
        <w:t xml:space="preserve"> </w:t>
      </w:r>
      <w:r>
        <w:rPr>
          <w:rFonts w:ascii="宋体" w:hAnsi="宋体" w:eastAsia="宋体" w:cs="宋体"/>
          <w:spacing w:val="-3"/>
          <w:sz w:val="24"/>
          <w:szCs w:val="24"/>
        </w:rPr>
        <w:t>高；</w:t>
      </w:r>
    </w:p>
    <w:p w14:paraId="62A8C452">
      <w:pPr>
        <w:spacing w:before="182" w:line="220" w:lineRule="auto"/>
        <w:ind w:left="492"/>
        <w:rPr>
          <w:rFonts w:ascii="宋体" w:hAnsi="宋体" w:eastAsia="宋体" w:cs="宋体"/>
          <w:sz w:val="24"/>
          <w:szCs w:val="24"/>
        </w:rPr>
      </w:pPr>
      <w:r>
        <w:rPr>
          <w:rFonts w:ascii="宋体" w:hAnsi="宋体" w:eastAsia="宋体" w:cs="宋体"/>
          <w:spacing w:val="1"/>
          <w:sz w:val="24"/>
          <w:szCs w:val="24"/>
        </w:rPr>
        <w:t>（5）、立柱杆体距地面约400</w:t>
      </w:r>
      <w:r>
        <w:rPr>
          <w:rFonts w:ascii="宋体" w:hAnsi="宋体" w:eastAsia="宋体" w:cs="宋体"/>
          <w:sz w:val="24"/>
          <w:szCs w:val="24"/>
        </w:rPr>
        <w:t>mm</w:t>
      </w:r>
      <w:r>
        <w:rPr>
          <w:rFonts w:ascii="宋体" w:hAnsi="宋体" w:eastAsia="宋体" w:cs="宋体"/>
          <w:spacing w:val="-44"/>
          <w:sz w:val="24"/>
          <w:szCs w:val="24"/>
        </w:rPr>
        <w:t xml:space="preserve"> </w:t>
      </w:r>
      <w:r>
        <w:rPr>
          <w:rFonts w:ascii="宋体" w:hAnsi="宋体" w:eastAsia="宋体" w:cs="宋体"/>
          <w:spacing w:val="1"/>
          <w:sz w:val="24"/>
          <w:szCs w:val="24"/>
        </w:rPr>
        <w:t>处须有接线孔；</w:t>
      </w:r>
    </w:p>
    <w:p w14:paraId="5F19A636">
      <w:pPr>
        <w:spacing w:before="183" w:line="219" w:lineRule="auto"/>
        <w:ind w:left="492"/>
        <w:rPr>
          <w:rFonts w:ascii="宋体" w:hAnsi="宋体" w:eastAsia="宋体" w:cs="宋体"/>
          <w:sz w:val="24"/>
          <w:szCs w:val="24"/>
        </w:rPr>
      </w:pPr>
      <w:r>
        <w:rPr>
          <w:rFonts w:ascii="宋体" w:hAnsi="宋体" w:eastAsia="宋体" w:cs="宋体"/>
          <w:spacing w:val="-2"/>
          <w:sz w:val="24"/>
          <w:szCs w:val="24"/>
        </w:rPr>
        <w:t>（6）、灯杆表面热镀锌，镀锌量不少于</w:t>
      </w:r>
      <w:r>
        <w:rPr>
          <w:rFonts w:ascii="宋体" w:hAnsi="宋体" w:eastAsia="宋体" w:cs="宋体"/>
          <w:spacing w:val="-43"/>
          <w:sz w:val="24"/>
          <w:szCs w:val="24"/>
        </w:rPr>
        <w:t xml:space="preserve"> </w:t>
      </w:r>
      <w:r>
        <w:rPr>
          <w:rFonts w:ascii="宋体" w:hAnsi="宋体" w:eastAsia="宋体" w:cs="宋体"/>
          <w:spacing w:val="-2"/>
          <w:sz w:val="24"/>
          <w:szCs w:val="24"/>
        </w:rPr>
        <w:t>500</w:t>
      </w:r>
      <w:r>
        <w:rPr>
          <w:rFonts w:ascii="宋体" w:hAnsi="宋体" w:eastAsia="宋体" w:cs="宋体"/>
          <w:spacing w:val="-45"/>
          <w:sz w:val="24"/>
          <w:szCs w:val="24"/>
        </w:rPr>
        <w:t xml:space="preserve"> </w:t>
      </w:r>
      <w:r>
        <w:rPr>
          <w:rFonts w:ascii="宋体" w:hAnsi="宋体" w:eastAsia="宋体" w:cs="宋体"/>
          <w:spacing w:val="-2"/>
          <w:sz w:val="24"/>
          <w:szCs w:val="24"/>
        </w:rPr>
        <w:t>克/平方米。</w:t>
      </w:r>
    </w:p>
    <w:p w14:paraId="7A02460B">
      <w:pPr>
        <w:pStyle w:val="12"/>
        <w:spacing w:line="259" w:lineRule="auto"/>
      </w:pPr>
    </w:p>
    <w:p w14:paraId="6E9EF553">
      <w:pPr>
        <w:spacing w:before="78" w:line="220" w:lineRule="auto"/>
        <w:ind w:left="6"/>
        <w:outlineLvl w:val="1"/>
        <w:rPr>
          <w:rFonts w:ascii="宋体" w:hAnsi="宋体" w:eastAsia="宋体" w:cs="宋体"/>
          <w:sz w:val="24"/>
          <w:szCs w:val="24"/>
        </w:rPr>
      </w:pPr>
      <w:r>
        <w:rPr>
          <w:rFonts w:ascii="宋体" w:hAnsi="宋体" w:eastAsia="宋体" w:cs="宋体"/>
          <w:b/>
          <w:bCs/>
          <w:spacing w:val="-4"/>
          <w:sz w:val="24"/>
          <w:szCs w:val="24"/>
        </w:rPr>
        <w:t>7、人行信号灯杆</w:t>
      </w:r>
    </w:p>
    <w:p w14:paraId="570ADC72">
      <w:pPr>
        <w:pStyle w:val="12"/>
        <w:spacing w:line="258" w:lineRule="auto"/>
      </w:pPr>
    </w:p>
    <w:p w14:paraId="56634894">
      <w:pPr>
        <w:spacing w:before="78" w:line="220" w:lineRule="auto"/>
        <w:ind w:left="492"/>
        <w:rPr>
          <w:rFonts w:ascii="宋体" w:hAnsi="宋体" w:eastAsia="宋体" w:cs="宋体"/>
          <w:sz w:val="24"/>
          <w:szCs w:val="24"/>
        </w:rPr>
      </w:pPr>
      <w:r>
        <w:rPr>
          <w:rFonts w:ascii="宋体" w:hAnsi="宋体" w:eastAsia="宋体" w:cs="宋体"/>
          <w:spacing w:val="-2"/>
          <w:sz w:val="24"/>
          <w:szCs w:val="24"/>
        </w:rPr>
        <w:t>（1）、高</w:t>
      </w:r>
      <w:r>
        <w:rPr>
          <w:rFonts w:ascii="宋体" w:hAnsi="宋体" w:eastAsia="宋体" w:cs="宋体"/>
          <w:spacing w:val="-46"/>
          <w:sz w:val="24"/>
          <w:szCs w:val="24"/>
        </w:rPr>
        <w:t xml:space="preserve"> </w:t>
      </w:r>
      <w:r>
        <w:rPr>
          <w:rFonts w:ascii="宋体" w:hAnsi="宋体" w:eastAsia="宋体" w:cs="宋体"/>
          <w:spacing w:val="-2"/>
          <w:sz w:val="24"/>
          <w:szCs w:val="24"/>
        </w:rPr>
        <w:t>3.5m，直径Φ89mm，壁厚</w:t>
      </w:r>
      <w:r>
        <w:rPr>
          <w:rFonts w:ascii="宋体" w:hAnsi="宋体" w:eastAsia="宋体" w:cs="宋体"/>
          <w:spacing w:val="-46"/>
          <w:sz w:val="24"/>
          <w:szCs w:val="24"/>
        </w:rPr>
        <w:t xml:space="preserve"> </w:t>
      </w:r>
      <w:r>
        <w:rPr>
          <w:rFonts w:ascii="宋体" w:hAnsi="宋体" w:eastAsia="宋体" w:cs="宋体"/>
          <w:spacing w:val="-2"/>
          <w:sz w:val="24"/>
          <w:szCs w:val="24"/>
        </w:rPr>
        <w:t>3 mm；</w:t>
      </w:r>
    </w:p>
    <w:p w14:paraId="707BF9A5">
      <w:pPr>
        <w:spacing w:before="182" w:line="222" w:lineRule="auto"/>
        <w:ind w:left="492"/>
        <w:rPr>
          <w:rFonts w:ascii="宋体" w:hAnsi="宋体" w:eastAsia="宋体" w:cs="宋体"/>
          <w:sz w:val="24"/>
          <w:szCs w:val="24"/>
        </w:rPr>
      </w:pPr>
      <w:r>
        <w:rPr>
          <w:rFonts w:ascii="宋体" w:hAnsi="宋体" w:eastAsia="宋体" w:cs="宋体"/>
          <w:spacing w:val="-1"/>
          <w:sz w:val="24"/>
          <w:szCs w:val="24"/>
        </w:rPr>
        <w:t>（2）、C25</w:t>
      </w:r>
      <w:r>
        <w:rPr>
          <w:rFonts w:ascii="宋体" w:hAnsi="宋体" w:eastAsia="宋体" w:cs="宋体"/>
          <w:spacing w:val="-47"/>
          <w:sz w:val="24"/>
          <w:szCs w:val="24"/>
        </w:rPr>
        <w:t xml:space="preserve"> </w:t>
      </w:r>
      <w:r>
        <w:rPr>
          <w:rFonts w:ascii="宋体" w:hAnsi="宋体" w:eastAsia="宋体" w:cs="宋体"/>
          <w:spacing w:val="-1"/>
          <w:sz w:val="24"/>
          <w:szCs w:val="24"/>
        </w:rPr>
        <w:t>混凝土基础：0.6m*0.6</w:t>
      </w:r>
      <w:r>
        <w:rPr>
          <w:rFonts w:ascii="宋体" w:hAnsi="宋体" w:eastAsia="宋体" w:cs="宋体"/>
          <w:spacing w:val="-2"/>
          <w:sz w:val="24"/>
          <w:szCs w:val="24"/>
        </w:rPr>
        <w:t>m*0.8m；</w:t>
      </w:r>
    </w:p>
    <w:p w14:paraId="5965BD32">
      <w:pPr>
        <w:spacing w:before="180" w:line="219" w:lineRule="auto"/>
        <w:ind w:left="492"/>
        <w:rPr>
          <w:rFonts w:ascii="宋体" w:hAnsi="宋体" w:eastAsia="宋体" w:cs="宋体"/>
          <w:sz w:val="24"/>
          <w:szCs w:val="24"/>
        </w:rPr>
      </w:pPr>
      <w:r>
        <w:rPr>
          <w:rFonts w:ascii="宋体" w:hAnsi="宋体" w:eastAsia="宋体" w:cs="宋体"/>
          <w:spacing w:val="-1"/>
          <w:sz w:val="24"/>
          <w:szCs w:val="24"/>
        </w:rPr>
        <w:t>（3）、地笼尺寸：200mm*200mm*700mm。</w:t>
      </w:r>
    </w:p>
    <w:p w14:paraId="1FEB6589">
      <w:pPr>
        <w:spacing w:before="183" w:line="220" w:lineRule="auto"/>
        <w:ind w:left="12"/>
        <w:rPr>
          <w:rFonts w:ascii="宋体" w:hAnsi="宋体" w:eastAsia="宋体" w:cs="宋体"/>
          <w:sz w:val="24"/>
          <w:szCs w:val="24"/>
        </w:rPr>
      </w:pPr>
      <w:r>
        <w:rPr>
          <w:rFonts w:ascii="宋体" w:hAnsi="宋体" w:eastAsia="宋体" w:cs="宋体"/>
          <w:b/>
          <w:bCs/>
          <w:spacing w:val="-4"/>
          <w:sz w:val="24"/>
          <w:szCs w:val="24"/>
        </w:rPr>
        <w:t>（二）、护栏技术参数要求</w:t>
      </w:r>
    </w:p>
    <w:p w14:paraId="0AE5E619">
      <w:pPr>
        <w:pStyle w:val="12"/>
        <w:spacing w:line="258" w:lineRule="auto"/>
      </w:pPr>
    </w:p>
    <w:p w14:paraId="7BAD818F">
      <w:pPr>
        <w:spacing w:before="79" w:line="220" w:lineRule="auto"/>
        <w:ind w:left="18"/>
        <w:outlineLvl w:val="1"/>
        <w:rPr>
          <w:rFonts w:ascii="宋体" w:hAnsi="宋体" w:eastAsia="宋体" w:cs="宋体"/>
          <w:sz w:val="24"/>
          <w:szCs w:val="24"/>
        </w:rPr>
      </w:pPr>
      <w:r>
        <w:rPr>
          <w:rFonts w:ascii="宋体" w:hAnsi="宋体" w:eastAsia="宋体" w:cs="宋体"/>
          <w:b/>
          <w:bCs/>
          <w:spacing w:val="-7"/>
          <w:sz w:val="24"/>
          <w:szCs w:val="24"/>
        </w:rPr>
        <w:t>1、外观说明</w:t>
      </w:r>
    </w:p>
    <w:p w14:paraId="33FDD4DD">
      <w:pPr>
        <w:pStyle w:val="12"/>
        <w:spacing w:line="257" w:lineRule="auto"/>
      </w:pPr>
    </w:p>
    <w:p w14:paraId="69C129BC">
      <w:pPr>
        <w:spacing w:before="78" w:line="325" w:lineRule="auto"/>
        <w:ind w:firstLine="492"/>
        <w:rPr>
          <w:rFonts w:ascii="宋体" w:hAnsi="宋体" w:eastAsia="宋体" w:cs="宋体"/>
          <w:sz w:val="24"/>
          <w:szCs w:val="24"/>
        </w:rPr>
      </w:pPr>
      <w:r>
        <w:rPr>
          <w:rFonts w:ascii="宋体" w:hAnsi="宋体" w:eastAsia="宋体" w:cs="宋体"/>
          <w:sz w:val="24"/>
          <w:szCs w:val="24"/>
        </w:rPr>
        <w:t>（1）、护栏产品整体采用的是先热镀锌，再纯聚脂彩色粉末喷涂工艺。护栏构件</w:t>
      </w:r>
      <w:r>
        <w:rPr>
          <w:rFonts w:ascii="宋体" w:hAnsi="宋体" w:eastAsia="宋体" w:cs="宋体"/>
          <w:spacing w:val="-7"/>
          <w:sz w:val="24"/>
          <w:szCs w:val="24"/>
        </w:rPr>
        <w:t>喷塑层均匀，无疤斑、滴流等表面缺陷；不会产生剥落、气泡、裂纹、</w:t>
      </w:r>
      <w:r>
        <w:rPr>
          <w:rFonts w:ascii="宋体" w:hAnsi="宋体" w:eastAsia="宋体" w:cs="宋体"/>
          <w:spacing w:val="-8"/>
          <w:sz w:val="24"/>
          <w:szCs w:val="24"/>
        </w:rPr>
        <w:t>擦伤等表面缺陷；</w:t>
      </w:r>
      <w:r>
        <w:rPr>
          <w:rFonts w:ascii="宋体" w:hAnsi="宋体" w:eastAsia="宋体" w:cs="宋体"/>
          <w:spacing w:val="-3"/>
          <w:sz w:val="24"/>
          <w:szCs w:val="24"/>
        </w:rPr>
        <w:t>喷塑层无明显连接痕迹，无熔渣、色泽不一等缺陷。表面光滑、平整、无凹陷、杂质以</w:t>
      </w:r>
      <w:r>
        <w:rPr>
          <w:rFonts w:ascii="宋体" w:hAnsi="宋体" w:eastAsia="宋体" w:cs="宋体"/>
          <w:sz w:val="24"/>
          <w:szCs w:val="24"/>
        </w:rPr>
        <w:t>及其他表面缺陷。型材端部清洁、无毛刺。护栏的端头</w:t>
      </w:r>
      <w:r>
        <w:rPr>
          <w:rFonts w:ascii="宋体" w:hAnsi="宋体" w:eastAsia="宋体" w:cs="宋体"/>
          <w:spacing w:val="-1"/>
          <w:sz w:val="24"/>
          <w:szCs w:val="24"/>
        </w:rPr>
        <w:t>、焊接点平滑无毛刺。</w:t>
      </w:r>
    </w:p>
    <w:p w14:paraId="10EF10AE">
      <w:pPr>
        <w:spacing w:before="183" w:line="290" w:lineRule="auto"/>
        <w:ind w:right="118" w:firstLine="491"/>
        <w:rPr>
          <w:rFonts w:ascii="宋体" w:hAnsi="宋体" w:eastAsia="宋体" w:cs="宋体"/>
          <w:sz w:val="24"/>
          <w:szCs w:val="24"/>
        </w:rPr>
      </w:pPr>
      <w:r>
        <w:rPr>
          <w:rFonts w:ascii="宋体" w:hAnsi="宋体" w:eastAsia="宋体" w:cs="宋体"/>
          <w:spacing w:val="-1"/>
          <w:sz w:val="24"/>
          <w:szCs w:val="24"/>
        </w:rPr>
        <w:t>（2）、护栏整体美观，表面光滑、平整、</w:t>
      </w:r>
      <w:r>
        <w:rPr>
          <w:rFonts w:ascii="宋体" w:hAnsi="宋体" w:eastAsia="宋体" w:cs="宋体"/>
          <w:spacing w:val="-2"/>
          <w:sz w:val="24"/>
          <w:szCs w:val="24"/>
        </w:rPr>
        <w:t>色泽均匀，不会产生明显裂痕、毛点，</w:t>
      </w:r>
      <w:r>
        <w:rPr>
          <w:rFonts w:ascii="宋体" w:hAnsi="宋体" w:eastAsia="宋体" w:cs="宋体"/>
          <w:sz w:val="24"/>
          <w:szCs w:val="24"/>
        </w:rPr>
        <w:t xml:space="preserve"> </w:t>
      </w:r>
      <w:r>
        <w:rPr>
          <w:rFonts w:ascii="宋体" w:hAnsi="宋体" w:eastAsia="宋体" w:cs="宋体"/>
          <w:spacing w:val="-2"/>
          <w:sz w:val="24"/>
          <w:szCs w:val="24"/>
        </w:rPr>
        <w:t>焊接点平整。</w:t>
      </w:r>
    </w:p>
    <w:p w14:paraId="57BB12DF">
      <w:pPr>
        <w:spacing w:before="182" w:line="219" w:lineRule="auto"/>
        <w:ind w:left="492"/>
        <w:rPr>
          <w:rFonts w:ascii="宋体" w:hAnsi="宋体" w:eastAsia="宋体" w:cs="宋体"/>
          <w:sz w:val="24"/>
          <w:szCs w:val="24"/>
        </w:rPr>
      </w:pPr>
      <w:r>
        <w:rPr>
          <w:rFonts w:ascii="宋体" w:hAnsi="宋体" w:eastAsia="宋体" w:cs="宋体"/>
          <w:spacing w:val="-1"/>
          <w:sz w:val="24"/>
          <w:szCs w:val="24"/>
        </w:rPr>
        <w:t>（3）、护栏产品的竖杆与横杆连接点采用焊接式。</w:t>
      </w:r>
    </w:p>
    <w:p w14:paraId="5E70A47F">
      <w:pPr>
        <w:spacing w:before="184" w:line="219" w:lineRule="auto"/>
        <w:ind w:left="492"/>
        <w:rPr>
          <w:rFonts w:ascii="宋体" w:hAnsi="宋体" w:eastAsia="宋体" w:cs="宋体"/>
          <w:sz w:val="24"/>
          <w:szCs w:val="24"/>
        </w:rPr>
      </w:pPr>
      <w:r>
        <w:rPr>
          <w:rFonts w:ascii="宋体" w:hAnsi="宋体" w:eastAsia="宋体" w:cs="宋体"/>
          <w:spacing w:val="-1"/>
          <w:sz w:val="24"/>
          <w:szCs w:val="24"/>
        </w:rPr>
        <w:t>（4）、护栏产品使用的是一次冲压成型镀锌钢质连接件。</w:t>
      </w:r>
    </w:p>
    <w:p w14:paraId="321AD94E">
      <w:pPr>
        <w:spacing w:before="183" w:line="290" w:lineRule="auto"/>
        <w:ind w:left="2" w:right="62" w:firstLine="489"/>
        <w:rPr>
          <w:rFonts w:ascii="宋体" w:hAnsi="宋体" w:eastAsia="宋体" w:cs="宋体"/>
          <w:sz w:val="24"/>
          <w:szCs w:val="24"/>
        </w:rPr>
      </w:pPr>
      <w:r>
        <w:rPr>
          <w:rFonts w:ascii="宋体" w:hAnsi="宋体" w:eastAsia="宋体" w:cs="宋体"/>
          <w:sz w:val="24"/>
          <w:szCs w:val="24"/>
        </w:rPr>
        <w:t>（5）、使用蓝色反光膜，质量优、粘贴平整牢固、无气泡，反光标志符合技术要</w:t>
      </w:r>
      <w:r>
        <w:rPr>
          <w:rFonts w:ascii="宋体" w:hAnsi="宋体" w:eastAsia="宋体" w:cs="宋体"/>
          <w:spacing w:val="-2"/>
          <w:sz w:val="24"/>
          <w:szCs w:val="24"/>
        </w:rPr>
        <w:t>求、美观、反光效果好。</w:t>
      </w:r>
    </w:p>
    <w:p w14:paraId="7F29FBC8">
      <w:pPr>
        <w:spacing w:before="181" w:line="290" w:lineRule="auto"/>
        <w:ind w:left="5" w:right="62" w:firstLine="486"/>
        <w:rPr>
          <w:rFonts w:ascii="宋体" w:hAnsi="宋体" w:eastAsia="宋体" w:cs="宋体"/>
          <w:spacing w:val="-1"/>
          <w:sz w:val="24"/>
          <w:szCs w:val="24"/>
        </w:rPr>
      </w:pPr>
      <w:r>
        <w:rPr>
          <w:rFonts w:ascii="宋体" w:hAnsi="宋体" w:eastAsia="宋体" w:cs="宋体"/>
          <w:sz w:val="24"/>
          <w:szCs w:val="24"/>
        </w:rPr>
        <w:t>（6）、护栏产品整体牢固、结构强度高，摇晃时不会产生明显错位变形，在合理</w:t>
      </w:r>
      <w:r>
        <w:rPr>
          <w:rFonts w:ascii="宋体" w:hAnsi="宋体" w:eastAsia="宋体" w:cs="宋体"/>
          <w:spacing w:val="-1"/>
          <w:sz w:val="24"/>
          <w:szCs w:val="24"/>
        </w:rPr>
        <w:t>外力影响下，表面喷塑不会变形或破坏。</w:t>
      </w:r>
    </w:p>
    <w:p w14:paraId="19172621">
      <w:pPr>
        <w:spacing w:before="122" w:line="220" w:lineRule="auto"/>
        <w:ind w:left="492"/>
        <w:rPr>
          <w:rFonts w:ascii="宋体" w:hAnsi="宋体" w:eastAsia="宋体" w:cs="宋体"/>
          <w:sz w:val="24"/>
          <w:szCs w:val="24"/>
        </w:rPr>
      </w:pPr>
      <w:r>
        <w:rPr>
          <w:rFonts w:ascii="宋体" w:hAnsi="宋体" w:eastAsia="宋体" w:cs="宋体"/>
          <w:spacing w:val="-1"/>
          <w:sz w:val="24"/>
          <w:szCs w:val="24"/>
        </w:rPr>
        <w:t>（7）、连接螺钉专用工具拆卸，产品合格证标注内容齐全。</w:t>
      </w:r>
    </w:p>
    <w:p w14:paraId="17B13B1C">
      <w:pPr>
        <w:spacing w:before="78" w:line="220" w:lineRule="auto"/>
        <w:outlineLvl w:val="1"/>
        <w:rPr>
          <w:rFonts w:ascii="宋体" w:hAnsi="宋体" w:eastAsia="宋体" w:cs="宋体"/>
          <w:sz w:val="24"/>
          <w:szCs w:val="24"/>
        </w:rPr>
      </w:pPr>
      <w:r>
        <w:rPr>
          <w:rFonts w:ascii="宋体" w:hAnsi="宋体" w:eastAsia="宋体" w:cs="宋体"/>
          <w:b/>
          <w:bCs/>
          <w:spacing w:val="-3"/>
          <w:sz w:val="24"/>
          <w:szCs w:val="24"/>
        </w:rPr>
        <w:t>2、技术性能说明（单位：mm）</w:t>
      </w:r>
    </w:p>
    <w:p w14:paraId="156CFE5D">
      <w:pPr>
        <w:spacing w:before="78" w:line="220" w:lineRule="auto"/>
        <w:ind w:firstLine="468" w:firstLineChars="200"/>
        <w:rPr>
          <w:rFonts w:ascii="宋体" w:hAnsi="宋体" w:eastAsia="宋体" w:cs="宋体"/>
          <w:sz w:val="24"/>
          <w:szCs w:val="24"/>
        </w:rPr>
      </w:pPr>
      <w:r>
        <w:rPr>
          <w:rFonts w:ascii="宋体" w:hAnsi="宋体" w:eastAsia="宋体" w:cs="宋体"/>
          <w:spacing w:val="-3"/>
          <w:sz w:val="24"/>
          <w:szCs w:val="24"/>
        </w:rPr>
        <w:t>（1）、1100</w:t>
      </w:r>
      <w:r>
        <w:rPr>
          <w:rFonts w:ascii="宋体" w:hAnsi="宋体" w:eastAsia="宋体" w:cs="宋体"/>
          <w:spacing w:val="-43"/>
          <w:sz w:val="24"/>
          <w:szCs w:val="24"/>
        </w:rPr>
        <w:t xml:space="preserve"> </w:t>
      </w:r>
      <w:r>
        <w:rPr>
          <w:rFonts w:ascii="宋体" w:hAnsi="宋体" w:eastAsia="宋体" w:cs="宋体"/>
          <w:spacing w:val="-3"/>
          <w:sz w:val="24"/>
          <w:szCs w:val="24"/>
        </w:rPr>
        <w:t>高常规护栏</w:t>
      </w:r>
    </w:p>
    <w:p w14:paraId="167DC0CB">
      <w:pPr>
        <w:spacing w:before="181" w:line="290" w:lineRule="auto"/>
        <w:ind w:left="3" w:right="59" w:firstLine="476"/>
        <w:rPr>
          <w:rFonts w:ascii="宋体" w:hAnsi="宋体" w:eastAsia="宋体" w:cs="宋体"/>
          <w:sz w:val="24"/>
          <w:szCs w:val="24"/>
        </w:rPr>
      </w:pPr>
      <w:r>
        <w:rPr>
          <w:rFonts w:ascii="宋体" w:hAnsi="宋体" w:eastAsia="宋体" w:cs="宋体"/>
          <w:spacing w:val="-3"/>
          <w:sz w:val="24"/>
          <w:szCs w:val="24"/>
        </w:rPr>
        <w:t>①、所有钢管均采用双面热镀锌钢，表面经聚酯彩色粉未静电喷涂而成，颜色为白</w:t>
      </w:r>
      <w:r>
        <w:rPr>
          <w:rFonts w:ascii="宋体" w:hAnsi="宋体" w:eastAsia="宋体" w:cs="宋体"/>
          <w:spacing w:val="-1"/>
          <w:sz w:val="24"/>
          <w:szCs w:val="24"/>
        </w:rPr>
        <w:t>色，护栏片为焊接式，护栏片与立柱采用镀锌钢质连接件；</w:t>
      </w:r>
    </w:p>
    <w:p w14:paraId="71930889">
      <w:pPr>
        <w:spacing w:before="182" w:line="218" w:lineRule="auto"/>
        <w:ind w:left="479"/>
        <w:rPr>
          <w:rFonts w:ascii="宋体" w:hAnsi="宋体" w:eastAsia="宋体" w:cs="宋体"/>
          <w:sz w:val="24"/>
          <w:szCs w:val="24"/>
        </w:rPr>
      </w:pPr>
      <w:r>
        <w:rPr>
          <w:rFonts w:ascii="宋体" w:hAnsi="宋体" w:eastAsia="宋体" w:cs="宋体"/>
          <w:spacing w:val="-3"/>
          <w:sz w:val="24"/>
          <w:szCs w:val="24"/>
        </w:rPr>
        <w:t>②、</w:t>
      </w:r>
      <w:r>
        <w:rPr>
          <w:rFonts w:ascii="宋体" w:hAnsi="宋体" w:eastAsia="宋体" w:cs="宋体"/>
          <w:spacing w:val="-1"/>
          <w:sz w:val="24"/>
          <w:szCs w:val="24"/>
        </w:rPr>
        <w:t>立柱：采用</w:t>
      </w:r>
      <w:r>
        <w:rPr>
          <w:rFonts w:ascii="宋体" w:hAnsi="宋体" w:eastAsia="宋体" w:cs="宋体"/>
          <w:spacing w:val="-42"/>
          <w:sz w:val="24"/>
          <w:szCs w:val="24"/>
        </w:rPr>
        <w:t xml:space="preserve"> </w:t>
      </w:r>
      <w:r>
        <w:rPr>
          <w:rFonts w:ascii="宋体" w:hAnsi="宋体" w:eastAsia="宋体" w:cs="宋体"/>
          <w:spacing w:val="-1"/>
          <w:sz w:val="24"/>
          <w:szCs w:val="24"/>
        </w:rPr>
        <w:t>80×80×1.5mm</w:t>
      </w:r>
      <w:r>
        <w:rPr>
          <w:rFonts w:ascii="宋体" w:hAnsi="宋体" w:eastAsia="宋体" w:cs="宋体"/>
          <w:spacing w:val="-52"/>
          <w:sz w:val="24"/>
          <w:szCs w:val="24"/>
        </w:rPr>
        <w:t xml:space="preserve"> </w:t>
      </w:r>
      <w:r>
        <w:rPr>
          <w:rFonts w:ascii="宋体" w:hAnsi="宋体" w:eastAsia="宋体" w:cs="宋体"/>
          <w:spacing w:val="-1"/>
          <w:sz w:val="24"/>
          <w:szCs w:val="24"/>
        </w:rPr>
        <w:t>镀锌方管，立柱帽采用太阳能立</w:t>
      </w:r>
      <w:r>
        <w:fldChar w:fldCharType="begin"/>
      </w:r>
      <w:r>
        <w:instrText xml:space="preserve"> HYPERLINK "http://www.bmlink.com/supply/zhumao" </w:instrText>
      </w:r>
      <w:r>
        <w:fldChar w:fldCharType="separate"/>
      </w:r>
      <w:r>
        <w:rPr>
          <w:rFonts w:ascii="宋体" w:hAnsi="宋体" w:eastAsia="宋体" w:cs="宋体"/>
          <w:spacing w:val="-1"/>
          <w:sz w:val="24"/>
          <w:szCs w:val="24"/>
        </w:rPr>
        <w:t>柱帽</w:t>
      </w:r>
      <w:r>
        <w:rPr>
          <w:rFonts w:ascii="宋体" w:hAnsi="宋体" w:eastAsia="宋体" w:cs="宋体"/>
          <w:spacing w:val="-1"/>
          <w:sz w:val="24"/>
          <w:szCs w:val="24"/>
        </w:rPr>
        <w:fldChar w:fldCharType="end"/>
      </w:r>
      <w:r>
        <w:rPr>
          <w:rFonts w:ascii="宋体" w:hAnsi="宋体" w:eastAsia="宋体" w:cs="宋体"/>
          <w:spacing w:val="-1"/>
          <w:sz w:val="24"/>
          <w:szCs w:val="24"/>
        </w:rPr>
        <w:t>；</w:t>
      </w:r>
    </w:p>
    <w:p w14:paraId="155FD3C9">
      <w:pPr>
        <w:spacing w:before="182" w:line="218" w:lineRule="auto"/>
        <w:ind w:left="479"/>
        <w:rPr>
          <w:rFonts w:ascii="宋体" w:hAnsi="宋体" w:eastAsia="宋体" w:cs="宋体"/>
          <w:spacing w:val="-3"/>
          <w:sz w:val="24"/>
          <w:szCs w:val="24"/>
        </w:rPr>
      </w:pPr>
      <w:r>
        <w:rPr>
          <w:rFonts w:ascii="宋体" w:hAnsi="宋体" w:eastAsia="宋体" w:cs="宋体"/>
          <w:spacing w:val="-3"/>
          <w:sz w:val="24"/>
          <w:szCs w:val="24"/>
        </w:rPr>
        <w:t>③、上横杆：采用 55*40*1.2mm 镀锌方管；下横杆：采用 55*30*1.2mm 镀锌方管；</w:t>
      </w:r>
    </w:p>
    <w:p w14:paraId="3CA5F5D1">
      <w:pPr>
        <w:spacing w:before="182" w:line="218" w:lineRule="auto"/>
        <w:ind w:left="479"/>
        <w:rPr>
          <w:rFonts w:ascii="宋体" w:hAnsi="宋体" w:eastAsia="宋体" w:cs="宋体"/>
          <w:spacing w:val="-3"/>
          <w:sz w:val="24"/>
          <w:szCs w:val="24"/>
        </w:rPr>
      </w:pPr>
      <w:r>
        <w:rPr>
          <w:rFonts w:ascii="宋体" w:hAnsi="宋体" w:eastAsia="宋体" w:cs="宋体"/>
          <w:spacing w:val="-3"/>
          <w:sz w:val="24"/>
          <w:szCs w:val="24"/>
        </w:rPr>
        <w:t>④、竖杆：采用 50*30*1.0mm 竖杆，每片护栏竖杆为12 支，竖杆上粘贴蓝色反光膜；</w:t>
      </w:r>
    </w:p>
    <w:p w14:paraId="26621FA3">
      <w:pPr>
        <w:spacing w:before="182" w:line="218" w:lineRule="auto"/>
        <w:ind w:left="479"/>
        <w:rPr>
          <w:rFonts w:ascii="宋体" w:hAnsi="宋体" w:eastAsia="宋体" w:cs="宋体"/>
          <w:spacing w:val="-3"/>
          <w:sz w:val="24"/>
          <w:szCs w:val="24"/>
        </w:rPr>
      </w:pPr>
      <w:r>
        <w:rPr>
          <w:rFonts w:ascii="宋体" w:hAnsi="宋体" w:eastAsia="宋体" w:cs="宋体"/>
          <w:spacing w:val="-3"/>
          <w:sz w:val="24"/>
          <w:szCs w:val="24"/>
        </w:rPr>
        <w:t>⑤、每根立柱上都会安装夜间反光轮廓标；</w:t>
      </w:r>
    </w:p>
    <w:p w14:paraId="4FDFED94">
      <w:pPr>
        <w:spacing w:before="182" w:line="218" w:lineRule="auto"/>
        <w:ind w:left="479"/>
        <w:rPr>
          <w:rFonts w:ascii="宋体" w:hAnsi="宋体" w:eastAsia="宋体" w:cs="宋体"/>
          <w:spacing w:val="-3"/>
          <w:sz w:val="24"/>
          <w:szCs w:val="24"/>
        </w:rPr>
      </w:pPr>
      <w:r>
        <w:rPr>
          <w:rFonts w:ascii="宋体" w:hAnsi="宋体" w:eastAsia="宋体" w:cs="宋体"/>
          <w:spacing w:val="-3"/>
          <w:sz w:val="24"/>
          <w:szCs w:val="24"/>
        </w:rPr>
        <w:t>⑥、黑色橡塑底座,规格为 330*250*130mm，底座的两侧平面都印有“公安 ”两字；</w:t>
      </w:r>
    </w:p>
    <w:p w14:paraId="2C8130CE">
      <w:pPr>
        <w:spacing w:before="182" w:line="218" w:lineRule="auto"/>
        <w:ind w:left="479"/>
        <w:rPr>
          <w:rFonts w:ascii="宋体" w:hAnsi="宋体" w:eastAsia="宋体" w:cs="宋体"/>
          <w:spacing w:val="-3"/>
          <w:sz w:val="24"/>
          <w:szCs w:val="24"/>
        </w:rPr>
      </w:pPr>
      <w:r>
        <w:rPr>
          <w:rFonts w:ascii="宋体" w:hAnsi="宋体" w:eastAsia="宋体" w:cs="宋体"/>
          <w:spacing w:val="-3"/>
          <w:sz w:val="24"/>
          <w:szCs w:val="24"/>
        </w:rPr>
        <w:t>⑦、安装说明，采用底座与地面连接；</w:t>
      </w:r>
    </w:p>
    <w:p w14:paraId="39EA33F9">
      <w:pPr>
        <w:spacing w:before="182" w:line="218" w:lineRule="auto"/>
        <w:ind w:left="479"/>
        <w:rPr>
          <w:rFonts w:ascii="宋体" w:hAnsi="宋体" w:eastAsia="宋体" w:cs="宋体"/>
          <w:spacing w:val="-3"/>
          <w:sz w:val="24"/>
          <w:szCs w:val="24"/>
        </w:rPr>
      </w:pPr>
      <w:r>
        <w:rPr>
          <w:rFonts w:ascii="宋体" w:hAnsi="宋体" w:eastAsia="宋体" w:cs="宋体"/>
          <w:spacing w:val="-3"/>
          <w:sz w:val="24"/>
          <w:szCs w:val="24"/>
        </w:rPr>
        <w:t>⑧、相关规格尺寸严格依照图纸要求。</w:t>
      </w:r>
    </w:p>
    <w:p w14:paraId="535FC450">
      <w:pPr>
        <w:spacing w:before="198" w:line="3180" w:lineRule="exact"/>
        <w:ind w:firstLine="471"/>
      </w:pPr>
      <w:r>
        <w:rPr>
          <w:position w:val="-63"/>
        </w:rPr>
        <w:drawing>
          <wp:inline distT="0" distB="0" distL="0" distR="0">
            <wp:extent cx="4782185" cy="2019300"/>
            <wp:effectExtent l="0" t="0" r="18415" b="0"/>
            <wp:docPr id="15" name="IM 4"/>
            <wp:cNvGraphicFramePr/>
            <a:graphic xmlns:a="http://schemas.openxmlformats.org/drawingml/2006/main">
              <a:graphicData uri="http://schemas.openxmlformats.org/drawingml/2006/picture">
                <pic:pic xmlns:pic="http://schemas.openxmlformats.org/drawingml/2006/picture">
                  <pic:nvPicPr>
                    <pic:cNvPr id="15" name="IM 4"/>
                    <pic:cNvPicPr/>
                  </pic:nvPicPr>
                  <pic:blipFill>
                    <a:blip r:embed="rId18"/>
                    <a:stretch>
                      <a:fillRect/>
                    </a:stretch>
                  </pic:blipFill>
                  <pic:spPr>
                    <a:xfrm>
                      <a:off x="0" y="0"/>
                      <a:ext cx="4782311" cy="2019300"/>
                    </a:xfrm>
                    <a:prstGeom prst="rect">
                      <a:avLst/>
                    </a:prstGeom>
                  </pic:spPr>
                </pic:pic>
              </a:graphicData>
            </a:graphic>
          </wp:inline>
        </w:drawing>
      </w:r>
    </w:p>
    <w:p w14:paraId="21A624F9">
      <w:pPr>
        <w:spacing w:before="273" w:line="220" w:lineRule="auto"/>
        <w:ind w:left="492"/>
        <w:rPr>
          <w:rFonts w:ascii="宋体" w:hAnsi="宋体" w:eastAsia="宋体" w:cs="宋体"/>
          <w:sz w:val="24"/>
          <w:szCs w:val="24"/>
        </w:rPr>
      </w:pPr>
      <w:r>
        <w:rPr>
          <w:rFonts w:ascii="宋体" w:hAnsi="宋体" w:eastAsia="宋体" w:cs="宋体"/>
          <w:spacing w:val="-4"/>
          <w:sz w:val="24"/>
          <w:szCs w:val="24"/>
        </w:rPr>
        <w:t>（2）、600</w:t>
      </w:r>
      <w:r>
        <w:rPr>
          <w:rFonts w:ascii="宋体" w:hAnsi="宋体" w:eastAsia="宋体" w:cs="宋体"/>
          <w:spacing w:val="-34"/>
          <w:sz w:val="24"/>
          <w:szCs w:val="24"/>
        </w:rPr>
        <w:t xml:space="preserve"> </w:t>
      </w:r>
      <w:r>
        <w:rPr>
          <w:rFonts w:ascii="宋体" w:hAnsi="宋体" w:eastAsia="宋体" w:cs="宋体"/>
          <w:spacing w:val="-4"/>
          <w:sz w:val="24"/>
          <w:szCs w:val="24"/>
        </w:rPr>
        <w:t>高常规护栏</w:t>
      </w:r>
    </w:p>
    <w:p w14:paraId="6CB79F19">
      <w:pPr>
        <w:spacing w:before="152" w:line="279" w:lineRule="auto"/>
        <w:ind w:left="3" w:right="59" w:firstLine="476"/>
        <w:rPr>
          <w:rFonts w:ascii="宋体" w:hAnsi="宋体" w:eastAsia="宋体" w:cs="宋体"/>
          <w:sz w:val="24"/>
          <w:szCs w:val="24"/>
        </w:rPr>
      </w:pPr>
      <w:r>
        <w:rPr>
          <w:rFonts w:ascii="宋体" w:hAnsi="宋体" w:eastAsia="宋体" w:cs="宋体"/>
          <w:spacing w:val="-3"/>
          <w:sz w:val="24"/>
          <w:szCs w:val="24"/>
        </w:rPr>
        <w:t>①、所有钢管均采用双面热镀锌钢，表面经聚酯彩色粉未静电喷涂而成，颜色为白</w:t>
      </w:r>
      <w:r>
        <w:rPr>
          <w:rFonts w:ascii="宋体" w:hAnsi="宋体" w:eastAsia="宋体" w:cs="宋体"/>
          <w:spacing w:val="-1"/>
          <w:sz w:val="24"/>
          <w:szCs w:val="24"/>
        </w:rPr>
        <w:t>色，护栏片为焊接式，护栏片与立柱采用镀锌钢质连接件；</w:t>
      </w:r>
    </w:p>
    <w:p w14:paraId="7906142D">
      <w:pPr>
        <w:spacing w:before="156" w:line="218" w:lineRule="auto"/>
        <w:ind w:left="479"/>
        <w:rPr>
          <w:rFonts w:ascii="宋体" w:hAnsi="宋体" w:eastAsia="宋体" w:cs="宋体"/>
          <w:sz w:val="24"/>
          <w:szCs w:val="24"/>
        </w:rPr>
      </w:pPr>
      <w:r>
        <w:rPr>
          <w:rFonts w:ascii="宋体" w:hAnsi="宋体" w:eastAsia="宋体" w:cs="宋体"/>
          <w:spacing w:val="-1"/>
          <w:sz w:val="24"/>
          <w:szCs w:val="24"/>
        </w:rPr>
        <w:t>②、立柱：采用</w:t>
      </w:r>
      <w:r>
        <w:rPr>
          <w:rFonts w:ascii="宋体" w:hAnsi="宋体" w:eastAsia="宋体" w:cs="宋体"/>
          <w:spacing w:val="-42"/>
          <w:sz w:val="24"/>
          <w:szCs w:val="24"/>
        </w:rPr>
        <w:t xml:space="preserve"> </w:t>
      </w:r>
      <w:r>
        <w:rPr>
          <w:rFonts w:ascii="宋体" w:hAnsi="宋体" w:eastAsia="宋体" w:cs="宋体"/>
          <w:spacing w:val="-1"/>
          <w:sz w:val="24"/>
          <w:szCs w:val="24"/>
        </w:rPr>
        <w:t>80×80×1.5mm</w:t>
      </w:r>
      <w:r>
        <w:rPr>
          <w:rFonts w:ascii="宋体" w:hAnsi="宋体" w:eastAsia="宋体" w:cs="宋体"/>
          <w:spacing w:val="-52"/>
          <w:sz w:val="24"/>
          <w:szCs w:val="24"/>
        </w:rPr>
        <w:t xml:space="preserve"> </w:t>
      </w:r>
      <w:r>
        <w:rPr>
          <w:rFonts w:ascii="宋体" w:hAnsi="宋体" w:eastAsia="宋体" w:cs="宋体"/>
          <w:spacing w:val="-1"/>
          <w:sz w:val="24"/>
          <w:szCs w:val="24"/>
        </w:rPr>
        <w:t>镀锌方管，立柱帽采用太阳能立</w:t>
      </w:r>
      <w:r>
        <w:fldChar w:fldCharType="begin"/>
      </w:r>
      <w:r>
        <w:instrText xml:space="preserve"> HYPERLINK "http://www.bmlink.com/supply/zhumao" </w:instrText>
      </w:r>
      <w:r>
        <w:fldChar w:fldCharType="separate"/>
      </w:r>
      <w:r>
        <w:rPr>
          <w:rFonts w:ascii="宋体" w:hAnsi="宋体" w:eastAsia="宋体" w:cs="宋体"/>
          <w:spacing w:val="-1"/>
          <w:sz w:val="24"/>
          <w:szCs w:val="24"/>
        </w:rPr>
        <w:t>柱帽</w:t>
      </w:r>
      <w:r>
        <w:rPr>
          <w:rFonts w:ascii="宋体" w:hAnsi="宋体" w:eastAsia="宋体" w:cs="宋体"/>
          <w:spacing w:val="-1"/>
          <w:sz w:val="24"/>
          <w:szCs w:val="24"/>
        </w:rPr>
        <w:fldChar w:fldCharType="end"/>
      </w:r>
      <w:r>
        <w:rPr>
          <w:rFonts w:ascii="宋体" w:hAnsi="宋体" w:eastAsia="宋体" w:cs="宋体"/>
          <w:spacing w:val="-1"/>
          <w:sz w:val="24"/>
          <w:szCs w:val="24"/>
        </w:rPr>
        <w:t>；</w:t>
      </w:r>
    </w:p>
    <w:p w14:paraId="308BDC4B">
      <w:pPr>
        <w:spacing w:before="156" w:line="218" w:lineRule="auto"/>
        <w:jc w:val="center"/>
        <w:rPr>
          <w:rFonts w:ascii="宋体" w:hAnsi="宋体" w:eastAsia="宋体" w:cs="宋体"/>
          <w:sz w:val="24"/>
          <w:szCs w:val="24"/>
        </w:rPr>
      </w:pPr>
      <w:r>
        <w:rPr>
          <w:rFonts w:hint="eastAsia" w:cs="宋体"/>
          <w:spacing w:val="-2"/>
          <w:sz w:val="24"/>
          <w:szCs w:val="24"/>
          <w:lang w:val="en-US" w:eastAsia="zh-CN"/>
        </w:rPr>
        <w:t xml:space="preserve"> </w:t>
      </w:r>
      <w:r>
        <w:rPr>
          <w:rFonts w:ascii="宋体" w:hAnsi="宋体" w:eastAsia="宋体" w:cs="宋体"/>
          <w:spacing w:val="-2"/>
          <w:sz w:val="24"/>
          <w:szCs w:val="24"/>
        </w:rPr>
        <w:t>③、上横杆：采用</w:t>
      </w:r>
      <w:r>
        <w:rPr>
          <w:rFonts w:ascii="宋体" w:hAnsi="宋体" w:eastAsia="宋体" w:cs="宋体"/>
          <w:spacing w:val="-51"/>
          <w:sz w:val="24"/>
          <w:szCs w:val="24"/>
        </w:rPr>
        <w:t xml:space="preserve"> </w:t>
      </w:r>
      <w:r>
        <w:rPr>
          <w:rFonts w:ascii="宋体" w:hAnsi="宋体" w:eastAsia="宋体" w:cs="宋体"/>
          <w:spacing w:val="-2"/>
          <w:sz w:val="24"/>
          <w:szCs w:val="24"/>
        </w:rPr>
        <w:t>40*55*1.2mm</w:t>
      </w:r>
      <w:r>
        <w:rPr>
          <w:rFonts w:ascii="宋体" w:hAnsi="宋体" w:eastAsia="宋体" w:cs="宋体"/>
          <w:spacing w:val="-52"/>
          <w:sz w:val="24"/>
          <w:szCs w:val="24"/>
        </w:rPr>
        <w:t xml:space="preserve"> </w:t>
      </w:r>
      <w:r>
        <w:rPr>
          <w:rFonts w:ascii="宋体" w:hAnsi="宋体" w:eastAsia="宋体" w:cs="宋体"/>
          <w:spacing w:val="-2"/>
          <w:sz w:val="24"/>
          <w:szCs w:val="24"/>
        </w:rPr>
        <w:t>镀锌方管；下横杆：采</w:t>
      </w:r>
      <w:r>
        <w:rPr>
          <w:rFonts w:ascii="宋体" w:hAnsi="宋体" w:eastAsia="宋体" w:cs="宋体"/>
          <w:spacing w:val="-3"/>
          <w:sz w:val="24"/>
          <w:szCs w:val="24"/>
        </w:rPr>
        <w:t>用</w:t>
      </w:r>
      <w:r>
        <w:rPr>
          <w:rFonts w:ascii="宋体" w:hAnsi="宋体" w:eastAsia="宋体" w:cs="宋体"/>
          <w:spacing w:val="-46"/>
          <w:sz w:val="24"/>
          <w:szCs w:val="24"/>
        </w:rPr>
        <w:t xml:space="preserve"> </w:t>
      </w:r>
      <w:r>
        <w:rPr>
          <w:rFonts w:ascii="宋体" w:hAnsi="宋体" w:eastAsia="宋体" w:cs="宋体"/>
          <w:spacing w:val="-3"/>
          <w:sz w:val="24"/>
          <w:szCs w:val="24"/>
        </w:rPr>
        <w:t>30*55*1.2mm</w:t>
      </w:r>
      <w:r>
        <w:rPr>
          <w:rFonts w:ascii="宋体" w:hAnsi="宋体" w:eastAsia="宋体" w:cs="宋体"/>
          <w:spacing w:val="-51"/>
          <w:sz w:val="24"/>
          <w:szCs w:val="24"/>
        </w:rPr>
        <w:t xml:space="preserve"> </w:t>
      </w:r>
      <w:r>
        <w:rPr>
          <w:rFonts w:ascii="宋体" w:hAnsi="宋体" w:eastAsia="宋体" w:cs="宋体"/>
          <w:spacing w:val="-3"/>
          <w:sz w:val="24"/>
          <w:szCs w:val="24"/>
        </w:rPr>
        <w:t>镀锌方管；</w:t>
      </w:r>
    </w:p>
    <w:p w14:paraId="28CB202C">
      <w:pPr>
        <w:spacing w:before="156" w:line="280" w:lineRule="auto"/>
        <w:ind w:right="59" w:firstLine="479"/>
        <w:rPr>
          <w:rFonts w:ascii="宋体" w:hAnsi="宋体" w:eastAsia="宋体" w:cs="宋体"/>
          <w:sz w:val="24"/>
          <w:szCs w:val="24"/>
        </w:rPr>
      </w:pPr>
      <w:r>
        <w:rPr>
          <w:rFonts w:ascii="宋体" w:hAnsi="宋体" w:eastAsia="宋体" w:cs="宋体"/>
          <w:spacing w:val="-1"/>
          <w:sz w:val="24"/>
          <w:szCs w:val="24"/>
        </w:rPr>
        <w:t>④、竖杆：采用</w:t>
      </w:r>
      <w:r>
        <w:rPr>
          <w:rFonts w:ascii="宋体" w:hAnsi="宋体" w:eastAsia="宋体" w:cs="宋体"/>
          <w:spacing w:val="-46"/>
          <w:sz w:val="24"/>
          <w:szCs w:val="24"/>
        </w:rPr>
        <w:t xml:space="preserve"> </w:t>
      </w:r>
      <w:r>
        <w:rPr>
          <w:rFonts w:ascii="宋体" w:hAnsi="宋体" w:eastAsia="宋体" w:cs="宋体"/>
          <w:spacing w:val="-1"/>
          <w:sz w:val="24"/>
          <w:szCs w:val="24"/>
        </w:rPr>
        <w:t>30*50*1.0mm</w:t>
      </w:r>
      <w:r>
        <w:rPr>
          <w:rFonts w:ascii="宋体" w:hAnsi="宋体" w:eastAsia="宋体" w:cs="宋体"/>
          <w:spacing w:val="-43"/>
          <w:sz w:val="24"/>
          <w:szCs w:val="24"/>
        </w:rPr>
        <w:t xml:space="preserve"> </w:t>
      </w:r>
      <w:r>
        <w:rPr>
          <w:rFonts w:ascii="宋体" w:hAnsi="宋体" w:eastAsia="宋体" w:cs="宋体"/>
          <w:spacing w:val="-1"/>
          <w:sz w:val="24"/>
          <w:szCs w:val="24"/>
        </w:rPr>
        <w:t>竖杆，每片护栏竖杆为</w:t>
      </w:r>
      <w:r>
        <w:rPr>
          <w:rFonts w:ascii="宋体" w:hAnsi="宋体" w:eastAsia="宋体" w:cs="宋体"/>
          <w:spacing w:val="-31"/>
          <w:sz w:val="24"/>
          <w:szCs w:val="24"/>
        </w:rPr>
        <w:t xml:space="preserve"> </w:t>
      </w:r>
      <w:r>
        <w:rPr>
          <w:rFonts w:ascii="宋体" w:hAnsi="宋体" w:eastAsia="宋体" w:cs="宋体"/>
          <w:spacing w:val="-1"/>
          <w:sz w:val="24"/>
          <w:szCs w:val="24"/>
        </w:rPr>
        <w:t>1</w:t>
      </w:r>
      <w:r>
        <w:rPr>
          <w:rFonts w:ascii="宋体" w:hAnsi="宋体" w:eastAsia="宋体" w:cs="宋体"/>
          <w:spacing w:val="-2"/>
          <w:sz w:val="24"/>
          <w:szCs w:val="24"/>
        </w:rPr>
        <w:t>2</w:t>
      </w:r>
      <w:r>
        <w:rPr>
          <w:rFonts w:ascii="宋体" w:hAnsi="宋体" w:eastAsia="宋体" w:cs="宋体"/>
          <w:spacing w:val="-50"/>
          <w:sz w:val="24"/>
          <w:szCs w:val="24"/>
        </w:rPr>
        <w:t xml:space="preserve"> </w:t>
      </w:r>
      <w:r>
        <w:rPr>
          <w:rFonts w:ascii="宋体" w:hAnsi="宋体" w:eastAsia="宋体" w:cs="宋体"/>
          <w:spacing w:val="-2"/>
          <w:sz w:val="24"/>
          <w:szCs w:val="24"/>
        </w:rPr>
        <w:t>支，竖杆上粘贴蓝色反光</w:t>
      </w:r>
      <w:r>
        <w:rPr>
          <w:rFonts w:ascii="宋体" w:hAnsi="宋体" w:eastAsia="宋体" w:cs="宋体"/>
          <w:spacing w:val="-5"/>
          <w:sz w:val="24"/>
          <w:szCs w:val="24"/>
        </w:rPr>
        <w:t>膜；</w:t>
      </w:r>
    </w:p>
    <w:p w14:paraId="4E6FE2E9">
      <w:pPr>
        <w:spacing w:before="152" w:line="218" w:lineRule="auto"/>
        <w:ind w:left="479"/>
        <w:rPr>
          <w:rFonts w:ascii="宋体" w:hAnsi="宋体" w:eastAsia="宋体" w:cs="宋体"/>
          <w:sz w:val="24"/>
          <w:szCs w:val="24"/>
        </w:rPr>
      </w:pPr>
      <w:r>
        <w:rPr>
          <w:rFonts w:ascii="宋体" w:hAnsi="宋体" w:eastAsia="宋体" w:cs="宋体"/>
          <w:spacing w:val="-1"/>
          <w:sz w:val="24"/>
          <w:szCs w:val="24"/>
        </w:rPr>
        <w:t>⑤、每根立柱上都会安装夜间反光轮廓标；</w:t>
      </w:r>
    </w:p>
    <w:p w14:paraId="1721E1C7">
      <w:pPr>
        <w:spacing w:before="156" w:line="217" w:lineRule="auto"/>
        <w:jc w:val="center"/>
        <w:rPr>
          <w:rFonts w:ascii="宋体" w:hAnsi="宋体" w:eastAsia="宋体" w:cs="宋体"/>
          <w:sz w:val="24"/>
          <w:szCs w:val="24"/>
        </w:rPr>
      </w:pPr>
      <w:r>
        <w:rPr>
          <w:rFonts w:hint="eastAsia" w:cs="宋体"/>
          <w:spacing w:val="-3"/>
          <w:sz w:val="24"/>
          <w:szCs w:val="24"/>
          <w:lang w:val="en-US" w:eastAsia="zh-CN"/>
        </w:rPr>
        <w:t xml:space="preserve">  </w:t>
      </w:r>
      <w:r>
        <w:rPr>
          <w:rFonts w:ascii="宋体" w:hAnsi="宋体" w:eastAsia="宋体" w:cs="宋体"/>
          <w:spacing w:val="-3"/>
          <w:sz w:val="24"/>
          <w:szCs w:val="24"/>
        </w:rPr>
        <w:t>⑥、黑色橡塑底座,规格为</w:t>
      </w:r>
      <w:r>
        <w:rPr>
          <w:rFonts w:ascii="宋体" w:hAnsi="宋体" w:eastAsia="宋体" w:cs="宋体"/>
          <w:spacing w:val="-46"/>
          <w:sz w:val="24"/>
          <w:szCs w:val="24"/>
        </w:rPr>
        <w:t xml:space="preserve"> </w:t>
      </w:r>
      <w:r>
        <w:rPr>
          <w:rFonts w:ascii="宋体" w:hAnsi="宋体" w:eastAsia="宋体" w:cs="宋体"/>
          <w:spacing w:val="-3"/>
          <w:sz w:val="24"/>
          <w:szCs w:val="24"/>
        </w:rPr>
        <w:t>330*250*130</w:t>
      </w:r>
      <w:r>
        <w:rPr>
          <w:rFonts w:ascii="宋体" w:hAnsi="宋体" w:eastAsia="宋体" w:cs="宋体"/>
          <w:spacing w:val="-4"/>
          <w:sz w:val="24"/>
          <w:szCs w:val="24"/>
        </w:rPr>
        <w:t>mm，底座的两侧平面都印有“公安</w:t>
      </w:r>
      <w:r>
        <w:rPr>
          <w:rFonts w:ascii="宋体" w:hAnsi="宋体" w:eastAsia="宋体" w:cs="宋体"/>
          <w:spacing w:val="-88"/>
          <w:sz w:val="24"/>
          <w:szCs w:val="24"/>
        </w:rPr>
        <w:t xml:space="preserve"> </w:t>
      </w:r>
      <w:r>
        <w:rPr>
          <w:rFonts w:ascii="宋体" w:hAnsi="宋体" w:eastAsia="宋体" w:cs="宋体"/>
          <w:spacing w:val="-4"/>
          <w:sz w:val="24"/>
          <w:szCs w:val="24"/>
        </w:rPr>
        <w:t>”两字；</w:t>
      </w:r>
    </w:p>
    <w:p w14:paraId="0D0DF40A">
      <w:pPr>
        <w:spacing w:before="156" w:line="218" w:lineRule="auto"/>
        <w:ind w:left="479"/>
        <w:rPr>
          <w:rFonts w:ascii="宋体" w:hAnsi="宋体" w:eastAsia="宋体" w:cs="宋体"/>
          <w:spacing w:val="-1"/>
          <w:sz w:val="24"/>
          <w:szCs w:val="24"/>
        </w:rPr>
      </w:pPr>
      <w:r>
        <w:rPr>
          <w:rFonts w:ascii="宋体" w:hAnsi="宋体" w:eastAsia="宋体" w:cs="宋体"/>
          <w:spacing w:val="-1"/>
          <w:sz w:val="24"/>
          <w:szCs w:val="24"/>
        </w:rPr>
        <w:t>⑦、安装说明，采用底座与地面连接；</w:t>
      </w:r>
    </w:p>
    <w:p w14:paraId="1A31037E">
      <w:pPr>
        <w:spacing w:before="156" w:line="218" w:lineRule="auto"/>
        <w:ind w:left="479"/>
        <w:rPr>
          <w:rFonts w:ascii="宋体" w:hAnsi="宋体" w:eastAsia="宋体" w:cs="宋体"/>
          <w:spacing w:val="-3"/>
          <w:sz w:val="24"/>
          <w:szCs w:val="24"/>
        </w:rPr>
      </w:pPr>
      <w:r>
        <w:rPr>
          <w:rFonts w:ascii="宋体" w:hAnsi="宋体" w:eastAsia="宋体" w:cs="宋体"/>
          <w:spacing w:val="-3"/>
          <w:sz w:val="24"/>
          <w:szCs w:val="24"/>
        </w:rPr>
        <w:t>⑧、相关规格尺寸严格依照图纸要求。</w:t>
      </w:r>
    </w:p>
    <w:p w14:paraId="667B245D">
      <w:pPr>
        <w:spacing w:before="156" w:line="218" w:lineRule="auto"/>
        <w:ind w:left="479"/>
      </w:pPr>
      <w:r>
        <w:rPr>
          <w:position w:val="-72"/>
        </w:rPr>
        <w:drawing>
          <wp:inline distT="0" distB="0" distL="0" distR="0">
            <wp:extent cx="5286375" cy="2314575"/>
            <wp:effectExtent l="0" t="0" r="9525" b="9525"/>
            <wp:docPr id="16" name="IM 6"/>
            <wp:cNvGraphicFramePr/>
            <a:graphic xmlns:a="http://schemas.openxmlformats.org/drawingml/2006/main">
              <a:graphicData uri="http://schemas.openxmlformats.org/drawingml/2006/picture">
                <pic:pic xmlns:pic="http://schemas.openxmlformats.org/drawingml/2006/picture">
                  <pic:nvPicPr>
                    <pic:cNvPr id="16" name="IM 6"/>
                    <pic:cNvPicPr/>
                  </pic:nvPicPr>
                  <pic:blipFill>
                    <a:blip r:embed="rId19"/>
                    <a:stretch>
                      <a:fillRect/>
                    </a:stretch>
                  </pic:blipFill>
                  <pic:spPr>
                    <a:xfrm>
                      <a:off x="0" y="0"/>
                      <a:ext cx="5286756" cy="2314956"/>
                    </a:xfrm>
                    <a:prstGeom prst="rect">
                      <a:avLst/>
                    </a:prstGeom>
                  </pic:spPr>
                </pic:pic>
              </a:graphicData>
            </a:graphic>
          </wp:inline>
        </w:drawing>
      </w:r>
    </w:p>
    <w:p w14:paraId="442CE7E4">
      <w:pPr>
        <w:spacing w:before="78" w:line="220" w:lineRule="auto"/>
        <w:ind w:left="12"/>
        <w:outlineLvl w:val="0"/>
        <w:rPr>
          <w:rFonts w:ascii="宋体" w:hAnsi="宋体" w:eastAsia="宋体" w:cs="宋体"/>
          <w:sz w:val="24"/>
          <w:szCs w:val="24"/>
        </w:rPr>
      </w:pPr>
      <w:r>
        <w:rPr>
          <w:rFonts w:ascii="宋体" w:hAnsi="宋体" w:eastAsia="宋体" w:cs="宋体"/>
          <w:b/>
          <w:bCs/>
          <w:spacing w:val="-4"/>
          <w:sz w:val="24"/>
          <w:szCs w:val="24"/>
        </w:rPr>
        <w:t>（三）、交通标志技术参数要求</w:t>
      </w:r>
    </w:p>
    <w:p w14:paraId="3CB230C6">
      <w:pPr>
        <w:pStyle w:val="12"/>
        <w:spacing w:line="250" w:lineRule="auto"/>
      </w:pPr>
    </w:p>
    <w:p w14:paraId="3CDBF9E4">
      <w:pPr>
        <w:spacing w:before="78" w:line="221" w:lineRule="auto"/>
        <w:ind w:left="18"/>
        <w:outlineLvl w:val="1"/>
        <w:rPr>
          <w:rFonts w:ascii="宋体" w:hAnsi="宋体" w:eastAsia="宋体" w:cs="宋体"/>
          <w:sz w:val="24"/>
          <w:szCs w:val="24"/>
        </w:rPr>
      </w:pPr>
      <w:r>
        <w:rPr>
          <w:rFonts w:ascii="宋体" w:hAnsi="宋体" w:eastAsia="宋体" w:cs="宋体"/>
          <w:b/>
          <w:bCs/>
          <w:spacing w:val="-7"/>
          <w:sz w:val="24"/>
          <w:szCs w:val="24"/>
        </w:rPr>
        <w:t>1、版面设计</w:t>
      </w:r>
    </w:p>
    <w:p w14:paraId="7507D9AF">
      <w:pPr>
        <w:pStyle w:val="12"/>
        <w:spacing w:line="247" w:lineRule="auto"/>
      </w:pPr>
    </w:p>
    <w:p w14:paraId="77DA4424">
      <w:pPr>
        <w:spacing w:before="79" w:line="221" w:lineRule="auto"/>
        <w:ind w:left="492"/>
        <w:rPr>
          <w:rFonts w:ascii="宋体" w:hAnsi="宋体" w:eastAsia="宋体" w:cs="宋体"/>
          <w:sz w:val="24"/>
          <w:szCs w:val="24"/>
        </w:rPr>
      </w:pPr>
      <w:r>
        <w:rPr>
          <w:rFonts w:ascii="宋体" w:hAnsi="宋体" w:eastAsia="宋体" w:cs="宋体"/>
          <w:spacing w:val="-3"/>
          <w:sz w:val="24"/>
          <w:szCs w:val="24"/>
        </w:rPr>
        <w:t>（1）、标志版面设计</w:t>
      </w:r>
    </w:p>
    <w:p w14:paraId="09523FFF">
      <w:pPr>
        <w:spacing w:before="173" w:line="354" w:lineRule="auto"/>
        <w:ind w:left="1" w:right="78" w:firstLine="483"/>
        <w:rPr>
          <w:rFonts w:ascii="宋体" w:hAnsi="宋体" w:eastAsia="宋体" w:cs="宋体"/>
          <w:sz w:val="24"/>
          <w:szCs w:val="24"/>
        </w:rPr>
      </w:pPr>
      <w:r>
        <w:rPr>
          <w:rFonts w:ascii="宋体" w:hAnsi="宋体" w:eastAsia="宋体" w:cs="宋体"/>
          <w:spacing w:val="-3"/>
          <w:sz w:val="24"/>
          <w:szCs w:val="24"/>
        </w:rPr>
        <w:t>交通标志板设计包括标志板的几何设计、外形尺寸、图案尺寸、版面汉字尺寸、版面颜色。</w:t>
      </w:r>
    </w:p>
    <w:p w14:paraId="77783883">
      <w:pPr>
        <w:spacing w:before="3" w:line="353" w:lineRule="auto"/>
        <w:ind w:firstLine="481"/>
        <w:jc w:val="both"/>
        <w:rPr>
          <w:rFonts w:hint="eastAsia" w:ascii="宋体" w:hAnsi="宋体" w:eastAsia="宋体" w:cs="宋体"/>
          <w:sz w:val="24"/>
          <w:szCs w:val="24"/>
          <w:lang w:eastAsia="zh-CN"/>
        </w:rPr>
      </w:pPr>
      <w:r>
        <w:rPr>
          <w:rFonts w:ascii="宋体" w:hAnsi="宋体" w:eastAsia="宋体" w:cs="宋体"/>
          <w:spacing w:val="-4"/>
          <w:sz w:val="24"/>
          <w:szCs w:val="24"/>
        </w:rPr>
        <w:t>版面尺寸按不同版面内容确定,版面内容中汉字间距、笔划粗度、最小行距、边距、</w:t>
      </w:r>
      <w:r>
        <w:rPr>
          <w:rFonts w:ascii="宋体" w:hAnsi="宋体" w:eastAsia="宋体" w:cs="宋体"/>
          <w:sz w:val="24"/>
          <w:szCs w:val="24"/>
        </w:rPr>
        <w:t>颜色以及版面布置等。具体要求应符合国家标准《道路交通标志和标线》G</w:t>
      </w:r>
      <w:r>
        <w:rPr>
          <w:rFonts w:ascii="宋体" w:hAnsi="宋体" w:eastAsia="宋体" w:cs="宋体"/>
          <w:spacing w:val="-1"/>
          <w:sz w:val="24"/>
          <w:szCs w:val="24"/>
        </w:rPr>
        <w:t>B5768-2009</w:t>
      </w:r>
      <w:r>
        <w:rPr>
          <w:rFonts w:ascii="宋体" w:hAnsi="宋体" w:eastAsia="宋体" w:cs="宋体"/>
          <w:spacing w:val="-2"/>
          <w:sz w:val="24"/>
          <w:szCs w:val="24"/>
        </w:rPr>
        <w:t>的有关标准执行</w:t>
      </w:r>
      <w:r>
        <w:rPr>
          <w:rFonts w:hint="eastAsia" w:cs="宋体"/>
          <w:spacing w:val="-2"/>
          <w:sz w:val="24"/>
          <w:szCs w:val="24"/>
          <w:lang w:eastAsia="zh-CN"/>
        </w:rPr>
        <w:t>。</w:t>
      </w:r>
    </w:p>
    <w:p w14:paraId="10495179">
      <w:pPr>
        <w:spacing w:before="1" w:line="354" w:lineRule="auto"/>
        <w:ind w:left="1" w:right="81" w:firstLine="482"/>
        <w:rPr>
          <w:rFonts w:ascii="宋体" w:hAnsi="宋体" w:eastAsia="宋体" w:cs="宋体"/>
          <w:sz w:val="24"/>
          <w:szCs w:val="24"/>
        </w:rPr>
      </w:pPr>
      <w:r>
        <w:rPr>
          <w:rFonts w:ascii="宋体" w:hAnsi="宋体" w:eastAsia="宋体" w:cs="宋体"/>
          <w:spacing w:val="-3"/>
          <w:sz w:val="24"/>
          <w:szCs w:val="24"/>
        </w:rPr>
        <w:t>警告标志版面颜色为黄底,黑边黑图案;禁令标志为白底、红图、红杠黑图案、图案</w:t>
      </w:r>
      <w:r>
        <w:rPr>
          <w:rFonts w:ascii="宋体" w:hAnsi="宋体" w:eastAsia="宋体" w:cs="宋体"/>
          <w:spacing w:val="-1"/>
          <w:sz w:val="24"/>
          <w:szCs w:val="24"/>
        </w:rPr>
        <w:t>压杠。快速路指路标志采用绿底，白字白图案。底，白字白图案。</w:t>
      </w:r>
    </w:p>
    <w:p w14:paraId="735F0B2E">
      <w:pPr>
        <w:spacing w:before="1" w:line="219" w:lineRule="auto"/>
        <w:ind w:left="492"/>
        <w:rPr>
          <w:rFonts w:ascii="宋体" w:hAnsi="宋体" w:eastAsia="宋体" w:cs="宋体"/>
          <w:sz w:val="24"/>
          <w:szCs w:val="24"/>
        </w:rPr>
      </w:pPr>
      <w:r>
        <w:rPr>
          <w:rFonts w:ascii="宋体" w:hAnsi="宋体" w:eastAsia="宋体" w:cs="宋体"/>
          <w:spacing w:val="-3"/>
          <w:sz w:val="24"/>
          <w:szCs w:val="24"/>
        </w:rPr>
        <w:t>（2）、反光材料</w:t>
      </w:r>
    </w:p>
    <w:p w14:paraId="386BB22B">
      <w:pPr>
        <w:spacing w:before="1" w:line="354" w:lineRule="auto"/>
        <w:ind w:left="1" w:right="81" w:firstLine="482"/>
        <w:rPr>
          <w:rFonts w:ascii="宋体" w:hAnsi="宋体" w:eastAsia="宋体" w:cs="宋体"/>
          <w:spacing w:val="-3"/>
          <w:sz w:val="24"/>
          <w:szCs w:val="24"/>
        </w:rPr>
      </w:pPr>
      <w:r>
        <w:rPr>
          <w:rFonts w:ascii="宋体" w:hAnsi="宋体" w:eastAsia="宋体" w:cs="宋体"/>
          <w:spacing w:val="-3"/>
          <w:sz w:val="24"/>
          <w:szCs w:val="24"/>
        </w:rPr>
        <w:t>版面反光材料的选择,既要考虑各类反光膜的反光特性、使用功能、应用场合和使用年限,又要考虑版面中内容不同部分区别明显,这样才能使版的交通信息在夜间有 较好的视认效果。本次设计反光膜的色度性能及逆反射系数值根据《道路交通反光膜》 (GB/T18833-2012)的相应技术指标规定,标志板底模、文字及图案均采用棱镜级反光膜。 反光膜应尽可能减少拼接,当标志板的长度(或宽度)、直径小于反光膜产品的最大宽度 时,不应有拼接缝。当粘贴反光膜不可避免出现接缝时,应使用反光膜产品的最大宽度进 行拼接。当需要滚筒粘贴时,可以平接,其间接缝隙不应超过 1mm,距标志板边缘 5cm 之内,不得有拼接。</w:t>
      </w:r>
    </w:p>
    <w:p w14:paraId="187706E9">
      <w:pPr>
        <w:spacing w:before="78" w:line="221" w:lineRule="auto"/>
        <w:outlineLvl w:val="1"/>
      </w:pPr>
      <w:r>
        <w:rPr>
          <w:rFonts w:ascii="宋体" w:hAnsi="宋体" w:eastAsia="宋体" w:cs="宋体"/>
          <w:b/>
          <w:bCs/>
          <w:spacing w:val="-4"/>
          <w:sz w:val="24"/>
          <w:szCs w:val="24"/>
        </w:rPr>
        <w:t>2、标志结构</w:t>
      </w:r>
    </w:p>
    <w:p w14:paraId="0813F0B0">
      <w:pPr>
        <w:spacing w:before="78" w:line="219" w:lineRule="auto"/>
        <w:ind w:left="525"/>
        <w:rPr>
          <w:rFonts w:ascii="宋体" w:hAnsi="宋体" w:eastAsia="宋体" w:cs="宋体"/>
          <w:spacing w:val="-8"/>
          <w:sz w:val="24"/>
          <w:szCs w:val="24"/>
        </w:rPr>
      </w:pPr>
      <w:r>
        <w:rPr>
          <w:rFonts w:ascii="宋体" w:hAnsi="宋体" w:eastAsia="宋体" w:cs="宋体"/>
          <w:spacing w:val="-8"/>
          <w:sz w:val="24"/>
          <w:szCs w:val="24"/>
        </w:rPr>
        <w:t>(1)、标志板</w:t>
      </w:r>
    </w:p>
    <w:p w14:paraId="20850EC4">
      <w:pPr>
        <w:spacing w:before="3" w:line="353" w:lineRule="auto"/>
        <w:ind w:firstLine="481"/>
        <w:jc w:val="both"/>
        <w:rPr>
          <w:rFonts w:hint="eastAsia" w:ascii="宋体" w:hAnsi="宋体" w:eastAsia="宋体" w:cs="宋体"/>
          <w:spacing w:val="-4"/>
          <w:sz w:val="24"/>
          <w:szCs w:val="24"/>
          <w:lang w:eastAsia="zh-CN"/>
        </w:rPr>
      </w:pPr>
      <w:r>
        <w:rPr>
          <w:rFonts w:ascii="宋体" w:hAnsi="宋体" w:eastAsia="宋体" w:cs="宋体"/>
          <w:spacing w:val="17"/>
          <w:sz w:val="24"/>
          <w:szCs w:val="24"/>
        </w:rPr>
        <w:t>底板采用铝合金材料材制作</w:t>
      </w:r>
      <w:r>
        <w:rPr>
          <w:rFonts w:ascii="宋体" w:hAnsi="宋体" w:eastAsia="宋体" w:cs="宋体"/>
          <w:spacing w:val="-65"/>
          <w:sz w:val="24"/>
          <w:szCs w:val="24"/>
        </w:rPr>
        <w:t xml:space="preserve"> </w:t>
      </w:r>
      <w:r>
        <w:rPr>
          <w:rFonts w:ascii="宋体" w:hAnsi="宋体" w:eastAsia="宋体" w:cs="宋体"/>
          <w:spacing w:val="17"/>
          <w:sz w:val="24"/>
          <w:szCs w:val="24"/>
        </w:rPr>
        <w:t>。化学成分、力学性能、牌号、断面结构应符合</w:t>
      </w:r>
      <w:r>
        <w:rPr>
          <w:rFonts w:ascii="宋体" w:hAnsi="宋体" w:eastAsia="宋体" w:cs="宋体"/>
          <w:sz w:val="24"/>
          <w:szCs w:val="24"/>
        </w:rPr>
        <w:t xml:space="preserve"> </w:t>
      </w:r>
      <w:r>
        <w:rPr>
          <w:rFonts w:ascii="宋体" w:hAnsi="宋体" w:eastAsia="宋体" w:cs="宋体"/>
          <w:spacing w:val="-4"/>
          <w:sz w:val="24"/>
          <w:szCs w:val="24"/>
        </w:rPr>
        <w:t>GB5768-2009 的有关规定。</w:t>
      </w:r>
      <w:r>
        <w:rPr>
          <w:rFonts w:ascii="宋体" w:hAnsi="宋体" w:eastAsia="宋体" w:cs="宋体"/>
          <w:b/>
          <w:bCs/>
          <w:spacing w:val="-4"/>
          <w:sz w:val="24"/>
          <w:szCs w:val="24"/>
        </w:rPr>
        <w:t>用于本次工程的铝合金板厚度采用版面积大于等于1㎡时, 采用 2.5m 厚度,版面积&lt;1㎡时,采用1.5mm厚度。标志板后采用型铝加固</w:t>
      </w:r>
      <w:r>
        <w:rPr>
          <w:rFonts w:ascii="宋体" w:hAnsi="宋体" w:eastAsia="宋体" w:cs="宋体"/>
          <w:spacing w:val="-4"/>
          <w:sz w:val="24"/>
          <w:szCs w:val="24"/>
        </w:rPr>
        <w:t>,加固用型铝或型钢长度不得超过标志板长度与宽度,距标志板边缘10cm加固用型铝间距不得大于40cm</w:t>
      </w:r>
      <w:r>
        <w:rPr>
          <w:rFonts w:hint="eastAsia" w:cs="宋体"/>
          <w:spacing w:val="-4"/>
          <w:sz w:val="24"/>
          <w:szCs w:val="24"/>
          <w:lang w:eastAsia="zh-CN"/>
        </w:rPr>
        <w:t>。</w:t>
      </w:r>
    </w:p>
    <w:p w14:paraId="0879170F">
      <w:pPr>
        <w:spacing w:before="3" w:line="353" w:lineRule="auto"/>
        <w:ind w:firstLine="481"/>
        <w:jc w:val="both"/>
        <w:rPr>
          <w:rFonts w:ascii="宋体" w:hAnsi="宋体" w:eastAsia="宋体" w:cs="宋体"/>
          <w:spacing w:val="0"/>
          <w:sz w:val="24"/>
          <w:szCs w:val="24"/>
        </w:rPr>
      </w:pPr>
      <w:r>
        <w:rPr>
          <w:rFonts w:ascii="宋体" w:hAnsi="宋体" w:eastAsia="宋体" w:cs="宋体"/>
          <w:spacing w:val="0"/>
          <w:sz w:val="24"/>
          <w:szCs w:val="24"/>
        </w:rPr>
        <w:t>型铝与标志板之间采用碰焊连接。指示标志及大型标志采用铝合金镶边,其他标志 应进行卷边加固。标志版面应无裂缝、撕破或其它表面缺陷,标志板边缘应整齐、光滑, 标志板的尺寸误差应小于±0.5%,平面翘曲的误差应小于±3mm/m</w:t>
      </w:r>
    </w:p>
    <w:p w14:paraId="0F25BCB3">
      <w:pPr>
        <w:spacing w:before="1" w:line="220" w:lineRule="auto"/>
        <w:ind w:left="494"/>
        <w:rPr>
          <w:rFonts w:ascii="宋体" w:hAnsi="宋体" w:eastAsia="宋体" w:cs="宋体"/>
          <w:sz w:val="24"/>
          <w:szCs w:val="24"/>
        </w:rPr>
      </w:pPr>
      <w:r>
        <w:rPr>
          <w:rFonts w:ascii="宋体" w:hAnsi="宋体" w:eastAsia="宋体" w:cs="宋体"/>
          <w:spacing w:val="-4"/>
          <w:sz w:val="24"/>
          <w:szCs w:val="24"/>
        </w:rPr>
        <w:t>（2）、立柱</w:t>
      </w:r>
    </w:p>
    <w:p w14:paraId="65F050A5">
      <w:pPr>
        <w:spacing w:before="172" w:line="354" w:lineRule="auto"/>
        <w:ind w:left="3" w:firstLine="479"/>
        <w:rPr>
          <w:rFonts w:ascii="宋体" w:hAnsi="宋体" w:eastAsia="宋体" w:cs="宋体"/>
          <w:sz w:val="24"/>
          <w:szCs w:val="24"/>
        </w:rPr>
      </w:pPr>
      <w:r>
        <w:rPr>
          <w:rFonts w:ascii="宋体" w:hAnsi="宋体" w:eastAsia="宋体" w:cs="宋体"/>
          <w:sz w:val="24"/>
          <w:szCs w:val="24"/>
        </w:rPr>
        <w:t>立柱根据版面尺寸大小采用不同直径的钢管。标杆横杆根据标志版面大小取用,横</w:t>
      </w:r>
      <w:r>
        <w:rPr>
          <w:rFonts w:ascii="宋体" w:hAnsi="宋体" w:eastAsia="宋体" w:cs="宋体"/>
          <w:spacing w:val="16"/>
          <w:sz w:val="24"/>
          <w:szCs w:val="24"/>
        </w:rPr>
        <w:t xml:space="preserve"> </w:t>
      </w:r>
      <w:r>
        <w:rPr>
          <w:rFonts w:ascii="宋体" w:hAnsi="宋体" w:eastAsia="宋体" w:cs="宋体"/>
          <w:spacing w:val="-2"/>
          <w:sz w:val="24"/>
          <w:szCs w:val="24"/>
        </w:rPr>
        <w:t>杆长度不得超过标志板长度,并不得短于标志板长</w:t>
      </w:r>
      <w:r>
        <w:rPr>
          <w:rFonts w:ascii="宋体" w:hAnsi="宋体" w:eastAsia="宋体" w:cs="宋体"/>
          <w:spacing w:val="-3"/>
          <w:sz w:val="24"/>
          <w:szCs w:val="24"/>
        </w:rPr>
        <w:t>度</w:t>
      </w:r>
      <w:r>
        <w:rPr>
          <w:rFonts w:ascii="宋体" w:hAnsi="宋体" w:eastAsia="宋体" w:cs="宋体"/>
          <w:spacing w:val="-46"/>
          <w:sz w:val="24"/>
          <w:szCs w:val="24"/>
        </w:rPr>
        <w:t xml:space="preserve"> </w:t>
      </w:r>
      <w:r>
        <w:rPr>
          <w:rFonts w:ascii="宋体" w:hAnsi="宋体" w:eastAsia="宋体" w:cs="宋体"/>
          <w:spacing w:val="-3"/>
          <w:sz w:val="24"/>
          <w:szCs w:val="24"/>
        </w:rPr>
        <w:t>30m。标杆材料根据版面大小制定。</w:t>
      </w:r>
    </w:p>
    <w:p w14:paraId="2154FE17">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标杆立柱、横杆结构件及其它金属钢件应</w:t>
      </w:r>
      <w:r>
        <w:rPr>
          <w:rFonts w:ascii="宋体" w:hAnsi="宋体" w:eastAsia="宋体" w:cs="宋体"/>
          <w:b/>
          <w:bCs/>
          <w:sz w:val="24"/>
          <w:szCs w:val="24"/>
        </w:rPr>
        <w:t>热镀锌</w:t>
      </w:r>
      <w:r>
        <w:rPr>
          <w:rFonts w:ascii="宋体" w:hAnsi="宋体" w:eastAsia="宋体" w:cs="宋体"/>
          <w:sz w:val="24"/>
          <w:szCs w:val="24"/>
        </w:rPr>
        <w:t>处理,镀锌应符合《金属覆盖层钢</w:t>
      </w:r>
      <w:r>
        <w:rPr>
          <w:rFonts w:ascii="宋体" w:hAnsi="宋体" w:eastAsia="宋体" w:cs="宋体"/>
          <w:spacing w:val="12"/>
          <w:sz w:val="24"/>
          <w:szCs w:val="24"/>
        </w:rPr>
        <w:t xml:space="preserve"> </w:t>
      </w:r>
      <w:r>
        <w:rPr>
          <w:rFonts w:ascii="宋体" w:hAnsi="宋体" w:eastAsia="宋体" w:cs="宋体"/>
          <w:spacing w:val="2"/>
          <w:sz w:val="24"/>
          <w:szCs w:val="24"/>
        </w:rPr>
        <w:t>铁制件热浸镀锌层技术要求及试验方法》</w:t>
      </w:r>
      <w:r>
        <w:rPr>
          <w:rFonts w:ascii="宋体" w:hAnsi="宋体" w:eastAsia="宋体" w:cs="宋体"/>
          <w:sz w:val="24"/>
          <w:szCs w:val="24"/>
        </w:rPr>
        <w:t>GB</w:t>
      </w:r>
      <w:r>
        <w:rPr>
          <w:rFonts w:ascii="宋体" w:hAnsi="宋体" w:eastAsia="宋体" w:cs="宋体"/>
          <w:spacing w:val="2"/>
          <w:sz w:val="24"/>
          <w:szCs w:val="24"/>
        </w:rPr>
        <w:t>/T13</w:t>
      </w:r>
      <w:r>
        <w:rPr>
          <w:rFonts w:ascii="宋体" w:hAnsi="宋体" w:eastAsia="宋体" w:cs="宋体"/>
          <w:spacing w:val="1"/>
          <w:sz w:val="24"/>
          <w:szCs w:val="24"/>
        </w:rPr>
        <w:t>912-2002</w:t>
      </w:r>
      <w:r>
        <w:rPr>
          <w:rFonts w:ascii="宋体" w:hAnsi="宋体" w:eastAsia="宋体" w:cs="宋体"/>
          <w:spacing w:val="-48"/>
          <w:sz w:val="24"/>
          <w:szCs w:val="24"/>
        </w:rPr>
        <w:t xml:space="preserve"> </w:t>
      </w:r>
      <w:r>
        <w:rPr>
          <w:rFonts w:ascii="宋体" w:hAnsi="宋体" w:eastAsia="宋体" w:cs="宋体"/>
          <w:spacing w:val="1"/>
          <w:sz w:val="24"/>
          <w:szCs w:val="24"/>
        </w:rPr>
        <w:t>标准要求表面应具有均匀完</w:t>
      </w:r>
      <w:r>
        <w:rPr>
          <w:rFonts w:ascii="宋体" w:hAnsi="宋体" w:eastAsia="宋体" w:cs="宋体"/>
          <w:sz w:val="24"/>
          <w:szCs w:val="24"/>
        </w:rPr>
        <w:t xml:space="preserve"> </w:t>
      </w:r>
      <w:r>
        <w:rPr>
          <w:rFonts w:ascii="宋体" w:hAnsi="宋体" w:eastAsia="宋体" w:cs="宋体"/>
          <w:spacing w:val="-3"/>
          <w:sz w:val="24"/>
          <w:szCs w:val="24"/>
        </w:rPr>
        <w:t>整的涂层,涂层颜色一致,基础预埋件也应作防腐(热镀锌)不允许有流挂、滴瘤或多余结</w:t>
      </w:r>
      <w:r>
        <w:rPr>
          <w:rFonts w:ascii="宋体" w:hAnsi="宋体" w:eastAsia="宋体" w:cs="宋体"/>
          <w:spacing w:val="16"/>
          <w:sz w:val="24"/>
          <w:szCs w:val="24"/>
        </w:rPr>
        <w:t xml:space="preserve"> </w:t>
      </w:r>
      <w:r>
        <w:rPr>
          <w:rFonts w:ascii="宋体" w:hAnsi="宋体" w:eastAsia="宋体" w:cs="宋体"/>
          <w:sz w:val="24"/>
          <w:szCs w:val="24"/>
        </w:rPr>
        <w:t>块,表面应无漏镀等缺陷。钢管顶端应封闭,且应光滑,不允许有毛刺现象。为防止生锈</w:t>
      </w:r>
      <w:r>
        <w:rPr>
          <w:rFonts w:ascii="宋体" w:hAnsi="宋体" w:eastAsia="宋体" w:cs="宋体"/>
          <w:spacing w:val="16"/>
          <w:sz w:val="24"/>
          <w:szCs w:val="24"/>
        </w:rPr>
        <w:t xml:space="preserve"> </w:t>
      </w:r>
      <w:r>
        <w:rPr>
          <w:rFonts w:ascii="宋体" w:hAnsi="宋体" w:eastAsia="宋体" w:cs="宋体"/>
          <w:spacing w:val="-1"/>
          <w:sz w:val="24"/>
          <w:szCs w:val="24"/>
        </w:rPr>
        <w:t>或偷盗,建议制作施工要求对基础外露螺栓采用素砼包裹。</w:t>
      </w:r>
    </w:p>
    <w:p w14:paraId="3099F216">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本项目常用的标志立柱常用以下几种规格：</w:t>
      </w:r>
    </w:p>
    <w:p w14:paraId="322B7749">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1、立柱：φ60*3*2000mm；</w:t>
      </w:r>
    </w:p>
    <w:p w14:paraId="6E50A98D">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2、立柱：φ76*3*3500mm；</w:t>
      </w:r>
    </w:p>
    <w:p w14:paraId="0BB41EF3">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3、立柱：φ89*3*3500mm；</w:t>
      </w:r>
    </w:p>
    <w:p w14:paraId="74746C06">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4、立柱：φ 114*3*3500mm；</w:t>
      </w:r>
    </w:p>
    <w:p w14:paraId="25759512">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5、立柱：φ 114*3*4000mm；</w:t>
      </w:r>
    </w:p>
    <w:p w14:paraId="67442F10">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6、立柱：φ 140*4*4500mm、横臂φ60*3*2000mm；</w:t>
      </w:r>
    </w:p>
    <w:p w14:paraId="1FF94031">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7、立柱：φ 165*5*6500mm、横臂φ76*3*3500mm；</w:t>
      </w:r>
    </w:p>
    <w:p w14:paraId="76364144">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8、立柱：φ219*6*6200mm；横臂 φ 114*4*2700mm；（单挑杆）</w:t>
      </w:r>
    </w:p>
    <w:p w14:paraId="75C8D774">
      <w:pPr>
        <w:spacing w:before="5" w:line="353" w:lineRule="auto"/>
        <w:ind w:left="1" w:right="76" w:firstLine="481"/>
        <w:rPr>
          <w:rFonts w:hint="eastAsia" w:ascii="宋体" w:hAnsi="宋体" w:eastAsia="宋体" w:cs="宋体"/>
          <w:sz w:val="24"/>
          <w:szCs w:val="24"/>
          <w:lang w:eastAsia="zh-CN"/>
        </w:rPr>
      </w:pPr>
      <w:r>
        <w:rPr>
          <w:rFonts w:ascii="宋体" w:hAnsi="宋体" w:eastAsia="宋体" w:cs="宋体"/>
          <w:sz w:val="24"/>
          <w:szCs w:val="24"/>
        </w:rPr>
        <w:t>9、立柱：φ219*6*7500mm、横臂 φ 114*4*4000mm（双横臂）</w:t>
      </w:r>
      <w:r>
        <w:rPr>
          <w:rFonts w:hint="eastAsia" w:ascii="宋体" w:hAnsi="宋体" w:eastAsia="宋体" w:cs="宋体"/>
          <w:sz w:val="24"/>
          <w:szCs w:val="24"/>
          <w:lang w:eastAsia="zh-CN"/>
        </w:rPr>
        <w:t>；</w:t>
      </w:r>
    </w:p>
    <w:p w14:paraId="3C5238AC">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10、立柱：φ273*10*7500mm、横臂 φ 140*5*5000mm（双横臂）；</w:t>
      </w:r>
    </w:p>
    <w:p w14:paraId="57A51603">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11、立柱：φ273*10*7500mm、横臂 φ 140*5*5500mm（双横臂）；</w:t>
      </w:r>
    </w:p>
    <w:p w14:paraId="593A9C06">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12、立柱：φ402*14*8500mm、横臂 φ 165*6*6000mm（三横臂）；</w:t>
      </w:r>
    </w:p>
    <w:p w14:paraId="25DA0EFB">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13、地摆标志支架:主架采用1.5mm 厚的30方管，具体尺寸根据标志尺寸大小决定。其他不可预测的工程按荥阳市区招投标规格或双方协商决定。</w:t>
      </w:r>
    </w:p>
    <w:p w14:paraId="68621F91">
      <w:pPr>
        <w:spacing w:before="175" w:line="221" w:lineRule="auto"/>
        <w:rPr>
          <w:rFonts w:hint="eastAsia" w:ascii="宋体" w:hAnsi="宋体" w:eastAsia="宋体" w:cs="宋体"/>
          <w:spacing w:val="-5"/>
          <w:sz w:val="24"/>
          <w:szCs w:val="24"/>
          <w:lang w:eastAsia="zh-CN"/>
        </w:rPr>
        <w:sectPr>
          <w:footerReference r:id="rId8" w:type="default"/>
          <w:pgSz w:w="11907" w:h="16840"/>
          <w:pgMar w:top="1431" w:right="1359" w:bottom="1139" w:left="1448" w:header="0" w:footer="903" w:gutter="0"/>
          <w:pgNumType w:fmt="numberInDash"/>
          <w:cols w:space="720" w:num="1"/>
        </w:sectPr>
      </w:pPr>
    </w:p>
    <w:p w14:paraId="6631766B">
      <w:pPr>
        <w:spacing w:before="5" w:line="353" w:lineRule="auto"/>
        <w:ind w:left="1" w:right="76" w:firstLine="481"/>
        <w:rPr>
          <w:rFonts w:ascii="宋体" w:hAnsi="宋体" w:eastAsia="宋体" w:cs="宋体"/>
          <w:b/>
          <w:bCs/>
          <w:sz w:val="24"/>
          <w:szCs w:val="24"/>
        </w:rPr>
      </w:pPr>
      <w:r>
        <w:rPr>
          <w:rFonts w:ascii="宋体" w:hAnsi="宋体" w:eastAsia="宋体" w:cs="宋体"/>
          <w:b/>
          <w:bCs/>
          <w:sz w:val="24"/>
          <w:szCs w:val="24"/>
        </w:rPr>
        <w:t>（四）、标线技术参数要求</w:t>
      </w:r>
    </w:p>
    <w:p w14:paraId="2E552B25">
      <w:pPr>
        <w:spacing w:before="5" w:line="353" w:lineRule="auto"/>
        <w:ind w:left="1" w:right="76" w:firstLine="481"/>
        <w:rPr>
          <w:rFonts w:ascii="宋体" w:hAnsi="宋体" w:eastAsia="宋体" w:cs="宋体"/>
          <w:b/>
          <w:bCs/>
          <w:sz w:val="24"/>
          <w:szCs w:val="24"/>
        </w:rPr>
      </w:pPr>
      <w:r>
        <w:rPr>
          <w:rFonts w:ascii="宋体" w:hAnsi="宋体" w:eastAsia="宋体" w:cs="宋体"/>
          <w:b/>
          <w:bCs/>
          <w:sz w:val="24"/>
          <w:szCs w:val="24"/>
        </w:rPr>
        <w:t>1、交通标线设计</w:t>
      </w:r>
    </w:p>
    <w:p w14:paraId="22B4925F">
      <w:pPr>
        <w:spacing w:before="5" w:line="353" w:lineRule="auto"/>
        <w:ind w:right="76" w:firstLine="480" w:firstLineChars="200"/>
        <w:rPr>
          <w:rFonts w:ascii="宋体" w:hAnsi="宋体" w:eastAsia="宋体" w:cs="宋体"/>
          <w:sz w:val="24"/>
          <w:szCs w:val="24"/>
        </w:rPr>
      </w:pPr>
      <w:r>
        <w:rPr>
          <w:rFonts w:ascii="宋体" w:hAnsi="宋体" w:eastAsia="宋体" w:cs="宋体"/>
          <w:sz w:val="24"/>
          <w:szCs w:val="24"/>
        </w:rPr>
        <w:t>本工程严格按照国标GB5768-2009《道路交通标志和标线》和道路等级设计要求设计。</w:t>
      </w:r>
    </w:p>
    <w:p w14:paraId="34524E25">
      <w:pPr>
        <w:spacing w:before="5" w:line="353" w:lineRule="auto"/>
        <w:ind w:right="76" w:firstLine="466" w:firstLineChars="200"/>
      </w:pPr>
      <w:r>
        <w:rPr>
          <w:rFonts w:ascii="宋体" w:hAnsi="宋体" w:eastAsia="宋体" w:cs="宋体"/>
          <w:b/>
          <w:bCs/>
          <w:spacing w:val="-4"/>
          <w:sz w:val="24"/>
          <w:szCs w:val="24"/>
        </w:rPr>
        <w:t>2、设计原则</w:t>
      </w:r>
    </w:p>
    <w:p w14:paraId="358FC00D">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（1）、交通标线在道路上是起着管制和引导交通的作用，路面标线是根据道路断 面形式、路宽以及交通管理的需要画定。路面标线形式有车行道中心线、车行道边缘线、车道分界线、停止线、人行横道线、减速让行线、导流标线、平面交叉口渠化标线、车行道宽度渐变段标线、停车位标线、依靠站标线、导向箭头以及路面文字或图形标记等。</w:t>
      </w:r>
    </w:p>
    <w:p w14:paraId="075AC1FB">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（2）、交通标线颜色：除公交专用道、双向两车道路面中心线、禁止超车线和网状线等采用黄线外，其余各种标线一般均采用白色。</w:t>
      </w:r>
    </w:p>
    <w:p w14:paraId="1983DC73">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（3）、交通标线的应用应符合设计功能要求，并且注意有效合理的衔接，标线和标志应配合使用，其含义不得互相矛盾。</w:t>
      </w:r>
    </w:p>
    <w:p w14:paraId="22260E89">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4）、交通标线使用的新材料应具有良好的耐久性、抗滑性、施工方便性和经济性，在白天和晚上均应均有良好的可视性，考虑到夜间行车的安全性，标线一般要求具有反光功能。交通标线涂料的技术要求应符合《路面标线涂料》（JT/T16311-2005）的要求。</w:t>
      </w:r>
    </w:p>
    <w:p w14:paraId="36A0A49A">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5）、设计交通标线时应注意其局限性，如标线的可视性会收到雪、碎屑、路面积水的影响和限制。交通标线的耐久性受到材料特性、交通量、气象和所在位置的影响。因此，在进行交通标线的设计时，应综合考虑公路条件、交通流特性、交通管理和材料特点等因素，进行科学、合理的设置。</w:t>
      </w:r>
    </w:p>
    <w:p w14:paraId="36E19ADF">
      <w:pPr>
        <w:spacing w:before="5" w:line="353" w:lineRule="auto"/>
        <w:ind w:left="1" w:right="76" w:firstLine="481"/>
        <w:rPr>
          <w:rFonts w:ascii="宋体" w:hAnsi="宋体" w:eastAsia="宋体" w:cs="宋体"/>
          <w:sz w:val="24"/>
          <w:szCs w:val="24"/>
        </w:rPr>
      </w:pPr>
      <w:r>
        <w:rPr>
          <w:rFonts w:ascii="宋体" w:hAnsi="宋体" w:eastAsia="宋体" w:cs="宋体"/>
          <w:sz w:val="24"/>
          <w:szCs w:val="24"/>
        </w:rPr>
        <w:t>（6）、路面标线尽管厚度较薄，但仍有一定的阻水作用，处理不当容易导致交通事故，因此应按设计图纸留出排水孔道。</w:t>
      </w:r>
    </w:p>
    <w:p w14:paraId="0E4D2502">
      <w:pPr>
        <w:spacing w:before="5" w:line="353" w:lineRule="auto"/>
        <w:ind w:left="1" w:right="76" w:firstLine="481"/>
        <w:rPr>
          <w:rFonts w:ascii="宋体" w:hAnsi="宋体" w:eastAsia="宋体" w:cs="宋体"/>
          <w:spacing w:val="-2"/>
          <w:sz w:val="24"/>
          <w:szCs w:val="24"/>
        </w:rPr>
      </w:pPr>
      <w:r>
        <w:rPr>
          <w:rFonts w:ascii="宋体" w:hAnsi="宋体" w:eastAsia="宋体" w:cs="宋体"/>
          <w:sz w:val="24"/>
          <w:szCs w:val="24"/>
        </w:rPr>
        <w:t>（7）、其他路面标线和文字的画法按照《城市道路交通标志和标线设置规范》</w:t>
      </w:r>
      <w:r>
        <w:rPr>
          <w:rFonts w:ascii="宋体" w:hAnsi="宋体" w:eastAsia="宋体" w:cs="宋体"/>
          <w:spacing w:val="-2"/>
          <w:sz w:val="24"/>
          <w:szCs w:val="24"/>
        </w:rPr>
        <w:t>（GB51038-2015）</w:t>
      </w:r>
    </w:p>
    <w:p w14:paraId="77D061E8">
      <w:pPr>
        <w:spacing w:before="5" w:line="353" w:lineRule="auto"/>
        <w:ind w:right="76" w:firstLine="231" w:firstLineChars="100"/>
      </w:pPr>
      <w:r>
        <w:rPr>
          <w:rFonts w:ascii="宋体" w:hAnsi="宋体" w:eastAsia="宋体" w:cs="宋体"/>
          <w:b/>
          <w:bCs/>
          <w:spacing w:val="-5"/>
          <w:sz w:val="24"/>
          <w:szCs w:val="24"/>
        </w:rPr>
        <w:t>3、标线设置</w:t>
      </w:r>
    </w:p>
    <w:p w14:paraId="14F3E5BF">
      <w:pPr>
        <w:numPr>
          <w:ilvl w:val="0"/>
          <w:numId w:val="20"/>
        </w:numPr>
        <w:spacing w:before="78" w:line="286" w:lineRule="auto"/>
        <w:ind w:left="3" w:right="63" w:firstLine="488"/>
        <w:rPr>
          <w:rFonts w:ascii="宋体" w:hAnsi="宋体" w:eastAsia="宋体" w:cs="宋体"/>
          <w:sz w:val="24"/>
          <w:szCs w:val="24"/>
        </w:rPr>
      </w:pPr>
      <w:r>
        <w:rPr>
          <w:rFonts w:ascii="宋体" w:hAnsi="宋体" w:eastAsia="宋体" w:cs="宋体"/>
          <w:sz w:val="24"/>
          <w:szCs w:val="24"/>
        </w:rPr>
        <w:t>、车行道边缘线：车行道边缘线设在上、下车行道两侧路缘带的内侧，为白</w:t>
      </w:r>
      <w:r>
        <w:rPr>
          <w:rFonts w:ascii="宋体" w:hAnsi="宋体" w:eastAsia="宋体" w:cs="宋体"/>
          <w:spacing w:val="-4"/>
          <w:sz w:val="24"/>
          <w:szCs w:val="24"/>
        </w:rPr>
        <w:t>色实线，线宽</w:t>
      </w:r>
      <w:r>
        <w:rPr>
          <w:rFonts w:ascii="宋体" w:hAnsi="宋体" w:eastAsia="宋体" w:cs="宋体"/>
          <w:spacing w:val="-28"/>
          <w:sz w:val="24"/>
          <w:szCs w:val="24"/>
        </w:rPr>
        <w:t xml:space="preserve"> </w:t>
      </w:r>
      <w:r>
        <w:rPr>
          <w:rFonts w:ascii="宋体" w:hAnsi="宋体" w:eastAsia="宋体" w:cs="宋体"/>
          <w:spacing w:val="-4"/>
          <w:sz w:val="24"/>
          <w:szCs w:val="24"/>
        </w:rPr>
        <w:t>15cm</w:t>
      </w:r>
      <w:r>
        <w:rPr>
          <w:rFonts w:ascii="宋体" w:hAnsi="宋体" w:eastAsia="宋体" w:cs="宋体"/>
          <w:spacing w:val="-48"/>
          <w:sz w:val="24"/>
          <w:szCs w:val="24"/>
        </w:rPr>
        <w:t xml:space="preserve"> </w:t>
      </w:r>
      <w:r>
        <w:rPr>
          <w:rFonts w:ascii="宋体" w:hAnsi="宋体" w:eastAsia="宋体" w:cs="宋体"/>
          <w:spacing w:val="-4"/>
          <w:sz w:val="24"/>
          <w:szCs w:val="24"/>
        </w:rPr>
        <w:t>或</w:t>
      </w:r>
      <w:r>
        <w:rPr>
          <w:rFonts w:ascii="宋体" w:hAnsi="宋体" w:eastAsia="宋体" w:cs="宋体"/>
          <w:spacing w:val="-48"/>
          <w:sz w:val="24"/>
          <w:szCs w:val="24"/>
        </w:rPr>
        <w:t xml:space="preserve"> </w:t>
      </w:r>
      <w:r>
        <w:rPr>
          <w:rFonts w:ascii="宋体" w:hAnsi="宋体" w:eastAsia="宋体" w:cs="宋体"/>
          <w:spacing w:val="-4"/>
          <w:sz w:val="24"/>
          <w:szCs w:val="24"/>
        </w:rPr>
        <w:t>20cm。外侧车行道边缘线每隔</w:t>
      </w:r>
      <w:r>
        <w:rPr>
          <w:rFonts w:ascii="宋体" w:hAnsi="宋体" w:eastAsia="宋体" w:cs="宋体"/>
          <w:spacing w:val="-33"/>
          <w:sz w:val="24"/>
          <w:szCs w:val="24"/>
        </w:rPr>
        <w:t xml:space="preserve"> </w:t>
      </w:r>
      <w:r>
        <w:rPr>
          <w:rFonts w:ascii="宋体" w:hAnsi="宋体" w:eastAsia="宋体" w:cs="宋体"/>
          <w:spacing w:val="-4"/>
          <w:sz w:val="24"/>
          <w:szCs w:val="24"/>
        </w:rPr>
        <w:t>15m</w:t>
      </w:r>
      <w:r>
        <w:rPr>
          <w:rFonts w:ascii="宋体" w:hAnsi="宋体" w:eastAsia="宋体" w:cs="宋体"/>
          <w:spacing w:val="-47"/>
          <w:sz w:val="24"/>
          <w:szCs w:val="24"/>
        </w:rPr>
        <w:t xml:space="preserve"> </w:t>
      </w:r>
      <w:r>
        <w:rPr>
          <w:rFonts w:ascii="宋体" w:hAnsi="宋体" w:eastAsia="宋体" w:cs="宋体"/>
          <w:spacing w:val="-4"/>
          <w:sz w:val="24"/>
          <w:szCs w:val="24"/>
        </w:rPr>
        <w:t>设置一道</w:t>
      </w:r>
      <w:r>
        <w:rPr>
          <w:rFonts w:ascii="宋体" w:hAnsi="宋体" w:eastAsia="宋体" w:cs="宋体"/>
          <w:spacing w:val="-45"/>
          <w:sz w:val="24"/>
          <w:szCs w:val="24"/>
        </w:rPr>
        <w:t xml:space="preserve"> </w:t>
      </w:r>
      <w:r>
        <w:rPr>
          <w:rFonts w:ascii="宋体" w:hAnsi="宋体" w:eastAsia="宋体" w:cs="宋体"/>
          <w:spacing w:val="-4"/>
          <w:sz w:val="24"/>
          <w:szCs w:val="24"/>
        </w:rPr>
        <w:t>3</w:t>
      </w:r>
      <w:r>
        <w:rPr>
          <w:rFonts w:hint="eastAsia" w:ascii="宋体" w:hAnsi="宋体" w:eastAsia="宋体" w:cs="宋体"/>
          <w:spacing w:val="-4"/>
          <w:sz w:val="24"/>
          <w:szCs w:val="24"/>
        </w:rPr>
        <w:t>～</w:t>
      </w:r>
      <w:r>
        <w:rPr>
          <w:rFonts w:ascii="宋体" w:hAnsi="宋体" w:eastAsia="宋体" w:cs="宋体"/>
          <w:spacing w:val="-4"/>
          <w:sz w:val="24"/>
          <w:szCs w:val="24"/>
        </w:rPr>
        <w:t>5cm</w:t>
      </w:r>
      <w:r>
        <w:rPr>
          <w:rFonts w:ascii="宋体" w:hAnsi="宋体" w:eastAsia="宋体" w:cs="宋体"/>
          <w:spacing w:val="-43"/>
          <w:sz w:val="24"/>
          <w:szCs w:val="24"/>
        </w:rPr>
        <w:t xml:space="preserve"> </w:t>
      </w:r>
      <w:r>
        <w:rPr>
          <w:rFonts w:ascii="宋体" w:hAnsi="宋体" w:eastAsia="宋体" w:cs="宋体"/>
          <w:spacing w:val="-4"/>
          <w:sz w:val="24"/>
          <w:szCs w:val="24"/>
        </w:rPr>
        <w:t>宽的排水缝。</w:t>
      </w:r>
    </w:p>
    <w:p w14:paraId="4DC752CE">
      <w:pPr>
        <w:numPr>
          <w:ilvl w:val="0"/>
          <w:numId w:val="20"/>
        </w:numPr>
        <w:spacing w:before="178" w:line="331" w:lineRule="auto"/>
        <w:ind w:left="3" w:leftChars="0" w:firstLine="488" w:firstLineChars="0"/>
        <w:rPr>
          <w:rFonts w:ascii="宋体" w:hAnsi="宋体" w:eastAsia="宋体" w:cs="宋体"/>
          <w:sz w:val="24"/>
          <w:szCs w:val="24"/>
        </w:rPr>
      </w:pPr>
      <w:r>
        <w:rPr>
          <w:rFonts w:ascii="宋体" w:hAnsi="宋体" w:eastAsia="宋体" w:cs="宋体"/>
          <w:spacing w:val="1"/>
          <w:sz w:val="24"/>
          <w:szCs w:val="24"/>
        </w:rPr>
        <w:t xml:space="preserve">、车行道分界线：可跨越同向车行道分界线设在车行道之间，为白色虚线。 </w:t>
      </w:r>
      <w:r>
        <w:rPr>
          <w:rFonts w:ascii="宋体" w:hAnsi="宋体" w:eastAsia="宋体" w:cs="宋体"/>
          <w:spacing w:val="-1"/>
          <w:sz w:val="24"/>
          <w:szCs w:val="24"/>
        </w:rPr>
        <w:t>可跨越同向车行道分界线一般线宽为</w:t>
      </w:r>
      <w:r>
        <w:rPr>
          <w:rFonts w:ascii="宋体" w:hAnsi="宋体" w:eastAsia="宋体" w:cs="宋体"/>
          <w:spacing w:val="-32"/>
          <w:sz w:val="24"/>
          <w:szCs w:val="24"/>
        </w:rPr>
        <w:t xml:space="preserve"> </w:t>
      </w:r>
      <w:r>
        <w:rPr>
          <w:rFonts w:ascii="宋体" w:hAnsi="宋体" w:eastAsia="宋体" w:cs="宋体"/>
          <w:spacing w:val="-1"/>
          <w:sz w:val="24"/>
          <w:szCs w:val="24"/>
        </w:rPr>
        <w:t>15cm。设计速度不小于60km/h</w:t>
      </w:r>
      <w:r>
        <w:rPr>
          <w:rFonts w:ascii="宋体" w:hAnsi="宋体" w:eastAsia="宋体" w:cs="宋体"/>
          <w:spacing w:val="-30"/>
          <w:sz w:val="24"/>
          <w:szCs w:val="24"/>
        </w:rPr>
        <w:t xml:space="preserve"> </w:t>
      </w:r>
      <w:r>
        <w:rPr>
          <w:rFonts w:ascii="宋体" w:hAnsi="宋体" w:eastAsia="宋体" w:cs="宋体"/>
          <w:spacing w:val="-1"/>
          <w:sz w:val="24"/>
          <w:szCs w:val="24"/>
        </w:rPr>
        <w:t>的道路，可跨越同</w:t>
      </w:r>
      <w:r>
        <w:rPr>
          <w:rFonts w:ascii="宋体" w:hAnsi="宋体" w:eastAsia="宋体" w:cs="宋体"/>
          <w:spacing w:val="-2"/>
          <w:sz w:val="24"/>
          <w:szCs w:val="24"/>
        </w:rPr>
        <w:t>向车行道分界线线段及间隔长度分别为</w:t>
      </w:r>
      <w:r>
        <w:rPr>
          <w:rFonts w:ascii="宋体" w:hAnsi="宋体" w:eastAsia="宋体" w:cs="宋体"/>
          <w:spacing w:val="-49"/>
          <w:sz w:val="24"/>
          <w:szCs w:val="24"/>
        </w:rPr>
        <w:t xml:space="preserve"> </w:t>
      </w:r>
      <w:r>
        <w:rPr>
          <w:rFonts w:ascii="宋体" w:hAnsi="宋体" w:eastAsia="宋体" w:cs="宋体"/>
          <w:spacing w:val="-2"/>
          <w:sz w:val="24"/>
          <w:szCs w:val="24"/>
        </w:rPr>
        <w:t>600cm</w:t>
      </w:r>
      <w:r>
        <w:rPr>
          <w:rFonts w:ascii="宋体" w:hAnsi="宋体" w:eastAsia="宋体" w:cs="宋体"/>
          <w:spacing w:val="-49"/>
          <w:sz w:val="24"/>
          <w:szCs w:val="24"/>
        </w:rPr>
        <w:t xml:space="preserve"> </w:t>
      </w:r>
      <w:r>
        <w:rPr>
          <w:rFonts w:ascii="宋体" w:hAnsi="宋体" w:eastAsia="宋体" w:cs="宋体"/>
          <w:spacing w:val="-2"/>
          <w:sz w:val="24"/>
          <w:szCs w:val="24"/>
        </w:rPr>
        <w:t>和900cm；设计速</w:t>
      </w:r>
      <w:r>
        <w:rPr>
          <w:rFonts w:ascii="宋体" w:hAnsi="宋体" w:eastAsia="宋体" w:cs="宋体"/>
          <w:spacing w:val="-3"/>
          <w:sz w:val="24"/>
          <w:szCs w:val="24"/>
        </w:rPr>
        <w:t>度小于</w:t>
      </w:r>
      <w:r>
        <w:rPr>
          <w:rFonts w:ascii="宋体" w:hAnsi="宋体" w:eastAsia="宋体" w:cs="宋体"/>
          <w:spacing w:val="-49"/>
          <w:sz w:val="24"/>
          <w:szCs w:val="24"/>
        </w:rPr>
        <w:t xml:space="preserve"> </w:t>
      </w:r>
      <w:r>
        <w:rPr>
          <w:rFonts w:ascii="宋体" w:hAnsi="宋体" w:eastAsia="宋体" w:cs="宋体"/>
          <w:spacing w:val="-3"/>
          <w:sz w:val="24"/>
          <w:szCs w:val="24"/>
        </w:rPr>
        <w:t>60km/h</w:t>
      </w:r>
      <w:r>
        <w:rPr>
          <w:rFonts w:ascii="宋体" w:hAnsi="宋体" w:eastAsia="宋体" w:cs="宋体"/>
          <w:spacing w:val="-31"/>
          <w:sz w:val="24"/>
          <w:szCs w:val="24"/>
        </w:rPr>
        <w:t xml:space="preserve"> </w:t>
      </w:r>
      <w:r>
        <w:rPr>
          <w:rFonts w:ascii="宋体" w:hAnsi="宋体" w:eastAsia="宋体" w:cs="宋体"/>
          <w:spacing w:val="-3"/>
          <w:sz w:val="24"/>
          <w:szCs w:val="24"/>
        </w:rPr>
        <w:t>的道路，</w:t>
      </w:r>
      <w:r>
        <w:rPr>
          <w:rFonts w:ascii="宋体" w:hAnsi="宋体" w:eastAsia="宋体" w:cs="宋体"/>
          <w:sz w:val="24"/>
          <w:szCs w:val="24"/>
        </w:rPr>
        <w:t>可跨越通行车行道分界线线段及间隔分别为</w:t>
      </w:r>
      <w:r>
        <w:rPr>
          <w:rFonts w:ascii="宋体" w:hAnsi="宋体" w:eastAsia="宋体" w:cs="宋体"/>
          <w:spacing w:val="-48"/>
          <w:sz w:val="24"/>
          <w:szCs w:val="24"/>
        </w:rPr>
        <w:t xml:space="preserve"> </w:t>
      </w:r>
      <w:r>
        <w:rPr>
          <w:rFonts w:ascii="宋体" w:hAnsi="宋体" w:eastAsia="宋体" w:cs="宋体"/>
          <w:sz w:val="24"/>
          <w:szCs w:val="24"/>
        </w:rPr>
        <w:t>200cm</w:t>
      </w:r>
      <w:r>
        <w:rPr>
          <w:rFonts w:ascii="宋体" w:hAnsi="宋体" w:eastAsia="宋体" w:cs="宋体"/>
          <w:spacing w:val="-49"/>
          <w:sz w:val="24"/>
          <w:szCs w:val="24"/>
        </w:rPr>
        <w:t xml:space="preserve"> </w:t>
      </w:r>
      <w:r>
        <w:rPr>
          <w:rFonts w:ascii="宋体" w:hAnsi="宋体" w:eastAsia="宋体" w:cs="宋体"/>
          <w:sz w:val="24"/>
          <w:szCs w:val="24"/>
        </w:rPr>
        <w:t>和400cm，本次设计</w:t>
      </w:r>
      <w:r>
        <w:rPr>
          <w:rFonts w:ascii="宋体" w:hAnsi="宋体" w:eastAsia="宋体" w:cs="宋体"/>
          <w:spacing w:val="-1"/>
          <w:sz w:val="24"/>
          <w:szCs w:val="24"/>
        </w:rPr>
        <w:t>方案根据交叉口相交道路设计速度合理选择。可跨越对向车行道分界线设在车行道之间，为黄色</w:t>
      </w:r>
      <w:r>
        <w:rPr>
          <w:rFonts w:ascii="宋体" w:hAnsi="宋体" w:eastAsia="宋体" w:cs="宋体"/>
          <w:spacing w:val="-2"/>
          <w:sz w:val="24"/>
          <w:szCs w:val="24"/>
        </w:rPr>
        <w:t>虚线。</w:t>
      </w:r>
      <w:r>
        <w:rPr>
          <w:rFonts w:ascii="宋体" w:hAnsi="宋体" w:eastAsia="宋体" w:cs="宋体"/>
          <w:sz w:val="24"/>
          <w:szCs w:val="24"/>
        </w:rPr>
        <w:t>可跨越对向车行道分界线一般线宽为15cm，线宽及间隔长度分别为</w:t>
      </w:r>
      <w:r>
        <w:rPr>
          <w:rFonts w:ascii="宋体" w:hAnsi="宋体" w:eastAsia="宋体" w:cs="宋体"/>
          <w:spacing w:val="-51"/>
          <w:sz w:val="24"/>
          <w:szCs w:val="24"/>
        </w:rPr>
        <w:t xml:space="preserve"> </w:t>
      </w:r>
      <w:r>
        <w:rPr>
          <w:rFonts w:ascii="宋体" w:hAnsi="宋体" w:eastAsia="宋体" w:cs="宋体"/>
          <w:sz w:val="24"/>
          <w:szCs w:val="24"/>
        </w:rPr>
        <w:t>400cm</w:t>
      </w:r>
      <w:r>
        <w:rPr>
          <w:rFonts w:ascii="宋体" w:hAnsi="宋体" w:eastAsia="宋体" w:cs="宋体"/>
          <w:spacing w:val="-50"/>
          <w:sz w:val="24"/>
          <w:szCs w:val="24"/>
        </w:rPr>
        <w:t xml:space="preserve"> </w:t>
      </w:r>
      <w:r>
        <w:rPr>
          <w:rFonts w:ascii="宋体" w:hAnsi="宋体" w:eastAsia="宋体" w:cs="宋体"/>
          <w:sz w:val="24"/>
          <w:szCs w:val="24"/>
        </w:rPr>
        <w:t>和600cm。</w:t>
      </w:r>
    </w:p>
    <w:p w14:paraId="09D70B2A">
      <w:pPr>
        <w:numPr>
          <w:ilvl w:val="0"/>
          <w:numId w:val="0"/>
        </w:numPr>
        <w:spacing w:before="178" w:line="331" w:lineRule="auto"/>
        <w:ind w:firstLine="240" w:firstLineChars="100"/>
        <w:rPr>
          <w:rFonts w:ascii="宋体" w:hAnsi="宋体" w:eastAsia="宋体" w:cs="宋体"/>
          <w:sz w:val="24"/>
          <w:szCs w:val="24"/>
        </w:rPr>
      </w:pPr>
      <w:r>
        <w:rPr>
          <w:rFonts w:ascii="宋体" w:hAnsi="宋体" w:eastAsia="宋体" w:cs="宋体"/>
          <w:sz w:val="24"/>
          <w:szCs w:val="24"/>
        </w:rPr>
        <w:t>（3）、导向箭头：导向箭头设在出口、入口及车道识别路面文字处，用于标识车</w:t>
      </w:r>
      <w:r>
        <w:rPr>
          <w:rFonts w:ascii="宋体" w:hAnsi="宋体" w:eastAsia="宋体" w:cs="宋体"/>
          <w:spacing w:val="2"/>
          <w:sz w:val="24"/>
          <w:szCs w:val="24"/>
        </w:rPr>
        <w:t>道转向功能的划分，图案为白色，导向箭头长度为60</w:t>
      </w:r>
      <w:r>
        <w:rPr>
          <w:rFonts w:ascii="宋体" w:hAnsi="宋体" w:eastAsia="宋体" w:cs="宋体"/>
          <w:spacing w:val="1"/>
          <w:sz w:val="24"/>
          <w:szCs w:val="24"/>
        </w:rPr>
        <w:t>0</w:t>
      </w:r>
      <w:r>
        <w:rPr>
          <w:rFonts w:ascii="宋体" w:hAnsi="宋体" w:eastAsia="宋体" w:cs="宋体"/>
          <w:sz w:val="24"/>
          <w:szCs w:val="24"/>
        </w:rPr>
        <w:t>cm</w:t>
      </w:r>
      <w:r>
        <w:rPr>
          <w:rFonts w:ascii="宋体" w:hAnsi="宋体" w:eastAsia="宋体" w:cs="宋体"/>
          <w:spacing w:val="1"/>
          <w:sz w:val="24"/>
          <w:szCs w:val="24"/>
        </w:rPr>
        <w:t>。</w:t>
      </w:r>
    </w:p>
    <w:p w14:paraId="4A81740D">
      <w:pPr>
        <w:spacing w:before="4" w:line="353" w:lineRule="auto"/>
        <w:ind w:right="26" w:firstLine="492"/>
        <w:jc w:val="both"/>
        <w:rPr>
          <w:rFonts w:ascii="宋体" w:hAnsi="宋体" w:eastAsia="宋体" w:cs="宋体"/>
          <w:sz w:val="24"/>
          <w:szCs w:val="24"/>
        </w:rPr>
      </w:pPr>
      <w:r>
        <w:rPr>
          <w:rFonts w:ascii="宋体" w:hAnsi="宋体" w:eastAsia="宋体" w:cs="宋体"/>
          <w:sz w:val="24"/>
          <w:szCs w:val="24"/>
        </w:rPr>
        <w:t>导向箭头设在交叉路口驶入段，距路口最近的第一组导向箭头在距停止线 3m</w:t>
      </w:r>
      <w:r>
        <w:rPr>
          <w:rFonts w:hint="eastAsia" w:ascii="宋体" w:hAnsi="宋体" w:eastAsia="宋体" w:cs="宋体"/>
          <w:sz w:val="24"/>
          <w:szCs w:val="24"/>
        </w:rPr>
        <w:t>～</w:t>
      </w:r>
      <w:r>
        <w:rPr>
          <w:rFonts w:ascii="宋体" w:hAnsi="宋体" w:eastAsia="宋体" w:cs="宋体"/>
          <w:sz w:val="24"/>
          <w:szCs w:val="24"/>
        </w:rPr>
        <w:t>5m处设置，第二组在导向车道的起始位置设置，箭头起始端部与导向车道线起始端部平齐；第三组预告箭头，在距第二组箭头前 30m</w:t>
      </w:r>
      <w:r>
        <w:rPr>
          <w:rFonts w:hint="eastAsia" w:ascii="宋体" w:hAnsi="宋体" w:eastAsia="宋体" w:cs="宋体"/>
          <w:sz w:val="24"/>
          <w:szCs w:val="24"/>
        </w:rPr>
        <w:t>～</w:t>
      </w:r>
      <w:r>
        <w:rPr>
          <w:rFonts w:ascii="宋体" w:hAnsi="宋体" w:eastAsia="宋体" w:cs="宋体"/>
          <w:sz w:val="24"/>
          <w:szCs w:val="24"/>
        </w:rPr>
        <w:t>50m 间隔设置，预告箭头指示方向应与前方导向车道允许行驶方向保持一致。</w:t>
      </w:r>
    </w:p>
    <w:p w14:paraId="1BB972B2">
      <w:pPr>
        <w:spacing w:before="4" w:line="353" w:lineRule="auto"/>
        <w:ind w:right="26" w:firstLine="492"/>
        <w:jc w:val="both"/>
        <w:rPr>
          <w:rFonts w:ascii="宋体" w:hAnsi="宋体" w:eastAsia="宋体" w:cs="宋体"/>
          <w:sz w:val="24"/>
          <w:szCs w:val="24"/>
        </w:rPr>
      </w:pPr>
      <w:r>
        <w:rPr>
          <w:rFonts w:ascii="宋体" w:hAnsi="宋体" w:eastAsia="宋体" w:cs="宋体"/>
          <w:sz w:val="24"/>
          <w:szCs w:val="24"/>
        </w:rPr>
        <w:t>（4）、人行横道线：人行横道线设在道路交叉口和行人横过道路较为集中的路段</w:t>
      </w:r>
      <w:r>
        <w:rPr>
          <w:rFonts w:ascii="宋体" w:hAnsi="宋体" w:eastAsia="宋体" w:cs="宋体"/>
          <w:spacing w:val="-2"/>
          <w:sz w:val="24"/>
          <w:szCs w:val="24"/>
        </w:rPr>
        <w:t>中且无过街设施、地下通道等处，为白色平行粗实线，一般情况下与道路中心线垂直，特殊情况下，其与中心线的夹角不宜小于</w:t>
      </w:r>
      <w:r>
        <w:rPr>
          <w:rFonts w:ascii="宋体" w:hAnsi="宋体" w:eastAsia="宋体" w:cs="宋体"/>
          <w:spacing w:val="-34"/>
          <w:sz w:val="24"/>
          <w:szCs w:val="24"/>
        </w:rPr>
        <w:t xml:space="preserve"> </w:t>
      </w:r>
      <w:r>
        <w:rPr>
          <w:rFonts w:ascii="宋体" w:hAnsi="宋体" w:eastAsia="宋体" w:cs="宋体"/>
          <w:spacing w:val="-2"/>
          <w:sz w:val="24"/>
          <w:szCs w:val="24"/>
        </w:rPr>
        <w:t>60</w:t>
      </w:r>
      <w:r>
        <w:rPr>
          <w:rFonts w:ascii="宋体" w:hAnsi="宋体" w:eastAsia="宋体" w:cs="宋体"/>
          <w:spacing w:val="-87"/>
          <w:sz w:val="24"/>
          <w:szCs w:val="24"/>
        </w:rPr>
        <w:t xml:space="preserve"> </w:t>
      </w:r>
      <w:r>
        <w:rPr>
          <w:rFonts w:ascii="宋体" w:hAnsi="宋体" w:eastAsia="宋体" w:cs="宋体"/>
          <w:spacing w:val="-2"/>
          <w:sz w:val="24"/>
          <w:szCs w:val="24"/>
        </w:rPr>
        <w:t>°</w:t>
      </w:r>
      <w:r>
        <w:rPr>
          <w:rFonts w:ascii="宋体" w:hAnsi="宋体" w:eastAsia="宋体" w:cs="宋体"/>
          <w:spacing w:val="-91"/>
          <w:sz w:val="24"/>
          <w:szCs w:val="24"/>
        </w:rPr>
        <w:t xml:space="preserve"> </w:t>
      </w:r>
      <w:r>
        <w:rPr>
          <w:rFonts w:ascii="宋体" w:hAnsi="宋体" w:eastAsia="宋体" w:cs="宋体"/>
          <w:spacing w:val="-2"/>
          <w:sz w:val="24"/>
          <w:szCs w:val="24"/>
        </w:rPr>
        <w:t>,其条纹应与道路中心线平行；人行横</w:t>
      </w:r>
      <w:r>
        <w:rPr>
          <w:rFonts w:ascii="宋体" w:hAnsi="宋体" w:eastAsia="宋体" w:cs="宋体"/>
          <w:sz w:val="24"/>
          <w:szCs w:val="24"/>
        </w:rPr>
        <w:t>道线的宽度为40cm，长度为</w:t>
      </w:r>
      <w:r>
        <w:rPr>
          <w:rFonts w:ascii="宋体" w:hAnsi="宋体" w:eastAsia="宋体" w:cs="宋体"/>
          <w:spacing w:val="-46"/>
          <w:sz w:val="24"/>
          <w:szCs w:val="24"/>
        </w:rPr>
        <w:t xml:space="preserve"> </w:t>
      </w:r>
      <w:r>
        <w:rPr>
          <w:rFonts w:ascii="宋体" w:hAnsi="宋体" w:eastAsia="宋体" w:cs="宋体"/>
          <w:sz w:val="24"/>
          <w:szCs w:val="24"/>
        </w:rPr>
        <w:t>5m，受条件限制情况下不小于</w:t>
      </w:r>
      <w:r>
        <w:rPr>
          <w:rFonts w:ascii="宋体" w:hAnsi="宋体" w:eastAsia="宋体" w:cs="宋体"/>
          <w:spacing w:val="-43"/>
          <w:sz w:val="24"/>
          <w:szCs w:val="24"/>
        </w:rPr>
        <w:t xml:space="preserve"> </w:t>
      </w:r>
      <w:r>
        <w:rPr>
          <w:rFonts w:ascii="宋体" w:hAnsi="宋体" w:eastAsia="宋体" w:cs="宋体"/>
          <w:sz w:val="24"/>
          <w:szCs w:val="24"/>
        </w:rPr>
        <w:t>3</w:t>
      </w:r>
      <w:r>
        <w:rPr>
          <w:rFonts w:ascii="宋体" w:hAnsi="宋体" w:eastAsia="宋体" w:cs="宋体"/>
          <w:spacing w:val="-1"/>
          <w:sz w:val="24"/>
          <w:szCs w:val="24"/>
        </w:rPr>
        <w:t>m，视交通量而定，线宽为</w:t>
      </w:r>
      <w:r>
        <w:rPr>
          <w:rFonts w:ascii="宋体" w:hAnsi="宋体" w:eastAsia="宋体" w:cs="宋体"/>
          <w:spacing w:val="-3"/>
          <w:sz w:val="24"/>
          <w:szCs w:val="24"/>
        </w:rPr>
        <w:t>40</w:t>
      </w:r>
      <w:r>
        <w:rPr>
          <w:rFonts w:ascii="宋体" w:hAnsi="宋体" w:eastAsia="宋体" w:cs="宋体"/>
          <w:spacing w:val="-33"/>
          <w:sz w:val="24"/>
          <w:szCs w:val="24"/>
        </w:rPr>
        <w:t xml:space="preserve"> </w:t>
      </w:r>
      <w:r>
        <w:rPr>
          <w:rFonts w:ascii="宋体" w:hAnsi="宋体" w:eastAsia="宋体" w:cs="宋体"/>
          <w:spacing w:val="-3"/>
          <w:sz w:val="24"/>
          <w:szCs w:val="24"/>
        </w:rPr>
        <w:t>或</w:t>
      </w:r>
      <w:r>
        <w:rPr>
          <w:rFonts w:ascii="宋体" w:hAnsi="宋体" w:eastAsia="宋体" w:cs="宋体"/>
          <w:spacing w:val="-51"/>
          <w:sz w:val="24"/>
          <w:szCs w:val="24"/>
        </w:rPr>
        <w:t xml:space="preserve"> </w:t>
      </w:r>
      <w:r>
        <w:rPr>
          <w:rFonts w:ascii="宋体" w:hAnsi="宋体" w:eastAsia="宋体" w:cs="宋体"/>
          <w:spacing w:val="-3"/>
          <w:sz w:val="24"/>
          <w:szCs w:val="24"/>
        </w:rPr>
        <w:t>45cm，线间隔一般为</w:t>
      </w:r>
      <w:r>
        <w:rPr>
          <w:rFonts w:ascii="宋体" w:hAnsi="宋体" w:eastAsia="宋体" w:cs="宋体"/>
          <w:spacing w:val="-49"/>
          <w:sz w:val="24"/>
          <w:szCs w:val="24"/>
        </w:rPr>
        <w:t xml:space="preserve"> </w:t>
      </w:r>
      <w:r>
        <w:rPr>
          <w:rFonts w:ascii="宋体" w:hAnsi="宋体" w:eastAsia="宋体" w:cs="宋体"/>
          <w:spacing w:val="-3"/>
          <w:sz w:val="24"/>
          <w:szCs w:val="24"/>
        </w:rPr>
        <w:t>60cm。</w:t>
      </w:r>
    </w:p>
    <w:p w14:paraId="0340B3D7">
      <w:pPr>
        <w:spacing w:line="321" w:lineRule="auto"/>
        <w:ind w:right="63" w:firstLine="492"/>
        <w:rPr>
          <w:rFonts w:ascii="宋体" w:hAnsi="宋体" w:eastAsia="宋体" w:cs="宋体"/>
          <w:spacing w:val="-3"/>
          <w:sz w:val="24"/>
          <w:szCs w:val="24"/>
        </w:rPr>
      </w:pPr>
      <w:r>
        <w:rPr>
          <w:rFonts w:ascii="宋体" w:hAnsi="宋体" w:eastAsia="宋体" w:cs="宋体"/>
          <w:sz w:val="24"/>
          <w:szCs w:val="24"/>
        </w:rPr>
        <w:t>（5）、停止线：停止线设在交叉路口、铁路平交道口、左弯待转区的前端、人行</w:t>
      </w:r>
      <w:r>
        <w:rPr>
          <w:rFonts w:ascii="宋体" w:hAnsi="宋体" w:eastAsia="宋体" w:cs="宋体"/>
          <w:spacing w:val="4"/>
          <w:sz w:val="24"/>
          <w:szCs w:val="24"/>
        </w:rPr>
        <w:t>横道前以及其他需要车辆停止的位置，为白色实线，停止</w:t>
      </w:r>
      <w:r>
        <w:rPr>
          <w:rFonts w:ascii="宋体" w:hAnsi="宋体" w:eastAsia="宋体" w:cs="宋体"/>
          <w:spacing w:val="3"/>
          <w:sz w:val="24"/>
          <w:szCs w:val="24"/>
        </w:rPr>
        <w:t>线的宽度选用40</w:t>
      </w:r>
      <w:r>
        <w:rPr>
          <w:rFonts w:ascii="宋体" w:hAnsi="宋体" w:eastAsia="宋体" w:cs="宋体"/>
          <w:sz w:val="24"/>
          <w:szCs w:val="24"/>
        </w:rPr>
        <w:t>cm</w:t>
      </w:r>
      <w:r>
        <w:rPr>
          <w:rFonts w:ascii="宋体" w:hAnsi="宋体" w:eastAsia="宋体" w:cs="宋体"/>
          <w:spacing w:val="3"/>
          <w:sz w:val="24"/>
          <w:szCs w:val="24"/>
        </w:rPr>
        <w:t>，据人行</w:t>
      </w:r>
      <w:r>
        <w:rPr>
          <w:rFonts w:ascii="宋体" w:hAnsi="宋体" w:eastAsia="宋体" w:cs="宋体"/>
          <w:spacing w:val="-2"/>
          <w:sz w:val="24"/>
          <w:szCs w:val="24"/>
        </w:rPr>
        <w:t>横道线</w:t>
      </w:r>
      <w:r>
        <w:rPr>
          <w:rFonts w:ascii="宋体" w:hAnsi="宋体" w:eastAsia="宋体" w:cs="宋体"/>
          <w:spacing w:val="-24"/>
          <w:sz w:val="24"/>
          <w:szCs w:val="24"/>
        </w:rPr>
        <w:t xml:space="preserve"> </w:t>
      </w:r>
      <w:r>
        <w:rPr>
          <w:rFonts w:ascii="宋体" w:hAnsi="宋体" w:eastAsia="宋体" w:cs="宋体"/>
          <w:spacing w:val="-2"/>
          <w:sz w:val="24"/>
          <w:szCs w:val="24"/>
        </w:rPr>
        <w:t>1m</w:t>
      </w:r>
      <w:r>
        <w:rPr>
          <w:rFonts w:hint="eastAsia" w:ascii="宋体" w:hAnsi="宋体" w:eastAsia="宋体" w:cs="宋体"/>
          <w:spacing w:val="-4"/>
          <w:sz w:val="24"/>
          <w:szCs w:val="24"/>
        </w:rPr>
        <w:t>～</w:t>
      </w:r>
      <w:r>
        <w:rPr>
          <w:rFonts w:ascii="宋体" w:hAnsi="宋体" w:eastAsia="宋体" w:cs="宋体"/>
          <w:spacing w:val="-2"/>
          <w:sz w:val="24"/>
          <w:szCs w:val="24"/>
        </w:rPr>
        <w:t>3m，视具体情况而定，本次设计根据交叉口规模和道路设计速度选择合适的</w:t>
      </w:r>
      <w:r>
        <w:rPr>
          <w:rFonts w:ascii="宋体" w:hAnsi="宋体" w:eastAsia="宋体" w:cs="宋体"/>
          <w:spacing w:val="-3"/>
          <w:sz w:val="24"/>
          <w:szCs w:val="24"/>
        </w:rPr>
        <w:t>间距。</w:t>
      </w:r>
    </w:p>
    <w:p w14:paraId="5FAF2F95">
      <w:pPr>
        <w:spacing w:line="321" w:lineRule="auto"/>
        <w:ind w:right="63" w:firstLine="492"/>
        <w:rPr>
          <w:rFonts w:ascii="宋体" w:hAnsi="宋体" w:eastAsia="宋体" w:cs="宋体"/>
          <w:sz w:val="24"/>
          <w:szCs w:val="24"/>
        </w:rPr>
      </w:pPr>
      <w:r>
        <w:rPr>
          <w:rFonts w:ascii="宋体" w:hAnsi="宋体" w:eastAsia="宋体" w:cs="宋体"/>
          <w:sz w:val="24"/>
          <w:szCs w:val="24"/>
        </w:rPr>
        <w:t>（6）、导向车道线：导向车道线即设置于路口驶入段的车行道分界线，导向方向</w:t>
      </w:r>
      <w:r>
        <w:rPr>
          <w:rFonts w:ascii="宋体" w:hAnsi="宋体" w:eastAsia="宋体" w:cs="宋体"/>
          <w:spacing w:val="-3"/>
          <w:sz w:val="24"/>
          <w:szCs w:val="24"/>
        </w:rPr>
        <w:t>固定的导向车道线为白色实线，线宽15cm，长度</w:t>
      </w:r>
      <w:r>
        <w:rPr>
          <w:rFonts w:ascii="宋体" w:hAnsi="宋体" w:eastAsia="宋体" w:cs="宋体"/>
          <w:spacing w:val="-46"/>
          <w:sz w:val="24"/>
          <w:szCs w:val="24"/>
        </w:rPr>
        <w:t xml:space="preserve"> </w:t>
      </w:r>
      <w:r>
        <w:rPr>
          <w:rFonts w:ascii="宋体" w:hAnsi="宋体" w:eastAsia="宋体" w:cs="宋体"/>
          <w:spacing w:val="-3"/>
          <w:sz w:val="24"/>
          <w:szCs w:val="24"/>
        </w:rPr>
        <w:t>50m，受条件限制情况下不小于</w:t>
      </w:r>
      <w:r>
        <w:rPr>
          <w:rFonts w:ascii="宋体" w:hAnsi="宋体" w:eastAsia="宋体" w:cs="宋体"/>
          <w:spacing w:val="-45"/>
          <w:sz w:val="24"/>
          <w:szCs w:val="24"/>
        </w:rPr>
        <w:t xml:space="preserve"> </w:t>
      </w:r>
      <w:r>
        <w:rPr>
          <w:rFonts w:ascii="宋体" w:hAnsi="宋体" w:eastAsia="宋体" w:cs="宋体"/>
          <w:spacing w:val="-3"/>
          <w:sz w:val="24"/>
          <w:szCs w:val="24"/>
        </w:rPr>
        <w:t>30m。</w:t>
      </w:r>
    </w:p>
    <w:p w14:paraId="10E523CA">
      <w:pPr>
        <w:spacing w:before="171" w:line="354" w:lineRule="auto"/>
        <w:ind w:firstLine="480" w:firstLineChars="200"/>
        <w:rPr>
          <w:rFonts w:hint="default" w:ascii="宋体" w:hAnsi="宋体" w:eastAsia="宋体" w:cs="宋体"/>
          <w:sz w:val="24"/>
          <w:szCs w:val="24"/>
          <w:lang w:val="en-US" w:eastAsia="zh-CN"/>
        </w:rPr>
      </w:pPr>
      <w:r>
        <w:rPr>
          <w:rFonts w:ascii="宋体" w:hAnsi="宋体" w:eastAsia="宋体" w:cs="宋体"/>
          <w:sz w:val="24"/>
          <w:szCs w:val="24"/>
        </w:rPr>
        <w:t>（7）、导流线：导流线主要用于过宽、不规则或者行驶条件比较复杂的交叉口，立体交叉的匝道口或其它特殊地点，应根据交叉口的地形和交通流量、流向情况进行设计。导流线一般有三种类型：单实线、V型线和斜纹线，本次方案设计主要采用斜纹线，内部填充线线宽为45cm，间隔 100cm，倾斜角为45 °。</w:t>
      </w:r>
    </w:p>
    <w:p w14:paraId="7F02AAAE">
      <w:pPr>
        <w:spacing w:before="3" w:line="308" w:lineRule="auto"/>
        <w:ind w:left="3" w:right="65" w:firstLine="488"/>
        <w:rPr>
          <w:rFonts w:ascii="宋体" w:hAnsi="宋体" w:eastAsia="宋体" w:cs="宋体"/>
          <w:sz w:val="24"/>
          <w:szCs w:val="24"/>
        </w:rPr>
      </w:pPr>
      <w:r>
        <w:rPr>
          <w:rFonts w:ascii="宋体" w:hAnsi="宋体" w:eastAsia="宋体" w:cs="宋体"/>
          <w:sz w:val="24"/>
          <w:szCs w:val="24"/>
        </w:rPr>
        <w:t>（8）、减速让行线：减速让行线设置在有利于驾驶员观察的位置。如有人行横道</w:t>
      </w:r>
      <w:r>
        <w:rPr>
          <w:rFonts w:ascii="宋体" w:hAnsi="宋体" w:eastAsia="宋体" w:cs="宋体"/>
          <w:spacing w:val="-2"/>
          <w:sz w:val="24"/>
          <w:szCs w:val="24"/>
        </w:rPr>
        <w:t>时，应距人行横道线</w:t>
      </w:r>
      <w:r>
        <w:rPr>
          <w:rFonts w:ascii="宋体" w:hAnsi="宋体" w:eastAsia="宋体" w:cs="宋体"/>
          <w:spacing w:val="-23"/>
          <w:sz w:val="24"/>
          <w:szCs w:val="24"/>
        </w:rPr>
        <w:t xml:space="preserve"> </w:t>
      </w:r>
      <w:r>
        <w:rPr>
          <w:rFonts w:ascii="宋体" w:hAnsi="宋体" w:eastAsia="宋体" w:cs="宋体"/>
          <w:spacing w:val="-2"/>
          <w:sz w:val="24"/>
          <w:szCs w:val="24"/>
        </w:rPr>
        <w:t>100</w:t>
      </w:r>
      <w:r>
        <w:rPr>
          <w:rFonts w:hint="eastAsia" w:ascii="宋体" w:hAnsi="宋体" w:eastAsia="宋体" w:cs="宋体"/>
          <w:spacing w:val="-4"/>
          <w:sz w:val="24"/>
          <w:szCs w:val="24"/>
        </w:rPr>
        <w:t>～</w:t>
      </w:r>
      <w:r>
        <w:rPr>
          <w:rFonts w:ascii="宋体" w:hAnsi="宋体" w:eastAsia="宋体" w:cs="宋体"/>
          <w:spacing w:val="-2"/>
          <w:sz w:val="24"/>
          <w:szCs w:val="24"/>
        </w:rPr>
        <w:t>300cm。减速让行线为两条白色的虚线和一个倒三角形，颜色为白色。虚线宽</w:t>
      </w:r>
      <w:r>
        <w:rPr>
          <w:rFonts w:ascii="宋体" w:hAnsi="宋体" w:eastAsia="宋体" w:cs="宋体"/>
          <w:spacing w:val="-41"/>
          <w:sz w:val="24"/>
          <w:szCs w:val="24"/>
        </w:rPr>
        <w:t xml:space="preserve"> </w:t>
      </w:r>
      <w:r>
        <w:rPr>
          <w:rFonts w:ascii="宋体" w:hAnsi="宋体" w:eastAsia="宋体" w:cs="宋体"/>
          <w:spacing w:val="-2"/>
          <w:sz w:val="24"/>
          <w:szCs w:val="24"/>
        </w:rPr>
        <w:t>20cm，两条虚线间隔</w:t>
      </w:r>
      <w:r>
        <w:rPr>
          <w:rFonts w:ascii="宋体" w:hAnsi="宋体" w:eastAsia="宋体" w:cs="宋体"/>
          <w:spacing w:val="-48"/>
          <w:sz w:val="24"/>
          <w:szCs w:val="24"/>
        </w:rPr>
        <w:t xml:space="preserve"> </w:t>
      </w:r>
      <w:r>
        <w:rPr>
          <w:rFonts w:ascii="宋体" w:hAnsi="宋体" w:eastAsia="宋体" w:cs="宋体"/>
          <w:spacing w:val="-2"/>
          <w:sz w:val="24"/>
          <w:szCs w:val="24"/>
        </w:rPr>
        <w:t>20cm。倒三角形的宽为120cm，高</w:t>
      </w:r>
      <w:r>
        <w:rPr>
          <w:rFonts w:ascii="宋体" w:hAnsi="宋体" w:eastAsia="宋体" w:cs="宋体"/>
          <w:spacing w:val="-46"/>
          <w:sz w:val="24"/>
          <w:szCs w:val="24"/>
        </w:rPr>
        <w:t xml:space="preserve"> </w:t>
      </w:r>
      <w:r>
        <w:rPr>
          <w:rFonts w:ascii="宋体" w:hAnsi="宋体" w:eastAsia="宋体" w:cs="宋体"/>
          <w:spacing w:val="-2"/>
          <w:sz w:val="24"/>
          <w:szCs w:val="24"/>
        </w:rPr>
        <w:t>300cm。</w:t>
      </w:r>
    </w:p>
    <w:p w14:paraId="39F89536">
      <w:pPr>
        <w:spacing w:before="175" w:line="309" w:lineRule="auto"/>
        <w:ind w:right="65" w:firstLine="480" w:firstLineChars="200"/>
        <w:rPr>
          <w:rFonts w:ascii="宋体" w:hAnsi="宋体" w:eastAsia="宋体" w:cs="宋体"/>
          <w:sz w:val="24"/>
          <w:szCs w:val="24"/>
        </w:rPr>
      </w:pPr>
      <w:r>
        <w:rPr>
          <w:rFonts w:ascii="宋体" w:hAnsi="宋体" w:eastAsia="宋体" w:cs="宋体"/>
          <w:sz w:val="24"/>
          <w:szCs w:val="24"/>
        </w:rPr>
        <w:t>（9）、路面图形标记：在非机动车道内施划非机动车路面标记，施划于车道起点</w:t>
      </w:r>
      <w:r>
        <w:rPr>
          <w:rFonts w:ascii="宋体" w:hAnsi="宋体" w:eastAsia="宋体" w:cs="宋体"/>
          <w:spacing w:val="-5"/>
          <w:sz w:val="24"/>
          <w:szCs w:val="24"/>
        </w:rPr>
        <w:t>或车道中，表示该车道为非机动车道，标记宽度为车道宽度的一半，并四舍五入取</w:t>
      </w:r>
      <w:r>
        <w:rPr>
          <w:rFonts w:ascii="宋体" w:hAnsi="宋体" w:eastAsia="宋体" w:cs="宋体"/>
          <w:spacing w:val="-27"/>
          <w:sz w:val="24"/>
          <w:szCs w:val="24"/>
        </w:rPr>
        <w:t xml:space="preserve"> </w:t>
      </w:r>
      <w:r>
        <w:rPr>
          <w:rFonts w:ascii="宋体" w:hAnsi="宋体" w:eastAsia="宋体" w:cs="宋体"/>
          <w:spacing w:val="-5"/>
          <w:sz w:val="24"/>
          <w:szCs w:val="24"/>
        </w:rPr>
        <w:t>10cm</w:t>
      </w:r>
      <w:r>
        <w:rPr>
          <w:rFonts w:ascii="宋体" w:hAnsi="宋体" w:eastAsia="宋体" w:cs="宋体"/>
          <w:spacing w:val="-3"/>
          <w:sz w:val="24"/>
          <w:szCs w:val="24"/>
        </w:rPr>
        <w:t>的整倍数。</w:t>
      </w:r>
    </w:p>
    <w:p w14:paraId="580DB5F8">
      <w:pPr>
        <w:spacing w:before="78" w:line="355" w:lineRule="auto"/>
        <w:ind w:firstLine="468" w:firstLineChars="200"/>
        <w:jc w:val="both"/>
        <w:rPr>
          <w:rFonts w:ascii="宋体" w:hAnsi="宋体" w:eastAsia="宋体" w:cs="宋体"/>
          <w:spacing w:val="-3"/>
          <w:sz w:val="24"/>
          <w:szCs w:val="24"/>
        </w:rPr>
      </w:pPr>
      <w:r>
        <w:rPr>
          <w:rFonts w:ascii="宋体" w:hAnsi="宋体" w:eastAsia="宋体" w:cs="宋体"/>
          <w:spacing w:val="-3"/>
          <w:sz w:val="24"/>
          <w:szCs w:val="24"/>
        </w:rPr>
        <w:t>（10）、交通标线的虚线间隔长度的确定：交通标线虚线中的实线段与间隔长度的比例与车行速度直接有关。为使交通标线达到最佳使用效果，设计中车行道边缘线为白色实线，线宽15cm；车行道分界线为白色虚线，线宽 15cm，地面道路线位2-4线（实线长2m，间距4m）。</w:t>
      </w:r>
    </w:p>
    <w:p w14:paraId="29B51BA2">
      <w:pPr>
        <w:spacing w:before="78" w:line="219" w:lineRule="auto"/>
        <w:outlineLvl w:val="1"/>
        <w:rPr>
          <w:rFonts w:ascii="宋体" w:hAnsi="宋体" w:eastAsia="宋体" w:cs="宋体"/>
          <w:sz w:val="24"/>
          <w:szCs w:val="24"/>
        </w:rPr>
      </w:pPr>
      <w:r>
        <w:rPr>
          <w:rFonts w:ascii="宋体" w:hAnsi="宋体" w:eastAsia="宋体" w:cs="宋体"/>
          <w:b/>
          <w:bCs/>
          <w:spacing w:val="-4"/>
          <w:sz w:val="24"/>
          <w:szCs w:val="24"/>
        </w:rPr>
        <w:t>4、标线材料</w:t>
      </w:r>
    </w:p>
    <w:p w14:paraId="7BDA071A">
      <w:pPr>
        <w:spacing w:before="78" w:line="355" w:lineRule="auto"/>
        <w:ind w:firstLine="480" w:firstLineChars="200"/>
        <w:jc w:val="both"/>
        <w:rPr>
          <w:rFonts w:ascii="宋体" w:hAnsi="宋体" w:eastAsia="宋体" w:cs="宋体"/>
          <w:spacing w:val="0"/>
          <w:sz w:val="24"/>
          <w:szCs w:val="24"/>
        </w:rPr>
      </w:pPr>
      <w:r>
        <w:rPr>
          <w:rFonts w:ascii="宋体" w:hAnsi="宋体" w:eastAsia="宋体" w:cs="宋体"/>
          <w:spacing w:val="0"/>
          <w:sz w:val="24"/>
          <w:szCs w:val="24"/>
        </w:rPr>
        <w:t>为了使标线在黑夜同白天有一样的清晰度，需要使用寿命长、反光效果好的材料做标线，使用的标线涂料，应具备与路面粘结力强，干燥迅速，以及良好的耐磨性、持久性、抗滑性等特点，并具有良好的视认性，宽度一致，间距相等，边缘整齐，线形规则，线形顺畅。</w:t>
      </w:r>
    </w:p>
    <w:p w14:paraId="304FC635">
      <w:pPr>
        <w:spacing w:before="151" w:line="220" w:lineRule="auto"/>
        <w:ind w:left="5"/>
        <w:outlineLvl w:val="1"/>
      </w:pPr>
      <w:r>
        <w:rPr>
          <w:rFonts w:ascii="宋体" w:hAnsi="宋体" w:eastAsia="宋体" w:cs="宋体"/>
          <w:b/>
          <w:bCs/>
          <w:spacing w:val="-4"/>
          <w:sz w:val="24"/>
          <w:szCs w:val="24"/>
        </w:rPr>
        <w:t>5、热熔技术要求</w:t>
      </w:r>
    </w:p>
    <w:p w14:paraId="60EB576C">
      <w:pPr>
        <w:spacing w:before="78" w:line="355" w:lineRule="auto"/>
        <w:ind w:firstLine="468" w:firstLineChars="200"/>
        <w:jc w:val="both"/>
        <w:rPr>
          <w:rFonts w:ascii="宋体" w:hAnsi="宋体" w:eastAsia="宋体" w:cs="宋体"/>
          <w:spacing w:val="0"/>
          <w:sz w:val="24"/>
          <w:szCs w:val="24"/>
        </w:rPr>
      </w:pPr>
      <w:r>
        <w:rPr>
          <w:rFonts w:ascii="宋体" w:hAnsi="宋体" w:eastAsia="宋体" w:cs="宋体"/>
          <w:spacing w:val="-3"/>
          <w:sz w:val="24"/>
          <w:szCs w:val="24"/>
        </w:rPr>
        <w:t>（1）、</w:t>
      </w:r>
      <w:r>
        <w:rPr>
          <w:rFonts w:ascii="宋体" w:hAnsi="宋体" w:eastAsia="宋体" w:cs="宋体"/>
          <w:spacing w:val="0"/>
          <w:sz w:val="24"/>
          <w:szCs w:val="24"/>
        </w:rPr>
        <w:t>热熔热熔型标线涂料主要成分：合成树脂在原料组成中不能低于15%-20%；可塑剂在原料组成中占2%-5%；着色原料在原料组成中占2%-10%；体质材（充填料）在原料组成中47%-66%；玻璃珠在原料组成中占15%-18%。</w:t>
      </w:r>
    </w:p>
    <w:p w14:paraId="7A00333C">
      <w:pPr>
        <w:spacing w:before="78" w:line="355" w:lineRule="auto"/>
        <w:ind w:firstLine="468" w:firstLineChars="200"/>
        <w:jc w:val="both"/>
        <w:rPr>
          <w:rFonts w:ascii="宋体" w:hAnsi="宋体" w:eastAsia="宋体" w:cs="宋体"/>
          <w:spacing w:val="-3"/>
          <w:sz w:val="24"/>
          <w:szCs w:val="24"/>
        </w:rPr>
      </w:pPr>
      <w:r>
        <w:rPr>
          <w:rFonts w:ascii="宋体" w:hAnsi="宋体" w:eastAsia="宋体" w:cs="宋体"/>
          <w:spacing w:val="-3"/>
          <w:sz w:val="24"/>
          <w:szCs w:val="24"/>
        </w:rPr>
        <w:t>（2）、施工前要对道路路面进行清洁处理。</w:t>
      </w:r>
    </w:p>
    <w:p w14:paraId="3F162CE2">
      <w:pPr>
        <w:spacing w:before="78" w:line="355" w:lineRule="auto"/>
        <w:ind w:firstLine="468" w:firstLineChars="200"/>
        <w:jc w:val="both"/>
        <w:rPr>
          <w:rFonts w:ascii="宋体" w:hAnsi="宋体" w:eastAsia="宋体" w:cs="宋体"/>
          <w:spacing w:val="-3"/>
          <w:sz w:val="24"/>
          <w:szCs w:val="24"/>
        </w:rPr>
      </w:pPr>
      <w:r>
        <w:rPr>
          <w:rFonts w:ascii="宋体" w:hAnsi="宋体" w:eastAsia="宋体" w:cs="宋体"/>
          <w:spacing w:val="-3"/>
          <w:sz w:val="24"/>
          <w:szCs w:val="24"/>
        </w:rPr>
        <w:t>（3）、施划标线前必须首先对路面涂覆底漆（下料剂），涂布量为150-200g/m2.</w:t>
      </w:r>
    </w:p>
    <w:p w14:paraId="03B571F7">
      <w:pPr>
        <w:spacing w:before="78" w:line="355" w:lineRule="auto"/>
        <w:ind w:firstLine="468" w:firstLineChars="200"/>
        <w:jc w:val="both"/>
        <w:rPr>
          <w:rFonts w:ascii="宋体" w:hAnsi="宋体" w:eastAsia="宋体" w:cs="宋体"/>
          <w:spacing w:val="-3"/>
          <w:sz w:val="24"/>
          <w:szCs w:val="24"/>
        </w:rPr>
      </w:pPr>
      <w:r>
        <w:rPr>
          <w:rFonts w:ascii="宋体" w:hAnsi="宋体" w:eastAsia="宋体" w:cs="宋体"/>
          <w:spacing w:val="-3"/>
          <w:sz w:val="24"/>
          <w:szCs w:val="24"/>
        </w:rPr>
        <w:t>（4）、标线施工图涂膜厚度不能低于1.5mm-2.5mm。</w:t>
      </w:r>
    </w:p>
    <w:p w14:paraId="00A14495">
      <w:pPr>
        <w:spacing w:before="78" w:line="355" w:lineRule="auto"/>
        <w:ind w:firstLine="468" w:firstLineChars="200"/>
        <w:jc w:val="both"/>
        <w:rPr>
          <w:rFonts w:ascii="宋体" w:hAnsi="宋体" w:eastAsia="宋体" w:cs="宋体"/>
          <w:spacing w:val="-3"/>
          <w:sz w:val="24"/>
          <w:szCs w:val="24"/>
        </w:rPr>
      </w:pPr>
      <w:r>
        <w:rPr>
          <w:rFonts w:ascii="宋体" w:hAnsi="宋体" w:eastAsia="宋体" w:cs="宋体"/>
          <w:spacing w:val="-3"/>
          <w:sz w:val="24"/>
          <w:szCs w:val="24"/>
        </w:rPr>
        <w:t>（5）、要求标线玻璃珠的涂布量为 500g/m2。</w:t>
      </w:r>
    </w:p>
    <w:p w14:paraId="52E1B769">
      <w:pPr>
        <w:spacing w:before="78" w:line="355" w:lineRule="auto"/>
        <w:ind w:firstLine="468" w:firstLineChars="200"/>
        <w:jc w:val="both"/>
        <w:rPr>
          <w:rFonts w:ascii="宋体" w:hAnsi="宋体" w:eastAsia="宋体" w:cs="宋体"/>
          <w:spacing w:val="-3"/>
          <w:sz w:val="24"/>
          <w:szCs w:val="24"/>
        </w:rPr>
      </w:pPr>
      <w:r>
        <w:rPr>
          <w:rFonts w:ascii="宋体" w:hAnsi="宋体" w:eastAsia="宋体" w:cs="宋体"/>
          <w:spacing w:val="-3"/>
          <w:sz w:val="24"/>
          <w:szCs w:val="24"/>
        </w:rPr>
        <w:t>（6）、成型标线必须符合国家质量技术标准规定，应达到色彩鲜明、厚薄均匀、边缘整齐、尺寸规范、反光效果良好。</w:t>
      </w:r>
    </w:p>
    <w:p w14:paraId="481D8195">
      <w:pPr>
        <w:spacing w:before="78" w:line="355" w:lineRule="auto"/>
        <w:ind w:firstLine="468" w:firstLineChars="200"/>
        <w:jc w:val="both"/>
        <w:rPr>
          <w:rFonts w:ascii="宋体" w:hAnsi="宋体" w:eastAsia="宋体" w:cs="宋体"/>
          <w:spacing w:val="-3"/>
          <w:sz w:val="24"/>
          <w:szCs w:val="24"/>
        </w:rPr>
      </w:pPr>
      <w:r>
        <w:rPr>
          <w:rFonts w:ascii="宋体" w:hAnsi="宋体" w:eastAsia="宋体" w:cs="宋体"/>
          <w:spacing w:val="-3"/>
          <w:sz w:val="24"/>
          <w:szCs w:val="24"/>
        </w:rPr>
        <w:t>（7）、涂膜冷凝后应无发皱、斑点、起泡、裂纹、脱落及表面无发粘等现象。</w:t>
      </w:r>
    </w:p>
    <w:p w14:paraId="5DBBAB44">
      <w:pPr>
        <w:spacing w:line="220" w:lineRule="auto"/>
        <w:rPr>
          <w:rFonts w:ascii="宋体" w:hAnsi="宋体" w:eastAsia="宋体" w:cs="宋体"/>
          <w:sz w:val="24"/>
          <w:szCs w:val="24"/>
        </w:rPr>
        <w:sectPr>
          <w:footerReference r:id="rId9" w:type="default"/>
          <w:pgSz w:w="11907" w:h="16840"/>
          <w:pgMar w:top="1431" w:right="1374" w:bottom="1139" w:left="1448" w:header="0" w:footer="903" w:gutter="0"/>
          <w:pgNumType w:fmt="numberInDash"/>
          <w:cols w:space="720" w:num="1"/>
        </w:sectPr>
      </w:pPr>
    </w:p>
    <w:p w14:paraId="104ED738">
      <w:pPr>
        <w:spacing w:before="48" w:line="220" w:lineRule="auto"/>
        <w:rPr>
          <w:rFonts w:ascii="宋体" w:hAnsi="宋体" w:eastAsia="宋体" w:cs="宋体"/>
          <w:sz w:val="24"/>
          <w:szCs w:val="24"/>
        </w:rPr>
      </w:pPr>
      <w:r>
        <w:rPr>
          <w:rFonts w:ascii="宋体" w:hAnsi="宋体" w:eastAsia="宋体" w:cs="宋体"/>
          <w:b/>
          <w:bCs/>
          <w:spacing w:val="-1"/>
          <w:sz w:val="20"/>
          <w:szCs w:val="20"/>
        </w:rPr>
        <w:t>三、</w:t>
      </w:r>
      <w:r>
        <w:rPr>
          <w:rFonts w:ascii="宋体" w:hAnsi="宋体" w:eastAsia="宋体" w:cs="宋体"/>
          <w:b/>
          <w:bCs/>
          <w:spacing w:val="-1"/>
          <w:sz w:val="24"/>
          <w:szCs w:val="24"/>
        </w:rPr>
        <w:t>入围单位管理办法</w:t>
      </w:r>
    </w:p>
    <w:p w14:paraId="425098ED">
      <w:pPr>
        <w:spacing w:before="78" w:line="331" w:lineRule="auto"/>
        <w:ind w:right="81" w:firstLine="480" w:firstLineChars="200"/>
        <w:jc w:val="both"/>
        <w:rPr>
          <w:rFonts w:ascii="宋体" w:hAnsi="宋体" w:eastAsia="宋体" w:cs="宋体"/>
          <w:spacing w:val="0"/>
          <w:sz w:val="24"/>
          <w:szCs w:val="24"/>
        </w:rPr>
      </w:pPr>
      <w:r>
        <w:rPr>
          <w:rFonts w:ascii="宋体" w:hAnsi="宋体" w:eastAsia="宋体" w:cs="宋体"/>
          <w:spacing w:val="0"/>
          <w:sz w:val="24"/>
          <w:szCs w:val="24"/>
        </w:rPr>
        <w:t>为了进一步规范交通设施维护服务单位行为，规范交通设施服务市场秩序,提高服务质量及项目管理的精确化水平,加强交通设施服务安全管理与工期管理,依据《中华人民共和国政府采购法》及有关规定，通过建立公平、公正、公开的竞争环境来有效防 控风险，保证采购质量，切实做好项目服务,同时完善和规范交通设施服务单位的有效管理和监督机制,结合我局项目管理实际情况,特制订本管理办法：</w:t>
      </w:r>
    </w:p>
    <w:p w14:paraId="5F6C363A">
      <w:pPr>
        <w:spacing w:line="219" w:lineRule="auto"/>
        <w:ind w:left="481"/>
        <w:rPr>
          <w:rFonts w:ascii="宋体" w:hAnsi="宋体" w:eastAsia="宋体" w:cs="宋体"/>
          <w:spacing w:val="0"/>
          <w:sz w:val="24"/>
          <w:szCs w:val="24"/>
        </w:rPr>
      </w:pPr>
      <w:r>
        <w:rPr>
          <w:rFonts w:ascii="宋体" w:hAnsi="宋体" w:eastAsia="宋体" w:cs="宋体"/>
          <w:spacing w:val="0"/>
          <w:sz w:val="24"/>
          <w:szCs w:val="24"/>
        </w:rPr>
        <w:t>第一条、本办法所指的服务单位指的是入围交通设施维护服务单位。</w:t>
      </w:r>
    </w:p>
    <w:p w14:paraId="2C70BDA3">
      <w:pPr>
        <w:spacing w:before="144" w:line="220" w:lineRule="auto"/>
        <w:ind w:left="481"/>
        <w:rPr>
          <w:rFonts w:ascii="宋体" w:hAnsi="宋体" w:eastAsia="宋体" w:cs="宋体"/>
          <w:spacing w:val="0"/>
          <w:sz w:val="24"/>
          <w:szCs w:val="24"/>
        </w:rPr>
      </w:pPr>
      <w:r>
        <w:rPr>
          <w:rFonts w:ascii="宋体" w:hAnsi="宋体" w:eastAsia="宋体" w:cs="宋体"/>
          <w:spacing w:val="0"/>
          <w:sz w:val="24"/>
          <w:szCs w:val="24"/>
        </w:rPr>
        <w:t>第二条、选聘的服务单位坚持公平、公开、公正和诚实守信的原则</w:t>
      </w:r>
    </w:p>
    <w:p w14:paraId="4C1D2F13">
      <w:pPr>
        <w:spacing w:before="144" w:line="294" w:lineRule="auto"/>
        <w:ind w:left="1" w:right="2" w:firstLine="480"/>
        <w:rPr>
          <w:rFonts w:ascii="宋体" w:hAnsi="宋体" w:eastAsia="宋体" w:cs="宋体"/>
          <w:spacing w:val="0"/>
          <w:sz w:val="24"/>
          <w:szCs w:val="24"/>
        </w:rPr>
      </w:pPr>
      <w:r>
        <w:rPr>
          <w:rFonts w:ascii="宋体" w:hAnsi="宋体" w:eastAsia="宋体" w:cs="宋体"/>
          <w:spacing w:val="0"/>
          <w:sz w:val="24"/>
          <w:szCs w:val="24"/>
        </w:rPr>
        <w:t>第三条、入围服务单位建立委托有资质的招标代理机构采用政府采购公开招标方式 确定，未入围的单位不得参加我局范围内交通信号灯、交通隔离护栏、交通标志、标牌等交通设施日常维护维修工作，入围服务单位的聘用期为 202</w:t>
      </w:r>
      <w:r>
        <w:rPr>
          <w:rFonts w:hint="eastAsia" w:cs="宋体"/>
          <w:spacing w:val="0"/>
          <w:sz w:val="24"/>
          <w:szCs w:val="24"/>
          <w:lang w:val="en-US" w:eastAsia="zh-CN"/>
        </w:rPr>
        <w:t>5</w:t>
      </w:r>
      <w:r>
        <w:rPr>
          <w:rFonts w:ascii="宋体" w:hAnsi="宋体" w:eastAsia="宋体" w:cs="宋体"/>
          <w:spacing w:val="0"/>
          <w:sz w:val="24"/>
          <w:szCs w:val="24"/>
        </w:rPr>
        <w:t>年 10 月至 202</w:t>
      </w:r>
      <w:r>
        <w:rPr>
          <w:rFonts w:hint="eastAsia" w:cs="宋体"/>
          <w:spacing w:val="0"/>
          <w:sz w:val="24"/>
          <w:szCs w:val="24"/>
          <w:lang w:val="en-US" w:eastAsia="zh-CN"/>
        </w:rPr>
        <w:t>6</w:t>
      </w:r>
      <w:r>
        <w:rPr>
          <w:rFonts w:ascii="宋体" w:hAnsi="宋体" w:eastAsia="宋体" w:cs="宋体"/>
          <w:spacing w:val="0"/>
          <w:sz w:val="24"/>
          <w:szCs w:val="24"/>
        </w:rPr>
        <w:t>年 9 月。</w:t>
      </w:r>
    </w:p>
    <w:p w14:paraId="5DFC79B1">
      <w:pPr>
        <w:spacing w:before="143" w:line="276" w:lineRule="auto"/>
        <w:ind w:left="1" w:right="83" w:firstLine="480"/>
        <w:rPr>
          <w:rFonts w:ascii="宋体" w:hAnsi="宋体" w:eastAsia="宋体" w:cs="宋体"/>
          <w:spacing w:val="0"/>
          <w:sz w:val="24"/>
          <w:szCs w:val="24"/>
        </w:rPr>
      </w:pPr>
      <w:r>
        <w:rPr>
          <w:rFonts w:ascii="宋体" w:hAnsi="宋体" w:eastAsia="宋体" w:cs="宋体"/>
          <w:spacing w:val="0"/>
          <w:sz w:val="24"/>
          <w:szCs w:val="24"/>
        </w:rPr>
        <w:t>第四条、入围服务单位归我局统一调配管理，根据项目具体情况，采用随机抽签分配、轮流分配确定。</w:t>
      </w:r>
    </w:p>
    <w:p w14:paraId="76C2792B">
      <w:pPr>
        <w:spacing w:before="144" w:line="303" w:lineRule="auto"/>
        <w:ind w:left="2" w:right="83" w:firstLine="490"/>
        <w:rPr>
          <w:rFonts w:ascii="宋体" w:hAnsi="宋体" w:eastAsia="宋体" w:cs="宋体"/>
          <w:spacing w:val="0"/>
          <w:sz w:val="24"/>
          <w:szCs w:val="24"/>
        </w:rPr>
      </w:pPr>
      <w:r>
        <w:rPr>
          <w:rFonts w:ascii="宋体" w:hAnsi="宋体" w:eastAsia="宋体" w:cs="宋体"/>
          <w:spacing w:val="0"/>
          <w:sz w:val="24"/>
          <w:szCs w:val="24"/>
        </w:rPr>
        <w:t>（一）抽签分配。对于一般维护项目，金额在 10 万元以上的，采用抽签方式确定交通设施维护服务单位。抽签由我局交通设施部门专人组织。被抽中的服务单位若不接受，则视为自动放弃，并在其后的半年内不予以委托交通设施维护业务；对累计两次自动放弃的服务单位，不再委托交通设施维护业务。</w:t>
      </w:r>
    </w:p>
    <w:p w14:paraId="2895D328">
      <w:pPr>
        <w:spacing w:before="142" w:line="294" w:lineRule="auto"/>
        <w:ind w:left="1" w:firstLine="491"/>
        <w:rPr>
          <w:rFonts w:ascii="宋体" w:hAnsi="宋体" w:eastAsia="宋体" w:cs="宋体"/>
          <w:spacing w:val="0"/>
          <w:sz w:val="24"/>
          <w:szCs w:val="24"/>
        </w:rPr>
      </w:pPr>
      <w:r>
        <w:rPr>
          <w:rFonts w:ascii="宋体" w:hAnsi="宋体" w:eastAsia="宋体" w:cs="宋体"/>
          <w:spacing w:val="0"/>
          <w:sz w:val="24"/>
          <w:szCs w:val="24"/>
        </w:rPr>
        <w:t>（二）轮流分配。对于一般维护项目，金额在10 万元以下的，实行轮流分配制度。 若入围服务单位不接受分配任务的，则视为自动放弃，并在其后的半年内不予以委托交 通设施维护业务；对累计两次自动放弃的服务单位，视为永久退出交通设施维护业务。</w:t>
      </w:r>
    </w:p>
    <w:p w14:paraId="1FC57399">
      <w:pPr>
        <w:spacing w:before="144" w:line="276" w:lineRule="auto"/>
        <w:ind w:left="3" w:right="83" w:firstLine="478"/>
        <w:rPr>
          <w:rFonts w:ascii="宋体" w:hAnsi="宋体" w:eastAsia="宋体" w:cs="宋体"/>
          <w:spacing w:val="0"/>
          <w:sz w:val="24"/>
          <w:szCs w:val="24"/>
        </w:rPr>
      </w:pPr>
      <w:r>
        <w:rPr>
          <w:rFonts w:ascii="宋体" w:hAnsi="宋体" w:eastAsia="宋体" w:cs="宋体"/>
          <w:spacing w:val="0"/>
          <w:sz w:val="24"/>
          <w:szCs w:val="24"/>
        </w:rPr>
        <w:t>第五条、服务单位确定后，我局交通设施部门下达任务。服务单位按照约定依法开展交通设施维护业务。</w:t>
      </w:r>
    </w:p>
    <w:p w14:paraId="7A7BDD2A">
      <w:pPr>
        <w:spacing w:before="144" w:line="220" w:lineRule="auto"/>
        <w:ind w:left="481"/>
        <w:rPr>
          <w:rFonts w:ascii="宋体" w:hAnsi="宋体" w:eastAsia="宋体" w:cs="宋体"/>
          <w:spacing w:val="0"/>
          <w:sz w:val="24"/>
          <w:szCs w:val="24"/>
        </w:rPr>
      </w:pPr>
      <w:r>
        <w:rPr>
          <w:rFonts w:ascii="宋体" w:hAnsi="宋体" w:eastAsia="宋体" w:cs="宋体"/>
          <w:spacing w:val="0"/>
          <w:sz w:val="24"/>
          <w:szCs w:val="24"/>
        </w:rPr>
        <w:t>第六条、服务单位从我局收到任务通知后，应在规定时间内完成维修任务；</w:t>
      </w:r>
    </w:p>
    <w:p w14:paraId="6E78E9D9">
      <w:pPr>
        <w:spacing w:before="144" w:line="275" w:lineRule="auto"/>
        <w:ind w:right="20" w:firstLine="492"/>
        <w:rPr>
          <w:rFonts w:ascii="宋体" w:hAnsi="宋体" w:eastAsia="宋体" w:cs="宋体"/>
          <w:spacing w:val="0"/>
          <w:sz w:val="24"/>
          <w:szCs w:val="24"/>
        </w:rPr>
      </w:pPr>
      <w:r>
        <w:rPr>
          <w:rFonts w:ascii="宋体" w:hAnsi="宋体" w:eastAsia="宋体" w:cs="宋体"/>
          <w:spacing w:val="0"/>
          <w:sz w:val="24"/>
          <w:szCs w:val="24"/>
        </w:rPr>
        <w:t>（一）金额在5万元以上，接到任务后应在1小时内做出回应，并制定出施工方案，施工图（个别项目要有）等，在规定期限内完成维修服务工作。</w:t>
      </w:r>
    </w:p>
    <w:p w14:paraId="5D0CCEB6">
      <w:pPr>
        <w:spacing w:before="144" w:line="275" w:lineRule="auto"/>
        <w:ind w:left="3" w:right="83" w:firstLine="489"/>
        <w:rPr>
          <w:rFonts w:ascii="宋体" w:hAnsi="宋体" w:eastAsia="宋体" w:cs="宋体"/>
          <w:spacing w:val="0"/>
          <w:sz w:val="24"/>
          <w:szCs w:val="24"/>
        </w:rPr>
      </w:pPr>
      <w:r>
        <w:rPr>
          <w:rFonts w:ascii="宋体" w:hAnsi="宋体" w:eastAsia="宋体" w:cs="宋体"/>
          <w:spacing w:val="0"/>
          <w:sz w:val="24"/>
          <w:szCs w:val="24"/>
        </w:rPr>
        <w:t>（二）金额在 5 万元以下的，接到任务后应在 2 小时内做出回应，并在规定期限内完成维修服务工作。</w:t>
      </w:r>
    </w:p>
    <w:p w14:paraId="59327656">
      <w:pPr>
        <w:spacing w:before="144" w:line="275" w:lineRule="auto"/>
        <w:ind w:right="20" w:firstLine="492"/>
        <w:rPr>
          <w:rFonts w:ascii="宋体" w:hAnsi="宋体" w:eastAsia="宋体" w:cs="宋体"/>
          <w:spacing w:val="0"/>
          <w:sz w:val="24"/>
          <w:szCs w:val="24"/>
        </w:rPr>
      </w:pPr>
      <w:r>
        <w:rPr>
          <w:rFonts w:ascii="宋体" w:hAnsi="宋体" w:eastAsia="宋体" w:cs="宋体"/>
          <w:spacing w:val="0"/>
          <w:sz w:val="24"/>
          <w:szCs w:val="24"/>
        </w:rPr>
        <w:t>（三）工艺复杂的特大项目或者因特殊情况确需延长时间才能完成维修服务工作 的，应当经我局批准，并告知服务单位延长时间的理由，延长时间最长不得超过30日。对未经许可逾期完工的服务单位，提出批评或警告。</w:t>
      </w:r>
    </w:p>
    <w:p w14:paraId="745F60D3">
      <w:pPr>
        <w:spacing w:before="144" w:line="275" w:lineRule="auto"/>
        <w:ind w:right="20" w:firstLine="492"/>
        <w:rPr>
          <w:rFonts w:ascii="宋体" w:hAnsi="宋体" w:eastAsia="宋体" w:cs="宋体"/>
          <w:spacing w:val="0"/>
          <w:sz w:val="24"/>
          <w:szCs w:val="24"/>
        </w:rPr>
        <w:sectPr>
          <w:footerReference r:id="rId10" w:type="default"/>
          <w:pgSz w:w="11907" w:h="16840"/>
          <w:pgMar w:top="1429" w:right="1357" w:bottom="1139" w:left="1448" w:header="0" w:footer="903" w:gutter="0"/>
          <w:pgNumType w:fmt="numberInDash"/>
          <w:cols w:space="720" w:num="1"/>
        </w:sectPr>
      </w:pPr>
    </w:p>
    <w:p w14:paraId="3C55F1DB">
      <w:pPr>
        <w:spacing w:before="146" w:line="220" w:lineRule="auto"/>
        <w:ind w:left="480"/>
        <w:rPr>
          <w:rFonts w:ascii="宋体" w:hAnsi="宋体" w:eastAsia="宋体" w:cs="宋体"/>
          <w:spacing w:val="0"/>
          <w:sz w:val="24"/>
          <w:szCs w:val="24"/>
        </w:rPr>
      </w:pPr>
      <w:r>
        <w:rPr>
          <w:rFonts w:ascii="宋体" w:hAnsi="宋体" w:eastAsia="宋体" w:cs="宋体"/>
          <w:spacing w:val="0"/>
          <w:sz w:val="24"/>
          <w:szCs w:val="24"/>
        </w:rPr>
        <w:t>根据我局安排，紧急工程或特殊情况，维修服务工作时间以实际为准。</w:t>
      </w:r>
    </w:p>
    <w:p w14:paraId="59FD5ADD">
      <w:pPr>
        <w:spacing w:before="143" w:line="220" w:lineRule="auto"/>
        <w:ind w:left="480"/>
        <w:rPr>
          <w:rFonts w:ascii="宋体" w:hAnsi="宋体" w:eastAsia="宋体" w:cs="宋体"/>
          <w:spacing w:val="0"/>
          <w:sz w:val="24"/>
          <w:szCs w:val="24"/>
        </w:rPr>
      </w:pPr>
      <w:r>
        <w:rPr>
          <w:rFonts w:ascii="宋体" w:hAnsi="宋体" w:eastAsia="宋体" w:cs="宋体"/>
          <w:spacing w:val="0"/>
          <w:sz w:val="24"/>
          <w:szCs w:val="24"/>
        </w:rPr>
        <w:t>第七条、服务单位应该按照以下要求开展维修服务工作；</w:t>
      </w:r>
    </w:p>
    <w:p w14:paraId="65C16FD0">
      <w:pPr>
        <w:spacing w:before="147" w:line="330" w:lineRule="auto"/>
        <w:ind w:right="34" w:firstLine="479"/>
        <w:rPr>
          <w:rFonts w:ascii="宋体" w:hAnsi="宋体" w:eastAsia="宋体" w:cs="宋体"/>
          <w:spacing w:val="0"/>
          <w:sz w:val="24"/>
          <w:szCs w:val="24"/>
        </w:rPr>
      </w:pPr>
      <w:r>
        <w:rPr>
          <w:rFonts w:ascii="宋体" w:hAnsi="宋体" w:eastAsia="宋体" w:cs="宋体"/>
          <w:spacing w:val="0"/>
          <w:sz w:val="24"/>
          <w:szCs w:val="24"/>
        </w:rPr>
        <w:t>遵循独立、客观、公正的原则，组织专业人员，依照行业规范，依法依规开展维修服务工作，接受我局的监督管理，对维修服务的质量负责。</w:t>
      </w:r>
    </w:p>
    <w:p w14:paraId="77F7DBBE">
      <w:pPr>
        <w:spacing w:before="1" w:line="330" w:lineRule="auto"/>
        <w:ind w:left="19" w:right="37" w:firstLine="460"/>
        <w:rPr>
          <w:rFonts w:ascii="宋体" w:hAnsi="宋体" w:eastAsia="宋体" w:cs="宋体"/>
          <w:spacing w:val="0"/>
          <w:sz w:val="24"/>
          <w:szCs w:val="24"/>
        </w:rPr>
      </w:pPr>
      <w:r>
        <w:rPr>
          <w:rFonts w:ascii="宋体" w:hAnsi="宋体" w:eastAsia="宋体" w:cs="宋体"/>
          <w:spacing w:val="0"/>
          <w:sz w:val="24"/>
          <w:szCs w:val="24"/>
        </w:rPr>
        <w:t>做好充分的准备，了解维修项目的基本情况，针对项目的基本情况，做出确实可行的处理方案。</w:t>
      </w:r>
    </w:p>
    <w:p w14:paraId="3FA858F8">
      <w:pPr>
        <w:spacing w:before="1" w:line="331" w:lineRule="auto"/>
        <w:ind w:left="27" w:right="37" w:firstLine="451"/>
        <w:rPr>
          <w:rFonts w:ascii="宋体" w:hAnsi="宋体" w:eastAsia="宋体" w:cs="宋体"/>
          <w:spacing w:val="0"/>
          <w:sz w:val="24"/>
          <w:szCs w:val="24"/>
        </w:rPr>
      </w:pPr>
      <w:r>
        <w:rPr>
          <w:rFonts w:ascii="宋体" w:hAnsi="宋体" w:eastAsia="宋体" w:cs="宋体"/>
          <w:spacing w:val="0"/>
          <w:sz w:val="24"/>
          <w:szCs w:val="24"/>
        </w:rPr>
        <w:t>在进行维修服务工作时，应当制定和运用质量控制办法，建立规范的维修队伍，并以适当的方式将质量控制办法传达到所有人员。</w:t>
      </w:r>
    </w:p>
    <w:p w14:paraId="611BEAF2">
      <w:pPr>
        <w:spacing w:line="218" w:lineRule="auto"/>
        <w:ind w:left="479"/>
        <w:rPr>
          <w:rFonts w:ascii="宋体" w:hAnsi="宋体" w:eastAsia="宋体" w:cs="宋体"/>
          <w:spacing w:val="0"/>
          <w:sz w:val="24"/>
          <w:szCs w:val="24"/>
        </w:rPr>
      </w:pPr>
      <w:r>
        <w:rPr>
          <w:rFonts w:ascii="宋体" w:hAnsi="宋体" w:eastAsia="宋体" w:cs="宋体"/>
          <w:spacing w:val="0"/>
          <w:sz w:val="24"/>
          <w:szCs w:val="24"/>
        </w:rPr>
        <w:t>在进行维修服务工作时遇到重大问题应及时以书面形式向我局报告。</w:t>
      </w:r>
    </w:p>
    <w:p w14:paraId="6DF70AA5">
      <w:pPr>
        <w:spacing w:before="147" w:line="330" w:lineRule="auto"/>
        <w:ind w:firstLine="479"/>
        <w:rPr>
          <w:rFonts w:ascii="宋体" w:hAnsi="宋体" w:eastAsia="宋体" w:cs="宋体"/>
          <w:spacing w:val="0"/>
          <w:sz w:val="24"/>
          <w:szCs w:val="24"/>
        </w:rPr>
      </w:pPr>
      <w:r>
        <w:rPr>
          <w:rFonts w:ascii="宋体" w:hAnsi="宋体" w:eastAsia="宋体" w:cs="宋体"/>
          <w:spacing w:val="0"/>
          <w:sz w:val="24"/>
          <w:szCs w:val="24"/>
        </w:rPr>
        <w:t>在规定时间内向我局出具完成任务告知书，若不能在规定时间内完成维修任务的， 应及时向我局报告，并说明原因。</w:t>
      </w:r>
    </w:p>
    <w:p w14:paraId="5511DDFD">
      <w:pPr>
        <w:spacing w:line="220" w:lineRule="auto"/>
        <w:ind w:left="480"/>
        <w:rPr>
          <w:rFonts w:ascii="宋体" w:hAnsi="宋体" w:eastAsia="宋体" w:cs="宋体"/>
          <w:spacing w:val="0"/>
          <w:sz w:val="24"/>
          <w:szCs w:val="24"/>
        </w:rPr>
      </w:pPr>
      <w:r>
        <w:rPr>
          <w:rFonts w:ascii="宋体" w:hAnsi="宋体" w:eastAsia="宋体" w:cs="宋体"/>
          <w:spacing w:val="0"/>
          <w:sz w:val="24"/>
          <w:szCs w:val="24"/>
        </w:rPr>
        <w:t>第八条、对参与维修服务的单位，实行按季度考核；</w:t>
      </w:r>
    </w:p>
    <w:p w14:paraId="30BA8BAC">
      <w:pPr>
        <w:spacing w:before="141" w:line="309" w:lineRule="auto"/>
        <w:ind w:right="36" w:firstLine="491"/>
        <w:rPr>
          <w:rFonts w:ascii="宋体" w:hAnsi="宋体" w:eastAsia="宋体" w:cs="宋体"/>
          <w:spacing w:val="0"/>
          <w:sz w:val="24"/>
          <w:szCs w:val="24"/>
        </w:rPr>
      </w:pPr>
      <w:r>
        <w:rPr>
          <w:rFonts w:ascii="宋体" w:hAnsi="宋体" w:eastAsia="宋体" w:cs="宋体"/>
          <w:spacing w:val="0"/>
          <w:sz w:val="24"/>
          <w:szCs w:val="24"/>
        </w:rPr>
        <w:t>（一）每季度，我局交通设施部门组织人员对接受服务单位进行绩效考核。对服务单位绩效考核实行百分制。百分制采用定时、定量与定性考核相结合的办法，满分100分，按服务单位季度考核分排序，对每季度排名靠前的单位进行表彰，可在下个季度增加维修项目工作。对连续 3 个季度，排名都在最后的服务单位，取消服务期限内以后的维修服务资格。（后附季度考核表）</w:t>
      </w:r>
    </w:p>
    <w:p w14:paraId="5A784E92">
      <w:pPr>
        <w:spacing w:before="144" w:line="220" w:lineRule="auto"/>
        <w:ind w:left="491"/>
        <w:rPr>
          <w:rFonts w:ascii="宋体" w:hAnsi="宋体" w:eastAsia="宋体" w:cs="宋体"/>
          <w:spacing w:val="0"/>
          <w:sz w:val="24"/>
          <w:szCs w:val="24"/>
        </w:rPr>
      </w:pPr>
      <w:r>
        <w:rPr>
          <w:rFonts w:ascii="宋体" w:hAnsi="宋体" w:eastAsia="宋体" w:cs="宋体"/>
          <w:spacing w:val="0"/>
          <w:sz w:val="24"/>
          <w:szCs w:val="24"/>
        </w:rPr>
        <w:t>（二）服务单位有下列情况之一的，实行一票否决制。</w:t>
      </w:r>
    </w:p>
    <w:p w14:paraId="474048AF">
      <w:pPr>
        <w:spacing w:before="144" w:line="219" w:lineRule="auto"/>
        <w:ind w:left="497"/>
        <w:rPr>
          <w:rFonts w:ascii="宋体" w:hAnsi="宋体" w:eastAsia="宋体" w:cs="宋体"/>
          <w:spacing w:val="0"/>
          <w:sz w:val="24"/>
          <w:szCs w:val="24"/>
        </w:rPr>
      </w:pPr>
      <w:r>
        <w:rPr>
          <w:rFonts w:ascii="宋体" w:hAnsi="宋体" w:eastAsia="宋体" w:cs="宋体"/>
          <w:spacing w:val="0"/>
          <w:sz w:val="24"/>
          <w:szCs w:val="24"/>
        </w:rPr>
        <w:t>1、与相关人员串通，弄虚作假的。</w:t>
      </w:r>
    </w:p>
    <w:p w14:paraId="7825627A">
      <w:pPr>
        <w:spacing w:before="145" w:line="220" w:lineRule="auto"/>
        <w:ind w:left="482"/>
        <w:rPr>
          <w:rFonts w:ascii="宋体" w:hAnsi="宋体" w:eastAsia="宋体" w:cs="宋体"/>
          <w:spacing w:val="0"/>
          <w:sz w:val="24"/>
          <w:szCs w:val="24"/>
        </w:rPr>
      </w:pPr>
      <w:r>
        <w:rPr>
          <w:rFonts w:ascii="宋体" w:hAnsi="宋体" w:eastAsia="宋体" w:cs="宋体"/>
          <w:spacing w:val="0"/>
          <w:sz w:val="24"/>
          <w:szCs w:val="24"/>
        </w:rPr>
        <w:t>2、故意拖延维修时间，造成恶劣影响的。</w:t>
      </w:r>
    </w:p>
    <w:p w14:paraId="4E8F2B76">
      <w:pPr>
        <w:spacing w:before="146" w:line="220" w:lineRule="auto"/>
        <w:ind w:left="484"/>
        <w:rPr>
          <w:rFonts w:ascii="宋体" w:hAnsi="宋体" w:eastAsia="宋体" w:cs="宋体"/>
          <w:spacing w:val="0"/>
          <w:sz w:val="24"/>
          <w:szCs w:val="24"/>
        </w:rPr>
      </w:pPr>
      <w:r>
        <w:rPr>
          <w:rFonts w:ascii="宋体" w:hAnsi="宋体" w:eastAsia="宋体" w:cs="宋体"/>
          <w:spacing w:val="0"/>
          <w:sz w:val="24"/>
          <w:szCs w:val="24"/>
        </w:rPr>
        <w:t>3、未按国家相关标准及要求进行进行维修工作，造成事故的。</w:t>
      </w:r>
    </w:p>
    <w:p w14:paraId="7EC8F03C">
      <w:pPr>
        <w:spacing w:before="143" w:line="220" w:lineRule="auto"/>
        <w:ind w:left="479"/>
        <w:rPr>
          <w:rFonts w:ascii="宋体" w:hAnsi="宋体" w:eastAsia="宋体" w:cs="宋体"/>
          <w:spacing w:val="0"/>
          <w:sz w:val="24"/>
          <w:szCs w:val="24"/>
        </w:rPr>
      </w:pPr>
      <w:r>
        <w:rPr>
          <w:rFonts w:ascii="宋体" w:hAnsi="宋体" w:eastAsia="宋体" w:cs="宋体"/>
          <w:spacing w:val="0"/>
          <w:sz w:val="24"/>
          <w:szCs w:val="24"/>
        </w:rPr>
        <w:t>4、维修服务质量达不到要求，且不按要求进行整改的。</w:t>
      </w:r>
    </w:p>
    <w:p w14:paraId="739B1976">
      <w:pPr>
        <w:spacing w:before="144" w:line="220" w:lineRule="auto"/>
        <w:ind w:left="483"/>
        <w:rPr>
          <w:rFonts w:ascii="宋体" w:hAnsi="宋体" w:eastAsia="宋体" w:cs="宋体"/>
          <w:spacing w:val="0"/>
          <w:sz w:val="24"/>
          <w:szCs w:val="24"/>
        </w:rPr>
      </w:pPr>
      <w:r>
        <w:rPr>
          <w:rFonts w:ascii="宋体" w:hAnsi="宋体" w:eastAsia="宋体" w:cs="宋体"/>
          <w:spacing w:val="0"/>
          <w:sz w:val="24"/>
          <w:szCs w:val="24"/>
        </w:rPr>
        <w:t>一票否决的服务单位，不再参加季度绩效考核，且不得参加维护工作。</w:t>
      </w:r>
    </w:p>
    <w:p w14:paraId="25EA73CF">
      <w:pPr>
        <w:spacing w:before="145" w:line="330" w:lineRule="auto"/>
        <w:ind w:right="37" w:firstLine="479"/>
        <w:rPr>
          <w:rFonts w:ascii="宋体" w:hAnsi="宋体" w:eastAsia="宋体" w:cs="宋体"/>
          <w:spacing w:val="0"/>
          <w:sz w:val="24"/>
          <w:szCs w:val="24"/>
        </w:rPr>
      </w:pPr>
      <w:r>
        <w:rPr>
          <w:rFonts w:ascii="宋体" w:hAnsi="宋体" w:eastAsia="宋体" w:cs="宋体"/>
          <w:spacing w:val="0"/>
          <w:sz w:val="24"/>
          <w:szCs w:val="24"/>
        </w:rPr>
        <w:t>服务单位维修服务质量达不到要求，或者出现严重差错、或者未按规定时间，且没有书面说明或者理由不充分的，我局将相应扣减维修费用。</w:t>
      </w:r>
    </w:p>
    <w:p w14:paraId="1324E6CA">
      <w:pPr>
        <w:spacing w:line="218" w:lineRule="auto"/>
        <w:ind w:left="497"/>
        <w:rPr>
          <w:rFonts w:ascii="宋体" w:hAnsi="宋体" w:eastAsia="宋体" w:cs="宋体"/>
          <w:spacing w:val="0"/>
          <w:sz w:val="24"/>
          <w:szCs w:val="24"/>
        </w:rPr>
      </w:pPr>
      <w:r>
        <w:rPr>
          <w:rFonts w:ascii="宋体" w:hAnsi="宋体" w:eastAsia="宋体" w:cs="宋体"/>
          <w:spacing w:val="0"/>
          <w:sz w:val="24"/>
          <w:szCs w:val="24"/>
        </w:rPr>
        <w:t>1、服务质量达不到，一次警告，二次扣减维修费的2%。</w:t>
      </w:r>
    </w:p>
    <w:p w14:paraId="3CD2DFDF">
      <w:pPr>
        <w:spacing w:before="148" w:line="220" w:lineRule="auto"/>
        <w:ind w:left="482"/>
        <w:rPr>
          <w:rFonts w:ascii="宋体" w:hAnsi="宋体" w:eastAsia="宋体" w:cs="宋体"/>
          <w:spacing w:val="0"/>
          <w:sz w:val="24"/>
          <w:szCs w:val="24"/>
        </w:rPr>
      </w:pPr>
      <w:r>
        <w:rPr>
          <w:rFonts w:ascii="宋体" w:hAnsi="宋体" w:eastAsia="宋体" w:cs="宋体"/>
          <w:spacing w:val="0"/>
          <w:sz w:val="24"/>
          <w:szCs w:val="24"/>
        </w:rPr>
        <w:t>2、出现严重差错，扣减维修费的2%。</w:t>
      </w:r>
    </w:p>
    <w:p w14:paraId="539EC0F7">
      <w:pPr>
        <w:spacing w:before="144" w:line="219" w:lineRule="auto"/>
        <w:ind w:right="3"/>
        <w:jc w:val="center"/>
        <w:rPr>
          <w:rFonts w:ascii="宋体" w:hAnsi="宋体" w:eastAsia="宋体" w:cs="宋体"/>
          <w:spacing w:val="0"/>
          <w:sz w:val="24"/>
          <w:szCs w:val="24"/>
        </w:rPr>
      </w:pPr>
      <w:r>
        <w:rPr>
          <w:rFonts w:hint="eastAsia" w:cs="宋体"/>
          <w:spacing w:val="0"/>
          <w:sz w:val="24"/>
          <w:szCs w:val="24"/>
          <w:lang w:val="en-US" w:eastAsia="zh-CN"/>
        </w:rPr>
        <w:t xml:space="preserve">   </w:t>
      </w:r>
      <w:r>
        <w:rPr>
          <w:rFonts w:ascii="宋体" w:hAnsi="宋体" w:eastAsia="宋体" w:cs="宋体"/>
          <w:spacing w:val="0"/>
          <w:sz w:val="24"/>
          <w:szCs w:val="24"/>
        </w:rPr>
        <w:t>3、未按规定时间完工的，且没有书面说明或者理由不充分的，扣减维修费的 1%。</w:t>
      </w:r>
    </w:p>
    <w:p w14:paraId="4E685C9D">
      <w:pPr>
        <w:spacing w:before="146" w:line="330" w:lineRule="auto"/>
        <w:ind w:right="34" w:firstLine="479"/>
        <w:jc w:val="both"/>
        <w:rPr>
          <w:rFonts w:ascii="宋体" w:hAnsi="宋体" w:eastAsia="宋体" w:cs="宋体"/>
          <w:spacing w:val="0"/>
          <w:sz w:val="24"/>
          <w:szCs w:val="24"/>
        </w:rPr>
      </w:pPr>
      <w:r>
        <w:rPr>
          <w:rFonts w:ascii="宋体" w:hAnsi="宋体" w:eastAsia="宋体" w:cs="宋体"/>
          <w:spacing w:val="0"/>
          <w:sz w:val="24"/>
          <w:szCs w:val="24"/>
        </w:rPr>
        <w:t>对于不服从调配管理的服务单位和未按要求进行，保质、保量、保时完成维护工作的，除一票否决外，我局将不支付维修费用，终止期服务工作的资格，情节严重的，将追究其法律责任。</w:t>
      </w:r>
    </w:p>
    <w:p w14:paraId="41A60C1C">
      <w:pPr>
        <w:spacing w:before="1" w:line="219" w:lineRule="auto"/>
        <w:ind w:left="480"/>
        <w:rPr>
          <w:rFonts w:hint="eastAsia" w:ascii="宋体" w:hAnsi="宋体" w:eastAsia="宋体" w:cs="宋体"/>
          <w:spacing w:val="0"/>
          <w:sz w:val="24"/>
          <w:szCs w:val="24"/>
          <w:lang w:eastAsia="zh-CN"/>
        </w:rPr>
        <w:sectPr>
          <w:footerReference r:id="rId11" w:type="default"/>
          <w:pgSz w:w="11907" w:h="16840"/>
          <w:pgMar w:top="1431" w:right="1403" w:bottom="1139" w:left="1449" w:header="0" w:footer="903" w:gutter="0"/>
          <w:pgNumType w:fmt="numberInDash"/>
          <w:cols w:space="720" w:num="1"/>
        </w:sectPr>
      </w:pPr>
      <w:r>
        <w:rPr>
          <w:rFonts w:ascii="宋体" w:hAnsi="宋体" w:eastAsia="宋体" w:cs="宋体"/>
          <w:spacing w:val="0"/>
          <w:sz w:val="24"/>
          <w:szCs w:val="24"/>
        </w:rPr>
        <w:t>第九条、本办法自发布之日起实施</w:t>
      </w:r>
      <w:r>
        <w:rPr>
          <w:rFonts w:hint="eastAsia" w:cs="宋体"/>
          <w:spacing w:val="0"/>
          <w:sz w:val="24"/>
          <w:szCs w:val="24"/>
          <w:lang w:eastAsia="zh-CN"/>
        </w:rPr>
        <w:t>。</w:t>
      </w:r>
    </w:p>
    <w:p w14:paraId="1D187032">
      <w:pPr>
        <w:pStyle w:val="12"/>
        <w:tabs>
          <w:tab w:val="left" w:pos="5829"/>
        </w:tabs>
        <w:spacing w:line="300" w:lineRule="auto"/>
        <w:rPr>
          <w:rFonts w:hint="eastAsia" w:eastAsia="宋体"/>
          <w:lang w:eastAsia="zh-CN"/>
        </w:rPr>
      </w:pPr>
      <w:r>
        <w:rPr>
          <w:rFonts w:hint="eastAsia"/>
          <w:lang w:eastAsia="zh-CN"/>
        </w:rPr>
        <w:tab/>
      </w:r>
    </w:p>
    <w:p w14:paraId="3A4FED54">
      <w:pPr>
        <w:spacing w:before="78" w:line="219" w:lineRule="auto"/>
        <w:ind w:left="600"/>
        <w:rPr>
          <w:rFonts w:ascii="宋体" w:hAnsi="宋体" w:eastAsia="宋体" w:cs="宋体"/>
          <w:sz w:val="24"/>
          <w:szCs w:val="24"/>
        </w:rPr>
      </w:pPr>
      <w:r>
        <w:rPr>
          <w:rFonts w:ascii="宋体" w:hAnsi="宋体" w:eastAsia="宋体" w:cs="宋体"/>
          <w:spacing w:val="-10"/>
          <w:sz w:val="24"/>
          <w:szCs w:val="24"/>
        </w:rPr>
        <w:t>附</w:t>
      </w:r>
      <w:r>
        <w:rPr>
          <w:rFonts w:hint="eastAsia" w:cs="宋体"/>
          <w:spacing w:val="-10"/>
          <w:sz w:val="24"/>
          <w:szCs w:val="24"/>
          <w:lang w:val="en-US" w:eastAsia="zh-CN"/>
        </w:rPr>
        <w:t xml:space="preserve"> </w:t>
      </w:r>
      <w:r>
        <w:rPr>
          <w:rFonts w:ascii="宋体" w:hAnsi="宋体" w:eastAsia="宋体" w:cs="宋体"/>
          <w:spacing w:val="-10"/>
          <w:sz w:val="24"/>
          <w:szCs w:val="24"/>
        </w:rPr>
        <w:t>件：</w:t>
      </w:r>
    </w:p>
    <w:p w14:paraId="4464392E">
      <w:pPr>
        <w:spacing w:before="78" w:line="220" w:lineRule="auto"/>
        <w:ind w:left="4255"/>
        <w:rPr>
          <w:rFonts w:ascii="宋体" w:hAnsi="宋体" w:eastAsia="宋体" w:cs="宋体"/>
          <w:b/>
          <w:bCs/>
          <w:sz w:val="24"/>
          <w:szCs w:val="24"/>
        </w:rPr>
      </w:pPr>
      <w:r>
        <w:rPr>
          <w:rFonts w:ascii="宋体" w:hAnsi="宋体" w:eastAsia="宋体" w:cs="宋体"/>
          <w:b/>
          <w:bCs/>
          <w:spacing w:val="-3"/>
          <w:sz w:val="24"/>
          <w:szCs w:val="24"/>
        </w:rPr>
        <w:t>季度考核表</w:t>
      </w:r>
    </w:p>
    <w:p w14:paraId="023E9E28">
      <w:pPr>
        <w:spacing w:before="7"/>
      </w:pPr>
    </w:p>
    <w:tbl>
      <w:tblPr>
        <w:tblStyle w:val="47"/>
        <w:tblW w:w="92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1"/>
        <w:gridCol w:w="5460"/>
        <w:gridCol w:w="990"/>
        <w:gridCol w:w="735"/>
        <w:gridCol w:w="658"/>
      </w:tblGrid>
      <w:tr w14:paraId="14A73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5" w:hRule="atLeast"/>
        </w:trPr>
        <w:tc>
          <w:tcPr>
            <w:tcW w:w="9204" w:type="dxa"/>
            <w:gridSpan w:val="5"/>
            <w:vAlign w:val="top"/>
          </w:tcPr>
          <w:p w14:paraId="3331F377">
            <w:pPr>
              <w:spacing w:before="145" w:line="220" w:lineRule="auto"/>
              <w:jc w:val="left"/>
              <w:rPr>
                <w:rFonts w:ascii="宋体" w:hAnsi="宋体" w:eastAsia="宋体" w:cs="宋体"/>
                <w:spacing w:val="-1"/>
                <w:sz w:val="24"/>
                <w:szCs w:val="24"/>
                <w:lang w:val="en-US" w:eastAsia="zh-CN"/>
              </w:rPr>
            </w:pPr>
            <w:r>
              <w:rPr>
                <w:rFonts w:ascii="宋体" w:hAnsi="宋体" w:eastAsia="宋体" w:cs="宋体"/>
                <w:spacing w:val="-1"/>
                <w:sz w:val="24"/>
                <w:szCs w:val="24"/>
              </w:rPr>
              <w:t>项目</w:t>
            </w:r>
            <w:r>
              <w:rPr>
                <w:rFonts w:ascii="宋体" w:hAnsi="宋体" w:eastAsia="宋体" w:cs="宋体"/>
                <w:spacing w:val="-1"/>
                <w:sz w:val="24"/>
                <w:szCs w:val="24"/>
                <w:lang w:val="en-US" w:eastAsia="zh-CN"/>
              </w:rPr>
              <w:t>名称</w:t>
            </w:r>
          </w:p>
          <w:p w14:paraId="0F7EEBFF">
            <w:pPr>
              <w:spacing w:before="145" w:line="220" w:lineRule="auto"/>
              <w:jc w:val="left"/>
              <w:rPr>
                <w:rFonts w:ascii="宋体" w:hAnsi="宋体" w:eastAsia="宋体" w:cs="宋体"/>
                <w:spacing w:val="-1"/>
                <w:sz w:val="24"/>
                <w:szCs w:val="24"/>
              </w:rPr>
            </w:pPr>
            <w:r>
              <w:rPr>
                <w:rFonts w:ascii="宋体" w:hAnsi="宋体" w:eastAsia="宋体" w:cs="宋体"/>
                <w:spacing w:val="-1"/>
                <w:sz w:val="24"/>
                <w:szCs w:val="24"/>
                <w:lang w:val="en-US" w:eastAsia="zh-CN"/>
              </w:rPr>
              <w:t>服务单位：</w:t>
            </w:r>
          </w:p>
        </w:tc>
      </w:tr>
      <w:tr w14:paraId="1F907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1361" w:type="dxa"/>
            <w:vAlign w:val="center"/>
          </w:tcPr>
          <w:p w14:paraId="315871A6">
            <w:pPr>
              <w:spacing w:before="145" w:line="220" w:lineRule="auto"/>
              <w:ind w:firstLine="238" w:firstLineChars="100"/>
              <w:jc w:val="both"/>
              <w:rPr>
                <w:rFonts w:ascii="宋体" w:hAnsi="宋体" w:eastAsia="宋体" w:cs="宋体"/>
                <w:spacing w:val="-1"/>
                <w:sz w:val="24"/>
                <w:szCs w:val="24"/>
              </w:rPr>
            </w:pPr>
            <w:r>
              <w:rPr>
                <w:rFonts w:ascii="宋体" w:hAnsi="宋体" w:eastAsia="宋体" w:cs="宋体"/>
                <w:spacing w:val="-1"/>
                <w:sz w:val="24"/>
                <w:szCs w:val="24"/>
              </w:rPr>
              <w:t>考核内容</w:t>
            </w:r>
          </w:p>
        </w:tc>
        <w:tc>
          <w:tcPr>
            <w:tcW w:w="5460" w:type="dxa"/>
            <w:vAlign w:val="center"/>
          </w:tcPr>
          <w:p w14:paraId="64CD1C17">
            <w:pPr>
              <w:spacing w:before="145" w:line="220" w:lineRule="auto"/>
              <w:ind w:left="482"/>
              <w:jc w:val="center"/>
              <w:rPr>
                <w:rFonts w:ascii="宋体" w:hAnsi="宋体" w:eastAsia="宋体" w:cs="宋体"/>
                <w:spacing w:val="-1"/>
                <w:sz w:val="24"/>
                <w:szCs w:val="24"/>
              </w:rPr>
            </w:pPr>
            <w:r>
              <w:rPr>
                <w:rFonts w:ascii="宋体" w:hAnsi="宋体" w:eastAsia="宋体" w:cs="宋体"/>
                <w:spacing w:val="-1"/>
                <w:sz w:val="24"/>
                <w:szCs w:val="24"/>
              </w:rPr>
              <w:t>评分标准</w:t>
            </w:r>
          </w:p>
        </w:tc>
        <w:tc>
          <w:tcPr>
            <w:tcW w:w="990" w:type="dxa"/>
            <w:vAlign w:val="center"/>
          </w:tcPr>
          <w:p w14:paraId="0B9C2BC9">
            <w:pPr>
              <w:spacing w:before="145" w:line="220" w:lineRule="auto"/>
              <w:ind w:firstLine="238" w:firstLineChars="100"/>
              <w:jc w:val="both"/>
              <w:rPr>
                <w:rFonts w:ascii="宋体" w:hAnsi="宋体" w:eastAsia="宋体" w:cs="宋体"/>
                <w:spacing w:val="-1"/>
                <w:sz w:val="24"/>
                <w:szCs w:val="24"/>
              </w:rPr>
            </w:pPr>
            <w:r>
              <w:rPr>
                <w:rFonts w:ascii="宋体" w:hAnsi="宋体" w:eastAsia="宋体" w:cs="宋体"/>
                <w:spacing w:val="-1"/>
                <w:sz w:val="24"/>
                <w:szCs w:val="24"/>
              </w:rPr>
              <w:t>分值</w:t>
            </w:r>
          </w:p>
        </w:tc>
        <w:tc>
          <w:tcPr>
            <w:tcW w:w="735" w:type="dxa"/>
            <w:vAlign w:val="center"/>
          </w:tcPr>
          <w:p w14:paraId="07D460D7">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评分</w:t>
            </w:r>
          </w:p>
        </w:tc>
        <w:tc>
          <w:tcPr>
            <w:tcW w:w="658" w:type="dxa"/>
            <w:vAlign w:val="center"/>
          </w:tcPr>
          <w:p w14:paraId="1E1587E9">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备注</w:t>
            </w:r>
          </w:p>
        </w:tc>
      </w:tr>
      <w:tr w14:paraId="06452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1361" w:type="dxa"/>
            <w:vAlign w:val="center"/>
          </w:tcPr>
          <w:p w14:paraId="5FF7997A">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响应时间</w:t>
            </w:r>
          </w:p>
        </w:tc>
        <w:tc>
          <w:tcPr>
            <w:tcW w:w="5460" w:type="dxa"/>
            <w:vAlign w:val="center"/>
          </w:tcPr>
          <w:p w14:paraId="10754E09">
            <w:pPr>
              <w:spacing w:before="145" w:line="220" w:lineRule="auto"/>
              <w:jc w:val="left"/>
              <w:rPr>
                <w:rFonts w:ascii="宋体" w:hAnsi="宋体" w:eastAsia="宋体" w:cs="宋体"/>
                <w:spacing w:val="-1"/>
                <w:sz w:val="24"/>
                <w:szCs w:val="24"/>
              </w:rPr>
            </w:pPr>
            <w:r>
              <w:rPr>
                <w:rFonts w:ascii="宋体" w:hAnsi="宋体" w:eastAsia="宋体" w:cs="宋体"/>
                <w:spacing w:val="-1"/>
                <w:sz w:val="24"/>
                <w:szCs w:val="24"/>
              </w:rPr>
              <w:t>接到任务下达时，在1-2小时做出响应的得20分，超出1小时扣10分，超出1小时以上的得0分。</w:t>
            </w:r>
          </w:p>
        </w:tc>
        <w:tc>
          <w:tcPr>
            <w:tcW w:w="990" w:type="dxa"/>
            <w:vAlign w:val="center"/>
          </w:tcPr>
          <w:p w14:paraId="773C7D15">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0-20分</w:t>
            </w:r>
          </w:p>
        </w:tc>
        <w:tc>
          <w:tcPr>
            <w:tcW w:w="735" w:type="dxa"/>
            <w:vAlign w:val="center"/>
          </w:tcPr>
          <w:p w14:paraId="56E3BF56">
            <w:pPr>
              <w:spacing w:before="145" w:line="220" w:lineRule="auto"/>
              <w:ind w:left="482"/>
              <w:jc w:val="center"/>
              <w:rPr>
                <w:rFonts w:ascii="宋体" w:hAnsi="宋体" w:eastAsia="宋体" w:cs="宋体"/>
                <w:spacing w:val="-1"/>
                <w:sz w:val="24"/>
                <w:szCs w:val="24"/>
              </w:rPr>
            </w:pPr>
          </w:p>
        </w:tc>
        <w:tc>
          <w:tcPr>
            <w:tcW w:w="658" w:type="dxa"/>
            <w:vAlign w:val="center"/>
          </w:tcPr>
          <w:p w14:paraId="3B8EECBA">
            <w:pPr>
              <w:spacing w:before="145" w:line="220" w:lineRule="auto"/>
              <w:ind w:left="482"/>
              <w:jc w:val="center"/>
              <w:rPr>
                <w:rFonts w:ascii="宋体" w:hAnsi="宋体" w:eastAsia="宋体" w:cs="宋体"/>
                <w:spacing w:val="-1"/>
                <w:sz w:val="24"/>
                <w:szCs w:val="24"/>
              </w:rPr>
            </w:pPr>
          </w:p>
        </w:tc>
      </w:tr>
      <w:tr w14:paraId="0813A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1361" w:type="dxa"/>
            <w:vAlign w:val="center"/>
          </w:tcPr>
          <w:p w14:paraId="0F4F3C0B">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响应速度</w:t>
            </w:r>
          </w:p>
        </w:tc>
        <w:tc>
          <w:tcPr>
            <w:tcW w:w="5460" w:type="dxa"/>
            <w:vAlign w:val="center"/>
          </w:tcPr>
          <w:p w14:paraId="060DF0D0">
            <w:pPr>
              <w:spacing w:before="145" w:line="220" w:lineRule="auto"/>
              <w:jc w:val="left"/>
              <w:rPr>
                <w:rFonts w:ascii="宋体" w:hAnsi="宋体" w:eastAsia="宋体" w:cs="宋体"/>
                <w:spacing w:val="-1"/>
                <w:sz w:val="24"/>
                <w:szCs w:val="24"/>
              </w:rPr>
            </w:pPr>
            <w:r>
              <w:rPr>
                <w:rFonts w:ascii="宋体" w:hAnsi="宋体" w:eastAsia="宋体" w:cs="宋体"/>
                <w:spacing w:val="-1"/>
                <w:sz w:val="24"/>
                <w:szCs w:val="24"/>
              </w:rPr>
              <w:t>接到任务下达后，在0.5小时内到达维修地点得20分，超出1小时扣10分，超出2小时以上的得0分。</w:t>
            </w:r>
          </w:p>
        </w:tc>
        <w:tc>
          <w:tcPr>
            <w:tcW w:w="990" w:type="dxa"/>
            <w:vAlign w:val="center"/>
          </w:tcPr>
          <w:p w14:paraId="112396F0">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0-20分</w:t>
            </w:r>
          </w:p>
        </w:tc>
        <w:tc>
          <w:tcPr>
            <w:tcW w:w="735" w:type="dxa"/>
            <w:vAlign w:val="center"/>
          </w:tcPr>
          <w:p w14:paraId="4C78DAB8">
            <w:pPr>
              <w:spacing w:before="145" w:line="220" w:lineRule="auto"/>
              <w:ind w:left="482"/>
              <w:jc w:val="center"/>
              <w:rPr>
                <w:rFonts w:ascii="宋体" w:hAnsi="宋体" w:eastAsia="宋体" w:cs="宋体"/>
                <w:spacing w:val="-1"/>
                <w:sz w:val="24"/>
                <w:szCs w:val="24"/>
              </w:rPr>
            </w:pPr>
          </w:p>
        </w:tc>
        <w:tc>
          <w:tcPr>
            <w:tcW w:w="658" w:type="dxa"/>
            <w:vAlign w:val="center"/>
          </w:tcPr>
          <w:p w14:paraId="248884E2">
            <w:pPr>
              <w:spacing w:before="145" w:line="220" w:lineRule="auto"/>
              <w:ind w:left="482"/>
              <w:jc w:val="center"/>
              <w:rPr>
                <w:rFonts w:ascii="宋体" w:hAnsi="宋体" w:eastAsia="宋体" w:cs="宋体"/>
                <w:spacing w:val="-1"/>
                <w:sz w:val="24"/>
                <w:szCs w:val="24"/>
              </w:rPr>
            </w:pPr>
          </w:p>
        </w:tc>
      </w:tr>
      <w:tr w14:paraId="0502D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7" w:hRule="atLeast"/>
        </w:trPr>
        <w:tc>
          <w:tcPr>
            <w:tcW w:w="1361" w:type="dxa"/>
            <w:vAlign w:val="center"/>
          </w:tcPr>
          <w:p w14:paraId="0DCBA4FD">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维修标准</w:t>
            </w:r>
          </w:p>
        </w:tc>
        <w:tc>
          <w:tcPr>
            <w:tcW w:w="5460" w:type="dxa"/>
            <w:vAlign w:val="center"/>
          </w:tcPr>
          <w:p w14:paraId="4A0D5F12">
            <w:pPr>
              <w:spacing w:before="145" w:line="220" w:lineRule="auto"/>
              <w:jc w:val="left"/>
              <w:rPr>
                <w:rFonts w:ascii="宋体" w:hAnsi="宋体" w:eastAsia="宋体" w:cs="宋体"/>
                <w:spacing w:val="-1"/>
                <w:sz w:val="24"/>
                <w:szCs w:val="24"/>
              </w:rPr>
            </w:pPr>
            <w:r>
              <w:rPr>
                <w:rFonts w:ascii="宋体" w:hAnsi="宋体" w:eastAsia="宋体" w:cs="宋体"/>
                <w:spacing w:val="-1"/>
                <w:sz w:val="24"/>
                <w:szCs w:val="24"/>
              </w:rPr>
              <w:t>接到任务下达后，按国家相关标准及要求进行维修工作的得20分，否则得0分。</w:t>
            </w:r>
          </w:p>
        </w:tc>
        <w:tc>
          <w:tcPr>
            <w:tcW w:w="990" w:type="dxa"/>
            <w:vAlign w:val="center"/>
          </w:tcPr>
          <w:p w14:paraId="58E5BB39">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0-20分</w:t>
            </w:r>
          </w:p>
        </w:tc>
        <w:tc>
          <w:tcPr>
            <w:tcW w:w="735" w:type="dxa"/>
            <w:vAlign w:val="center"/>
          </w:tcPr>
          <w:p w14:paraId="76C33188">
            <w:pPr>
              <w:spacing w:before="145" w:line="220" w:lineRule="auto"/>
              <w:ind w:left="482"/>
              <w:jc w:val="center"/>
              <w:rPr>
                <w:rFonts w:ascii="宋体" w:hAnsi="宋体" w:eastAsia="宋体" w:cs="宋体"/>
                <w:spacing w:val="-1"/>
                <w:sz w:val="24"/>
                <w:szCs w:val="24"/>
              </w:rPr>
            </w:pPr>
          </w:p>
        </w:tc>
        <w:tc>
          <w:tcPr>
            <w:tcW w:w="658" w:type="dxa"/>
            <w:vAlign w:val="center"/>
          </w:tcPr>
          <w:p w14:paraId="504307BD">
            <w:pPr>
              <w:spacing w:before="145" w:line="220" w:lineRule="auto"/>
              <w:ind w:left="482"/>
              <w:jc w:val="center"/>
              <w:rPr>
                <w:rFonts w:ascii="宋体" w:hAnsi="宋体" w:eastAsia="宋体" w:cs="宋体"/>
                <w:spacing w:val="-1"/>
                <w:sz w:val="24"/>
                <w:szCs w:val="24"/>
              </w:rPr>
            </w:pPr>
          </w:p>
        </w:tc>
      </w:tr>
      <w:tr w14:paraId="1701C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1361" w:type="dxa"/>
            <w:vAlign w:val="center"/>
          </w:tcPr>
          <w:p w14:paraId="39A303D3">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服务质量</w:t>
            </w:r>
          </w:p>
        </w:tc>
        <w:tc>
          <w:tcPr>
            <w:tcW w:w="5460" w:type="dxa"/>
            <w:vAlign w:val="center"/>
          </w:tcPr>
          <w:p w14:paraId="21CDDCC0">
            <w:pPr>
              <w:spacing w:before="145" w:line="220" w:lineRule="auto"/>
              <w:jc w:val="left"/>
              <w:rPr>
                <w:rFonts w:ascii="宋体" w:hAnsi="宋体" w:eastAsia="宋体" w:cs="宋体"/>
                <w:spacing w:val="-1"/>
                <w:sz w:val="24"/>
                <w:szCs w:val="24"/>
              </w:rPr>
            </w:pPr>
            <w:r>
              <w:rPr>
                <w:rFonts w:ascii="宋体" w:hAnsi="宋体" w:eastAsia="宋体" w:cs="宋体"/>
                <w:spacing w:val="-1"/>
                <w:sz w:val="24"/>
                <w:szCs w:val="24"/>
              </w:rPr>
              <w:t>接到任务下达后，维修质量达到国家及行业标准要求的得20分，否则得0分。</w:t>
            </w:r>
          </w:p>
        </w:tc>
        <w:tc>
          <w:tcPr>
            <w:tcW w:w="990" w:type="dxa"/>
            <w:vAlign w:val="center"/>
          </w:tcPr>
          <w:p w14:paraId="029B903D">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0-20分</w:t>
            </w:r>
          </w:p>
        </w:tc>
        <w:tc>
          <w:tcPr>
            <w:tcW w:w="735" w:type="dxa"/>
            <w:vAlign w:val="center"/>
          </w:tcPr>
          <w:p w14:paraId="7ACCBF61">
            <w:pPr>
              <w:spacing w:before="145" w:line="220" w:lineRule="auto"/>
              <w:ind w:left="482"/>
              <w:jc w:val="center"/>
              <w:rPr>
                <w:rFonts w:ascii="宋体" w:hAnsi="宋体" w:eastAsia="宋体" w:cs="宋体"/>
                <w:spacing w:val="-1"/>
                <w:sz w:val="24"/>
                <w:szCs w:val="24"/>
              </w:rPr>
            </w:pPr>
          </w:p>
        </w:tc>
        <w:tc>
          <w:tcPr>
            <w:tcW w:w="658" w:type="dxa"/>
            <w:vAlign w:val="center"/>
          </w:tcPr>
          <w:p w14:paraId="3DEF8DF1">
            <w:pPr>
              <w:spacing w:before="145" w:line="220" w:lineRule="auto"/>
              <w:ind w:left="482"/>
              <w:jc w:val="center"/>
              <w:rPr>
                <w:rFonts w:ascii="宋体" w:hAnsi="宋体" w:eastAsia="宋体" w:cs="宋体"/>
                <w:spacing w:val="-1"/>
                <w:sz w:val="24"/>
                <w:szCs w:val="24"/>
              </w:rPr>
            </w:pPr>
          </w:p>
        </w:tc>
      </w:tr>
      <w:tr w14:paraId="1FF01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6" w:hRule="atLeast"/>
        </w:trPr>
        <w:tc>
          <w:tcPr>
            <w:tcW w:w="1361" w:type="dxa"/>
            <w:vAlign w:val="center"/>
          </w:tcPr>
          <w:p w14:paraId="484B21BA">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完成时间</w:t>
            </w:r>
          </w:p>
        </w:tc>
        <w:tc>
          <w:tcPr>
            <w:tcW w:w="5460" w:type="dxa"/>
            <w:vAlign w:val="center"/>
          </w:tcPr>
          <w:p w14:paraId="327CAA51">
            <w:pPr>
              <w:spacing w:before="145" w:line="220" w:lineRule="auto"/>
              <w:jc w:val="left"/>
              <w:rPr>
                <w:rFonts w:ascii="宋体" w:hAnsi="宋体" w:eastAsia="宋体" w:cs="宋体"/>
                <w:spacing w:val="-1"/>
                <w:sz w:val="24"/>
                <w:szCs w:val="24"/>
              </w:rPr>
            </w:pPr>
            <w:r>
              <w:rPr>
                <w:rFonts w:ascii="宋体" w:hAnsi="宋体" w:eastAsia="宋体" w:cs="宋体"/>
                <w:spacing w:val="-1"/>
                <w:sz w:val="24"/>
                <w:szCs w:val="24"/>
              </w:rPr>
              <w:t>接到任务下达后，在规定时间完成维修工作 得 20分，超出1-2 天，扣5分，超出2-5天扣10分，超出5天以上的得0分。</w:t>
            </w:r>
          </w:p>
        </w:tc>
        <w:tc>
          <w:tcPr>
            <w:tcW w:w="990" w:type="dxa"/>
            <w:vAlign w:val="center"/>
          </w:tcPr>
          <w:p w14:paraId="1D34A09C">
            <w:pPr>
              <w:spacing w:before="145" w:line="220" w:lineRule="auto"/>
              <w:jc w:val="center"/>
              <w:rPr>
                <w:rFonts w:ascii="宋体" w:hAnsi="宋体" w:eastAsia="宋体" w:cs="宋体"/>
                <w:spacing w:val="-1"/>
                <w:sz w:val="24"/>
                <w:szCs w:val="24"/>
              </w:rPr>
            </w:pPr>
            <w:r>
              <w:rPr>
                <w:rFonts w:ascii="宋体" w:hAnsi="宋体" w:eastAsia="宋体" w:cs="宋体"/>
                <w:spacing w:val="-1"/>
                <w:sz w:val="24"/>
                <w:szCs w:val="24"/>
              </w:rPr>
              <w:t>0-20分</w:t>
            </w:r>
          </w:p>
        </w:tc>
        <w:tc>
          <w:tcPr>
            <w:tcW w:w="735" w:type="dxa"/>
            <w:vAlign w:val="center"/>
          </w:tcPr>
          <w:p w14:paraId="7459D8E6">
            <w:pPr>
              <w:spacing w:before="145" w:line="220" w:lineRule="auto"/>
              <w:ind w:left="482"/>
              <w:jc w:val="center"/>
              <w:rPr>
                <w:rFonts w:ascii="宋体" w:hAnsi="宋体" w:eastAsia="宋体" w:cs="宋体"/>
                <w:spacing w:val="-1"/>
                <w:sz w:val="24"/>
                <w:szCs w:val="24"/>
              </w:rPr>
            </w:pPr>
          </w:p>
        </w:tc>
        <w:tc>
          <w:tcPr>
            <w:tcW w:w="658" w:type="dxa"/>
            <w:vAlign w:val="center"/>
          </w:tcPr>
          <w:p w14:paraId="34ECEB46">
            <w:pPr>
              <w:spacing w:before="145" w:line="220" w:lineRule="auto"/>
              <w:ind w:left="482"/>
              <w:jc w:val="center"/>
              <w:rPr>
                <w:rFonts w:ascii="宋体" w:hAnsi="宋体" w:eastAsia="宋体" w:cs="宋体"/>
                <w:spacing w:val="-1"/>
                <w:sz w:val="24"/>
                <w:szCs w:val="24"/>
              </w:rPr>
            </w:pPr>
          </w:p>
        </w:tc>
      </w:tr>
      <w:tr w14:paraId="633303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361" w:type="dxa"/>
            <w:vAlign w:val="center"/>
          </w:tcPr>
          <w:p w14:paraId="4DF41058">
            <w:pPr>
              <w:spacing w:before="145" w:line="220" w:lineRule="auto"/>
              <w:jc w:val="center"/>
              <w:rPr>
                <w:rFonts w:hint="default" w:ascii="宋体" w:hAnsi="宋体" w:eastAsia="宋体" w:cs="宋体"/>
                <w:spacing w:val="-1"/>
                <w:kern w:val="2"/>
                <w:sz w:val="24"/>
                <w:szCs w:val="24"/>
                <w:lang w:val="en-US" w:eastAsia="zh-CN" w:bidi="ar-SA"/>
              </w:rPr>
            </w:pPr>
            <w:r>
              <w:rPr>
                <w:rFonts w:ascii="宋体" w:hAnsi="宋体" w:eastAsia="宋体" w:cs="宋体"/>
                <w:spacing w:val="-1"/>
                <w:sz w:val="24"/>
                <w:szCs w:val="24"/>
                <w:lang w:val="en-US" w:eastAsia="zh-CN"/>
              </w:rPr>
              <w:t>合</w:t>
            </w:r>
            <w:r>
              <w:rPr>
                <w:rFonts w:hint="eastAsia" w:ascii="宋体" w:hAnsi="宋体" w:eastAsia="宋体" w:cs="宋体"/>
                <w:spacing w:val="-1"/>
                <w:sz w:val="24"/>
                <w:szCs w:val="24"/>
                <w:lang w:val="en-US" w:eastAsia="zh-CN"/>
              </w:rPr>
              <w:t xml:space="preserve"> </w:t>
            </w:r>
            <w:r>
              <w:rPr>
                <w:rFonts w:ascii="宋体" w:hAnsi="宋体" w:eastAsia="宋体" w:cs="宋体"/>
                <w:spacing w:val="-1"/>
                <w:sz w:val="24"/>
                <w:szCs w:val="24"/>
                <w:lang w:val="en-US" w:eastAsia="zh-CN"/>
              </w:rPr>
              <w:t>计</w:t>
            </w:r>
            <w:r>
              <w:rPr>
                <w:rFonts w:hint="eastAsia" w:ascii="宋体" w:hAnsi="宋体" w:eastAsia="宋体" w:cs="宋体"/>
                <w:spacing w:val="-1"/>
                <w:sz w:val="24"/>
                <w:szCs w:val="24"/>
                <w:lang w:val="en-US" w:eastAsia="zh-CN"/>
              </w:rPr>
              <w:t xml:space="preserve"> </w:t>
            </w:r>
          </w:p>
        </w:tc>
        <w:tc>
          <w:tcPr>
            <w:tcW w:w="6450" w:type="dxa"/>
            <w:gridSpan w:val="2"/>
            <w:vAlign w:val="center"/>
          </w:tcPr>
          <w:p w14:paraId="33BE2987">
            <w:pPr>
              <w:jc w:val="center"/>
              <w:rPr>
                <w:rFonts w:ascii="宋体" w:hAnsi="宋体" w:eastAsia="宋体" w:cs="宋体"/>
                <w:spacing w:val="-1"/>
                <w:kern w:val="2"/>
                <w:sz w:val="24"/>
                <w:szCs w:val="24"/>
                <w:lang w:val="en-US" w:eastAsia="zh-CN" w:bidi="ar-SA"/>
              </w:rPr>
            </w:pPr>
          </w:p>
        </w:tc>
        <w:tc>
          <w:tcPr>
            <w:tcW w:w="1393" w:type="dxa"/>
            <w:gridSpan w:val="2"/>
            <w:vAlign w:val="center"/>
          </w:tcPr>
          <w:p w14:paraId="61A07940">
            <w:pPr>
              <w:pStyle w:val="46"/>
              <w:spacing w:before="248" w:line="361" w:lineRule="exact"/>
              <w:ind w:left="534"/>
              <w:jc w:val="both"/>
              <w:rPr>
                <w:rFonts w:ascii="宋体" w:hAnsi="宋体" w:eastAsia="宋体" w:cs="宋体"/>
                <w:spacing w:val="-1"/>
                <w:kern w:val="2"/>
                <w:sz w:val="24"/>
                <w:szCs w:val="24"/>
                <w:lang w:val="en-US" w:eastAsia="zh-CN" w:bidi="ar-SA"/>
              </w:rPr>
            </w:pPr>
            <w:r>
              <w:rPr>
                <w:rFonts w:ascii="宋体" w:hAnsi="宋体" w:eastAsia="宋体" w:cs="宋体"/>
                <w:spacing w:val="-1"/>
                <w:kern w:val="2"/>
                <w:sz w:val="24"/>
                <w:szCs w:val="24"/>
                <w:lang w:val="en-US" w:eastAsia="zh-CN" w:bidi="ar-SA"/>
              </w:rPr>
              <w:t>100分</w:t>
            </w:r>
          </w:p>
        </w:tc>
      </w:tr>
    </w:tbl>
    <w:p w14:paraId="7B597283">
      <w:pPr>
        <w:spacing w:before="181" w:line="290" w:lineRule="auto"/>
        <w:ind w:left="5" w:right="62" w:firstLine="486"/>
        <w:rPr>
          <w:rFonts w:ascii="宋体" w:hAnsi="宋体" w:eastAsia="宋体" w:cs="宋体"/>
          <w:spacing w:val="-1"/>
          <w:sz w:val="24"/>
          <w:szCs w:val="24"/>
        </w:rPr>
      </w:pPr>
    </w:p>
    <w:p w14:paraId="18BF71DE">
      <w:pPr>
        <w:spacing w:line="290" w:lineRule="auto"/>
        <w:rPr>
          <w:rFonts w:ascii="宋体" w:hAnsi="宋体" w:eastAsia="宋体" w:cs="宋体"/>
          <w:sz w:val="24"/>
          <w:szCs w:val="24"/>
        </w:rPr>
        <w:sectPr>
          <w:footerReference r:id="rId12" w:type="default"/>
          <w:pgSz w:w="11907" w:h="16840"/>
          <w:pgMar w:top="1431" w:right="1378" w:bottom="1139" w:left="1448" w:header="0" w:footer="903" w:gutter="0"/>
          <w:pgNumType w:fmt="numberInDash"/>
          <w:cols w:space="720" w:num="1"/>
        </w:sectPr>
      </w:pPr>
    </w:p>
    <w:p w14:paraId="36562D73">
      <w:pPr>
        <w:pStyle w:val="40"/>
        <w:ind w:firstLine="2891" w:firstLineChars="1200"/>
        <w:rPr>
          <w:rFonts w:hint="eastAsia" w:ascii="宋体" w:hAnsi="宋体" w:eastAsia="宋体" w:cs="宋体"/>
          <w:b/>
          <w:bCs/>
          <w:snapToGrid/>
          <w:color w:val="auto"/>
          <w:kern w:val="2"/>
          <w:sz w:val="24"/>
          <w:szCs w:val="24"/>
          <w:highlight w:val="none"/>
          <w:lang w:val="en-US" w:eastAsia="zh-CN" w:bidi="ar-SA"/>
        </w:rPr>
      </w:pPr>
      <w:r>
        <w:rPr>
          <w:rStyle w:val="50"/>
          <w:b/>
          <w:bCs/>
          <w:sz w:val="24"/>
          <w:szCs w:val="24"/>
          <w:lang w:val="en-US" w:eastAsia="zh-CN" w:bidi="ar"/>
        </w:rPr>
        <w:t>交通设施</w:t>
      </w:r>
      <w:r>
        <w:rPr>
          <w:rStyle w:val="50"/>
          <w:rFonts w:hint="eastAsia"/>
          <w:b/>
          <w:bCs/>
          <w:sz w:val="24"/>
          <w:szCs w:val="24"/>
          <w:lang w:val="en-US" w:eastAsia="zh-CN" w:bidi="ar"/>
        </w:rPr>
        <w:t>维修项目清单</w:t>
      </w:r>
    </w:p>
    <w:tbl>
      <w:tblPr>
        <w:tblStyle w:val="31"/>
        <w:tblW w:w="85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17"/>
        <w:gridCol w:w="1929"/>
        <w:gridCol w:w="2343"/>
        <w:gridCol w:w="2129"/>
      </w:tblGrid>
      <w:tr w14:paraId="6F5D5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851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7DDCB4D8">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36"/>
                <w:szCs w:val="36"/>
                <w:u w:val="none"/>
              </w:rPr>
            </w:pPr>
            <w:r>
              <w:rPr>
                <w:rFonts w:hint="default" w:ascii="方正仿宋_GBK" w:hAnsi="方正仿宋_GBK" w:eastAsia="方正仿宋_GBK" w:cs="方正仿宋_GBK"/>
                <w:b/>
                <w:bCs/>
                <w:i w:val="0"/>
                <w:iCs w:val="0"/>
                <w:color w:val="000000"/>
                <w:kern w:val="0"/>
                <w:sz w:val="36"/>
                <w:szCs w:val="36"/>
                <w:u w:val="none"/>
                <w:lang w:val="en-US" w:eastAsia="zh-CN" w:bidi="ar"/>
              </w:rPr>
              <w:t>荥阳市</w:t>
            </w:r>
            <w:r>
              <w:rPr>
                <w:rFonts w:hint="eastAsia" w:ascii="方正仿宋_GBK" w:hAnsi="方正仿宋_GBK" w:eastAsia="方正仿宋_GBK" w:cs="方正仿宋_GBK"/>
                <w:b/>
                <w:bCs/>
                <w:i w:val="0"/>
                <w:iCs w:val="0"/>
                <w:color w:val="000000"/>
                <w:kern w:val="0"/>
                <w:sz w:val="36"/>
                <w:szCs w:val="36"/>
                <w:u w:val="none"/>
                <w:lang w:val="en-US" w:eastAsia="zh-CN" w:bidi="ar"/>
              </w:rPr>
              <w:t>公安局</w:t>
            </w:r>
            <w:r>
              <w:rPr>
                <w:rFonts w:hint="default" w:ascii="方正仿宋_GBK" w:hAnsi="方正仿宋_GBK" w:eastAsia="方正仿宋_GBK" w:cs="方正仿宋_GBK"/>
                <w:b/>
                <w:bCs/>
                <w:i w:val="0"/>
                <w:iCs w:val="0"/>
                <w:color w:val="000000"/>
                <w:kern w:val="0"/>
                <w:sz w:val="36"/>
                <w:szCs w:val="36"/>
                <w:u w:val="none"/>
                <w:lang w:val="en-US" w:eastAsia="zh-CN" w:bidi="ar"/>
              </w:rPr>
              <w:t>交通设施维护服务项目</w:t>
            </w:r>
          </w:p>
        </w:tc>
      </w:tr>
      <w:tr w14:paraId="52BC1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1A0483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2DAE291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名称、规格</w:t>
            </w:r>
          </w:p>
        </w:tc>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5AF13A3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696"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70249F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单价</w:t>
            </w:r>
          </w:p>
        </w:tc>
      </w:tr>
      <w:tr w14:paraId="3CEA1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2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AA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0A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0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Style w:val="51"/>
                <w:rFonts w:hint="eastAsia" w:ascii="宋体" w:hAnsi="宋体" w:eastAsia="宋体" w:cs="宋体"/>
                <w:lang w:val="en-US" w:eastAsia="zh-CN" w:bidi="ar"/>
              </w:rPr>
              <w:t>套（</w:t>
            </w:r>
            <w:r>
              <w:rPr>
                <w:rFonts w:hint="eastAsia" w:ascii="宋体" w:hAnsi="宋体" w:eastAsia="宋体" w:cs="宋体"/>
                <w:i w:val="0"/>
                <w:iCs w:val="0"/>
                <w:color w:val="000000"/>
                <w:kern w:val="0"/>
                <w:sz w:val="22"/>
                <w:szCs w:val="22"/>
                <w:u w:val="none"/>
                <w:lang w:val="en-US" w:eastAsia="zh-CN" w:bidi="ar"/>
              </w:rPr>
              <w:t>Ø</w:t>
            </w:r>
            <w:r>
              <w:rPr>
                <w:rStyle w:val="52"/>
                <w:rFonts w:hint="eastAsia" w:ascii="宋体" w:hAnsi="宋体" w:eastAsia="宋体" w:cs="宋体"/>
                <w:lang w:val="en-US" w:eastAsia="zh-CN" w:bidi="ar"/>
              </w:rPr>
              <w:t>400mm</w:t>
            </w:r>
            <w:r>
              <w:rPr>
                <w:rStyle w:val="51"/>
                <w:rFonts w:hint="eastAsia" w:ascii="宋体" w:hAnsi="宋体" w:eastAsia="宋体" w:cs="宋体"/>
                <w:lang w:val="en-US" w:eastAsia="zh-CN" w:bidi="ar"/>
              </w:rPr>
              <w:t>）</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8E4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1500元</w:t>
            </w:r>
          </w:p>
        </w:tc>
      </w:tr>
      <w:tr w14:paraId="5747A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2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F87A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C57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信号机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144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XHJ-CW-GB3000</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5E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32000元</w:t>
            </w:r>
          </w:p>
        </w:tc>
      </w:tr>
      <w:tr w14:paraId="23930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2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93CE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CF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维修工时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2A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（辆、人工）/天</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F4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800元</w:t>
            </w:r>
          </w:p>
        </w:tc>
      </w:tr>
      <w:tr w14:paraId="3279F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3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交通隔离栏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8F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高护栏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B35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控（3m*1.1m）</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B5F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680元</w:t>
            </w:r>
          </w:p>
        </w:tc>
      </w:tr>
      <w:tr w14:paraId="48886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FEF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99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低护栏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7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控（3m*35cm）</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4B3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590元</w:t>
            </w:r>
          </w:p>
        </w:tc>
      </w:tr>
      <w:tr w14:paraId="33BD8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7A11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24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墩子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3E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2E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52元</w:t>
            </w:r>
          </w:p>
        </w:tc>
      </w:tr>
      <w:tr w14:paraId="6F69C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033A4">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5E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高柱子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3AC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BF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100元</w:t>
            </w:r>
          </w:p>
        </w:tc>
      </w:tr>
      <w:tr w14:paraId="40044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9FD8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D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低柱子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2D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EAF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100元</w:t>
            </w:r>
          </w:p>
        </w:tc>
      </w:tr>
      <w:tr w14:paraId="05319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338E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8E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维修工时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99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（辆、人工）/天</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7FE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800元</w:t>
            </w:r>
          </w:p>
        </w:tc>
      </w:tr>
      <w:tr w14:paraId="238BC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A98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65E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B40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平方米</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628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39元</w:t>
            </w:r>
          </w:p>
        </w:tc>
      </w:tr>
      <w:tr w14:paraId="51AAC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0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28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标志 、隔离桩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1A3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标牌（大）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0C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套（5m*3m）</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B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6000元</w:t>
            </w:r>
          </w:p>
        </w:tc>
      </w:tr>
      <w:tr w14:paraId="172E5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2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6462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D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标牌（小）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F14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套（1.2m*1.8m）</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BF6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600元</w:t>
            </w:r>
          </w:p>
        </w:tc>
      </w:tr>
      <w:tr w14:paraId="07DAA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20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4A95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F69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隔离桩及其他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E6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6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46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150元</w:t>
            </w:r>
          </w:p>
        </w:tc>
      </w:tr>
    </w:tbl>
    <w:p w14:paraId="056DB876">
      <w:pPr>
        <w:pStyle w:val="40"/>
        <w:rPr>
          <w:rFonts w:hint="eastAsia" w:ascii="宋体" w:hAnsi="宋体" w:eastAsia="宋体" w:cs="宋体"/>
          <w:bCs w:val="0"/>
          <w:snapToGrid/>
          <w:color w:val="auto"/>
          <w:kern w:val="2"/>
          <w:sz w:val="21"/>
          <w:szCs w:val="21"/>
          <w:highlight w:val="none"/>
          <w:lang w:val="en-US" w:eastAsia="zh-CN" w:bidi="ar-SA"/>
        </w:rPr>
      </w:pPr>
    </w:p>
    <w:p w14:paraId="578B0AA3">
      <w:pPr>
        <w:pStyle w:val="2"/>
        <w:spacing w:line="360" w:lineRule="auto"/>
        <w:rPr>
          <w:rFonts w:hint="eastAsia" w:ascii="宋体" w:hAnsi="宋体" w:eastAsia="宋体" w:cs="宋体"/>
          <w:b/>
          <w:bCs w:val="0"/>
          <w:snapToGrid/>
          <w:color w:val="auto"/>
          <w:kern w:val="2"/>
          <w:sz w:val="21"/>
          <w:szCs w:val="21"/>
          <w:highlight w:val="none"/>
          <w:lang w:val="en-US" w:eastAsia="zh-CN" w:bidi="ar-SA"/>
        </w:rPr>
      </w:pPr>
      <w:r>
        <w:rPr>
          <w:rFonts w:hint="eastAsia" w:ascii="宋体" w:hAnsi="宋体"/>
          <w:b/>
          <w:bCs w:val="0"/>
          <w:szCs w:val="32"/>
          <w:lang w:val="en-US" w:eastAsia="zh-CN"/>
        </w:rPr>
        <w:t xml:space="preserve">                  </w:t>
      </w:r>
    </w:p>
    <w:p w14:paraId="7DC87546">
      <w:pPr>
        <w:rPr>
          <w:rFonts w:hint="eastAsia" w:ascii="宋体" w:hAnsi="宋体"/>
          <w:b/>
          <w:bCs w:val="0"/>
          <w:szCs w:val="32"/>
          <w:lang w:val="en-US" w:eastAsia="zh-CN"/>
        </w:rPr>
      </w:pPr>
    </w:p>
    <w:p w14:paraId="5CAC45D7">
      <w:pPr>
        <w:rPr>
          <w:rFonts w:hint="eastAsia" w:ascii="宋体" w:hAnsi="宋体"/>
          <w:b/>
          <w:bCs w:val="0"/>
          <w:szCs w:val="32"/>
          <w:lang w:val="en-US" w:eastAsia="zh-CN"/>
        </w:rPr>
      </w:pPr>
    </w:p>
    <w:p w14:paraId="3FFE422D">
      <w:pPr>
        <w:rPr>
          <w:rFonts w:hint="eastAsia" w:ascii="宋体" w:hAnsi="宋体"/>
          <w:b/>
          <w:bCs w:val="0"/>
          <w:szCs w:val="32"/>
          <w:lang w:val="en-US" w:eastAsia="zh-CN"/>
        </w:rPr>
      </w:pPr>
    </w:p>
    <w:p w14:paraId="2781759A">
      <w:pPr>
        <w:numPr>
          <w:ilvl w:val="0"/>
          <w:numId w:val="0"/>
        </w:numPr>
        <w:spacing w:before="79" w:line="362" w:lineRule="auto"/>
        <w:rPr>
          <w:rFonts w:ascii="宋体" w:hAnsi="宋体" w:eastAsia="宋体" w:cs="宋体"/>
          <w:spacing w:val="-3"/>
          <w:sz w:val="24"/>
          <w:szCs w:val="24"/>
        </w:rPr>
      </w:pPr>
    </w:p>
    <w:p w14:paraId="1A74E744">
      <w:pPr>
        <w:spacing w:line="362" w:lineRule="auto"/>
        <w:rPr>
          <w:rFonts w:ascii="宋体" w:hAnsi="宋体" w:eastAsia="宋体" w:cs="宋体"/>
          <w:sz w:val="24"/>
          <w:szCs w:val="24"/>
        </w:rPr>
        <w:sectPr>
          <w:footerReference r:id="rId13" w:type="default"/>
          <w:pgSz w:w="11907" w:h="16840"/>
          <w:pgMar w:top="1422" w:right="1440" w:bottom="1139" w:left="1448" w:header="0" w:footer="903" w:gutter="0"/>
          <w:pgNumType w:fmt="numberInDash"/>
          <w:cols w:space="720" w:num="1"/>
        </w:sectPr>
      </w:pPr>
    </w:p>
    <w:p w14:paraId="43D8CF0D">
      <w:pPr>
        <w:pStyle w:val="2"/>
        <w:spacing w:line="360" w:lineRule="auto"/>
        <w:rPr>
          <w:rFonts w:hint="eastAsia"/>
          <w:b/>
          <w:sz w:val="52"/>
          <w:szCs w:val="52"/>
        </w:rPr>
      </w:pPr>
      <w:r>
        <w:rPr>
          <w:rFonts w:hint="eastAsia" w:ascii="宋体" w:hAnsi="宋体"/>
          <w:b/>
          <w:bCs w:val="0"/>
          <w:szCs w:val="32"/>
          <w:lang w:val="en-US" w:eastAsia="zh-CN"/>
        </w:rPr>
        <w:t xml:space="preserve">                   第六章  响应文件</w:t>
      </w:r>
      <w:bookmarkEnd w:id="628"/>
      <w:r>
        <w:rPr>
          <w:rFonts w:hint="eastAsia" w:ascii="宋体" w:hAnsi="宋体"/>
          <w:b/>
          <w:bCs w:val="0"/>
          <w:szCs w:val="32"/>
          <w:lang w:val="en-US" w:eastAsia="zh-CN"/>
        </w:rPr>
        <w:t>格式</w:t>
      </w:r>
    </w:p>
    <w:p w14:paraId="79778D3F">
      <w:pPr>
        <w:pStyle w:val="18"/>
        <w:spacing w:line="360" w:lineRule="auto"/>
        <w:jc w:val="center"/>
        <w:rPr>
          <w:rFonts w:hint="eastAsia" w:ascii="宋体" w:hAnsi="宋体" w:eastAsia="宋体" w:cs="宋体"/>
          <w:b/>
          <w:sz w:val="44"/>
          <w:szCs w:val="44"/>
          <w:u w:val="single"/>
          <w:lang w:val="en-US" w:eastAsia="zh-CN"/>
        </w:rPr>
      </w:pPr>
      <w:r>
        <w:rPr>
          <w:rFonts w:hint="eastAsia" w:ascii="宋体" w:hAnsi="宋体" w:eastAsia="宋体" w:cs="宋体"/>
          <w:b/>
          <w:sz w:val="44"/>
          <w:szCs w:val="44"/>
          <w:u w:val="single"/>
        </w:rPr>
        <w:t xml:space="preserve">                    </w:t>
      </w:r>
      <w:r>
        <w:rPr>
          <w:rFonts w:hint="eastAsia" w:ascii="宋体" w:hAnsi="宋体" w:eastAsia="宋体" w:cs="宋体"/>
          <w:b/>
          <w:sz w:val="44"/>
          <w:szCs w:val="44"/>
          <w:lang w:eastAsia="zh-CN"/>
        </w:rPr>
        <w:t>（</w:t>
      </w:r>
      <w:r>
        <w:rPr>
          <w:rFonts w:hint="eastAsia" w:ascii="宋体" w:hAnsi="宋体" w:eastAsia="宋体" w:cs="宋体"/>
          <w:b/>
          <w:sz w:val="44"/>
          <w:szCs w:val="44"/>
          <w:lang w:val="en-US" w:eastAsia="zh-CN"/>
        </w:rPr>
        <w:t>项目名称</w:t>
      </w:r>
      <w:r>
        <w:rPr>
          <w:rFonts w:hint="eastAsia" w:ascii="宋体" w:hAnsi="宋体" w:eastAsia="宋体" w:cs="宋体"/>
          <w:b/>
          <w:sz w:val="44"/>
          <w:szCs w:val="44"/>
          <w:lang w:eastAsia="zh-CN"/>
        </w:rPr>
        <w:t>）</w:t>
      </w:r>
    </w:p>
    <w:p w14:paraId="0E9165BA">
      <w:pPr>
        <w:pStyle w:val="18"/>
        <w:spacing w:line="360" w:lineRule="auto"/>
        <w:jc w:val="center"/>
        <w:rPr>
          <w:rFonts w:hint="eastAsia"/>
          <w:b w:val="0"/>
          <w:bCs w:val="0"/>
          <w:sz w:val="72"/>
          <w:szCs w:val="72"/>
        </w:rPr>
      </w:pPr>
    </w:p>
    <w:p w14:paraId="1E643039">
      <w:pPr>
        <w:pStyle w:val="18"/>
        <w:spacing w:line="360" w:lineRule="auto"/>
        <w:jc w:val="center"/>
        <w:rPr>
          <w:rFonts w:hint="eastAsia"/>
          <w:b w:val="0"/>
          <w:bCs w:val="0"/>
          <w:sz w:val="72"/>
          <w:szCs w:val="72"/>
        </w:rPr>
      </w:pPr>
      <w:r>
        <w:rPr>
          <w:rFonts w:hint="eastAsia"/>
          <w:b w:val="0"/>
          <w:bCs w:val="0"/>
          <w:sz w:val="72"/>
          <w:szCs w:val="72"/>
        </w:rPr>
        <w:t>响</w:t>
      </w:r>
      <w:r>
        <w:rPr>
          <w:rFonts w:hint="eastAsia"/>
          <w:b w:val="0"/>
          <w:bCs w:val="0"/>
          <w:sz w:val="72"/>
          <w:szCs w:val="72"/>
          <w:lang w:val="en-US" w:eastAsia="zh-CN"/>
        </w:rPr>
        <w:t xml:space="preserve"> </w:t>
      </w:r>
      <w:r>
        <w:rPr>
          <w:rFonts w:hint="eastAsia"/>
          <w:b w:val="0"/>
          <w:bCs w:val="0"/>
          <w:sz w:val="72"/>
          <w:szCs w:val="72"/>
        </w:rPr>
        <w:t>应</w:t>
      </w:r>
      <w:r>
        <w:rPr>
          <w:rFonts w:hint="eastAsia"/>
          <w:b w:val="0"/>
          <w:bCs w:val="0"/>
          <w:sz w:val="72"/>
          <w:szCs w:val="72"/>
          <w:lang w:val="en-US" w:eastAsia="zh-CN"/>
        </w:rPr>
        <w:t xml:space="preserve"> </w:t>
      </w:r>
      <w:r>
        <w:rPr>
          <w:rFonts w:hint="eastAsia"/>
          <w:b w:val="0"/>
          <w:bCs w:val="0"/>
          <w:sz w:val="72"/>
          <w:szCs w:val="72"/>
        </w:rPr>
        <w:t>文</w:t>
      </w:r>
      <w:r>
        <w:rPr>
          <w:rFonts w:hint="eastAsia"/>
          <w:b w:val="0"/>
          <w:bCs w:val="0"/>
          <w:sz w:val="72"/>
          <w:szCs w:val="72"/>
          <w:lang w:val="en-US" w:eastAsia="zh-CN"/>
        </w:rPr>
        <w:t xml:space="preserve"> </w:t>
      </w:r>
      <w:r>
        <w:rPr>
          <w:rFonts w:hint="eastAsia"/>
          <w:b w:val="0"/>
          <w:bCs w:val="0"/>
          <w:sz w:val="72"/>
          <w:szCs w:val="72"/>
        </w:rPr>
        <w:t>件</w:t>
      </w:r>
    </w:p>
    <w:p w14:paraId="057D47EB">
      <w:pPr>
        <w:pStyle w:val="18"/>
        <w:spacing w:line="360" w:lineRule="auto"/>
        <w:ind w:firstLine="3654" w:firstLineChars="1300"/>
        <w:jc w:val="both"/>
        <w:rPr>
          <w:rFonts w:hint="eastAsia"/>
          <w:b/>
          <w:bCs/>
          <w:sz w:val="28"/>
          <w:szCs w:val="28"/>
        </w:rPr>
      </w:pPr>
      <w:r>
        <w:rPr>
          <w:rFonts w:hint="eastAsia"/>
          <w:b/>
          <w:bCs/>
          <w:sz w:val="28"/>
          <w:szCs w:val="28"/>
          <w:lang w:val="en-US" w:eastAsia="zh-CN"/>
        </w:rPr>
        <w:t>项目</w:t>
      </w:r>
      <w:r>
        <w:rPr>
          <w:rFonts w:hint="eastAsia"/>
          <w:b/>
          <w:bCs/>
          <w:sz w:val="28"/>
          <w:szCs w:val="28"/>
        </w:rPr>
        <w:t>编号：</w:t>
      </w:r>
    </w:p>
    <w:p w14:paraId="624C1D5D">
      <w:pPr>
        <w:pStyle w:val="18"/>
        <w:spacing w:line="360" w:lineRule="auto"/>
        <w:jc w:val="center"/>
        <w:rPr>
          <w:rFonts w:hint="eastAsia"/>
          <w:b/>
          <w:bCs/>
          <w:sz w:val="32"/>
          <w:u w:val="single"/>
        </w:rPr>
      </w:pPr>
    </w:p>
    <w:p w14:paraId="1A7D7FA5">
      <w:pPr>
        <w:pStyle w:val="18"/>
        <w:spacing w:line="360" w:lineRule="auto"/>
        <w:rPr>
          <w:rFonts w:hint="eastAsia"/>
          <w:b/>
          <w:bCs/>
          <w:sz w:val="32"/>
          <w:u w:val="single"/>
        </w:rPr>
      </w:pPr>
    </w:p>
    <w:p w14:paraId="130A3309">
      <w:pPr>
        <w:pStyle w:val="18"/>
        <w:spacing w:line="360" w:lineRule="auto"/>
        <w:rPr>
          <w:rFonts w:hint="eastAsia"/>
          <w:b/>
          <w:bCs/>
          <w:sz w:val="32"/>
          <w:u w:val="single"/>
        </w:rPr>
      </w:pPr>
    </w:p>
    <w:p w14:paraId="04DC7CDD">
      <w:pPr>
        <w:pStyle w:val="18"/>
        <w:spacing w:line="360" w:lineRule="auto"/>
        <w:rPr>
          <w:rFonts w:hint="eastAsia"/>
          <w:b/>
          <w:bCs/>
          <w:sz w:val="32"/>
          <w:u w:val="single"/>
        </w:rPr>
      </w:pPr>
    </w:p>
    <w:p w14:paraId="43ECAEFD">
      <w:pPr>
        <w:pStyle w:val="18"/>
        <w:spacing w:line="360" w:lineRule="auto"/>
        <w:rPr>
          <w:rFonts w:hint="eastAsia"/>
          <w:b/>
          <w:bCs/>
          <w:sz w:val="32"/>
          <w:u w:val="single"/>
        </w:rPr>
      </w:pPr>
    </w:p>
    <w:p w14:paraId="618A8A92">
      <w:pPr>
        <w:spacing w:line="360" w:lineRule="auto"/>
        <w:ind w:firstLine="1680" w:firstLineChars="600"/>
        <w:rPr>
          <w:rFonts w:hint="eastAsia" w:eastAsia="黑体"/>
          <w:sz w:val="28"/>
          <w:szCs w:val="28"/>
        </w:rPr>
      </w:pPr>
    </w:p>
    <w:p w14:paraId="26D71BE7">
      <w:pPr>
        <w:spacing w:line="360" w:lineRule="auto"/>
        <w:ind w:firstLine="1680" w:firstLineChars="600"/>
        <w:rPr>
          <w:rFonts w:hint="eastAsia" w:eastAsia="黑体"/>
          <w:sz w:val="28"/>
          <w:szCs w:val="28"/>
        </w:rPr>
      </w:pPr>
    </w:p>
    <w:p w14:paraId="04BB47B2">
      <w:pPr>
        <w:spacing w:line="360" w:lineRule="auto"/>
        <w:ind w:firstLine="1680" w:firstLineChars="600"/>
        <w:rPr>
          <w:rFonts w:hint="eastAsia" w:eastAsia="黑体"/>
          <w:sz w:val="28"/>
          <w:szCs w:val="28"/>
        </w:rPr>
      </w:pPr>
    </w:p>
    <w:p w14:paraId="755CB974">
      <w:pPr>
        <w:spacing w:line="360" w:lineRule="auto"/>
        <w:ind w:firstLine="1680" w:firstLineChars="600"/>
        <w:rPr>
          <w:rFonts w:eastAsia="黑体"/>
          <w:sz w:val="28"/>
          <w:szCs w:val="28"/>
          <w:u w:val="single"/>
        </w:rPr>
      </w:pPr>
      <w:r>
        <w:rPr>
          <w:rFonts w:hint="eastAsia" w:eastAsia="黑体"/>
          <w:sz w:val="28"/>
          <w:szCs w:val="28"/>
        </w:rPr>
        <w:t>供应商</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盖单位章</w:t>
      </w:r>
      <w:r>
        <w:rPr>
          <w:rFonts w:eastAsia="黑体"/>
          <w:sz w:val="28"/>
          <w:szCs w:val="28"/>
        </w:rPr>
        <w:t>）</w:t>
      </w:r>
    </w:p>
    <w:p w14:paraId="3B738E6A">
      <w:pPr>
        <w:spacing w:line="360" w:lineRule="auto"/>
        <w:jc w:val="center"/>
        <w:rPr>
          <w:rFonts w:eastAsia="黑体"/>
          <w:sz w:val="28"/>
          <w:szCs w:val="28"/>
        </w:rPr>
      </w:pPr>
      <w:r>
        <w:rPr>
          <w:rFonts w:hint="eastAsia" w:eastAsia="黑体"/>
          <w:sz w:val="28"/>
          <w:szCs w:val="28"/>
        </w:rPr>
        <w:t xml:space="preserve">        </w:t>
      </w:r>
      <w:r>
        <w:rPr>
          <w:rFonts w:eastAsia="黑体"/>
          <w:sz w:val="28"/>
          <w:szCs w:val="28"/>
        </w:rPr>
        <w:t>法定代表人或其委托代理人：</w:t>
      </w:r>
      <w:r>
        <w:rPr>
          <w:rFonts w:eastAsia="黑体"/>
          <w:sz w:val="28"/>
          <w:szCs w:val="28"/>
          <w:u w:val="single"/>
        </w:rPr>
        <w:t xml:space="preserve">              </w:t>
      </w:r>
      <w:r>
        <w:rPr>
          <w:rFonts w:eastAsia="黑体"/>
          <w:sz w:val="28"/>
          <w:szCs w:val="28"/>
        </w:rPr>
        <w:t>（</w:t>
      </w:r>
      <w:r>
        <w:rPr>
          <w:rFonts w:hint="eastAsia" w:eastAsia="黑体"/>
          <w:sz w:val="28"/>
          <w:szCs w:val="28"/>
          <w:lang w:val="en-US" w:eastAsia="zh-CN"/>
        </w:rPr>
        <w:t>签字或盖</w:t>
      </w:r>
      <w:r>
        <w:rPr>
          <w:rFonts w:eastAsia="黑体"/>
          <w:sz w:val="28"/>
          <w:szCs w:val="28"/>
        </w:rPr>
        <w:t>章）</w:t>
      </w:r>
    </w:p>
    <w:p w14:paraId="618F9FDC">
      <w:pPr>
        <w:spacing w:line="360" w:lineRule="auto"/>
        <w:jc w:val="center"/>
        <w:rPr>
          <w:rFonts w:hint="eastAsia" w:ascii="宋体" w:hAnsi="宋体" w:cs="宋体"/>
          <w:sz w:val="28"/>
          <w:szCs w:val="28"/>
        </w:rPr>
      </w:pPr>
      <w:r>
        <w:rPr>
          <w:rFonts w:eastAsia="黑体"/>
          <w:sz w:val="28"/>
          <w:szCs w:val="28"/>
          <w:u w:val="single"/>
        </w:rPr>
        <w:t xml:space="preserve">        </w:t>
      </w:r>
      <w:r>
        <w:rPr>
          <w:rFonts w:eastAsia="黑体"/>
          <w:sz w:val="28"/>
          <w:szCs w:val="28"/>
        </w:rPr>
        <w:t>年</w:t>
      </w:r>
      <w:r>
        <w:rPr>
          <w:rFonts w:eastAsia="黑体"/>
          <w:sz w:val="28"/>
          <w:szCs w:val="28"/>
          <w:u w:val="single"/>
        </w:rPr>
        <w:t xml:space="preserve">        </w:t>
      </w:r>
      <w:r>
        <w:rPr>
          <w:rFonts w:eastAsia="黑体"/>
          <w:sz w:val="28"/>
          <w:szCs w:val="28"/>
        </w:rPr>
        <w:t>月</w:t>
      </w:r>
      <w:r>
        <w:rPr>
          <w:rFonts w:eastAsia="黑体"/>
          <w:sz w:val="28"/>
          <w:szCs w:val="28"/>
          <w:u w:val="single"/>
        </w:rPr>
        <w:t xml:space="preserve">        </w:t>
      </w:r>
      <w:r>
        <w:rPr>
          <w:rFonts w:eastAsia="黑体"/>
          <w:sz w:val="28"/>
          <w:szCs w:val="28"/>
        </w:rPr>
        <w:t>日</w:t>
      </w:r>
    </w:p>
    <w:p w14:paraId="5073F0D1">
      <w:pPr>
        <w:pStyle w:val="15"/>
        <w:spacing w:line="360" w:lineRule="auto"/>
        <w:ind w:left="0" w:leftChars="0" w:firstLine="2129" w:firstLineChars="707"/>
        <w:jc w:val="both"/>
        <w:rPr>
          <w:rFonts w:hint="eastAsia"/>
          <w:b/>
          <w:bCs/>
          <w:sz w:val="30"/>
          <w:szCs w:val="30"/>
          <w:lang w:val="en-US" w:eastAsia="zh-CN"/>
        </w:rPr>
      </w:pPr>
      <w:r>
        <w:rPr>
          <w:rFonts w:hint="eastAsia"/>
          <w:b/>
          <w:bCs/>
          <w:sz w:val="30"/>
          <w:szCs w:val="30"/>
        </w:rPr>
        <w:br w:type="page"/>
      </w:r>
      <w:r>
        <w:rPr>
          <w:rFonts w:hint="eastAsia"/>
          <w:b/>
          <w:bCs/>
          <w:sz w:val="30"/>
          <w:szCs w:val="30"/>
          <w:lang w:val="en-US" w:eastAsia="zh-CN"/>
        </w:rPr>
        <w:t xml:space="preserve">        </w:t>
      </w:r>
    </w:p>
    <w:p w14:paraId="31AAA750">
      <w:pPr>
        <w:spacing w:line="360" w:lineRule="auto"/>
        <w:jc w:val="center"/>
        <w:rPr>
          <w:rFonts w:hint="eastAsia" w:ascii="宋体" w:hAnsi="宋体" w:cs="宋体"/>
          <w:sz w:val="32"/>
          <w:szCs w:val="32"/>
        </w:rPr>
      </w:pPr>
      <w:r>
        <w:rPr>
          <w:rFonts w:hint="eastAsia"/>
          <w:b/>
          <w:bCs/>
          <w:sz w:val="30"/>
          <w:szCs w:val="30"/>
          <w:lang w:val="en-US" w:eastAsia="zh-CN"/>
        </w:rPr>
        <w:t xml:space="preserve">    </w:t>
      </w:r>
    </w:p>
    <w:p w14:paraId="7C4DA185">
      <w:pPr>
        <w:spacing w:line="360" w:lineRule="auto"/>
        <w:jc w:val="center"/>
        <w:rPr>
          <w:rFonts w:hint="eastAsia" w:ascii="宋体" w:hAnsi="宋体" w:cs="宋体"/>
          <w:b/>
          <w:bCs/>
          <w:sz w:val="30"/>
          <w:szCs w:val="30"/>
        </w:rPr>
      </w:pPr>
      <w:r>
        <w:rPr>
          <w:rFonts w:hint="eastAsia" w:ascii="宋体" w:hAnsi="宋体" w:cs="宋体"/>
          <w:b/>
          <w:bCs/>
          <w:sz w:val="30"/>
          <w:szCs w:val="30"/>
        </w:rPr>
        <w:t>目 录</w:t>
      </w:r>
    </w:p>
    <w:p w14:paraId="6BAD3562">
      <w:pPr>
        <w:spacing w:line="360" w:lineRule="auto"/>
        <w:jc w:val="center"/>
        <w:rPr>
          <w:rFonts w:hint="eastAsia" w:ascii="宋体" w:hAnsi="宋体" w:cs="宋体"/>
          <w:sz w:val="28"/>
          <w:szCs w:val="28"/>
        </w:rPr>
      </w:pPr>
    </w:p>
    <w:p w14:paraId="2CBE6B06">
      <w:pPr>
        <w:spacing w:line="360" w:lineRule="auto"/>
        <w:ind w:firstLine="1134" w:firstLineChars="405"/>
        <w:rPr>
          <w:rFonts w:hint="eastAsia" w:ascii="宋体" w:hAnsi="宋体" w:eastAsia="宋体" w:cs="宋体"/>
          <w:sz w:val="28"/>
          <w:szCs w:val="28"/>
          <w:lang w:eastAsia="zh-CN"/>
        </w:rPr>
      </w:pPr>
      <w:r>
        <w:rPr>
          <w:rFonts w:hint="eastAsia" w:ascii="宋体" w:hAnsi="宋体" w:eastAsia="宋体" w:cs="宋体"/>
          <w:sz w:val="28"/>
          <w:szCs w:val="28"/>
        </w:rPr>
        <w:t>一、</w:t>
      </w:r>
      <w:r>
        <w:rPr>
          <w:rFonts w:hint="eastAsia" w:ascii="宋体" w:hAnsi="宋体" w:eastAsia="宋体" w:cs="宋体"/>
          <w:sz w:val="28"/>
          <w:szCs w:val="28"/>
          <w:lang w:val="en-US" w:eastAsia="zh-CN"/>
        </w:rPr>
        <w:t>响应函及响应一览表</w:t>
      </w:r>
    </w:p>
    <w:p w14:paraId="09D29EF1">
      <w:pPr>
        <w:spacing w:line="360" w:lineRule="auto"/>
        <w:ind w:firstLine="1134" w:firstLineChars="405"/>
        <w:rPr>
          <w:rFonts w:hint="eastAsia" w:ascii="宋体" w:hAnsi="宋体" w:eastAsia="宋体" w:cs="宋体"/>
          <w:sz w:val="28"/>
          <w:szCs w:val="28"/>
        </w:rPr>
      </w:pPr>
      <w:r>
        <w:rPr>
          <w:rFonts w:hint="eastAsia" w:ascii="宋体" w:hAnsi="宋体" w:eastAsia="宋体" w:cs="宋体"/>
          <w:sz w:val="28"/>
          <w:szCs w:val="28"/>
        </w:rPr>
        <w:t>二、法定代表人身份证明</w:t>
      </w:r>
    </w:p>
    <w:p w14:paraId="780BAA43">
      <w:pPr>
        <w:spacing w:line="360" w:lineRule="auto"/>
        <w:ind w:firstLine="1134" w:firstLineChars="405"/>
        <w:rPr>
          <w:rFonts w:hint="eastAsia" w:ascii="宋体" w:hAnsi="宋体" w:eastAsia="宋体" w:cs="宋体"/>
          <w:sz w:val="28"/>
          <w:szCs w:val="28"/>
        </w:rPr>
      </w:pPr>
      <w:r>
        <w:rPr>
          <w:rFonts w:hint="eastAsia" w:ascii="宋体" w:hAnsi="宋体" w:eastAsia="宋体" w:cs="宋体"/>
          <w:sz w:val="28"/>
          <w:szCs w:val="28"/>
        </w:rPr>
        <w:t>三、授权委托书</w:t>
      </w:r>
    </w:p>
    <w:p w14:paraId="45D78745">
      <w:pPr>
        <w:spacing w:line="360" w:lineRule="auto"/>
        <w:ind w:firstLine="1134" w:firstLineChars="405"/>
        <w:rPr>
          <w:rFonts w:hint="eastAsia" w:ascii="宋体" w:hAnsi="宋体" w:eastAsia="宋体" w:cs="宋体"/>
          <w:sz w:val="28"/>
          <w:szCs w:val="28"/>
        </w:rPr>
      </w:pPr>
      <w:r>
        <w:rPr>
          <w:rFonts w:hint="eastAsia" w:ascii="宋体" w:hAnsi="宋体" w:eastAsia="宋体" w:cs="宋体"/>
          <w:sz w:val="28"/>
          <w:szCs w:val="28"/>
          <w:lang w:val="en-US" w:eastAsia="zh-CN"/>
        </w:rPr>
        <w:t>四</w:t>
      </w:r>
      <w:r>
        <w:rPr>
          <w:rFonts w:hint="eastAsia" w:ascii="宋体" w:hAnsi="宋体" w:eastAsia="宋体" w:cs="宋体"/>
          <w:sz w:val="28"/>
          <w:szCs w:val="28"/>
        </w:rPr>
        <w:t>、资格审查资料</w:t>
      </w:r>
    </w:p>
    <w:p w14:paraId="5E8E180B">
      <w:pPr>
        <w:spacing w:line="360" w:lineRule="auto"/>
        <w:ind w:firstLine="1134" w:firstLineChars="405"/>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五</w:t>
      </w:r>
      <w:r>
        <w:rPr>
          <w:rFonts w:hint="eastAsia" w:ascii="宋体" w:hAnsi="宋体" w:eastAsia="宋体" w:cs="宋体"/>
          <w:sz w:val="28"/>
          <w:szCs w:val="28"/>
        </w:rPr>
        <w:t>、</w:t>
      </w:r>
      <w:r>
        <w:rPr>
          <w:rFonts w:hint="eastAsia" w:ascii="宋体" w:hAnsi="宋体" w:eastAsia="宋体" w:cs="宋体"/>
          <w:b w:val="0"/>
          <w:bCs w:val="0"/>
          <w:sz w:val="28"/>
          <w:szCs w:val="28"/>
          <w:lang w:val="en-US" w:eastAsia="zh-CN"/>
        </w:rPr>
        <w:t>技术部分</w:t>
      </w:r>
    </w:p>
    <w:p w14:paraId="6A9BD33D">
      <w:pPr>
        <w:spacing w:line="360" w:lineRule="auto"/>
        <w:ind w:firstLine="1134" w:firstLineChars="405"/>
        <w:rPr>
          <w:rFonts w:hint="eastAsia" w:ascii="宋体" w:hAnsi="宋体" w:eastAsia="宋体" w:cs="宋体"/>
          <w:sz w:val="28"/>
          <w:szCs w:val="28"/>
        </w:rPr>
      </w:pPr>
      <w:r>
        <w:rPr>
          <w:rFonts w:hint="eastAsia" w:ascii="宋体" w:hAnsi="宋体" w:eastAsia="宋体" w:cs="宋体"/>
          <w:sz w:val="28"/>
          <w:szCs w:val="28"/>
          <w:lang w:val="en-US" w:eastAsia="zh-CN"/>
        </w:rPr>
        <w:t>六</w:t>
      </w:r>
      <w:r>
        <w:rPr>
          <w:rFonts w:hint="eastAsia" w:ascii="宋体" w:hAnsi="宋体" w:eastAsia="宋体" w:cs="宋体"/>
          <w:sz w:val="28"/>
          <w:szCs w:val="28"/>
        </w:rPr>
        <w:t>、</w:t>
      </w:r>
      <w:r>
        <w:rPr>
          <w:rFonts w:hint="eastAsia" w:ascii="宋体" w:hAnsi="宋体" w:eastAsia="宋体" w:cs="宋体"/>
          <w:sz w:val="28"/>
          <w:szCs w:val="28"/>
          <w:lang w:val="en-US" w:eastAsia="zh-CN"/>
        </w:rPr>
        <w:t>综合部分</w:t>
      </w:r>
    </w:p>
    <w:p w14:paraId="7D98081F">
      <w:pPr>
        <w:spacing w:line="360" w:lineRule="auto"/>
        <w:ind w:firstLine="1120" w:firstLineChars="400"/>
        <w:rPr>
          <w:rFonts w:hint="eastAsia" w:ascii="宋体" w:hAnsi="宋体" w:eastAsia="宋体" w:cs="宋体"/>
          <w:sz w:val="28"/>
          <w:szCs w:val="28"/>
        </w:rPr>
      </w:pPr>
      <w:r>
        <w:rPr>
          <w:rFonts w:hint="eastAsia" w:ascii="宋体" w:hAnsi="宋体" w:eastAsia="宋体" w:cs="宋体"/>
          <w:sz w:val="28"/>
          <w:szCs w:val="28"/>
          <w:lang w:val="en-US" w:eastAsia="zh-CN"/>
        </w:rPr>
        <w:t>七</w:t>
      </w:r>
      <w:r>
        <w:rPr>
          <w:rFonts w:hint="eastAsia" w:ascii="宋体" w:hAnsi="宋体" w:eastAsia="宋体" w:cs="宋体"/>
          <w:sz w:val="28"/>
          <w:szCs w:val="28"/>
        </w:rPr>
        <w:t>、</w:t>
      </w:r>
      <w:r>
        <w:rPr>
          <w:rFonts w:hint="eastAsia" w:ascii="宋体" w:hAnsi="宋体" w:eastAsia="宋体" w:cs="宋体"/>
          <w:b w:val="0"/>
          <w:bCs/>
          <w:sz w:val="28"/>
          <w:szCs w:val="28"/>
        </w:rPr>
        <w:t>其它材料</w:t>
      </w:r>
    </w:p>
    <w:p w14:paraId="4CCF69EF">
      <w:pPr>
        <w:pStyle w:val="15"/>
        <w:spacing w:line="360" w:lineRule="auto"/>
        <w:ind w:left="0" w:leftChars="0" w:firstLine="1987" w:firstLineChars="707"/>
        <w:jc w:val="both"/>
        <w:rPr>
          <w:rFonts w:hint="eastAsia"/>
          <w:b/>
          <w:sz w:val="28"/>
          <w:szCs w:val="28"/>
        </w:rPr>
      </w:pPr>
    </w:p>
    <w:p w14:paraId="0696193A">
      <w:pPr>
        <w:spacing w:line="360" w:lineRule="auto"/>
        <w:jc w:val="center"/>
        <w:rPr>
          <w:rFonts w:hint="eastAsia"/>
          <w:b/>
          <w:sz w:val="24"/>
        </w:rPr>
      </w:pPr>
    </w:p>
    <w:p w14:paraId="2495F1FA">
      <w:pPr>
        <w:pStyle w:val="3"/>
        <w:numPr>
          <w:ilvl w:val="0"/>
          <w:numId w:val="0"/>
        </w:numPr>
        <w:spacing w:before="0" w:after="0" w:line="360" w:lineRule="auto"/>
        <w:jc w:val="center"/>
        <w:rPr>
          <w:rFonts w:hint="eastAsia" w:ascii="宋体" w:hAnsi="宋体" w:eastAsia="宋体"/>
          <w:sz w:val="30"/>
          <w:szCs w:val="30"/>
          <w:lang w:val="en-US" w:eastAsia="zh-CN"/>
        </w:rPr>
      </w:pPr>
      <w:r>
        <w:rPr>
          <w:rFonts w:ascii="宋体" w:hAnsi="宋体" w:eastAsia="宋体"/>
          <w:sz w:val="36"/>
        </w:rPr>
        <w:br w:type="page"/>
      </w:r>
      <w:bookmarkStart w:id="629" w:name="_Toc312133589"/>
      <w:r>
        <w:rPr>
          <w:rFonts w:hint="eastAsia" w:ascii="宋体" w:hAnsi="宋体" w:eastAsia="宋体"/>
          <w:sz w:val="30"/>
          <w:szCs w:val="30"/>
          <w:lang w:val="en-US" w:eastAsia="zh-CN"/>
        </w:rPr>
        <w:t>一、响应函及响应一览表</w:t>
      </w:r>
    </w:p>
    <w:p w14:paraId="5C89A598">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（一）响应函</w:t>
      </w:r>
    </w:p>
    <w:p w14:paraId="1085B7DF">
      <w:pPr>
        <w:spacing w:line="360" w:lineRule="auto"/>
        <w:rPr>
          <w:rFonts w:hint="eastAsia"/>
          <w:sz w:val="24"/>
          <w:szCs w:val="24"/>
        </w:rPr>
      </w:pPr>
    </w:p>
    <w:p w14:paraId="556E82CB">
      <w:pPr>
        <w:spacing w:line="360" w:lineRule="auto"/>
        <w:rPr>
          <w:rFonts w:hint="eastAsia" w:eastAsia="宋体"/>
          <w:sz w:val="24"/>
          <w:szCs w:val="24"/>
          <w:lang w:eastAsia="zh-CN"/>
        </w:rPr>
      </w:pPr>
      <w:r>
        <w:rPr>
          <w:rFonts w:hint="eastAsia"/>
          <w:sz w:val="24"/>
          <w:szCs w:val="24"/>
        </w:rPr>
        <w:t>致：</w:t>
      </w:r>
      <w:r>
        <w:rPr>
          <w:rFonts w:hint="eastAsia"/>
          <w:sz w:val="24"/>
          <w:szCs w:val="24"/>
          <w:u w:val="single"/>
          <w:lang w:eastAsia="zh-CN"/>
        </w:rPr>
        <w:t>荥阳市</w:t>
      </w:r>
      <w:r>
        <w:rPr>
          <w:rFonts w:hint="eastAsia"/>
          <w:sz w:val="24"/>
          <w:szCs w:val="24"/>
          <w:u w:val="single"/>
          <w:lang w:val="en-US" w:eastAsia="zh-CN"/>
        </w:rPr>
        <w:t>公安局</w:t>
      </w:r>
    </w:p>
    <w:p w14:paraId="05F221DB">
      <w:pPr>
        <w:pStyle w:val="16"/>
        <w:numPr>
          <w:ilvl w:val="0"/>
          <w:numId w:val="0"/>
        </w:numPr>
        <w:tabs>
          <w:tab w:val="left" w:pos="0"/>
        </w:tabs>
        <w:spacing w:after="0" w:line="360" w:lineRule="auto"/>
        <w:ind w:firstLine="480" w:firstLineChars="200"/>
        <w:jc w:val="left"/>
        <w:rPr>
          <w:rFonts w:hint="default" w:eastAsia="宋体"/>
          <w:sz w:val="24"/>
          <w:szCs w:val="24"/>
          <w:u w:val="none"/>
          <w:lang w:val="en-US" w:eastAsia="zh-CN"/>
        </w:rPr>
      </w:pPr>
      <w:r>
        <w:rPr>
          <w:rFonts w:hint="eastAsia" w:eastAsia="宋体"/>
          <w:sz w:val="24"/>
          <w:szCs w:val="24"/>
          <w:lang w:val="en-US" w:eastAsia="zh-CN"/>
        </w:rPr>
        <w:t>1.</w:t>
      </w:r>
      <w:r>
        <w:rPr>
          <w:rFonts w:hint="eastAsia" w:eastAsia="宋体"/>
          <w:sz w:val="24"/>
          <w:szCs w:val="24"/>
        </w:rPr>
        <w:t>我方已仔细研究了</w:t>
      </w:r>
      <w:r>
        <w:rPr>
          <w:rFonts w:hint="eastAsia" w:eastAsia="宋体"/>
          <w:sz w:val="24"/>
          <w:szCs w:val="24"/>
          <w:u w:val="single"/>
          <w:lang w:val="en-US" w:eastAsia="zh-CN"/>
        </w:rPr>
        <w:t xml:space="preserve">             </w:t>
      </w:r>
      <w:r>
        <w:rPr>
          <w:rFonts w:hint="eastAsia" w:eastAsia="宋体"/>
          <w:sz w:val="24"/>
          <w:szCs w:val="24"/>
        </w:rPr>
        <w:t>（</w:t>
      </w:r>
      <w:r>
        <w:rPr>
          <w:rFonts w:hint="eastAsia" w:eastAsia="宋体"/>
          <w:sz w:val="24"/>
          <w:szCs w:val="24"/>
          <w:lang w:val="en-US" w:eastAsia="zh-CN"/>
        </w:rPr>
        <w:t>项目</w:t>
      </w:r>
      <w:r>
        <w:rPr>
          <w:rFonts w:hint="eastAsia" w:eastAsia="宋体"/>
          <w:sz w:val="24"/>
          <w:szCs w:val="24"/>
        </w:rPr>
        <w:t>名称）采购项目征集文件的全部内容，包括修改、澄清公告（更正公告）以及全部参考资料和有关附</w:t>
      </w:r>
      <w:r>
        <w:rPr>
          <w:rFonts w:hint="eastAsia" w:eastAsia="宋体"/>
          <w:sz w:val="24"/>
          <w:szCs w:val="24"/>
          <w:highlight w:val="none"/>
        </w:rPr>
        <w:t>件，</w:t>
      </w:r>
      <w:r>
        <w:rPr>
          <w:rFonts w:hint="eastAsia" w:eastAsia="宋体"/>
          <w:sz w:val="24"/>
          <w:szCs w:val="24"/>
        </w:rPr>
        <w:t>申请作为</w:t>
      </w:r>
      <w:r>
        <w:rPr>
          <w:rFonts w:hint="eastAsia" w:eastAsia="宋体"/>
          <w:sz w:val="24"/>
          <w:szCs w:val="24"/>
          <w:u w:val="single"/>
        </w:rPr>
        <w:t xml:space="preserve"> </w:t>
      </w:r>
      <w:r>
        <w:rPr>
          <w:rFonts w:hint="eastAsia" w:eastAsia="宋体"/>
          <w:sz w:val="24"/>
          <w:szCs w:val="24"/>
          <w:u w:val="single"/>
          <w:lang w:val="en-US" w:eastAsia="zh-CN"/>
        </w:rPr>
        <w:t xml:space="preserve">             </w:t>
      </w:r>
      <w:r>
        <w:rPr>
          <w:rFonts w:hint="eastAsia" w:eastAsia="宋体"/>
          <w:sz w:val="24"/>
          <w:szCs w:val="24"/>
        </w:rPr>
        <w:t>（</w:t>
      </w:r>
      <w:r>
        <w:rPr>
          <w:rFonts w:hint="eastAsia" w:eastAsia="宋体"/>
          <w:sz w:val="24"/>
          <w:szCs w:val="24"/>
          <w:lang w:val="en-US" w:eastAsia="zh-CN"/>
        </w:rPr>
        <w:t>项目</w:t>
      </w:r>
      <w:r>
        <w:rPr>
          <w:rFonts w:hint="eastAsia" w:eastAsia="宋体"/>
          <w:sz w:val="24"/>
          <w:szCs w:val="24"/>
        </w:rPr>
        <w:t>名称）</w:t>
      </w:r>
      <w:r>
        <w:rPr>
          <w:rFonts w:hint="eastAsia" w:ascii="宋体" w:hAnsi="宋体" w:eastAsia="宋体" w:cs="宋体"/>
          <w:sz w:val="24"/>
          <w:szCs w:val="24"/>
          <w:lang w:val="en-US" w:eastAsia="zh-CN"/>
        </w:rPr>
        <w:t>的</w:t>
      </w:r>
      <w:r>
        <w:rPr>
          <w:rFonts w:hint="eastAsia" w:eastAsia="宋体"/>
          <w:sz w:val="24"/>
          <w:szCs w:val="24"/>
        </w:rPr>
        <w:t>入围供应商。</w:t>
      </w:r>
      <w:r>
        <w:rPr>
          <w:rFonts w:hint="eastAsia" w:eastAsia="宋体"/>
          <w:sz w:val="24"/>
          <w:szCs w:val="24"/>
          <w:lang w:val="en-US" w:eastAsia="zh-CN"/>
        </w:rPr>
        <w:t>愿意以响应报价</w:t>
      </w:r>
      <w:r>
        <w:rPr>
          <w:rFonts w:hint="eastAsia" w:eastAsia="宋体"/>
          <w:sz w:val="24"/>
          <w:szCs w:val="24"/>
          <w:u w:val="none"/>
          <w:lang w:val="en-US" w:eastAsia="zh-CN"/>
        </w:rPr>
        <w:t>（小写）</w:t>
      </w:r>
      <w:r>
        <w:rPr>
          <w:rFonts w:hint="eastAsia" w:eastAsia="宋体"/>
          <w:sz w:val="24"/>
          <w:szCs w:val="24"/>
          <w:u w:val="single"/>
          <w:lang w:val="en-US" w:eastAsia="zh-CN"/>
        </w:rPr>
        <w:t xml:space="preserve">       %</w:t>
      </w:r>
      <w:r>
        <w:rPr>
          <w:rFonts w:hint="eastAsia" w:eastAsia="宋体"/>
          <w:sz w:val="24"/>
          <w:szCs w:val="24"/>
          <w:u w:val="none"/>
          <w:lang w:val="en-US" w:eastAsia="zh-CN"/>
        </w:rPr>
        <w:t>，（大写）</w:t>
      </w:r>
      <w:r>
        <w:rPr>
          <w:rFonts w:hint="eastAsia" w:eastAsia="宋体"/>
          <w:sz w:val="24"/>
          <w:szCs w:val="24"/>
          <w:u w:val="single"/>
          <w:lang w:val="en-US" w:eastAsia="zh-CN"/>
        </w:rPr>
        <w:t xml:space="preserve">百分之      </w:t>
      </w:r>
      <w:r>
        <w:rPr>
          <w:rFonts w:hint="eastAsia" w:eastAsia="宋体"/>
          <w:sz w:val="24"/>
          <w:szCs w:val="24"/>
          <w:u w:val="none"/>
          <w:lang w:val="en-US" w:eastAsia="zh-CN"/>
        </w:rPr>
        <w:t xml:space="preserve">；框架协议期限为 </w:t>
      </w:r>
      <w:r>
        <w:rPr>
          <w:rFonts w:hint="eastAsia" w:eastAsia="宋体"/>
          <w:sz w:val="24"/>
          <w:szCs w:val="24"/>
          <w:u w:val="single"/>
          <w:lang w:val="en-US" w:eastAsia="zh-CN"/>
        </w:rPr>
        <w:t xml:space="preserve">       </w:t>
      </w:r>
      <w:r>
        <w:rPr>
          <w:rFonts w:hint="eastAsia" w:eastAsia="宋体"/>
          <w:sz w:val="24"/>
          <w:szCs w:val="24"/>
          <w:u w:val="none"/>
          <w:lang w:val="en-US" w:eastAsia="zh-CN"/>
        </w:rPr>
        <w:t>；按合同约定实施和完成本项目，质量要求：</w:t>
      </w:r>
      <w:r>
        <w:rPr>
          <w:rFonts w:hint="eastAsia" w:eastAsia="宋体"/>
          <w:sz w:val="24"/>
          <w:szCs w:val="24"/>
          <w:u w:val="single"/>
          <w:lang w:val="en-US" w:eastAsia="zh-CN"/>
        </w:rPr>
        <w:t xml:space="preserve">           </w:t>
      </w:r>
      <w:r>
        <w:rPr>
          <w:rFonts w:hint="eastAsia" w:eastAsia="宋体"/>
          <w:sz w:val="24"/>
          <w:szCs w:val="24"/>
          <w:u w:val="none"/>
          <w:lang w:val="en-US" w:eastAsia="zh-CN"/>
        </w:rPr>
        <w:t>。</w:t>
      </w:r>
    </w:p>
    <w:p w14:paraId="2FF03ECA">
      <w:pPr>
        <w:pStyle w:val="16"/>
        <w:numPr>
          <w:ilvl w:val="0"/>
          <w:numId w:val="0"/>
        </w:numPr>
        <w:tabs>
          <w:tab w:val="left" w:pos="720"/>
        </w:tabs>
        <w:spacing w:after="0" w:line="360" w:lineRule="auto"/>
        <w:ind w:leftChars="200"/>
        <w:rPr>
          <w:rFonts w:hint="eastAsia" w:eastAsia="宋体"/>
          <w:sz w:val="24"/>
          <w:szCs w:val="24"/>
        </w:rPr>
      </w:pPr>
      <w:r>
        <w:rPr>
          <w:rFonts w:hint="eastAsia" w:eastAsia="宋体"/>
          <w:sz w:val="24"/>
          <w:szCs w:val="24"/>
          <w:lang w:val="en-US" w:eastAsia="zh-CN"/>
        </w:rPr>
        <w:t>2.</w:t>
      </w:r>
      <w:r>
        <w:rPr>
          <w:rFonts w:hint="eastAsia" w:eastAsia="宋体"/>
          <w:sz w:val="24"/>
          <w:szCs w:val="24"/>
        </w:rPr>
        <w:t>响应文件有效期为</w:t>
      </w:r>
      <w:r>
        <w:rPr>
          <w:rFonts w:hint="eastAsia" w:eastAsia="宋体"/>
          <w:sz w:val="24"/>
          <w:szCs w:val="24"/>
          <w:lang w:val="en-US" w:eastAsia="zh-CN"/>
        </w:rPr>
        <w:t>自</w:t>
      </w:r>
      <w:r>
        <w:rPr>
          <w:rFonts w:hint="eastAsia" w:eastAsia="宋体"/>
          <w:sz w:val="24"/>
          <w:szCs w:val="24"/>
          <w:lang w:eastAsia="zh-CN"/>
        </w:rPr>
        <w:t>递交</w:t>
      </w:r>
      <w:r>
        <w:rPr>
          <w:rFonts w:hint="eastAsia" w:eastAsia="宋体"/>
          <w:sz w:val="24"/>
          <w:szCs w:val="24"/>
        </w:rPr>
        <w:t>响应文件的截止之日起</w:t>
      </w:r>
      <w:r>
        <w:rPr>
          <w:rFonts w:hint="eastAsia" w:eastAsia="宋体"/>
          <w:sz w:val="24"/>
          <w:szCs w:val="24"/>
          <w:u w:val="single"/>
        </w:rPr>
        <w:t xml:space="preserve"> 60 </w:t>
      </w:r>
      <w:r>
        <w:rPr>
          <w:rFonts w:hint="eastAsia" w:eastAsia="宋体"/>
          <w:sz w:val="24"/>
          <w:szCs w:val="24"/>
        </w:rPr>
        <w:t>日历天。我方承诺在响应文件有效期内不修改、撤销响应文件。</w:t>
      </w:r>
    </w:p>
    <w:p w14:paraId="0DA0744E">
      <w:pPr>
        <w:pStyle w:val="16"/>
        <w:numPr>
          <w:ilvl w:val="0"/>
          <w:numId w:val="0"/>
        </w:numPr>
        <w:tabs>
          <w:tab w:val="left" w:pos="0"/>
        </w:tabs>
        <w:spacing w:after="0" w:line="360" w:lineRule="auto"/>
        <w:ind w:leftChars="200"/>
        <w:jc w:val="left"/>
        <w:rPr>
          <w:rFonts w:hint="eastAsia" w:eastAsia="宋体"/>
          <w:sz w:val="24"/>
          <w:szCs w:val="24"/>
        </w:rPr>
      </w:pPr>
      <w:r>
        <w:rPr>
          <w:rFonts w:hint="eastAsia" w:eastAsia="宋体"/>
          <w:sz w:val="24"/>
          <w:szCs w:val="24"/>
          <w:lang w:val="en-US" w:eastAsia="zh-CN"/>
        </w:rPr>
        <w:t>3.</w:t>
      </w:r>
      <w:r>
        <w:rPr>
          <w:rFonts w:hint="eastAsia" w:eastAsia="宋体"/>
          <w:sz w:val="24"/>
          <w:szCs w:val="24"/>
        </w:rPr>
        <w:t>如果我方入围，我方将按征集文件的规定签订并严格履行框架协议中的责任和义务，同意按照</w:t>
      </w:r>
      <w:r>
        <w:rPr>
          <w:rFonts w:hint="eastAsia" w:eastAsia="宋体"/>
          <w:sz w:val="24"/>
          <w:szCs w:val="24"/>
          <w:lang w:val="en-US" w:eastAsia="zh-CN"/>
        </w:rPr>
        <w:t>征集文件</w:t>
      </w:r>
      <w:r>
        <w:rPr>
          <w:rFonts w:hint="eastAsia" w:eastAsia="宋体"/>
          <w:sz w:val="24"/>
          <w:szCs w:val="24"/>
        </w:rPr>
        <w:t>中</w:t>
      </w:r>
      <w:r>
        <w:rPr>
          <w:rFonts w:hint="eastAsia" w:eastAsia="宋体"/>
          <w:sz w:val="24"/>
          <w:szCs w:val="24"/>
          <w:lang w:val="en-US" w:eastAsia="zh-CN"/>
        </w:rPr>
        <w:t>规</w:t>
      </w:r>
      <w:r>
        <w:rPr>
          <w:rFonts w:hint="eastAsia" w:eastAsia="宋体"/>
          <w:color w:val="auto"/>
          <w:sz w:val="24"/>
          <w:szCs w:val="24"/>
        </w:rPr>
        <w:t>定执行</w:t>
      </w:r>
      <w:r>
        <w:rPr>
          <w:rFonts w:hint="eastAsia" w:eastAsia="宋体"/>
          <w:sz w:val="24"/>
          <w:szCs w:val="24"/>
        </w:rPr>
        <w:t>，在签订框架协议时不向你方提出附加条件。</w:t>
      </w:r>
    </w:p>
    <w:p w14:paraId="0895F0E8">
      <w:pPr>
        <w:pStyle w:val="16"/>
        <w:numPr>
          <w:ilvl w:val="0"/>
          <w:numId w:val="0"/>
        </w:numPr>
        <w:tabs>
          <w:tab w:val="left" w:pos="0"/>
        </w:tabs>
        <w:spacing w:after="0" w:line="360" w:lineRule="auto"/>
        <w:ind w:leftChars="200"/>
        <w:jc w:val="left"/>
        <w:rPr>
          <w:rFonts w:hint="eastAsia" w:eastAsia="宋体"/>
          <w:sz w:val="24"/>
          <w:szCs w:val="24"/>
        </w:rPr>
      </w:pPr>
      <w:r>
        <w:rPr>
          <w:rFonts w:hint="eastAsia" w:eastAsia="宋体"/>
          <w:sz w:val="24"/>
          <w:szCs w:val="24"/>
          <w:lang w:val="en-US" w:eastAsia="zh-CN"/>
        </w:rPr>
        <w:t>4.</w:t>
      </w:r>
      <w:r>
        <w:rPr>
          <w:rFonts w:hint="eastAsia" w:eastAsia="宋体"/>
          <w:sz w:val="24"/>
          <w:szCs w:val="24"/>
        </w:rPr>
        <w:t>如果采购人选定我单位作为成交供应商，我单位将按照采购合同约定的内容履行采购合同。</w:t>
      </w:r>
    </w:p>
    <w:p w14:paraId="1717BECA">
      <w:pPr>
        <w:pStyle w:val="16"/>
        <w:numPr>
          <w:ilvl w:val="0"/>
          <w:numId w:val="0"/>
        </w:numPr>
        <w:tabs>
          <w:tab w:val="left" w:pos="0"/>
        </w:tabs>
        <w:spacing w:after="0" w:line="360" w:lineRule="auto"/>
        <w:ind w:leftChars="200"/>
        <w:jc w:val="left"/>
        <w:rPr>
          <w:rFonts w:hint="eastAsia" w:eastAsia="宋体"/>
          <w:sz w:val="24"/>
          <w:szCs w:val="24"/>
        </w:rPr>
      </w:pPr>
      <w:r>
        <w:rPr>
          <w:rFonts w:hint="eastAsia" w:eastAsia="宋体"/>
          <w:sz w:val="24"/>
          <w:szCs w:val="24"/>
          <w:lang w:val="en-US" w:eastAsia="zh-CN"/>
        </w:rPr>
        <w:t>5.</w:t>
      </w:r>
      <w:r>
        <w:rPr>
          <w:rFonts w:hint="eastAsia" w:eastAsia="宋体"/>
          <w:sz w:val="24"/>
          <w:szCs w:val="24"/>
        </w:rPr>
        <w:t>我方在此声明，所</w:t>
      </w:r>
      <w:r>
        <w:rPr>
          <w:rFonts w:hint="eastAsia" w:eastAsia="宋体"/>
          <w:sz w:val="24"/>
          <w:szCs w:val="24"/>
          <w:lang w:eastAsia="zh-CN"/>
        </w:rPr>
        <w:t>递交</w:t>
      </w:r>
      <w:r>
        <w:rPr>
          <w:rFonts w:hint="eastAsia" w:eastAsia="宋体"/>
          <w:sz w:val="24"/>
          <w:szCs w:val="24"/>
        </w:rPr>
        <w:t>的响应文件及有关资料内容完整、真实和准确，且不存在第二章“供应商须知”第 1.</w:t>
      </w:r>
      <w:r>
        <w:rPr>
          <w:rFonts w:hint="eastAsia" w:eastAsia="宋体"/>
          <w:sz w:val="24"/>
          <w:szCs w:val="24"/>
          <w:lang w:val="en-US" w:eastAsia="zh-CN"/>
        </w:rPr>
        <w:t>4</w:t>
      </w:r>
      <w:r>
        <w:rPr>
          <w:rFonts w:hint="eastAsia" w:eastAsia="宋体"/>
          <w:sz w:val="24"/>
          <w:szCs w:val="24"/>
        </w:rPr>
        <w:t>.</w:t>
      </w:r>
      <w:r>
        <w:rPr>
          <w:rFonts w:hint="eastAsia" w:eastAsia="宋体"/>
          <w:sz w:val="24"/>
          <w:szCs w:val="24"/>
          <w:lang w:val="en-US" w:eastAsia="zh-CN"/>
        </w:rPr>
        <w:t>3</w:t>
      </w:r>
      <w:r>
        <w:rPr>
          <w:rFonts w:hint="eastAsia" w:eastAsia="宋体"/>
          <w:sz w:val="24"/>
          <w:szCs w:val="24"/>
        </w:rPr>
        <w:t>项规定的任何一种情形。</w:t>
      </w:r>
    </w:p>
    <w:p w14:paraId="0D3A9AE5">
      <w:pPr>
        <w:pStyle w:val="16"/>
        <w:numPr>
          <w:ilvl w:val="0"/>
          <w:numId w:val="0"/>
        </w:numPr>
        <w:tabs>
          <w:tab w:val="left" w:pos="0"/>
        </w:tabs>
        <w:spacing w:after="0" w:line="360" w:lineRule="auto"/>
        <w:ind w:leftChars="200"/>
        <w:jc w:val="left"/>
        <w:rPr>
          <w:rFonts w:hint="eastAsia" w:eastAsia="宋体"/>
          <w:sz w:val="24"/>
          <w:szCs w:val="24"/>
        </w:rPr>
      </w:pPr>
      <w:r>
        <w:rPr>
          <w:rFonts w:hint="eastAsia" w:eastAsia="宋体"/>
          <w:sz w:val="24"/>
          <w:szCs w:val="24"/>
          <w:u w:val="none"/>
          <w:lang w:val="en-US" w:eastAsia="zh-CN"/>
        </w:rPr>
        <w:t>6.</w:t>
      </w:r>
      <w:r>
        <w:rPr>
          <w:rFonts w:hint="eastAsia" w:eastAsia="宋体"/>
          <w:sz w:val="24"/>
          <w:szCs w:val="24"/>
          <w:u w:val="single"/>
        </w:rPr>
        <w:t xml:space="preserve">            </w:t>
      </w:r>
      <w:r>
        <w:rPr>
          <w:rFonts w:hint="eastAsia" w:eastAsia="宋体"/>
          <w:sz w:val="24"/>
          <w:szCs w:val="24"/>
        </w:rPr>
        <w:t>（其他补充说明）。</w:t>
      </w:r>
    </w:p>
    <w:p w14:paraId="5B6F6F4D">
      <w:pPr>
        <w:pStyle w:val="16"/>
        <w:numPr>
          <w:ilvl w:val="0"/>
          <w:numId w:val="0"/>
        </w:numPr>
        <w:tabs>
          <w:tab w:val="left" w:pos="0"/>
        </w:tabs>
        <w:spacing w:after="0" w:line="360" w:lineRule="auto"/>
        <w:ind w:leftChars="200"/>
        <w:jc w:val="left"/>
        <w:rPr>
          <w:rFonts w:hint="eastAsia" w:ascii="宋体" w:hAnsi="宋体" w:eastAsia="宋体" w:cs="宋体"/>
          <w:sz w:val="24"/>
          <w:szCs w:val="24"/>
        </w:rPr>
      </w:pPr>
      <w:r>
        <w:rPr>
          <w:rFonts w:hint="eastAsia" w:ascii="宋体" w:hAnsi="宋体" w:eastAsia="宋体" w:cs="宋体"/>
          <w:sz w:val="24"/>
          <w:szCs w:val="24"/>
        </w:rPr>
        <w:t>地</w:t>
      </w:r>
      <w:r>
        <w:rPr>
          <w:rFonts w:hint="eastAsia" w:eastAsia="宋体" w:cs="宋体"/>
          <w:sz w:val="24"/>
          <w:szCs w:val="24"/>
          <w:lang w:val="en-US" w:eastAsia="zh-CN"/>
        </w:rPr>
        <w:t xml:space="preserve"> </w:t>
      </w:r>
      <w:r>
        <w:rPr>
          <w:rFonts w:hint="eastAsia" w:ascii="宋体" w:hAnsi="宋体" w:eastAsia="宋体" w:cs="宋体"/>
          <w:sz w:val="24"/>
          <w:szCs w:val="24"/>
        </w:rPr>
        <w:t>址：</w:t>
      </w:r>
    </w:p>
    <w:p w14:paraId="2D57519E">
      <w:pPr>
        <w:pStyle w:val="16"/>
        <w:numPr>
          <w:ilvl w:val="0"/>
          <w:numId w:val="0"/>
        </w:numPr>
        <w:tabs>
          <w:tab w:val="left" w:pos="0"/>
        </w:tabs>
        <w:spacing w:after="0" w:line="360" w:lineRule="auto"/>
        <w:ind w:leftChars="200"/>
        <w:jc w:val="left"/>
        <w:rPr>
          <w:rFonts w:hint="eastAsia" w:ascii="宋体" w:hAnsi="宋体" w:eastAsia="宋体" w:cs="宋体"/>
          <w:sz w:val="24"/>
          <w:szCs w:val="24"/>
        </w:rPr>
      </w:pPr>
      <w:r>
        <w:rPr>
          <w:rFonts w:hint="eastAsia" w:ascii="宋体" w:hAnsi="宋体" w:eastAsia="宋体" w:cs="宋体"/>
          <w:sz w:val="24"/>
          <w:szCs w:val="24"/>
        </w:rPr>
        <w:t xml:space="preserve">邮政编码： </w:t>
      </w:r>
    </w:p>
    <w:p w14:paraId="19B31C11">
      <w:pPr>
        <w:pStyle w:val="16"/>
        <w:numPr>
          <w:ilvl w:val="0"/>
          <w:numId w:val="0"/>
        </w:numPr>
        <w:tabs>
          <w:tab w:val="left" w:pos="0"/>
        </w:tabs>
        <w:spacing w:after="0" w:line="360" w:lineRule="auto"/>
        <w:ind w:leftChars="200"/>
        <w:jc w:val="left"/>
        <w:rPr>
          <w:rFonts w:hint="eastAsia" w:ascii="宋体" w:hAnsi="宋体" w:eastAsia="宋体" w:cs="宋体"/>
          <w:sz w:val="24"/>
          <w:szCs w:val="24"/>
        </w:rPr>
      </w:pPr>
      <w:r>
        <w:rPr>
          <w:rFonts w:hint="eastAsia" w:ascii="宋体" w:hAnsi="宋体" w:eastAsia="宋体" w:cs="宋体"/>
          <w:sz w:val="24"/>
          <w:szCs w:val="24"/>
        </w:rPr>
        <w:t>电</w:t>
      </w:r>
      <w:r>
        <w:rPr>
          <w:rFonts w:hint="eastAsia" w:eastAsia="宋体" w:cs="宋体"/>
          <w:sz w:val="24"/>
          <w:szCs w:val="24"/>
          <w:lang w:val="en-US" w:eastAsia="zh-CN"/>
        </w:rPr>
        <w:t xml:space="preserve"> </w:t>
      </w:r>
      <w:r>
        <w:rPr>
          <w:rFonts w:hint="eastAsia" w:ascii="宋体" w:hAnsi="宋体" w:eastAsia="宋体" w:cs="宋体"/>
          <w:sz w:val="24"/>
          <w:szCs w:val="24"/>
        </w:rPr>
        <w:t>话：</w:t>
      </w:r>
    </w:p>
    <w:p w14:paraId="5F5D1904">
      <w:pPr>
        <w:pStyle w:val="16"/>
        <w:tabs>
          <w:tab w:val="left" w:pos="720"/>
        </w:tabs>
        <w:spacing w:after="0" w:line="360" w:lineRule="auto"/>
        <w:ind w:left="0"/>
        <w:rPr>
          <w:rFonts w:hint="eastAsia" w:eastAsia="宋体"/>
          <w:sz w:val="24"/>
          <w:szCs w:val="24"/>
        </w:rPr>
      </w:pPr>
    </w:p>
    <w:p w14:paraId="08B1C20C">
      <w:pPr>
        <w:pStyle w:val="16"/>
        <w:tabs>
          <w:tab w:val="left" w:pos="720"/>
        </w:tabs>
        <w:spacing w:after="0" w:line="360" w:lineRule="auto"/>
        <w:ind w:left="0"/>
        <w:rPr>
          <w:rFonts w:hint="eastAsia" w:eastAsia="宋体"/>
          <w:sz w:val="24"/>
          <w:szCs w:val="24"/>
        </w:rPr>
      </w:pPr>
    </w:p>
    <w:p w14:paraId="21D03C5C">
      <w:pPr>
        <w:spacing w:line="360" w:lineRule="auto"/>
        <w:ind w:firstLine="480" w:firstLineChars="200"/>
        <w:rPr>
          <w:rFonts w:hint="eastAsia"/>
          <w:sz w:val="24"/>
          <w:szCs w:val="24"/>
        </w:rPr>
      </w:pPr>
      <w:r>
        <w:rPr>
          <w:rFonts w:hint="eastAsia"/>
          <w:sz w:val="24"/>
          <w:szCs w:val="24"/>
        </w:rPr>
        <w:t>　　　　　　　    供应商：</w:t>
      </w:r>
      <w:r>
        <w:rPr>
          <w:rFonts w:hint="eastAsia"/>
          <w:sz w:val="24"/>
          <w:szCs w:val="24"/>
          <w:u w:val="single"/>
        </w:rPr>
        <w:t xml:space="preserve">                               </w:t>
      </w:r>
      <w:r>
        <w:rPr>
          <w:rFonts w:hint="eastAsia"/>
          <w:sz w:val="24"/>
          <w:szCs w:val="24"/>
        </w:rPr>
        <w:t>（盖章）</w:t>
      </w:r>
    </w:p>
    <w:p w14:paraId="10111857">
      <w:pPr>
        <w:spacing w:line="360" w:lineRule="auto"/>
        <w:ind w:firstLine="480" w:firstLineChars="200"/>
        <w:rPr>
          <w:rFonts w:hint="eastAsia"/>
          <w:sz w:val="24"/>
          <w:szCs w:val="24"/>
        </w:rPr>
      </w:pPr>
      <w:r>
        <w:rPr>
          <w:rFonts w:hint="eastAsia"/>
          <w:sz w:val="24"/>
          <w:szCs w:val="24"/>
        </w:rPr>
        <w:t xml:space="preserve">                  法定代表人或其委托代理人：</w:t>
      </w:r>
      <w:r>
        <w:rPr>
          <w:rFonts w:hint="eastAsia"/>
          <w:sz w:val="24"/>
          <w:szCs w:val="24"/>
          <w:u w:val="single"/>
        </w:rPr>
        <w:t xml:space="preserve">       </w:t>
      </w:r>
      <w:r>
        <w:rPr>
          <w:rFonts w:hint="eastAsia"/>
          <w:sz w:val="24"/>
          <w:szCs w:val="24"/>
        </w:rPr>
        <w:t>（签字或盖章）</w:t>
      </w:r>
    </w:p>
    <w:p w14:paraId="40E79C6D">
      <w:pPr>
        <w:spacing w:line="360" w:lineRule="auto"/>
        <w:ind w:firstLine="480" w:firstLineChars="200"/>
        <w:rPr>
          <w:rFonts w:hint="eastAsia"/>
          <w:sz w:val="24"/>
          <w:szCs w:val="24"/>
        </w:rPr>
      </w:pPr>
      <w:r>
        <w:rPr>
          <w:rFonts w:hint="eastAsia"/>
          <w:sz w:val="24"/>
          <w:szCs w:val="24"/>
        </w:rPr>
        <w:t xml:space="preserve">　　　            </w:t>
      </w:r>
      <w:r>
        <w:rPr>
          <w:rFonts w:hint="eastAsia"/>
          <w:sz w:val="24"/>
          <w:szCs w:val="24"/>
          <w:lang w:val="en-US" w:eastAsia="zh-CN"/>
        </w:rPr>
        <w:t xml:space="preserve">        </w:t>
      </w:r>
      <w:r>
        <w:rPr>
          <w:rFonts w:hint="eastAsia"/>
          <w:sz w:val="24"/>
          <w:szCs w:val="24"/>
        </w:rPr>
        <w:t xml:space="preserve">  </w:t>
      </w:r>
      <w:r>
        <w:rPr>
          <w:rFonts w:hint="eastAsia"/>
          <w:sz w:val="24"/>
          <w:szCs w:val="24"/>
          <w:u w:val="single"/>
          <w:lang w:val="en-US" w:eastAsia="zh-CN"/>
        </w:rPr>
        <w:t xml:space="preserve">         </w:t>
      </w:r>
      <w:r>
        <w:rPr>
          <w:rFonts w:hint="eastAsia"/>
          <w:sz w:val="24"/>
          <w:szCs w:val="24"/>
          <w:u w:val="single"/>
        </w:rPr>
        <w:t xml:space="preserve"> </w:t>
      </w:r>
      <w:r>
        <w:rPr>
          <w:rFonts w:hint="eastAsia"/>
          <w:sz w:val="24"/>
          <w:szCs w:val="24"/>
          <w:u w:val="none"/>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00DD212F">
      <w:pPr>
        <w:spacing w:line="360" w:lineRule="auto"/>
        <w:rPr>
          <w:rFonts w:hint="eastAsia"/>
          <w:szCs w:val="21"/>
        </w:rPr>
      </w:pPr>
      <w:r>
        <w:rPr>
          <w:rFonts w:hint="eastAsia"/>
          <w:szCs w:val="21"/>
        </w:rPr>
        <w:t xml:space="preserve">   </w:t>
      </w:r>
    </w:p>
    <w:p w14:paraId="7EB7BDEF">
      <w:pPr>
        <w:spacing w:line="360" w:lineRule="auto"/>
        <w:rPr>
          <w:rFonts w:hint="eastAsia"/>
          <w:szCs w:val="21"/>
        </w:rPr>
      </w:pPr>
    </w:p>
    <w:p w14:paraId="07939C46">
      <w:pPr>
        <w:spacing w:line="360" w:lineRule="auto"/>
        <w:rPr>
          <w:rFonts w:hint="eastAsia"/>
          <w:szCs w:val="21"/>
        </w:rPr>
      </w:pPr>
    </w:p>
    <w:p w14:paraId="41FA55F4">
      <w:pPr>
        <w:spacing w:line="360" w:lineRule="auto"/>
        <w:rPr>
          <w:rFonts w:hint="eastAsia"/>
          <w:szCs w:val="21"/>
        </w:rPr>
      </w:pPr>
    </w:p>
    <w:p w14:paraId="596769F2">
      <w:pPr>
        <w:spacing w:line="360" w:lineRule="auto"/>
        <w:rPr>
          <w:rFonts w:hint="eastAsia"/>
          <w:szCs w:val="21"/>
        </w:rPr>
      </w:pPr>
    </w:p>
    <w:p w14:paraId="60432E94">
      <w:pPr>
        <w:spacing w:line="360" w:lineRule="auto"/>
        <w:rPr>
          <w:rFonts w:hint="eastAsia"/>
          <w:szCs w:val="21"/>
        </w:rPr>
      </w:pPr>
    </w:p>
    <w:p w14:paraId="7F665E14">
      <w:pPr>
        <w:pStyle w:val="3"/>
        <w:numPr>
          <w:ilvl w:val="0"/>
          <w:numId w:val="0"/>
        </w:numPr>
        <w:spacing w:before="0" w:after="0" w:line="360" w:lineRule="auto"/>
        <w:ind w:left="-420" w:leftChars="0"/>
        <w:rPr>
          <w:rFonts w:hint="eastAsia" w:ascii="宋体" w:hAnsi="宋体" w:eastAsia="宋体" w:cs="宋体"/>
          <w:sz w:val="24"/>
          <w:szCs w:val="24"/>
          <w:lang w:val="en-US" w:eastAsia="zh-CN"/>
        </w:rPr>
      </w:pPr>
      <w:bookmarkStart w:id="630" w:name="_Toc15454"/>
      <w:r>
        <w:rPr>
          <w:rFonts w:hint="eastAsia" w:ascii="宋体" w:hAnsi="宋体" w:eastAsia="宋体" w:cs="宋体"/>
          <w:sz w:val="24"/>
          <w:szCs w:val="24"/>
          <w:lang w:val="en-US" w:eastAsia="zh-CN"/>
        </w:rPr>
        <w:t xml:space="preserve">                        </w:t>
      </w:r>
      <w:r>
        <w:rPr>
          <w:rFonts w:hint="eastAsia" w:ascii="宋体" w:hAnsi="宋体" w:eastAsia="宋体" w:cs="宋体"/>
          <w:b/>
          <w:bCs w:val="0"/>
          <w:sz w:val="24"/>
          <w:szCs w:val="24"/>
          <w:lang w:val="en-US" w:eastAsia="zh-CN"/>
        </w:rPr>
        <w:t xml:space="preserve">   </w:t>
      </w:r>
      <w:r>
        <w:rPr>
          <w:rFonts w:hint="eastAsia" w:ascii="宋体" w:hAnsi="宋体" w:eastAsia="宋体" w:cs="宋体"/>
          <w:b/>
          <w:bCs w:val="0"/>
          <w:sz w:val="28"/>
          <w:szCs w:val="28"/>
          <w:lang w:val="en-US" w:eastAsia="zh-CN"/>
        </w:rPr>
        <w:t xml:space="preserve">     (二) </w:t>
      </w:r>
      <w:r>
        <w:rPr>
          <w:rFonts w:hint="eastAsia" w:ascii="宋体" w:hAnsi="宋体" w:eastAsia="宋体" w:cs="宋体"/>
          <w:b/>
          <w:bCs w:val="0"/>
          <w:kern w:val="2"/>
          <w:sz w:val="28"/>
          <w:szCs w:val="28"/>
          <w:lang w:val="en-US" w:eastAsia="zh-CN" w:bidi="ar-SA"/>
        </w:rPr>
        <w:t>响应</w:t>
      </w:r>
      <w:r>
        <w:rPr>
          <w:rFonts w:hint="eastAsia" w:ascii="宋体" w:hAnsi="宋体" w:eastAsia="宋体" w:cs="宋体"/>
          <w:b/>
          <w:bCs w:val="0"/>
          <w:sz w:val="28"/>
          <w:szCs w:val="28"/>
          <w:lang w:val="en-US" w:eastAsia="zh-CN"/>
        </w:rPr>
        <w:t>一览表</w:t>
      </w:r>
      <w:bookmarkEnd w:id="630"/>
    </w:p>
    <w:tbl>
      <w:tblPr>
        <w:tblStyle w:val="31"/>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1"/>
        <w:gridCol w:w="6955"/>
      </w:tblGrid>
      <w:tr w14:paraId="74304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2331" w:type="dxa"/>
            <w:noWrap w:val="0"/>
            <w:vAlign w:val="center"/>
          </w:tcPr>
          <w:p w14:paraId="62AC8B87">
            <w:pPr>
              <w:spacing w:line="44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项目名称</w:t>
            </w:r>
          </w:p>
        </w:tc>
        <w:tc>
          <w:tcPr>
            <w:tcW w:w="6955" w:type="dxa"/>
            <w:noWrap w:val="0"/>
            <w:vAlign w:val="center"/>
          </w:tcPr>
          <w:p w14:paraId="35DED989">
            <w:pPr>
              <w:spacing w:line="440" w:lineRule="exact"/>
              <w:rPr>
                <w:rFonts w:hint="eastAsia" w:ascii="宋体" w:hAnsi="宋体" w:eastAsia="宋体" w:cs="宋体"/>
                <w:sz w:val="24"/>
                <w:szCs w:val="24"/>
              </w:rPr>
            </w:pPr>
          </w:p>
        </w:tc>
      </w:tr>
      <w:tr w14:paraId="48B1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2331" w:type="dxa"/>
            <w:noWrap w:val="0"/>
            <w:vAlign w:val="center"/>
          </w:tcPr>
          <w:p w14:paraId="73CCA4A6">
            <w:pPr>
              <w:spacing w:line="440" w:lineRule="exact"/>
              <w:jc w:val="center"/>
              <w:rPr>
                <w:rFonts w:hint="eastAsia" w:ascii="宋体" w:hAnsi="宋体" w:eastAsia="宋体" w:cs="宋体"/>
                <w:sz w:val="24"/>
                <w:szCs w:val="24"/>
                <w:lang w:eastAsia="zh-CN"/>
              </w:rPr>
            </w:pPr>
            <w:r>
              <w:rPr>
                <w:rFonts w:hint="eastAsia" w:ascii="宋体" w:hAnsi="宋体" w:eastAsia="宋体" w:cs="宋体"/>
                <w:bCs/>
                <w:sz w:val="24"/>
                <w:szCs w:val="24"/>
                <w:lang w:val="en-US" w:eastAsia="zh-CN"/>
              </w:rPr>
              <w:t>供应商</w:t>
            </w:r>
            <w:r>
              <w:rPr>
                <w:rFonts w:hint="eastAsia" w:ascii="宋体" w:hAnsi="宋体" w:eastAsia="宋体" w:cs="宋体"/>
                <w:bCs/>
                <w:sz w:val="24"/>
                <w:szCs w:val="24"/>
              </w:rPr>
              <w:t>名称</w:t>
            </w:r>
          </w:p>
        </w:tc>
        <w:tc>
          <w:tcPr>
            <w:tcW w:w="6955" w:type="dxa"/>
            <w:noWrap w:val="0"/>
            <w:vAlign w:val="center"/>
          </w:tcPr>
          <w:p w14:paraId="16AF026A">
            <w:pPr>
              <w:spacing w:line="440" w:lineRule="exact"/>
              <w:rPr>
                <w:rFonts w:hint="eastAsia" w:ascii="宋体" w:hAnsi="宋体" w:eastAsia="宋体" w:cs="宋体"/>
                <w:sz w:val="24"/>
                <w:szCs w:val="24"/>
              </w:rPr>
            </w:pPr>
          </w:p>
        </w:tc>
      </w:tr>
      <w:tr w14:paraId="13C2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2331" w:type="dxa"/>
            <w:noWrap w:val="0"/>
            <w:vAlign w:val="center"/>
          </w:tcPr>
          <w:p w14:paraId="66B06F5F">
            <w:pPr>
              <w:spacing w:line="440" w:lineRule="exact"/>
              <w:jc w:val="center"/>
              <w:rPr>
                <w:rFonts w:hint="default" w:ascii="宋体" w:hAnsi="宋体" w:eastAsia="宋体" w:cs="宋体"/>
                <w:bCs/>
                <w:sz w:val="24"/>
                <w:szCs w:val="24"/>
                <w:lang w:val="en-US" w:eastAsia="zh-CN"/>
              </w:rPr>
            </w:pPr>
            <w:r>
              <w:rPr>
                <w:rFonts w:hint="eastAsia" w:cs="宋体"/>
                <w:bCs/>
                <w:sz w:val="24"/>
                <w:szCs w:val="24"/>
                <w:lang w:val="en-US" w:eastAsia="zh-CN"/>
              </w:rPr>
              <w:t>响应报价（费率）</w:t>
            </w:r>
          </w:p>
        </w:tc>
        <w:tc>
          <w:tcPr>
            <w:tcW w:w="6955" w:type="dxa"/>
            <w:noWrap w:val="0"/>
            <w:vAlign w:val="center"/>
          </w:tcPr>
          <w:p w14:paraId="23C8D8FD">
            <w:pPr>
              <w:spacing w:line="460" w:lineRule="exact"/>
              <w:jc w:val="both"/>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小写：</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lang w:val="en-US" w:eastAsia="zh-CN"/>
              </w:rPr>
              <w:t xml:space="preserve">% </w:t>
            </w:r>
          </w:p>
          <w:p w14:paraId="0EE09C7B">
            <w:pPr>
              <w:spacing w:line="440" w:lineRule="exact"/>
              <w:rPr>
                <w:rFonts w:hint="default" w:cs="宋体"/>
                <w:sz w:val="24"/>
                <w:szCs w:val="24"/>
                <w:lang w:val="en-US" w:eastAsia="zh-CN"/>
              </w:rPr>
            </w:pPr>
            <w:r>
              <w:rPr>
                <w:sz w:val="24"/>
              </w:rPr>
              <mc:AlternateContent>
                <mc:Choice Requires="wps">
                  <w:drawing>
                    <wp:anchor distT="0" distB="0" distL="114300" distR="114300" simplePos="0" relativeHeight="251663360" behindDoc="0" locked="0" layoutInCell="1" allowOverlap="1">
                      <wp:simplePos x="0" y="0"/>
                      <wp:positionH relativeFrom="column">
                        <wp:posOffset>944880</wp:posOffset>
                      </wp:positionH>
                      <wp:positionV relativeFrom="paragraph">
                        <wp:posOffset>215900</wp:posOffset>
                      </wp:positionV>
                      <wp:extent cx="913765" cy="8255"/>
                      <wp:effectExtent l="0" t="0" r="0" b="0"/>
                      <wp:wrapNone/>
                      <wp:docPr id="7" name="直接连接符 7"/>
                      <wp:cNvGraphicFramePr/>
                      <a:graphic xmlns:a="http://schemas.openxmlformats.org/drawingml/2006/main">
                        <a:graphicData uri="http://schemas.microsoft.com/office/word/2010/wordprocessingShape">
                          <wps:wsp>
                            <wps:cNvCnPr/>
                            <wps:spPr>
                              <a:xfrm flipV="1">
                                <a:off x="0" y="0"/>
                                <a:ext cx="913765" cy="8255"/>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74.4pt;margin-top:17pt;height:0.65pt;width:71.95pt;z-index:251663360;mso-width-relative:page;mso-height-relative:page;" filled="f" stroked="t" coordsize="21600,21600" o:gfxdata="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ypUBTdYAAAAJAQAADwAAAAAAAAABACAAAAAiAAAAZHJzL2Rvd25yZXYu&#10;eG1sUEsBAhQAFAAAAAgAh07iQK8v4/n9AQAA8AMAAA4AAAAAAAAAAQAgAAAAJQEAAGRycy9lMm9E&#10;b2MueG1sUEsFBgAAAAAGAAYAWQEAAJQFAAAAAA==&#10;">
                      <v:fill on="f" focussize="0,0"/>
                      <v:stroke weight="0.25pt" color="#000000" joinstyle="round"/>
                      <v:imagedata o:title=""/>
                      <o:lock v:ext="edit" aspectratio="f"/>
                    </v:line>
                  </w:pict>
                </mc:Fallback>
              </mc:AlternateContent>
            </w:r>
            <w:r>
              <w:rPr>
                <w:rFonts w:hint="eastAsia" w:ascii="宋体" w:hAnsi="宋体" w:eastAsia="宋体" w:cs="宋体"/>
                <w:sz w:val="24"/>
                <w:szCs w:val="24"/>
                <w:highlight w:val="none"/>
                <w:lang w:val="en-US" w:eastAsia="zh-CN"/>
              </w:rPr>
              <w:t xml:space="preserve">大写：百分之 </w:t>
            </w:r>
          </w:p>
        </w:tc>
      </w:tr>
      <w:tr w14:paraId="10190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331" w:type="dxa"/>
            <w:noWrap w:val="0"/>
            <w:vAlign w:val="center"/>
          </w:tcPr>
          <w:p w14:paraId="6A72C640">
            <w:pPr>
              <w:spacing w:line="440" w:lineRule="exact"/>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采购范围</w:t>
            </w:r>
          </w:p>
        </w:tc>
        <w:tc>
          <w:tcPr>
            <w:tcW w:w="6955" w:type="dxa"/>
            <w:noWrap w:val="0"/>
            <w:vAlign w:val="center"/>
          </w:tcPr>
          <w:p w14:paraId="467DAC0C">
            <w:pPr>
              <w:spacing w:line="440" w:lineRule="exact"/>
              <w:jc w:val="center"/>
              <w:rPr>
                <w:rFonts w:hint="eastAsia" w:ascii="宋体" w:hAnsi="宋体" w:eastAsia="宋体" w:cs="宋体"/>
                <w:sz w:val="24"/>
                <w:szCs w:val="24"/>
              </w:rPr>
            </w:pPr>
          </w:p>
        </w:tc>
      </w:tr>
      <w:tr w14:paraId="4200E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331" w:type="dxa"/>
            <w:noWrap w:val="0"/>
            <w:vAlign w:val="center"/>
          </w:tcPr>
          <w:p w14:paraId="3518A648">
            <w:pPr>
              <w:spacing w:line="440" w:lineRule="exact"/>
              <w:jc w:val="center"/>
              <w:rPr>
                <w:rFonts w:hint="eastAsia" w:ascii="宋体" w:hAnsi="宋体" w:eastAsia="宋体" w:cs="宋体"/>
                <w:sz w:val="24"/>
                <w:szCs w:val="24"/>
                <w:lang w:val="en-US" w:eastAsia="zh-CN"/>
              </w:rPr>
            </w:pPr>
            <w:r>
              <w:rPr>
                <w:rFonts w:hint="eastAsia" w:ascii="宋体" w:hAnsi="宋体" w:eastAsia="宋体" w:cs="宋体"/>
                <w:color w:val="auto"/>
                <w:sz w:val="24"/>
                <w:szCs w:val="24"/>
                <w:highlight w:val="none"/>
                <w:lang w:val="en-US" w:eastAsia="zh-CN"/>
              </w:rPr>
              <w:t>框架协议期限</w:t>
            </w:r>
          </w:p>
        </w:tc>
        <w:tc>
          <w:tcPr>
            <w:tcW w:w="6955" w:type="dxa"/>
            <w:noWrap w:val="0"/>
            <w:vAlign w:val="center"/>
          </w:tcPr>
          <w:p w14:paraId="3FC566D0">
            <w:pPr>
              <w:spacing w:line="44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1年（自合同签订之日起）</w:t>
            </w:r>
          </w:p>
        </w:tc>
      </w:tr>
      <w:tr w14:paraId="3D901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331" w:type="dxa"/>
            <w:noWrap w:val="0"/>
            <w:vAlign w:val="center"/>
          </w:tcPr>
          <w:p w14:paraId="64AEDA5E">
            <w:pPr>
              <w:spacing w:line="44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质量</w:t>
            </w:r>
            <w:r>
              <w:rPr>
                <w:rFonts w:hint="eastAsia" w:ascii="宋体" w:hAnsi="宋体" w:eastAsia="宋体" w:cs="宋体"/>
                <w:sz w:val="24"/>
                <w:szCs w:val="24"/>
                <w:lang w:val="en-US" w:eastAsia="zh-CN"/>
              </w:rPr>
              <w:t>要求</w:t>
            </w:r>
          </w:p>
        </w:tc>
        <w:tc>
          <w:tcPr>
            <w:tcW w:w="6955" w:type="dxa"/>
            <w:noWrap w:val="0"/>
            <w:vAlign w:val="center"/>
          </w:tcPr>
          <w:p w14:paraId="04ED5B74">
            <w:pPr>
              <w:spacing w:line="44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符合国家及行业相关要求合格标准，且满足采购人要求；</w:t>
            </w:r>
          </w:p>
        </w:tc>
      </w:tr>
      <w:tr w14:paraId="5755F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2331" w:type="dxa"/>
            <w:noWrap w:val="0"/>
            <w:vAlign w:val="center"/>
          </w:tcPr>
          <w:p w14:paraId="6A99AE13">
            <w:pPr>
              <w:spacing w:line="440" w:lineRule="exact"/>
              <w:jc w:val="center"/>
              <w:rPr>
                <w:rFonts w:hint="eastAsia" w:ascii="宋体" w:hAnsi="宋体" w:eastAsia="宋体" w:cs="宋体"/>
                <w:sz w:val="24"/>
                <w:szCs w:val="24"/>
              </w:rPr>
            </w:pPr>
            <w:r>
              <w:rPr>
                <w:rFonts w:hint="eastAsia" w:ascii="宋体" w:hAnsi="宋体" w:eastAsia="宋体" w:cs="宋体"/>
                <w:sz w:val="24"/>
                <w:szCs w:val="24"/>
                <w:lang w:val="en-US" w:eastAsia="zh-CN"/>
              </w:rPr>
              <w:t>响应</w:t>
            </w:r>
            <w:r>
              <w:rPr>
                <w:rFonts w:hint="eastAsia" w:ascii="宋体" w:hAnsi="宋体" w:eastAsia="宋体" w:cs="宋体"/>
                <w:sz w:val="24"/>
                <w:szCs w:val="24"/>
              </w:rPr>
              <w:t>有效期</w:t>
            </w:r>
          </w:p>
        </w:tc>
        <w:tc>
          <w:tcPr>
            <w:tcW w:w="6955" w:type="dxa"/>
            <w:noWrap w:val="0"/>
            <w:vAlign w:val="center"/>
          </w:tcPr>
          <w:p w14:paraId="69680B5D">
            <w:pPr>
              <w:spacing w:line="44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自递交响应文件截止之日起60日历天</w:t>
            </w:r>
          </w:p>
        </w:tc>
      </w:tr>
      <w:tr w14:paraId="3ABDC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7" w:hRule="atLeast"/>
          <w:jc w:val="center"/>
        </w:trPr>
        <w:tc>
          <w:tcPr>
            <w:tcW w:w="9286" w:type="dxa"/>
            <w:gridSpan w:val="2"/>
            <w:noWrap w:val="0"/>
            <w:vAlign w:val="center"/>
          </w:tcPr>
          <w:p w14:paraId="1DF117E7">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其他声明：</w:t>
            </w:r>
          </w:p>
        </w:tc>
      </w:tr>
    </w:tbl>
    <w:p w14:paraId="3437BC8F">
      <w:pPr>
        <w:spacing w:line="360" w:lineRule="auto"/>
        <w:ind w:firstLine="4800" w:firstLineChars="2000"/>
        <w:rPr>
          <w:rFonts w:hint="eastAsia" w:cs="微软雅黑"/>
          <w:kern w:val="0"/>
          <w:sz w:val="24"/>
          <w:szCs w:val="24"/>
        </w:rPr>
      </w:pPr>
    </w:p>
    <w:p w14:paraId="1AF7C03C">
      <w:pPr>
        <w:spacing w:line="360" w:lineRule="auto"/>
        <w:ind w:firstLine="4800" w:firstLineChars="2000"/>
        <w:rPr>
          <w:rFonts w:hint="eastAsia" w:cs="微软雅黑"/>
          <w:kern w:val="0"/>
          <w:sz w:val="24"/>
          <w:szCs w:val="24"/>
        </w:rPr>
      </w:pPr>
    </w:p>
    <w:p w14:paraId="504F23F0">
      <w:pPr>
        <w:spacing w:line="360" w:lineRule="auto"/>
        <w:ind w:firstLine="3840" w:firstLineChars="1600"/>
        <w:rPr>
          <w:rFonts w:hint="eastAsia"/>
          <w:bCs/>
          <w:sz w:val="24"/>
          <w:szCs w:val="24"/>
        </w:rPr>
      </w:pPr>
      <w:r>
        <w:rPr>
          <w:rFonts w:hint="eastAsia" w:cs="微软雅黑"/>
          <w:kern w:val="0"/>
          <w:sz w:val="24"/>
          <w:szCs w:val="24"/>
        </w:rPr>
        <w:t>供应商</w:t>
      </w:r>
      <w:r>
        <w:rPr>
          <w:rFonts w:hint="eastAsia"/>
          <w:bCs/>
          <w:sz w:val="24"/>
          <w:szCs w:val="24"/>
        </w:rPr>
        <w:t>：</w:t>
      </w:r>
      <w:r>
        <w:rPr>
          <w:rFonts w:hint="eastAsia"/>
          <w:bCs/>
          <w:sz w:val="24"/>
          <w:szCs w:val="24"/>
          <w:u w:val="single"/>
        </w:rPr>
        <w:t xml:space="preserve">                      </w:t>
      </w:r>
      <w:r>
        <w:rPr>
          <w:rFonts w:hint="eastAsia"/>
          <w:bCs/>
          <w:sz w:val="24"/>
          <w:szCs w:val="24"/>
        </w:rPr>
        <w:t>（盖章）</w:t>
      </w:r>
    </w:p>
    <w:p w14:paraId="4ACAAEC7">
      <w:pPr>
        <w:spacing w:line="360" w:lineRule="auto"/>
        <w:ind w:firstLine="3120" w:firstLineChars="1300"/>
        <w:rPr>
          <w:rFonts w:hint="eastAsia"/>
          <w:bCs/>
          <w:sz w:val="24"/>
          <w:szCs w:val="24"/>
        </w:rPr>
      </w:pPr>
      <w:r>
        <w:rPr>
          <w:rFonts w:hint="eastAsia"/>
          <w:bCs/>
          <w:sz w:val="24"/>
          <w:szCs w:val="24"/>
        </w:rPr>
        <w:t>法定代表人或其委托代理人：</w:t>
      </w:r>
      <w:r>
        <w:rPr>
          <w:rFonts w:hint="eastAsia"/>
          <w:bCs/>
          <w:sz w:val="24"/>
          <w:szCs w:val="24"/>
          <w:u w:val="single"/>
        </w:rPr>
        <w:t xml:space="preserve">        </w:t>
      </w:r>
      <w:r>
        <w:rPr>
          <w:rFonts w:hint="eastAsia"/>
          <w:bCs/>
          <w:sz w:val="24"/>
          <w:szCs w:val="24"/>
        </w:rPr>
        <w:t>（</w:t>
      </w:r>
      <w:r>
        <w:rPr>
          <w:rFonts w:hint="eastAsia"/>
          <w:sz w:val="24"/>
          <w:szCs w:val="24"/>
        </w:rPr>
        <w:t>签字或盖章</w:t>
      </w:r>
      <w:r>
        <w:rPr>
          <w:rFonts w:hint="eastAsia"/>
          <w:bCs/>
          <w:sz w:val="24"/>
          <w:szCs w:val="24"/>
        </w:rPr>
        <w:t>）</w:t>
      </w:r>
    </w:p>
    <w:p w14:paraId="019478E5">
      <w:pPr>
        <w:tabs>
          <w:tab w:val="left" w:pos="5380"/>
          <w:tab w:val="left" w:pos="6520"/>
          <w:tab w:val="left" w:pos="7680"/>
        </w:tabs>
        <w:autoSpaceDE w:val="0"/>
        <w:autoSpaceDN w:val="0"/>
        <w:adjustRightInd w:val="0"/>
        <w:spacing w:line="360" w:lineRule="auto"/>
        <w:ind w:firstLine="4800" w:firstLineChars="2000"/>
        <w:jc w:val="left"/>
        <w:rPr>
          <w:rFonts w:hint="eastAsia"/>
          <w:bCs/>
          <w:kern w:val="0"/>
          <w:sz w:val="24"/>
          <w:szCs w:val="24"/>
        </w:rPr>
      </w:pPr>
      <w:r>
        <w:rPr>
          <w:rFonts w:hint="eastAsia"/>
          <w:bCs/>
          <w:kern w:val="0"/>
          <w:sz w:val="24"/>
          <w:szCs w:val="24"/>
          <w:u w:val="single"/>
        </w:rPr>
        <w:t xml:space="preserve">     </w:t>
      </w:r>
      <w:r>
        <w:rPr>
          <w:rFonts w:hint="eastAsia"/>
          <w:bCs/>
          <w:spacing w:val="43"/>
          <w:kern w:val="0"/>
          <w:sz w:val="24"/>
          <w:szCs w:val="24"/>
          <w:u w:val="single"/>
        </w:rPr>
        <w:t xml:space="preserve"> </w:t>
      </w:r>
      <w:r>
        <w:rPr>
          <w:rFonts w:hint="eastAsia"/>
          <w:bCs/>
          <w:kern w:val="0"/>
          <w:sz w:val="24"/>
          <w:szCs w:val="24"/>
        </w:rPr>
        <w:t>年</w:t>
      </w:r>
      <w:r>
        <w:rPr>
          <w:rFonts w:hint="eastAsia"/>
          <w:bCs/>
          <w:kern w:val="0"/>
          <w:sz w:val="24"/>
          <w:szCs w:val="24"/>
          <w:u w:val="single"/>
        </w:rPr>
        <w:t xml:space="preserve">       </w:t>
      </w:r>
      <w:r>
        <w:rPr>
          <w:rFonts w:hint="eastAsia"/>
          <w:bCs/>
          <w:kern w:val="0"/>
          <w:sz w:val="24"/>
          <w:szCs w:val="24"/>
        </w:rPr>
        <w:t>月</w:t>
      </w:r>
      <w:r>
        <w:rPr>
          <w:rFonts w:hint="eastAsia"/>
          <w:bCs/>
          <w:kern w:val="0"/>
          <w:sz w:val="24"/>
          <w:szCs w:val="24"/>
          <w:u w:val="single"/>
        </w:rPr>
        <w:t xml:space="preserve">      </w:t>
      </w:r>
      <w:r>
        <w:rPr>
          <w:rFonts w:hint="eastAsia"/>
          <w:bCs/>
          <w:kern w:val="0"/>
          <w:sz w:val="24"/>
          <w:szCs w:val="24"/>
        </w:rPr>
        <w:t>日</w:t>
      </w:r>
    </w:p>
    <w:p w14:paraId="035E3182">
      <w:pPr>
        <w:spacing w:line="360" w:lineRule="auto"/>
        <w:rPr>
          <w:rFonts w:hint="eastAsia"/>
          <w:sz w:val="24"/>
          <w:szCs w:val="24"/>
        </w:rPr>
      </w:pPr>
    </w:p>
    <w:p w14:paraId="5538C301">
      <w:pPr>
        <w:spacing w:line="360" w:lineRule="auto"/>
        <w:rPr>
          <w:rFonts w:hint="eastAsia"/>
          <w:szCs w:val="21"/>
        </w:rPr>
      </w:pPr>
    </w:p>
    <w:p w14:paraId="2E2F1C07">
      <w:pPr>
        <w:spacing w:line="360" w:lineRule="auto"/>
        <w:rPr>
          <w:rFonts w:hint="eastAsia"/>
          <w:szCs w:val="21"/>
        </w:rPr>
      </w:pPr>
    </w:p>
    <w:p w14:paraId="72FE13E4">
      <w:pPr>
        <w:spacing w:line="360" w:lineRule="auto"/>
        <w:rPr>
          <w:rFonts w:hint="eastAsia"/>
          <w:szCs w:val="21"/>
        </w:rPr>
      </w:pPr>
    </w:p>
    <w:p w14:paraId="6CC55E7D">
      <w:pPr>
        <w:spacing w:line="360" w:lineRule="auto"/>
        <w:rPr>
          <w:rFonts w:hint="eastAsia"/>
          <w:szCs w:val="21"/>
        </w:rPr>
      </w:pPr>
    </w:p>
    <w:p w14:paraId="20775509">
      <w:pPr>
        <w:spacing w:line="360" w:lineRule="auto"/>
        <w:jc w:val="center"/>
        <w:rPr>
          <w:rFonts w:hint="eastAsia" w:ascii="宋体" w:hAnsi="宋体" w:cs="宋体"/>
          <w:b/>
          <w:sz w:val="30"/>
          <w:szCs w:val="30"/>
        </w:rPr>
      </w:pPr>
      <w:r>
        <w:rPr>
          <w:rFonts w:hint="eastAsia" w:ascii="宋体" w:hAnsi="宋体" w:eastAsia="宋体"/>
          <w:sz w:val="24"/>
          <w:szCs w:val="24"/>
          <w:lang w:eastAsia="zh-CN"/>
        </w:rPr>
        <w:br w:type="page"/>
      </w:r>
      <w:r>
        <w:rPr>
          <w:rFonts w:hint="eastAsia" w:ascii="宋体" w:hAnsi="宋体" w:cs="宋体"/>
          <w:b/>
          <w:sz w:val="30"/>
          <w:szCs w:val="30"/>
        </w:rPr>
        <w:t>二、法定代表人身份证明</w:t>
      </w:r>
    </w:p>
    <w:p w14:paraId="7B7D4CB3">
      <w:pPr>
        <w:keepNext w:val="0"/>
        <w:keepLines w:val="0"/>
        <w:pageBreakBefore w:val="0"/>
        <w:widowControl w:val="0"/>
        <w:kinsoku/>
        <w:overflowPunct/>
        <w:topLinePunct w:val="0"/>
        <w:autoSpaceDE/>
        <w:autoSpaceDN/>
        <w:bidi w:val="0"/>
        <w:adjustRightInd/>
        <w:snapToGrid/>
        <w:spacing w:line="500" w:lineRule="exact"/>
        <w:jc w:val="center"/>
        <w:textAlignment w:val="auto"/>
        <w:rPr>
          <w:rFonts w:hint="eastAsia" w:ascii="宋体" w:hAnsi="宋体" w:cs="宋体"/>
          <w:sz w:val="24"/>
        </w:rPr>
      </w:pPr>
    </w:p>
    <w:p w14:paraId="199A85FC">
      <w:pPr>
        <w:keepNext w:val="0"/>
        <w:keepLines w:val="0"/>
        <w:pageBreakBefore w:val="0"/>
        <w:widowControl w:val="0"/>
        <w:kinsoku/>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u w:val="single"/>
        </w:rPr>
      </w:pPr>
      <w:r>
        <w:rPr>
          <w:rFonts w:hint="eastAsia" w:ascii="宋体" w:hAnsi="宋体" w:cs="宋体"/>
          <w:sz w:val="24"/>
          <w:szCs w:val="24"/>
        </w:rPr>
        <w:t>供应商名称：</w:t>
      </w:r>
      <w:r>
        <w:rPr>
          <w:rFonts w:hint="eastAsia" w:ascii="宋体" w:hAnsi="宋体" w:cs="宋体"/>
          <w:sz w:val="24"/>
          <w:szCs w:val="24"/>
          <w:u w:val="single"/>
        </w:rPr>
        <w:t xml:space="preserve">                                </w:t>
      </w:r>
    </w:p>
    <w:p w14:paraId="349ADFC8">
      <w:pPr>
        <w:keepNext w:val="0"/>
        <w:keepLines w:val="0"/>
        <w:pageBreakBefore w:val="0"/>
        <w:widowControl w:val="0"/>
        <w:kinsoku/>
        <w:overflowPunct/>
        <w:topLinePunct w:val="0"/>
        <w:autoSpaceDE/>
        <w:autoSpaceDN/>
        <w:bidi w:val="0"/>
        <w:adjustRightInd/>
        <w:snapToGrid/>
        <w:spacing w:line="500" w:lineRule="exact"/>
        <w:ind w:firstLine="480" w:firstLineChars="200"/>
        <w:textAlignment w:val="auto"/>
        <w:rPr>
          <w:rFonts w:hint="eastAsia" w:ascii="宋体" w:hAnsi="宋体" w:cs="宋体"/>
          <w:color w:val="auto"/>
          <w:sz w:val="24"/>
          <w:szCs w:val="24"/>
        </w:rPr>
      </w:pPr>
      <w:r>
        <w:rPr>
          <w:rFonts w:hint="eastAsia" w:ascii="宋体" w:hAnsi="宋体" w:cs="宋体"/>
          <w:sz w:val="24"/>
          <w:szCs w:val="24"/>
        </w:rPr>
        <w:t>单位性质：</w:t>
      </w:r>
      <w:r>
        <w:rPr>
          <w:rFonts w:hint="eastAsia" w:ascii="宋体" w:hAnsi="宋体" w:cs="宋体"/>
          <w:b w:val="0"/>
          <w:bCs w:val="0"/>
          <w:sz w:val="24"/>
          <w:szCs w:val="24"/>
          <w:u w:val="single"/>
        </w:rPr>
        <w:t xml:space="preserve">                                  </w:t>
      </w:r>
      <w:r>
        <w:rPr>
          <w:rFonts w:hint="eastAsia" w:ascii="宋体" w:hAnsi="宋体" w:cs="宋体"/>
          <w:color w:val="auto"/>
          <w:sz w:val="24"/>
          <w:szCs w:val="24"/>
          <w:u w:val="single"/>
        </w:rPr>
        <w:t xml:space="preserve"> </w:t>
      </w:r>
    </w:p>
    <w:p w14:paraId="2F329E1B">
      <w:pPr>
        <w:keepNext w:val="0"/>
        <w:keepLines w:val="0"/>
        <w:pageBreakBefore w:val="0"/>
        <w:widowControl w:val="0"/>
        <w:kinsoku/>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rPr>
      </w:pPr>
      <w:r>
        <w:rPr>
          <w:rFonts w:hint="eastAsia" w:ascii="宋体" w:hAnsi="宋体" w:cs="宋体"/>
          <w:sz w:val="24"/>
          <w:szCs w:val="24"/>
        </w:rPr>
        <w:t>地    址：</w:t>
      </w:r>
      <w:r>
        <w:rPr>
          <w:rFonts w:hint="eastAsia" w:ascii="宋体" w:hAnsi="宋体" w:cs="宋体"/>
          <w:sz w:val="24"/>
          <w:szCs w:val="24"/>
          <w:u w:val="single"/>
        </w:rPr>
        <w:t xml:space="preserve">                                   </w:t>
      </w:r>
    </w:p>
    <w:p w14:paraId="10C176C1">
      <w:pPr>
        <w:keepNext w:val="0"/>
        <w:keepLines w:val="0"/>
        <w:pageBreakBefore w:val="0"/>
        <w:widowControl w:val="0"/>
        <w:kinsoku/>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rPr>
      </w:pPr>
      <w:r>
        <w:rPr>
          <w:rFonts w:hint="eastAsia" w:ascii="宋体" w:hAnsi="宋体" w:cs="宋体"/>
          <w:sz w:val="24"/>
          <w:szCs w:val="24"/>
        </w:rPr>
        <w:t>成立时间：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日</w:t>
      </w:r>
    </w:p>
    <w:p w14:paraId="36F37735">
      <w:pPr>
        <w:keepNext w:val="0"/>
        <w:keepLines w:val="0"/>
        <w:pageBreakBefore w:val="0"/>
        <w:widowControl w:val="0"/>
        <w:kinsoku/>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rPr>
      </w:pPr>
      <w:r>
        <w:rPr>
          <w:rFonts w:hint="eastAsia" w:ascii="宋体" w:hAnsi="宋体" w:cs="宋体"/>
          <w:sz w:val="24"/>
          <w:szCs w:val="24"/>
        </w:rPr>
        <w:t>经营期限：</w:t>
      </w:r>
      <w:r>
        <w:rPr>
          <w:rFonts w:hint="eastAsia" w:ascii="宋体" w:hAnsi="宋体" w:cs="宋体"/>
          <w:sz w:val="24"/>
          <w:szCs w:val="24"/>
          <w:u w:val="single"/>
        </w:rPr>
        <w:t xml:space="preserve">                                   </w:t>
      </w:r>
    </w:p>
    <w:p w14:paraId="49FFF46D">
      <w:pPr>
        <w:keepNext w:val="0"/>
        <w:keepLines w:val="0"/>
        <w:pageBreakBefore w:val="0"/>
        <w:widowControl w:val="0"/>
        <w:kinsoku/>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u w:val="single"/>
        </w:rPr>
      </w:pPr>
      <w:r>
        <w:rPr>
          <w:rFonts w:hint="eastAsia" w:ascii="宋体" w:hAnsi="宋体" w:cs="宋体"/>
          <w:sz w:val="24"/>
          <w:szCs w:val="24"/>
        </w:rPr>
        <w:t>姓名：</w:t>
      </w:r>
      <w:r>
        <w:rPr>
          <w:rFonts w:hint="eastAsia" w:ascii="宋体" w:hAnsi="宋体" w:cs="宋体"/>
          <w:sz w:val="24"/>
          <w:szCs w:val="24"/>
          <w:u w:val="single"/>
        </w:rPr>
        <w:t xml:space="preserve">     </w:t>
      </w:r>
      <w:r>
        <w:rPr>
          <w:rFonts w:hint="eastAsia" w:ascii="宋体" w:hAnsi="宋体" w:cs="宋体"/>
          <w:sz w:val="24"/>
          <w:szCs w:val="24"/>
        </w:rPr>
        <w:t>性别：</w:t>
      </w:r>
      <w:r>
        <w:rPr>
          <w:rFonts w:hint="eastAsia" w:ascii="宋体" w:hAnsi="宋体" w:cs="宋体"/>
          <w:sz w:val="24"/>
          <w:szCs w:val="24"/>
          <w:u w:val="single"/>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职务：</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系</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rPr>
        <w:t>（供应商名称）的法定代表人。</w:t>
      </w:r>
    </w:p>
    <w:p w14:paraId="24C81BB8">
      <w:pPr>
        <w:keepNext w:val="0"/>
        <w:keepLines w:val="0"/>
        <w:pageBreakBefore w:val="0"/>
        <w:widowControl w:val="0"/>
        <w:kinsoku/>
        <w:overflowPunct/>
        <w:topLinePunct w:val="0"/>
        <w:autoSpaceDE/>
        <w:autoSpaceDN/>
        <w:bidi w:val="0"/>
        <w:adjustRightInd/>
        <w:snapToGrid/>
        <w:spacing w:line="500" w:lineRule="exact"/>
        <w:ind w:firstLine="480" w:firstLineChars="200"/>
        <w:textAlignment w:val="auto"/>
        <w:rPr>
          <w:rFonts w:hint="eastAsia" w:ascii="宋体" w:hAnsi="宋体" w:cs="宋体"/>
          <w:sz w:val="24"/>
          <w:szCs w:val="24"/>
        </w:rPr>
      </w:pPr>
      <w:r>
        <w:rPr>
          <w:rFonts w:hint="eastAsia" w:ascii="宋体" w:hAnsi="宋体" w:cs="宋体"/>
          <w:sz w:val="24"/>
          <w:szCs w:val="24"/>
        </w:rPr>
        <w:t>特此证明。</w:t>
      </w:r>
    </w:p>
    <w:p w14:paraId="1B0C428F">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宋体" w:hAnsi="宋体" w:cs="宋体"/>
          <w:sz w:val="24"/>
          <w:szCs w:val="24"/>
        </w:rPr>
      </w:pPr>
    </w:p>
    <w:p w14:paraId="301E911F">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宋体" w:hAnsi="宋体" w:cs="宋体"/>
          <w:sz w:val="24"/>
          <w:szCs w:val="24"/>
        </w:rPr>
      </w:pPr>
    </w:p>
    <w:p w14:paraId="2D116BE5">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宋体" w:hAnsi="宋体" w:cs="宋体"/>
          <w:sz w:val="24"/>
          <w:szCs w:val="24"/>
        </w:rPr>
      </w:pPr>
    </w:p>
    <w:p w14:paraId="20812C12">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宋体" w:hAnsi="宋体" w:cs="宋体"/>
          <w:sz w:val="24"/>
          <w:szCs w:val="24"/>
        </w:rPr>
      </w:pPr>
    </w:p>
    <w:p w14:paraId="2AC34848">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sz w:val="24"/>
          <w:szCs w:val="24"/>
        </w:rPr>
      </w:pPr>
      <w:r>
        <w:rPr>
          <w:rFonts w:hint="eastAsia" w:ascii="宋体" w:hAnsi="宋体"/>
          <w:sz w:val="24"/>
          <w:szCs w:val="24"/>
        </w:rPr>
        <w:t xml:space="preserve">                                       供应商：</w:t>
      </w:r>
      <w:r>
        <w:rPr>
          <w:rFonts w:hint="eastAsia" w:ascii="宋体" w:hAnsi="宋体"/>
          <w:sz w:val="24"/>
          <w:szCs w:val="24"/>
          <w:u w:val="single"/>
        </w:rPr>
        <w:t xml:space="preserve">              </w:t>
      </w:r>
      <w:r>
        <w:rPr>
          <w:rFonts w:hint="eastAsia" w:ascii="宋体" w:hAnsi="宋体"/>
          <w:sz w:val="24"/>
          <w:szCs w:val="24"/>
        </w:rPr>
        <w:t>（</w:t>
      </w:r>
      <w:r>
        <w:rPr>
          <w:rFonts w:hint="eastAsia" w:ascii="宋体" w:hAnsi="宋体"/>
          <w:sz w:val="24"/>
          <w:szCs w:val="24"/>
          <w:lang w:val="en-US" w:eastAsia="zh-CN"/>
        </w:rPr>
        <w:t>盖单位</w:t>
      </w:r>
      <w:r>
        <w:rPr>
          <w:rFonts w:hint="eastAsia" w:ascii="宋体" w:hAnsi="宋体"/>
          <w:sz w:val="24"/>
          <w:szCs w:val="24"/>
        </w:rPr>
        <w:t>章）</w:t>
      </w:r>
    </w:p>
    <w:p w14:paraId="0EB21C8D">
      <w:pPr>
        <w:keepNext w:val="0"/>
        <w:keepLines w:val="0"/>
        <w:pageBreakBefore w:val="0"/>
        <w:widowControl w:val="0"/>
        <w:kinsoku/>
        <w:wordWrap w:val="0"/>
        <w:overflowPunct/>
        <w:topLinePunct w:val="0"/>
        <w:autoSpaceDE/>
        <w:autoSpaceDN/>
        <w:bidi w:val="0"/>
        <w:adjustRightInd/>
        <w:snapToGrid/>
        <w:spacing w:line="500" w:lineRule="exact"/>
        <w:jc w:val="right"/>
        <w:textAlignment w:val="auto"/>
        <w:rPr>
          <w:rFonts w:hint="eastAsia" w:ascii="宋体" w:hAnsi="宋体"/>
          <w:sz w:val="24"/>
          <w:szCs w:val="24"/>
        </w:rPr>
      </w:pPr>
      <w:r>
        <w:rPr>
          <w:rFonts w:hint="eastAsia" w:ascii="宋体" w:hAnsi="宋体"/>
          <w:sz w:val="24"/>
          <w:szCs w:val="24"/>
        </w:rPr>
        <w:t xml:space="preserve">   法定代表人或其委托代理人：</w:t>
      </w:r>
      <w:r>
        <w:rPr>
          <w:rFonts w:hint="eastAsia" w:ascii="宋体" w:hAnsi="宋体"/>
          <w:sz w:val="24"/>
          <w:szCs w:val="24"/>
          <w:u w:val="single"/>
        </w:rPr>
        <w:t xml:space="preserve">        </w:t>
      </w:r>
      <w:r>
        <w:rPr>
          <w:rFonts w:hint="eastAsia" w:ascii="宋体" w:hAnsi="宋体"/>
          <w:sz w:val="24"/>
          <w:szCs w:val="24"/>
        </w:rPr>
        <w:t>（</w:t>
      </w:r>
      <w:r>
        <w:rPr>
          <w:rFonts w:hint="eastAsia" w:ascii="宋体" w:hAnsi="宋体"/>
          <w:sz w:val="24"/>
          <w:szCs w:val="24"/>
          <w:lang w:val="en-US" w:eastAsia="zh-CN"/>
        </w:rPr>
        <w:t>签字或盖章</w:t>
      </w:r>
      <w:r>
        <w:rPr>
          <w:rFonts w:hint="eastAsia" w:ascii="宋体" w:hAnsi="宋体"/>
          <w:sz w:val="24"/>
          <w:szCs w:val="24"/>
        </w:rPr>
        <w:t>）</w:t>
      </w:r>
    </w:p>
    <w:p w14:paraId="7AA225CB">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sz w:val="24"/>
          <w:szCs w:val="24"/>
        </w:rPr>
      </w:pPr>
      <w:r>
        <w:rPr>
          <w:rFonts w:hint="eastAsia" w:ascii="宋体" w:hAnsi="宋体"/>
          <w:sz w:val="24"/>
          <w:szCs w:val="24"/>
        </w:rPr>
        <w:t xml:space="preserve">                                     </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53C80903">
      <w:pPr>
        <w:spacing w:line="360" w:lineRule="auto"/>
        <w:rPr>
          <w:rFonts w:ascii="宋体" w:hAnsi="宋体" w:cs="宋体"/>
          <w:b/>
          <w:bCs/>
          <w:szCs w:val="21"/>
        </w:rPr>
      </w:pPr>
      <w:r>
        <w:rPr>
          <w:rFonts w:hint="eastAsia" w:ascii="宋体" w:hAnsi="宋体" w:cs="宋体"/>
          <w:szCs w:val="21"/>
        </w:rPr>
        <w:br w:type="page"/>
      </w:r>
      <w:bookmarkEnd w:id="629"/>
      <w:r>
        <w:rPr>
          <w:rFonts w:hint="eastAsia" w:ascii="宋体" w:hAnsi="宋体" w:cs="宋体"/>
          <w:szCs w:val="21"/>
          <w:lang w:val="en-US" w:eastAsia="zh-CN"/>
        </w:rPr>
        <w:t xml:space="preserve">                               </w:t>
      </w:r>
      <w:r>
        <w:rPr>
          <w:rFonts w:hint="eastAsia" w:ascii="宋体" w:hAnsi="宋体" w:cs="宋体"/>
          <w:b/>
          <w:bCs/>
          <w:sz w:val="30"/>
          <w:szCs w:val="30"/>
          <w:lang w:val="en-US" w:eastAsia="zh-CN"/>
        </w:rPr>
        <w:t>三、</w:t>
      </w:r>
      <w:r>
        <w:rPr>
          <w:rFonts w:hint="eastAsia" w:ascii="宋体" w:hAnsi="宋体" w:cs="宋体"/>
          <w:b/>
          <w:bCs/>
          <w:sz w:val="30"/>
          <w:szCs w:val="30"/>
        </w:rPr>
        <w:t xml:space="preserve">授权委托书 </w:t>
      </w:r>
    </w:p>
    <w:p w14:paraId="59AEF300">
      <w:pPr>
        <w:spacing w:line="440" w:lineRule="exact"/>
        <w:rPr>
          <w:rFonts w:hint="eastAsia" w:ascii="宋体" w:hAnsi="宋体" w:cs="宋体"/>
          <w:b/>
          <w:bCs/>
          <w:sz w:val="24"/>
          <w:szCs w:val="24"/>
        </w:rPr>
      </w:pPr>
    </w:p>
    <w:p w14:paraId="7EDB5D8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bCs/>
          <w:sz w:val="24"/>
          <w:szCs w:val="24"/>
        </w:rPr>
      </w:pPr>
      <w:r>
        <w:rPr>
          <w:rFonts w:hint="eastAsia" w:ascii="宋体" w:hAnsi="宋体" w:cs="宋体"/>
          <w:bCs/>
          <w:sz w:val="24"/>
          <w:szCs w:val="24"/>
        </w:rPr>
        <w:t>本人</w:t>
      </w:r>
      <w:r>
        <w:rPr>
          <w:rFonts w:hint="eastAsia" w:ascii="宋体" w:hAnsi="宋体" w:cs="宋体"/>
          <w:bCs/>
          <w:sz w:val="24"/>
          <w:szCs w:val="24"/>
          <w:u w:val="single"/>
        </w:rPr>
        <w:t xml:space="preserve">      </w:t>
      </w:r>
      <w:r>
        <w:rPr>
          <w:rFonts w:hint="eastAsia" w:ascii="宋体" w:hAnsi="宋体" w:cs="宋体"/>
          <w:bCs/>
          <w:sz w:val="24"/>
          <w:szCs w:val="24"/>
        </w:rPr>
        <w:t>（姓名）系</w:t>
      </w:r>
      <w:r>
        <w:rPr>
          <w:rFonts w:hint="eastAsia" w:ascii="宋体" w:hAnsi="宋体" w:cs="宋体"/>
          <w:bCs/>
          <w:sz w:val="24"/>
          <w:szCs w:val="24"/>
          <w:u w:val="single"/>
        </w:rPr>
        <w:t xml:space="preserve">        </w:t>
      </w:r>
      <w:r>
        <w:rPr>
          <w:rFonts w:hint="eastAsia" w:ascii="宋体" w:hAnsi="宋体" w:cs="宋体"/>
          <w:bCs/>
          <w:sz w:val="24"/>
          <w:szCs w:val="24"/>
        </w:rPr>
        <w:t>（供应商名称）的法定代表人，现委托</w:t>
      </w:r>
      <w:r>
        <w:rPr>
          <w:rFonts w:hint="eastAsia" w:ascii="宋体" w:hAnsi="宋体" w:cs="宋体"/>
          <w:bCs/>
          <w:sz w:val="24"/>
          <w:szCs w:val="24"/>
          <w:u w:val="single"/>
        </w:rPr>
        <w:t xml:space="preserve">      </w:t>
      </w:r>
      <w:r>
        <w:rPr>
          <w:rFonts w:hint="eastAsia" w:ascii="宋体" w:hAnsi="宋体" w:cs="宋体"/>
          <w:bCs/>
          <w:sz w:val="24"/>
          <w:szCs w:val="24"/>
        </w:rPr>
        <w:t>（姓名）为我方代理人。代理人根据授权，以我方名义签署、澄清、说明、补正、递交、撤回、修改</w:t>
      </w:r>
      <w:r>
        <w:rPr>
          <w:rFonts w:hint="eastAsia" w:ascii="宋体" w:hAnsi="宋体" w:cs="宋体"/>
          <w:bCs/>
          <w:sz w:val="24"/>
          <w:szCs w:val="24"/>
          <w:u w:val="single"/>
        </w:rPr>
        <w:t xml:space="preserve">        </w:t>
      </w:r>
      <w:r>
        <w:rPr>
          <w:rFonts w:hint="eastAsia" w:ascii="宋体" w:hAnsi="宋体" w:cs="宋体"/>
          <w:bCs/>
          <w:sz w:val="24"/>
          <w:szCs w:val="24"/>
        </w:rPr>
        <w:t>（项目名称）</w:t>
      </w:r>
      <w:r>
        <w:rPr>
          <w:rFonts w:hint="eastAsia" w:cs="宋体"/>
          <w:bCs/>
          <w:sz w:val="24"/>
          <w:szCs w:val="24"/>
          <w:lang w:val="en-US" w:eastAsia="zh-CN"/>
        </w:rPr>
        <w:t>响应</w:t>
      </w:r>
      <w:r>
        <w:rPr>
          <w:rFonts w:hint="eastAsia" w:ascii="宋体" w:hAnsi="宋体" w:cs="宋体"/>
          <w:bCs/>
          <w:sz w:val="24"/>
          <w:szCs w:val="24"/>
        </w:rPr>
        <w:t>文件、签订合同和处理有关事宜，其法律后果由我方承担。</w:t>
      </w:r>
    </w:p>
    <w:p w14:paraId="71CC410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bCs/>
          <w:sz w:val="24"/>
          <w:szCs w:val="24"/>
        </w:rPr>
      </w:pPr>
      <w:r>
        <w:rPr>
          <w:rFonts w:hint="eastAsia" w:ascii="宋体" w:hAnsi="宋体" w:cs="宋体"/>
          <w:bCs/>
          <w:sz w:val="24"/>
          <w:szCs w:val="24"/>
        </w:rPr>
        <w:t>委托期限：</w:t>
      </w:r>
      <w:r>
        <w:rPr>
          <w:rFonts w:hint="eastAsia" w:ascii="宋体" w:hAnsi="宋体" w:cs="宋体"/>
          <w:bCs/>
          <w:sz w:val="24"/>
          <w:szCs w:val="24"/>
          <w:u w:val="single"/>
        </w:rPr>
        <w:t>自递交响应文件截止之日起60日历天</w:t>
      </w:r>
      <w:r>
        <w:rPr>
          <w:rFonts w:hint="eastAsia" w:ascii="宋体" w:hAnsi="宋体" w:cs="宋体"/>
          <w:bCs/>
          <w:sz w:val="24"/>
          <w:szCs w:val="24"/>
        </w:rPr>
        <w:t>。</w:t>
      </w:r>
    </w:p>
    <w:p w14:paraId="659D805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bCs/>
          <w:sz w:val="24"/>
          <w:szCs w:val="24"/>
        </w:rPr>
      </w:pPr>
      <w:r>
        <w:rPr>
          <w:rFonts w:hint="eastAsia" w:ascii="宋体" w:hAnsi="宋体" w:cs="宋体"/>
          <w:bCs/>
          <w:sz w:val="24"/>
          <w:szCs w:val="24"/>
        </w:rPr>
        <w:t>代理人无转委托权。</w:t>
      </w:r>
    </w:p>
    <w:p w14:paraId="7B3C47E7">
      <w:pPr>
        <w:spacing w:line="440" w:lineRule="exact"/>
        <w:rPr>
          <w:rFonts w:hint="eastAsia" w:ascii="宋体" w:hAnsi="宋体" w:cs="宋体"/>
          <w:bCs/>
          <w:sz w:val="24"/>
          <w:szCs w:val="24"/>
        </w:rPr>
      </w:pPr>
    </w:p>
    <w:p w14:paraId="6FC07DE2">
      <w:pPr>
        <w:spacing w:line="440" w:lineRule="exact"/>
        <w:rPr>
          <w:rFonts w:hint="eastAsia" w:ascii="宋体" w:hAnsi="宋体" w:cs="宋体"/>
          <w:bCs/>
          <w:sz w:val="24"/>
          <w:szCs w:val="24"/>
        </w:rPr>
      </w:pPr>
      <w:r>
        <w:rPr>
          <w:rFonts w:hint="eastAsia" w:ascii="宋体" w:hAnsi="宋体" w:cs="宋体"/>
          <w:bCs/>
          <w:sz w:val="24"/>
          <w:szCs w:val="24"/>
        </w:rPr>
        <w:t xml:space="preserve">附：法定代表人和委托代理人身份证扫描件 </w:t>
      </w:r>
    </w:p>
    <w:p w14:paraId="30ADB331">
      <w:pPr>
        <w:spacing w:line="440" w:lineRule="exact"/>
        <w:ind w:left="840"/>
        <w:rPr>
          <w:rFonts w:hint="eastAsia" w:ascii="宋体" w:hAnsi="宋体" w:cs="宋体"/>
          <w:bCs/>
          <w:sz w:val="24"/>
          <w:szCs w:val="24"/>
        </w:rPr>
      </w:pPr>
      <w:r>
        <w:rPr>
          <w:rFonts w:hint="eastAsia" w:ascii="宋体" w:hAnsi="宋体" w:cs="宋体"/>
          <w:bCs/>
          <w:sz w:val="24"/>
          <w:szCs w:val="24"/>
        </w:rPr>
        <w:t xml:space="preserve"> </w:t>
      </w:r>
    </w:p>
    <w:p w14:paraId="2E180B96">
      <w:pPr>
        <w:spacing w:line="440" w:lineRule="exact"/>
        <w:ind w:left="840"/>
        <w:rPr>
          <w:rFonts w:hint="eastAsia" w:ascii="宋体" w:hAnsi="宋体" w:cs="宋体"/>
          <w:bCs/>
          <w:sz w:val="24"/>
          <w:szCs w:val="24"/>
        </w:rPr>
      </w:pPr>
    </w:p>
    <w:p w14:paraId="0CAE92BB">
      <w:pPr>
        <w:spacing w:line="440" w:lineRule="exact"/>
        <w:ind w:left="840"/>
        <w:rPr>
          <w:rFonts w:hint="eastAsia" w:ascii="宋体" w:hAnsi="宋体" w:cs="宋体"/>
          <w:bCs/>
          <w:sz w:val="24"/>
          <w:szCs w:val="24"/>
        </w:rPr>
      </w:pPr>
    </w:p>
    <w:p w14:paraId="7F577CD5">
      <w:pPr>
        <w:spacing w:line="440" w:lineRule="exact"/>
        <w:ind w:left="840"/>
        <w:rPr>
          <w:rFonts w:hint="eastAsia" w:ascii="宋体" w:hAnsi="宋体" w:cs="宋体"/>
          <w:bCs/>
          <w:sz w:val="24"/>
          <w:szCs w:val="24"/>
        </w:rPr>
      </w:pPr>
    </w:p>
    <w:p w14:paraId="68E1CE7E">
      <w:pPr>
        <w:spacing w:line="440" w:lineRule="exact"/>
        <w:ind w:firstLine="3600" w:firstLineChars="1500"/>
        <w:rPr>
          <w:rFonts w:hint="eastAsia" w:ascii="宋体" w:hAnsi="宋体" w:cs="宋体"/>
          <w:bCs/>
          <w:sz w:val="24"/>
          <w:szCs w:val="24"/>
        </w:rPr>
      </w:pPr>
    </w:p>
    <w:p w14:paraId="1DB851C6">
      <w:pPr>
        <w:keepNext w:val="0"/>
        <w:keepLines w:val="0"/>
        <w:pageBreakBefore w:val="0"/>
        <w:widowControl w:val="0"/>
        <w:kinsoku/>
        <w:wordWrap/>
        <w:overflowPunct/>
        <w:topLinePunct w:val="0"/>
        <w:autoSpaceDE/>
        <w:autoSpaceDN/>
        <w:bidi w:val="0"/>
        <w:adjustRightInd/>
        <w:snapToGrid/>
        <w:spacing w:line="500" w:lineRule="exact"/>
        <w:ind w:firstLine="3840" w:firstLineChars="1600"/>
        <w:textAlignment w:val="auto"/>
        <w:rPr>
          <w:rFonts w:hint="eastAsia" w:ascii="宋体" w:hAnsi="宋体" w:cs="宋体"/>
          <w:bCs/>
          <w:sz w:val="24"/>
          <w:szCs w:val="24"/>
        </w:rPr>
      </w:pPr>
      <w:r>
        <w:rPr>
          <w:rFonts w:hint="eastAsia" w:ascii="宋体" w:hAnsi="宋体" w:cs="宋体"/>
          <w:bCs/>
          <w:sz w:val="24"/>
          <w:szCs w:val="24"/>
        </w:rPr>
        <w:t>供应商：</w:t>
      </w:r>
      <w:bookmarkStart w:id="631" w:name="OLE_LINK43"/>
      <w:r>
        <w:rPr>
          <w:rFonts w:hint="eastAsia" w:ascii="宋体" w:hAnsi="宋体" w:cs="宋体"/>
          <w:bCs/>
          <w:sz w:val="24"/>
          <w:szCs w:val="24"/>
          <w:u w:val="single"/>
        </w:rPr>
        <w:t xml:space="preserve">                   </w:t>
      </w:r>
      <w:bookmarkEnd w:id="631"/>
      <w:r>
        <w:rPr>
          <w:rFonts w:hint="eastAsia" w:ascii="宋体" w:hAnsi="宋体" w:cs="宋体"/>
          <w:bCs/>
          <w:sz w:val="24"/>
          <w:szCs w:val="24"/>
        </w:rPr>
        <w:t>（</w:t>
      </w:r>
      <w:r>
        <w:rPr>
          <w:rFonts w:hint="eastAsia" w:ascii="宋体" w:hAnsi="宋体" w:cs="宋体"/>
          <w:sz w:val="24"/>
          <w:szCs w:val="24"/>
          <w:lang w:val="en-US" w:eastAsia="zh-CN"/>
        </w:rPr>
        <w:t>盖单位</w:t>
      </w:r>
      <w:r>
        <w:rPr>
          <w:rFonts w:hint="eastAsia" w:ascii="宋体" w:hAnsi="宋体" w:cs="宋体"/>
          <w:sz w:val="24"/>
          <w:szCs w:val="24"/>
        </w:rPr>
        <w:t>章</w:t>
      </w:r>
      <w:r>
        <w:rPr>
          <w:rFonts w:hint="eastAsia" w:ascii="宋体" w:hAnsi="宋体" w:cs="宋体"/>
          <w:bCs/>
          <w:sz w:val="24"/>
          <w:szCs w:val="24"/>
        </w:rPr>
        <w:t>）</w:t>
      </w:r>
    </w:p>
    <w:p w14:paraId="484CF87A">
      <w:pPr>
        <w:keepNext w:val="0"/>
        <w:keepLines w:val="0"/>
        <w:pageBreakBefore w:val="0"/>
        <w:widowControl w:val="0"/>
        <w:kinsoku/>
        <w:wordWrap/>
        <w:overflowPunct/>
        <w:topLinePunct w:val="0"/>
        <w:autoSpaceDE/>
        <w:autoSpaceDN/>
        <w:bidi w:val="0"/>
        <w:adjustRightInd/>
        <w:snapToGrid/>
        <w:spacing w:line="500" w:lineRule="exact"/>
        <w:ind w:firstLine="3600" w:firstLineChars="1500"/>
        <w:textAlignment w:val="auto"/>
        <w:rPr>
          <w:rFonts w:hint="eastAsia" w:ascii="宋体" w:hAnsi="宋体" w:cs="宋体"/>
          <w:bCs/>
          <w:sz w:val="24"/>
          <w:szCs w:val="24"/>
        </w:rPr>
      </w:pPr>
      <w:r>
        <w:rPr>
          <w:rFonts w:hint="eastAsia" w:ascii="宋体" w:hAnsi="宋体" w:cs="宋体"/>
          <w:bCs/>
          <w:sz w:val="24"/>
          <w:szCs w:val="24"/>
        </w:rPr>
        <w:t>法定代表人：</w:t>
      </w:r>
      <w:bookmarkStart w:id="632" w:name="OLE_LINK42"/>
      <w:r>
        <w:rPr>
          <w:rFonts w:hint="eastAsia" w:ascii="宋体" w:hAnsi="宋体" w:cs="宋体"/>
          <w:bCs/>
          <w:sz w:val="24"/>
          <w:szCs w:val="24"/>
          <w:u w:val="single"/>
        </w:rPr>
        <w:t xml:space="preserve">                </w:t>
      </w:r>
      <w:bookmarkEnd w:id="632"/>
      <w:r>
        <w:rPr>
          <w:rFonts w:hint="eastAsia" w:ascii="宋体" w:hAnsi="宋体" w:cs="宋体"/>
          <w:bCs/>
          <w:sz w:val="24"/>
          <w:szCs w:val="24"/>
        </w:rPr>
        <w:t>（</w:t>
      </w:r>
      <w:r>
        <w:rPr>
          <w:rFonts w:hint="eastAsia" w:ascii="宋体" w:hAnsi="宋体" w:cs="宋体"/>
          <w:bCs/>
          <w:sz w:val="24"/>
          <w:szCs w:val="24"/>
          <w:lang w:val="en-US" w:eastAsia="zh-CN"/>
        </w:rPr>
        <w:t>签字或盖</w:t>
      </w:r>
      <w:r>
        <w:rPr>
          <w:rFonts w:hint="eastAsia" w:ascii="宋体" w:hAnsi="宋体" w:cs="宋体"/>
          <w:sz w:val="24"/>
          <w:szCs w:val="24"/>
        </w:rPr>
        <w:t>章</w:t>
      </w:r>
      <w:r>
        <w:rPr>
          <w:rFonts w:hint="eastAsia" w:ascii="宋体" w:hAnsi="宋体" w:cs="宋体"/>
          <w:bCs/>
          <w:sz w:val="24"/>
          <w:szCs w:val="24"/>
        </w:rPr>
        <w:t>）</w:t>
      </w:r>
    </w:p>
    <w:p w14:paraId="5AEA93A3">
      <w:pPr>
        <w:keepNext w:val="0"/>
        <w:keepLines w:val="0"/>
        <w:pageBreakBefore w:val="0"/>
        <w:widowControl w:val="0"/>
        <w:kinsoku/>
        <w:wordWrap/>
        <w:overflowPunct/>
        <w:topLinePunct w:val="0"/>
        <w:autoSpaceDE/>
        <w:autoSpaceDN/>
        <w:bidi w:val="0"/>
        <w:adjustRightInd/>
        <w:snapToGrid/>
        <w:spacing w:line="500" w:lineRule="exact"/>
        <w:ind w:firstLine="3600" w:firstLineChars="1500"/>
        <w:textAlignment w:val="auto"/>
        <w:rPr>
          <w:rFonts w:hint="eastAsia" w:ascii="宋体" w:hAnsi="宋体" w:cs="宋体"/>
          <w:bCs/>
          <w:sz w:val="24"/>
          <w:szCs w:val="24"/>
          <w:u w:val="single"/>
        </w:rPr>
      </w:pPr>
      <w:r>
        <w:rPr>
          <w:rFonts w:hint="eastAsia" w:ascii="宋体" w:hAnsi="宋体" w:cs="宋体"/>
          <w:bCs/>
          <w:sz w:val="24"/>
          <w:szCs w:val="24"/>
        </w:rPr>
        <w:t>身份证号码</w:t>
      </w:r>
      <w:r>
        <w:rPr>
          <w:rFonts w:hint="eastAsia" w:ascii="宋体" w:hAnsi="宋体" w:cs="宋体"/>
          <w:bCs/>
          <w:sz w:val="24"/>
          <w:szCs w:val="24"/>
          <w:lang w:eastAsia="zh-CN"/>
        </w:rPr>
        <w:t>：</w:t>
      </w:r>
      <w:r>
        <w:rPr>
          <w:rFonts w:hint="eastAsia" w:ascii="宋体" w:hAnsi="宋体" w:cs="宋体"/>
          <w:bCs/>
          <w:sz w:val="24"/>
          <w:szCs w:val="24"/>
          <w:u w:val="single"/>
        </w:rPr>
        <w:t xml:space="preserve">          </w:t>
      </w:r>
      <w:r>
        <w:rPr>
          <w:rFonts w:hint="eastAsia" w:cs="宋体"/>
          <w:bCs/>
          <w:sz w:val="24"/>
          <w:szCs w:val="24"/>
          <w:u w:val="single"/>
          <w:lang w:val="en-US" w:eastAsia="zh-CN"/>
        </w:rPr>
        <w:t xml:space="preserve">   </w:t>
      </w:r>
      <w:r>
        <w:rPr>
          <w:rFonts w:hint="eastAsia" w:ascii="宋体" w:hAnsi="宋体" w:cs="宋体"/>
          <w:bCs/>
          <w:sz w:val="24"/>
          <w:szCs w:val="24"/>
          <w:u w:val="single"/>
        </w:rPr>
        <w:t xml:space="preserve">   </w:t>
      </w:r>
      <w:r>
        <w:rPr>
          <w:rFonts w:hint="eastAsia" w:ascii="宋体" w:hAnsi="宋体" w:cs="宋体"/>
          <w:bCs/>
          <w:sz w:val="24"/>
          <w:szCs w:val="24"/>
          <w:u w:val="none"/>
        </w:rPr>
        <w:t xml:space="preserve">              </w:t>
      </w:r>
    </w:p>
    <w:p w14:paraId="55D1B165">
      <w:pPr>
        <w:keepNext w:val="0"/>
        <w:keepLines w:val="0"/>
        <w:pageBreakBefore w:val="0"/>
        <w:widowControl w:val="0"/>
        <w:tabs>
          <w:tab w:val="left" w:pos="3109"/>
        </w:tabs>
        <w:kinsoku/>
        <w:wordWrap/>
        <w:overflowPunct/>
        <w:topLinePunct w:val="0"/>
        <w:autoSpaceDE/>
        <w:autoSpaceDN/>
        <w:bidi w:val="0"/>
        <w:adjustRightInd/>
        <w:snapToGrid/>
        <w:spacing w:line="500" w:lineRule="exact"/>
        <w:ind w:firstLine="3600" w:firstLineChars="1500"/>
        <w:textAlignment w:val="auto"/>
        <w:rPr>
          <w:rFonts w:hint="default" w:ascii="宋体" w:hAnsi="宋体" w:cs="宋体"/>
          <w:bCs/>
          <w:sz w:val="24"/>
          <w:szCs w:val="24"/>
          <w:lang w:val="en-US" w:eastAsia="zh-CN"/>
        </w:rPr>
      </w:pPr>
      <w:r>
        <w:rPr>
          <w:rFonts w:hint="eastAsia" w:ascii="宋体" w:hAnsi="宋体" w:cs="宋体"/>
          <w:bCs/>
          <w:sz w:val="24"/>
          <w:szCs w:val="24"/>
          <w:lang w:val="en-US" w:eastAsia="zh-CN"/>
        </w:rPr>
        <w:t>委托代理人：</w:t>
      </w:r>
      <w:r>
        <w:rPr>
          <w:rFonts w:hint="eastAsia" w:ascii="宋体" w:hAnsi="宋体" w:cs="宋体"/>
          <w:bCs/>
          <w:sz w:val="24"/>
          <w:szCs w:val="24"/>
          <w:u w:val="single"/>
        </w:rPr>
        <w:t xml:space="preserve">                </w:t>
      </w:r>
      <w:r>
        <w:rPr>
          <w:rFonts w:hint="eastAsia" w:ascii="宋体" w:hAnsi="宋体" w:cs="宋体"/>
          <w:b w:val="0"/>
          <w:bCs/>
          <w:sz w:val="24"/>
          <w:szCs w:val="24"/>
          <w:u w:val="none"/>
          <w:lang w:val="en-US" w:eastAsia="zh-CN"/>
        </w:rPr>
        <w:t>（</w:t>
      </w:r>
      <w:r>
        <w:rPr>
          <w:rFonts w:hint="eastAsia" w:ascii="宋体" w:hAnsi="宋体" w:cs="宋体"/>
          <w:bCs/>
          <w:sz w:val="24"/>
          <w:szCs w:val="24"/>
          <w:lang w:val="en-US" w:eastAsia="zh-CN"/>
        </w:rPr>
        <w:t>签字或盖</w:t>
      </w:r>
      <w:r>
        <w:rPr>
          <w:rFonts w:hint="eastAsia" w:ascii="宋体" w:hAnsi="宋体" w:cs="宋体"/>
          <w:sz w:val="24"/>
          <w:szCs w:val="24"/>
        </w:rPr>
        <w:t>章</w:t>
      </w:r>
      <w:r>
        <w:rPr>
          <w:rFonts w:hint="eastAsia" w:ascii="宋体" w:hAnsi="宋体" w:cs="宋体"/>
          <w:bCs/>
          <w:sz w:val="24"/>
          <w:szCs w:val="24"/>
          <w:lang w:val="en-US" w:eastAsia="zh-CN"/>
        </w:rPr>
        <w:t>）</w:t>
      </w:r>
    </w:p>
    <w:p w14:paraId="18CB0226">
      <w:pPr>
        <w:keepNext w:val="0"/>
        <w:keepLines w:val="0"/>
        <w:pageBreakBefore w:val="0"/>
        <w:widowControl w:val="0"/>
        <w:tabs>
          <w:tab w:val="left" w:pos="3109"/>
        </w:tabs>
        <w:kinsoku/>
        <w:wordWrap/>
        <w:overflowPunct/>
        <w:topLinePunct w:val="0"/>
        <w:autoSpaceDE/>
        <w:autoSpaceDN/>
        <w:bidi w:val="0"/>
        <w:adjustRightInd/>
        <w:snapToGrid/>
        <w:spacing w:line="500" w:lineRule="exact"/>
        <w:ind w:firstLine="3600" w:firstLineChars="1500"/>
        <w:textAlignment w:val="auto"/>
        <w:rPr>
          <w:rFonts w:hint="eastAsia" w:ascii="宋体" w:hAnsi="宋体" w:cs="宋体"/>
          <w:bCs/>
          <w:sz w:val="24"/>
          <w:szCs w:val="24"/>
        </w:rPr>
      </w:pPr>
      <w:r>
        <w:rPr>
          <w:rFonts w:hint="eastAsia" w:ascii="宋体" w:hAnsi="宋体" w:cs="宋体"/>
          <w:bCs/>
          <w:sz w:val="24"/>
          <w:szCs w:val="24"/>
        </w:rPr>
        <w:t>身份证号码：</w:t>
      </w:r>
      <w:r>
        <w:rPr>
          <w:rFonts w:hint="eastAsia" w:ascii="宋体" w:hAnsi="宋体" w:cs="宋体"/>
          <w:bCs/>
          <w:sz w:val="24"/>
          <w:szCs w:val="24"/>
          <w:u w:val="single"/>
        </w:rPr>
        <w:t xml:space="preserve">                  </w:t>
      </w:r>
      <w:r>
        <w:rPr>
          <w:rFonts w:hint="eastAsia" w:ascii="宋体" w:hAnsi="宋体" w:cs="宋体"/>
          <w:bCs/>
          <w:sz w:val="24"/>
          <w:szCs w:val="24"/>
          <w:u w:val="none"/>
        </w:rPr>
        <w:t xml:space="preserve">             </w:t>
      </w:r>
    </w:p>
    <w:p w14:paraId="7F611E02">
      <w:pPr>
        <w:keepNext w:val="0"/>
        <w:keepLines w:val="0"/>
        <w:pageBreakBefore w:val="0"/>
        <w:widowControl w:val="0"/>
        <w:kinsoku/>
        <w:wordWrap/>
        <w:overflowPunct/>
        <w:topLinePunct w:val="0"/>
        <w:autoSpaceDE/>
        <w:autoSpaceDN/>
        <w:bidi w:val="0"/>
        <w:adjustRightInd/>
        <w:snapToGrid/>
        <w:spacing w:line="500" w:lineRule="exact"/>
        <w:ind w:firstLine="4560" w:firstLineChars="1900"/>
        <w:textAlignment w:val="auto"/>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49ACC8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sz w:val="24"/>
          <w:szCs w:val="24"/>
        </w:rPr>
      </w:pPr>
    </w:p>
    <w:p w14:paraId="0EC01D4B">
      <w:pPr>
        <w:jc w:val="center"/>
        <w:rPr>
          <w:rFonts w:hint="eastAsia" w:ascii="宋体" w:hAnsi="宋体" w:cs="宋体"/>
          <w:b/>
          <w:sz w:val="30"/>
          <w:szCs w:val="30"/>
        </w:rPr>
      </w:pPr>
    </w:p>
    <w:p w14:paraId="2A4B214F">
      <w:pPr>
        <w:jc w:val="center"/>
        <w:rPr>
          <w:rFonts w:hint="eastAsia" w:ascii="宋体" w:hAnsi="宋体" w:cs="宋体"/>
          <w:b/>
          <w:sz w:val="30"/>
          <w:szCs w:val="30"/>
        </w:rPr>
      </w:pPr>
    </w:p>
    <w:p w14:paraId="0EF6A5D2">
      <w:pPr>
        <w:jc w:val="center"/>
        <w:rPr>
          <w:rFonts w:hint="eastAsia" w:ascii="宋体" w:hAnsi="宋体" w:cs="宋体"/>
          <w:b/>
          <w:sz w:val="30"/>
          <w:szCs w:val="30"/>
        </w:rPr>
      </w:pPr>
    </w:p>
    <w:p w14:paraId="2ED0A031">
      <w:pPr>
        <w:wordWrap w:val="0"/>
        <w:spacing w:line="450" w:lineRule="atLeast"/>
        <w:jc w:val="center"/>
        <w:rPr>
          <w:rFonts w:hint="eastAsia" w:ascii="宋体" w:hAnsi="宋体"/>
          <w:szCs w:val="21"/>
        </w:rPr>
      </w:pPr>
      <w:r>
        <w:rPr>
          <w:rFonts w:hint="eastAsia" w:ascii="宋体" w:hAnsi="宋体"/>
          <w:szCs w:val="21"/>
        </w:rPr>
        <w:t xml:space="preserve">      </w:t>
      </w:r>
    </w:p>
    <w:p w14:paraId="084B7079">
      <w:pPr>
        <w:tabs>
          <w:tab w:val="left" w:pos="5380"/>
          <w:tab w:val="left" w:pos="6520"/>
          <w:tab w:val="left" w:pos="7680"/>
        </w:tabs>
        <w:autoSpaceDE w:val="0"/>
        <w:autoSpaceDN w:val="0"/>
        <w:adjustRightInd w:val="0"/>
        <w:spacing w:line="360" w:lineRule="auto"/>
        <w:ind w:firstLine="3780" w:firstLineChars="1800"/>
        <w:jc w:val="left"/>
        <w:rPr>
          <w:rFonts w:hint="eastAsia"/>
          <w:kern w:val="0"/>
          <w:szCs w:val="21"/>
        </w:rPr>
      </w:pPr>
    </w:p>
    <w:p w14:paraId="6DAAB760">
      <w:pPr>
        <w:spacing w:line="360" w:lineRule="auto"/>
        <w:rPr>
          <w:rFonts w:hint="eastAsia"/>
          <w:szCs w:val="21"/>
        </w:rPr>
      </w:pPr>
    </w:p>
    <w:p w14:paraId="11843510">
      <w:pPr>
        <w:spacing w:line="360" w:lineRule="auto"/>
        <w:rPr>
          <w:rFonts w:hint="eastAsia"/>
        </w:rPr>
      </w:pPr>
    </w:p>
    <w:p w14:paraId="56B73241">
      <w:pPr>
        <w:spacing w:line="360" w:lineRule="auto"/>
        <w:rPr>
          <w:rFonts w:hint="eastAsia"/>
          <w:bCs/>
          <w:szCs w:val="21"/>
        </w:rPr>
      </w:pPr>
    </w:p>
    <w:p w14:paraId="7A50D42A">
      <w:pPr>
        <w:pStyle w:val="25"/>
        <w:ind w:left="900" w:hanging="480"/>
        <w:rPr>
          <w:rFonts w:hint="eastAsia"/>
        </w:rPr>
      </w:pPr>
      <w:r>
        <w:rPr>
          <w:rFonts w:hint="eastAsia"/>
          <w:sz w:val="24"/>
        </w:rPr>
        <w:br w:type="page"/>
      </w:r>
    </w:p>
    <w:p w14:paraId="2D4520ED">
      <w:pPr>
        <w:spacing w:line="440" w:lineRule="exact"/>
        <w:jc w:val="center"/>
        <w:rPr>
          <w:rFonts w:hint="eastAsia" w:ascii="宋体" w:hAnsi="宋体" w:cs="宋体"/>
          <w:b/>
          <w:sz w:val="30"/>
          <w:szCs w:val="30"/>
        </w:rPr>
      </w:pPr>
      <w:bookmarkStart w:id="633" w:name="_Toc533340154"/>
      <w:bookmarkStart w:id="634" w:name="_Toc4485631"/>
      <w:r>
        <w:rPr>
          <w:rFonts w:hint="eastAsia" w:ascii="宋体" w:hAnsi="宋体" w:cs="宋体"/>
          <w:b/>
          <w:sz w:val="30"/>
          <w:szCs w:val="30"/>
          <w:lang w:val="en-US" w:eastAsia="zh-CN"/>
        </w:rPr>
        <w:t>四、</w:t>
      </w:r>
      <w:r>
        <w:rPr>
          <w:rFonts w:hint="eastAsia" w:ascii="宋体" w:hAnsi="宋体" w:cs="宋体"/>
          <w:b/>
          <w:sz w:val="30"/>
          <w:szCs w:val="30"/>
        </w:rPr>
        <w:t>资格审查资料</w:t>
      </w:r>
    </w:p>
    <w:p w14:paraId="27D301AA">
      <w:pPr>
        <w:jc w:val="center"/>
        <w:rPr>
          <w:rFonts w:hint="eastAsia" w:ascii="宋体" w:hAnsi="宋体" w:cs="宋体"/>
          <w:sz w:val="28"/>
          <w:szCs w:val="28"/>
        </w:rPr>
      </w:pPr>
    </w:p>
    <w:p w14:paraId="16219261">
      <w:pPr>
        <w:jc w:val="center"/>
        <w:rPr>
          <w:rFonts w:hint="eastAsia" w:ascii="宋体" w:hAnsi="宋体" w:cs="宋体"/>
          <w:b/>
          <w:bCs/>
          <w:sz w:val="28"/>
          <w:szCs w:val="28"/>
        </w:rPr>
      </w:pPr>
      <w:r>
        <w:rPr>
          <w:rFonts w:hint="eastAsia" w:ascii="宋体" w:hAnsi="宋体" w:cs="宋体"/>
          <w:b/>
          <w:bCs/>
          <w:sz w:val="28"/>
          <w:szCs w:val="28"/>
        </w:rPr>
        <w:t>（一）供应商基本情况表</w:t>
      </w:r>
    </w:p>
    <w:tbl>
      <w:tblPr>
        <w:tblStyle w:val="31"/>
        <w:tblW w:w="917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7"/>
        <w:gridCol w:w="1380"/>
        <w:gridCol w:w="1869"/>
        <w:gridCol w:w="1186"/>
        <w:gridCol w:w="1250"/>
        <w:gridCol w:w="1817"/>
      </w:tblGrid>
      <w:tr w14:paraId="7347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677" w:type="dxa"/>
            <w:tcBorders>
              <w:top w:val="single" w:color="auto" w:sz="4" w:space="0"/>
              <w:left w:val="single" w:color="auto" w:sz="4" w:space="0"/>
              <w:bottom w:val="single" w:color="auto" w:sz="4" w:space="0"/>
              <w:right w:val="single" w:color="auto" w:sz="4" w:space="0"/>
            </w:tcBorders>
            <w:noWrap w:val="0"/>
            <w:vAlign w:val="center"/>
          </w:tcPr>
          <w:p w14:paraId="00B3D22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供应商名称</w:t>
            </w:r>
          </w:p>
        </w:tc>
        <w:tc>
          <w:tcPr>
            <w:tcW w:w="7502" w:type="dxa"/>
            <w:gridSpan w:val="5"/>
            <w:tcBorders>
              <w:top w:val="single" w:color="auto" w:sz="4" w:space="0"/>
              <w:left w:val="single" w:color="auto" w:sz="4" w:space="0"/>
              <w:bottom w:val="single" w:color="auto" w:sz="4" w:space="0"/>
              <w:right w:val="single" w:color="auto" w:sz="4" w:space="0"/>
            </w:tcBorders>
            <w:noWrap w:val="0"/>
            <w:vAlign w:val="center"/>
          </w:tcPr>
          <w:p w14:paraId="79D939F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r>
      <w:tr w14:paraId="1E201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1677" w:type="dxa"/>
            <w:tcBorders>
              <w:top w:val="single" w:color="auto" w:sz="4" w:space="0"/>
              <w:left w:val="single" w:color="auto" w:sz="4" w:space="0"/>
              <w:bottom w:val="single" w:color="auto" w:sz="4" w:space="0"/>
              <w:right w:val="single" w:color="auto" w:sz="4" w:space="0"/>
            </w:tcBorders>
            <w:noWrap w:val="0"/>
            <w:vAlign w:val="center"/>
          </w:tcPr>
          <w:p w14:paraId="765B835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注册地址</w:t>
            </w:r>
          </w:p>
        </w:tc>
        <w:tc>
          <w:tcPr>
            <w:tcW w:w="4435" w:type="dxa"/>
            <w:gridSpan w:val="3"/>
            <w:tcBorders>
              <w:top w:val="single" w:color="auto" w:sz="4" w:space="0"/>
              <w:left w:val="single" w:color="auto" w:sz="4" w:space="0"/>
              <w:bottom w:val="single" w:color="auto" w:sz="4" w:space="0"/>
              <w:right w:val="single" w:color="auto" w:sz="4" w:space="0"/>
            </w:tcBorders>
            <w:noWrap w:val="0"/>
            <w:vAlign w:val="center"/>
          </w:tcPr>
          <w:p w14:paraId="7C87AF9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B0942D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邮政编码</w:t>
            </w:r>
          </w:p>
        </w:tc>
        <w:tc>
          <w:tcPr>
            <w:tcW w:w="1817" w:type="dxa"/>
            <w:tcBorders>
              <w:top w:val="single" w:color="auto" w:sz="4" w:space="0"/>
              <w:left w:val="single" w:color="auto" w:sz="4" w:space="0"/>
              <w:bottom w:val="single" w:color="auto" w:sz="4" w:space="0"/>
              <w:right w:val="single" w:color="auto" w:sz="4" w:space="0"/>
            </w:tcBorders>
            <w:noWrap w:val="0"/>
            <w:vAlign w:val="center"/>
          </w:tcPr>
          <w:p w14:paraId="07554C3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r>
      <w:tr w14:paraId="773C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677" w:type="dxa"/>
            <w:vMerge w:val="restart"/>
            <w:tcBorders>
              <w:top w:val="single" w:color="auto" w:sz="4" w:space="0"/>
              <w:left w:val="single" w:color="auto" w:sz="4" w:space="0"/>
              <w:bottom w:val="single" w:color="auto" w:sz="4" w:space="0"/>
              <w:right w:val="single" w:color="auto" w:sz="4" w:space="0"/>
            </w:tcBorders>
            <w:noWrap w:val="0"/>
            <w:vAlign w:val="center"/>
          </w:tcPr>
          <w:p w14:paraId="3AB7EF7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联系方式</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18AA1F3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联系人</w:t>
            </w:r>
          </w:p>
        </w:tc>
        <w:tc>
          <w:tcPr>
            <w:tcW w:w="3055" w:type="dxa"/>
            <w:gridSpan w:val="2"/>
            <w:tcBorders>
              <w:top w:val="single" w:color="auto" w:sz="4" w:space="0"/>
              <w:left w:val="single" w:color="auto" w:sz="4" w:space="0"/>
              <w:bottom w:val="single" w:color="auto" w:sz="4" w:space="0"/>
              <w:right w:val="single" w:color="auto" w:sz="4" w:space="0"/>
            </w:tcBorders>
            <w:noWrap w:val="0"/>
            <w:vAlign w:val="center"/>
          </w:tcPr>
          <w:p w14:paraId="288F0E2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397BABC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电话</w:t>
            </w:r>
          </w:p>
        </w:tc>
        <w:tc>
          <w:tcPr>
            <w:tcW w:w="1817" w:type="dxa"/>
            <w:tcBorders>
              <w:top w:val="single" w:color="auto" w:sz="4" w:space="0"/>
              <w:left w:val="single" w:color="auto" w:sz="4" w:space="0"/>
              <w:bottom w:val="single" w:color="auto" w:sz="4" w:space="0"/>
              <w:right w:val="single" w:color="auto" w:sz="4" w:space="0"/>
            </w:tcBorders>
            <w:noWrap w:val="0"/>
            <w:vAlign w:val="center"/>
          </w:tcPr>
          <w:p w14:paraId="2F8FCE2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r>
      <w:tr w14:paraId="5A8D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677" w:type="dxa"/>
            <w:vMerge w:val="continue"/>
            <w:tcBorders>
              <w:top w:val="single" w:color="auto" w:sz="4" w:space="0"/>
              <w:left w:val="single" w:color="auto" w:sz="4" w:space="0"/>
              <w:bottom w:val="single" w:color="auto" w:sz="4" w:space="0"/>
              <w:right w:val="single" w:color="auto" w:sz="4" w:space="0"/>
            </w:tcBorders>
            <w:noWrap w:val="0"/>
            <w:vAlign w:val="center"/>
          </w:tcPr>
          <w:p w14:paraId="2A51CE2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cs="宋体"/>
                <w:sz w:val="24"/>
                <w:szCs w:val="24"/>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77CA128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传真</w:t>
            </w:r>
          </w:p>
        </w:tc>
        <w:tc>
          <w:tcPr>
            <w:tcW w:w="3055" w:type="dxa"/>
            <w:gridSpan w:val="2"/>
            <w:tcBorders>
              <w:top w:val="single" w:color="auto" w:sz="4" w:space="0"/>
              <w:left w:val="single" w:color="auto" w:sz="4" w:space="0"/>
              <w:bottom w:val="single" w:color="auto" w:sz="4" w:space="0"/>
              <w:right w:val="single" w:color="auto" w:sz="4" w:space="0"/>
            </w:tcBorders>
            <w:noWrap w:val="0"/>
            <w:vAlign w:val="center"/>
          </w:tcPr>
          <w:p w14:paraId="56A7176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74C0A70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网址</w:t>
            </w:r>
          </w:p>
        </w:tc>
        <w:tc>
          <w:tcPr>
            <w:tcW w:w="1817" w:type="dxa"/>
            <w:tcBorders>
              <w:top w:val="single" w:color="auto" w:sz="4" w:space="0"/>
              <w:left w:val="single" w:color="auto" w:sz="4" w:space="0"/>
              <w:bottom w:val="single" w:color="auto" w:sz="4" w:space="0"/>
              <w:right w:val="single" w:color="auto" w:sz="4" w:space="0"/>
            </w:tcBorders>
            <w:noWrap w:val="0"/>
            <w:vAlign w:val="center"/>
          </w:tcPr>
          <w:p w14:paraId="7E42B7C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r>
      <w:tr w14:paraId="10CAE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677" w:type="dxa"/>
            <w:tcBorders>
              <w:top w:val="single" w:color="auto" w:sz="4" w:space="0"/>
              <w:left w:val="single" w:color="auto" w:sz="4" w:space="0"/>
              <w:bottom w:val="single" w:color="auto" w:sz="4" w:space="0"/>
              <w:right w:val="single" w:color="auto" w:sz="4" w:space="0"/>
            </w:tcBorders>
            <w:noWrap w:val="0"/>
            <w:vAlign w:val="center"/>
          </w:tcPr>
          <w:p w14:paraId="67181CF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组织结构</w:t>
            </w:r>
          </w:p>
        </w:tc>
        <w:tc>
          <w:tcPr>
            <w:tcW w:w="7502" w:type="dxa"/>
            <w:gridSpan w:val="5"/>
            <w:tcBorders>
              <w:top w:val="single" w:color="auto" w:sz="4" w:space="0"/>
              <w:left w:val="single" w:color="auto" w:sz="4" w:space="0"/>
              <w:bottom w:val="single" w:color="auto" w:sz="4" w:space="0"/>
              <w:right w:val="single" w:color="auto" w:sz="4" w:space="0"/>
            </w:tcBorders>
            <w:noWrap w:val="0"/>
            <w:vAlign w:val="center"/>
          </w:tcPr>
          <w:p w14:paraId="646D8D4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r>
      <w:tr w14:paraId="2A40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677" w:type="dxa"/>
            <w:tcBorders>
              <w:top w:val="single" w:color="auto" w:sz="4" w:space="0"/>
              <w:left w:val="single" w:color="auto" w:sz="4" w:space="0"/>
              <w:bottom w:val="single" w:color="auto" w:sz="4" w:space="0"/>
              <w:right w:val="single" w:color="auto" w:sz="4" w:space="0"/>
            </w:tcBorders>
            <w:noWrap w:val="0"/>
            <w:vAlign w:val="center"/>
          </w:tcPr>
          <w:p w14:paraId="755173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法定代表人</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104B63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姓名</w:t>
            </w:r>
          </w:p>
        </w:tc>
        <w:tc>
          <w:tcPr>
            <w:tcW w:w="1869" w:type="dxa"/>
            <w:tcBorders>
              <w:top w:val="single" w:color="auto" w:sz="4" w:space="0"/>
              <w:left w:val="single" w:color="auto" w:sz="4" w:space="0"/>
              <w:bottom w:val="single" w:color="auto" w:sz="4" w:space="0"/>
              <w:right w:val="single" w:color="auto" w:sz="4" w:space="0"/>
            </w:tcBorders>
            <w:noWrap w:val="0"/>
            <w:vAlign w:val="center"/>
          </w:tcPr>
          <w:p w14:paraId="1E751A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c>
          <w:tcPr>
            <w:tcW w:w="1186" w:type="dxa"/>
            <w:tcBorders>
              <w:top w:val="single" w:color="auto" w:sz="4" w:space="0"/>
              <w:left w:val="single" w:color="auto" w:sz="4" w:space="0"/>
              <w:bottom w:val="single" w:color="auto" w:sz="4" w:space="0"/>
              <w:right w:val="single" w:color="auto" w:sz="4" w:space="0"/>
            </w:tcBorders>
            <w:noWrap w:val="0"/>
            <w:vAlign w:val="center"/>
          </w:tcPr>
          <w:p w14:paraId="092B21F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电话</w:t>
            </w:r>
          </w:p>
        </w:tc>
        <w:tc>
          <w:tcPr>
            <w:tcW w:w="3067" w:type="dxa"/>
            <w:gridSpan w:val="2"/>
            <w:tcBorders>
              <w:top w:val="single" w:color="auto" w:sz="4" w:space="0"/>
              <w:left w:val="single" w:color="auto" w:sz="4" w:space="0"/>
              <w:bottom w:val="single" w:color="auto" w:sz="4" w:space="0"/>
              <w:right w:val="single" w:color="auto" w:sz="4" w:space="0"/>
            </w:tcBorders>
            <w:noWrap w:val="0"/>
            <w:vAlign w:val="center"/>
          </w:tcPr>
          <w:p w14:paraId="1427BF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r>
      <w:tr w14:paraId="4E1F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677" w:type="dxa"/>
            <w:tcBorders>
              <w:top w:val="single" w:color="auto" w:sz="4" w:space="0"/>
              <w:left w:val="single" w:color="auto" w:sz="4" w:space="0"/>
              <w:bottom w:val="single" w:color="auto" w:sz="4" w:space="0"/>
              <w:right w:val="single" w:color="auto" w:sz="4" w:space="0"/>
            </w:tcBorders>
            <w:noWrap w:val="0"/>
            <w:vAlign w:val="center"/>
          </w:tcPr>
          <w:p w14:paraId="1757867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成立时间</w:t>
            </w:r>
          </w:p>
        </w:tc>
        <w:tc>
          <w:tcPr>
            <w:tcW w:w="7502" w:type="dxa"/>
            <w:gridSpan w:val="5"/>
            <w:tcBorders>
              <w:top w:val="single" w:color="auto" w:sz="4" w:space="0"/>
              <w:left w:val="single" w:color="auto" w:sz="4" w:space="0"/>
              <w:bottom w:val="single" w:color="auto" w:sz="4" w:space="0"/>
              <w:right w:val="single" w:color="auto" w:sz="4" w:space="0"/>
            </w:tcBorders>
            <w:noWrap w:val="0"/>
            <w:vAlign w:val="center"/>
          </w:tcPr>
          <w:p w14:paraId="31AF9FD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r>
      <w:tr w14:paraId="696CE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1677" w:type="dxa"/>
            <w:tcBorders>
              <w:top w:val="single" w:color="auto" w:sz="4" w:space="0"/>
              <w:left w:val="single" w:color="auto" w:sz="4" w:space="0"/>
              <w:bottom w:val="single" w:color="auto" w:sz="4" w:space="0"/>
              <w:right w:val="single" w:color="auto" w:sz="4" w:space="0"/>
            </w:tcBorders>
            <w:noWrap w:val="0"/>
            <w:vAlign w:val="center"/>
          </w:tcPr>
          <w:p w14:paraId="082D696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sz w:val="24"/>
                <w:szCs w:val="24"/>
              </w:rPr>
              <w:t>统一社会信用代码</w:t>
            </w:r>
          </w:p>
        </w:tc>
        <w:tc>
          <w:tcPr>
            <w:tcW w:w="3249" w:type="dxa"/>
            <w:gridSpan w:val="2"/>
            <w:tcBorders>
              <w:top w:val="single" w:color="auto" w:sz="4" w:space="0"/>
              <w:left w:val="single" w:color="auto" w:sz="4" w:space="0"/>
              <w:bottom w:val="single" w:color="auto" w:sz="4" w:space="0"/>
              <w:right w:val="single" w:color="auto" w:sz="4" w:space="0"/>
            </w:tcBorders>
            <w:noWrap w:val="0"/>
            <w:vAlign w:val="center"/>
          </w:tcPr>
          <w:p w14:paraId="2B667EE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c>
          <w:tcPr>
            <w:tcW w:w="1186" w:type="dxa"/>
            <w:tcBorders>
              <w:top w:val="single" w:color="auto" w:sz="4" w:space="0"/>
              <w:left w:val="single" w:color="auto" w:sz="4" w:space="0"/>
              <w:bottom w:val="single" w:color="auto" w:sz="4" w:space="0"/>
              <w:right w:val="single" w:color="auto" w:sz="4" w:space="0"/>
            </w:tcBorders>
            <w:noWrap w:val="0"/>
            <w:vAlign w:val="center"/>
          </w:tcPr>
          <w:p w14:paraId="62AC1E4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注册资金</w:t>
            </w:r>
          </w:p>
        </w:tc>
        <w:tc>
          <w:tcPr>
            <w:tcW w:w="3067" w:type="dxa"/>
            <w:gridSpan w:val="2"/>
            <w:tcBorders>
              <w:top w:val="single" w:color="auto" w:sz="4" w:space="0"/>
              <w:left w:val="single" w:color="auto" w:sz="4" w:space="0"/>
              <w:bottom w:val="single" w:color="auto" w:sz="4" w:space="0"/>
              <w:right w:val="single" w:color="auto" w:sz="4" w:space="0"/>
            </w:tcBorders>
            <w:noWrap w:val="0"/>
            <w:vAlign w:val="center"/>
          </w:tcPr>
          <w:p w14:paraId="0E70725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r>
      <w:tr w14:paraId="3540E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677" w:type="dxa"/>
            <w:tcBorders>
              <w:top w:val="single" w:color="auto" w:sz="4" w:space="0"/>
              <w:left w:val="single" w:color="auto" w:sz="4" w:space="0"/>
              <w:bottom w:val="single" w:color="auto" w:sz="4" w:space="0"/>
              <w:right w:val="single" w:color="auto" w:sz="4" w:space="0"/>
            </w:tcBorders>
            <w:noWrap w:val="0"/>
            <w:vAlign w:val="center"/>
          </w:tcPr>
          <w:p w14:paraId="30DF744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开户银行</w:t>
            </w:r>
          </w:p>
        </w:tc>
        <w:tc>
          <w:tcPr>
            <w:tcW w:w="3249" w:type="dxa"/>
            <w:gridSpan w:val="2"/>
            <w:tcBorders>
              <w:top w:val="single" w:color="auto" w:sz="4" w:space="0"/>
              <w:left w:val="single" w:color="auto" w:sz="4" w:space="0"/>
              <w:bottom w:val="single" w:color="auto" w:sz="4" w:space="0"/>
              <w:right w:val="single" w:color="auto" w:sz="4" w:space="0"/>
            </w:tcBorders>
            <w:noWrap w:val="0"/>
            <w:vAlign w:val="center"/>
          </w:tcPr>
          <w:p w14:paraId="7650A42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c>
          <w:tcPr>
            <w:tcW w:w="1186" w:type="dxa"/>
            <w:tcBorders>
              <w:top w:val="single" w:color="auto" w:sz="4" w:space="0"/>
              <w:left w:val="single" w:color="auto" w:sz="4" w:space="0"/>
              <w:bottom w:val="single" w:color="auto" w:sz="4" w:space="0"/>
              <w:right w:val="single" w:color="auto" w:sz="4" w:space="0"/>
            </w:tcBorders>
            <w:noWrap w:val="0"/>
            <w:vAlign w:val="center"/>
          </w:tcPr>
          <w:p w14:paraId="07FBBBF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账 号</w:t>
            </w:r>
          </w:p>
        </w:tc>
        <w:tc>
          <w:tcPr>
            <w:tcW w:w="3067" w:type="dxa"/>
            <w:gridSpan w:val="2"/>
            <w:tcBorders>
              <w:top w:val="single" w:color="auto" w:sz="4" w:space="0"/>
              <w:left w:val="single" w:color="auto" w:sz="4" w:space="0"/>
              <w:bottom w:val="single" w:color="auto" w:sz="4" w:space="0"/>
              <w:right w:val="single" w:color="auto" w:sz="4" w:space="0"/>
            </w:tcBorders>
            <w:noWrap w:val="0"/>
            <w:vAlign w:val="center"/>
          </w:tcPr>
          <w:p w14:paraId="4D669A4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p>
        </w:tc>
      </w:tr>
      <w:tr w14:paraId="7189B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677" w:type="dxa"/>
            <w:tcBorders>
              <w:top w:val="single" w:color="auto" w:sz="4" w:space="0"/>
              <w:left w:val="single" w:color="auto" w:sz="4" w:space="0"/>
              <w:bottom w:val="single" w:color="auto" w:sz="4" w:space="0"/>
              <w:right w:val="single" w:color="auto" w:sz="4" w:space="0"/>
            </w:tcBorders>
            <w:noWrap w:val="0"/>
            <w:vAlign w:val="center"/>
          </w:tcPr>
          <w:p w14:paraId="6121757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cs="宋体"/>
                <w:sz w:val="24"/>
                <w:szCs w:val="24"/>
              </w:rPr>
            </w:pPr>
            <w:r>
              <w:rPr>
                <w:rFonts w:hint="eastAsia" w:ascii="宋体" w:hAnsi="宋体" w:cs="宋体"/>
                <w:sz w:val="24"/>
                <w:szCs w:val="24"/>
              </w:rPr>
              <w:t>经营范围</w:t>
            </w:r>
          </w:p>
        </w:tc>
        <w:tc>
          <w:tcPr>
            <w:tcW w:w="7502" w:type="dxa"/>
            <w:gridSpan w:val="5"/>
            <w:tcBorders>
              <w:top w:val="single" w:color="auto" w:sz="4" w:space="0"/>
              <w:left w:val="single" w:color="auto" w:sz="4" w:space="0"/>
              <w:bottom w:val="single" w:color="auto" w:sz="4" w:space="0"/>
              <w:right w:val="single" w:color="auto" w:sz="4" w:space="0"/>
            </w:tcBorders>
            <w:noWrap w:val="0"/>
            <w:vAlign w:val="center"/>
          </w:tcPr>
          <w:p w14:paraId="224C9A4C">
            <w:pPr>
              <w:keepNext w:val="0"/>
              <w:keepLines w:val="0"/>
              <w:pageBreakBefore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cs="宋体"/>
                <w:sz w:val="24"/>
                <w:szCs w:val="24"/>
              </w:rPr>
            </w:pPr>
          </w:p>
        </w:tc>
      </w:tr>
      <w:tr w14:paraId="2DCBF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677" w:type="dxa"/>
            <w:tcBorders>
              <w:top w:val="single" w:color="auto" w:sz="4" w:space="0"/>
              <w:left w:val="single" w:color="auto" w:sz="4" w:space="0"/>
              <w:bottom w:val="single" w:color="auto" w:sz="4" w:space="0"/>
              <w:right w:val="single" w:color="auto" w:sz="4" w:space="0"/>
            </w:tcBorders>
            <w:noWrap w:val="0"/>
            <w:vAlign w:val="center"/>
          </w:tcPr>
          <w:p w14:paraId="7A16ACD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备 注</w:t>
            </w:r>
          </w:p>
        </w:tc>
        <w:tc>
          <w:tcPr>
            <w:tcW w:w="7502" w:type="dxa"/>
            <w:gridSpan w:val="5"/>
            <w:tcBorders>
              <w:top w:val="single" w:color="auto" w:sz="4" w:space="0"/>
              <w:left w:val="single" w:color="auto" w:sz="4" w:space="0"/>
              <w:bottom w:val="single" w:color="auto" w:sz="4" w:space="0"/>
              <w:right w:val="single" w:color="auto" w:sz="4" w:space="0"/>
            </w:tcBorders>
            <w:noWrap w:val="0"/>
            <w:vAlign w:val="center"/>
          </w:tcPr>
          <w:p w14:paraId="4D2C8D95">
            <w:pPr>
              <w:keepNext w:val="0"/>
              <w:keepLines w:val="0"/>
              <w:pageBreakBefore w:val="0"/>
              <w:kinsoku/>
              <w:wordWrap/>
              <w:overflowPunct/>
              <w:topLinePunct w:val="0"/>
              <w:autoSpaceDE/>
              <w:autoSpaceDN/>
              <w:bidi w:val="0"/>
              <w:adjustRightInd/>
              <w:snapToGrid/>
              <w:spacing w:line="240" w:lineRule="auto"/>
              <w:ind w:firstLine="480" w:firstLineChars="200"/>
              <w:jc w:val="center"/>
              <w:textAlignment w:val="auto"/>
              <w:rPr>
                <w:rFonts w:hint="eastAsia" w:ascii="宋体" w:hAnsi="宋体" w:cs="宋体"/>
                <w:sz w:val="24"/>
                <w:szCs w:val="24"/>
              </w:rPr>
            </w:pPr>
          </w:p>
        </w:tc>
      </w:tr>
    </w:tbl>
    <w:p w14:paraId="39610D6D">
      <w:pPr>
        <w:rPr>
          <w:rFonts w:hint="eastAsia" w:ascii="宋体" w:hAnsi="宋体" w:eastAsia="宋体" w:cs="宋体"/>
          <w:b/>
          <w:bCs/>
          <w:sz w:val="28"/>
          <w:szCs w:val="28"/>
        </w:rPr>
      </w:pPr>
    </w:p>
    <w:p w14:paraId="45AD4963">
      <w:pPr>
        <w:rPr>
          <w:rFonts w:hint="eastAsia" w:ascii="宋体" w:hAnsi="宋体" w:eastAsia="宋体" w:cs="宋体"/>
          <w:b/>
          <w:bCs/>
          <w:sz w:val="28"/>
          <w:szCs w:val="28"/>
          <w:lang w:eastAsia="zh-CN"/>
        </w:rPr>
      </w:pPr>
      <w:r>
        <w:rPr>
          <w:rFonts w:hint="eastAsia" w:ascii="宋体" w:hAnsi="宋体" w:eastAsia="宋体" w:cs="宋体"/>
          <w:b/>
          <w:bCs/>
          <w:sz w:val="28"/>
          <w:szCs w:val="28"/>
        </w:rPr>
        <w:t>本表后应附供应商须知前附表1.4.1项要求的资格审查材料等的复印件并加盖公章</w:t>
      </w:r>
      <w:r>
        <w:rPr>
          <w:rFonts w:hint="eastAsia" w:ascii="宋体" w:hAnsi="宋体" w:eastAsia="宋体" w:cs="宋体"/>
          <w:b/>
          <w:bCs/>
          <w:sz w:val="28"/>
          <w:szCs w:val="28"/>
          <w:lang w:eastAsia="zh-CN"/>
        </w:rPr>
        <w:t>。</w:t>
      </w:r>
    </w:p>
    <w:p w14:paraId="298ECEAA">
      <w:pPr>
        <w:rPr>
          <w:rFonts w:hint="eastAsia" w:ascii="宋体" w:hAnsi="宋体" w:eastAsia="宋体" w:cs="宋体"/>
          <w:b/>
          <w:bCs/>
          <w:sz w:val="28"/>
          <w:szCs w:val="28"/>
          <w:lang w:eastAsia="zh-CN"/>
        </w:rPr>
      </w:pPr>
    </w:p>
    <w:p w14:paraId="4914BCC7">
      <w:pPr>
        <w:spacing w:line="440" w:lineRule="exact"/>
        <w:ind w:firstLine="3150" w:firstLineChars="1500"/>
        <w:rPr>
          <w:rFonts w:hint="eastAsia" w:ascii="宋体" w:hAnsi="宋体" w:cs="宋体"/>
          <w:bCs/>
          <w:szCs w:val="21"/>
        </w:rPr>
      </w:pPr>
    </w:p>
    <w:p w14:paraId="402AA03B">
      <w:pPr>
        <w:spacing w:line="440" w:lineRule="exact"/>
        <w:ind w:firstLine="3150" w:firstLineChars="1500"/>
        <w:rPr>
          <w:rFonts w:hint="eastAsia" w:ascii="宋体" w:hAnsi="宋体" w:cs="宋体"/>
          <w:bCs/>
          <w:szCs w:val="21"/>
        </w:rPr>
      </w:pPr>
    </w:p>
    <w:p w14:paraId="2D2B915D">
      <w:pPr>
        <w:adjustRightInd w:val="0"/>
        <w:snapToGrid w:val="0"/>
        <w:ind w:firstLine="240" w:firstLineChars="100"/>
        <w:jc w:val="left"/>
        <w:rPr>
          <w:rFonts w:hint="eastAsia" w:ascii="仿宋_GB2312" w:hAnsi="仿宋_GB2312" w:eastAsia="仿宋_GB2312" w:cs="仿宋_GB2312"/>
          <w:sz w:val="28"/>
        </w:rPr>
      </w:pPr>
      <w:r>
        <w:rPr>
          <w:rFonts w:hint="eastAsia"/>
          <w:sz w:val="24"/>
        </w:rPr>
        <w:br w:type="page"/>
      </w:r>
    </w:p>
    <w:bookmarkEnd w:id="633"/>
    <w:bookmarkEnd w:id="634"/>
    <w:p w14:paraId="5DD4EE11">
      <w:pPr>
        <w:widowControl w:val="0"/>
        <w:wordWrap/>
        <w:adjustRightInd w:val="0"/>
        <w:snapToGrid/>
        <w:spacing w:before="0" w:after="0" w:line="600" w:lineRule="atLeast"/>
        <w:ind w:left="0" w:leftChars="0" w:right="0"/>
        <w:contextualSpacing/>
        <w:jc w:val="center"/>
        <w:textAlignment w:val="baseline"/>
        <w:outlineLvl w:val="9"/>
        <w:rPr>
          <w:rFonts w:hint="eastAsia" w:ascii="宋体" w:hAnsi="宋体" w:eastAsia="宋体" w:cs="宋体"/>
          <w:b/>
          <w:bCs/>
          <w:color w:val="auto"/>
          <w:kern w:val="0"/>
          <w:sz w:val="28"/>
          <w:szCs w:val="28"/>
        </w:rPr>
      </w:pPr>
      <w:bookmarkStart w:id="635" w:name="OLE_LINK168"/>
      <w:bookmarkStart w:id="636" w:name="_Toc30888"/>
      <w:bookmarkStart w:id="637" w:name="_Toc27335"/>
      <w:bookmarkStart w:id="638" w:name="_Toc26490"/>
      <w:bookmarkStart w:id="639" w:name="_Toc475624464"/>
      <w:bookmarkStart w:id="640" w:name="_Toc509667338"/>
      <w:bookmarkStart w:id="641" w:name="_Toc20916"/>
      <w:bookmarkStart w:id="642" w:name="_Toc11776"/>
      <w:r>
        <w:rPr>
          <w:rFonts w:hint="eastAsia" w:ascii="宋体" w:hAnsi="宋体" w:eastAsia="宋体" w:cs="宋体"/>
          <w:b/>
          <w:bCs/>
          <w:color w:val="auto"/>
          <w:kern w:val="0"/>
          <w:sz w:val="28"/>
          <w:szCs w:val="28"/>
          <w:lang w:eastAsia="zh-CN"/>
        </w:rPr>
        <w:t>（</w:t>
      </w:r>
      <w:r>
        <w:rPr>
          <w:rFonts w:hint="eastAsia" w:ascii="宋体" w:hAnsi="宋体" w:eastAsia="宋体" w:cs="宋体"/>
          <w:b/>
          <w:bCs/>
          <w:color w:val="auto"/>
          <w:kern w:val="0"/>
          <w:sz w:val="28"/>
          <w:szCs w:val="28"/>
          <w:lang w:val="en-US" w:eastAsia="zh-CN"/>
        </w:rPr>
        <w:t>二</w:t>
      </w:r>
      <w:r>
        <w:rPr>
          <w:rFonts w:hint="eastAsia" w:ascii="宋体" w:hAnsi="宋体" w:eastAsia="宋体" w:cs="宋体"/>
          <w:b/>
          <w:bCs/>
          <w:color w:val="auto"/>
          <w:kern w:val="0"/>
          <w:sz w:val="28"/>
          <w:szCs w:val="28"/>
          <w:lang w:eastAsia="zh-CN"/>
        </w:rPr>
        <w:t>）</w:t>
      </w:r>
      <w:r>
        <w:rPr>
          <w:rFonts w:hint="eastAsia" w:ascii="宋体" w:hAnsi="宋体" w:eastAsia="宋体" w:cs="宋体"/>
          <w:b/>
          <w:bCs/>
          <w:color w:val="auto"/>
          <w:kern w:val="0"/>
          <w:sz w:val="28"/>
          <w:szCs w:val="28"/>
        </w:rPr>
        <w:t>资格承诺声明函</w:t>
      </w:r>
    </w:p>
    <w:p w14:paraId="6727A1F4">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textAlignment w:val="baseline"/>
        <w:outlineLvl w:val="9"/>
        <w:rPr>
          <w:rFonts w:hint="eastAsia"/>
          <w:sz w:val="24"/>
          <w:szCs w:val="24"/>
        </w:rPr>
      </w:pPr>
      <w:r>
        <w:rPr>
          <w:rFonts w:hint="eastAsia"/>
          <w:sz w:val="24"/>
          <w:szCs w:val="24"/>
        </w:rPr>
        <w:t>致</w:t>
      </w:r>
      <w:r>
        <w:rPr>
          <w:rFonts w:hint="eastAsia"/>
          <w:sz w:val="24"/>
          <w:szCs w:val="24"/>
          <w:u w:val="single"/>
          <w:lang w:eastAsia="zh-CN"/>
        </w:rPr>
        <w:t>（</w:t>
      </w:r>
      <w:r>
        <w:rPr>
          <w:rFonts w:hint="eastAsia"/>
          <w:sz w:val="24"/>
          <w:szCs w:val="24"/>
          <w:u w:val="single"/>
        </w:rPr>
        <w:t>本项目采购单位</w:t>
      </w:r>
      <w:r>
        <w:rPr>
          <w:rFonts w:hint="eastAsia"/>
          <w:sz w:val="24"/>
          <w:szCs w:val="24"/>
          <w:u w:val="single"/>
          <w:lang w:eastAsia="zh-CN"/>
        </w:rPr>
        <w:t>）</w:t>
      </w:r>
      <w:r>
        <w:rPr>
          <w:rFonts w:hint="eastAsia"/>
          <w:sz w:val="24"/>
          <w:szCs w:val="24"/>
        </w:rPr>
        <w:t>：</w:t>
      </w:r>
    </w:p>
    <w:p w14:paraId="025E4564">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rPr>
        <w:t>我单位自愿参加本次政府采购活动，严格遵守《中华人民共和国政府采购法》及相关法律法规，依法诚信经营，</w:t>
      </w:r>
      <w:r>
        <w:rPr>
          <w:rFonts w:hint="eastAsia"/>
          <w:sz w:val="24"/>
          <w:szCs w:val="24"/>
          <w:lang w:eastAsia="zh-CN"/>
        </w:rPr>
        <w:t>依法</w:t>
      </w:r>
      <w:r>
        <w:rPr>
          <w:rFonts w:hint="eastAsia"/>
          <w:sz w:val="24"/>
          <w:szCs w:val="24"/>
        </w:rPr>
        <w:t>遵守本次政府采购活动的各项规定。我单位郑重承诺声明如下：</w:t>
      </w:r>
    </w:p>
    <w:p w14:paraId="4C7D8677">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rPr>
        <w:t>一、我单位全称为</w:t>
      </w:r>
      <w:r>
        <w:rPr>
          <w:rFonts w:hint="eastAsia"/>
          <w:sz w:val="24"/>
          <w:szCs w:val="24"/>
          <w:u w:val="single" w:color="auto"/>
        </w:rPr>
        <w:t xml:space="preserve">       </w:t>
      </w:r>
      <w:r>
        <w:rPr>
          <w:rFonts w:hint="eastAsia"/>
          <w:sz w:val="24"/>
          <w:szCs w:val="24"/>
          <w:u w:val="none" w:color="auto"/>
        </w:rPr>
        <w:t>，</w:t>
      </w:r>
      <w:r>
        <w:rPr>
          <w:rFonts w:hint="eastAsia"/>
          <w:sz w:val="24"/>
          <w:szCs w:val="24"/>
        </w:rPr>
        <w:t>注册地点为</w:t>
      </w:r>
      <w:r>
        <w:rPr>
          <w:rFonts w:hint="eastAsia"/>
          <w:sz w:val="24"/>
          <w:szCs w:val="24"/>
          <w:u w:val="single" w:color="auto"/>
        </w:rPr>
        <w:t xml:space="preserve">      </w:t>
      </w:r>
      <w:r>
        <w:rPr>
          <w:rFonts w:hint="eastAsia"/>
          <w:sz w:val="24"/>
          <w:szCs w:val="24"/>
          <w:u w:val="none" w:color="auto"/>
        </w:rPr>
        <w:t>，</w:t>
      </w:r>
      <w:r>
        <w:rPr>
          <w:rFonts w:hint="eastAsia"/>
          <w:sz w:val="24"/>
          <w:szCs w:val="24"/>
        </w:rPr>
        <w:t xml:space="preserve">统一社会信用代码为 </w:t>
      </w:r>
      <w:r>
        <w:rPr>
          <w:rFonts w:hint="eastAsia"/>
          <w:sz w:val="24"/>
          <w:szCs w:val="24"/>
          <w:u w:val="single" w:color="auto"/>
        </w:rPr>
        <w:t xml:space="preserve">          </w:t>
      </w:r>
      <w:r>
        <w:rPr>
          <w:rFonts w:hint="eastAsia"/>
          <w:sz w:val="24"/>
          <w:szCs w:val="24"/>
          <w:u w:val="none" w:color="auto"/>
        </w:rPr>
        <w:t>，</w:t>
      </w:r>
      <w:r>
        <w:rPr>
          <w:rFonts w:hint="eastAsia"/>
          <w:sz w:val="24"/>
          <w:szCs w:val="24"/>
        </w:rPr>
        <w:t>法定代表人（单位负责人）为</w:t>
      </w:r>
      <w:r>
        <w:rPr>
          <w:rFonts w:hint="eastAsia"/>
          <w:sz w:val="24"/>
          <w:szCs w:val="24"/>
          <w:u w:val="single" w:color="auto"/>
        </w:rPr>
        <w:t xml:space="preserve">         </w:t>
      </w:r>
      <w:r>
        <w:rPr>
          <w:rFonts w:hint="eastAsia"/>
          <w:sz w:val="24"/>
          <w:szCs w:val="24"/>
          <w:u w:val="none" w:color="auto"/>
          <w:lang w:eastAsia="zh-CN"/>
        </w:rPr>
        <w:t>，</w:t>
      </w:r>
      <w:r>
        <w:rPr>
          <w:rFonts w:hint="eastAsia"/>
          <w:sz w:val="24"/>
          <w:szCs w:val="24"/>
          <w:lang w:eastAsia="zh-CN"/>
        </w:rPr>
        <w:t>联系方式为</w:t>
      </w:r>
      <w:r>
        <w:rPr>
          <w:rFonts w:hint="eastAsia"/>
          <w:sz w:val="24"/>
          <w:szCs w:val="24"/>
          <w:u w:val="single" w:color="auto"/>
          <w:lang w:val="en-US" w:eastAsia="zh-CN"/>
        </w:rPr>
        <w:t xml:space="preserve">           </w:t>
      </w:r>
      <w:r>
        <w:rPr>
          <w:rFonts w:hint="eastAsia"/>
          <w:sz w:val="24"/>
          <w:szCs w:val="24"/>
          <w:u w:val="none" w:color="auto"/>
        </w:rPr>
        <w:t>。</w:t>
      </w:r>
      <w:r>
        <w:rPr>
          <w:rFonts w:hint="eastAsia"/>
          <w:sz w:val="24"/>
          <w:szCs w:val="24"/>
        </w:rPr>
        <w:t xml:space="preserve">        </w:t>
      </w:r>
    </w:p>
    <w:p w14:paraId="74A0E1D2">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rPr>
        <w:t>二、我单位具有独立承担民事责任的能力。</w:t>
      </w:r>
    </w:p>
    <w:p w14:paraId="150DF6E5">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rPr>
        <w:t>三、我单位具有良好的商业信誉和健全的财务会计制度。</w:t>
      </w:r>
    </w:p>
    <w:p w14:paraId="1C55C39A">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rPr>
        <w:t>四、我单位具有履行合同所必需的设备和专业技术能力。</w:t>
      </w:r>
    </w:p>
    <w:p w14:paraId="7A9C4B16">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rPr>
        <w:t>五、我单位有依法缴纳税收和社会保障资金的良好记录。</w:t>
      </w:r>
    </w:p>
    <w:p w14:paraId="0B497D79">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rPr>
        <w:t>六、我单位参加政府采购活动前三年内，在经营活动中没有重大违法记录。（重大违法记录，是指供应商因违法经营受到刑事处罚或者责令停产停业、吊销许可证或者执照、较大数额罚款等行政处罚。）</w:t>
      </w:r>
    </w:p>
    <w:p w14:paraId="6B1DE55A">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rPr>
        <w:t>七、我单位具备法律、行政法规规定的其他条件。</w:t>
      </w:r>
    </w:p>
    <w:p w14:paraId="62AC5285">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right="0" w:firstLine="240" w:firstLineChars="100"/>
        <w:textAlignment w:val="baseline"/>
        <w:outlineLvl w:val="9"/>
        <w:rPr>
          <w:rFonts w:hint="eastAsia"/>
          <w:sz w:val="24"/>
          <w:szCs w:val="24"/>
        </w:rPr>
      </w:pPr>
      <w:r>
        <w:rPr>
          <w:rFonts w:hint="eastAsia"/>
          <w:sz w:val="24"/>
          <w:szCs w:val="24"/>
        </w:rPr>
        <w:t>我单位保证上述声明的事项都是真实的，符合《中华人民共和国政府采购法》规定的供应商资格条件。如有弄虚作假，我单位愿意</w:t>
      </w:r>
      <w:r>
        <w:rPr>
          <w:rFonts w:hint="eastAsia"/>
          <w:sz w:val="24"/>
          <w:szCs w:val="24"/>
          <w:lang w:eastAsia="zh-CN"/>
        </w:rPr>
        <w:t>按照“</w:t>
      </w:r>
      <w:r>
        <w:rPr>
          <w:rFonts w:hint="eastAsia"/>
          <w:sz w:val="24"/>
          <w:szCs w:val="24"/>
        </w:rPr>
        <w:t>提供虚假材料谋取中标、成交</w:t>
      </w:r>
      <w:r>
        <w:rPr>
          <w:rFonts w:hint="eastAsia"/>
          <w:sz w:val="24"/>
          <w:szCs w:val="24"/>
          <w:lang w:eastAsia="zh-CN"/>
        </w:rPr>
        <w:t>”</w:t>
      </w:r>
      <w:r>
        <w:rPr>
          <w:rFonts w:hint="eastAsia"/>
          <w:sz w:val="24"/>
          <w:szCs w:val="24"/>
        </w:rPr>
        <w:t>承担相应的法律责任，</w:t>
      </w:r>
      <w:r>
        <w:rPr>
          <w:rFonts w:hint="eastAsia"/>
          <w:sz w:val="24"/>
          <w:szCs w:val="24"/>
          <w:lang w:eastAsia="zh-CN"/>
        </w:rPr>
        <w:t>同意</w:t>
      </w:r>
      <w:r>
        <w:rPr>
          <w:rFonts w:hint="eastAsia"/>
          <w:sz w:val="24"/>
          <w:szCs w:val="24"/>
        </w:rPr>
        <w:t>将违背承诺行为作为失信行为记录到社会信用信息平台，并承担因此所造成的一切损失。</w:t>
      </w:r>
    </w:p>
    <w:p w14:paraId="5F5549AE">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lang w:val="en-US" w:eastAsia="zh-CN"/>
        </w:rPr>
      </w:pPr>
      <w:r>
        <w:rPr>
          <w:rFonts w:hint="eastAsia"/>
          <w:sz w:val="24"/>
          <w:szCs w:val="24"/>
          <w:lang w:val="en-US" w:eastAsia="zh-CN"/>
        </w:rPr>
        <w:t xml:space="preserve">               </w:t>
      </w:r>
    </w:p>
    <w:p w14:paraId="3F0047B0">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lang w:val="en-US" w:eastAsia="zh-CN"/>
        </w:rPr>
        <w:t xml:space="preserve">                  </w:t>
      </w:r>
      <w:r>
        <w:rPr>
          <w:rFonts w:hint="eastAsia"/>
          <w:sz w:val="24"/>
          <w:szCs w:val="24"/>
        </w:rPr>
        <w:t>承诺单位（盖</w:t>
      </w:r>
      <w:r>
        <w:rPr>
          <w:rFonts w:hint="eastAsia"/>
          <w:sz w:val="24"/>
          <w:szCs w:val="24"/>
          <w:lang w:val="en-US" w:eastAsia="zh-CN"/>
        </w:rPr>
        <w:t>单位</w:t>
      </w:r>
      <w:r>
        <w:rPr>
          <w:rFonts w:hint="eastAsia"/>
          <w:sz w:val="24"/>
          <w:szCs w:val="24"/>
        </w:rPr>
        <w:t>章）：</w:t>
      </w:r>
    </w:p>
    <w:p w14:paraId="3B682ADD">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rPr>
        <w:t xml:space="preserve">                  法定代表人或授权代表（签名或盖章）：</w:t>
      </w:r>
    </w:p>
    <w:p w14:paraId="7847C72B">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rPr>
        <w:t xml:space="preserve">     </w:t>
      </w:r>
      <w:r>
        <w:rPr>
          <w:rFonts w:hint="eastAsia"/>
          <w:sz w:val="24"/>
          <w:szCs w:val="24"/>
          <w:lang w:val="en-US" w:eastAsia="zh-CN"/>
        </w:rPr>
        <w:t xml:space="preserve">             </w:t>
      </w:r>
      <w:r>
        <w:rPr>
          <w:rFonts w:hint="eastAsia"/>
          <w:sz w:val="24"/>
          <w:szCs w:val="24"/>
        </w:rPr>
        <w:t>日</w:t>
      </w:r>
      <w:r>
        <w:rPr>
          <w:rFonts w:hint="eastAsia"/>
          <w:sz w:val="24"/>
          <w:szCs w:val="24"/>
          <w:lang w:val="en-US" w:eastAsia="zh-CN"/>
        </w:rPr>
        <w:t xml:space="preserve"> </w:t>
      </w:r>
      <w:r>
        <w:rPr>
          <w:rFonts w:hint="eastAsia"/>
          <w:sz w:val="24"/>
          <w:szCs w:val="24"/>
        </w:rPr>
        <w:t>期：    年   月   日</w:t>
      </w:r>
    </w:p>
    <w:p w14:paraId="0D753EBE">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left="0" w:leftChars="0" w:right="0" w:firstLine="480" w:firstLineChars="200"/>
        <w:textAlignment w:val="baseline"/>
        <w:outlineLvl w:val="9"/>
        <w:rPr>
          <w:rFonts w:hint="eastAsia"/>
          <w:sz w:val="24"/>
          <w:szCs w:val="24"/>
        </w:rPr>
      </w:pPr>
      <w:r>
        <w:rPr>
          <w:rFonts w:hint="eastAsia"/>
          <w:sz w:val="24"/>
          <w:szCs w:val="24"/>
        </w:rPr>
        <w:t>注：1.</w:t>
      </w:r>
      <w:r>
        <w:rPr>
          <w:rFonts w:hint="eastAsia"/>
          <w:sz w:val="24"/>
          <w:szCs w:val="24"/>
          <w:lang w:val="en-US" w:eastAsia="zh-CN"/>
        </w:rPr>
        <w:t>供应商</w:t>
      </w:r>
      <w:r>
        <w:rPr>
          <w:rFonts w:hint="eastAsia"/>
          <w:sz w:val="24"/>
          <w:szCs w:val="24"/>
        </w:rPr>
        <w:t>须在</w:t>
      </w:r>
      <w:r>
        <w:rPr>
          <w:rFonts w:hint="eastAsia"/>
          <w:sz w:val="24"/>
          <w:szCs w:val="24"/>
          <w:lang w:val="en-US" w:eastAsia="zh-CN"/>
        </w:rPr>
        <w:t>响应</w:t>
      </w:r>
      <w:r>
        <w:rPr>
          <w:rFonts w:hint="eastAsia"/>
          <w:sz w:val="24"/>
          <w:szCs w:val="24"/>
        </w:rPr>
        <w:t>文件中按此模板提供承诺函，未提供视为未实质性响应</w:t>
      </w:r>
      <w:r>
        <w:rPr>
          <w:rFonts w:hint="eastAsia"/>
          <w:sz w:val="24"/>
          <w:szCs w:val="24"/>
          <w:lang w:val="en-US" w:eastAsia="zh-CN"/>
        </w:rPr>
        <w:t>征集</w:t>
      </w:r>
      <w:r>
        <w:rPr>
          <w:rFonts w:hint="eastAsia"/>
          <w:sz w:val="24"/>
          <w:szCs w:val="24"/>
        </w:rPr>
        <w:t>文件要求，按无效投标处理。</w:t>
      </w:r>
    </w:p>
    <w:p w14:paraId="7724F918">
      <w:pPr>
        <w:keepNext w:val="0"/>
        <w:keepLines w:val="0"/>
        <w:pageBreakBefore w:val="0"/>
        <w:widowControl w:val="0"/>
        <w:kinsoku w:val="0"/>
        <w:wordWrap/>
        <w:overflowPunct/>
        <w:topLinePunct w:val="0"/>
        <w:autoSpaceDE w:val="0"/>
        <w:autoSpaceDN w:val="0"/>
        <w:bidi w:val="0"/>
        <w:adjustRightInd w:val="0"/>
        <w:snapToGrid/>
        <w:spacing w:before="0" w:after="0" w:line="500" w:lineRule="exact"/>
        <w:ind w:right="0" w:firstLine="720" w:firstLineChars="300"/>
        <w:textAlignment w:val="baseline"/>
        <w:outlineLvl w:val="9"/>
        <w:rPr>
          <w:rFonts w:hint="eastAsia"/>
          <w:sz w:val="24"/>
          <w:szCs w:val="24"/>
        </w:rPr>
      </w:pPr>
      <w:r>
        <w:rPr>
          <w:rFonts w:hint="eastAsia"/>
          <w:sz w:val="24"/>
          <w:szCs w:val="24"/>
        </w:rPr>
        <w:t>2.</w:t>
      </w:r>
      <w:r>
        <w:rPr>
          <w:rFonts w:hint="eastAsia"/>
          <w:sz w:val="24"/>
          <w:szCs w:val="24"/>
          <w:lang w:val="en-US" w:eastAsia="zh-CN"/>
        </w:rPr>
        <w:t>供应商</w:t>
      </w:r>
      <w:r>
        <w:rPr>
          <w:rFonts w:hint="eastAsia"/>
          <w:sz w:val="24"/>
          <w:szCs w:val="24"/>
        </w:rPr>
        <w:t>的法定代表人或者授权代表的签字或盖章应真实、有效。</w:t>
      </w:r>
    </w:p>
    <w:bookmarkEnd w:id="635"/>
    <w:p w14:paraId="4D5004F8">
      <w:pPr>
        <w:spacing w:line="440" w:lineRule="exact"/>
        <w:jc w:val="center"/>
        <w:rPr>
          <w:rFonts w:hint="eastAsia" w:ascii="宋体" w:hAnsi="宋体" w:cs="宋体"/>
          <w:b/>
          <w:sz w:val="30"/>
          <w:szCs w:val="30"/>
          <w:lang w:val="en-US" w:eastAsia="zh-CN"/>
        </w:rPr>
      </w:pPr>
    </w:p>
    <w:p w14:paraId="30B65C2C">
      <w:pPr>
        <w:spacing w:line="440" w:lineRule="exact"/>
        <w:jc w:val="center"/>
        <w:rPr>
          <w:rFonts w:hint="eastAsia" w:ascii="宋体" w:hAnsi="宋体" w:cs="宋体"/>
          <w:b/>
          <w:sz w:val="30"/>
          <w:szCs w:val="30"/>
          <w:lang w:val="en-US" w:eastAsia="zh-CN"/>
        </w:rPr>
      </w:pPr>
    </w:p>
    <w:bookmarkEnd w:id="636"/>
    <w:bookmarkEnd w:id="637"/>
    <w:bookmarkEnd w:id="638"/>
    <w:bookmarkEnd w:id="639"/>
    <w:bookmarkEnd w:id="640"/>
    <w:bookmarkEnd w:id="641"/>
    <w:bookmarkEnd w:id="642"/>
    <w:p w14:paraId="5017AEB7">
      <w:pPr>
        <w:pStyle w:val="3"/>
        <w:numPr>
          <w:ilvl w:val="0"/>
          <w:numId w:val="0"/>
        </w:numPr>
        <w:spacing w:before="0" w:after="0" w:line="360" w:lineRule="auto"/>
        <w:ind w:left="-420"/>
        <w:rPr>
          <w:rFonts w:hint="eastAsia" w:ascii="宋体" w:hAnsi="宋体" w:eastAsia="宋体"/>
          <w:sz w:val="24"/>
          <w:szCs w:val="24"/>
          <w:lang w:eastAsia="zh-CN"/>
        </w:rPr>
      </w:pPr>
      <w:bookmarkStart w:id="643" w:name="_Toc24224"/>
      <w:bookmarkStart w:id="644" w:name="_Toc312133599"/>
    </w:p>
    <w:bookmarkEnd w:id="643"/>
    <w:p w14:paraId="25C75579">
      <w:pPr>
        <w:numPr>
          <w:ilvl w:val="0"/>
          <w:numId w:val="0"/>
        </w:numPr>
        <w:jc w:val="center"/>
        <w:rPr>
          <w:rFonts w:hint="eastAsia" w:ascii="宋体" w:hAnsi="宋体" w:cs="宋体"/>
          <w:b/>
          <w:bCs/>
          <w:sz w:val="30"/>
          <w:szCs w:val="30"/>
          <w:lang w:val="en-US" w:eastAsia="zh-CN"/>
        </w:rPr>
      </w:pPr>
      <w:r>
        <w:rPr>
          <w:rFonts w:hint="eastAsia" w:ascii="宋体" w:hAnsi="宋体" w:cs="宋体"/>
          <w:b/>
          <w:bCs/>
          <w:sz w:val="30"/>
          <w:szCs w:val="30"/>
          <w:lang w:val="en-US" w:eastAsia="zh-CN"/>
        </w:rPr>
        <w:t>五、技术部分</w:t>
      </w:r>
    </w:p>
    <w:p w14:paraId="753A7617">
      <w:pPr>
        <w:pStyle w:val="12"/>
        <w:numPr>
          <w:ilvl w:val="0"/>
          <w:numId w:val="0"/>
        </w:numPr>
        <w:ind w:firstLine="1680" w:firstLineChars="600"/>
        <w:rPr>
          <w:rFonts w:hint="eastAsia"/>
          <w:sz w:val="28"/>
          <w:szCs w:val="28"/>
          <w:lang w:val="en-US" w:eastAsia="zh-CN"/>
        </w:rPr>
      </w:pPr>
    </w:p>
    <w:p w14:paraId="65A24A4C">
      <w:pPr>
        <w:pStyle w:val="12"/>
        <w:numPr>
          <w:ilvl w:val="0"/>
          <w:numId w:val="0"/>
        </w:numPr>
        <w:ind w:firstLine="840" w:firstLineChars="300"/>
        <w:rPr>
          <w:rFonts w:hint="default"/>
          <w:b w:val="0"/>
          <w:bCs w:val="0"/>
          <w:sz w:val="28"/>
          <w:szCs w:val="28"/>
          <w:lang w:val="en-US" w:eastAsia="zh-CN"/>
        </w:rPr>
      </w:pPr>
      <w:bookmarkStart w:id="645" w:name="OLE_LINK44"/>
      <w:r>
        <w:rPr>
          <w:rFonts w:hint="eastAsia"/>
          <w:b w:val="0"/>
          <w:bCs w:val="0"/>
          <w:sz w:val="28"/>
          <w:szCs w:val="28"/>
          <w:lang w:val="en-US" w:eastAsia="zh-CN"/>
        </w:rPr>
        <w:t>（注：供应商可根据评审方法中对应项目进行编写，格式自拟）</w:t>
      </w:r>
    </w:p>
    <w:bookmarkEnd w:id="645"/>
    <w:p w14:paraId="69058AAE">
      <w:pPr>
        <w:spacing w:line="440" w:lineRule="exact"/>
        <w:jc w:val="center"/>
        <w:rPr>
          <w:rFonts w:hint="eastAsia" w:ascii="宋体" w:hAnsi="宋体" w:cs="宋体"/>
          <w:b/>
          <w:sz w:val="30"/>
          <w:szCs w:val="30"/>
        </w:rPr>
      </w:pPr>
    </w:p>
    <w:p w14:paraId="3AF82E8A">
      <w:pPr>
        <w:pStyle w:val="6"/>
        <w:spacing w:line="360" w:lineRule="auto"/>
        <w:rPr>
          <w:rFonts w:hint="eastAsia"/>
          <w:sz w:val="24"/>
          <w:szCs w:val="24"/>
        </w:rPr>
      </w:pPr>
    </w:p>
    <w:p w14:paraId="75ED53DC">
      <w:pPr>
        <w:pStyle w:val="6"/>
        <w:spacing w:line="360" w:lineRule="auto"/>
        <w:rPr>
          <w:rFonts w:hint="eastAsia"/>
          <w:sz w:val="24"/>
          <w:szCs w:val="24"/>
        </w:rPr>
      </w:pPr>
    </w:p>
    <w:p w14:paraId="1FA24CAD">
      <w:pPr>
        <w:pStyle w:val="6"/>
        <w:spacing w:line="360" w:lineRule="auto"/>
        <w:rPr>
          <w:rFonts w:hint="eastAsia"/>
          <w:sz w:val="24"/>
          <w:szCs w:val="24"/>
        </w:rPr>
      </w:pPr>
    </w:p>
    <w:p w14:paraId="37069055">
      <w:pPr>
        <w:numPr>
          <w:ilvl w:val="0"/>
          <w:numId w:val="0"/>
        </w:numPr>
        <w:spacing w:line="440" w:lineRule="exact"/>
        <w:ind w:firstLine="3614" w:firstLineChars="1200"/>
        <w:jc w:val="both"/>
        <w:rPr>
          <w:rFonts w:hint="eastAsia" w:ascii="宋体" w:hAnsi="宋体" w:cs="宋体"/>
          <w:b/>
          <w:sz w:val="30"/>
          <w:szCs w:val="30"/>
          <w:lang w:val="en-US" w:eastAsia="zh-CN"/>
        </w:rPr>
      </w:pPr>
    </w:p>
    <w:p w14:paraId="50901EAF">
      <w:pPr>
        <w:numPr>
          <w:ilvl w:val="0"/>
          <w:numId w:val="0"/>
        </w:numPr>
        <w:spacing w:line="440" w:lineRule="exact"/>
        <w:ind w:firstLine="3614" w:firstLineChars="1200"/>
        <w:jc w:val="both"/>
        <w:rPr>
          <w:rFonts w:hint="eastAsia" w:ascii="宋体" w:hAnsi="宋体" w:cs="宋体"/>
          <w:b/>
          <w:sz w:val="30"/>
          <w:szCs w:val="30"/>
          <w:lang w:val="en-US" w:eastAsia="zh-CN"/>
        </w:rPr>
      </w:pPr>
    </w:p>
    <w:p w14:paraId="078F1BBA">
      <w:pPr>
        <w:numPr>
          <w:ilvl w:val="0"/>
          <w:numId w:val="0"/>
        </w:numPr>
        <w:spacing w:line="440" w:lineRule="exact"/>
        <w:ind w:firstLine="3614" w:firstLineChars="1200"/>
        <w:jc w:val="both"/>
        <w:rPr>
          <w:rFonts w:hint="eastAsia" w:ascii="宋体" w:hAnsi="宋体" w:cs="宋体"/>
          <w:b/>
          <w:sz w:val="30"/>
          <w:szCs w:val="30"/>
          <w:lang w:val="en-US" w:eastAsia="zh-CN"/>
        </w:rPr>
      </w:pPr>
    </w:p>
    <w:p w14:paraId="726AB83C">
      <w:pPr>
        <w:numPr>
          <w:ilvl w:val="0"/>
          <w:numId w:val="0"/>
        </w:numPr>
        <w:spacing w:line="440" w:lineRule="exact"/>
        <w:ind w:firstLine="3614" w:firstLineChars="1200"/>
        <w:jc w:val="both"/>
        <w:rPr>
          <w:rFonts w:hint="eastAsia" w:ascii="宋体" w:hAnsi="宋体" w:cs="宋体"/>
          <w:b/>
          <w:sz w:val="30"/>
          <w:szCs w:val="30"/>
          <w:lang w:val="en-US" w:eastAsia="zh-CN"/>
        </w:rPr>
      </w:pPr>
    </w:p>
    <w:p w14:paraId="2B6AB281">
      <w:pPr>
        <w:numPr>
          <w:ilvl w:val="0"/>
          <w:numId w:val="0"/>
        </w:numPr>
        <w:spacing w:line="440" w:lineRule="exact"/>
        <w:ind w:firstLine="3614" w:firstLineChars="1200"/>
        <w:jc w:val="both"/>
        <w:rPr>
          <w:rFonts w:hint="eastAsia" w:ascii="宋体" w:hAnsi="宋体" w:cs="宋体"/>
          <w:b/>
          <w:sz w:val="30"/>
          <w:szCs w:val="30"/>
          <w:lang w:val="en-US" w:eastAsia="zh-CN"/>
        </w:rPr>
      </w:pPr>
    </w:p>
    <w:p w14:paraId="7A6E8907">
      <w:pPr>
        <w:numPr>
          <w:ilvl w:val="0"/>
          <w:numId w:val="0"/>
        </w:numPr>
        <w:spacing w:line="440" w:lineRule="exact"/>
        <w:ind w:firstLine="3614" w:firstLineChars="1200"/>
        <w:jc w:val="both"/>
        <w:rPr>
          <w:rFonts w:hint="eastAsia" w:ascii="宋体" w:hAnsi="宋体" w:cs="宋体"/>
          <w:b/>
          <w:sz w:val="30"/>
          <w:szCs w:val="30"/>
          <w:lang w:val="en-US" w:eastAsia="zh-CN"/>
        </w:rPr>
      </w:pPr>
    </w:p>
    <w:p w14:paraId="022D00CD">
      <w:pPr>
        <w:numPr>
          <w:ilvl w:val="0"/>
          <w:numId w:val="0"/>
        </w:numPr>
        <w:spacing w:line="440" w:lineRule="exact"/>
        <w:ind w:firstLine="3614" w:firstLineChars="1200"/>
        <w:jc w:val="both"/>
        <w:rPr>
          <w:rFonts w:hint="eastAsia" w:ascii="宋体" w:hAnsi="宋体" w:cs="宋体"/>
          <w:b/>
          <w:sz w:val="30"/>
          <w:szCs w:val="30"/>
          <w:lang w:val="en-US" w:eastAsia="zh-CN"/>
        </w:rPr>
      </w:pPr>
    </w:p>
    <w:p w14:paraId="32CAE273">
      <w:pPr>
        <w:numPr>
          <w:ilvl w:val="0"/>
          <w:numId w:val="0"/>
        </w:numPr>
        <w:spacing w:line="440" w:lineRule="exact"/>
        <w:ind w:firstLine="3614" w:firstLineChars="1200"/>
        <w:jc w:val="both"/>
        <w:rPr>
          <w:rFonts w:hint="eastAsia" w:ascii="宋体" w:hAnsi="宋体" w:cs="宋体"/>
          <w:b/>
          <w:sz w:val="30"/>
          <w:szCs w:val="30"/>
          <w:lang w:val="en-US" w:eastAsia="zh-CN"/>
        </w:rPr>
      </w:pPr>
    </w:p>
    <w:p w14:paraId="6C530AB6">
      <w:pPr>
        <w:numPr>
          <w:ilvl w:val="0"/>
          <w:numId w:val="0"/>
        </w:numPr>
        <w:spacing w:line="440" w:lineRule="exact"/>
        <w:ind w:firstLine="3614" w:firstLineChars="1200"/>
        <w:jc w:val="both"/>
        <w:rPr>
          <w:rFonts w:hint="eastAsia" w:ascii="宋体" w:hAnsi="宋体" w:cs="宋体"/>
          <w:b/>
          <w:sz w:val="30"/>
          <w:szCs w:val="30"/>
          <w:lang w:val="en-US" w:eastAsia="zh-CN"/>
        </w:rPr>
      </w:pPr>
    </w:p>
    <w:p w14:paraId="4314A5E5">
      <w:pPr>
        <w:numPr>
          <w:ilvl w:val="0"/>
          <w:numId w:val="0"/>
        </w:numPr>
        <w:spacing w:line="440" w:lineRule="exact"/>
        <w:ind w:firstLine="3614" w:firstLineChars="1200"/>
        <w:jc w:val="both"/>
        <w:rPr>
          <w:rFonts w:hint="eastAsia" w:ascii="宋体" w:hAnsi="宋体" w:cs="宋体"/>
          <w:b/>
          <w:sz w:val="30"/>
          <w:szCs w:val="30"/>
          <w:lang w:val="en-US" w:eastAsia="zh-CN"/>
        </w:rPr>
      </w:pPr>
    </w:p>
    <w:p w14:paraId="71535909">
      <w:pPr>
        <w:numPr>
          <w:ilvl w:val="0"/>
          <w:numId w:val="0"/>
        </w:numPr>
        <w:spacing w:line="440" w:lineRule="exact"/>
        <w:ind w:firstLine="3614" w:firstLineChars="1200"/>
        <w:jc w:val="both"/>
        <w:rPr>
          <w:rFonts w:hint="eastAsia" w:ascii="宋体" w:hAnsi="宋体" w:cs="宋体"/>
          <w:b/>
          <w:sz w:val="30"/>
          <w:szCs w:val="30"/>
          <w:lang w:val="en-US" w:eastAsia="zh-CN"/>
        </w:rPr>
      </w:pPr>
    </w:p>
    <w:p w14:paraId="0CFAC899">
      <w:pPr>
        <w:numPr>
          <w:ilvl w:val="0"/>
          <w:numId w:val="0"/>
        </w:numPr>
        <w:spacing w:line="440" w:lineRule="exact"/>
        <w:ind w:firstLine="3614" w:firstLineChars="1200"/>
        <w:jc w:val="both"/>
        <w:rPr>
          <w:rFonts w:hint="eastAsia" w:ascii="宋体" w:hAnsi="宋体" w:cs="宋体"/>
          <w:b/>
          <w:sz w:val="30"/>
          <w:szCs w:val="30"/>
          <w:lang w:val="en-US" w:eastAsia="zh-CN"/>
        </w:rPr>
      </w:pPr>
    </w:p>
    <w:p w14:paraId="0CA1C9A2">
      <w:pPr>
        <w:numPr>
          <w:ilvl w:val="0"/>
          <w:numId w:val="0"/>
        </w:numPr>
        <w:spacing w:line="440" w:lineRule="exact"/>
        <w:ind w:firstLine="3614" w:firstLineChars="1200"/>
        <w:jc w:val="both"/>
        <w:rPr>
          <w:rFonts w:hint="eastAsia" w:ascii="宋体" w:hAnsi="宋体" w:cs="宋体"/>
          <w:b/>
          <w:sz w:val="30"/>
          <w:szCs w:val="30"/>
          <w:lang w:val="en-US" w:eastAsia="zh-CN"/>
        </w:rPr>
      </w:pPr>
    </w:p>
    <w:p w14:paraId="0245D2CF">
      <w:pPr>
        <w:numPr>
          <w:ilvl w:val="0"/>
          <w:numId w:val="0"/>
        </w:numPr>
        <w:spacing w:line="440" w:lineRule="exact"/>
        <w:ind w:firstLine="3614" w:firstLineChars="1200"/>
        <w:jc w:val="both"/>
        <w:rPr>
          <w:rFonts w:hint="eastAsia" w:ascii="宋体" w:hAnsi="宋体" w:cs="宋体"/>
          <w:b/>
          <w:sz w:val="30"/>
          <w:szCs w:val="30"/>
          <w:lang w:val="en-US" w:eastAsia="zh-CN"/>
        </w:rPr>
      </w:pPr>
    </w:p>
    <w:p w14:paraId="3B097DDA">
      <w:pPr>
        <w:numPr>
          <w:ilvl w:val="0"/>
          <w:numId w:val="0"/>
        </w:numPr>
        <w:spacing w:line="440" w:lineRule="exact"/>
        <w:ind w:firstLine="3614" w:firstLineChars="1200"/>
        <w:jc w:val="both"/>
        <w:rPr>
          <w:rFonts w:hint="eastAsia" w:ascii="宋体" w:hAnsi="宋体" w:cs="宋体"/>
          <w:b/>
          <w:sz w:val="30"/>
          <w:szCs w:val="30"/>
          <w:lang w:val="en-US" w:eastAsia="zh-CN"/>
        </w:rPr>
      </w:pPr>
    </w:p>
    <w:p w14:paraId="7582F268">
      <w:pPr>
        <w:numPr>
          <w:ilvl w:val="0"/>
          <w:numId w:val="0"/>
        </w:numPr>
        <w:spacing w:line="440" w:lineRule="exact"/>
        <w:ind w:firstLine="3614" w:firstLineChars="1200"/>
        <w:jc w:val="both"/>
        <w:rPr>
          <w:rFonts w:hint="eastAsia" w:ascii="宋体" w:hAnsi="宋体" w:cs="宋体"/>
          <w:b/>
          <w:sz w:val="30"/>
          <w:szCs w:val="30"/>
          <w:lang w:val="en-US" w:eastAsia="zh-CN"/>
        </w:rPr>
      </w:pPr>
    </w:p>
    <w:p w14:paraId="06F7F823">
      <w:pPr>
        <w:numPr>
          <w:ilvl w:val="0"/>
          <w:numId w:val="0"/>
        </w:numPr>
        <w:spacing w:line="440" w:lineRule="exact"/>
        <w:ind w:firstLine="3614" w:firstLineChars="1200"/>
        <w:jc w:val="both"/>
        <w:rPr>
          <w:rFonts w:hint="eastAsia" w:ascii="宋体" w:hAnsi="宋体" w:cs="宋体"/>
          <w:b/>
          <w:sz w:val="30"/>
          <w:szCs w:val="30"/>
          <w:lang w:val="en-US" w:eastAsia="zh-CN"/>
        </w:rPr>
      </w:pPr>
    </w:p>
    <w:p w14:paraId="16E04E95">
      <w:pPr>
        <w:numPr>
          <w:ilvl w:val="0"/>
          <w:numId w:val="0"/>
        </w:numPr>
        <w:spacing w:line="440" w:lineRule="exact"/>
        <w:ind w:firstLine="3614" w:firstLineChars="1200"/>
        <w:jc w:val="both"/>
        <w:rPr>
          <w:rFonts w:hint="eastAsia" w:ascii="宋体" w:hAnsi="宋体" w:cs="宋体"/>
          <w:b/>
          <w:sz w:val="30"/>
          <w:szCs w:val="30"/>
          <w:lang w:val="en-US" w:eastAsia="zh-CN"/>
        </w:rPr>
      </w:pPr>
    </w:p>
    <w:p w14:paraId="1553A48C">
      <w:pPr>
        <w:numPr>
          <w:ilvl w:val="0"/>
          <w:numId w:val="0"/>
        </w:numPr>
        <w:spacing w:line="440" w:lineRule="exact"/>
        <w:ind w:firstLine="3614" w:firstLineChars="1200"/>
        <w:jc w:val="both"/>
        <w:rPr>
          <w:rFonts w:hint="eastAsia" w:ascii="宋体" w:hAnsi="宋体" w:cs="宋体"/>
          <w:b/>
          <w:sz w:val="30"/>
          <w:szCs w:val="30"/>
          <w:lang w:val="en-US" w:eastAsia="zh-CN"/>
        </w:rPr>
      </w:pPr>
    </w:p>
    <w:p w14:paraId="2814ED6F">
      <w:pPr>
        <w:numPr>
          <w:ilvl w:val="0"/>
          <w:numId w:val="0"/>
        </w:numPr>
        <w:spacing w:line="440" w:lineRule="exact"/>
        <w:ind w:firstLine="3614" w:firstLineChars="1200"/>
        <w:jc w:val="both"/>
        <w:rPr>
          <w:rFonts w:hint="eastAsia" w:ascii="宋体" w:hAnsi="宋体" w:cs="宋体"/>
          <w:b/>
          <w:sz w:val="30"/>
          <w:szCs w:val="30"/>
          <w:lang w:val="en-US" w:eastAsia="zh-CN"/>
        </w:rPr>
      </w:pPr>
    </w:p>
    <w:p w14:paraId="5E5F9AA7">
      <w:pPr>
        <w:numPr>
          <w:ilvl w:val="0"/>
          <w:numId w:val="0"/>
        </w:numPr>
        <w:spacing w:line="440" w:lineRule="exact"/>
        <w:ind w:firstLine="3614" w:firstLineChars="1200"/>
        <w:jc w:val="both"/>
        <w:rPr>
          <w:rFonts w:hint="eastAsia" w:ascii="宋体" w:hAnsi="宋体" w:cs="宋体"/>
          <w:b/>
          <w:sz w:val="30"/>
          <w:szCs w:val="30"/>
          <w:lang w:val="en-US" w:eastAsia="zh-CN"/>
        </w:rPr>
      </w:pPr>
    </w:p>
    <w:p w14:paraId="1E40664D">
      <w:pPr>
        <w:numPr>
          <w:ilvl w:val="0"/>
          <w:numId w:val="0"/>
        </w:numPr>
        <w:spacing w:line="440" w:lineRule="exact"/>
        <w:ind w:firstLine="3614" w:firstLineChars="1200"/>
        <w:jc w:val="both"/>
        <w:rPr>
          <w:rFonts w:hint="eastAsia" w:ascii="宋体" w:hAnsi="宋体" w:cs="宋体"/>
          <w:b/>
          <w:sz w:val="30"/>
          <w:szCs w:val="30"/>
          <w:lang w:val="en-US" w:eastAsia="zh-CN"/>
        </w:rPr>
      </w:pPr>
    </w:p>
    <w:p w14:paraId="741C4A31">
      <w:pPr>
        <w:numPr>
          <w:ilvl w:val="0"/>
          <w:numId w:val="0"/>
        </w:numPr>
        <w:spacing w:line="440" w:lineRule="exact"/>
        <w:ind w:firstLine="3614" w:firstLineChars="1200"/>
        <w:jc w:val="both"/>
        <w:rPr>
          <w:rFonts w:hint="eastAsia" w:ascii="宋体" w:hAnsi="宋体" w:cs="宋体"/>
          <w:b/>
          <w:sz w:val="30"/>
          <w:szCs w:val="30"/>
          <w:lang w:val="en-US" w:eastAsia="zh-CN"/>
        </w:rPr>
      </w:pPr>
    </w:p>
    <w:p w14:paraId="74BE50F0">
      <w:pPr>
        <w:numPr>
          <w:ilvl w:val="0"/>
          <w:numId w:val="0"/>
        </w:numPr>
        <w:spacing w:line="440" w:lineRule="exact"/>
        <w:ind w:firstLine="3614" w:firstLineChars="1200"/>
        <w:jc w:val="both"/>
        <w:rPr>
          <w:rFonts w:hint="eastAsia" w:ascii="宋体" w:hAnsi="宋体" w:cs="宋体"/>
          <w:b/>
          <w:sz w:val="30"/>
          <w:szCs w:val="30"/>
          <w:lang w:val="en-US" w:eastAsia="zh-CN"/>
        </w:rPr>
      </w:pPr>
    </w:p>
    <w:p w14:paraId="25A6ACCF">
      <w:pPr>
        <w:numPr>
          <w:ilvl w:val="0"/>
          <w:numId w:val="0"/>
        </w:numPr>
        <w:spacing w:line="440" w:lineRule="exact"/>
        <w:ind w:firstLine="3614" w:firstLineChars="1200"/>
        <w:jc w:val="both"/>
        <w:rPr>
          <w:rFonts w:hint="eastAsia" w:ascii="宋体" w:hAnsi="宋体" w:cs="宋体"/>
          <w:b/>
          <w:sz w:val="30"/>
          <w:szCs w:val="30"/>
          <w:lang w:val="en-US" w:eastAsia="zh-CN"/>
        </w:rPr>
      </w:pPr>
      <w:r>
        <w:rPr>
          <w:rFonts w:hint="eastAsia" w:ascii="宋体" w:hAnsi="宋体" w:cs="宋体"/>
          <w:b/>
          <w:sz w:val="30"/>
          <w:szCs w:val="30"/>
          <w:lang w:val="en-US" w:eastAsia="zh-CN"/>
        </w:rPr>
        <w:t>六、综合部分</w:t>
      </w:r>
    </w:p>
    <w:p w14:paraId="17EE065A">
      <w:pPr>
        <w:pStyle w:val="12"/>
        <w:numPr>
          <w:ilvl w:val="0"/>
          <w:numId w:val="0"/>
        </w:numPr>
        <w:ind w:left="420" w:leftChars="0"/>
        <w:rPr>
          <w:rFonts w:hint="default"/>
          <w:sz w:val="24"/>
          <w:szCs w:val="24"/>
          <w:lang w:val="en-US" w:eastAsia="zh-CN"/>
        </w:rPr>
      </w:pPr>
    </w:p>
    <w:p w14:paraId="41B14ADB">
      <w:pPr>
        <w:pStyle w:val="12"/>
        <w:numPr>
          <w:ilvl w:val="0"/>
          <w:numId w:val="0"/>
        </w:numPr>
        <w:jc w:val="center"/>
        <w:rPr>
          <w:rFonts w:hint="default"/>
          <w:sz w:val="28"/>
          <w:szCs w:val="28"/>
          <w:lang w:val="en-US" w:eastAsia="zh-CN"/>
        </w:rPr>
      </w:pPr>
      <w:r>
        <w:rPr>
          <w:rFonts w:hint="eastAsia"/>
          <w:sz w:val="28"/>
          <w:szCs w:val="28"/>
          <w:lang w:val="en-US" w:eastAsia="zh-CN"/>
        </w:rPr>
        <w:t>（注：供应商可根据评审方法中对应项目进行</w:t>
      </w:r>
      <w:r>
        <w:rPr>
          <w:rFonts w:hint="eastAsia"/>
          <w:b w:val="0"/>
          <w:bCs w:val="0"/>
          <w:sz w:val="28"/>
          <w:szCs w:val="28"/>
          <w:lang w:val="en-US" w:eastAsia="zh-CN"/>
        </w:rPr>
        <w:t>编写</w:t>
      </w:r>
      <w:r>
        <w:rPr>
          <w:rFonts w:hint="eastAsia"/>
          <w:sz w:val="28"/>
          <w:szCs w:val="28"/>
          <w:lang w:val="en-US" w:eastAsia="zh-CN"/>
        </w:rPr>
        <w:t>，格式自拟）</w:t>
      </w:r>
    </w:p>
    <w:p w14:paraId="5F9E3591">
      <w:pPr>
        <w:spacing w:line="440" w:lineRule="exact"/>
        <w:jc w:val="center"/>
        <w:rPr>
          <w:rFonts w:hint="eastAsia" w:ascii="宋体" w:hAnsi="宋体" w:cs="宋体"/>
          <w:b/>
          <w:sz w:val="30"/>
          <w:szCs w:val="30"/>
        </w:rPr>
      </w:pPr>
    </w:p>
    <w:p w14:paraId="07B86EEE">
      <w:pPr>
        <w:pStyle w:val="6"/>
        <w:spacing w:line="360" w:lineRule="auto"/>
        <w:rPr>
          <w:rFonts w:hint="eastAsia"/>
          <w:sz w:val="24"/>
          <w:szCs w:val="24"/>
        </w:rPr>
      </w:pPr>
    </w:p>
    <w:p w14:paraId="13B8CD54">
      <w:pPr>
        <w:pStyle w:val="6"/>
        <w:spacing w:line="360" w:lineRule="auto"/>
        <w:rPr>
          <w:rFonts w:hint="eastAsia"/>
          <w:sz w:val="24"/>
          <w:szCs w:val="24"/>
        </w:rPr>
      </w:pPr>
    </w:p>
    <w:p w14:paraId="7737B76C">
      <w:pPr>
        <w:pStyle w:val="6"/>
        <w:spacing w:line="360" w:lineRule="auto"/>
        <w:rPr>
          <w:rFonts w:hint="eastAsia"/>
          <w:sz w:val="24"/>
          <w:szCs w:val="24"/>
        </w:rPr>
      </w:pPr>
    </w:p>
    <w:p w14:paraId="239D60E0">
      <w:pPr>
        <w:pStyle w:val="6"/>
        <w:spacing w:line="360" w:lineRule="auto"/>
        <w:rPr>
          <w:rFonts w:hint="eastAsia"/>
          <w:sz w:val="24"/>
          <w:szCs w:val="24"/>
        </w:rPr>
      </w:pPr>
    </w:p>
    <w:p w14:paraId="7A059D84">
      <w:pPr>
        <w:pStyle w:val="6"/>
        <w:spacing w:line="360" w:lineRule="auto"/>
        <w:rPr>
          <w:rFonts w:hint="eastAsia"/>
          <w:sz w:val="24"/>
          <w:szCs w:val="24"/>
        </w:rPr>
      </w:pPr>
    </w:p>
    <w:p w14:paraId="342A4911">
      <w:pPr>
        <w:pStyle w:val="6"/>
        <w:spacing w:line="360" w:lineRule="auto"/>
        <w:rPr>
          <w:rFonts w:hint="eastAsia"/>
          <w:sz w:val="24"/>
          <w:szCs w:val="24"/>
        </w:rPr>
      </w:pPr>
    </w:p>
    <w:p w14:paraId="1B9AD432">
      <w:pPr>
        <w:pStyle w:val="6"/>
        <w:spacing w:line="360" w:lineRule="auto"/>
        <w:rPr>
          <w:rFonts w:hint="eastAsia"/>
          <w:sz w:val="24"/>
          <w:szCs w:val="24"/>
        </w:rPr>
      </w:pPr>
    </w:p>
    <w:p w14:paraId="3C66E328">
      <w:pPr>
        <w:pStyle w:val="6"/>
        <w:spacing w:line="360" w:lineRule="auto"/>
        <w:rPr>
          <w:rFonts w:hint="eastAsia"/>
          <w:sz w:val="24"/>
          <w:szCs w:val="24"/>
        </w:rPr>
      </w:pPr>
    </w:p>
    <w:p w14:paraId="5EDF5D46">
      <w:pPr>
        <w:pStyle w:val="6"/>
        <w:spacing w:line="360" w:lineRule="auto"/>
        <w:rPr>
          <w:rFonts w:hint="eastAsia"/>
          <w:sz w:val="24"/>
          <w:szCs w:val="24"/>
        </w:rPr>
      </w:pPr>
    </w:p>
    <w:p w14:paraId="7DBA1A41">
      <w:pPr>
        <w:pStyle w:val="6"/>
        <w:spacing w:line="360" w:lineRule="auto"/>
        <w:rPr>
          <w:rFonts w:hint="eastAsia"/>
          <w:sz w:val="24"/>
          <w:szCs w:val="24"/>
        </w:rPr>
      </w:pPr>
    </w:p>
    <w:p w14:paraId="0CC1FF7A">
      <w:pPr>
        <w:pStyle w:val="6"/>
        <w:spacing w:line="360" w:lineRule="auto"/>
        <w:rPr>
          <w:rFonts w:hint="eastAsia"/>
          <w:sz w:val="24"/>
          <w:szCs w:val="24"/>
        </w:rPr>
      </w:pPr>
    </w:p>
    <w:p w14:paraId="43166290">
      <w:pPr>
        <w:pStyle w:val="6"/>
        <w:spacing w:line="360" w:lineRule="auto"/>
        <w:rPr>
          <w:rFonts w:hint="eastAsia"/>
          <w:sz w:val="24"/>
          <w:szCs w:val="24"/>
        </w:rPr>
      </w:pPr>
    </w:p>
    <w:p w14:paraId="24FE1CB7">
      <w:pPr>
        <w:pStyle w:val="6"/>
        <w:spacing w:line="360" w:lineRule="auto"/>
        <w:rPr>
          <w:rFonts w:hint="eastAsia"/>
          <w:sz w:val="24"/>
          <w:szCs w:val="24"/>
        </w:rPr>
      </w:pPr>
    </w:p>
    <w:p w14:paraId="15528EDB">
      <w:pPr>
        <w:pStyle w:val="6"/>
        <w:spacing w:line="360" w:lineRule="auto"/>
        <w:rPr>
          <w:rFonts w:hint="eastAsia"/>
          <w:sz w:val="24"/>
          <w:szCs w:val="24"/>
        </w:rPr>
      </w:pPr>
    </w:p>
    <w:p w14:paraId="1A48876B">
      <w:pPr>
        <w:pStyle w:val="6"/>
        <w:spacing w:line="360" w:lineRule="auto"/>
        <w:rPr>
          <w:rFonts w:hint="eastAsia"/>
          <w:sz w:val="24"/>
          <w:szCs w:val="24"/>
        </w:rPr>
      </w:pPr>
    </w:p>
    <w:p w14:paraId="43AD9E7A">
      <w:pPr>
        <w:pStyle w:val="6"/>
        <w:spacing w:line="360" w:lineRule="auto"/>
        <w:rPr>
          <w:rFonts w:hint="eastAsia"/>
          <w:sz w:val="24"/>
          <w:szCs w:val="24"/>
        </w:rPr>
      </w:pPr>
    </w:p>
    <w:p w14:paraId="7177811C">
      <w:pPr>
        <w:pStyle w:val="6"/>
        <w:spacing w:line="360" w:lineRule="auto"/>
        <w:rPr>
          <w:rFonts w:hint="eastAsia"/>
          <w:sz w:val="24"/>
          <w:szCs w:val="24"/>
        </w:rPr>
      </w:pPr>
    </w:p>
    <w:p w14:paraId="3E3A1E04">
      <w:pPr>
        <w:pStyle w:val="6"/>
        <w:spacing w:line="360" w:lineRule="auto"/>
        <w:rPr>
          <w:rFonts w:hint="eastAsia"/>
          <w:sz w:val="24"/>
          <w:szCs w:val="24"/>
        </w:rPr>
      </w:pPr>
    </w:p>
    <w:p w14:paraId="5C6C9D50">
      <w:pPr>
        <w:pStyle w:val="6"/>
        <w:spacing w:line="360" w:lineRule="auto"/>
        <w:rPr>
          <w:rFonts w:hint="eastAsia"/>
          <w:sz w:val="24"/>
          <w:szCs w:val="24"/>
        </w:rPr>
      </w:pPr>
    </w:p>
    <w:p w14:paraId="3EB90915">
      <w:pPr>
        <w:pStyle w:val="6"/>
        <w:spacing w:line="360" w:lineRule="auto"/>
        <w:rPr>
          <w:rFonts w:hint="eastAsia"/>
          <w:sz w:val="24"/>
          <w:szCs w:val="24"/>
        </w:rPr>
      </w:pPr>
    </w:p>
    <w:p w14:paraId="512D242F">
      <w:pPr>
        <w:pStyle w:val="7"/>
        <w:rPr>
          <w:rFonts w:hint="eastAsia"/>
          <w:sz w:val="24"/>
          <w:szCs w:val="24"/>
        </w:rPr>
      </w:pPr>
    </w:p>
    <w:p w14:paraId="3F3778EF">
      <w:pPr>
        <w:pStyle w:val="7"/>
        <w:rPr>
          <w:rFonts w:hint="eastAsia"/>
          <w:sz w:val="24"/>
          <w:szCs w:val="24"/>
        </w:rPr>
      </w:pPr>
    </w:p>
    <w:p w14:paraId="4798D67B">
      <w:pPr>
        <w:pStyle w:val="7"/>
        <w:rPr>
          <w:rFonts w:hint="eastAsia"/>
          <w:sz w:val="24"/>
          <w:szCs w:val="24"/>
        </w:rPr>
      </w:pPr>
    </w:p>
    <w:p w14:paraId="7C8DC2E7">
      <w:pPr>
        <w:pStyle w:val="7"/>
        <w:rPr>
          <w:rFonts w:hint="eastAsia"/>
          <w:sz w:val="24"/>
          <w:szCs w:val="24"/>
        </w:rPr>
      </w:pPr>
    </w:p>
    <w:p w14:paraId="4B4936A5">
      <w:pPr>
        <w:pStyle w:val="7"/>
        <w:rPr>
          <w:rFonts w:hint="eastAsia"/>
          <w:sz w:val="24"/>
          <w:szCs w:val="24"/>
        </w:rPr>
      </w:pPr>
    </w:p>
    <w:bookmarkEnd w:id="644"/>
    <w:p w14:paraId="3322A83F">
      <w:pPr>
        <w:numPr>
          <w:ilvl w:val="0"/>
          <w:numId w:val="21"/>
        </w:numPr>
        <w:spacing w:line="440" w:lineRule="exact"/>
        <w:jc w:val="center"/>
        <w:rPr>
          <w:rFonts w:hint="eastAsia" w:ascii="宋体" w:hAnsi="宋体" w:cs="宋体"/>
          <w:b/>
          <w:sz w:val="30"/>
          <w:szCs w:val="30"/>
        </w:rPr>
      </w:pPr>
      <w:r>
        <w:rPr>
          <w:rFonts w:hint="eastAsia" w:ascii="宋体" w:hAnsi="宋体" w:cs="宋体"/>
          <w:b/>
          <w:sz w:val="30"/>
          <w:szCs w:val="30"/>
        </w:rPr>
        <w:t>其它材料</w:t>
      </w:r>
    </w:p>
    <w:p w14:paraId="2D779871">
      <w:pPr>
        <w:pStyle w:val="12"/>
        <w:numPr>
          <w:ilvl w:val="0"/>
          <w:numId w:val="0"/>
        </w:numPr>
        <w:rPr>
          <w:rFonts w:hint="eastAsia"/>
          <w:lang w:eastAsia="zh-CN"/>
        </w:rPr>
      </w:pPr>
    </w:p>
    <w:p w14:paraId="212ADD4C">
      <w:pPr>
        <w:numPr>
          <w:ilvl w:val="0"/>
          <w:numId w:val="0"/>
        </w:numPr>
        <w:spacing w:line="480" w:lineRule="auto"/>
        <w:ind w:firstLine="3373" w:firstLineChars="1200"/>
        <w:jc w:val="left"/>
        <w:rPr>
          <w:rFonts w:hint="eastAsia" w:ascii="宋体" w:hAnsi="宋体" w:cs="宋体"/>
          <w:b/>
          <w:bCs/>
          <w:kern w:val="0"/>
          <w:sz w:val="28"/>
          <w:szCs w:val="28"/>
        </w:rPr>
      </w:pPr>
      <w:r>
        <w:rPr>
          <w:rFonts w:hint="eastAsia" w:ascii="宋体" w:hAnsi="宋体" w:cs="宋体"/>
          <w:b/>
          <w:bCs/>
          <w:kern w:val="0"/>
          <w:sz w:val="28"/>
          <w:szCs w:val="28"/>
          <w:lang w:eastAsia="zh-CN"/>
        </w:rPr>
        <w:t>（</w:t>
      </w:r>
      <w:r>
        <w:rPr>
          <w:rFonts w:hint="eastAsia" w:ascii="宋体" w:hAnsi="宋体" w:cs="宋体"/>
          <w:b/>
          <w:bCs/>
          <w:kern w:val="0"/>
          <w:sz w:val="28"/>
          <w:szCs w:val="28"/>
          <w:lang w:val="en-US" w:eastAsia="zh-CN"/>
        </w:rPr>
        <w:t>一</w:t>
      </w:r>
      <w:r>
        <w:rPr>
          <w:rFonts w:hint="eastAsia" w:ascii="宋体" w:hAnsi="宋体" w:cs="宋体"/>
          <w:b/>
          <w:bCs/>
          <w:kern w:val="0"/>
          <w:sz w:val="28"/>
          <w:szCs w:val="28"/>
          <w:lang w:eastAsia="zh-CN"/>
        </w:rPr>
        <w:t>）</w:t>
      </w:r>
      <w:r>
        <w:rPr>
          <w:rFonts w:hint="eastAsia" w:ascii="宋体" w:hAnsi="宋体" w:cs="宋体"/>
          <w:b/>
          <w:bCs/>
          <w:kern w:val="0"/>
          <w:sz w:val="28"/>
          <w:szCs w:val="28"/>
        </w:rPr>
        <w:t>反商业贿赂承诺书</w:t>
      </w:r>
    </w:p>
    <w:p w14:paraId="6C5250F1">
      <w:pPr>
        <w:keepNext w:val="0"/>
        <w:keepLines w:val="0"/>
        <w:pageBreakBefore w:val="0"/>
        <w:widowControl w:val="0"/>
        <w:kinsoku/>
        <w:overflowPunct/>
        <w:topLinePunct w:val="0"/>
        <w:autoSpaceDE/>
        <w:autoSpaceDN/>
        <w:bidi w:val="0"/>
        <w:adjustRightInd/>
        <w:snapToGrid/>
        <w:spacing w:line="500" w:lineRule="exact"/>
        <w:textAlignment w:val="auto"/>
        <w:rPr>
          <w:rFonts w:hint="eastAsia" w:ascii="宋体" w:hAnsi="宋体" w:cs="宋体"/>
          <w:kern w:val="0"/>
          <w:sz w:val="24"/>
        </w:rPr>
      </w:pPr>
      <w:r>
        <w:rPr>
          <w:rFonts w:hint="eastAsia" w:ascii="宋体" w:hAnsi="宋体" w:cs="宋体"/>
          <w:kern w:val="0"/>
          <w:sz w:val="24"/>
        </w:rPr>
        <w:t>我公司承诺：</w:t>
      </w:r>
    </w:p>
    <w:p w14:paraId="3AC9122A">
      <w:pPr>
        <w:keepNext w:val="0"/>
        <w:keepLines w:val="0"/>
        <w:pageBreakBefore w:val="0"/>
        <w:widowControl w:val="0"/>
        <w:kinsoku/>
        <w:overflowPunct/>
        <w:topLinePunct w:val="0"/>
        <w:autoSpaceDE/>
        <w:autoSpaceDN/>
        <w:bidi w:val="0"/>
        <w:adjustRightInd/>
        <w:snapToGrid/>
        <w:spacing w:line="500" w:lineRule="exact"/>
        <w:ind w:firstLine="555"/>
        <w:textAlignment w:val="auto"/>
        <w:rPr>
          <w:rFonts w:hint="eastAsia" w:ascii="宋体" w:hAnsi="宋体" w:cs="宋体"/>
          <w:kern w:val="0"/>
          <w:sz w:val="24"/>
        </w:rPr>
      </w:pPr>
      <w:r>
        <w:rPr>
          <w:rFonts w:hint="eastAsia" w:ascii="宋体" w:hAnsi="宋体" w:cs="宋体"/>
          <w:kern w:val="0"/>
          <w:sz w:val="24"/>
        </w:rPr>
        <w:t>在</w:t>
      </w:r>
      <w:r>
        <w:rPr>
          <w:rFonts w:hint="eastAsia" w:ascii="宋体" w:hAnsi="宋体" w:cs="宋体"/>
          <w:kern w:val="0"/>
          <w:sz w:val="24"/>
          <w:u w:val="single"/>
        </w:rPr>
        <w:t xml:space="preserve">                        （项目名称）</w:t>
      </w:r>
      <w:r>
        <w:rPr>
          <w:rFonts w:hint="eastAsia" w:ascii="宋体" w:hAnsi="宋体" w:cs="宋体"/>
          <w:kern w:val="0"/>
          <w:sz w:val="24"/>
        </w:rPr>
        <w:t>招标活动中，我公司保证做到：</w:t>
      </w:r>
    </w:p>
    <w:p w14:paraId="1EA87B94">
      <w:pPr>
        <w:keepNext w:val="0"/>
        <w:keepLines w:val="0"/>
        <w:pageBreakBefore w:val="0"/>
        <w:widowControl w:val="0"/>
        <w:kinsoku/>
        <w:overflowPunct/>
        <w:topLinePunct w:val="0"/>
        <w:autoSpaceDE/>
        <w:autoSpaceDN/>
        <w:bidi w:val="0"/>
        <w:adjustRightInd/>
        <w:snapToGrid/>
        <w:spacing w:line="500" w:lineRule="exact"/>
        <w:ind w:firstLine="555"/>
        <w:textAlignment w:val="auto"/>
        <w:rPr>
          <w:rFonts w:hint="eastAsia" w:ascii="宋体" w:hAnsi="宋体" w:cs="宋体"/>
          <w:kern w:val="0"/>
          <w:sz w:val="24"/>
        </w:rPr>
      </w:pPr>
      <w:r>
        <w:rPr>
          <w:rFonts w:hint="eastAsia" w:ascii="宋体" w:hAnsi="宋体" w:cs="宋体"/>
          <w:kern w:val="0"/>
          <w:sz w:val="24"/>
        </w:rPr>
        <w:t>一、公平竞争参见本次招标活动。</w:t>
      </w:r>
    </w:p>
    <w:p w14:paraId="66B4C315">
      <w:pPr>
        <w:keepNext w:val="0"/>
        <w:keepLines w:val="0"/>
        <w:pageBreakBefore w:val="0"/>
        <w:widowControl w:val="0"/>
        <w:kinsoku/>
        <w:overflowPunct/>
        <w:topLinePunct w:val="0"/>
        <w:autoSpaceDE/>
        <w:autoSpaceDN/>
        <w:bidi w:val="0"/>
        <w:adjustRightInd/>
        <w:snapToGrid/>
        <w:spacing w:line="500" w:lineRule="exact"/>
        <w:ind w:firstLine="555"/>
        <w:textAlignment w:val="auto"/>
        <w:rPr>
          <w:rFonts w:hint="eastAsia" w:ascii="宋体" w:hAnsi="宋体" w:cs="宋体"/>
          <w:kern w:val="0"/>
          <w:sz w:val="24"/>
        </w:rPr>
      </w:pPr>
      <w:r>
        <w:rPr>
          <w:rFonts w:hint="eastAsia" w:ascii="宋体" w:hAnsi="宋体" w:cs="宋体"/>
          <w:kern w:val="0"/>
          <w:sz w:val="24"/>
        </w:rPr>
        <w:t>二、杜绝任何形式的商业贿赂行为。不向国家工作人员、政府采购代理机构工作人员、评审专家及亲属提供礼品礼金、有价证券、购物券、回扣、佣金、咨询费、劳务费、资助费、宣传费、宴请；不为其报销各种消费凭证，不支付其旅游、娱乐等费用。</w:t>
      </w:r>
    </w:p>
    <w:p w14:paraId="7BE84786">
      <w:pPr>
        <w:keepNext w:val="0"/>
        <w:keepLines w:val="0"/>
        <w:pageBreakBefore w:val="0"/>
        <w:widowControl w:val="0"/>
        <w:kinsoku/>
        <w:overflowPunct/>
        <w:topLinePunct w:val="0"/>
        <w:autoSpaceDE/>
        <w:autoSpaceDN/>
        <w:bidi w:val="0"/>
        <w:adjustRightInd/>
        <w:snapToGrid/>
        <w:spacing w:line="500" w:lineRule="exact"/>
        <w:ind w:firstLine="555"/>
        <w:textAlignment w:val="auto"/>
        <w:rPr>
          <w:rFonts w:hint="eastAsia" w:ascii="宋体" w:hAnsi="宋体" w:cs="宋体"/>
          <w:kern w:val="0"/>
          <w:sz w:val="24"/>
        </w:rPr>
      </w:pPr>
      <w:r>
        <w:rPr>
          <w:rFonts w:hint="eastAsia" w:ascii="宋体" w:hAnsi="宋体" w:cs="宋体"/>
          <w:kern w:val="0"/>
          <w:sz w:val="24"/>
        </w:rPr>
        <w:t>三、若出现上述行为，我公司及参与投标的工作人员愿意接受按照国家法律法规等有关规定给予的处罚。</w:t>
      </w:r>
    </w:p>
    <w:p w14:paraId="01CFFBF5">
      <w:pPr>
        <w:keepNext w:val="0"/>
        <w:keepLines w:val="0"/>
        <w:pageBreakBefore w:val="0"/>
        <w:widowControl w:val="0"/>
        <w:kinsoku/>
        <w:overflowPunct/>
        <w:topLinePunct w:val="0"/>
        <w:autoSpaceDE/>
        <w:autoSpaceDN/>
        <w:bidi w:val="0"/>
        <w:adjustRightInd/>
        <w:snapToGrid/>
        <w:spacing w:line="500" w:lineRule="exact"/>
        <w:ind w:firstLine="555"/>
        <w:textAlignment w:val="auto"/>
        <w:rPr>
          <w:rFonts w:hint="eastAsia" w:ascii="宋体" w:hAnsi="宋体" w:cs="宋体"/>
          <w:kern w:val="0"/>
          <w:sz w:val="24"/>
        </w:rPr>
      </w:pPr>
    </w:p>
    <w:p w14:paraId="1EAD7134">
      <w:pPr>
        <w:keepNext w:val="0"/>
        <w:keepLines w:val="0"/>
        <w:pageBreakBefore w:val="0"/>
        <w:widowControl w:val="0"/>
        <w:kinsoku/>
        <w:overflowPunct/>
        <w:topLinePunct w:val="0"/>
        <w:autoSpaceDE/>
        <w:autoSpaceDN/>
        <w:bidi w:val="0"/>
        <w:adjustRightInd/>
        <w:snapToGrid/>
        <w:spacing w:line="500" w:lineRule="exact"/>
        <w:ind w:firstLine="555"/>
        <w:textAlignment w:val="auto"/>
        <w:rPr>
          <w:rFonts w:hint="eastAsia" w:ascii="宋体" w:hAnsi="宋体" w:cs="宋体"/>
          <w:kern w:val="0"/>
          <w:sz w:val="24"/>
        </w:rPr>
      </w:pPr>
    </w:p>
    <w:p w14:paraId="348A3459">
      <w:pPr>
        <w:pStyle w:val="40"/>
        <w:rPr>
          <w:rFonts w:hint="eastAsia" w:ascii="宋体" w:hAnsi="宋体" w:cs="宋体"/>
          <w:kern w:val="0"/>
          <w:sz w:val="24"/>
        </w:rPr>
      </w:pPr>
    </w:p>
    <w:p w14:paraId="6249B388">
      <w:pPr>
        <w:pStyle w:val="40"/>
        <w:rPr>
          <w:rFonts w:hint="eastAsia" w:ascii="宋体" w:hAnsi="宋体" w:cs="宋体"/>
          <w:kern w:val="0"/>
          <w:sz w:val="24"/>
        </w:rPr>
      </w:pPr>
    </w:p>
    <w:p w14:paraId="795E5CBD">
      <w:pPr>
        <w:pStyle w:val="40"/>
        <w:rPr>
          <w:rFonts w:hint="eastAsia" w:ascii="宋体" w:hAnsi="宋体" w:cs="宋体"/>
          <w:kern w:val="0"/>
          <w:sz w:val="24"/>
        </w:rPr>
      </w:pPr>
    </w:p>
    <w:p w14:paraId="51965B3C">
      <w:pPr>
        <w:pStyle w:val="40"/>
        <w:rPr>
          <w:rFonts w:hint="eastAsia" w:ascii="宋体" w:hAnsi="宋体" w:cs="宋体"/>
          <w:kern w:val="0"/>
          <w:sz w:val="24"/>
        </w:rPr>
      </w:pPr>
    </w:p>
    <w:p w14:paraId="38A0185B">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sz w:val="24"/>
          <w:szCs w:val="24"/>
        </w:rPr>
      </w:pPr>
      <w:r>
        <w:rPr>
          <w:rFonts w:hint="eastAsia" w:ascii="宋体" w:hAnsi="宋体" w:cs="宋体"/>
          <w:kern w:val="0"/>
          <w:sz w:val="24"/>
        </w:rPr>
        <w:t xml:space="preserve">                                       </w:t>
      </w:r>
      <w:r>
        <w:rPr>
          <w:rFonts w:hint="eastAsia" w:ascii="宋体" w:hAnsi="宋体" w:cs="宋体"/>
          <w:kern w:val="0"/>
          <w:sz w:val="24"/>
          <w:szCs w:val="24"/>
        </w:rPr>
        <w:t xml:space="preserve">  </w:t>
      </w:r>
      <w:r>
        <w:rPr>
          <w:rFonts w:hint="eastAsia" w:ascii="宋体" w:hAnsi="宋体"/>
          <w:sz w:val="24"/>
          <w:szCs w:val="24"/>
        </w:rPr>
        <w:t>供应商：</w:t>
      </w:r>
      <w:r>
        <w:rPr>
          <w:rFonts w:hint="eastAsia" w:ascii="宋体" w:hAnsi="宋体"/>
          <w:sz w:val="24"/>
          <w:szCs w:val="24"/>
          <w:u w:val="single"/>
        </w:rPr>
        <w:t xml:space="preserve">              </w:t>
      </w:r>
      <w:r>
        <w:rPr>
          <w:rFonts w:hint="eastAsia" w:ascii="宋体" w:hAnsi="宋体"/>
          <w:sz w:val="24"/>
          <w:szCs w:val="24"/>
        </w:rPr>
        <w:t>（</w:t>
      </w:r>
      <w:r>
        <w:rPr>
          <w:rFonts w:hint="eastAsia" w:ascii="宋体" w:hAnsi="宋体"/>
          <w:sz w:val="24"/>
          <w:szCs w:val="24"/>
          <w:lang w:val="en-US" w:eastAsia="zh-CN"/>
        </w:rPr>
        <w:t>盖单位</w:t>
      </w:r>
      <w:r>
        <w:rPr>
          <w:rFonts w:hint="eastAsia" w:ascii="宋体" w:hAnsi="宋体"/>
          <w:sz w:val="24"/>
          <w:szCs w:val="24"/>
        </w:rPr>
        <w:t>章）</w:t>
      </w:r>
    </w:p>
    <w:p w14:paraId="1F85A9A0">
      <w:pPr>
        <w:keepNext w:val="0"/>
        <w:keepLines w:val="0"/>
        <w:pageBreakBefore w:val="0"/>
        <w:widowControl w:val="0"/>
        <w:kinsoku/>
        <w:wordWrap w:val="0"/>
        <w:overflowPunct/>
        <w:topLinePunct w:val="0"/>
        <w:autoSpaceDE/>
        <w:autoSpaceDN/>
        <w:bidi w:val="0"/>
        <w:adjustRightInd/>
        <w:snapToGrid/>
        <w:spacing w:line="500" w:lineRule="exact"/>
        <w:jc w:val="right"/>
        <w:textAlignment w:val="auto"/>
        <w:rPr>
          <w:rFonts w:hint="eastAsia" w:ascii="宋体" w:hAnsi="宋体"/>
          <w:sz w:val="24"/>
          <w:szCs w:val="24"/>
        </w:rPr>
      </w:pPr>
      <w:r>
        <w:rPr>
          <w:rFonts w:hint="eastAsia" w:ascii="宋体" w:hAnsi="宋体"/>
          <w:sz w:val="24"/>
          <w:szCs w:val="24"/>
        </w:rPr>
        <w:t xml:space="preserve">    法定代表人或其委托代理人：</w:t>
      </w:r>
      <w:r>
        <w:rPr>
          <w:rFonts w:hint="eastAsia" w:ascii="宋体" w:hAnsi="宋体"/>
          <w:sz w:val="24"/>
          <w:szCs w:val="24"/>
          <w:u w:val="single"/>
        </w:rPr>
        <w:t xml:space="preserve">        </w:t>
      </w:r>
      <w:r>
        <w:rPr>
          <w:rFonts w:hint="eastAsia" w:ascii="宋体" w:hAnsi="宋体"/>
          <w:sz w:val="24"/>
          <w:szCs w:val="24"/>
        </w:rPr>
        <w:t>（</w:t>
      </w:r>
      <w:r>
        <w:rPr>
          <w:rFonts w:hint="eastAsia" w:ascii="宋体" w:hAnsi="宋体"/>
          <w:sz w:val="24"/>
          <w:szCs w:val="24"/>
          <w:lang w:val="en-US" w:eastAsia="zh-CN"/>
        </w:rPr>
        <w:t>签字或盖</w:t>
      </w:r>
      <w:r>
        <w:rPr>
          <w:rFonts w:hint="eastAsia" w:ascii="宋体" w:hAnsi="宋体"/>
          <w:sz w:val="24"/>
          <w:szCs w:val="24"/>
        </w:rPr>
        <w:t>章）</w:t>
      </w:r>
    </w:p>
    <w:p w14:paraId="1119DFAF">
      <w:pPr>
        <w:keepNext w:val="0"/>
        <w:keepLines w:val="0"/>
        <w:pageBreakBefore w:val="0"/>
        <w:widowControl w:val="0"/>
        <w:kinsoku/>
        <w:wordWrap w:val="0"/>
        <w:overflowPunct/>
        <w:topLinePunct w:val="0"/>
        <w:autoSpaceDE/>
        <w:autoSpaceDN/>
        <w:bidi w:val="0"/>
        <w:adjustRightInd/>
        <w:snapToGrid/>
        <w:spacing w:line="500" w:lineRule="exact"/>
        <w:jc w:val="center"/>
        <w:textAlignment w:val="auto"/>
        <w:rPr>
          <w:rFonts w:hint="eastAsia" w:ascii="宋体" w:hAnsi="宋体"/>
          <w:sz w:val="24"/>
          <w:szCs w:val="24"/>
        </w:rPr>
      </w:pPr>
      <w:r>
        <w:rPr>
          <w:rFonts w:hint="eastAsia" w:ascii="宋体" w:hAnsi="宋体"/>
          <w:sz w:val="24"/>
          <w:szCs w:val="24"/>
        </w:rPr>
        <w:t xml:space="preserve">                                     </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4A67A288">
      <w:pPr>
        <w:keepNext w:val="0"/>
        <w:keepLines w:val="0"/>
        <w:pageBreakBefore w:val="0"/>
        <w:widowControl w:val="0"/>
        <w:kinsoku/>
        <w:wordWrap w:val="0"/>
        <w:overflowPunct/>
        <w:topLinePunct w:val="0"/>
        <w:autoSpaceDE/>
        <w:autoSpaceDN/>
        <w:bidi w:val="0"/>
        <w:adjustRightInd/>
        <w:snapToGrid/>
        <w:spacing w:line="500" w:lineRule="exact"/>
        <w:ind w:firstLine="4080" w:firstLineChars="1700"/>
        <w:jc w:val="right"/>
        <w:textAlignment w:val="auto"/>
        <w:rPr>
          <w:rFonts w:hint="eastAsia" w:ascii="宋体" w:hAnsi="宋体" w:cs="宋体"/>
          <w:sz w:val="24"/>
        </w:rPr>
      </w:pPr>
    </w:p>
    <w:p w14:paraId="777D6023">
      <w:pPr>
        <w:pStyle w:val="29"/>
        <w:keepNext w:val="0"/>
        <w:keepLines w:val="0"/>
        <w:pageBreakBefore w:val="0"/>
        <w:widowControl w:val="0"/>
        <w:tabs>
          <w:tab w:val="left" w:pos="567"/>
        </w:tabs>
        <w:kinsoku/>
        <w:overflowPunct/>
        <w:topLinePunct w:val="0"/>
        <w:autoSpaceDE/>
        <w:autoSpaceDN/>
        <w:bidi w:val="0"/>
        <w:adjustRightInd/>
        <w:snapToGrid/>
        <w:spacing w:line="500" w:lineRule="exact"/>
        <w:ind w:firstLine="240"/>
        <w:textAlignment w:val="auto"/>
        <w:rPr>
          <w:rFonts w:hint="eastAsia" w:ascii="宋体" w:hAnsi="宋体" w:cs="宋体"/>
          <w:sz w:val="24"/>
        </w:rPr>
      </w:pPr>
    </w:p>
    <w:p w14:paraId="57DA2515">
      <w:pPr>
        <w:pStyle w:val="30"/>
        <w:keepNext w:val="0"/>
        <w:keepLines w:val="0"/>
        <w:pageBreakBefore w:val="0"/>
        <w:widowControl w:val="0"/>
        <w:kinsoku/>
        <w:overflowPunct/>
        <w:topLinePunct w:val="0"/>
        <w:autoSpaceDE/>
        <w:autoSpaceDN/>
        <w:bidi w:val="0"/>
        <w:adjustRightInd/>
        <w:snapToGrid/>
        <w:spacing w:line="500" w:lineRule="exact"/>
        <w:ind w:firstLine="480"/>
        <w:textAlignment w:val="auto"/>
        <w:rPr>
          <w:rFonts w:hint="eastAsia" w:ascii="宋体" w:hAnsi="宋体" w:cs="宋体"/>
        </w:rPr>
      </w:pPr>
    </w:p>
    <w:p w14:paraId="23A89ED6">
      <w:pPr>
        <w:pStyle w:val="30"/>
        <w:keepNext w:val="0"/>
        <w:keepLines w:val="0"/>
        <w:pageBreakBefore w:val="0"/>
        <w:widowControl w:val="0"/>
        <w:kinsoku/>
        <w:overflowPunct/>
        <w:topLinePunct w:val="0"/>
        <w:autoSpaceDE/>
        <w:autoSpaceDN/>
        <w:bidi w:val="0"/>
        <w:adjustRightInd/>
        <w:snapToGrid/>
        <w:spacing w:line="500" w:lineRule="exact"/>
        <w:ind w:firstLine="480"/>
        <w:textAlignment w:val="auto"/>
        <w:rPr>
          <w:rFonts w:hint="eastAsia" w:ascii="宋体" w:hAnsi="宋体" w:cs="宋体"/>
        </w:rPr>
      </w:pPr>
    </w:p>
    <w:p w14:paraId="5786E57C">
      <w:pPr>
        <w:pStyle w:val="30"/>
        <w:ind w:firstLine="480"/>
        <w:rPr>
          <w:rFonts w:hint="eastAsia" w:ascii="宋体" w:hAnsi="宋体" w:cs="宋体"/>
        </w:rPr>
      </w:pPr>
    </w:p>
    <w:p w14:paraId="35D40D24">
      <w:pPr>
        <w:pStyle w:val="30"/>
        <w:ind w:firstLine="480"/>
        <w:rPr>
          <w:rFonts w:hint="eastAsia" w:ascii="宋体" w:hAnsi="宋体" w:cs="宋体"/>
        </w:rPr>
      </w:pPr>
    </w:p>
    <w:p w14:paraId="5C4F109B">
      <w:pPr>
        <w:pStyle w:val="30"/>
        <w:ind w:firstLine="480"/>
        <w:rPr>
          <w:rFonts w:hint="eastAsia" w:ascii="宋体" w:hAnsi="宋体" w:cs="宋体"/>
        </w:rPr>
      </w:pPr>
    </w:p>
    <w:p w14:paraId="04764A75">
      <w:pPr>
        <w:rPr>
          <w:rFonts w:hint="eastAsia" w:ascii="宋体" w:hAnsi="宋体" w:cs="宋体"/>
        </w:rPr>
      </w:pPr>
    </w:p>
    <w:p w14:paraId="2592270E">
      <w:pPr>
        <w:rPr>
          <w:rFonts w:hint="eastAsia" w:ascii="宋体" w:hAnsi="宋体" w:cs="宋体"/>
        </w:rPr>
      </w:pPr>
    </w:p>
    <w:p w14:paraId="2D92A063">
      <w:pPr>
        <w:pStyle w:val="30"/>
        <w:ind w:firstLine="480"/>
        <w:rPr>
          <w:rFonts w:hint="eastAsia" w:ascii="宋体" w:hAnsi="宋体" w:cs="宋体"/>
        </w:rPr>
      </w:pPr>
    </w:p>
    <w:p w14:paraId="132DDFF0">
      <w:pPr>
        <w:pStyle w:val="48"/>
        <w:ind w:firstLine="2530" w:firstLineChars="900"/>
        <w:jc w:val="left"/>
        <w:rPr>
          <w:rFonts w:hint="eastAsia" w:ascii="宋体" w:hAnsi="宋体" w:cs="宋体"/>
          <w:b/>
          <w:bCs/>
          <w:sz w:val="28"/>
          <w:szCs w:val="28"/>
          <w:lang w:val="en-GB" w:eastAsia="zh-CN"/>
        </w:rPr>
      </w:pPr>
    </w:p>
    <w:p w14:paraId="7C05270C">
      <w:pPr>
        <w:pStyle w:val="48"/>
        <w:jc w:val="center"/>
        <w:rPr>
          <w:rFonts w:hint="eastAsia" w:ascii="宋体" w:hAnsi="宋体" w:cs="宋体"/>
          <w:b/>
          <w:bCs/>
          <w:sz w:val="28"/>
          <w:szCs w:val="28"/>
          <w:lang w:val="en-GB"/>
        </w:rPr>
      </w:pPr>
      <w:r>
        <w:rPr>
          <w:rFonts w:hint="eastAsia" w:ascii="宋体" w:hAnsi="宋体" w:cs="宋体"/>
          <w:b/>
          <w:bCs/>
          <w:sz w:val="28"/>
          <w:szCs w:val="28"/>
          <w:lang w:val="en-GB" w:eastAsia="zh-CN"/>
        </w:rPr>
        <w:t>（</w:t>
      </w:r>
      <w:r>
        <w:rPr>
          <w:rFonts w:hint="eastAsia" w:ascii="宋体" w:hAnsi="宋体" w:cs="宋体"/>
          <w:b/>
          <w:bCs/>
          <w:sz w:val="28"/>
          <w:szCs w:val="28"/>
          <w:lang w:val="en-US" w:eastAsia="zh-CN"/>
        </w:rPr>
        <w:t>二</w:t>
      </w:r>
      <w:r>
        <w:rPr>
          <w:rFonts w:hint="eastAsia" w:ascii="宋体" w:hAnsi="宋体" w:cs="宋体"/>
          <w:b/>
          <w:bCs/>
          <w:sz w:val="28"/>
          <w:szCs w:val="28"/>
          <w:lang w:val="en-GB" w:eastAsia="zh-CN"/>
        </w:rPr>
        <w:t>）</w:t>
      </w:r>
      <w:r>
        <w:rPr>
          <w:rFonts w:hint="eastAsia" w:ascii="宋体" w:hAnsi="宋体" w:cs="宋体"/>
          <w:b/>
          <w:bCs/>
          <w:sz w:val="28"/>
          <w:szCs w:val="28"/>
          <w:lang w:val="en-GB"/>
        </w:rPr>
        <w:t>中小企业声明函（</w:t>
      </w:r>
      <w:r>
        <w:rPr>
          <w:rFonts w:hint="eastAsia" w:ascii="宋体" w:hAnsi="宋体" w:cs="宋体"/>
          <w:b/>
          <w:bCs/>
          <w:sz w:val="28"/>
          <w:szCs w:val="28"/>
          <w:lang w:val="en-US" w:eastAsia="zh-CN"/>
        </w:rPr>
        <w:t>工程、服务</w:t>
      </w:r>
      <w:r>
        <w:rPr>
          <w:rFonts w:hint="eastAsia" w:ascii="宋体" w:hAnsi="宋体" w:cs="宋体"/>
          <w:b/>
          <w:bCs/>
          <w:sz w:val="28"/>
          <w:szCs w:val="28"/>
          <w:lang w:val="en-GB"/>
        </w:rPr>
        <w:t>）</w:t>
      </w:r>
    </w:p>
    <w:p w14:paraId="57E0C169">
      <w:pPr>
        <w:jc w:val="center"/>
        <w:rPr>
          <w:rFonts w:hint="eastAsia" w:ascii="宋体" w:hAnsi="宋体" w:cs="宋体"/>
          <w:szCs w:val="21"/>
        </w:rPr>
      </w:pPr>
    </w:p>
    <w:p w14:paraId="49706891">
      <w:pPr>
        <w:keepNext w:val="0"/>
        <w:keepLines w:val="0"/>
        <w:pageBreakBefore w:val="0"/>
        <w:kinsoku/>
        <w:wordWrap/>
        <w:overflowPunct/>
        <w:topLinePunct w:val="0"/>
        <w:bidi w:val="0"/>
        <w:adjustRightInd/>
        <w:snapToGrid/>
        <w:spacing w:line="500" w:lineRule="exact"/>
        <w:jc w:val="center"/>
        <w:textAlignment w:val="auto"/>
        <w:rPr>
          <w:rFonts w:hint="eastAsia" w:ascii="宋体" w:hAnsi="宋体" w:cs="宋体"/>
          <w:sz w:val="24"/>
          <w:szCs w:val="24"/>
        </w:rPr>
      </w:pPr>
      <w:r>
        <w:rPr>
          <w:rFonts w:hint="eastAsia" w:ascii="宋体" w:hAnsi="宋体" w:cs="宋体"/>
          <w:sz w:val="24"/>
          <w:szCs w:val="24"/>
        </w:rPr>
        <w:t>（属于中小微企业的填写，不属于的无需填写此项内容，仅保留标题。）</w:t>
      </w:r>
    </w:p>
    <w:p w14:paraId="3D6D1A47">
      <w:pPr>
        <w:pStyle w:val="12"/>
        <w:keepNext w:val="0"/>
        <w:keepLines w:val="0"/>
        <w:pageBreakBefore w:val="0"/>
        <w:kinsoku/>
        <w:wordWrap/>
        <w:overflowPunct/>
        <w:topLinePunct w:val="0"/>
        <w:autoSpaceDE w:val="0"/>
        <w:autoSpaceDN w:val="0"/>
        <w:bidi w:val="0"/>
        <w:adjustRightInd/>
        <w:snapToGrid/>
        <w:spacing w:line="500" w:lineRule="exact"/>
        <w:ind w:right="553"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本公司（联合体）郑重声明，根据《政府采购促进中小企业发展管理办法》（财</w:t>
      </w:r>
      <w:r>
        <w:rPr>
          <w:rFonts w:hint="eastAsia" w:ascii="宋体" w:hAnsi="宋体" w:eastAsia="宋体" w:cs="宋体"/>
          <w:spacing w:val="-1"/>
          <w:sz w:val="24"/>
          <w:szCs w:val="24"/>
        </w:rPr>
        <w:t>库（2020）46</w:t>
      </w:r>
      <w:r>
        <w:rPr>
          <w:rFonts w:hint="eastAsia" w:ascii="宋体" w:hAnsi="宋体" w:eastAsia="宋体" w:cs="宋体"/>
          <w:spacing w:val="-31"/>
          <w:sz w:val="24"/>
          <w:szCs w:val="24"/>
        </w:rPr>
        <w:t xml:space="preserve"> 号</w:t>
      </w:r>
      <w:r>
        <w:rPr>
          <w:rFonts w:hint="eastAsia" w:ascii="宋体" w:hAnsi="宋体" w:eastAsia="宋体" w:cs="宋体"/>
          <w:spacing w:val="-1"/>
          <w:sz w:val="24"/>
          <w:szCs w:val="24"/>
        </w:rPr>
        <w:t>）的规定，本公司</w:t>
      </w:r>
      <w:r>
        <w:rPr>
          <w:rFonts w:hint="eastAsia" w:ascii="宋体" w:hAnsi="宋体" w:eastAsia="宋体" w:cs="宋体"/>
          <w:sz w:val="24"/>
          <w:szCs w:val="24"/>
        </w:rPr>
        <w:t>参加</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（项目名称）</w:t>
      </w:r>
      <w:r>
        <w:rPr>
          <w:rFonts w:hint="eastAsia" w:ascii="宋体" w:hAnsi="宋体" w:eastAsia="宋体" w:cs="宋体"/>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14:paraId="23E87B5D">
      <w:pPr>
        <w:pStyle w:val="12"/>
        <w:keepNext w:val="0"/>
        <w:keepLines w:val="0"/>
        <w:pageBreakBefore w:val="0"/>
        <w:kinsoku/>
        <w:wordWrap/>
        <w:overflowPunct/>
        <w:topLinePunct w:val="0"/>
        <w:autoSpaceDE w:val="0"/>
        <w:autoSpaceDN w:val="0"/>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w:t>
      </w:r>
      <w:r>
        <w:rPr>
          <w:rFonts w:hint="eastAsia" w:ascii="宋体" w:hAnsi="宋体" w:eastAsia="宋体" w:cs="宋体"/>
          <w:sz w:val="24"/>
          <w:szCs w:val="24"/>
          <w:u w:val="single"/>
          <w:lang w:eastAsia="zh-CN"/>
        </w:rPr>
        <w:t>招标文件</w:t>
      </w:r>
      <w:r>
        <w:rPr>
          <w:rFonts w:hint="eastAsia" w:ascii="宋体" w:hAnsi="宋体" w:eastAsia="宋体" w:cs="宋体"/>
          <w:sz w:val="24"/>
          <w:szCs w:val="24"/>
          <w:u w:val="single"/>
        </w:rPr>
        <w:t>中明确的所属行业）</w:t>
      </w:r>
      <w:r>
        <w:rPr>
          <w:rFonts w:hint="eastAsia" w:ascii="宋体" w:hAnsi="宋体" w:eastAsia="宋体" w:cs="宋体"/>
          <w:sz w:val="24"/>
          <w:szCs w:val="24"/>
        </w:rPr>
        <w:t>行业;</w:t>
      </w:r>
      <w:r>
        <w:rPr>
          <w:rFonts w:hAnsi="宋体" w:cs="仿宋"/>
          <w:sz w:val="24"/>
          <w:lang w:bidi="zh-CN"/>
        </w:rPr>
        <w:t>（承接）企业为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pacing w:val="120"/>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pacing w:val="120"/>
          <w:sz w:val="24"/>
          <w:szCs w:val="24"/>
          <w:u w:val="single"/>
        </w:rPr>
        <w:t xml:space="preserve"> </w:t>
      </w:r>
      <w:r>
        <w:rPr>
          <w:rFonts w:hint="eastAsia" w:ascii="宋体" w:hAnsi="宋体" w:eastAsia="宋体" w:cs="宋体"/>
          <w:sz w:val="24"/>
          <w:szCs w:val="24"/>
        </w:rPr>
        <w:t>万元，资产总额为</w:t>
      </w:r>
      <w:r>
        <w:rPr>
          <w:rFonts w:hint="eastAsia" w:ascii="宋体" w:hAnsi="宋体" w:eastAsia="宋体" w:cs="宋体"/>
          <w:spacing w:val="120"/>
          <w:sz w:val="24"/>
          <w:szCs w:val="24"/>
          <w:u w:val="single"/>
        </w:rPr>
        <w:t xml:space="preserve"> </w:t>
      </w:r>
      <w:r>
        <w:rPr>
          <w:rFonts w:hint="eastAsia" w:ascii="宋体" w:hAnsi="宋体" w:eastAsia="宋体" w:cs="宋体"/>
          <w:spacing w:val="120"/>
          <w:sz w:val="24"/>
          <w:szCs w:val="24"/>
          <w:u w:val="single"/>
          <w:lang w:val="en-US" w:eastAsia="zh-CN"/>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0B1CF1D8">
      <w:pPr>
        <w:pStyle w:val="12"/>
        <w:keepNext w:val="0"/>
        <w:keepLines w:val="0"/>
        <w:pageBreakBefore w:val="0"/>
        <w:kinsoku/>
        <w:wordWrap/>
        <w:overflowPunct/>
        <w:topLinePunct w:val="0"/>
        <w:autoSpaceDE w:val="0"/>
        <w:autoSpaceDN w:val="0"/>
        <w:bidi w:val="0"/>
        <w:adjustRightInd/>
        <w:snapToGrid/>
        <w:spacing w:before="194"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w:t>
      </w:r>
      <w:r>
        <w:rPr>
          <w:rFonts w:hint="eastAsia" w:ascii="宋体" w:hAnsi="宋体" w:eastAsia="宋体" w:cs="宋体"/>
          <w:sz w:val="24"/>
          <w:szCs w:val="24"/>
          <w:u w:val="single"/>
          <w:lang w:eastAsia="zh-CN"/>
        </w:rPr>
        <w:t>招标文件</w:t>
      </w:r>
      <w:r>
        <w:rPr>
          <w:rFonts w:hint="eastAsia" w:ascii="宋体" w:hAnsi="宋体" w:eastAsia="宋体" w:cs="宋体"/>
          <w:sz w:val="24"/>
          <w:szCs w:val="24"/>
          <w:u w:val="single"/>
        </w:rPr>
        <w:t>中明确的所属行业）</w:t>
      </w:r>
      <w:r>
        <w:rPr>
          <w:rFonts w:hint="eastAsia" w:ascii="宋体" w:hAnsi="宋体" w:eastAsia="宋体" w:cs="宋体"/>
          <w:sz w:val="24"/>
          <w:szCs w:val="24"/>
        </w:rPr>
        <w:t>行业;</w:t>
      </w:r>
      <w:r>
        <w:rPr>
          <w:rFonts w:hAnsi="宋体" w:cs="仿宋"/>
          <w:sz w:val="24"/>
          <w:lang w:bidi="zh-CN"/>
        </w:rPr>
        <w:t>（承接）企业为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pacing w:val="120"/>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pacing w:val="120"/>
          <w:sz w:val="24"/>
          <w:szCs w:val="24"/>
          <w:u w:val="single"/>
        </w:rPr>
        <w:t xml:space="preserve"> </w:t>
      </w:r>
      <w:r>
        <w:rPr>
          <w:rFonts w:hint="eastAsia" w:ascii="宋体" w:hAnsi="宋体" w:eastAsia="宋体" w:cs="宋体"/>
          <w:sz w:val="24"/>
          <w:szCs w:val="24"/>
        </w:rPr>
        <w:t>万元，资产总额为</w:t>
      </w:r>
      <w:r>
        <w:rPr>
          <w:rFonts w:hint="eastAsia" w:ascii="宋体" w:hAnsi="宋体" w:eastAsia="宋体" w:cs="宋体"/>
          <w:spacing w:val="120"/>
          <w:sz w:val="24"/>
          <w:szCs w:val="24"/>
          <w:u w:val="single"/>
        </w:rPr>
        <w:t xml:space="preserve"> </w:t>
      </w:r>
      <w:r>
        <w:rPr>
          <w:rFonts w:hint="eastAsia" w:ascii="宋体" w:hAnsi="宋体" w:eastAsia="宋体" w:cs="宋体"/>
          <w:spacing w:val="120"/>
          <w:sz w:val="24"/>
          <w:szCs w:val="24"/>
          <w:u w:val="single"/>
          <w:lang w:val="en-US" w:eastAsia="zh-CN"/>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w:t>
      </w:r>
    </w:p>
    <w:p w14:paraId="2C4C90B4">
      <w:pPr>
        <w:pStyle w:val="12"/>
        <w:keepNext w:val="0"/>
        <w:keepLines w:val="0"/>
        <w:pageBreakBefore w:val="0"/>
        <w:kinsoku/>
        <w:wordWrap/>
        <w:overflowPunct/>
        <w:topLinePunct w:val="0"/>
        <w:autoSpaceDE w:val="0"/>
        <w:autoSpaceDN w:val="0"/>
        <w:bidi w:val="0"/>
        <w:adjustRightInd/>
        <w:snapToGrid/>
        <w:spacing w:before="74" w:line="500" w:lineRule="exact"/>
        <w:ind w:firstLine="476" w:firstLineChars="200"/>
        <w:textAlignment w:val="auto"/>
        <w:rPr>
          <w:rFonts w:hint="eastAsia" w:ascii="宋体" w:hAnsi="宋体" w:eastAsia="宋体" w:cs="宋体"/>
          <w:sz w:val="24"/>
          <w:szCs w:val="24"/>
        </w:rPr>
      </w:pPr>
      <w:r>
        <w:rPr>
          <w:rFonts w:hint="eastAsia" w:ascii="宋体" w:hAnsi="宋体" w:eastAsia="宋体" w:cs="宋体"/>
          <w:spacing w:val="-1"/>
          <w:sz w:val="24"/>
          <w:szCs w:val="24"/>
        </w:rPr>
        <w:t>以上企业，不属于大企业的分支机构，不存在控股股东为大企业的情形，也不存</w:t>
      </w:r>
      <w:r>
        <w:rPr>
          <w:rFonts w:hint="eastAsia" w:ascii="宋体" w:hAnsi="宋体" w:eastAsia="宋体" w:cs="宋体"/>
          <w:sz w:val="24"/>
          <w:szCs w:val="24"/>
        </w:rPr>
        <w:t>在与大企 业的负责人为同一人的情形。</w:t>
      </w:r>
    </w:p>
    <w:p w14:paraId="54DD0214">
      <w:pPr>
        <w:pStyle w:val="12"/>
        <w:keepNext w:val="0"/>
        <w:keepLines w:val="0"/>
        <w:pageBreakBefore w:val="0"/>
        <w:kinsoku/>
        <w:wordWrap/>
        <w:overflowPunct/>
        <w:topLinePunct w:val="0"/>
        <w:autoSpaceDE w:val="0"/>
        <w:autoSpaceDN w:val="0"/>
        <w:bidi w:val="0"/>
        <w:adjustRightInd/>
        <w:snapToGrid/>
        <w:spacing w:before="2"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本企业对上述声明内容的真实性负责。如有虚假，将依法承担相应责任。</w:t>
      </w:r>
    </w:p>
    <w:p w14:paraId="715F6B12">
      <w:pPr>
        <w:pStyle w:val="12"/>
        <w:keepNext w:val="0"/>
        <w:keepLines w:val="0"/>
        <w:pageBreakBefore w:val="0"/>
        <w:tabs>
          <w:tab w:val="left" w:pos="6515"/>
        </w:tabs>
        <w:kinsoku/>
        <w:wordWrap/>
        <w:overflowPunct/>
        <w:topLinePunct w:val="0"/>
        <w:autoSpaceDE w:val="0"/>
        <w:autoSpaceDN w:val="0"/>
        <w:bidi w:val="0"/>
        <w:adjustRightInd/>
        <w:snapToGrid/>
        <w:spacing w:line="500" w:lineRule="exact"/>
        <w:ind w:right="1933" w:firstLine="476" w:firstLineChars="200"/>
        <w:jc w:val="center"/>
        <w:textAlignment w:val="auto"/>
        <w:rPr>
          <w:rFonts w:hint="eastAsia" w:ascii="宋体" w:hAnsi="宋体" w:eastAsia="宋体" w:cs="宋体"/>
          <w:sz w:val="24"/>
          <w:szCs w:val="24"/>
        </w:rPr>
      </w:pPr>
      <w:r>
        <w:rPr>
          <w:rFonts w:hint="eastAsia" w:ascii="宋体" w:hAnsi="宋体" w:eastAsia="宋体" w:cs="宋体"/>
          <w:spacing w:val="-1"/>
          <w:sz w:val="24"/>
          <w:szCs w:val="24"/>
        </w:rPr>
        <w:t xml:space="preserve">                                      企业名称（盖</w:t>
      </w:r>
      <w:r>
        <w:rPr>
          <w:rFonts w:hint="eastAsia" w:ascii="宋体" w:hAnsi="宋体" w:eastAsia="宋体" w:cs="宋体"/>
          <w:sz w:val="24"/>
          <w:szCs w:val="24"/>
        </w:rPr>
        <w:t>章）：</w:t>
      </w:r>
    </w:p>
    <w:p w14:paraId="02D805D4">
      <w:pPr>
        <w:pStyle w:val="12"/>
        <w:keepNext w:val="0"/>
        <w:keepLines w:val="0"/>
        <w:pageBreakBefore w:val="0"/>
        <w:tabs>
          <w:tab w:val="left" w:pos="6515"/>
        </w:tabs>
        <w:kinsoku/>
        <w:wordWrap/>
        <w:overflowPunct/>
        <w:topLinePunct w:val="0"/>
        <w:autoSpaceDE w:val="0"/>
        <w:autoSpaceDN w:val="0"/>
        <w:bidi w:val="0"/>
        <w:adjustRightInd/>
        <w:snapToGrid/>
        <w:spacing w:line="500" w:lineRule="exact"/>
        <w:ind w:right="1933" w:firstLine="1920" w:firstLineChars="800"/>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日</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期：</w:t>
      </w:r>
    </w:p>
    <w:p w14:paraId="65FBF80E">
      <w:pPr>
        <w:pStyle w:val="12"/>
        <w:keepNext w:val="0"/>
        <w:keepLines w:val="0"/>
        <w:pageBreakBefore w:val="0"/>
        <w:kinsoku/>
        <w:wordWrap/>
        <w:overflowPunct/>
        <w:topLinePunct w:val="0"/>
        <w:autoSpaceDE w:val="0"/>
        <w:autoSpaceDN w:val="0"/>
        <w:bidi w:val="0"/>
        <w:adjustRightInd/>
        <w:snapToGrid/>
        <w:spacing w:before="190"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说明：</w:t>
      </w:r>
    </w:p>
    <w:p w14:paraId="3D72957F">
      <w:pPr>
        <w:pStyle w:val="12"/>
        <w:keepNext w:val="0"/>
        <w:keepLines w:val="0"/>
        <w:pageBreakBefore w:val="0"/>
        <w:kinsoku/>
        <w:wordWrap/>
        <w:overflowPunct/>
        <w:topLinePunct w:val="0"/>
        <w:autoSpaceDE w:val="0"/>
        <w:autoSpaceDN w:val="0"/>
        <w:bidi w:val="0"/>
        <w:adjustRightInd/>
        <w:snapToGrid/>
        <w:spacing w:before="194" w:line="500" w:lineRule="exact"/>
        <w:ind w:right="613" w:firstLine="476" w:firstLineChars="200"/>
        <w:textAlignment w:val="auto"/>
        <w:rPr>
          <w:rFonts w:hint="eastAsia" w:ascii="宋体" w:hAnsi="宋体" w:eastAsia="宋体" w:cs="宋体"/>
          <w:sz w:val="24"/>
          <w:szCs w:val="24"/>
        </w:rPr>
      </w:pPr>
      <w:r>
        <w:rPr>
          <w:rFonts w:hint="eastAsia" w:ascii="宋体" w:hAnsi="宋体" w:eastAsia="宋体" w:cs="宋体"/>
          <w:spacing w:val="-1"/>
          <w:sz w:val="24"/>
          <w:szCs w:val="24"/>
        </w:rPr>
        <w:t>1、从业人员、营业收入、资产总额填报上一年度数据，无上一年度数据的新成立</w:t>
      </w:r>
      <w:r>
        <w:rPr>
          <w:rFonts w:hint="eastAsia" w:ascii="宋体" w:hAnsi="宋体" w:eastAsia="宋体" w:cs="宋体"/>
          <w:sz w:val="24"/>
          <w:szCs w:val="24"/>
        </w:rPr>
        <w:t>企业可不填报。</w:t>
      </w:r>
    </w:p>
    <w:p w14:paraId="369A7205">
      <w:pPr>
        <w:pStyle w:val="12"/>
        <w:keepNext w:val="0"/>
        <w:keepLines w:val="0"/>
        <w:pageBreakBefore w:val="0"/>
        <w:kinsoku/>
        <w:wordWrap/>
        <w:overflowPunct/>
        <w:topLinePunct w:val="0"/>
        <w:autoSpaceDE w:val="0"/>
        <w:autoSpaceDN w:val="0"/>
        <w:bidi w:val="0"/>
        <w:adjustRightInd/>
        <w:snapToGrid/>
        <w:spacing w:before="2" w:line="500" w:lineRule="exact"/>
        <w:ind w:right="613" w:firstLine="476" w:firstLineChars="200"/>
        <w:textAlignment w:val="auto"/>
        <w:rPr>
          <w:rFonts w:hint="eastAsia" w:ascii="宋体" w:hAnsi="宋体" w:eastAsia="宋体" w:cs="宋体"/>
          <w:sz w:val="24"/>
          <w:szCs w:val="24"/>
        </w:rPr>
      </w:pPr>
      <w:r>
        <w:rPr>
          <w:rFonts w:hint="eastAsia" w:ascii="宋体" w:hAnsi="宋体" w:eastAsia="宋体" w:cs="宋体"/>
          <w:spacing w:val="-1"/>
          <w:sz w:val="24"/>
          <w:szCs w:val="24"/>
        </w:rPr>
        <w:t>2、中小企业参加政府采购活动，应当岀具《中小企业声明函》，否则不得享受相</w:t>
      </w:r>
      <w:r>
        <w:rPr>
          <w:rFonts w:hint="eastAsia" w:ascii="宋体" w:hAnsi="宋体" w:eastAsia="宋体" w:cs="宋体"/>
          <w:sz w:val="24"/>
          <w:szCs w:val="24"/>
        </w:rPr>
        <w:t>关中小企业扶持政策。</w:t>
      </w:r>
    </w:p>
    <w:p w14:paraId="6A2487A2">
      <w:pPr>
        <w:pageBreakBefore/>
        <w:spacing w:line="588" w:lineRule="exact"/>
        <w:jc w:val="center"/>
        <w:rPr>
          <w:rFonts w:hint="eastAsia" w:ascii="宋体" w:hAnsi="宋体" w:cs="宋体"/>
          <w:b/>
          <w:spacing w:val="6"/>
          <w:sz w:val="28"/>
          <w:szCs w:val="28"/>
        </w:rPr>
      </w:pPr>
      <w:r>
        <w:rPr>
          <w:rFonts w:hint="eastAsia" w:ascii="宋体" w:hAnsi="宋体" w:cs="宋体"/>
          <w:b/>
          <w:spacing w:val="6"/>
          <w:sz w:val="28"/>
          <w:szCs w:val="28"/>
          <w:lang w:val="en-US" w:eastAsia="zh-CN"/>
        </w:rPr>
        <w:t>（三）</w:t>
      </w:r>
      <w:r>
        <w:rPr>
          <w:rFonts w:hint="eastAsia" w:ascii="宋体" w:hAnsi="宋体" w:cs="宋体"/>
          <w:b/>
          <w:spacing w:val="6"/>
          <w:sz w:val="28"/>
          <w:szCs w:val="28"/>
        </w:rPr>
        <w:t>残疾人福利性单位声明函</w:t>
      </w:r>
    </w:p>
    <w:p w14:paraId="2EA85ADE">
      <w:pPr>
        <w:spacing w:line="588" w:lineRule="exact"/>
        <w:jc w:val="center"/>
        <w:rPr>
          <w:rFonts w:hint="eastAsia" w:ascii="宋体" w:hAnsi="宋体" w:cs="宋体"/>
          <w:sz w:val="24"/>
          <w:szCs w:val="24"/>
        </w:rPr>
      </w:pPr>
    </w:p>
    <w:p w14:paraId="5A3D1A14">
      <w:pPr>
        <w:spacing w:line="588" w:lineRule="exact"/>
        <w:jc w:val="center"/>
        <w:rPr>
          <w:rFonts w:hint="eastAsia" w:ascii="宋体" w:hAnsi="宋体" w:cs="宋体"/>
          <w:b/>
          <w:spacing w:val="6"/>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（属于残疾人福利性单位的填写，不属于的无需填写此项内容，</w:t>
      </w:r>
      <w:r>
        <w:rPr>
          <w:sz w:val="24"/>
          <w:szCs w:val="24"/>
        </w:rPr>
        <w:t>仅保留标题</w:t>
      </w:r>
      <w:r>
        <w:rPr>
          <w:rFonts w:hint="eastAsia"/>
          <w:sz w:val="24"/>
          <w:szCs w:val="24"/>
        </w:rPr>
        <w:t>。</w:t>
      </w:r>
      <w:r>
        <w:rPr>
          <w:rFonts w:hint="eastAsia" w:ascii="宋体" w:hAnsi="宋体" w:cs="宋体"/>
          <w:sz w:val="24"/>
          <w:szCs w:val="24"/>
        </w:rPr>
        <w:t>）</w:t>
      </w:r>
    </w:p>
    <w:p w14:paraId="2F420DF9">
      <w:pPr>
        <w:spacing w:line="588" w:lineRule="exact"/>
        <w:ind w:firstLine="720" w:firstLineChars="300"/>
        <w:rPr>
          <w:rFonts w:hint="eastAsia" w:ascii="宋体" w:hAnsi="宋体" w:cs="宋体"/>
          <w:sz w:val="24"/>
          <w:szCs w:val="24"/>
        </w:rPr>
      </w:pPr>
      <w:r>
        <w:rPr>
          <w:rFonts w:hint="eastAsia" w:ascii="宋体" w:hAnsi="宋体" w:cs="宋体"/>
          <w:sz w:val="24"/>
          <w:szCs w:val="24"/>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842D749">
      <w:pPr>
        <w:spacing w:line="588" w:lineRule="exact"/>
        <w:ind w:firstLine="480" w:firstLineChars="200"/>
        <w:rPr>
          <w:rFonts w:hint="eastAsia" w:ascii="宋体" w:hAnsi="宋体" w:cs="宋体"/>
          <w:sz w:val="24"/>
          <w:szCs w:val="24"/>
        </w:rPr>
      </w:pPr>
      <w:r>
        <w:rPr>
          <w:rFonts w:hint="eastAsia" w:ascii="宋体" w:hAnsi="宋体" w:cs="宋体"/>
          <w:sz w:val="24"/>
          <w:szCs w:val="24"/>
        </w:rPr>
        <w:t>本单位对上述声明的真实性负责。如有虚假，将依法承担相应责任。</w:t>
      </w:r>
    </w:p>
    <w:p w14:paraId="7AE17D4E">
      <w:pPr>
        <w:spacing w:line="588" w:lineRule="exact"/>
        <w:ind w:firstLine="420" w:firstLineChars="200"/>
        <w:rPr>
          <w:rFonts w:hint="eastAsia" w:ascii="宋体" w:hAnsi="宋体" w:cs="宋体"/>
          <w:szCs w:val="21"/>
        </w:rPr>
      </w:pPr>
    </w:p>
    <w:p w14:paraId="4DDB6E20">
      <w:pPr>
        <w:spacing w:line="588" w:lineRule="exact"/>
        <w:ind w:firstLine="420" w:firstLineChars="200"/>
        <w:rPr>
          <w:rFonts w:hint="eastAsia" w:ascii="宋体" w:hAnsi="宋体" w:cs="宋体"/>
          <w:szCs w:val="21"/>
        </w:rPr>
      </w:pPr>
    </w:p>
    <w:p w14:paraId="1AED7A05">
      <w:pPr>
        <w:pStyle w:val="40"/>
        <w:rPr>
          <w:rFonts w:hint="eastAsia" w:ascii="宋体" w:hAnsi="宋体" w:cs="宋体"/>
          <w:szCs w:val="21"/>
        </w:rPr>
      </w:pPr>
    </w:p>
    <w:p w14:paraId="2F6ED4BE">
      <w:pPr>
        <w:pStyle w:val="40"/>
        <w:rPr>
          <w:rFonts w:hint="eastAsia" w:ascii="宋体" w:hAnsi="宋体" w:cs="宋体"/>
          <w:szCs w:val="21"/>
        </w:rPr>
      </w:pPr>
    </w:p>
    <w:p w14:paraId="12D1E57D">
      <w:pPr>
        <w:wordWrap w:val="0"/>
        <w:spacing w:line="450" w:lineRule="atLeast"/>
        <w:jc w:val="center"/>
        <w:rPr>
          <w:rFonts w:hint="eastAsia" w:ascii="宋体" w:hAnsi="宋体"/>
          <w:sz w:val="24"/>
          <w:szCs w:val="24"/>
        </w:rPr>
      </w:pPr>
      <w:r>
        <w:rPr>
          <w:rFonts w:hint="eastAsia" w:ascii="宋体" w:hAnsi="宋体" w:cs="宋体"/>
          <w:szCs w:val="21"/>
        </w:rPr>
        <w:t xml:space="preserve">                                  </w:t>
      </w:r>
      <w:r>
        <w:rPr>
          <w:rFonts w:hint="eastAsia" w:ascii="宋体" w:hAnsi="宋体" w:cs="宋体"/>
          <w:sz w:val="24"/>
          <w:szCs w:val="24"/>
        </w:rPr>
        <w:t xml:space="preserve">      </w:t>
      </w:r>
      <w:r>
        <w:rPr>
          <w:rFonts w:hint="eastAsia" w:ascii="宋体" w:hAnsi="宋体"/>
          <w:sz w:val="24"/>
          <w:szCs w:val="24"/>
        </w:rPr>
        <w:t>供应商：</w:t>
      </w:r>
      <w:r>
        <w:rPr>
          <w:rFonts w:hint="eastAsia" w:ascii="宋体" w:hAnsi="宋体"/>
          <w:sz w:val="24"/>
          <w:szCs w:val="24"/>
          <w:u w:val="single"/>
        </w:rPr>
        <w:t xml:space="preserve">              </w:t>
      </w:r>
      <w:r>
        <w:rPr>
          <w:rFonts w:hint="eastAsia" w:ascii="宋体" w:hAnsi="宋体"/>
          <w:sz w:val="24"/>
          <w:szCs w:val="24"/>
        </w:rPr>
        <w:t>（</w:t>
      </w:r>
      <w:r>
        <w:rPr>
          <w:rFonts w:hint="eastAsia" w:ascii="宋体" w:hAnsi="宋体"/>
          <w:sz w:val="24"/>
          <w:szCs w:val="24"/>
          <w:lang w:val="en-US" w:eastAsia="zh-CN"/>
        </w:rPr>
        <w:t>盖单位</w:t>
      </w:r>
      <w:r>
        <w:rPr>
          <w:rFonts w:hint="eastAsia" w:ascii="宋体" w:hAnsi="宋体"/>
          <w:sz w:val="24"/>
          <w:szCs w:val="24"/>
        </w:rPr>
        <w:t>章）</w:t>
      </w:r>
    </w:p>
    <w:p w14:paraId="00198833">
      <w:pPr>
        <w:wordWrap w:val="0"/>
        <w:spacing w:line="450" w:lineRule="atLeast"/>
        <w:jc w:val="right"/>
        <w:rPr>
          <w:rFonts w:hint="eastAsia" w:ascii="宋体" w:hAnsi="宋体"/>
          <w:sz w:val="24"/>
          <w:szCs w:val="24"/>
        </w:rPr>
      </w:pPr>
      <w:r>
        <w:rPr>
          <w:rFonts w:hint="eastAsia" w:ascii="宋体" w:hAnsi="宋体"/>
          <w:sz w:val="24"/>
          <w:szCs w:val="24"/>
        </w:rPr>
        <w:t xml:space="preserve">   法定代表人或其委托代理人：</w:t>
      </w:r>
      <w:r>
        <w:rPr>
          <w:rFonts w:hint="eastAsia" w:ascii="宋体" w:hAnsi="宋体"/>
          <w:sz w:val="24"/>
          <w:szCs w:val="24"/>
          <w:u w:val="single"/>
        </w:rPr>
        <w:t xml:space="preserve">        </w:t>
      </w:r>
      <w:r>
        <w:rPr>
          <w:rFonts w:hint="eastAsia" w:ascii="宋体" w:hAnsi="宋体"/>
          <w:sz w:val="24"/>
          <w:szCs w:val="24"/>
        </w:rPr>
        <w:t>（</w:t>
      </w:r>
      <w:r>
        <w:rPr>
          <w:rFonts w:hint="eastAsia" w:ascii="宋体" w:hAnsi="宋体"/>
          <w:sz w:val="24"/>
          <w:szCs w:val="24"/>
          <w:lang w:val="en-US" w:eastAsia="zh-CN"/>
        </w:rPr>
        <w:t>签字或盖</w:t>
      </w:r>
      <w:r>
        <w:rPr>
          <w:rFonts w:hint="eastAsia" w:ascii="宋体" w:hAnsi="宋体"/>
          <w:sz w:val="24"/>
          <w:szCs w:val="24"/>
        </w:rPr>
        <w:t>章）</w:t>
      </w:r>
    </w:p>
    <w:p w14:paraId="269D5332">
      <w:pPr>
        <w:wordWrap w:val="0"/>
        <w:spacing w:line="450" w:lineRule="atLeast"/>
        <w:jc w:val="center"/>
        <w:rPr>
          <w:rFonts w:hint="eastAsia" w:ascii="宋体" w:hAnsi="宋体"/>
          <w:sz w:val="24"/>
          <w:szCs w:val="24"/>
        </w:rPr>
      </w:pPr>
      <w:r>
        <w:rPr>
          <w:rFonts w:hint="eastAsia" w:ascii="宋体" w:hAnsi="宋体"/>
          <w:sz w:val="24"/>
          <w:szCs w:val="24"/>
        </w:rPr>
        <w:t xml:space="preserve">                                     </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55E5A092">
      <w:pPr>
        <w:spacing w:line="480" w:lineRule="auto"/>
        <w:ind w:firstLine="638" w:firstLineChars="304"/>
        <w:jc w:val="center"/>
        <w:rPr>
          <w:rFonts w:hint="eastAsia" w:ascii="宋体" w:hAnsi="宋体" w:cs="宋体"/>
        </w:rPr>
      </w:pPr>
    </w:p>
    <w:p w14:paraId="4AF9DD9A">
      <w:pPr>
        <w:pStyle w:val="40"/>
        <w:rPr>
          <w:rFonts w:hint="eastAsia"/>
        </w:rPr>
      </w:pPr>
    </w:p>
    <w:p w14:paraId="2748A14C">
      <w:pPr>
        <w:spacing w:line="306" w:lineRule="exact"/>
        <w:rPr>
          <w:rFonts w:hint="eastAsia" w:ascii="宋体" w:hAnsi="宋体" w:cs="宋体"/>
          <w:color w:val="auto"/>
          <w:sz w:val="28"/>
          <w:szCs w:val="28"/>
        </w:rPr>
      </w:pPr>
    </w:p>
    <w:p w14:paraId="7DFABAE0">
      <w:pPr>
        <w:pStyle w:val="40"/>
        <w:rPr>
          <w:rFonts w:hint="eastAsia"/>
        </w:rPr>
      </w:pPr>
    </w:p>
    <w:p w14:paraId="71428E6F">
      <w:pPr>
        <w:pStyle w:val="44"/>
        <w:numPr>
          <w:ilvl w:val="0"/>
          <w:numId w:val="22"/>
        </w:numPr>
        <w:ind w:firstLine="562"/>
        <w:rPr>
          <w:rFonts w:hint="eastAsia"/>
          <w:b/>
          <w:bCs/>
          <w:sz w:val="28"/>
          <w:szCs w:val="28"/>
        </w:rPr>
      </w:pPr>
      <w:bookmarkStart w:id="646" w:name="OLE_LINK165"/>
      <w:r>
        <w:rPr>
          <w:rFonts w:hint="eastAsia"/>
          <w:b/>
          <w:bCs/>
          <w:sz w:val="28"/>
          <w:szCs w:val="28"/>
        </w:rPr>
        <w:t>省级以上监狱管理局、戒毒管理局（含新疆生产建设兵团）出具的属于监狱企业的证明文件(如有）</w:t>
      </w:r>
      <w:bookmarkEnd w:id="646"/>
    </w:p>
    <w:p w14:paraId="26F6FD90">
      <w:pPr>
        <w:numPr>
          <w:ilvl w:val="0"/>
          <w:numId w:val="0"/>
        </w:numPr>
        <w:rPr>
          <w:rFonts w:hint="eastAsia"/>
          <w:lang w:eastAsia="zh-CN"/>
        </w:rPr>
      </w:pPr>
    </w:p>
    <w:p w14:paraId="4EB47B2A">
      <w:pPr>
        <w:pStyle w:val="3"/>
        <w:numPr>
          <w:ilvl w:val="0"/>
          <w:numId w:val="0"/>
        </w:numPr>
        <w:ind w:firstLine="281" w:firstLineChars="100"/>
        <w:jc w:val="left"/>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五</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供应商认为应附的</w:t>
      </w:r>
      <w:r>
        <w:rPr>
          <w:rFonts w:hint="eastAsia" w:ascii="宋体" w:hAnsi="宋体" w:eastAsia="宋体" w:cs="宋体"/>
          <w:color w:val="auto"/>
          <w:sz w:val="28"/>
          <w:szCs w:val="28"/>
        </w:rPr>
        <w:t>其它材料</w:t>
      </w:r>
      <w:r>
        <w:rPr>
          <w:rFonts w:hint="eastAsia" w:ascii="宋体" w:hAnsi="宋体" w:eastAsia="宋体" w:cs="宋体"/>
          <w:color w:val="auto"/>
          <w:sz w:val="28"/>
          <w:szCs w:val="28"/>
          <w:lang w:eastAsia="zh-CN"/>
        </w:rPr>
        <w:t>。</w:t>
      </w:r>
    </w:p>
    <w:p w14:paraId="16568CC5"/>
    <w:sectPr>
      <w:headerReference r:id="rId14" w:type="default"/>
      <w:footerReference r:id="rId15" w:type="default"/>
      <w:pgSz w:w="11906" w:h="16838"/>
      <w:pgMar w:top="1417" w:right="1417" w:bottom="1417" w:left="1417" w:header="777" w:footer="641"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兰亭黑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5AA50">
    <w:pPr>
      <w:pStyle w:val="20"/>
      <w:pBdr>
        <w:top w:val="single" w:color="auto" w:sz="4" w:space="1"/>
      </w:pBdr>
      <w:tabs>
        <w:tab w:val="center" w:pos="4536"/>
        <w:tab w:val="clear" w:pos="4153"/>
      </w:tabs>
      <w:jc w:val="both"/>
      <w:rPr>
        <w:rFonts w:hint="eastAsia"/>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D6616A">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12D6616A">
                    <w:pPr>
                      <w:pStyle w:val="20"/>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14605</wp:posOffset>
              </wp:positionV>
              <wp:extent cx="144780" cy="20447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44780" cy="204470"/>
                      </a:xfrm>
                      <a:prstGeom prst="rect">
                        <a:avLst/>
                      </a:prstGeom>
                      <a:noFill/>
                      <a:ln>
                        <a:noFill/>
                      </a:ln>
                    </wps:spPr>
                    <wps:txbx>
                      <w:txbxContent>
                        <w:p w14:paraId="2A553E52">
                          <w:pPr>
                            <w:pStyle w:val="20"/>
                            <w:rPr>
                              <w:rFonts w:hint="eastAsia" w:ascii="宋体" w:hAnsi="宋体" w:cs="宋体"/>
                            </w:rPr>
                          </w:pPr>
                        </w:p>
                      </w:txbxContent>
                    </wps:txbx>
                    <wps:bodyPr lIns="0" tIns="0" rIns="0" bIns="0" upright="0"/>
                  </wps:wsp>
                </a:graphicData>
              </a:graphic>
            </wp:anchor>
          </w:drawing>
        </mc:Choice>
        <mc:Fallback>
          <w:pict>
            <v:shape id="_x0000_s1026" o:spid="_x0000_s1026" o:spt="202" type="#_x0000_t202" style="position:absolute;left:0pt;margin-top:1.15pt;height:16.1pt;width:11.4pt;mso-position-horizontal:right;mso-position-horizontal-relative:margin;z-index:251659264;mso-width-relative:page;mso-height-relative:page;" filled="f" stroked="f" coordsize="21600,21600" o:gfxdata="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X2aas1AAAAAQBAAAPAAAAAAAAAAEAIAAAACIAAABkcnMvZG93bnJldi54bWxQSwECFAAUAAAA&#10;CACHTuJAZtMCWLkBAABxAwAADgAAAAAAAAABACAAAAAjAQAAZHJzL2Uyb0RvYy54bWxQSwUGAAAA&#10;AAYABgBZAQAATgUAAAAA&#10;">
              <v:fill on="f" focussize="0,0"/>
              <v:stroke on="f"/>
              <v:imagedata o:title=""/>
              <o:lock v:ext="edit" aspectratio="f"/>
              <v:textbox inset="0mm,0mm,0mm,0mm">
                <w:txbxContent>
                  <w:p w14:paraId="2A553E52">
                    <w:pPr>
                      <w:pStyle w:val="20"/>
                      <w:rPr>
                        <w:rFonts w:hint="eastAsia" w:ascii="宋体" w:hAnsi="宋体" w:cs="宋体"/>
                      </w:rPr>
                    </w:pPr>
                  </w:p>
                </w:txbxContent>
              </v:textbox>
            </v:shape>
          </w:pict>
        </mc:Fallback>
      </mc:AlternateContent>
    </w:r>
    <w:r>
      <w:rPr>
        <w:rFonts w:hint="eastAsia"/>
        <w:lang w:eastAsia="zh-CN"/>
      </w:rPr>
      <w:t>郑州强合工程管理有限公司</w: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61242">
    <w:pPr>
      <w:pStyle w:val="20"/>
      <w:pBdr>
        <w:top w:val="single" w:color="auto" w:sz="4" w:space="1"/>
      </w:pBdr>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845A1">
                          <w:pPr>
                            <w:pStyle w:val="20"/>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125845A1">
                    <w:pPr>
                      <w:pStyle w:val="20"/>
                    </w:pPr>
                    <w:r>
                      <w:fldChar w:fldCharType="begin"/>
                    </w:r>
                    <w:r>
                      <w:instrText xml:space="preserve"> PAGE  \* MERGEFORMAT </w:instrText>
                    </w:r>
                    <w:r>
                      <w:fldChar w:fldCharType="separate"/>
                    </w:r>
                    <w:r>
                      <w:t>21</w:t>
                    </w:r>
                    <w:r>
                      <w:fldChar w:fldCharType="end"/>
                    </w:r>
                  </w:p>
                </w:txbxContent>
              </v:textbox>
            </v:shape>
          </w:pict>
        </mc:Fallback>
      </mc:AlternateContent>
    </w:r>
    <w:r>
      <w:rPr>
        <w:rFonts w:hint="eastAsia"/>
        <w:lang w:val="en-US" w:eastAsia="zh-CN"/>
      </w:rPr>
      <w:t>郑州强合工程管理有限公司</w:t>
    </w: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8B2CA">
    <w:pPr>
      <w:tabs>
        <w:tab w:val="left" w:pos="1408"/>
      </w:tabs>
      <w:spacing w:line="226" w:lineRule="exact"/>
      <w:ind w:left="4422"/>
      <w:rPr>
        <w:rFonts w:hint="eastAsia" w:ascii="Times New Roman" w:hAnsi="Times New Roman" w:eastAsia="宋体" w:cs="Times New Roman"/>
        <w:sz w:val="18"/>
        <w:szCs w:val="18"/>
        <w:lang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4DF177">
                          <w:pPr>
                            <w:pStyle w:val="20"/>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254DF177">
                    <w:pPr>
                      <w:pStyle w:val="20"/>
                    </w:pPr>
                    <w:r>
                      <w:fldChar w:fldCharType="begin"/>
                    </w:r>
                    <w:r>
                      <w:instrText xml:space="preserve"> PAGE  \* MERGEFORMAT </w:instrText>
                    </w:r>
                    <w:r>
                      <w:fldChar w:fldCharType="separate"/>
                    </w:r>
                    <w:r>
                      <w:t>26</w:t>
                    </w:r>
                    <w:r>
                      <w:fldChar w:fldCharType="end"/>
                    </w:r>
                  </w:p>
                </w:txbxContent>
              </v:textbox>
            </v:shape>
          </w:pict>
        </mc:Fallback>
      </mc:AlternateContent>
    </w:r>
    <w:r>
      <w:rPr>
        <w:rFonts w:hint="eastAsia" w:ascii="Times New Roman" w:hAnsi="Times New Roman" w:eastAsia="宋体" w:cs="Times New Roman"/>
        <w:sz w:val="18"/>
        <w:szCs w:val="18"/>
        <w:lang w:eastAsia="zh-CN"/>
      </w:rPr>
      <w:tab/>
    </w:r>
  </w:p>
  <w:p w14:paraId="70EDE3C9">
    <w:pPr>
      <w:tabs>
        <w:tab w:val="left" w:pos="1408"/>
      </w:tabs>
      <w:spacing w:line="226" w:lineRule="exact"/>
      <w:rPr>
        <w:rFonts w:hint="default" w:ascii="Times New Roman" w:hAnsi="Times New Roman" w:eastAsia="宋体" w:cs="Times New Roman"/>
        <w:sz w:val="18"/>
        <w:szCs w:val="18"/>
        <w:u w:val="single"/>
        <w:lang w:val="en-US" w:eastAsia="zh-CN"/>
      </w:rPr>
    </w:pPr>
    <w:r>
      <w:rPr>
        <w:rFonts w:hint="eastAsia" w:ascii="Times New Roman" w:hAnsi="Times New Roman" w:eastAsia="宋体" w:cs="Times New Roman"/>
        <w:sz w:val="18"/>
        <w:szCs w:val="18"/>
        <w:u w:val="single"/>
        <w:lang w:val="en-US" w:eastAsia="zh-CN"/>
      </w:rPr>
      <w:t xml:space="preserve">                                                                                                   </w:t>
    </w:r>
  </w:p>
  <w:p w14:paraId="1B011949">
    <w:pPr>
      <w:tabs>
        <w:tab w:val="left" w:pos="1408"/>
      </w:tabs>
      <w:spacing w:line="226" w:lineRule="exact"/>
      <w:rPr>
        <w:rFonts w:hint="eastAsia" w:ascii="Times New Roman" w:hAnsi="Times New Roman" w:eastAsia="宋体" w:cs="Times New Roman"/>
        <w:sz w:val="18"/>
        <w:szCs w:val="18"/>
        <w:u w:val="none"/>
        <w:lang w:eastAsia="zh-CN"/>
      </w:rPr>
    </w:pPr>
    <w:r>
      <w:rPr>
        <w:rFonts w:hint="eastAsia" w:ascii="Times New Roman" w:hAnsi="Times New Roman" w:eastAsia="宋体" w:cs="Times New Roman"/>
        <w:sz w:val="18"/>
        <w:szCs w:val="18"/>
        <w:u w:val="none"/>
        <w:lang w:eastAsia="zh-CN"/>
      </w:rPr>
      <w:t>郑州强合工程管理有限公司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2042A">
    <w:pPr>
      <w:pStyle w:val="2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58777E">
                          <w:pPr>
                            <w:pStyle w:val="20"/>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2858777E">
                    <w:pPr>
                      <w:pStyle w:val="2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72A19">
    <w:pPr>
      <w:spacing w:line="226" w:lineRule="exact"/>
      <w:ind w:left="441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47BCF">
                          <w:pPr>
                            <w:pStyle w:val="20"/>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0747BCF">
                    <w:pPr>
                      <w:pStyle w:val="2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71F90">
    <w:pPr>
      <w:spacing w:line="226" w:lineRule="exact"/>
      <w:ind w:left="4416"/>
      <w:rPr>
        <w:rFonts w:hint="eastAsia" w:ascii="Times New Roman" w:hAnsi="Times New Roman" w:eastAsia="宋体" w:cs="Times New Roman"/>
        <w:sz w:val="18"/>
        <w:szCs w:val="18"/>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BC91A2">
                          <w:pPr>
                            <w:pStyle w:val="20"/>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06BC91A2">
                    <w:pPr>
                      <w:pStyle w:val="20"/>
                    </w:pPr>
                    <w:r>
                      <w:fldChar w:fldCharType="begin"/>
                    </w:r>
                    <w:r>
                      <w:instrText xml:space="preserve"> PAGE  \* MERGEFORMAT </w:instrText>
                    </w:r>
                    <w:r>
                      <w:fldChar w:fldCharType="separate"/>
                    </w:r>
                    <w:r>
                      <w:t>41</w:t>
                    </w:r>
                    <w:r>
                      <w:fldChar w:fldCharType="end"/>
                    </w:r>
                  </w:p>
                </w:txbxContent>
              </v:textbox>
            </v:shape>
          </w:pict>
        </mc:Fallback>
      </mc:AlternateContent>
    </w:r>
    <w:r>
      <w:rPr>
        <w:rFonts w:ascii="Times New Roman" w:hAnsi="Times New Roman" w:eastAsia="Times New Roman" w:cs="Times New Roman"/>
        <w:spacing w:val="-1"/>
        <w:position w:val="1"/>
        <w:sz w:val="18"/>
        <w:szCs w:val="18"/>
      </w:rPr>
      <w:t>4</w:t>
    </w:r>
    <w:r>
      <w:rPr>
        <w:rFonts w:hint="eastAsia" w:ascii="Times New Roman" w:hAnsi="Times New Roman" w:eastAsia="宋体" w:cs="Times New Roman"/>
        <w:spacing w:val="-1"/>
        <w:position w:val="1"/>
        <w:sz w:val="18"/>
        <w:szCs w:val="18"/>
        <w:lang w:val="en-US" w:eastAsia="zh-CN"/>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F20D6">
    <w:pPr>
      <w:pStyle w:val="20"/>
      <w:rPr>
        <w:rFonts w:hint="default"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119069">
                          <w:pPr>
                            <w:pStyle w:val="20"/>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05119069">
                    <w:pPr>
                      <w:pStyle w:val="20"/>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1BC2D">
    <w:pPr>
      <w:pStyle w:val="2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3A37E1">
                          <w:pPr>
                            <w:pStyle w:val="2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023A37E1">
                    <w:pPr>
                      <w:pStyle w:val="2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413B8">
    <w:pPr>
      <w:pStyle w:val="20"/>
      <w:pBdr>
        <w:top w:val="single" w:color="auto" w:sz="4" w:space="0"/>
      </w:pBdr>
      <w:rPr>
        <w:rFonts w:hint="eastAsia"/>
        <w:lang w:eastAsia="zh-CN"/>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2607F">
                          <w:pPr>
                            <w:pStyle w:val="20"/>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562607F">
                    <w:pPr>
                      <w:pStyle w:val="20"/>
                    </w:pPr>
                    <w:r>
                      <w:fldChar w:fldCharType="begin"/>
                    </w:r>
                    <w:r>
                      <w:instrText xml:space="preserve"> PAGE  \* MERGEFORMAT </w:instrText>
                    </w:r>
                    <w:r>
                      <w:fldChar w:fldCharType="separate"/>
                    </w:r>
                    <w:r>
                      <w:t>44</w:t>
                    </w:r>
                    <w:r>
                      <w:fldChar w:fldCharType="end"/>
                    </w:r>
                  </w:p>
                </w:txbxContent>
              </v:textbox>
            </v:shape>
          </w:pict>
        </mc:Fallback>
      </mc:AlternateContent>
    </w:r>
    <w:r>
      <w:rPr>
        <w:rStyle w:val="34"/>
        <w:rFonts w:hint="eastAsia"/>
        <w:lang w:eastAsia="zh-CN"/>
      </w:rPr>
      <w:t>郑州强合工程管理有限公司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1F137">
    <w:pPr>
      <w:pStyle w:val="21"/>
      <w:pBdr>
        <w:bottom w:val="none" w:color="auto" w:sz="0" w:space="0"/>
      </w:pBdr>
      <w:jc w:val="both"/>
      <w:rPr>
        <w:rFonts w:hint="eastAsia" w:eastAsia="宋体"/>
        <w:sz w:val="20"/>
        <w:szCs w:val="20"/>
        <w:u w:val="single"/>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A8056">
    <w:pPr>
      <w:tabs>
        <w:tab w:val="left" w:pos="7567"/>
      </w:tabs>
      <w:spacing w:line="360" w:lineRule="auto"/>
      <w:jc w:val="center"/>
      <w:rPr>
        <w:rFonts w:hint="eastAsia"/>
        <w:u w:val="single"/>
      </w:rPr>
    </w:pPr>
    <w:r>
      <w:rPr>
        <w:rFonts w:hint="eastAsia" w:ascii="宋体" w:hAnsi="宋体" w:eastAsia="宋体" w:cs="宋体"/>
        <w:b w:val="0"/>
        <w:bCs/>
        <w:sz w:val="18"/>
        <w:szCs w:val="18"/>
        <w:u w:val="single"/>
        <w:lang w:val="en-US" w:eastAsia="zh-CN"/>
      </w:rPr>
      <w:t xml:space="preserve">                         </w:t>
    </w:r>
    <w:r>
      <w:rPr>
        <w:rFonts w:hint="eastAsia" w:cs="宋体"/>
        <w:b w:val="0"/>
        <w:bCs/>
        <w:sz w:val="18"/>
        <w:szCs w:val="18"/>
        <w:u w:val="single"/>
        <w:lang w:val="en-US" w:eastAsia="zh-CN"/>
      </w:rPr>
      <w:t xml:space="preserve">                             </w:t>
    </w:r>
    <w:r>
      <w:rPr>
        <w:rFonts w:hint="eastAsia" w:ascii="宋体" w:hAnsi="宋体" w:eastAsia="宋体" w:cs="宋体"/>
        <w:b w:val="0"/>
        <w:bCs/>
        <w:sz w:val="18"/>
        <w:szCs w:val="18"/>
        <w:u w:val="single"/>
        <w:lang w:val="en-US" w:eastAsia="zh-CN"/>
      </w:rPr>
      <w:t>荥阳市公安局交通设施维护服务项目</w:t>
    </w:r>
    <w:r>
      <w:rPr>
        <w:rFonts w:hint="eastAsia"/>
        <w:sz w:val="18"/>
        <w:szCs w:val="18"/>
        <w:u w:val="single"/>
      </w:rPr>
      <w:t>征集文件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E304C">
    <w:pPr>
      <w:tabs>
        <w:tab w:val="left" w:pos="7567"/>
      </w:tabs>
      <w:spacing w:line="360" w:lineRule="auto"/>
      <w:jc w:val="both"/>
      <w:rPr>
        <w:rFonts w:hint="eastAsia"/>
        <w:sz w:val="18"/>
        <w:szCs w:val="18"/>
        <w:u w:val="single"/>
        <w:lang w:val="en-US" w:eastAsia="zh-CN"/>
      </w:rPr>
    </w:pPr>
  </w:p>
  <w:p w14:paraId="54908D4B">
    <w:pPr>
      <w:tabs>
        <w:tab w:val="left" w:pos="7567"/>
      </w:tabs>
      <w:spacing w:line="360" w:lineRule="auto"/>
      <w:ind w:firstLine="360" w:firstLineChars="200"/>
      <w:jc w:val="both"/>
      <w:rPr>
        <w:rFonts w:hint="eastAsia"/>
        <w:sz w:val="18"/>
        <w:szCs w:val="18"/>
        <w:u w:val="single"/>
        <w:lang w:val="en-US" w:eastAsia="zh-CN"/>
      </w:rPr>
    </w:pPr>
  </w:p>
  <w:p w14:paraId="2B100A81">
    <w:pPr>
      <w:tabs>
        <w:tab w:val="left" w:pos="7567"/>
      </w:tabs>
      <w:spacing w:line="360" w:lineRule="auto"/>
      <w:ind w:firstLine="360" w:firstLineChars="200"/>
      <w:jc w:val="both"/>
      <w:rPr>
        <w:rFonts w:hint="default" w:eastAsia="宋体"/>
        <w:u w:val="none"/>
        <w:lang w:val="en-US" w:eastAsia="zh-CN"/>
      </w:rPr>
    </w:pPr>
    <w:r>
      <w:rPr>
        <w:rFonts w:hint="eastAsia"/>
        <w:sz w:val="18"/>
        <w:szCs w:val="18"/>
        <w:u w:val="single"/>
        <w:lang w:val="en-US" w:eastAsia="zh-CN"/>
      </w:rPr>
      <w:t xml:space="preserve">                                                      荥阳市公安局交通设施维护服务项目征集文件    </w:t>
    </w:r>
    <w:r>
      <w:rPr>
        <w:rFonts w:hint="eastAsia"/>
        <w:sz w:val="18"/>
        <w:szCs w:val="18"/>
        <w:u w:val="none"/>
        <w:lang w:val="en-US" w:eastAsia="zh-CN"/>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CB838">
    <w:pPr>
      <w:tabs>
        <w:tab w:val="left" w:pos="7567"/>
      </w:tabs>
      <w:spacing w:line="360" w:lineRule="auto"/>
      <w:jc w:val="center"/>
      <w:rPr>
        <w:rFonts w:hint="eastAsia"/>
        <w:b/>
        <w:sz w:val="18"/>
        <w:szCs w:val="18"/>
        <w:u w:val="single"/>
      </w:rPr>
    </w:pPr>
    <w:r>
      <w:rPr>
        <w:rFonts w:hint="eastAsia"/>
        <w:sz w:val="18"/>
        <w:szCs w:val="18"/>
        <w:u w:val="single"/>
        <w:lang w:val="en-US" w:eastAsia="zh-CN"/>
      </w:rPr>
      <w:t xml:space="preserve">                                                      荥阳市公安局交通设施维护服务项目征集文件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75EEB"/>
    <w:multiLevelType w:val="singleLevel"/>
    <w:tmpl w:val="8A275EEB"/>
    <w:lvl w:ilvl="0" w:tentative="0">
      <w:start w:val="1"/>
      <w:numFmt w:val="decimal"/>
      <w:lvlText w:val="(%1)"/>
      <w:lvlJc w:val="left"/>
      <w:pPr>
        <w:ind w:left="425" w:hanging="425"/>
      </w:pPr>
      <w:rPr>
        <w:rFonts w:hint="default"/>
      </w:rPr>
    </w:lvl>
  </w:abstractNum>
  <w:abstractNum w:abstractNumId="1">
    <w:nsid w:val="A0647C4F"/>
    <w:multiLevelType w:val="multilevel"/>
    <w:tmpl w:val="A0647C4F"/>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2">
    <w:nsid w:val="A2C959E2"/>
    <w:multiLevelType w:val="multilevel"/>
    <w:tmpl w:val="A2C959E2"/>
    <w:lvl w:ilvl="0" w:tentative="0">
      <w:start w:val="1"/>
      <w:numFmt w:val="decimal"/>
      <w:suff w:val="space"/>
      <w:lvlText w:val="%1."/>
      <w:lvlJc w:val="left"/>
    </w:lvl>
    <w:lvl w:ilvl="1" w:tentative="0">
      <w:start w:val="1"/>
      <w:numFmt w:val="decimal"/>
      <w:suff w:val="space"/>
      <w:lvlText w:val="%1.%2"/>
      <w:lvlJc w:val="left"/>
      <w:pPr>
        <w:ind w:left="0" w:firstLine="0"/>
      </w:pPr>
      <w:rPr>
        <w:rFonts w:hint="default" w:ascii="宋体" w:hAnsi="宋体" w:eastAsia="宋体" w:cs="宋体"/>
        <w:b/>
        <w:bCs/>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B0D962D8"/>
    <w:multiLevelType w:val="multilevel"/>
    <w:tmpl w:val="B0D962D8"/>
    <w:lvl w:ilvl="0" w:tentative="0">
      <w:start w:val="1"/>
      <w:numFmt w:val="none"/>
      <w:suff w:val="nothing"/>
      <w:lvlText w:val=""/>
      <w:lvlJc w:val="left"/>
      <w:pPr>
        <w:tabs>
          <w:tab w:val="left" w:pos="0"/>
        </w:tabs>
        <w:ind w:left="0" w:firstLine="0"/>
      </w:pPr>
    </w:lvl>
    <w:lvl w:ilvl="1" w:tentative="0">
      <w:start w:val="1"/>
      <w:numFmt w:val="none"/>
      <w:pStyle w:val="2"/>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4">
    <w:nsid w:val="BB886446"/>
    <w:multiLevelType w:val="singleLevel"/>
    <w:tmpl w:val="BB886446"/>
    <w:lvl w:ilvl="0" w:tentative="0">
      <w:start w:val="1"/>
      <w:numFmt w:val="chineseCounting"/>
      <w:suff w:val="nothing"/>
      <w:lvlText w:val="%1、"/>
      <w:lvlJc w:val="left"/>
      <w:rPr>
        <w:rFonts w:hint="eastAsia"/>
      </w:rPr>
    </w:lvl>
  </w:abstractNum>
  <w:abstractNum w:abstractNumId="5">
    <w:nsid w:val="D372E8ED"/>
    <w:multiLevelType w:val="singleLevel"/>
    <w:tmpl w:val="D372E8ED"/>
    <w:lvl w:ilvl="0" w:tentative="0">
      <w:start w:val="6"/>
      <w:numFmt w:val="decimal"/>
      <w:suff w:val="nothing"/>
      <w:lvlText w:val="%1、"/>
      <w:lvlJc w:val="left"/>
    </w:lvl>
  </w:abstractNum>
  <w:abstractNum w:abstractNumId="6">
    <w:nsid w:val="D5F7AA81"/>
    <w:multiLevelType w:val="singleLevel"/>
    <w:tmpl w:val="D5F7AA81"/>
    <w:lvl w:ilvl="0" w:tentative="0">
      <w:start w:val="1"/>
      <w:numFmt w:val="decimal"/>
      <w:suff w:val="nothing"/>
      <w:lvlText w:val="（%1）"/>
      <w:lvlJc w:val="left"/>
    </w:lvl>
  </w:abstractNum>
  <w:abstractNum w:abstractNumId="7">
    <w:nsid w:val="D7F52C59"/>
    <w:multiLevelType w:val="singleLevel"/>
    <w:tmpl w:val="D7F52C59"/>
    <w:lvl w:ilvl="0" w:tentative="0">
      <w:start w:val="1"/>
      <w:numFmt w:val="decimal"/>
      <w:lvlText w:val="(%1)"/>
      <w:lvlJc w:val="left"/>
      <w:pPr>
        <w:ind w:left="425" w:hanging="425"/>
      </w:pPr>
      <w:rPr>
        <w:rFonts w:hint="default"/>
      </w:rPr>
    </w:lvl>
  </w:abstractNum>
  <w:abstractNum w:abstractNumId="8">
    <w:nsid w:val="E3840981"/>
    <w:multiLevelType w:val="multilevel"/>
    <w:tmpl w:val="E3840981"/>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9">
    <w:nsid w:val="F44DDB14"/>
    <w:multiLevelType w:val="singleLevel"/>
    <w:tmpl w:val="F44DDB14"/>
    <w:lvl w:ilvl="0" w:tentative="0">
      <w:start w:val="1"/>
      <w:numFmt w:val="decimal"/>
      <w:suff w:val="nothing"/>
      <w:lvlText w:val="%1、"/>
      <w:lvlJc w:val="left"/>
      <w:rPr>
        <w:rFonts w:hint="default" w:ascii="宋体" w:hAnsi="宋体" w:eastAsia="宋体" w:cs="宋体"/>
        <w:sz w:val="21"/>
        <w:szCs w:val="21"/>
      </w:rPr>
    </w:lvl>
  </w:abstractNum>
  <w:abstractNum w:abstractNumId="10">
    <w:nsid w:val="F5748F10"/>
    <w:multiLevelType w:val="singleLevel"/>
    <w:tmpl w:val="F5748F10"/>
    <w:lvl w:ilvl="0" w:tentative="0">
      <w:start w:val="4"/>
      <w:numFmt w:val="chineseCounting"/>
      <w:lvlText w:val="(%1)"/>
      <w:lvlJc w:val="left"/>
      <w:pPr>
        <w:tabs>
          <w:tab w:val="left" w:pos="312"/>
        </w:tabs>
      </w:pPr>
      <w:rPr>
        <w:rFonts w:hint="eastAsia"/>
      </w:rPr>
    </w:lvl>
  </w:abstractNum>
  <w:abstractNum w:abstractNumId="11">
    <w:nsid w:val="0FBAAA31"/>
    <w:multiLevelType w:val="singleLevel"/>
    <w:tmpl w:val="0FBAAA31"/>
    <w:lvl w:ilvl="0" w:tentative="0">
      <w:start w:val="7"/>
      <w:numFmt w:val="chineseCounting"/>
      <w:suff w:val="nothing"/>
      <w:lvlText w:val="%1、"/>
      <w:lvlJc w:val="left"/>
      <w:rPr>
        <w:rFonts w:hint="eastAsia"/>
      </w:rPr>
    </w:lvl>
  </w:abstractNum>
  <w:abstractNum w:abstractNumId="12">
    <w:nsid w:val="1068C811"/>
    <w:multiLevelType w:val="singleLevel"/>
    <w:tmpl w:val="1068C811"/>
    <w:lvl w:ilvl="0" w:tentative="0">
      <w:start w:val="1"/>
      <w:numFmt w:val="decimal"/>
      <w:suff w:val="space"/>
      <w:lvlText w:val="%1."/>
      <w:lvlJc w:val="left"/>
    </w:lvl>
  </w:abstractNum>
  <w:abstractNum w:abstractNumId="13">
    <w:nsid w:val="1301BF32"/>
    <w:multiLevelType w:val="singleLevel"/>
    <w:tmpl w:val="1301BF32"/>
    <w:lvl w:ilvl="0" w:tentative="0">
      <w:start w:val="1"/>
      <w:numFmt w:val="decimal"/>
      <w:suff w:val="nothing"/>
      <w:lvlText w:val="%1、"/>
      <w:lvlJc w:val="left"/>
      <w:rPr>
        <w:rFonts w:hint="default" w:ascii="宋体" w:hAnsi="宋体" w:eastAsia="宋体" w:cs="宋体"/>
        <w:sz w:val="21"/>
        <w:szCs w:val="21"/>
      </w:rPr>
    </w:lvl>
  </w:abstractNum>
  <w:abstractNum w:abstractNumId="14">
    <w:nsid w:val="281E951A"/>
    <w:multiLevelType w:val="singleLevel"/>
    <w:tmpl w:val="281E951A"/>
    <w:lvl w:ilvl="0" w:tentative="0">
      <w:start w:val="4"/>
      <w:numFmt w:val="chineseCounting"/>
      <w:suff w:val="nothing"/>
      <w:lvlText w:val="%1、"/>
      <w:lvlJc w:val="left"/>
      <w:rPr>
        <w:rFonts w:hint="eastAsia" w:ascii="宋体" w:hAnsi="宋体" w:eastAsia="宋体" w:cs="宋体"/>
        <w:color w:val="auto"/>
        <w:sz w:val="21"/>
        <w:szCs w:val="21"/>
      </w:rPr>
    </w:lvl>
  </w:abstractNum>
  <w:abstractNum w:abstractNumId="15">
    <w:nsid w:val="2F504A26"/>
    <w:multiLevelType w:val="singleLevel"/>
    <w:tmpl w:val="2F504A26"/>
    <w:lvl w:ilvl="0" w:tentative="0">
      <w:start w:val="1"/>
      <w:numFmt w:val="decimal"/>
      <w:lvlText w:val="(%1)"/>
      <w:lvlJc w:val="left"/>
      <w:pPr>
        <w:ind w:left="425" w:hanging="425"/>
      </w:pPr>
      <w:rPr>
        <w:rFonts w:hint="default"/>
      </w:rPr>
    </w:lvl>
  </w:abstractNum>
  <w:abstractNum w:abstractNumId="16">
    <w:nsid w:val="4C7E4318"/>
    <w:multiLevelType w:val="multilevel"/>
    <w:tmpl w:val="4C7E4318"/>
    <w:lvl w:ilvl="0" w:tentative="0">
      <w:start w:val="1"/>
      <w:numFmt w:val="japaneseCounting"/>
      <w:lvlText w:val="第%1章"/>
      <w:lvlJc w:val="left"/>
      <w:pPr>
        <w:tabs>
          <w:tab w:val="left" w:pos="1980"/>
        </w:tabs>
        <w:ind w:left="1980" w:hanging="1260"/>
      </w:pPr>
      <w:rPr>
        <w:rFonts w:hint="eastAsia"/>
      </w:rPr>
    </w:lvl>
    <w:lvl w:ilvl="1" w:tentative="0">
      <w:start w:val="1"/>
      <w:numFmt w:val="decimal"/>
      <w:lvlText w:val="(%2)"/>
      <w:lvlJc w:val="left"/>
      <w:pPr>
        <w:tabs>
          <w:tab w:val="left" w:pos="1500"/>
        </w:tabs>
        <w:ind w:left="1500" w:hanging="360"/>
      </w:pPr>
      <w:rPr>
        <w:rFonts w:hint="default"/>
      </w:rPr>
    </w:lvl>
    <w:lvl w:ilvl="2" w:tentative="0">
      <w:start w:val="1"/>
      <w:numFmt w:val="decimal"/>
      <w:lvlText w:val="%3)"/>
      <w:lvlJc w:val="left"/>
      <w:pPr>
        <w:tabs>
          <w:tab w:val="left" w:pos="1980"/>
        </w:tabs>
        <w:ind w:left="1980" w:hanging="420"/>
      </w:pPr>
      <w:rPr>
        <w:rFonts w:hint="eastAsia"/>
      </w:rPr>
    </w:lvl>
    <w:lvl w:ilvl="3" w:tentative="0">
      <w:start w:val="4"/>
      <w:numFmt w:val="japaneseCounting"/>
      <w:lvlText w:val="%4、"/>
      <w:lvlJc w:val="left"/>
      <w:pPr>
        <w:tabs>
          <w:tab w:val="left" w:pos="2700"/>
        </w:tabs>
        <w:ind w:left="2700" w:hanging="720"/>
      </w:pPr>
      <w:rPr>
        <w:rFonts w:hint="default"/>
      </w:rPr>
    </w:lvl>
    <w:lvl w:ilvl="4" w:tentative="0">
      <w:start w:val="1"/>
      <w:numFmt w:val="decimal"/>
      <w:lvlText w:val="%5）"/>
      <w:lvlJc w:val="left"/>
      <w:pPr>
        <w:tabs>
          <w:tab w:val="left" w:pos="3120"/>
        </w:tabs>
        <w:ind w:left="3120" w:hanging="720"/>
      </w:pPr>
      <w:rPr>
        <w:rFonts w:hint="default"/>
        <w:b w:val="0"/>
      </w:rPr>
    </w:lvl>
    <w:lvl w:ilvl="5" w:tentative="0">
      <w:start w:val="1"/>
      <w:numFmt w:val="lowerRoman"/>
      <w:lvlText w:val="%6."/>
      <w:lvlJc w:val="right"/>
      <w:pPr>
        <w:tabs>
          <w:tab w:val="left" w:pos="3240"/>
        </w:tabs>
        <w:ind w:left="3240" w:hanging="420"/>
      </w:pPr>
    </w:lvl>
    <w:lvl w:ilvl="6" w:tentative="0">
      <w:start w:val="1"/>
      <w:numFmt w:val="decimal"/>
      <w:lvlText w:val="%7."/>
      <w:lvlJc w:val="left"/>
      <w:pPr>
        <w:tabs>
          <w:tab w:val="left" w:pos="3660"/>
        </w:tabs>
        <w:ind w:left="3660" w:hanging="420"/>
      </w:pPr>
    </w:lvl>
    <w:lvl w:ilvl="7" w:tentative="0">
      <w:start w:val="1"/>
      <w:numFmt w:val="lowerLetter"/>
      <w:lvlText w:val="%8)"/>
      <w:lvlJc w:val="left"/>
      <w:pPr>
        <w:tabs>
          <w:tab w:val="left" w:pos="4080"/>
        </w:tabs>
        <w:ind w:left="4080" w:hanging="420"/>
      </w:pPr>
    </w:lvl>
    <w:lvl w:ilvl="8" w:tentative="0">
      <w:start w:val="1"/>
      <w:numFmt w:val="lowerRoman"/>
      <w:lvlText w:val="%9."/>
      <w:lvlJc w:val="right"/>
      <w:pPr>
        <w:tabs>
          <w:tab w:val="left" w:pos="4500"/>
        </w:tabs>
        <w:ind w:left="4500" w:hanging="420"/>
      </w:pPr>
    </w:lvl>
  </w:abstractNum>
  <w:abstractNum w:abstractNumId="17">
    <w:nsid w:val="5D08314D"/>
    <w:multiLevelType w:val="singleLevel"/>
    <w:tmpl w:val="5D08314D"/>
    <w:lvl w:ilvl="0" w:tentative="0">
      <w:start w:val="1"/>
      <w:numFmt w:val="decimal"/>
      <w:suff w:val="nothing"/>
      <w:lvlText w:val="%1、"/>
      <w:lvlJc w:val="left"/>
      <w:rPr>
        <w:rFonts w:hint="default" w:ascii="宋体" w:hAnsi="宋体" w:eastAsia="宋体" w:cs="宋体"/>
        <w:sz w:val="21"/>
        <w:szCs w:val="21"/>
      </w:rPr>
    </w:lvl>
  </w:abstractNum>
  <w:abstractNum w:abstractNumId="18">
    <w:nsid w:val="65B5EC54"/>
    <w:multiLevelType w:val="singleLevel"/>
    <w:tmpl w:val="65B5EC54"/>
    <w:lvl w:ilvl="0" w:tentative="0">
      <w:start w:val="1"/>
      <w:numFmt w:val="decimal"/>
      <w:suff w:val="nothing"/>
      <w:lvlText w:val="%1、"/>
      <w:lvlJc w:val="left"/>
      <w:rPr>
        <w:rFonts w:hint="default" w:ascii="宋体" w:hAnsi="宋体" w:eastAsia="宋体" w:cs="宋体"/>
        <w:sz w:val="21"/>
        <w:szCs w:val="21"/>
      </w:rPr>
    </w:lvl>
  </w:abstractNum>
  <w:abstractNum w:abstractNumId="19">
    <w:nsid w:val="6B48166D"/>
    <w:multiLevelType w:val="singleLevel"/>
    <w:tmpl w:val="6B48166D"/>
    <w:lvl w:ilvl="0" w:tentative="0">
      <w:start w:val="1"/>
      <w:numFmt w:val="decimal"/>
      <w:lvlText w:val="(%1)"/>
      <w:lvlJc w:val="left"/>
      <w:pPr>
        <w:ind w:left="425" w:hanging="425"/>
      </w:pPr>
      <w:rPr>
        <w:rFonts w:hint="default"/>
      </w:rPr>
    </w:lvl>
  </w:abstractNum>
  <w:abstractNum w:abstractNumId="20">
    <w:nsid w:val="721FFA2B"/>
    <w:multiLevelType w:val="singleLevel"/>
    <w:tmpl w:val="721FFA2B"/>
    <w:lvl w:ilvl="0" w:tentative="0">
      <w:start w:val="1"/>
      <w:numFmt w:val="decimal"/>
      <w:suff w:val="nothing"/>
      <w:lvlText w:val="（%1）"/>
      <w:lvlJc w:val="left"/>
    </w:lvl>
  </w:abstractNum>
  <w:abstractNum w:abstractNumId="21">
    <w:nsid w:val="7D82545E"/>
    <w:multiLevelType w:val="singleLevel"/>
    <w:tmpl w:val="7D82545E"/>
    <w:lvl w:ilvl="0" w:tentative="0">
      <w:start w:val="1"/>
      <w:numFmt w:val="decimal"/>
      <w:lvlText w:val="(%1)"/>
      <w:lvlJc w:val="left"/>
      <w:pPr>
        <w:ind w:left="425" w:hanging="425"/>
      </w:pPr>
      <w:rPr>
        <w:rFonts w:hint="default"/>
      </w:rPr>
    </w:lvl>
  </w:abstractNum>
  <w:num w:numId="1">
    <w:abstractNumId w:val="3"/>
  </w:num>
  <w:num w:numId="2">
    <w:abstractNumId w:val="5"/>
  </w:num>
  <w:num w:numId="3">
    <w:abstractNumId w:val="4"/>
  </w:num>
  <w:num w:numId="4">
    <w:abstractNumId w:val="2"/>
  </w:num>
  <w:num w:numId="5">
    <w:abstractNumId w:val="1"/>
  </w:num>
  <w:num w:numId="6">
    <w:abstractNumId w:val="19"/>
  </w:num>
  <w:num w:numId="7">
    <w:abstractNumId w:val="16"/>
  </w:num>
  <w:num w:numId="8">
    <w:abstractNumId w:val="0"/>
  </w:num>
  <w:num w:numId="9">
    <w:abstractNumId w:val="7"/>
  </w:num>
  <w:num w:numId="10">
    <w:abstractNumId w:val="21"/>
  </w:num>
  <w:num w:numId="11">
    <w:abstractNumId w:val="15"/>
  </w:num>
  <w:num w:numId="12">
    <w:abstractNumId w:val="12"/>
  </w:num>
  <w:num w:numId="13">
    <w:abstractNumId w:val="8"/>
  </w:num>
  <w:num w:numId="14">
    <w:abstractNumId w:val="9"/>
  </w:num>
  <w:num w:numId="15">
    <w:abstractNumId w:val="17"/>
  </w:num>
  <w:num w:numId="16">
    <w:abstractNumId w:val="18"/>
  </w:num>
  <w:num w:numId="17">
    <w:abstractNumId w:val="14"/>
  </w:num>
  <w:num w:numId="18">
    <w:abstractNumId w:val="13"/>
  </w:num>
  <w:num w:numId="19">
    <w:abstractNumId w:val="6"/>
  </w:num>
  <w:num w:numId="20">
    <w:abstractNumId w:val="20"/>
  </w:num>
  <w:num w:numId="21">
    <w:abstractNumId w:val="1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2MDgyNDAyNjIyYjQ3YjU4YjY3NzEyMjA3N2MzMDMifQ=="/>
  </w:docVars>
  <w:rsids>
    <w:rsidRoot w:val="00000000"/>
    <w:rsid w:val="003A0914"/>
    <w:rsid w:val="00417EF4"/>
    <w:rsid w:val="005F481F"/>
    <w:rsid w:val="00621C19"/>
    <w:rsid w:val="00641E35"/>
    <w:rsid w:val="007007DA"/>
    <w:rsid w:val="007C2CDB"/>
    <w:rsid w:val="00984CAE"/>
    <w:rsid w:val="009F4C1B"/>
    <w:rsid w:val="00BD1729"/>
    <w:rsid w:val="00BE32F3"/>
    <w:rsid w:val="00E52F76"/>
    <w:rsid w:val="00EB1C0E"/>
    <w:rsid w:val="010351AA"/>
    <w:rsid w:val="01057174"/>
    <w:rsid w:val="010B405F"/>
    <w:rsid w:val="011949CD"/>
    <w:rsid w:val="01207B0A"/>
    <w:rsid w:val="012810B4"/>
    <w:rsid w:val="012A2737"/>
    <w:rsid w:val="014D28C9"/>
    <w:rsid w:val="014F219D"/>
    <w:rsid w:val="01710365"/>
    <w:rsid w:val="017936BE"/>
    <w:rsid w:val="018856AF"/>
    <w:rsid w:val="01952789"/>
    <w:rsid w:val="01B97F5E"/>
    <w:rsid w:val="01D34B7C"/>
    <w:rsid w:val="01E52FAF"/>
    <w:rsid w:val="01E70628"/>
    <w:rsid w:val="02186A33"/>
    <w:rsid w:val="022C5CCC"/>
    <w:rsid w:val="024737BC"/>
    <w:rsid w:val="024C492F"/>
    <w:rsid w:val="02532A52"/>
    <w:rsid w:val="025D08EA"/>
    <w:rsid w:val="02647ECA"/>
    <w:rsid w:val="026D3779"/>
    <w:rsid w:val="02791B89"/>
    <w:rsid w:val="02A14397"/>
    <w:rsid w:val="02C62933"/>
    <w:rsid w:val="02D41F55"/>
    <w:rsid w:val="02DA63DE"/>
    <w:rsid w:val="02E96621"/>
    <w:rsid w:val="02ED1C6E"/>
    <w:rsid w:val="02EE29ED"/>
    <w:rsid w:val="02F079B0"/>
    <w:rsid w:val="02F4124E"/>
    <w:rsid w:val="02F73485"/>
    <w:rsid w:val="030D0562"/>
    <w:rsid w:val="036068E4"/>
    <w:rsid w:val="03A762C0"/>
    <w:rsid w:val="03AD58A1"/>
    <w:rsid w:val="03AD764F"/>
    <w:rsid w:val="03B7227C"/>
    <w:rsid w:val="03C350C4"/>
    <w:rsid w:val="03D96696"/>
    <w:rsid w:val="03EA2651"/>
    <w:rsid w:val="03F31506"/>
    <w:rsid w:val="03F37758"/>
    <w:rsid w:val="03F60FF6"/>
    <w:rsid w:val="040354C1"/>
    <w:rsid w:val="04071455"/>
    <w:rsid w:val="040A4AA1"/>
    <w:rsid w:val="04133956"/>
    <w:rsid w:val="041E22FB"/>
    <w:rsid w:val="0422003D"/>
    <w:rsid w:val="04301080"/>
    <w:rsid w:val="044E498E"/>
    <w:rsid w:val="04610B65"/>
    <w:rsid w:val="04675A50"/>
    <w:rsid w:val="04806B11"/>
    <w:rsid w:val="048E122E"/>
    <w:rsid w:val="04A847A8"/>
    <w:rsid w:val="04B667CF"/>
    <w:rsid w:val="04CD7FA9"/>
    <w:rsid w:val="04EA6DAD"/>
    <w:rsid w:val="05191440"/>
    <w:rsid w:val="05333EBB"/>
    <w:rsid w:val="0545478A"/>
    <w:rsid w:val="05512A90"/>
    <w:rsid w:val="059211F2"/>
    <w:rsid w:val="059A3C03"/>
    <w:rsid w:val="05A76A4C"/>
    <w:rsid w:val="05B44CC5"/>
    <w:rsid w:val="05BA4024"/>
    <w:rsid w:val="05C43F05"/>
    <w:rsid w:val="05CB2682"/>
    <w:rsid w:val="05E05ABA"/>
    <w:rsid w:val="05FD48BE"/>
    <w:rsid w:val="05FE4192"/>
    <w:rsid w:val="06085A20"/>
    <w:rsid w:val="0616772D"/>
    <w:rsid w:val="061D6D0E"/>
    <w:rsid w:val="062C51A3"/>
    <w:rsid w:val="06640ED1"/>
    <w:rsid w:val="068723D9"/>
    <w:rsid w:val="06897EFF"/>
    <w:rsid w:val="06A05486"/>
    <w:rsid w:val="06B50CF4"/>
    <w:rsid w:val="06D373CC"/>
    <w:rsid w:val="06DD74B2"/>
    <w:rsid w:val="06FA0DFD"/>
    <w:rsid w:val="06FF4DF5"/>
    <w:rsid w:val="072D11D3"/>
    <w:rsid w:val="07414C7E"/>
    <w:rsid w:val="074924D2"/>
    <w:rsid w:val="07632E46"/>
    <w:rsid w:val="0777244E"/>
    <w:rsid w:val="07807554"/>
    <w:rsid w:val="07830DF3"/>
    <w:rsid w:val="0784515B"/>
    <w:rsid w:val="07943000"/>
    <w:rsid w:val="0797664C"/>
    <w:rsid w:val="07990616"/>
    <w:rsid w:val="07A62D33"/>
    <w:rsid w:val="07B94814"/>
    <w:rsid w:val="07E04497"/>
    <w:rsid w:val="07EA4D81"/>
    <w:rsid w:val="084E2BAE"/>
    <w:rsid w:val="0854453D"/>
    <w:rsid w:val="08566507"/>
    <w:rsid w:val="085B2D9C"/>
    <w:rsid w:val="085D5AE7"/>
    <w:rsid w:val="087A654B"/>
    <w:rsid w:val="087B7D1C"/>
    <w:rsid w:val="088A61B1"/>
    <w:rsid w:val="08907C6B"/>
    <w:rsid w:val="089B6610"/>
    <w:rsid w:val="089E0931"/>
    <w:rsid w:val="08A41020"/>
    <w:rsid w:val="08AE1E9F"/>
    <w:rsid w:val="08B651F8"/>
    <w:rsid w:val="08BB45BC"/>
    <w:rsid w:val="08C47FFD"/>
    <w:rsid w:val="08D765DE"/>
    <w:rsid w:val="08F053C4"/>
    <w:rsid w:val="090E293E"/>
    <w:rsid w:val="091F2D9D"/>
    <w:rsid w:val="09322AD0"/>
    <w:rsid w:val="0935611C"/>
    <w:rsid w:val="09376339"/>
    <w:rsid w:val="0958005D"/>
    <w:rsid w:val="095E1ED5"/>
    <w:rsid w:val="09644C54"/>
    <w:rsid w:val="09736C45"/>
    <w:rsid w:val="097E5D15"/>
    <w:rsid w:val="09B62700"/>
    <w:rsid w:val="09C645FB"/>
    <w:rsid w:val="0A081A83"/>
    <w:rsid w:val="0A0A5B95"/>
    <w:rsid w:val="0A73514E"/>
    <w:rsid w:val="0A762E91"/>
    <w:rsid w:val="0A8455AD"/>
    <w:rsid w:val="0AAF0151"/>
    <w:rsid w:val="0AB13EC9"/>
    <w:rsid w:val="0AF81AF7"/>
    <w:rsid w:val="0B073AE9"/>
    <w:rsid w:val="0B13729A"/>
    <w:rsid w:val="0B2E376B"/>
    <w:rsid w:val="0B380146"/>
    <w:rsid w:val="0B5A630E"/>
    <w:rsid w:val="0B5D195B"/>
    <w:rsid w:val="0B696551"/>
    <w:rsid w:val="0B6E19B2"/>
    <w:rsid w:val="0B923CFA"/>
    <w:rsid w:val="0B941820"/>
    <w:rsid w:val="0BA8707A"/>
    <w:rsid w:val="0BB023D2"/>
    <w:rsid w:val="0BB2614A"/>
    <w:rsid w:val="0BC83278"/>
    <w:rsid w:val="0BCB4B16"/>
    <w:rsid w:val="0BCD088E"/>
    <w:rsid w:val="0BD460C1"/>
    <w:rsid w:val="0BED2CDE"/>
    <w:rsid w:val="0BF26547"/>
    <w:rsid w:val="0BF40511"/>
    <w:rsid w:val="0C0A3890"/>
    <w:rsid w:val="0C0F70F9"/>
    <w:rsid w:val="0C177D5B"/>
    <w:rsid w:val="0C2F1549"/>
    <w:rsid w:val="0C403756"/>
    <w:rsid w:val="0C523489"/>
    <w:rsid w:val="0C6A432F"/>
    <w:rsid w:val="0C7358DA"/>
    <w:rsid w:val="0C8C63AB"/>
    <w:rsid w:val="0C9C4DC7"/>
    <w:rsid w:val="0CA710DF"/>
    <w:rsid w:val="0CA830A9"/>
    <w:rsid w:val="0CB33F28"/>
    <w:rsid w:val="0CB57C0B"/>
    <w:rsid w:val="0CC25F19"/>
    <w:rsid w:val="0CEF0CD8"/>
    <w:rsid w:val="0D013BBD"/>
    <w:rsid w:val="0D0B5B12"/>
    <w:rsid w:val="0D36577E"/>
    <w:rsid w:val="0D3A01A5"/>
    <w:rsid w:val="0D3B5CCB"/>
    <w:rsid w:val="0D463BB0"/>
    <w:rsid w:val="0D576FA9"/>
    <w:rsid w:val="0D6E1EF9"/>
    <w:rsid w:val="0D6E60A1"/>
    <w:rsid w:val="0D9943AF"/>
    <w:rsid w:val="0DB22432"/>
    <w:rsid w:val="0DC3019B"/>
    <w:rsid w:val="0DE3152B"/>
    <w:rsid w:val="0DED346A"/>
    <w:rsid w:val="0DF91E0E"/>
    <w:rsid w:val="0DFC35B9"/>
    <w:rsid w:val="0DFD78B7"/>
    <w:rsid w:val="0DFE5677"/>
    <w:rsid w:val="0E0A5DCA"/>
    <w:rsid w:val="0E0B38F0"/>
    <w:rsid w:val="0E107158"/>
    <w:rsid w:val="0E172295"/>
    <w:rsid w:val="0E477E26"/>
    <w:rsid w:val="0E5434E9"/>
    <w:rsid w:val="0E750E79"/>
    <w:rsid w:val="0E792F4F"/>
    <w:rsid w:val="0E820CEC"/>
    <w:rsid w:val="0E9E29B6"/>
    <w:rsid w:val="0E9E6512"/>
    <w:rsid w:val="0EB126E9"/>
    <w:rsid w:val="0EDF667F"/>
    <w:rsid w:val="0EE91E83"/>
    <w:rsid w:val="0EEF3211"/>
    <w:rsid w:val="0F052A35"/>
    <w:rsid w:val="0F0767AD"/>
    <w:rsid w:val="0F19203C"/>
    <w:rsid w:val="0F1C008B"/>
    <w:rsid w:val="0F1D1B2D"/>
    <w:rsid w:val="0F24110D"/>
    <w:rsid w:val="0F31382A"/>
    <w:rsid w:val="0F3A0931"/>
    <w:rsid w:val="0F895414"/>
    <w:rsid w:val="0FA67D74"/>
    <w:rsid w:val="0FB24BEB"/>
    <w:rsid w:val="0FD0094D"/>
    <w:rsid w:val="0FFC3E38"/>
    <w:rsid w:val="0FFE195E"/>
    <w:rsid w:val="100920B1"/>
    <w:rsid w:val="10120F66"/>
    <w:rsid w:val="102431A3"/>
    <w:rsid w:val="10331CA1"/>
    <w:rsid w:val="10473C36"/>
    <w:rsid w:val="106A0DA2"/>
    <w:rsid w:val="108005C5"/>
    <w:rsid w:val="108F748B"/>
    <w:rsid w:val="10944070"/>
    <w:rsid w:val="10A02A15"/>
    <w:rsid w:val="10C06C14"/>
    <w:rsid w:val="10F60887"/>
    <w:rsid w:val="11001706"/>
    <w:rsid w:val="111B419D"/>
    <w:rsid w:val="11355F72"/>
    <w:rsid w:val="1142587A"/>
    <w:rsid w:val="115F59AD"/>
    <w:rsid w:val="116A6B7F"/>
    <w:rsid w:val="11785740"/>
    <w:rsid w:val="11867E5D"/>
    <w:rsid w:val="119A7465"/>
    <w:rsid w:val="11BD58B2"/>
    <w:rsid w:val="11BD75F7"/>
    <w:rsid w:val="11C20769"/>
    <w:rsid w:val="11D02E86"/>
    <w:rsid w:val="11D32976"/>
    <w:rsid w:val="11E42DD6"/>
    <w:rsid w:val="11EC3A38"/>
    <w:rsid w:val="11EE77B0"/>
    <w:rsid w:val="11F254F3"/>
    <w:rsid w:val="12062D4C"/>
    <w:rsid w:val="12176D07"/>
    <w:rsid w:val="121F796A"/>
    <w:rsid w:val="123F625E"/>
    <w:rsid w:val="12415B32"/>
    <w:rsid w:val="124318AA"/>
    <w:rsid w:val="124949E7"/>
    <w:rsid w:val="124A3908"/>
    <w:rsid w:val="124F46F3"/>
    <w:rsid w:val="127A7296"/>
    <w:rsid w:val="12816876"/>
    <w:rsid w:val="1283439D"/>
    <w:rsid w:val="12A83E03"/>
    <w:rsid w:val="12B91B6C"/>
    <w:rsid w:val="12BA7692"/>
    <w:rsid w:val="1300779B"/>
    <w:rsid w:val="13051255"/>
    <w:rsid w:val="131A358D"/>
    <w:rsid w:val="132A0CBC"/>
    <w:rsid w:val="134A310C"/>
    <w:rsid w:val="134D05AC"/>
    <w:rsid w:val="1363315E"/>
    <w:rsid w:val="137912FC"/>
    <w:rsid w:val="13C62793"/>
    <w:rsid w:val="13CF716E"/>
    <w:rsid w:val="13DA623E"/>
    <w:rsid w:val="13E56991"/>
    <w:rsid w:val="14366498"/>
    <w:rsid w:val="144B0EEA"/>
    <w:rsid w:val="14740441"/>
    <w:rsid w:val="147C72F5"/>
    <w:rsid w:val="148111B0"/>
    <w:rsid w:val="14952165"/>
    <w:rsid w:val="14A00D6C"/>
    <w:rsid w:val="14D40EDF"/>
    <w:rsid w:val="151267AE"/>
    <w:rsid w:val="151439D2"/>
    <w:rsid w:val="1537141C"/>
    <w:rsid w:val="154C4F1A"/>
    <w:rsid w:val="154D2A40"/>
    <w:rsid w:val="15542020"/>
    <w:rsid w:val="156264EB"/>
    <w:rsid w:val="15681628"/>
    <w:rsid w:val="157B75AD"/>
    <w:rsid w:val="15820C4A"/>
    <w:rsid w:val="15883A78"/>
    <w:rsid w:val="15962639"/>
    <w:rsid w:val="159A3ED7"/>
    <w:rsid w:val="159C4750"/>
    <w:rsid w:val="15AC3C0A"/>
    <w:rsid w:val="15B34F99"/>
    <w:rsid w:val="15DA2525"/>
    <w:rsid w:val="15E37F2A"/>
    <w:rsid w:val="15E6711C"/>
    <w:rsid w:val="15EE7D7F"/>
    <w:rsid w:val="15F35395"/>
    <w:rsid w:val="15F86E50"/>
    <w:rsid w:val="15FC6940"/>
    <w:rsid w:val="15FC76A4"/>
    <w:rsid w:val="163360DA"/>
    <w:rsid w:val="16526560"/>
    <w:rsid w:val="16777D74"/>
    <w:rsid w:val="167F30CD"/>
    <w:rsid w:val="16810304"/>
    <w:rsid w:val="168E1562"/>
    <w:rsid w:val="16AE750E"/>
    <w:rsid w:val="16B31EA4"/>
    <w:rsid w:val="16BD0F90"/>
    <w:rsid w:val="16BD18E1"/>
    <w:rsid w:val="16DB47A7"/>
    <w:rsid w:val="16DF591A"/>
    <w:rsid w:val="16F5338F"/>
    <w:rsid w:val="17044DC6"/>
    <w:rsid w:val="171432C8"/>
    <w:rsid w:val="17214184"/>
    <w:rsid w:val="173E0892"/>
    <w:rsid w:val="173E4D36"/>
    <w:rsid w:val="1763479D"/>
    <w:rsid w:val="176F4EEF"/>
    <w:rsid w:val="179606CE"/>
    <w:rsid w:val="17BB1EE3"/>
    <w:rsid w:val="17C57205"/>
    <w:rsid w:val="17E05DED"/>
    <w:rsid w:val="17E1714A"/>
    <w:rsid w:val="17EB63E5"/>
    <w:rsid w:val="17EE22B8"/>
    <w:rsid w:val="17F3167D"/>
    <w:rsid w:val="18187335"/>
    <w:rsid w:val="181A12FF"/>
    <w:rsid w:val="181D0DEF"/>
    <w:rsid w:val="182B350C"/>
    <w:rsid w:val="18331AC7"/>
    <w:rsid w:val="18363C5F"/>
    <w:rsid w:val="1844637C"/>
    <w:rsid w:val="18455C50"/>
    <w:rsid w:val="1849373C"/>
    <w:rsid w:val="185365BF"/>
    <w:rsid w:val="189A5F9C"/>
    <w:rsid w:val="18A10BFA"/>
    <w:rsid w:val="18B232E6"/>
    <w:rsid w:val="18BA03EC"/>
    <w:rsid w:val="18BC23B6"/>
    <w:rsid w:val="18CD0120"/>
    <w:rsid w:val="18D1512D"/>
    <w:rsid w:val="18D53478"/>
    <w:rsid w:val="18D771F0"/>
    <w:rsid w:val="18DD0A0A"/>
    <w:rsid w:val="1912647A"/>
    <w:rsid w:val="19351519"/>
    <w:rsid w:val="19573E8D"/>
    <w:rsid w:val="195B397D"/>
    <w:rsid w:val="195E11CA"/>
    <w:rsid w:val="19614D0C"/>
    <w:rsid w:val="19713BDF"/>
    <w:rsid w:val="199926F8"/>
    <w:rsid w:val="199930AE"/>
    <w:rsid w:val="19AF3CC9"/>
    <w:rsid w:val="19D90D46"/>
    <w:rsid w:val="19E25E4D"/>
    <w:rsid w:val="19E82D37"/>
    <w:rsid w:val="1A18186E"/>
    <w:rsid w:val="1A1B135F"/>
    <w:rsid w:val="1A3F329F"/>
    <w:rsid w:val="1A402B73"/>
    <w:rsid w:val="1A4E34E2"/>
    <w:rsid w:val="1A514D80"/>
    <w:rsid w:val="1A676352"/>
    <w:rsid w:val="1A6B57F9"/>
    <w:rsid w:val="1A710F7F"/>
    <w:rsid w:val="1A8B64E4"/>
    <w:rsid w:val="1AB5530F"/>
    <w:rsid w:val="1ABA46D4"/>
    <w:rsid w:val="1AD03986"/>
    <w:rsid w:val="1AEB2ADF"/>
    <w:rsid w:val="1B0167A6"/>
    <w:rsid w:val="1B0818E3"/>
    <w:rsid w:val="1B0B4F2F"/>
    <w:rsid w:val="1B0E2C71"/>
    <w:rsid w:val="1B177D78"/>
    <w:rsid w:val="1B1F4E7E"/>
    <w:rsid w:val="1B4B17D0"/>
    <w:rsid w:val="1B5E1503"/>
    <w:rsid w:val="1B750E0A"/>
    <w:rsid w:val="1B776A68"/>
    <w:rsid w:val="1B854CE1"/>
    <w:rsid w:val="1B8F790E"/>
    <w:rsid w:val="1BA535D6"/>
    <w:rsid w:val="1BAB04C0"/>
    <w:rsid w:val="1BAD5FE6"/>
    <w:rsid w:val="1BC05D1A"/>
    <w:rsid w:val="1BC41961"/>
    <w:rsid w:val="1C3A1F70"/>
    <w:rsid w:val="1C3D55BC"/>
    <w:rsid w:val="1C4537A9"/>
    <w:rsid w:val="1C4E611B"/>
    <w:rsid w:val="1C93342E"/>
    <w:rsid w:val="1C980A44"/>
    <w:rsid w:val="1C9D42AD"/>
    <w:rsid w:val="1CA473E9"/>
    <w:rsid w:val="1CA613B3"/>
    <w:rsid w:val="1CB6536F"/>
    <w:rsid w:val="1CBA6C0D"/>
    <w:rsid w:val="1CBD494F"/>
    <w:rsid w:val="1CDC4DD5"/>
    <w:rsid w:val="1CE31557"/>
    <w:rsid w:val="1CF163A7"/>
    <w:rsid w:val="1CF71C0F"/>
    <w:rsid w:val="1D0D1432"/>
    <w:rsid w:val="1D120D0E"/>
    <w:rsid w:val="1D13631D"/>
    <w:rsid w:val="1D1C3424"/>
    <w:rsid w:val="1D1E3640"/>
    <w:rsid w:val="1D3F3F3C"/>
    <w:rsid w:val="1D4B1F5B"/>
    <w:rsid w:val="1D4B3D09"/>
    <w:rsid w:val="1D4D182F"/>
    <w:rsid w:val="1D5F1AB5"/>
    <w:rsid w:val="1D9751A0"/>
    <w:rsid w:val="1D9A150B"/>
    <w:rsid w:val="1DC62B4F"/>
    <w:rsid w:val="1DDB508D"/>
    <w:rsid w:val="1E0565AE"/>
    <w:rsid w:val="1E110AAE"/>
    <w:rsid w:val="1E2A1B70"/>
    <w:rsid w:val="1E430E84"/>
    <w:rsid w:val="1E4470D6"/>
    <w:rsid w:val="1E601A36"/>
    <w:rsid w:val="1EC51899"/>
    <w:rsid w:val="1ECE2E43"/>
    <w:rsid w:val="1ED13088"/>
    <w:rsid w:val="1EE12B77"/>
    <w:rsid w:val="1EE6018D"/>
    <w:rsid w:val="1EFD54D7"/>
    <w:rsid w:val="1F260856"/>
    <w:rsid w:val="1F374545"/>
    <w:rsid w:val="1F3D58D3"/>
    <w:rsid w:val="1F3F3065"/>
    <w:rsid w:val="1F422EEA"/>
    <w:rsid w:val="1F470500"/>
    <w:rsid w:val="1F4D3D68"/>
    <w:rsid w:val="1F517F08"/>
    <w:rsid w:val="1F574BE7"/>
    <w:rsid w:val="1F69532E"/>
    <w:rsid w:val="1F8E5BB9"/>
    <w:rsid w:val="1FBC2C9C"/>
    <w:rsid w:val="1FC102B2"/>
    <w:rsid w:val="1FCD6C57"/>
    <w:rsid w:val="1FD20711"/>
    <w:rsid w:val="1FF27875"/>
    <w:rsid w:val="200B777F"/>
    <w:rsid w:val="20196340"/>
    <w:rsid w:val="202A50E6"/>
    <w:rsid w:val="205B0707"/>
    <w:rsid w:val="206036BF"/>
    <w:rsid w:val="20692E24"/>
    <w:rsid w:val="206A094A"/>
    <w:rsid w:val="20806B12"/>
    <w:rsid w:val="20887022"/>
    <w:rsid w:val="20971013"/>
    <w:rsid w:val="2099122F"/>
    <w:rsid w:val="20A53730"/>
    <w:rsid w:val="20B147CB"/>
    <w:rsid w:val="20B3409F"/>
    <w:rsid w:val="20D02EA3"/>
    <w:rsid w:val="20DB35F6"/>
    <w:rsid w:val="20F4709A"/>
    <w:rsid w:val="20FA1CCE"/>
    <w:rsid w:val="213276BA"/>
    <w:rsid w:val="213827F6"/>
    <w:rsid w:val="213A47C0"/>
    <w:rsid w:val="216058A9"/>
    <w:rsid w:val="217429A0"/>
    <w:rsid w:val="219C2D85"/>
    <w:rsid w:val="21B856E5"/>
    <w:rsid w:val="21D267A7"/>
    <w:rsid w:val="21DE339D"/>
    <w:rsid w:val="21E85FCA"/>
    <w:rsid w:val="22006F38"/>
    <w:rsid w:val="220628F4"/>
    <w:rsid w:val="22280ABD"/>
    <w:rsid w:val="224C1CF5"/>
    <w:rsid w:val="22794E74"/>
    <w:rsid w:val="228A52D3"/>
    <w:rsid w:val="229E76B2"/>
    <w:rsid w:val="22A46395"/>
    <w:rsid w:val="22C72083"/>
    <w:rsid w:val="22E03C05"/>
    <w:rsid w:val="23007343"/>
    <w:rsid w:val="232958E5"/>
    <w:rsid w:val="232E5C5F"/>
    <w:rsid w:val="234838C5"/>
    <w:rsid w:val="23614286"/>
    <w:rsid w:val="2366189C"/>
    <w:rsid w:val="23867849"/>
    <w:rsid w:val="239113CE"/>
    <w:rsid w:val="23A14683"/>
    <w:rsid w:val="23B24AE2"/>
    <w:rsid w:val="23CD5478"/>
    <w:rsid w:val="23CD77AA"/>
    <w:rsid w:val="23CE13A5"/>
    <w:rsid w:val="23E17175"/>
    <w:rsid w:val="23FC3FAF"/>
    <w:rsid w:val="241E0D30"/>
    <w:rsid w:val="243674C1"/>
    <w:rsid w:val="243B4AD7"/>
    <w:rsid w:val="2442432B"/>
    <w:rsid w:val="244A7BF6"/>
    <w:rsid w:val="2455546D"/>
    <w:rsid w:val="245A0742"/>
    <w:rsid w:val="246102B6"/>
    <w:rsid w:val="2480698E"/>
    <w:rsid w:val="248144B4"/>
    <w:rsid w:val="248B3C0B"/>
    <w:rsid w:val="24B2466D"/>
    <w:rsid w:val="24D171E9"/>
    <w:rsid w:val="250D7AF6"/>
    <w:rsid w:val="25257535"/>
    <w:rsid w:val="253B4663"/>
    <w:rsid w:val="254774AC"/>
    <w:rsid w:val="255B6AB3"/>
    <w:rsid w:val="256C2A6E"/>
    <w:rsid w:val="256C7F23"/>
    <w:rsid w:val="25822881"/>
    <w:rsid w:val="259D70CC"/>
    <w:rsid w:val="25D50342"/>
    <w:rsid w:val="260F621B"/>
    <w:rsid w:val="262275D1"/>
    <w:rsid w:val="26235823"/>
    <w:rsid w:val="262B46D7"/>
    <w:rsid w:val="263B7010"/>
    <w:rsid w:val="264F486A"/>
    <w:rsid w:val="266100F9"/>
    <w:rsid w:val="26704B8B"/>
    <w:rsid w:val="26BE379D"/>
    <w:rsid w:val="26D209D8"/>
    <w:rsid w:val="27075144"/>
    <w:rsid w:val="27223D2C"/>
    <w:rsid w:val="273A72C8"/>
    <w:rsid w:val="27565784"/>
    <w:rsid w:val="27606603"/>
    <w:rsid w:val="277D5407"/>
    <w:rsid w:val="27837F6E"/>
    <w:rsid w:val="27912C60"/>
    <w:rsid w:val="27AA5AD0"/>
    <w:rsid w:val="27B22553"/>
    <w:rsid w:val="27E47234"/>
    <w:rsid w:val="27FC457D"/>
    <w:rsid w:val="27FF406E"/>
    <w:rsid w:val="28072F22"/>
    <w:rsid w:val="282F2F82"/>
    <w:rsid w:val="283A6E54"/>
    <w:rsid w:val="28485A15"/>
    <w:rsid w:val="286914E7"/>
    <w:rsid w:val="28702875"/>
    <w:rsid w:val="288459EB"/>
    <w:rsid w:val="289013CC"/>
    <w:rsid w:val="289350CF"/>
    <w:rsid w:val="289A4CFE"/>
    <w:rsid w:val="289A5B44"/>
    <w:rsid w:val="28A15125"/>
    <w:rsid w:val="28A8200F"/>
    <w:rsid w:val="28C72DDD"/>
    <w:rsid w:val="28CA01D8"/>
    <w:rsid w:val="29226266"/>
    <w:rsid w:val="292D0766"/>
    <w:rsid w:val="29332221"/>
    <w:rsid w:val="294D0EDE"/>
    <w:rsid w:val="29A053DC"/>
    <w:rsid w:val="29A547A1"/>
    <w:rsid w:val="29A7676B"/>
    <w:rsid w:val="29A924E3"/>
    <w:rsid w:val="29AC5B2F"/>
    <w:rsid w:val="29AF561F"/>
    <w:rsid w:val="29BD5F8E"/>
    <w:rsid w:val="29CA2459"/>
    <w:rsid w:val="29DD03DE"/>
    <w:rsid w:val="29F1042C"/>
    <w:rsid w:val="29F145BE"/>
    <w:rsid w:val="29F23E8A"/>
    <w:rsid w:val="2A351FC9"/>
    <w:rsid w:val="2A465F84"/>
    <w:rsid w:val="2A473F23"/>
    <w:rsid w:val="2A481CFC"/>
    <w:rsid w:val="2A6B7798"/>
    <w:rsid w:val="2A783C63"/>
    <w:rsid w:val="2A7C19A5"/>
    <w:rsid w:val="2AA92766"/>
    <w:rsid w:val="2ABA427C"/>
    <w:rsid w:val="2AC3660A"/>
    <w:rsid w:val="2AD510B6"/>
    <w:rsid w:val="2AD76BDC"/>
    <w:rsid w:val="2AE01F34"/>
    <w:rsid w:val="2B1428E5"/>
    <w:rsid w:val="2B17347C"/>
    <w:rsid w:val="2B6D7540"/>
    <w:rsid w:val="2B82123D"/>
    <w:rsid w:val="2B8D191A"/>
    <w:rsid w:val="2B9351F9"/>
    <w:rsid w:val="2B996163"/>
    <w:rsid w:val="2B9D1BD3"/>
    <w:rsid w:val="2BAA2542"/>
    <w:rsid w:val="2BB60EE7"/>
    <w:rsid w:val="2BCB08EC"/>
    <w:rsid w:val="2BD001FB"/>
    <w:rsid w:val="2BD404DC"/>
    <w:rsid w:val="2BDA2E28"/>
    <w:rsid w:val="2BDF043E"/>
    <w:rsid w:val="2BE041B6"/>
    <w:rsid w:val="2BE05F64"/>
    <w:rsid w:val="2BE75544"/>
    <w:rsid w:val="2BFD08C4"/>
    <w:rsid w:val="2C041C52"/>
    <w:rsid w:val="2C0C6D59"/>
    <w:rsid w:val="2C622E1D"/>
    <w:rsid w:val="2C673F8F"/>
    <w:rsid w:val="2C6D614E"/>
    <w:rsid w:val="2C7843EE"/>
    <w:rsid w:val="2C820DC9"/>
    <w:rsid w:val="2C862667"/>
    <w:rsid w:val="2C935D98"/>
    <w:rsid w:val="2CB17636"/>
    <w:rsid w:val="2CCB451E"/>
    <w:rsid w:val="2CD71115"/>
    <w:rsid w:val="2CDA29B3"/>
    <w:rsid w:val="2CDF3765"/>
    <w:rsid w:val="2D0D2D89"/>
    <w:rsid w:val="2D314CC9"/>
    <w:rsid w:val="2D3C71CA"/>
    <w:rsid w:val="2D5D1516"/>
    <w:rsid w:val="2D744BB6"/>
    <w:rsid w:val="2D964B2C"/>
    <w:rsid w:val="2DE25FC3"/>
    <w:rsid w:val="2DE75388"/>
    <w:rsid w:val="2E0C1888"/>
    <w:rsid w:val="2E2E2FB7"/>
    <w:rsid w:val="2E3600BD"/>
    <w:rsid w:val="2E426A62"/>
    <w:rsid w:val="2E472F7B"/>
    <w:rsid w:val="2E6A7D67"/>
    <w:rsid w:val="2E921798"/>
    <w:rsid w:val="2EA74B17"/>
    <w:rsid w:val="2EB07FFF"/>
    <w:rsid w:val="2EB37960"/>
    <w:rsid w:val="2EC61441"/>
    <w:rsid w:val="2ED95618"/>
    <w:rsid w:val="2EE45D6B"/>
    <w:rsid w:val="2EFE507F"/>
    <w:rsid w:val="2EFF3095"/>
    <w:rsid w:val="2F01691D"/>
    <w:rsid w:val="2F0F2DE8"/>
    <w:rsid w:val="2F1A79DF"/>
    <w:rsid w:val="2F234AE5"/>
    <w:rsid w:val="2F402DCE"/>
    <w:rsid w:val="2F511653"/>
    <w:rsid w:val="2F697F69"/>
    <w:rsid w:val="2F745341"/>
    <w:rsid w:val="2FA554FB"/>
    <w:rsid w:val="2FA66A7B"/>
    <w:rsid w:val="2FC31E25"/>
    <w:rsid w:val="2FC42004"/>
    <w:rsid w:val="2FCE5C87"/>
    <w:rsid w:val="2FDC7091"/>
    <w:rsid w:val="2FE222AB"/>
    <w:rsid w:val="2FE4397B"/>
    <w:rsid w:val="2FFC4679"/>
    <w:rsid w:val="300541EB"/>
    <w:rsid w:val="30183F1E"/>
    <w:rsid w:val="30216F4F"/>
    <w:rsid w:val="302A1EA4"/>
    <w:rsid w:val="30362C1D"/>
    <w:rsid w:val="303845C1"/>
    <w:rsid w:val="304940D8"/>
    <w:rsid w:val="30542CDD"/>
    <w:rsid w:val="305F7D9F"/>
    <w:rsid w:val="30703D5A"/>
    <w:rsid w:val="30711881"/>
    <w:rsid w:val="307C26FF"/>
    <w:rsid w:val="308A5C2E"/>
    <w:rsid w:val="308E2433"/>
    <w:rsid w:val="30987E31"/>
    <w:rsid w:val="30AB4F67"/>
    <w:rsid w:val="30C419B0"/>
    <w:rsid w:val="30C61284"/>
    <w:rsid w:val="30D629FE"/>
    <w:rsid w:val="30ED7159"/>
    <w:rsid w:val="30F57DBC"/>
    <w:rsid w:val="310426F5"/>
    <w:rsid w:val="31061FC9"/>
    <w:rsid w:val="31344D88"/>
    <w:rsid w:val="31540F86"/>
    <w:rsid w:val="31560CE5"/>
    <w:rsid w:val="31642EB0"/>
    <w:rsid w:val="31684A32"/>
    <w:rsid w:val="316867E0"/>
    <w:rsid w:val="317B6181"/>
    <w:rsid w:val="31813D45"/>
    <w:rsid w:val="3196159F"/>
    <w:rsid w:val="31FD7870"/>
    <w:rsid w:val="32230959"/>
    <w:rsid w:val="32312769"/>
    <w:rsid w:val="32313075"/>
    <w:rsid w:val="3240150B"/>
    <w:rsid w:val="3248305E"/>
    <w:rsid w:val="32696CB3"/>
    <w:rsid w:val="32847649"/>
    <w:rsid w:val="32851613"/>
    <w:rsid w:val="32944ACC"/>
    <w:rsid w:val="32963820"/>
    <w:rsid w:val="329F0927"/>
    <w:rsid w:val="32A93554"/>
    <w:rsid w:val="32C01287"/>
    <w:rsid w:val="32E3188F"/>
    <w:rsid w:val="32F01183"/>
    <w:rsid w:val="32F32A21"/>
    <w:rsid w:val="32F96AA8"/>
    <w:rsid w:val="33226E62"/>
    <w:rsid w:val="33230E0A"/>
    <w:rsid w:val="3337290D"/>
    <w:rsid w:val="333C7F24"/>
    <w:rsid w:val="333E1EEE"/>
    <w:rsid w:val="33446DD8"/>
    <w:rsid w:val="336E0567"/>
    <w:rsid w:val="33827C9B"/>
    <w:rsid w:val="33953AD8"/>
    <w:rsid w:val="339C4E66"/>
    <w:rsid w:val="33A1422B"/>
    <w:rsid w:val="33A87367"/>
    <w:rsid w:val="33B421B0"/>
    <w:rsid w:val="33BA52ED"/>
    <w:rsid w:val="33BC1065"/>
    <w:rsid w:val="33C26C81"/>
    <w:rsid w:val="33C57F19"/>
    <w:rsid w:val="33C61EE3"/>
    <w:rsid w:val="33D20888"/>
    <w:rsid w:val="33D37375"/>
    <w:rsid w:val="33ED56C2"/>
    <w:rsid w:val="342F1837"/>
    <w:rsid w:val="343D21A6"/>
    <w:rsid w:val="34425A0E"/>
    <w:rsid w:val="34474001"/>
    <w:rsid w:val="344C23E9"/>
    <w:rsid w:val="346314E0"/>
    <w:rsid w:val="34670FD0"/>
    <w:rsid w:val="346C7CB3"/>
    <w:rsid w:val="347B35FE"/>
    <w:rsid w:val="34825E0A"/>
    <w:rsid w:val="34AE30A3"/>
    <w:rsid w:val="34BD5094"/>
    <w:rsid w:val="34C6228E"/>
    <w:rsid w:val="34DD3524"/>
    <w:rsid w:val="34E16FD5"/>
    <w:rsid w:val="34EC7728"/>
    <w:rsid w:val="34F52A80"/>
    <w:rsid w:val="34FA1E45"/>
    <w:rsid w:val="35011425"/>
    <w:rsid w:val="3529097C"/>
    <w:rsid w:val="3538296D"/>
    <w:rsid w:val="353A66E5"/>
    <w:rsid w:val="35494B7A"/>
    <w:rsid w:val="35643762"/>
    <w:rsid w:val="356D0868"/>
    <w:rsid w:val="357F234A"/>
    <w:rsid w:val="35902651"/>
    <w:rsid w:val="35981787"/>
    <w:rsid w:val="35C3492C"/>
    <w:rsid w:val="35F76384"/>
    <w:rsid w:val="360A4309"/>
    <w:rsid w:val="360D3DFA"/>
    <w:rsid w:val="360E27FB"/>
    <w:rsid w:val="36211653"/>
    <w:rsid w:val="36392D25"/>
    <w:rsid w:val="36453593"/>
    <w:rsid w:val="36484E32"/>
    <w:rsid w:val="364A2958"/>
    <w:rsid w:val="364D069A"/>
    <w:rsid w:val="36581519"/>
    <w:rsid w:val="36624145"/>
    <w:rsid w:val="36820344"/>
    <w:rsid w:val="369462C9"/>
    <w:rsid w:val="369B31B3"/>
    <w:rsid w:val="36B64989"/>
    <w:rsid w:val="36BD312A"/>
    <w:rsid w:val="36C46BAE"/>
    <w:rsid w:val="36C817D4"/>
    <w:rsid w:val="36EF34FF"/>
    <w:rsid w:val="36FF317E"/>
    <w:rsid w:val="37305FF2"/>
    <w:rsid w:val="37411994"/>
    <w:rsid w:val="37590D17"/>
    <w:rsid w:val="37702892"/>
    <w:rsid w:val="37B207B5"/>
    <w:rsid w:val="37B24FD4"/>
    <w:rsid w:val="37D3697D"/>
    <w:rsid w:val="37D747A3"/>
    <w:rsid w:val="37DA5F5D"/>
    <w:rsid w:val="37F012DD"/>
    <w:rsid w:val="37FA1187"/>
    <w:rsid w:val="381413BA"/>
    <w:rsid w:val="38286CC9"/>
    <w:rsid w:val="382B67B9"/>
    <w:rsid w:val="38376F0C"/>
    <w:rsid w:val="384E7D53"/>
    <w:rsid w:val="385E093C"/>
    <w:rsid w:val="38653A79"/>
    <w:rsid w:val="38883C0B"/>
    <w:rsid w:val="38A02D03"/>
    <w:rsid w:val="38A81BB8"/>
    <w:rsid w:val="38AF73EA"/>
    <w:rsid w:val="38B66326"/>
    <w:rsid w:val="38B74E5A"/>
    <w:rsid w:val="38E946AA"/>
    <w:rsid w:val="390A2872"/>
    <w:rsid w:val="391F323B"/>
    <w:rsid w:val="39237490"/>
    <w:rsid w:val="39423DBA"/>
    <w:rsid w:val="39446403"/>
    <w:rsid w:val="396957EB"/>
    <w:rsid w:val="398919E9"/>
    <w:rsid w:val="39986745"/>
    <w:rsid w:val="39CD3FCC"/>
    <w:rsid w:val="39FC665F"/>
    <w:rsid w:val="3A0E0140"/>
    <w:rsid w:val="3A241712"/>
    <w:rsid w:val="3A377697"/>
    <w:rsid w:val="3A4A73CA"/>
    <w:rsid w:val="3A695328"/>
    <w:rsid w:val="3A6F5083"/>
    <w:rsid w:val="3A875FCD"/>
    <w:rsid w:val="3A976388"/>
    <w:rsid w:val="3AA30888"/>
    <w:rsid w:val="3AB64A60"/>
    <w:rsid w:val="3AB962FE"/>
    <w:rsid w:val="3AC151B3"/>
    <w:rsid w:val="3AD273C0"/>
    <w:rsid w:val="3AD35612"/>
    <w:rsid w:val="3AD60C5E"/>
    <w:rsid w:val="3ADB2718"/>
    <w:rsid w:val="3AE3337B"/>
    <w:rsid w:val="3AEE244B"/>
    <w:rsid w:val="3AF1021E"/>
    <w:rsid w:val="3AFB6043"/>
    <w:rsid w:val="3B051543"/>
    <w:rsid w:val="3B1D4ADF"/>
    <w:rsid w:val="3B3D2A8B"/>
    <w:rsid w:val="3B5B3009"/>
    <w:rsid w:val="3B691AD2"/>
    <w:rsid w:val="3B8C756F"/>
    <w:rsid w:val="3BAA5C47"/>
    <w:rsid w:val="3BC44F5A"/>
    <w:rsid w:val="3BE0528C"/>
    <w:rsid w:val="3BF75330"/>
    <w:rsid w:val="3BFD221A"/>
    <w:rsid w:val="3C0E2679"/>
    <w:rsid w:val="3C127CC8"/>
    <w:rsid w:val="3C333E8E"/>
    <w:rsid w:val="3C336DD6"/>
    <w:rsid w:val="3C3B2F73"/>
    <w:rsid w:val="3C441B1A"/>
    <w:rsid w:val="3C4A1903"/>
    <w:rsid w:val="3C4B11D8"/>
    <w:rsid w:val="3C6278E4"/>
    <w:rsid w:val="3C722C08"/>
    <w:rsid w:val="3C7E77FF"/>
    <w:rsid w:val="3CB94393"/>
    <w:rsid w:val="3CC05722"/>
    <w:rsid w:val="3CC53DD3"/>
    <w:rsid w:val="3CC82828"/>
    <w:rsid w:val="3CD411CD"/>
    <w:rsid w:val="3CF47AC1"/>
    <w:rsid w:val="3CF646FE"/>
    <w:rsid w:val="3CF67395"/>
    <w:rsid w:val="3CF92F4A"/>
    <w:rsid w:val="3CF96E86"/>
    <w:rsid w:val="3D08531B"/>
    <w:rsid w:val="3D232155"/>
    <w:rsid w:val="3D622C7D"/>
    <w:rsid w:val="3D624A2B"/>
    <w:rsid w:val="3D632551"/>
    <w:rsid w:val="3D7B3D3F"/>
    <w:rsid w:val="3D803103"/>
    <w:rsid w:val="3D9372DA"/>
    <w:rsid w:val="3DBB413B"/>
    <w:rsid w:val="3DBF59D9"/>
    <w:rsid w:val="3DC254CA"/>
    <w:rsid w:val="3DD551FD"/>
    <w:rsid w:val="3DFD6502"/>
    <w:rsid w:val="3E126451"/>
    <w:rsid w:val="3E315B3B"/>
    <w:rsid w:val="3E3839DE"/>
    <w:rsid w:val="3E3C34CE"/>
    <w:rsid w:val="3E52684D"/>
    <w:rsid w:val="3E59580C"/>
    <w:rsid w:val="3E6A0C1E"/>
    <w:rsid w:val="3E6B5B61"/>
    <w:rsid w:val="3E6B790F"/>
    <w:rsid w:val="3E703177"/>
    <w:rsid w:val="3E751487"/>
    <w:rsid w:val="3EBC3E32"/>
    <w:rsid w:val="3EE576C2"/>
    <w:rsid w:val="3EF43DA9"/>
    <w:rsid w:val="3F2006FA"/>
    <w:rsid w:val="3F2C52F0"/>
    <w:rsid w:val="3F5465F5"/>
    <w:rsid w:val="3F7B6278"/>
    <w:rsid w:val="3F8867C0"/>
    <w:rsid w:val="3F8E7A53"/>
    <w:rsid w:val="3F9E2B22"/>
    <w:rsid w:val="3FA806EF"/>
    <w:rsid w:val="3FA94033"/>
    <w:rsid w:val="3FAC6431"/>
    <w:rsid w:val="3FB53538"/>
    <w:rsid w:val="3FC419CD"/>
    <w:rsid w:val="3FC574F3"/>
    <w:rsid w:val="3FD01F04"/>
    <w:rsid w:val="3FEA0D08"/>
    <w:rsid w:val="40061FE5"/>
    <w:rsid w:val="400C6ED0"/>
    <w:rsid w:val="40474F96"/>
    <w:rsid w:val="405A7C3B"/>
    <w:rsid w:val="40664832"/>
    <w:rsid w:val="40760B19"/>
    <w:rsid w:val="407D1B7C"/>
    <w:rsid w:val="408244D3"/>
    <w:rsid w:val="40923879"/>
    <w:rsid w:val="40C55103"/>
    <w:rsid w:val="40D23C76"/>
    <w:rsid w:val="40DA6FCE"/>
    <w:rsid w:val="40DE6ABE"/>
    <w:rsid w:val="40E57E4D"/>
    <w:rsid w:val="41032072"/>
    <w:rsid w:val="411424E0"/>
    <w:rsid w:val="412451C6"/>
    <w:rsid w:val="415C7681"/>
    <w:rsid w:val="416074D3"/>
    <w:rsid w:val="41760AA5"/>
    <w:rsid w:val="417B255F"/>
    <w:rsid w:val="417E7959"/>
    <w:rsid w:val="4187060A"/>
    <w:rsid w:val="41994793"/>
    <w:rsid w:val="419D24D5"/>
    <w:rsid w:val="41EA4FEF"/>
    <w:rsid w:val="41F540C0"/>
    <w:rsid w:val="41F67E38"/>
    <w:rsid w:val="42097B6B"/>
    <w:rsid w:val="420D418A"/>
    <w:rsid w:val="42213106"/>
    <w:rsid w:val="42350960"/>
    <w:rsid w:val="423A7D24"/>
    <w:rsid w:val="424C5CAA"/>
    <w:rsid w:val="426B47A5"/>
    <w:rsid w:val="42784CF1"/>
    <w:rsid w:val="42980EEF"/>
    <w:rsid w:val="429D6505"/>
    <w:rsid w:val="42A94EAA"/>
    <w:rsid w:val="42A94F05"/>
    <w:rsid w:val="42CA554C"/>
    <w:rsid w:val="42DC0504"/>
    <w:rsid w:val="42EA174A"/>
    <w:rsid w:val="42F9198D"/>
    <w:rsid w:val="430F11B1"/>
    <w:rsid w:val="43120CA1"/>
    <w:rsid w:val="431D774E"/>
    <w:rsid w:val="43362BE2"/>
    <w:rsid w:val="4348021F"/>
    <w:rsid w:val="4356153B"/>
    <w:rsid w:val="43980E0E"/>
    <w:rsid w:val="439E42E3"/>
    <w:rsid w:val="43A713E9"/>
    <w:rsid w:val="43C875B2"/>
    <w:rsid w:val="43CC65BD"/>
    <w:rsid w:val="43CD4BC8"/>
    <w:rsid w:val="441647C1"/>
    <w:rsid w:val="442742D8"/>
    <w:rsid w:val="443D58AA"/>
    <w:rsid w:val="446E0159"/>
    <w:rsid w:val="44706E4E"/>
    <w:rsid w:val="44727C49"/>
    <w:rsid w:val="44893D60"/>
    <w:rsid w:val="44B85725"/>
    <w:rsid w:val="44C30DC2"/>
    <w:rsid w:val="44C61D43"/>
    <w:rsid w:val="44D0671E"/>
    <w:rsid w:val="45230F44"/>
    <w:rsid w:val="453C0257"/>
    <w:rsid w:val="453F38A4"/>
    <w:rsid w:val="45504AAF"/>
    <w:rsid w:val="455B6133"/>
    <w:rsid w:val="456B28EB"/>
    <w:rsid w:val="458A2D71"/>
    <w:rsid w:val="458C7B99"/>
    <w:rsid w:val="45A656D1"/>
    <w:rsid w:val="45A858ED"/>
    <w:rsid w:val="45AC718B"/>
    <w:rsid w:val="45B222C8"/>
    <w:rsid w:val="45BB491C"/>
    <w:rsid w:val="45CD7101"/>
    <w:rsid w:val="45D466E2"/>
    <w:rsid w:val="45E10CC7"/>
    <w:rsid w:val="45EA380F"/>
    <w:rsid w:val="45F22911"/>
    <w:rsid w:val="45F70E3F"/>
    <w:rsid w:val="45FE72BB"/>
    <w:rsid w:val="45FF375F"/>
    <w:rsid w:val="460F771A"/>
    <w:rsid w:val="461E170B"/>
    <w:rsid w:val="4622744D"/>
    <w:rsid w:val="46386C71"/>
    <w:rsid w:val="464C4AF5"/>
    <w:rsid w:val="46641814"/>
    <w:rsid w:val="4665558C"/>
    <w:rsid w:val="4669507C"/>
    <w:rsid w:val="467557CF"/>
    <w:rsid w:val="467A2DE5"/>
    <w:rsid w:val="467F21AA"/>
    <w:rsid w:val="46924A98"/>
    <w:rsid w:val="46AE2A8F"/>
    <w:rsid w:val="46BA561F"/>
    <w:rsid w:val="470E352E"/>
    <w:rsid w:val="47266AC9"/>
    <w:rsid w:val="475E2707"/>
    <w:rsid w:val="475F022D"/>
    <w:rsid w:val="47613BB9"/>
    <w:rsid w:val="47705F96"/>
    <w:rsid w:val="477912EF"/>
    <w:rsid w:val="477A0BC3"/>
    <w:rsid w:val="4780267D"/>
    <w:rsid w:val="478A52AA"/>
    <w:rsid w:val="478D08F6"/>
    <w:rsid w:val="47941C85"/>
    <w:rsid w:val="479E0D55"/>
    <w:rsid w:val="479E48B1"/>
    <w:rsid w:val="47A67C0A"/>
    <w:rsid w:val="47B71E17"/>
    <w:rsid w:val="47E30E5E"/>
    <w:rsid w:val="47F213FA"/>
    <w:rsid w:val="48111527"/>
    <w:rsid w:val="48117779"/>
    <w:rsid w:val="481C1C7A"/>
    <w:rsid w:val="48253225"/>
    <w:rsid w:val="482F2767"/>
    <w:rsid w:val="48335942"/>
    <w:rsid w:val="48403BBB"/>
    <w:rsid w:val="48592ECE"/>
    <w:rsid w:val="486A0C38"/>
    <w:rsid w:val="488C32A4"/>
    <w:rsid w:val="489108BA"/>
    <w:rsid w:val="48961A2D"/>
    <w:rsid w:val="48A4239B"/>
    <w:rsid w:val="48B12D0A"/>
    <w:rsid w:val="48B60321"/>
    <w:rsid w:val="48C16463"/>
    <w:rsid w:val="48C77E38"/>
    <w:rsid w:val="48CD330F"/>
    <w:rsid w:val="48E00EFA"/>
    <w:rsid w:val="48E22EC4"/>
    <w:rsid w:val="48F75950"/>
    <w:rsid w:val="491D3EFC"/>
    <w:rsid w:val="492928A1"/>
    <w:rsid w:val="492C413F"/>
    <w:rsid w:val="495C4A24"/>
    <w:rsid w:val="495F2766"/>
    <w:rsid w:val="497E2BEC"/>
    <w:rsid w:val="49B20AE8"/>
    <w:rsid w:val="49C01457"/>
    <w:rsid w:val="49CB233B"/>
    <w:rsid w:val="4A051356"/>
    <w:rsid w:val="4A2808DB"/>
    <w:rsid w:val="4A4215A5"/>
    <w:rsid w:val="4A677B24"/>
    <w:rsid w:val="4A78588E"/>
    <w:rsid w:val="4A954692"/>
    <w:rsid w:val="4A987CDE"/>
    <w:rsid w:val="4A9D70A2"/>
    <w:rsid w:val="4AA30431"/>
    <w:rsid w:val="4AAF5028"/>
    <w:rsid w:val="4AB935A0"/>
    <w:rsid w:val="4AD36F68"/>
    <w:rsid w:val="4ADD7DE7"/>
    <w:rsid w:val="4AF64A04"/>
    <w:rsid w:val="4AFB5026"/>
    <w:rsid w:val="4B094738"/>
    <w:rsid w:val="4B247E30"/>
    <w:rsid w:val="4B271062"/>
    <w:rsid w:val="4B35552D"/>
    <w:rsid w:val="4B375749"/>
    <w:rsid w:val="4B3A0D95"/>
    <w:rsid w:val="4B430110"/>
    <w:rsid w:val="4B4C343E"/>
    <w:rsid w:val="4B4C5B1F"/>
    <w:rsid w:val="4B5C6F5D"/>
    <w:rsid w:val="4B700C5B"/>
    <w:rsid w:val="4B707C68"/>
    <w:rsid w:val="4BE56F53"/>
    <w:rsid w:val="4BFA24C4"/>
    <w:rsid w:val="4BFB49C8"/>
    <w:rsid w:val="4C0C0983"/>
    <w:rsid w:val="4C121D12"/>
    <w:rsid w:val="4C373527"/>
    <w:rsid w:val="4C4C6FD2"/>
    <w:rsid w:val="4C4F5E62"/>
    <w:rsid w:val="4C607C4A"/>
    <w:rsid w:val="4C651E42"/>
    <w:rsid w:val="4C694BC1"/>
    <w:rsid w:val="4C833329"/>
    <w:rsid w:val="4CA0731E"/>
    <w:rsid w:val="4CA94424"/>
    <w:rsid w:val="4CAC7A71"/>
    <w:rsid w:val="4CB22BAD"/>
    <w:rsid w:val="4CB42DC9"/>
    <w:rsid w:val="4CB919EE"/>
    <w:rsid w:val="4CBE77A4"/>
    <w:rsid w:val="4CCE6381"/>
    <w:rsid w:val="4CD64AED"/>
    <w:rsid w:val="4D007DBC"/>
    <w:rsid w:val="4D4B1038"/>
    <w:rsid w:val="4D4C3002"/>
    <w:rsid w:val="4D565C2E"/>
    <w:rsid w:val="4D7D31BB"/>
    <w:rsid w:val="4D9A5B1B"/>
    <w:rsid w:val="4D9C7AE5"/>
    <w:rsid w:val="4DA05357"/>
    <w:rsid w:val="4DC1754C"/>
    <w:rsid w:val="4DCD7C9F"/>
    <w:rsid w:val="4DD0778F"/>
    <w:rsid w:val="4E2552AD"/>
    <w:rsid w:val="4E281379"/>
    <w:rsid w:val="4E2B70BB"/>
    <w:rsid w:val="4E2E44B5"/>
    <w:rsid w:val="4E3B5550"/>
    <w:rsid w:val="4E3E6DEE"/>
    <w:rsid w:val="4E4125AE"/>
    <w:rsid w:val="4E45017D"/>
    <w:rsid w:val="4E481A1B"/>
    <w:rsid w:val="4E710F72"/>
    <w:rsid w:val="4E962786"/>
    <w:rsid w:val="4EA529C9"/>
    <w:rsid w:val="4EA736C8"/>
    <w:rsid w:val="4EAD5D22"/>
    <w:rsid w:val="4EC45545"/>
    <w:rsid w:val="4ECD3CCE"/>
    <w:rsid w:val="4ED05272"/>
    <w:rsid w:val="4EDD2163"/>
    <w:rsid w:val="4EE47996"/>
    <w:rsid w:val="4EF83441"/>
    <w:rsid w:val="4F0E67C1"/>
    <w:rsid w:val="4F18763F"/>
    <w:rsid w:val="4F1B43C5"/>
    <w:rsid w:val="4F1C1F63"/>
    <w:rsid w:val="4F1F09CE"/>
    <w:rsid w:val="4F221F2D"/>
    <w:rsid w:val="4F253B0A"/>
    <w:rsid w:val="4F3124AF"/>
    <w:rsid w:val="4F361873"/>
    <w:rsid w:val="4F5148FF"/>
    <w:rsid w:val="4F5663A6"/>
    <w:rsid w:val="4F717DA7"/>
    <w:rsid w:val="4FA7451F"/>
    <w:rsid w:val="4FC866FB"/>
    <w:rsid w:val="4FD74E04"/>
    <w:rsid w:val="4FDD6193"/>
    <w:rsid w:val="50021A09"/>
    <w:rsid w:val="50210776"/>
    <w:rsid w:val="502F4C40"/>
    <w:rsid w:val="502F6BAC"/>
    <w:rsid w:val="50373AF5"/>
    <w:rsid w:val="5043249A"/>
    <w:rsid w:val="505A4AE2"/>
    <w:rsid w:val="505E20E8"/>
    <w:rsid w:val="507C775A"/>
    <w:rsid w:val="507D6642"/>
    <w:rsid w:val="50834F8C"/>
    <w:rsid w:val="50854860"/>
    <w:rsid w:val="50923421"/>
    <w:rsid w:val="50BF6038"/>
    <w:rsid w:val="50C555A5"/>
    <w:rsid w:val="50C95BD6"/>
    <w:rsid w:val="50CC7050"/>
    <w:rsid w:val="50CD4459"/>
    <w:rsid w:val="50D52147"/>
    <w:rsid w:val="50E7551B"/>
    <w:rsid w:val="51037E7B"/>
    <w:rsid w:val="510936E3"/>
    <w:rsid w:val="510A745C"/>
    <w:rsid w:val="51113F85"/>
    <w:rsid w:val="511677DA"/>
    <w:rsid w:val="5141620C"/>
    <w:rsid w:val="51545631"/>
    <w:rsid w:val="516721B8"/>
    <w:rsid w:val="518B66FF"/>
    <w:rsid w:val="51991091"/>
    <w:rsid w:val="51A4340C"/>
    <w:rsid w:val="51A93602"/>
    <w:rsid w:val="51AC51CB"/>
    <w:rsid w:val="51DF14E9"/>
    <w:rsid w:val="51E3730F"/>
    <w:rsid w:val="52072E31"/>
    <w:rsid w:val="52097713"/>
    <w:rsid w:val="52100AA2"/>
    <w:rsid w:val="52157E66"/>
    <w:rsid w:val="522D1654"/>
    <w:rsid w:val="523522B6"/>
    <w:rsid w:val="52416EAD"/>
    <w:rsid w:val="5248023B"/>
    <w:rsid w:val="52576539"/>
    <w:rsid w:val="52884ADC"/>
    <w:rsid w:val="5288688A"/>
    <w:rsid w:val="52C553E8"/>
    <w:rsid w:val="52C764D4"/>
    <w:rsid w:val="52CB49C9"/>
    <w:rsid w:val="52D4387D"/>
    <w:rsid w:val="52D47D21"/>
    <w:rsid w:val="52DC6BD6"/>
    <w:rsid w:val="52FC4B82"/>
    <w:rsid w:val="53004672"/>
    <w:rsid w:val="530103EA"/>
    <w:rsid w:val="5302488E"/>
    <w:rsid w:val="530D6D8F"/>
    <w:rsid w:val="53195734"/>
    <w:rsid w:val="53283BC9"/>
    <w:rsid w:val="53336043"/>
    <w:rsid w:val="533B38FC"/>
    <w:rsid w:val="533F163E"/>
    <w:rsid w:val="5345477B"/>
    <w:rsid w:val="534C5B09"/>
    <w:rsid w:val="53560736"/>
    <w:rsid w:val="535B3F9E"/>
    <w:rsid w:val="536A41E2"/>
    <w:rsid w:val="537A2677"/>
    <w:rsid w:val="537F5EDF"/>
    <w:rsid w:val="5382777D"/>
    <w:rsid w:val="539A143D"/>
    <w:rsid w:val="53A019B1"/>
    <w:rsid w:val="53AF1153"/>
    <w:rsid w:val="53CC27A6"/>
    <w:rsid w:val="53F005F3"/>
    <w:rsid w:val="53F131C4"/>
    <w:rsid w:val="53F97408"/>
    <w:rsid w:val="53FA4276"/>
    <w:rsid w:val="540F674D"/>
    <w:rsid w:val="54106B37"/>
    <w:rsid w:val="5437318B"/>
    <w:rsid w:val="5438608E"/>
    <w:rsid w:val="544D7D8B"/>
    <w:rsid w:val="545C3B2A"/>
    <w:rsid w:val="54977258"/>
    <w:rsid w:val="54BA6AA3"/>
    <w:rsid w:val="54BC6CBF"/>
    <w:rsid w:val="54FE2A13"/>
    <w:rsid w:val="55115959"/>
    <w:rsid w:val="55170470"/>
    <w:rsid w:val="5543118E"/>
    <w:rsid w:val="55872E29"/>
    <w:rsid w:val="558A2919"/>
    <w:rsid w:val="559519EA"/>
    <w:rsid w:val="55B33C1E"/>
    <w:rsid w:val="55C67DF5"/>
    <w:rsid w:val="55C951EF"/>
    <w:rsid w:val="55D63DB0"/>
    <w:rsid w:val="55E756C6"/>
    <w:rsid w:val="55F61D5C"/>
    <w:rsid w:val="561843C9"/>
    <w:rsid w:val="56206F98"/>
    <w:rsid w:val="562F7AA7"/>
    <w:rsid w:val="56372AA1"/>
    <w:rsid w:val="5661367A"/>
    <w:rsid w:val="56666EE2"/>
    <w:rsid w:val="566E223B"/>
    <w:rsid w:val="568630E0"/>
    <w:rsid w:val="568B06F7"/>
    <w:rsid w:val="56982E14"/>
    <w:rsid w:val="56B440F1"/>
    <w:rsid w:val="56B82F1D"/>
    <w:rsid w:val="56D73191"/>
    <w:rsid w:val="570010E5"/>
    <w:rsid w:val="57154464"/>
    <w:rsid w:val="574D567F"/>
    <w:rsid w:val="57500440"/>
    <w:rsid w:val="576C677A"/>
    <w:rsid w:val="57743881"/>
    <w:rsid w:val="57C540DC"/>
    <w:rsid w:val="57C77E54"/>
    <w:rsid w:val="57CE2F91"/>
    <w:rsid w:val="57E91B79"/>
    <w:rsid w:val="57EA58F1"/>
    <w:rsid w:val="58006EC2"/>
    <w:rsid w:val="580632CD"/>
    <w:rsid w:val="581F5431"/>
    <w:rsid w:val="585D4315"/>
    <w:rsid w:val="586438F5"/>
    <w:rsid w:val="586A41AF"/>
    <w:rsid w:val="586B4C84"/>
    <w:rsid w:val="58737694"/>
    <w:rsid w:val="58900246"/>
    <w:rsid w:val="589A7317"/>
    <w:rsid w:val="58C919AA"/>
    <w:rsid w:val="58CB74D0"/>
    <w:rsid w:val="59232E69"/>
    <w:rsid w:val="59246BE1"/>
    <w:rsid w:val="594B0611"/>
    <w:rsid w:val="594D4389"/>
    <w:rsid w:val="596C2A61"/>
    <w:rsid w:val="59725B9E"/>
    <w:rsid w:val="59861649"/>
    <w:rsid w:val="5988716F"/>
    <w:rsid w:val="598A2EE8"/>
    <w:rsid w:val="59A65848"/>
    <w:rsid w:val="59AC10B0"/>
    <w:rsid w:val="59BE7035"/>
    <w:rsid w:val="59C26B25"/>
    <w:rsid w:val="59DD570D"/>
    <w:rsid w:val="59E3084A"/>
    <w:rsid w:val="59E44CEE"/>
    <w:rsid w:val="59E52814"/>
    <w:rsid w:val="59F30596"/>
    <w:rsid w:val="59F842F5"/>
    <w:rsid w:val="5A4B6B1B"/>
    <w:rsid w:val="5A4E6C6A"/>
    <w:rsid w:val="5A55501F"/>
    <w:rsid w:val="5A625C12"/>
    <w:rsid w:val="5A7F0572"/>
    <w:rsid w:val="5A932270"/>
    <w:rsid w:val="5AB04891"/>
    <w:rsid w:val="5ABF12B7"/>
    <w:rsid w:val="5AD65B96"/>
    <w:rsid w:val="5ADC7773"/>
    <w:rsid w:val="5AE20B01"/>
    <w:rsid w:val="5AE623A0"/>
    <w:rsid w:val="5AF01470"/>
    <w:rsid w:val="5AF947C9"/>
    <w:rsid w:val="5AFD593B"/>
    <w:rsid w:val="5B0373F5"/>
    <w:rsid w:val="5B0D2022"/>
    <w:rsid w:val="5B120427"/>
    <w:rsid w:val="5B1F1D55"/>
    <w:rsid w:val="5B286E5C"/>
    <w:rsid w:val="5B2D6220"/>
    <w:rsid w:val="5B381344"/>
    <w:rsid w:val="5B5419FF"/>
    <w:rsid w:val="5B6E1734"/>
    <w:rsid w:val="5B963ABA"/>
    <w:rsid w:val="5BC5369D"/>
    <w:rsid w:val="5BD3501A"/>
    <w:rsid w:val="5BE56AFB"/>
    <w:rsid w:val="5C0351D3"/>
    <w:rsid w:val="5C036F81"/>
    <w:rsid w:val="5C050310"/>
    <w:rsid w:val="5C321615"/>
    <w:rsid w:val="5C58107B"/>
    <w:rsid w:val="5C7165E1"/>
    <w:rsid w:val="5C806824"/>
    <w:rsid w:val="5C8C51C9"/>
    <w:rsid w:val="5CB0535B"/>
    <w:rsid w:val="5CC26747"/>
    <w:rsid w:val="5CC26E3C"/>
    <w:rsid w:val="5CCE3A33"/>
    <w:rsid w:val="5D0568FE"/>
    <w:rsid w:val="5D121B72"/>
    <w:rsid w:val="5D3F66DF"/>
    <w:rsid w:val="5D600555"/>
    <w:rsid w:val="5D6972B8"/>
    <w:rsid w:val="5D7E2D63"/>
    <w:rsid w:val="5D8472F1"/>
    <w:rsid w:val="5D9C58DF"/>
    <w:rsid w:val="5DA6050C"/>
    <w:rsid w:val="5DBA7B13"/>
    <w:rsid w:val="5DBE13B2"/>
    <w:rsid w:val="5DC21E32"/>
    <w:rsid w:val="5DC6470A"/>
    <w:rsid w:val="5DED613B"/>
    <w:rsid w:val="5DF95330"/>
    <w:rsid w:val="5E015742"/>
    <w:rsid w:val="5E0C4813"/>
    <w:rsid w:val="5E0F1C0D"/>
    <w:rsid w:val="5E1927EE"/>
    <w:rsid w:val="5E1A4FFD"/>
    <w:rsid w:val="5E263CC0"/>
    <w:rsid w:val="5E3478C6"/>
    <w:rsid w:val="5E371164"/>
    <w:rsid w:val="5E3D4525"/>
    <w:rsid w:val="5E443FAD"/>
    <w:rsid w:val="5E4C2E61"/>
    <w:rsid w:val="5E5D0BCB"/>
    <w:rsid w:val="5E8C14B0"/>
    <w:rsid w:val="5E8F1717"/>
    <w:rsid w:val="5E9B16F3"/>
    <w:rsid w:val="5E9B5B97"/>
    <w:rsid w:val="5E9D36BD"/>
    <w:rsid w:val="5ED370DF"/>
    <w:rsid w:val="5EDA221B"/>
    <w:rsid w:val="5EFB71CC"/>
    <w:rsid w:val="5F0E6369"/>
    <w:rsid w:val="5F217E4A"/>
    <w:rsid w:val="5F2A342A"/>
    <w:rsid w:val="5F864151"/>
    <w:rsid w:val="5F9745B0"/>
    <w:rsid w:val="5FAF18FA"/>
    <w:rsid w:val="5FB24F46"/>
    <w:rsid w:val="5FB707AE"/>
    <w:rsid w:val="5FC66C44"/>
    <w:rsid w:val="5FDD3295"/>
    <w:rsid w:val="5FEB66AA"/>
    <w:rsid w:val="5FF358A6"/>
    <w:rsid w:val="5FF612D7"/>
    <w:rsid w:val="5FFB68ED"/>
    <w:rsid w:val="60031C46"/>
    <w:rsid w:val="60561D75"/>
    <w:rsid w:val="60563B24"/>
    <w:rsid w:val="606C1599"/>
    <w:rsid w:val="60874625"/>
    <w:rsid w:val="609E371C"/>
    <w:rsid w:val="60A24FBB"/>
    <w:rsid w:val="60A95105"/>
    <w:rsid w:val="60BB2ED0"/>
    <w:rsid w:val="60CB2763"/>
    <w:rsid w:val="60E23609"/>
    <w:rsid w:val="60E90E3C"/>
    <w:rsid w:val="60EC26DA"/>
    <w:rsid w:val="61025A59"/>
    <w:rsid w:val="610417D1"/>
    <w:rsid w:val="61113EEE"/>
    <w:rsid w:val="611F2AAF"/>
    <w:rsid w:val="612C6F7A"/>
    <w:rsid w:val="61477910"/>
    <w:rsid w:val="614C4F26"/>
    <w:rsid w:val="6155202D"/>
    <w:rsid w:val="61572249"/>
    <w:rsid w:val="6164634C"/>
    <w:rsid w:val="61785D1C"/>
    <w:rsid w:val="61811074"/>
    <w:rsid w:val="619D39D4"/>
    <w:rsid w:val="61DE64C6"/>
    <w:rsid w:val="61EF2482"/>
    <w:rsid w:val="61F34595"/>
    <w:rsid w:val="6208709F"/>
    <w:rsid w:val="6223212B"/>
    <w:rsid w:val="62233915"/>
    <w:rsid w:val="623C62E9"/>
    <w:rsid w:val="625422E5"/>
    <w:rsid w:val="6286607D"/>
    <w:rsid w:val="6299419B"/>
    <w:rsid w:val="629D5835"/>
    <w:rsid w:val="62BB6808"/>
    <w:rsid w:val="62D33B51"/>
    <w:rsid w:val="62E713AB"/>
    <w:rsid w:val="62F67840"/>
    <w:rsid w:val="62FA7330"/>
    <w:rsid w:val="63360D48"/>
    <w:rsid w:val="63376540"/>
    <w:rsid w:val="635822A8"/>
    <w:rsid w:val="63901A42"/>
    <w:rsid w:val="63950E07"/>
    <w:rsid w:val="639F57E1"/>
    <w:rsid w:val="63A948B2"/>
    <w:rsid w:val="63B23767"/>
    <w:rsid w:val="63B5700E"/>
    <w:rsid w:val="63C86026"/>
    <w:rsid w:val="63FB0F82"/>
    <w:rsid w:val="64267CB1"/>
    <w:rsid w:val="643360D6"/>
    <w:rsid w:val="64552344"/>
    <w:rsid w:val="646507D9"/>
    <w:rsid w:val="64671697"/>
    <w:rsid w:val="64740A1C"/>
    <w:rsid w:val="64923598"/>
    <w:rsid w:val="64970BAF"/>
    <w:rsid w:val="64DA367B"/>
    <w:rsid w:val="64E77440"/>
    <w:rsid w:val="64EF09EB"/>
    <w:rsid w:val="64FE478A"/>
    <w:rsid w:val="65122383"/>
    <w:rsid w:val="65363F24"/>
    <w:rsid w:val="65393A14"/>
    <w:rsid w:val="65436640"/>
    <w:rsid w:val="654C185B"/>
    <w:rsid w:val="657131AE"/>
    <w:rsid w:val="65736F26"/>
    <w:rsid w:val="65815AE7"/>
    <w:rsid w:val="65896749"/>
    <w:rsid w:val="658E1FB1"/>
    <w:rsid w:val="65BD4645"/>
    <w:rsid w:val="65C94D98"/>
    <w:rsid w:val="65D21249"/>
    <w:rsid w:val="65D5373C"/>
    <w:rsid w:val="65E258D7"/>
    <w:rsid w:val="65E25E59"/>
    <w:rsid w:val="6609788A"/>
    <w:rsid w:val="662841B4"/>
    <w:rsid w:val="66430FEE"/>
    <w:rsid w:val="664D59C9"/>
    <w:rsid w:val="665315EE"/>
    <w:rsid w:val="665723A3"/>
    <w:rsid w:val="66652341"/>
    <w:rsid w:val="667747F4"/>
    <w:rsid w:val="66CA36E1"/>
    <w:rsid w:val="66DB2FD4"/>
    <w:rsid w:val="66E55C01"/>
    <w:rsid w:val="66E63727"/>
    <w:rsid w:val="66EA3218"/>
    <w:rsid w:val="670217A3"/>
    <w:rsid w:val="670C13E0"/>
    <w:rsid w:val="672506F4"/>
    <w:rsid w:val="672D1356"/>
    <w:rsid w:val="673D77EB"/>
    <w:rsid w:val="675608AD"/>
    <w:rsid w:val="677B0220"/>
    <w:rsid w:val="677B0314"/>
    <w:rsid w:val="67896ED4"/>
    <w:rsid w:val="67902011"/>
    <w:rsid w:val="67A4786A"/>
    <w:rsid w:val="67AE693B"/>
    <w:rsid w:val="67B11F87"/>
    <w:rsid w:val="67C25F42"/>
    <w:rsid w:val="67CC0B6F"/>
    <w:rsid w:val="67D43D2A"/>
    <w:rsid w:val="68103152"/>
    <w:rsid w:val="68262975"/>
    <w:rsid w:val="68297D70"/>
    <w:rsid w:val="682B1D3A"/>
    <w:rsid w:val="683706DE"/>
    <w:rsid w:val="683F1D16"/>
    <w:rsid w:val="683F3A37"/>
    <w:rsid w:val="684B418A"/>
    <w:rsid w:val="685D143A"/>
    <w:rsid w:val="68680898"/>
    <w:rsid w:val="68792AA5"/>
    <w:rsid w:val="687A681D"/>
    <w:rsid w:val="68923B67"/>
    <w:rsid w:val="68A35D74"/>
    <w:rsid w:val="68B059AC"/>
    <w:rsid w:val="68B72045"/>
    <w:rsid w:val="68D15D24"/>
    <w:rsid w:val="68D423D1"/>
    <w:rsid w:val="68D8135E"/>
    <w:rsid w:val="68F62348"/>
    <w:rsid w:val="68F95994"/>
    <w:rsid w:val="69006D22"/>
    <w:rsid w:val="690F3409"/>
    <w:rsid w:val="69201173"/>
    <w:rsid w:val="69222AC7"/>
    <w:rsid w:val="694A4441"/>
    <w:rsid w:val="69513A22"/>
    <w:rsid w:val="695A2ADD"/>
    <w:rsid w:val="697138A5"/>
    <w:rsid w:val="69733998"/>
    <w:rsid w:val="699D0A15"/>
    <w:rsid w:val="69A71894"/>
    <w:rsid w:val="69C86AD4"/>
    <w:rsid w:val="69CC4E56"/>
    <w:rsid w:val="69CC7252"/>
    <w:rsid w:val="69DF102E"/>
    <w:rsid w:val="69DF2DDC"/>
    <w:rsid w:val="69EC72A7"/>
    <w:rsid w:val="69FA7C16"/>
    <w:rsid w:val="6A1C5DDE"/>
    <w:rsid w:val="6A266C5C"/>
    <w:rsid w:val="6A505A87"/>
    <w:rsid w:val="6A5405E4"/>
    <w:rsid w:val="6A721EA2"/>
    <w:rsid w:val="6A7F011B"/>
    <w:rsid w:val="6A8E035E"/>
    <w:rsid w:val="6A995680"/>
    <w:rsid w:val="6AA77654"/>
    <w:rsid w:val="6AC00E5F"/>
    <w:rsid w:val="6AC233DC"/>
    <w:rsid w:val="6AE663EC"/>
    <w:rsid w:val="6AFC5C0F"/>
    <w:rsid w:val="6B040620"/>
    <w:rsid w:val="6B142F59"/>
    <w:rsid w:val="6B146AB5"/>
    <w:rsid w:val="6B221D8A"/>
    <w:rsid w:val="6B2C02A3"/>
    <w:rsid w:val="6B361121"/>
    <w:rsid w:val="6B3929BF"/>
    <w:rsid w:val="6B6F4633"/>
    <w:rsid w:val="6B713F07"/>
    <w:rsid w:val="6BB81B36"/>
    <w:rsid w:val="6C1B1CA3"/>
    <w:rsid w:val="6C1C0317"/>
    <w:rsid w:val="6C1F52E0"/>
    <w:rsid w:val="6C2C42D2"/>
    <w:rsid w:val="6C400DED"/>
    <w:rsid w:val="6C450EF0"/>
    <w:rsid w:val="6C53185F"/>
    <w:rsid w:val="6C7C7008"/>
    <w:rsid w:val="6C8934D3"/>
    <w:rsid w:val="6C9D0D2C"/>
    <w:rsid w:val="6CAB169B"/>
    <w:rsid w:val="6CB57E24"/>
    <w:rsid w:val="6CB87914"/>
    <w:rsid w:val="6CB93DB8"/>
    <w:rsid w:val="6CC00430"/>
    <w:rsid w:val="6CC10EBE"/>
    <w:rsid w:val="6CC60283"/>
    <w:rsid w:val="6CCA7D73"/>
    <w:rsid w:val="6CF52916"/>
    <w:rsid w:val="6CF941B4"/>
    <w:rsid w:val="6D056FFD"/>
    <w:rsid w:val="6D0668D1"/>
    <w:rsid w:val="6D203E37"/>
    <w:rsid w:val="6D231231"/>
    <w:rsid w:val="6D2D3E5E"/>
    <w:rsid w:val="6D3671B7"/>
    <w:rsid w:val="6D4B2536"/>
    <w:rsid w:val="6D602485"/>
    <w:rsid w:val="6D843DA0"/>
    <w:rsid w:val="6D88378A"/>
    <w:rsid w:val="6D8D2B4F"/>
    <w:rsid w:val="6D8F68C7"/>
    <w:rsid w:val="6D9B170F"/>
    <w:rsid w:val="6D9E4D5C"/>
    <w:rsid w:val="6DC36570"/>
    <w:rsid w:val="6DC47772"/>
    <w:rsid w:val="6DD32C57"/>
    <w:rsid w:val="6E05302D"/>
    <w:rsid w:val="6E070B53"/>
    <w:rsid w:val="6E0F7A08"/>
    <w:rsid w:val="6E227042"/>
    <w:rsid w:val="6E22773B"/>
    <w:rsid w:val="6E2E7B61"/>
    <w:rsid w:val="6E3000AA"/>
    <w:rsid w:val="6E34121C"/>
    <w:rsid w:val="6E3D4575"/>
    <w:rsid w:val="6E3F7222"/>
    <w:rsid w:val="6E463241"/>
    <w:rsid w:val="6E580410"/>
    <w:rsid w:val="6E66587A"/>
    <w:rsid w:val="6E7D2BC3"/>
    <w:rsid w:val="6E8C2E06"/>
    <w:rsid w:val="6EB505AF"/>
    <w:rsid w:val="6ED529FF"/>
    <w:rsid w:val="6EE175F6"/>
    <w:rsid w:val="6EEF1D13"/>
    <w:rsid w:val="6EF54E4F"/>
    <w:rsid w:val="6EF94940"/>
    <w:rsid w:val="6EF95A4B"/>
    <w:rsid w:val="6EFF7A7C"/>
    <w:rsid w:val="6F3B6D06"/>
    <w:rsid w:val="6F413BF1"/>
    <w:rsid w:val="6F4638FD"/>
    <w:rsid w:val="6F854425"/>
    <w:rsid w:val="6F914B78"/>
    <w:rsid w:val="6F9B50FD"/>
    <w:rsid w:val="6FA54620"/>
    <w:rsid w:val="6FB03066"/>
    <w:rsid w:val="6FD1766A"/>
    <w:rsid w:val="6FE0321B"/>
    <w:rsid w:val="6FE4739E"/>
    <w:rsid w:val="6FE56C72"/>
    <w:rsid w:val="6FED5B27"/>
    <w:rsid w:val="70082960"/>
    <w:rsid w:val="7012558D"/>
    <w:rsid w:val="701D01BA"/>
    <w:rsid w:val="7021355F"/>
    <w:rsid w:val="702552C0"/>
    <w:rsid w:val="70414632"/>
    <w:rsid w:val="70441BEA"/>
    <w:rsid w:val="706E38E4"/>
    <w:rsid w:val="70997814"/>
    <w:rsid w:val="709D12FB"/>
    <w:rsid w:val="70AB1C6A"/>
    <w:rsid w:val="70B36D70"/>
    <w:rsid w:val="70B8410C"/>
    <w:rsid w:val="7104137A"/>
    <w:rsid w:val="71125845"/>
    <w:rsid w:val="712832BA"/>
    <w:rsid w:val="713003C1"/>
    <w:rsid w:val="71535E5D"/>
    <w:rsid w:val="715916C6"/>
    <w:rsid w:val="716B13F9"/>
    <w:rsid w:val="717C1104"/>
    <w:rsid w:val="71AF7537"/>
    <w:rsid w:val="71C805F9"/>
    <w:rsid w:val="71CA7BB8"/>
    <w:rsid w:val="71E73175"/>
    <w:rsid w:val="71F663CA"/>
    <w:rsid w:val="720E0702"/>
    <w:rsid w:val="724C122A"/>
    <w:rsid w:val="727662A7"/>
    <w:rsid w:val="727D5888"/>
    <w:rsid w:val="72A51B1F"/>
    <w:rsid w:val="72B5390F"/>
    <w:rsid w:val="72BD7A32"/>
    <w:rsid w:val="72D433BB"/>
    <w:rsid w:val="73090EC9"/>
    <w:rsid w:val="7315786E"/>
    <w:rsid w:val="731D6723"/>
    <w:rsid w:val="734B14E2"/>
    <w:rsid w:val="73506AF8"/>
    <w:rsid w:val="73552361"/>
    <w:rsid w:val="73697BBA"/>
    <w:rsid w:val="737F118B"/>
    <w:rsid w:val="739C1D3D"/>
    <w:rsid w:val="73B9644B"/>
    <w:rsid w:val="73CA68AB"/>
    <w:rsid w:val="73D56A03"/>
    <w:rsid w:val="73EB05CF"/>
    <w:rsid w:val="73F05BE5"/>
    <w:rsid w:val="73F41B79"/>
    <w:rsid w:val="74095C16"/>
    <w:rsid w:val="74123DAE"/>
    <w:rsid w:val="741C4C2C"/>
    <w:rsid w:val="74387CB8"/>
    <w:rsid w:val="743E2DF5"/>
    <w:rsid w:val="745443C6"/>
    <w:rsid w:val="74582108"/>
    <w:rsid w:val="74982505"/>
    <w:rsid w:val="74A72748"/>
    <w:rsid w:val="74AC630C"/>
    <w:rsid w:val="74B44E65"/>
    <w:rsid w:val="74BB5B1E"/>
    <w:rsid w:val="74C74B98"/>
    <w:rsid w:val="74DA2B1D"/>
    <w:rsid w:val="74DF0134"/>
    <w:rsid w:val="751A116C"/>
    <w:rsid w:val="75224963"/>
    <w:rsid w:val="753417B5"/>
    <w:rsid w:val="754461E9"/>
    <w:rsid w:val="75581C94"/>
    <w:rsid w:val="75622B13"/>
    <w:rsid w:val="7568355A"/>
    <w:rsid w:val="757A60AE"/>
    <w:rsid w:val="75894543"/>
    <w:rsid w:val="759251A6"/>
    <w:rsid w:val="759A04FF"/>
    <w:rsid w:val="75A153E9"/>
    <w:rsid w:val="75A82C1C"/>
    <w:rsid w:val="75AC3957"/>
    <w:rsid w:val="75AF3FAA"/>
    <w:rsid w:val="75B82733"/>
    <w:rsid w:val="75C13CDD"/>
    <w:rsid w:val="75DC4D0C"/>
    <w:rsid w:val="75E17EDC"/>
    <w:rsid w:val="76185C21"/>
    <w:rsid w:val="761B33ED"/>
    <w:rsid w:val="762D3121"/>
    <w:rsid w:val="762F6E99"/>
    <w:rsid w:val="763149BF"/>
    <w:rsid w:val="76342701"/>
    <w:rsid w:val="764A5A81"/>
    <w:rsid w:val="76607052"/>
    <w:rsid w:val="768865A9"/>
    <w:rsid w:val="768E1E11"/>
    <w:rsid w:val="768F7938"/>
    <w:rsid w:val="769413F2"/>
    <w:rsid w:val="76A95873"/>
    <w:rsid w:val="76C21ABB"/>
    <w:rsid w:val="76DA32A9"/>
    <w:rsid w:val="76F31C74"/>
    <w:rsid w:val="77072CA8"/>
    <w:rsid w:val="772774BF"/>
    <w:rsid w:val="77403B29"/>
    <w:rsid w:val="77444BC6"/>
    <w:rsid w:val="774D646B"/>
    <w:rsid w:val="7750356B"/>
    <w:rsid w:val="777D59E2"/>
    <w:rsid w:val="77980A6E"/>
    <w:rsid w:val="77C67389"/>
    <w:rsid w:val="77ED700C"/>
    <w:rsid w:val="7808174F"/>
    <w:rsid w:val="78104AA8"/>
    <w:rsid w:val="78112CFA"/>
    <w:rsid w:val="78126A72"/>
    <w:rsid w:val="78327197"/>
    <w:rsid w:val="7840538D"/>
    <w:rsid w:val="78414C61"/>
    <w:rsid w:val="785726D7"/>
    <w:rsid w:val="78C93BB8"/>
    <w:rsid w:val="78D15FE5"/>
    <w:rsid w:val="78FD0B56"/>
    <w:rsid w:val="78FD6DDA"/>
    <w:rsid w:val="795A5FDB"/>
    <w:rsid w:val="79654980"/>
    <w:rsid w:val="796E7CD8"/>
    <w:rsid w:val="79815C5D"/>
    <w:rsid w:val="79B17BC5"/>
    <w:rsid w:val="79D02741"/>
    <w:rsid w:val="79DC10E6"/>
    <w:rsid w:val="79E65AC0"/>
    <w:rsid w:val="79E81839"/>
    <w:rsid w:val="79ED4B6B"/>
    <w:rsid w:val="79F521A7"/>
    <w:rsid w:val="7A0917AF"/>
    <w:rsid w:val="7A0B19CB"/>
    <w:rsid w:val="7A5073DE"/>
    <w:rsid w:val="7A5C2227"/>
    <w:rsid w:val="7A6B246A"/>
    <w:rsid w:val="7A6D1D3E"/>
    <w:rsid w:val="7A8D0632"/>
    <w:rsid w:val="7A9814B1"/>
    <w:rsid w:val="7A9C5DCD"/>
    <w:rsid w:val="7AA65250"/>
    <w:rsid w:val="7AA716F4"/>
    <w:rsid w:val="7AAF2356"/>
    <w:rsid w:val="7AF366E7"/>
    <w:rsid w:val="7B0326A2"/>
    <w:rsid w:val="7B18614D"/>
    <w:rsid w:val="7B1A27DF"/>
    <w:rsid w:val="7B2F5245"/>
    <w:rsid w:val="7B4E7DC1"/>
    <w:rsid w:val="7B62386D"/>
    <w:rsid w:val="7B6A2721"/>
    <w:rsid w:val="7B6F1AE6"/>
    <w:rsid w:val="7B754D99"/>
    <w:rsid w:val="7B871525"/>
    <w:rsid w:val="7BBA0FB3"/>
    <w:rsid w:val="7BBC0E63"/>
    <w:rsid w:val="7BDA3403"/>
    <w:rsid w:val="7BDF338E"/>
    <w:rsid w:val="7C042B76"/>
    <w:rsid w:val="7C36796C"/>
    <w:rsid w:val="7C556F2D"/>
    <w:rsid w:val="7C5E2286"/>
    <w:rsid w:val="7C5F1B82"/>
    <w:rsid w:val="7C613B24"/>
    <w:rsid w:val="7C7575D0"/>
    <w:rsid w:val="7C920181"/>
    <w:rsid w:val="7C975798"/>
    <w:rsid w:val="7C977546"/>
    <w:rsid w:val="7CA3413D"/>
    <w:rsid w:val="7CA37C99"/>
    <w:rsid w:val="7CAB2FF1"/>
    <w:rsid w:val="7CBC6FAC"/>
    <w:rsid w:val="7CDB7433"/>
    <w:rsid w:val="7CDE33C7"/>
    <w:rsid w:val="7CE00EED"/>
    <w:rsid w:val="7CE34539"/>
    <w:rsid w:val="7CEC17C4"/>
    <w:rsid w:val="7CF54D56"/>
    <w:rsid w:val="7CFB1883"/>
    <w:rsid w:val="7CFE5817"/>
    <w:rsid w:val="7D0E21AB"/>
    <w:rsid w:val="7D0F3580"/>
    <w:rsid w:val="7D1A0699"/>
    <w:rsid w:val="7D276B1C"/>
    <w:rsid w:val="7D36790A"/>
    <w:rsid w:val="7D480840"/>
    <w:rsid w:val="7D5176F5"/>
    <w:rsid w:val="7D6A4C5A"/>
    <w:rsid w:val="7D761851"/>
    <w:rsid w:val="7D7F7E0C"/>
    <w:rsid w:val="7D831878"/>
    <w:rsid w:val="7D9D0B8C"/>
    <w:rsid w:val="7DA7376B"/>
    <w:rsid w:val="7DBD122E"/>
    <w:rsid w:val="7DD32800"/>
    <w:rsid w:val="7DDF73F6"/>
    <w:rsid w:val="7DF02AB8"/>
    <w:rsid w:val="7DF10ED8"/>
    <w:rsid w:val="7DFA5FDE"/>
    <w:rsid w:val="7E0E1A8A"/>
    <w:rsid w:val="7E156974"/>
    <w:rsid w:val="7E490D14"/>
    <w:rsid w:val="7E6B34F5"/>
    <w:rsid w:val="7E6D67B0"/>
    <w:rsid w:val="7E7E09BD"/>
    <w:rsid w:val="7E865AC4"/>
    <w:rsid w:val="7E9E4BBC"/>
    <w:rsid w:val="7EAB4E7D"/>
    <w:rsid w:val="7EB97C47"/>
    <w:rsid w:val="7EBE700C"/>
    <w:rsid w:val="7ECB702F"/>
    <w:rsid w:val="7ED44A81"/>
    <w:rsid w:val="7ED607F9"/>
    <w:rsid w:val="7EE050E9"/>
    <w:rsid w:val="7EEF18BB"/>
    <w:rsid w:val="7F052E8D"/>
    <w:rsid w:val="7F0546EE"/>
    <w:rsid w:val="7F1906E6"/>
    <w:rsid w:val="7F1B4D03"/>
    <w:rsid w:val="7F452304"/>
    <w:rsid w:val="7F4A4D43"/>
    <w:rsid w:val="7F4F235A"/>
    <w:rsid w:val="7F5160D2"/>
    <w:rsid w:val="7F587460"/>
    <w:rsid w:val="7F6F47AA"/>
    <w:rsid w:val="7F7218AA"/>
    <w:rsid w:val="7F8244DD"/>
    <w:rsid w:val="7FB36445"/>
    <w:rsid w:val="7FBF128D"/>
    <w:rsid w:val="7FBF3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99"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4"/>
      <w:lang w:val="en-US" w:eastAsia="zh-CN" w:bidi="ar-SA"/>
    </w:rPr>
  </w:style>
  <w:style w:type="paragraph" w:styleId="2">
    <w:name w:val="heading 1"/>
    <w:basedOn w:val="1"/>
    <w:next w:val="1"/>
    <w:link w:val="42"/>
    <w:qFormat/>
    <w:uiPriority w:val="0"/>
    <w:pPr>
      <w:keepNext/>
      <w:keepLines/>
      <w:numPr>
        <w:ilvl w:val="1"/>
        <w:numId w:val="1"/>
      </w:numPr>
      <w:spacing w:before="340" w:beforeLines="0" w:beforeAutospacing="0" w:after="330" w:afterLines="0" w:afterAutospacing="0" w:line="576" w:lineRule="auto"/>
      <w:outlineLvl w:val="0"/>
    </w:pPr>
    <w:rPr>
      <w:rFonts w:ascii="Arial" w:hAnsi="Arial" w:eastAsia="宋体" w:cs="Arial"/>
      <w:bCs/>
      <w:snapToGrid w:val="0"/>
      <w:color w:val="000000"/>
      <w:kern w:val="44"/>
      <w:sz w:val="30"/>
      <w:szCs w:val="32"/>
      <w:lang w:eastAsia="en-US"/>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99"/>
    <w:pPr>
      <w:keepNext/>
      <w:keepLines/>
      <w:spacing w:before="140" w:after="140" w:line="240" w:lineRule="auto"/>
      <w:jc w:val="left"/>
      <w:outlineLvl w:val="2"/>
    </w:pPr>
    <w:rPr>
      <w:rFonts w:cs="Times New Roman"/>
      <w:b/>
      <w:szCs w:val="21"/>
    </w:rPr>
  </w:style>
  <w:style w:type="paragraph" w:styleId="5">
    <w:name w:val="heading 4"/>
    <w:basedOn w:val="1"/>
    <w:next w:val="1"/>
    <w:qFormat/>
    <w:uiPriority w:val="99"/>
    <w:pPr>
      <w:keepNext/>
      <w:outlineLvl w:val="3"/>
    </w:pPr>
    <w:rPr>
      <w:rFonts w:ascii="Times New Roman" w:hAnsi="Times New Roman" w:cs="Times New Roman"/>
      <w:sz w:val="32"/>
      <w:szCs w:val="20"/>
    </w:rPr>
  </w:style>
  <w:style w:type="character" w:default="1" w:styleId="33">
    <w:name w:val="Default Paragraph Font"/>
    <w:semiHidden/>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styleId="6">
    <w:name w:val="Normal Indent"/>
    <w:basedOn w:val="1"/>
    <w:next w:val="7"/>
    <w:qFormat/>
    <w:uiPriority w:val="0"/>
    <w:pPr>
      <w:ind w:firstLine="420"/>
    </w:pPr>
    <w:rPr>
      <w:szCs w:val="20"/>
    </w:rPr>
  </w:style>
  <w:style w:type="paragraph" w:styleId="7">
    <w:name w:val="Body Text 2"/>
    <w:basedOn w:val="1"/>
    <w:qFormat/>
    <w:uiPriority w:val="0"/>
    <w:pPr>
      <w:spacing w:after="120" w:line="480" w:lineRule="auto"/>
    </w:pPr>
    <w:rPr>
      <w:rFonts w:ascii="Times New Roman" w:hAnsi="Times New Roman" w:cs="Times New Roman"/>
    </w:rPr>
  </w:style>
  <w:style w:type="paragraph" w:styleId="8">
    <w:name w:val="caption"/>
    <w:basedOn w:val="1"/>
    <w:next w:val="1"/>
    <w:qFormat/>
    <w:uiPriority w:val="0"/>
    <w:rPr>
      <w:rFonts w:ascii="Cambria" w:hAnsi="Cambria" w:eastAsia="黑体"/>
      <w:sz w:val="20"/>
      <w:szCs w:val="20"/>
    </w:rPr>
  </w:style>
  <w:style w:type="paragraph" w:styleId="9">
    <w:name w:val="Document Map"/>
    <w:basedOn w:val="1"/>
    <w:next w:val="1"/>
    <w:semiHidden/>
    <w:qFormat/>
    <w:uiPriority w:val="0"/>
    <w:pPr>
      <w:shd w:val="clear" w:color="auto" w:fill="000080"/>
    </w:pPr>
  </w:style>
  <w:style w:type="paragraph" w:styleId="10">
    <w:name w:val="annotation text"/>
    <w:basedOn w:val="1"/>
    <w:semiHidden/>
    <w:qFormat/>
    <w:uiPriority w:val="99"/>
    <w:pPr>
      <w:jc w:val="left"/>
    </w:pPr>
    <w:rPr>
      <w:rFonts w:ascii="Times New Roman" w:hAnsi="Times New Roman" w:cs="Times New Roman"/>
    </w:rPr>
  </w:style>
  <w:style w:type="paragraph" w:styleId="11">
    <w:name w:val="Body Text 3"/>
    <w:basedOn w:val="1"/>
    <w:qFormat/>
    <w:uiPriority w:val="0"/>
    <w:pPr>
      <w:spacing w:after="120"/>
    </w:pPr>
    <w:rPr>
      <w:sz w:val="16"/>
      <w:szCs w:val="16"/>
    </w:rPr>
  </w:style>
  <w:style w:type="paragraph" w:styleId="12">
    <w:name w:val="Body Text"/>
    <w:basedOn w:val="1"/>
    <w:qFormat/>
    <w:uiPriority w:val="0"/>
    <w:pPr>
      <w:spacing w:after="120"/>
    </w:pPr>
    <w:rPr>
      <w:rFonts w:ascii="Times New Roman" w:hAnsi="Times New Roman" w:cs="Times New Roman"/>
    </w:rPr>
  </w:style>
  <w:style w:type="paragraph" w:styleId="13">
    <w:name w:val="Body Text Indent"/>
    <w:basedOn w:val="1"/>
    <w:next w:val="14"/>
    <w:qFormat/>
    <w:uiPriority w:val="0"/>
    <w:pPr>
      <w:spacing w:after="120"/>
      <w:ind w:left="420" w:leftChars="200"/>
    </w:pPr>
    <w:rPr>
      <w:rFonts w:ascii="Times New Roman" w:hAnsi="Times New Roman" w:cs="Times New Roman"/>
    </w:rPr>
  </w:style>
  <w:style w:type="paragraph" w:styleId="14">
    <w:name w:val="envelope return"/>
    <w:basedOn w:val="1"/>
    <w:qFormat/>
    <w:uiPriority w:val="0"/>
    <w:pPr>
      <w:snapToGrid w:val="0"/>
    </w:pPr>
    <w:rPr>
      <w:rFonts w:ascii="Arial" w:hAnsi="Arial" w:eastAsia="宋体" w:cs="Arial"/>
    </w:rPr>
  </w:style>
  <w:style w:type="paragraph" w:styleId="15">
    <w:name w:val="List 2"/>
    <w:basedOn w:val="1"/>
    <w:qFormat/>
    <w:uiPriority w:val="0"/>
    <w:pPr>
      <w:ind w:left="100" w:leftChars="200" w:hanging="200" w:hangingChars="200"/>
    </w:pPr>
  </w:style>
  <w:style w:type="paragraph" w:styleId="16">
    <w:name w:val="List Continue"/>
    <w:basedOn w:val="1"/>
    <w:qFormat/>
    <w:uiPriority w:val="0"/>
    <w:pPr>
      <w:spacing w:after="120"/>
      <w:ind w:left="420"/>
    </w:pPr>
    <w:rPr>
      <w:rFonts w:eastAsia="楷体_GB2312"/>
      <w:sz w:val="32"/>
      <w:szCs w:val="20"/>
    </w:rPr>
  </w:style>
  <w:style w:type="paragraph" w:styleId="17">
    <w:name w:val="toc 3"/>
    <w:basedOn w:val="1"/>
    <w:next w:val="1"/>
    <w:qFormat/>
    <w:uiPriority w:val="39"/>
    <w:pPr>
      <w:ind w:left="840" w:leftChars="400"/>
    </w:pPr>
  </w:style>
  <w:style w:type="paragraph" w:styleId="18">
    <w:name w:val="Plain Text"/>
    <w:basedOn w:val="1"/>
    <w:next w:val="9"/>
    <w:qFormat/>
    <w:uiPriority w:val="0"/>
    <w:rPr>
      <w:rFonts w:hAnsi="Courier New" w:cs="Courier New"/>
      <w:szCs w:val="21"/>
    </w:rPr>
  </w:style>
  <w:style w:type="paragraph" w:styleId="19">
    <w:name w:val="Date"/>
    <w:basedOn w:val="1"/>
    <w:next w:val="1"/>
    <w:qFormat/>
    <w:uiPriority w:val="0"/>
    <w:pPr>
      <w:adjustRightInd w:val="0"/>
      <w:spacing w:line="360" w:lineRule="atLeast"/>
      <w:textAlignment w:val="baseline"/>
    </w:pPr>
    <w:rPr>
      <w:rFonts w:ascii="Times New Roman" w:hAnsi="Times New Roman" w:cs="Times New Roman"/>
      <w:kern w:val="0"/>
      <w:sz w:val="28"/>
      <w:szCs w:val="20"/>
    </w:rPr>
  </w:style>
  <w:style w:type="paragraph" w:styleId="20">
    <w:name w:val="footer"/>
    <w:basedOn w:val="1"/>
    <w:qFormat/>
    <w:uiPriority w:val="99"/>
    <w:pPr>
      <w:tabs>
        <w:tab w:val="center" w:pos="4153"/>
        <w:tab w:val="right" w:pos="8306"/>
      </w:tabs>
      <w:snapToGrid w:val="0"/>
      <w:jc w:val="left"/>
    </w:pPr>
    <w:rPr>
      <w:rFonts w:ascii="Times New Roman" w:hAnsi="Times New Roman" w:cs="Times New Roman"/>
      <w:sz w:val="18"/>
      <w:szCs w:val="18"/>
    </w:rPr>
  </w:style>
  <w:style w:type="paragraph" w:styleId="21">
    <w:name w:val="header"/>
    <w:basedOn w:val="1"/>
    <w:qFormat/>
    <w:uiPriority w:val="99"/>
    <w:pPr>
      <w:pBdr>
        <w:bottom w:val="single" w:color="auto" w:sz="6" w:space="1"/>
      </w:pBdr>
      <w:tabs>
        <w:tab w:val="center" w:pos="4153"/>
        <w:tab w:val="right" w:pos="8306"/>
      </w:tabs>
      <w:snapToGrid w:val="0"/>
      <w:jc w:val="center"/>
    </w:pPr>
    <w:rPr>
      <w:rFonts w:ascii="Times New Roman" w:hAnsi="Times New Roman" w:cs="Times New Roman"/>
      <w:sz w:val="18"/>
      <w:szCs w:val="18"/>
    </w:rPr>
  </w:style>
  <w:style w:type="paragraph" w:styleId="22">
    <w:name w:val="toc 1"/>
    <w:basedOn w:val="1"/>
    <w:next w:val="1"/>
    <w:qFormat/>
    <w:uiPriority w:val="39"/>
    <w:pPr>
      <w:tabs>
        <w:tab w:val="right" w:leader="dot" w:pos="8460"/>
      </w:tabs>
    </w:pPr>
  </w:style>
  <w:style w:type="paragraph" w:styleId="23">
    <w:name w:val="footnote text"/>
    <w:basedOn w:val="1"/>
    <w:next w:val="18"/>
    <w:semiHidden/>
    <w:qFormat/>
    <w:uiPriority w:val="0"/>
    <w:pPr>
      <w:widowControl/>
      <w:jc w:val="left"/>
    </w:pPr>
    <w:rPr>
      <w:kern w:val="0"/>
      <w:sz w:val="20"/>
      <w:szCs w:val="20"/>
      <w:lang w:eastAsia="en-US"/>
    </w:rPr>
  </w:style>
  <w:style w:type="paragraph" w:styleId="24">
    <w:name w:val="List 5"/>
    <w:basedOn w:val="1"/>
    <w:qFormat/>
    <w:uiPriority w:val="0"/>
    <w:pPr>
      <w:ind w:left="2100" w:hanging="420"/>
    </w:pPr>
    <w:rPr>
      <w:rFonts w:eastAsia="楷体_GB2312"/>
      <w:sz w:val="32"/>
      <w:szCs w:val="20"/>
    </w:rPr>
  </w:style>
  <w:style w:type="paragraph" w:styleId="25">
    <w:name w:val="table of figures"/>
    <w:basedOn w:val="1"/>
    <w:next w:val="1"/>
    <w:qFormat/>
    <w:uiPriority w:val="0"/>
    <w:pPr>
      <w:ind w:left="200" w:leftChars="200" w:hanging="200" w:hangingChars="200"/>
    </w:pPr>
  </w:style>
  <w:style w:type="paragraph" w:styleId="26">
    <w:name w:val="toc 2"/>
    <w:basedOn w:val="1"/>
    <w:next w:val="1"/>
    <w:qFormat/>
    <w:uiPriority w:val="39"/>
    <w:pPr>
      <w:ind w:left="420" w:leftChars="200"/>
    </w:pPr>
  </w:style>
  <w:style w:type="paragraph" w:styleId="27">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500" w:leftChars="500" w:hanging="1080" w:hangingChars="500"/>
    </w:pPr>
    <w:rPr>
      <w:sz w:val="24"/>
      <w:szCs w:val="24"/>
    </w:rPr>
  </w:style>
  <w:style w:type="paragraph" w:styleId="2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29">
    <w:name w:val="Body Text First Indent"/>
    <w:basedOn w:val="12"/>
    <w:qFormat/>
    <w:uiPriority w:val="0"/>
    <w:pPr>
      <w:ind w:firstLine="420"/>
    </w:pPr>
    <w:rPr>
      <w:rFonts w:eastAsia="楷体_GB2312"/>
      <w:sz w:val="32"/>
      <w:szCs w:val="20"/>
    </w:rPr>
  </w:style>
  <w:style w:type="paragraph" w:styleId="30">
    <w:name w:val="Body Text First Indent 2"/>
    <w:basedOn w:val="1"/>
    <w:next w:val="1"/>
    <w:qFormat/>
    <w:uiPriority w:val="0"/>
    <w:pPr>
      <w:ind w:firstLine="420" w:firstLineChars="200"/>
    </w:p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qFormat/>
    <w:uiPriority w:val="0"/>
  </w:style>
  <w:style w:type="paragraph" w:customStyle="1" w:styleId="35">
    <w:name w:val="正文首行缩进 211"/>
    <w:basedOn w:val="36"/>
    <w:next w:val="38"/>
    <w:qFormat/>
    <w:uiPriority w:val="0"/>
    <w:pPr>
      <w:spacing w:after="120" w:line="240" w:lineRule="auto"/>
      <w:ind w:left="420" w:firstLine="420"/>
    </w:pPr>
    <w:rPr>
      <w:b w:val="0"/>
      <w:szCs w:val="24"/>
    </w:rPr>
  </w:style>
  <w:style w:type="paragraph" w:customStyle="1" w:styleId="36">
    <w:name w:val="正文文本缩进11"/>
    <w:basedOn w:val="1"/>
    <w:next w:val="37"/>
    <w:qFormat/>
    <w:uiPriority w:val="0"/>
    <w:pPr>
      <w:spacing w:line="360" w:lineRule="auto"/>
      <w:ind w:left="315" w:firstLine="632"/>
    </w:pPr>
    <w:rPr>
      <w:b/>
    </w:rPr>
  </w:style>
  <w:style w:type="paragraph" w:customStyle="1" w:styleId="37">
    <w:name w:val="寄信人地址111"/>
    <w:basedOn w:val="1"/>
    <w:qFormat/>
    <w:uiPriority w:val="0"/>
    <w:rPr>
      <w:rFonts w:ascii="Arial" w:hAnsi="Arial" w:eastAsia="楷体_GB2312"/>
      <w:sz w:val="26"/>
    </w:rPr>
  </w:style>
  <w:style w:type="paragraph" w:customStyle="1" w:styleId="38">
    <w:name w:val="正文文本缩进 21"/>
    <w:basedOn w:val="1"/>
    <w:next w:val="39"/>
    <w:qFormat/>
    <w:uiPriority w:val="0"/>
    <w:pPr>
      <w:spacing w:line="360" w:lineRule="auto"/>
      <w:ind w:firstLine="420"/>
    </w:pPr>
    <w:rPr>
      <w:rFonts w:ascii="宋体" w:hAnsi="宋体"/>
    </w:rPr>
  </w:style>
  <w:style w:type="paragraph" w:customStyle="1" w:styleId="39">
    <w:name w:val="索引 91"/>
    <w:basedOn w:val="1"/>
    <w:next w:val="1"/>
    <w:qFormat/>
    <w:uiPriority w:val="0"/>
    <w:pPr>
      <w:ind w:left="1600"/>
    </w:pPr>
    <w:rPr>
      <w:szCs w:val="24"/>
    </w:rPr>
  </w:style>
  <w:style w:type="paragraph" w:customStyle="1" w:styleId="40">
    <w:name w:val="无间隔1"/>
    <w:basedOn w:val="1"/>
    <w:qFormat/>
    <w:uiPriority w:val="1"/>
    <w:pPr>
      <w:spacing w:line="400" w:lineRule="exact"/>
    </w:pPr>
    <w:rPr>
      <w:sz w:val="24"/>
    </w:rPr>
  </w:style>
  <w:style w:type="paragraph" w:customStyle="1" w:styleId="41">
    <w:name w:val="Default"/>
    <w:next w:val="25"/>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Char"/>
    <w:link w:val="2"/>
    <w:qFormat/>
    <w:locked/>
    <w:uiPriority w:val="0"/>
    <w:rPr>
      <w:rFonts w:ascii="Arial" w:hAnsi="Arial" w:eastAsia="宋体" w:cs="Arial"/>
      <w:bCs/>
      <w:snapToGrid w:val="0"/>
      <w:color w:val="000000"/>
      <w:kern w:val="44"/>
      <w:sz w:val="30"/>
      <w:szCs w:val="32"/>
      <w:lang w:eastAsia="en-US"/>
    </w:rPr>
  </w:style>
  <w:style w:type="paragraph" w:customStyle="1" w:styleId="43">
    <w:name w:val="Table Paragraph"/>
    <w:basedOn w:val="1"/>
    <w:qFormat/>
    <w:uiPriority w:val="1"/>
  </w:style>
  <w:style w:type="paragraph" w:customStyle="1" w:styleId="44">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45">
    <w:name w:val="p0"/>
    <w:basedOn w:val="1"/>
    <w:qFormat/>
    <w:uiPriority w:val="0"/>
    <w:pPr>
      <w:jc w:val="both"/>
    </w:pPr>
    <w:rPr>
      <w:rFonts w:ascii="Calibri" w:hAnsi="Calibri" w:cs="宋体"/>
      <w:sz w:val="21"/>
      <w:szCs w:val="21"/>
    </w:rPr>
  </w:style>
  <w:style w:type="paragraph" w:customStyle="1" w:styleId="46">
    <w:name w:val="Table Text"/>
    <w:basedOn w:val="1"/>
    <w:semiHidden/>
    <w:qFormat/>
    <w:uiPriority w:val="0"/>
    <w:rPr>
      <w:rFonts w:ascii="宋体" w:hAnsi="宋体" w:eastAsia="宋体" w:cs="宋体"/>
      <w:sz w:val="20"/>
      <w:szCs w:val="20"/>
      <w:lang w:val="en-US" w:eastAsia="en-US" w:bidi="ar-SA"/>
    </w:rPr>
  </w:style>
  <w:style w:type="table" w:customStyle="1" w:styleId="47">
    <w:name w:val="Table Normal"/>
    <w:semiHidden/>
    <w:unhideWhenUsed/>
    <w:qFormat/>
    <w:uiPriority w:val="0"/>
    <w:tblPr>
      <w:tblCellMar>
        <w:top w:w="0" w:type="dxa"/>
        <w:left w:w="0" w:type="dxa"/>
        <w:bottom w:w="0" w:type="dxa"/>
        <w:right w:w="0" w:type="dxa"/>
      </w:tblCellMar>
    </w:tblPr>
  </w:style>
  <w:style w:type="paragraph" w:customStyle="1" w:styleId="48">
    <w:name w:val="正文_13_0"/>
    <w:next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9">
    <w:name w:val="font11"/>
    <w:basedOn w:val="33"/>
    <w:qFormat/>
    <w:uiPriority w:val="0"/>
    <w:rPr>
      <w:rFonts w:hint="default" w:ascii="Arial" w:hAnsi="Arial" w:cs="Arial"/>
      <w:color w:val="000000"/>
      <w:sz w:val="12"/>
      <w:szCs w:val="12"/>
      <w:u w:val="none"/>
    </w:rPr>
  </w:style>
  <w:style w:type="character" w:customStyle="1" w:styleId="50">
    <w:name w:val="font31"/>
    <w:basedOn w:val="33"/>
    <w:qFormat/>
    <w:uiPriority w:val="0"/>
    <w:rPr>
      <w:rFonts w:ascii="宋体" w:hAnsi="宋体" w:eastAsia="宋体" w:cs="宋体"/>
      <w:color w:val="000000"/>
      <w:sz w:val="20"/>
      <w:szCs w:val="20"/>
      <w:u w:val="none"/>
    </w:rPr>
  </w:style>
  <w:style w:type="character" w:customStyle="1" w:styleId="51">
    <w:name w:val="font01"/>
    <w:basedOn w:val="33"/>
    <w:qFormat/>
    <w:uiPriority w:val="0"/>
    <w:rPr>
      <w:rFonts w:hint="eastAsia" w:ascii="宋体" w:hAnsi="宋体" w:eastAsia="宋体" w:cs="宋体"/>
      <w:color w:val="000000"/>
      <w:sz w:val="22"/>
      <w:szCs w:val="22"/>
      <w:u w:val="none"/>
    </w:rPr>
  </w:style>
  <w:style w:type="character" w:customStyle="1" w:styleId="52">
    <w:name w:val="font41"/>
    <w:basedOn w:val="33"/>
    <w:qFormat/>
    <w:uiPriority w:val="0"/>
    <w:rPr>
      <w:rFonts w:ascii="方正兰亭黑_GBK" w:hAnsi="方正兰亭黑_GBK" w:eastAsia="方正兰亭黑_GBK" w:cs="方正兰亭黑_GBK"/>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3.jpeg"/><Relationship Id="rId18" Type="http://schemas.openxmlformats.org/officeDocument/2006/relationships/image" Target="media/image2.jpe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26868</Words>
  <Characters>29216</Characters>
  <Lines>0</Lines>
  <Paragraphs>0</Paragraphs>
  <TotalTime>17</TotalTime>
  <ScaleCrop>false</ScaleCrop>
  <LinksUpToDate>false</LinksUpToDate>
  <CharactersWithSpaces>30208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2023-08-16T07:42:00Z</dcterms:created>
  <dc:creator>Administrator</dc:creator>
  <cp:lastModifiedBy>Administrator</cp:lastModifiedBy>
  <cp:lastPrinted>2025-10-16T08:30:00Z</cp:lastPrinted>
  <dcterms:modified xsi:type="dcterms:W3CDTF">2025-10-17T00:32:25Z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8B43FE7FF70B48E2904BC2C7C4743FEA_12</vt:lpwstr>
  </property>
  <property fmtid="{D5CDD505-2E9C-101B-9397-08002B2CF9AE}" pid="4" name="KSOTemplateDocerSaveRecord">
    <vt:lpwstr>eyJoZGlkIjoiZDQ1ZTA1N2E1N2FkNzE1ZDFmMDFmNjk2ZjZmMDIxMWYiLCJ1c2VySWQiOiI0NjU0NjAzMDYifQ==</vt:lpwstr>
  </property>
</Properties>
</file>