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firstLine="0" w:firstLineChars="0"/>
        <w:jc w:val="center"/>
        <w:rPr>
          <w:rFonts w:hint="eastAsia"/>
        </w:rPr>
      </w:pPr>
      <w:r>
        <w:rPr>
          <w:rFonts w:hint="eastAsia" w:ascii="宋体" w:hAnsi="宋体" w:eastAsia="宋体" w:cs="宋体"/>
          <w:b/>
          <w:bCs/>
          <w:sz w:val="56"/>
          <w:szCs w:val="56"/>
          <w:lang w:eastAsia="zh-CN"/>
        </w:rPr>
        <w:t>信阳市生态环境局息县分局息县环境应急预案编制项目</w:t>
      </w:r>
    </w:p>
    <w:p>
      <w:pPr>
        <w:pStyle w:val="21"/>
        <w:rPr>
          <w:rFonts w:hint="eastAsia"/>
        </w:rPr>
      </w:pPr>
    </w:p>
    <w:p>
      <w:pPr>
        <w:pStyle w:val="22"/>
        <w:rPr>
          <w:rFonts w:hint="eastAsia"/>
        </w:rPr>
      </w:pPr>
    </w:p>
    <w:p>
      <w:pPr>
        <w:pStyle w:val="22"/>
        <w:rPr>
          <w:rFonts w:hint="eastAsia"/>
        </w:rPr>
      </w:pPr>
    </w:p>
    <w:p>
      <w:pPr>
        <w:spacing w:line="600" w:lineRule="auto"/>
        <w:jc w:val="both"/>
        <w:rPr>
          <w:rFonts w:hint="eastAsia" w:ascii="宋体" w:hAnsi="宋体" w:eastAsia="宋体" w:cs="宋体"/>
          <w:b/>
          <w:kern w:val="15"/>
          <w:sz w:val="72"/>
          <w:szCs w:val="52"/>
        </w:rPr>
      </w:pPr>
      <w:r>
        <w:rPr>
          <w:rFonts w:hint="eastAsia" w:ascii="宋体" w:hAnsi="宋体" w:eastAsia="宋体" w:cs="宋体"/>
          <w:b/>
          <w:kern w:val="15"/>
          <w:sz w:val="72"/>
          <w:szCs w:val="52"/>
        </w:rPr>
        <w:t>竞争性</w:t>
      </w:r>
      <w:r>
        <w:rPr>
          <w:rFonts w:hint="eastAsia" w:ascii="宋体" w:hAnsi="宋体" w:eastAsia="宋体" w:cs="宋体"/>
          <w:b/>
          <w:kern w:val="15"/>
          <w:sz w:val="72"/>
          <w:szCs w:val="52"/>
          <w:lang w:eastAsia="zh-CN"/>
        </w:rPr>
        <w:t>磋商</w:t>
      </w:r>
      <w:r>
        <w:rPr>
          <w:rFonts w:hint="eastAsia" w:ascii="宋体" w:hAnsi="宋体" w:eastAsia="宋体" w:cs="宋体"/>
          <w:b/>
          <w:kern w:val="15"/>
          <w:sz w:val="72"/>
          <w:szCs w:val="52"/>
        </w:rPr>
        <w:t>文件</w:t>
      </w:r>
    </w:p>
    <w:p>
      <w:pPr>
        <w:pStyle w:val="21"/>
        <w:rPr>
          <w:rFonts w:hint="eastAsia"/>
        </w:rPr>
      </w:pPr>
    </w:p>
    <w:p>
      <w:pPr>
        <w:autoSpaceDE w:val="0"/>
        <w:autoSpaceDN w:val="0"/>
        <w:jc w:val="center"/>
        <w:rPr>
          <w:rFonts w:hint="eastAsia" w:ascii="宋体" w:hAnsi="宋体" w:eastAsia="宋体" w:cs="宋体"/>
          <w:b/>
          <w:sz w:val="36"/>
          <w:szCs w:val="36"/>
        </w:rPr>
      </w:pPr>
      <w:r>
        <w:rPr>
          <w:rFonts w:hint="eastAsia" w:ascii="宋体" w:hAnsi="宋体" w:cs="宋体" w:eastAsiaTheme="minorEastAsia"/>
          <w:b/>
          <w:bCs/>
          <w:sz w:val="30"/>
          <w:szCs w:val="30"/>
          <w:lang w:eastAsia="zh-CN"/>
        </w:rPr>
        <w:drawing>
          <wp:anchor distT="0" distB="0" distL="114300" distR="114300" simplePos="0" relativeHeight="251659264" behindDoc="0" locked="0" layoutInCell="1" allowOverlap="1">
            <wp:simplePos x="0" y="0"/>
            <wp:positionH relativeFrom="column">
              <wp:posOffset>1215390</wp:posOffset>
            </wp:positionH>
            <wp:positionV relativeFrom="paragraph">
              <wp:posOffset>80010</wp:posOffset>
            </wp:positionV>
            <wp:extent cx="2644140" cy="2840990"/>
            <wp:effectExtent l="0" t="0" r="3810" b="16510"/>
            <wp:wrapSquare wrapText="bothSides"/>
            <wp:docPr id="6" name="图片 6"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9004943083"/>
                    <pic:cNvPicPr>
                      <a:picLocks noChangeAspect="1"/>
                    </pic:cNvPicPr>
                  </pic:nvPicPr>
                  <pic:blipFill>
                    <a:blip r:embed="rId14"/>
                    <a:srcRect l="11352" t="15442" r="7448"/>
                    <a:stretch>
                      <a:fillRect/>
                    </a:stretch>
                  </pic:blipFill>
                  <pic:spPr>
                    <a:xfrm>
                      <a:off x="0" y="0"/>
                      <a:ext cx="2644140" cy="2840990"/>
                    </a:xfrm>
                    <a:prstGeom prst="rect">
                      <a:avLst/>
                    </a:prstGeom>
                  </pic:spPr>
                </pic:pic>
              </a:graphicData>
            </a:graphic>
          </wp:anchor>
        </w:drawing>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rPr>
          <w:rFonts w:hint="eastAsia"/>
        </w:rPr>
      </w:pPr>
    </w:p>
    <w:p>
      <w:pPr>
        <w:pStyle w:val="21"/>
        <w:rPr>
          <w:rFonts w:hint="eastAsia"/>
        </w:rPr>
      </w:pPr>
    </w:p>
    <w:p>
      <w:pPr>
        <w:pStyle w:val="21"/>
        <w:rPr>
          <w:rFonts w:hint="eastAsia"/>
        </w:rPr>
      </w:pPr>
    </w:p>
    <w:p>
      <w:pPr>
        <w:pStyle w:val="21"/>
        <w:rPr>
          <w:rFonts w:hint="eastAsia"/>
          <w:lang w:val="en-US" w:eastAsia="zh-CN"/>
        </w:rPr>
      </w:pPr>
    </w:p>
    <w:p>
      <w:pPr>
        <w:tabs>
          <w:tab w:val="left" w:pos="7860"/>
        </w:tabs>
        <w:spacing w:line="480" w:lineRule="auto"/>
        <w:ind w:left="0" w:leftChars="0" w:firstLine="842" w:firstLineChars="262"/>
        <w:rPr>
          <w:rFonts w:hint="eastAsia" w:ascii="宋体" w:hAnsi="宋体" w:eastAsia="宋体" w:cs="宋体"/>
          <w:b/>
          <w:bCs/>
          <w:color w:val="auto"/>
          <w:sz w:val="32"/>
          <w:szCs w:val="32"/>
          <w:lang w:val="en-US" w:eastAsia="zh-CN"/>
        </w:rPr>
      </w:pPr>
    </w:p>
    <w:p>
      <w:pPr>
        <w:ind w:left="0" w:leftChars="0" w:firstLine="0" w:firstLineChars="0"/>
        <w:rPr>
          <w:rFonts w:hint="eastAsia" w:ascii="宋体" w:hAnsi="宋体" w:eastAsia="宋体" w:cs="宋体"/>
          <w:b/>
          <w:bCs/>
          <w:color w:val="auto"/>
          <w:sz w:val="32"/>
          <w:szCs w:val="32"/>
          <w:lang w:val="en-US" w:eastAsia="zh-CN"/>
        </w:rPr>
      </w:pPr>
    </w:p>
    <w:p>
      <w:pPr>
        <w:pStyle w:val="27"/>
        <w:rPr>
          <w:rFonts w:hint="eastAsia"/>
          <w:lang w:val="en-US" w:eastAsia="zh-CN"/>
        </w:rPr>
      </w:pPr>
    </w:p>
    <w:p>
      <w:pPr>
        <w:tabs>
          <w:tab w:val="left" w:pos="7860"/>
        </w:tabs>
        <w:spacing w:line="480" w:lineRule="auto"/>
        <w:ind w:left="0" w:leftChars="0" w:firstLine="643" w:firstLineChars="20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 xml:space="preserve">采   购   </w:t>
      </w:r>
      <w:r>
        <w:rPr>
          <w:rFonts w:hint="eastAsia" w:ascii="宋体" w:hAnsi="宋体" w:eastAsia="宋体" w:cs="宋体"/>
          <w:b/>
          <w:bCs/>
          <w:color w:val="auto"/>
          <w:sz w:val="32"/>
          <w:szCs w:val="32"/>
        </w:rPr>
        <w:t xml:space="preserve">人: </w:t>
      </w:r>
      <w:r>
        <w:rPr>
          <w:rFonts w:hint="eastAsia" w:ascii="宋体" w:hAnsi="宋体" w:eastAsia="宋体" w:cs="宋体"/>
          <w:b/>
          <w:bCs/>
          <w:color w:val="auto"/>
          <w:sz w:val="32"/>
          <w:szCs w:val="32"/>
          <w:lang w:eastAsia="zh-CN"/>
        </w:rPr>
        <w:t>信阳市生态环境局息县分局</w:t>
      </w:r>
    </w:p>
    <w:p>
      <w:pPr>
        <w:tabs>
          <w:tab w:val="left" w:pos="7860"/>
        </w:tabs>
        <w:spacing w:line="480" w:lineRule="auto"/>
        <w:ind w:left="0" w:leftChars="0"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rPr>
        <w:t xml:space="preserve">代理机构: </w:t>
      </w:r>
      <w:r>
        <w:rPr>
          <w:rFonts w:hint="eastAsia" w:ascii="宋体" w:hAnsi="宋体" w:eastAsia="宋体" w:cs="宋体"/>
          <w:b/>
          <w:bCs/>
          <w:color w:val="auto"/>
          <w:sz w:val="32"/>
          <w:szCs w:val="32"/>
          <w:lang w:eastAsia="zh-CN"/>
        </w:rPr>
        <w:t>中诺天中工程管理有限公司</w:t>
      </w:r>
    </w:p>
    <w:p>
      <w:pPr>
        <w:spacing w:line="360" w:lineRule="auto"/>
        <w:ind w:left="0" w:leftChars="0" w:firstLine="643" w:firstLineChars="200"/>
        <w:rPr>
          <w:rFonts w:ascii="宋体" w:hAnsi="宋体" w:cs="宋体"/>
          <w:b/>
          <w:sz w:val="32"/>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 xml:space="preserve"> </w:t>
      </w:r>
      <w:r>
        <w:rPr>
          <w:rFonts w:hint="eastAsia" w:ascii="宋体" w:hAnsi="宋体" w:cs="宋体"/>
          <w:b/>
          <w:sz w:val="32"/>
        </w:rPr>
        <w:t>二零二</w:t>
      </w:r>
      <w:r>
        <w:rPr>
          <w:rFonts w:hint="eastAsia" w:ascii="宋体" w:hAnsi="宋体" w:cs="宋体"/>
          <w:b/>
          <w:sz w:val="32"/>
          <w:lang w:val="en-US" w:eastAsia="zh-CN"/>
        </w:rPr>
        <w:t>四</w:t>
      </w:r>
      <w:r>
        <w:rPr>
          <w:rFonts w:hint="eastAsia" w:ascii="宋体" w:hAnsi="宋体" w:cs="宋体"/>
          <w:b/>
          <w:sz w:val="32"/>
        </w:rPr>
        <w:t>年</w:t>
      </w:r>
      <w:r>
        <w:rPr>
          <w:rFonts w:hint="eastAsia" w:ascii="宋体" w:hAnsi="宋体" w:cs="宋体"/>
          <w:b/>
          <w:sz w:val="32"/>
          <w:lang w:eastAsia="zh-CN"/>
        </w:rPr>
        <w:t>八</w:t>
      </w:r>
      <w:r>
        <w:rPr>
          <w:rFonts w:hint="eastAsia" w:ascii="宋体" w:hAnsi="宋体" w:cs="宋体"/>
          <w:b/>
          <w:sz w:val="32"/>
        </w:rPr>
        <w:t>月</w:t>
      </w:r>
    </w:p>
    <w:p>
      <w:pPr>
        <w:pStyle w:val="28"/>
        <w:jc w:val="center"/>
        <w:rPr>
          <w:rFonts w:hint="eastAsia" w:ascii="宋体" w:hAnsi="宋体" w:eastAsia="宋体" w:cs="宋体"/>
          <w:b/>
          <w:color w:val="auto"/>
          <w:spacing w:val="14"/>
          <w:sz w:val="44"/>
          <w:szCs w:val="44"/>
        </w:rPr>
        <w:sectPr>
          <w:headerReference r:id="rId5" w:type="default"/>
          <w:footerReference r:id="rId6" w:type="default"/>
          <w:pgSz w:w="11905" w:h="16838"/>
          <w:pgMar w:top="1440" w:right="1803" w:bottom="1440" w:left="1803" w:header="283"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pPr>
        <w:pStyle w:val="28"/>
        <w:jc w:val="center"/>
        <w:rPr>
          <w:rFonts w:hint="eastAsia" w:cs="宋体"/>
          <w:b/>
          <w:color w:val="auto"/>
          <w:spacing w:val="14"/>
          <w:sz w:val="44"/>
          <w:szCs w:val="44"/>
          <w:lang w:eastAsia="zh-CN"/>
        </w:rPr>
      </w:pPr>
      <w:r>
        <w:rPr>
          <w:rFonts w:hint="eastAsia" w:cs="宋体"/>
          <w:b/>
          <w:color w:val="auto"/>
          <w:spacing w:val="14"/>
          <w:sz w:val="44"/>
          <w:szCs w:val="44"/>
          <w:lang w:eastAsia="zh-CN"/>
        </w:rPr>
        <w:t>目</w:t>
      </w:r>
      <w:r>
        <w:rPr>
          <w:rFonts w:hint="eastAsia" w:cs="宋体"/>
          <w:b/>
          <w:color w:val="auto"/>
          <w:spacing w:val="14"/>
          <w:sz w:val="44"/>
          <w:szCs w:val="44"/>
          <w:lang w:val="en-US" w:eastAsia="zh-CN"/>
        </w:rPr>
        <w:t xml:space="preserve">  </w:t>
      </w:r>
      <w:r>
        <w:rPr>
          <w:rFonts w:hint="eastAsia" w:cs="宋体"/>
          <w:b/>
          <w:color w:val="auto"/>
          <w:spacing w:val="14"/>
          <w:sz w:val="44"/>
          <w:szCs w:val="44"/>
          <w:lang w:eastAsia="zh-CN"/>
        </w:rPr>
        <w:t>录</w:t>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_Toc27506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 xml:space="preserve">第一章 </w:t>
      </w:r>
      <w:r>
        <w:rPr>
          <w:rFonts w:hint="eastAsia" w:ascii="宋体" w:hAnsi="宋体" w:eastAsia="宋体" w:cs="宋体"/>
          <w:bCs/>
          <w:sz w:val="24"/>
          <w:szCs w:val="24"/>
          <w:lang w:eastAsia="zh-CN"/>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_Toc31667 </w:instrText>
      </w:r>
      <w:r>
        <w:rPr>
          <w:rFonts w:hint="eastAsia" w:ascii="宋体" w:hAnsi="宋体" w:eastAsia="宋体" w:cs="宋体"/>
          <w:sz w:val="24"/>
          <w:szCs w:val="24"/>
          <w:lang w:eastAsia="zh-CN"/>
        </w:rPr>
        <w:fldChar w:fldCharType="separate"/>
      </w:r>
      <w:r>
        <w:rPr>
          <w:rFonts w:hint="eastAsia" w:ascii="宋体" w:hAnsi="宋体" w:eastAsia="宋体" w:cs="宋体"/>
          <w:bCs w:val="0"/>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_Toc16199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_Toc16199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_Toc32243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_Toc32243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_Toc22624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2.</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_Toc22624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_Toc506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3.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_Toc22085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4. 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_Toc22085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_Toc30385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5.</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磋商开始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_Toc30385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_Toc2032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6. 磋商小组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_Toc5207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7. 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_Toc5207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_Toc20443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8.</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_Toc20443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_Toc22726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9.</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_Toc22726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_Toc18234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10. 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_Toc4003 </w:instrText>
      </w:r>
      <w:r>
        <w:rPr>
          <w:rFonts w:hint="eastAsia" w:ascii="宋体" w:hAnsi="宋体" w:eastAsia="宋体" w:cs="宋体"/>
          <w:sz w:val="24"/>
          <w:szCs w:val="24"/>
          <w:lang w:eastAsia="zh-CN"/>
        </w:rPr>
        <w:fldChar w:fldCharType="separate"/>
      </w:r>
      <w:r>
        <w:rPr>
          <w:rFonts w:hint="eastAsia" w:ascii="宋体" w:hAnsi="宋体" w:eastAsia="宋体" w:cs="宋体"/>
          <w:kern w:val="44"/>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_Toc3740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 xml:space="preserve">第四章 </w:t>
      </w:r>
      <w:r>
        <w:rPr>
          <w:rFonts w:hint="eastAsia" w:ascii="宋体" w:hAnsi="宋体" w:eastAsia="宋体" w:cs="宋体"/>
          <w:sz w:val="24"/>
          <w:szCs w:val="24"/>
        </w:rPr>
        <w:t>河南省政府采购合同（</w:t>
      </w:r>
      <w:r>
        <w:rPr>
          <w:rFonts w:hint="eastAsia" w:ascii="宋体" w:hAnsi="宋体" w:eastAsia="宋体" w:cs="宋体"/>
          <w:sz w:val="24"/>
          <w:szCs w:val="24"/>
          <w:lang w:eastAsia="zh-CN"/>
        </w:rPr>
        <w:t>参考文本</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_Toc3740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_Toc23805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_Toc23805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_Toc27038 </w:instrText>
      </w:r>
      <w:r>
        <w:rPr>
          <w:rFonts w:hint="eastAsia" w:ascii="宋体" w:hAnsi="宋体" w:eastAsia="宋体" w:cs="宋体"/>
          <w:sz w:val="24"/>
          <w:szCs w:val="24"/>
          <w:lang w:eastAsia="zh-CN"/>
        </w:rPr>
        <w:fldChar w:fldCharType="separate"/>
      </w:r>
      <w:r>
        <w:rPr>
          <w:rFonts w:hint="eastAsia" w:ascii="宋体" w:hAnsi="宋体" w:eastAsia="宋体" w:cs="宋体"/>
          <w:bCs w:val="0"/>
          <w:sz w:val="24"/>
          <w:szCs w:val="24"/>
        </w:rPr>
        <w:t xml:space="preserve">第六章 </w:t>
      </w:r>
      <w:r>
        <w:rPr>
          <w:rFonts w:hint="eastAsia" w:ascii="宋体" w:hAnsi="宋体" w:eastAsia="宋体" w:cs="宋体"/>
          <w:bCs w:val="0"/>
          <w:sz w:val="24"/>
          <w:szCs w:val="24"/>
          <w:lang w:eastAsia="zh-CN"/>
        </w:rPr>
        <w:t>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_Toc27038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_Toc31597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响应函</w:t>
      </w:r>
      <w:r>
        <w:rPr>
          <w:rFonts w:hint="eastAsia" w:ascii="宋体" w:hAnsi="宋体" w:eastAsia="宋体" w:cs="宋体"/>
          <w:sz w:val="24"/>
          <w:szCs w:val="24"/>
        </w:rPr>
        <w:t>及</w:t>
      </w:r>
      <w:r>
        <w:rPr>
          <w:rFonts w:hint="eastAsia" w:ascii="宋体" w:hAnsi="宋体" w:eastAsia="宋体" w:cs="宋体"/>
          <w:sz w:val="24"/>
          <w:szCs w:val="24"/>
          <w:lang w:eastAsia="zh-CN"/>
        </w:rPr>
        <w:t>响应函</w:t>
      </w:r>
      <w:r>
        <w:rPr>
          <w:rFonts w:hint="eastAsia" w:ascii="宋体" w:hAnsi="宋体" w:eastAsia="宋体" w:cs="宋体"/>
          <w:sz w:val="24"/>
          <w:szCs w:val="24"/>
        </w:rPr>
        <w:t>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_Toc31597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_Toc20535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二、法定代表</w:t>
      </w:r>
      <w:r>
        <w:rPr>
          <w:rFonts w:hint="eastAsia" w:ascii="宋体" w:hAnsi="宋体" w:eastAsia="宋体" w:cs="宋体"/>
          <w:sz w:val="24"/>
          <w:szCs w:val="24"/>
          <w:lang w:eastAsia="zh-CN"/>
        </w:rPr>
        <w:t>人</w:t>
      </w:r>
      <w:r>
        <w:rPr>
          <w:rFonts w:hint="eastAsia" w:ascii="宋体" w:hAnsi="宋体" w:eastAsia="宋体" w:cs="宋体"/>
          <w:sz w:val="24"/>
          <w:szCs w:val="24"/>
        </w:rPr>
        <w:t>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_Toc21011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_Toc21011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_Toc25801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_Toc25801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_Toc15736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_Toc15736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_Toc13290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_Toc13290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_Toc30275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eastAsia="zh-CN"/>
        </w:rPr>
        <w:t>七</w:t>
      </w:r>
      <w:r>
        <w:rPr>
          <w:rFonts w:hint="eastAsia" w:ascii="宋体" w:hAnsi="宋体" w:eastAsia="宋体" w:cs="宋体"/>
          <w:bCs/>
          <w:sz w:val="24"/>
          <w:szCs w:val="24"/>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_Toc30275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_Toc2203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eastAsia="zh-CN"/>
        </w:rPr>
        <w:t>八</w:t>
      </w:r>
      <w:r>
        <w:rPr>
          <w:rFonts w:hint="eastAsia" w:ascii="宋体" w:hAnsi="宋体" w:eastAsia="宋体" w:cs="宋体"/>
          <w:bCs/>
          <w:sz w:val="24"/>
          <w:szCs w:val="24"/>
        </w:rPr>
        <w:t>、监狱企业证明文件（如有）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_Toc2203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_Toc9761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eastAsia="zh-CN"/>
        </w:rPr>
        <w:t>九</w:t>
      </w:r>
      <w:r>
        <w:rPr>
          <w:rFonts w:hint="eastAsia" w:ascii="宋体" w:hAnsi="宋体" w:eastAsia="宋体" w:cs="宋体"/>
          <w:bCs/>
          <w:sz w:val="24"/>
          <w:szCs w:val="24"/>
        </w:rPr>
        <w:t>、反商业贿赂承诺书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_Toc9761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17"/>
        <w:keepNext w:val="0"/>
        <w:keepLines w:val="0"/>
        <w:pageBreakBefore w:val="0"/>
        <w:tabs>
          <w:tab w:val="right" w:leader="dot" w:pos="8299"/>
        </w:tabs>
        <w:kinsoku/>
        <w:wordWrap/>
        <w:overflowPunct/>
        <w:topLinePunct w:val="0"/>
        <w:autoSpaceDE/>
        <w:autoSpaceDN/>
        <w:bidi w:val="0"/>
        <w:adjustRightInd/>
        <w:snapToGrid/>
        <w:spacing w:after="0" w:after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_Toc28113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_Toc28113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kinsoku/>
        <w:wordWrap/>
        <w:overflowPunct/>
        <w:topLinePunct w:val="0"/>
        <w:autoSpaceDE/>
        <w:autoSpaceDN/>
        <w:bidi w:val="0"/>
        <w:adjustRightInd/>
        <w:snapToGrid/>
        <w:spacing w:after="0" w:afterLines="0" w:line="480" w:lineRule="exact"/>
        <w:textAlignment w:val="auto"/>
        <w:rPr>
          <w:rFonts w:hint="eastAsia"/>
          <w:lang w:eastAsia="zh-CN"/>
        </w:rPr>
        <w:sectPr>
          <w:pgSz w:w="11905" w:h="16838"/>
          <w:pgMar w:top="1440" w:right="1803" w:bottom="1440" w:left="1803" w:header="227"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sz w:val="24"/>
          <w:szCs w:val="24"/>
          <w:lang w:eastAsia="zh-CN"/>
        </w:rPr>
        <w:fldChar w:fldCharType="end"/>
      </w:r>
    </w:p>
    <w:p>
      <w:pPr>
        <w:pStyle w:val="17"/>
        <w:tabs>
          <w:tab w:val="right" w:leader="underscore" w:pos="8296"/>
        </w:tabs>
        <w:spacing w:after="0" w:afterLines="0" w:line="360" w:lineRule="auto"/>
        <w:ind w:left="0"/>
        <w:jc w:val="center"/>
        <w:outlineLvl w:val="0"/>
        <w:rPr>
          <w:rFonts w:hint="eastAsia" w:ascii="宋体" w:hAnsi="宋体" w:eastAsia="宋体" w:cs="宋体"/>
          <w:b/>
          <w:bCs/>
          <w:color w:val="auto"/>
          <w:sz w:val="32"/>
          <w:szCs w:val="32"/>
          <w:lang w:eastAsia="zh-CN"/>
        </w:rPr>
      </w:pPr>
      <w:bookmarkStart w:id="0" w:name="_Toc30363"/>
      <w:bookmarkStart w:id="1" w:name="_Toc27506"/>
      <w:r>
        <w:rPr>
          <w:rFonts w:hint="eastAsia" w:ascii="宋体" w:hAnsi="宋体" w:cs="宋体"/>
          <w:b/>
          <w:bCs/>
          <w:color w:val="auto"/>
          <w:sz w:val="32"/>
          <w:szCs w:val="32"/>
        </w:rPr>
        <w:t xml:space="preserve">第一章 </w:t>
      </w:r>
      <w:bookmarkEnd w:id="0"/>
      <w:r>
        <w:rPr>
          <w:rFonts w:hint="eastAsia" w:ascii="宋体" w:hAnsi="宋体" w:cs="宋体"/>
          <w:b/>
          <w:bCs/>
          <w:color w:val="auto"/>
          <w:sz w:val="32"/>
          <w:szCs w:val="32"/>
          <w:lang w:eastAsia="zh-CN"/>
        </w:rPr>
        <w:t>竞争性磋商公告</w:t>
      </w:r>
      <w:bookmarkEnd w:id="1"/>
    </w:p>
    <w:p>
      <w:pPr>
        <w:pStyle w:val="42"/>
        <w:keepNext w:val="0"/>
        <w:keepLines w:val="0"/>
        <w:pageBreakBefore w:val="0"/>
        <w:widowControl/>
        <w:kinsoku/>
        <w:wordWrap/>
        <w:overflowPunct/>
        <w:topLinePunct w:val="0"/>
        <w:autoSpaceDE/>
        <w:autoSpaceDN/>
        <w:bidi w:val="0"/>
        <w:adjustRightInd/>
        <w:snapToGrid/>
        <w:spacing w:before="0" w:after="0" w:line="500" w:lineRule="exact"/>
        <w:jc w:val="center"/>
        <w:textAlignment w:val="auto"/>
        <w:rPr>
          <w:rFonts w:hint="eastAsia"/>
          <w:b/>
          <w:bCs/>
          <w:sz w:val="32"/>
          <w:szCs w:val="32"/>
          <w:lang w:eastAsia="zh-CN"/>
        </w:rPr>
      </w:pPr>
      <w:bookmarkStart w:id="2" w:name="OLE_LINK1"/>
      <w:bookmarkStart w:id="3" w:name="_Toc152042303"/>
      <w:bookmarkStart w:id="4" w:name="_Toc144974495"/>
      <w:bookmarkStart w:id="5" w:name="_Toc152045527"/>
      <w:r>
        <w:rPr>
          <w:rFonts w:hint="eastAsia"/>
          <w:b/>
          <w:bCs/>
          <w:sz w:val="32"/>
          <w:szCs w:val="32"/>
          <w:lang w:eastAsia="zh-CN"/>
        </w:rPr>
        <w:t>信阳市生态环境局息县分局息县环境应急预案编制项目</w:t>
      </w:r>
    </w:p>
    <w:p>
      <w:pPr>
        <w:pStyle w:val="42"/>
        <w:keepNext w:val="0"/>
        <w:keepLines w:val="0"/>
        <w:pageBreakBefore w:val="0"/>
        <w:widowControl/>
        <w:kinsoku/>
        <w:wordWrap/>
        <w:overflowPunct/>
        <w:topLinePunct w:val="0"/>
        <w:autoSpaceDE/>
        <w:autoSpaceDN/>
        <w:bidi w:val="0"/>
        <w:adjustRightInd/>
        <w:snapToGrid/>
        <w:spacing w:before="0" w:after="0" w:line="500" w:lineRule="exact"/>
        <w:jc w:val="center"/>
        <w:textAlignment w:val="auto"/>
        <w:rPr>
          <w:rFonts w:hint="eastAsia"/>
          <w:b/>
          <w:bCs/>
          <w:sz w:val="32"/>
          <w:szCs w:val="32"/>
          <w:lang w:eastAsia="zh-CN"/>
        </w:rPr>
      </w:pPr>
      <w:r>
        <w:rPr>
          <w:rFonts w:hint="eastAsia"/>
          <w:b/>
          <w:bCs/>
          <w:sz w:val="32"/>
          <w:szCs w:val="32"/>
          <w:lang w:eastAsia="zh-CN"/>
        </w:rPr>
        <w:t>竞争性磋商公告</w:t>
      </w:r>
    </w:p>
    <w:p>
      <w:pPr>
        <w:pStyle w:val="44"/>
        <w:rPr>
          <w:rFonts w:hint="eastAsia"/>
          <w:lang w:eastAsia="zh-CN"/>
        </w:rPr>
      </w:pPr>
    </w:p>
    <w:p>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项</w:t>
      </w:r>
      <w:r>
        <w:rPr>
          <w:rFonts w:hint="eastAsia" w:ascii="宋体" w:hAnsi="宋体" w:eastAsia="宋体" w:cs="宋体"/>
          <w:sz w:val="24"/>
          <w:szCs w:val="24"/>
        </w:rPr>
        <w:t>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信阳市生态环境局息县分局息县环境应急预案编制项目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采购项目的潜在供应商应在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（全国公共资源交易平台（河南省·息县）</w:t>
      </w:r>
      <w:r>
        <w:rPr>
          <w:rFonts w:hint="eastAsia" w:ascii="宋体" w:hAnsi="宋体" w:eastAsia="宋体" w:cs="宋体"/>
          <w:b w:val="0"/>
          <w:bCs/>
          <w:i w:val="0"/>
          <w:iCs w:val="0"/>
          <w:sz w:val="24"/>
          <w:szCs w:val="24"/>
          <w:highlight w:val="none"/>
          <w:u w:val="single"/>
          <w:lang w:eastAsia="zh-CN"/>
        </w:rPr>
        <w:t>http://ggzyjy.xinyang.gov.cn/xixian/</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获取采购文件，并于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2024 </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8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15 </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09  </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30 </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val="0"/>
          <w:sz w:val="24"/>
          <w:szCs w:val="24"/>
          <w:highlight w:val="none"/>
        </w:rPr>
      </w:pPr>
      <w:bookmarkStart w:id="6" w:name="_Toc24425"/>
      <w:bookmarkStart w:id="7" w:name="_Toc19595"/>
      <w:bookmarkStart w:id="8" w:name="_Toc28359089"/>
      <w:bookmarkStart w:id="9" w:name="_Toc1732"/>
      <w:bookmarkStart w:id="10" w:name="_Toc13077"/>
      <w:bookmarkStart w:id="11" w:name="_Toc28359012"/>
      <w:bookmarkStart w:id="12" w:name="_Toc13689"/>
      <w:bookmarkStart w:id="13" w:name="_Toc35393629"/>
      <w:bookmarkStart w:id="14" w:name="_Toc12313"/>
      <w:bookmarkStart w:id="15" w:name="_Toc30364"/>
      <w:bookmarkStart w:id="16" w:name="_Toc35393798"/>
      <w:bookmarkStart w:id="17" w:name="_Toc27258"/>
      <w:r>
        <w:rPr>
          <w:rFonts w:hint="eastAsia" w:ascii="宋体" w:hAnsi="宋体" w:eastAsia="宋体" w:cs="宋体"/>
          <w:b w:val="0"/>
          <w:sz w:val="24"/>
          <w:szCs w:val="24"/>
          <w:highlight w:val="none"/>
        </w:rPr>
        <w:t>一、项目基本情况</w:t>
      </w:r>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：息财磋商-202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信阳市生态环境局息县分局息县环境应急预案编制项目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采购方式：</w:t>
      </w:r>
      <w:r>
        <w:rPr>
          <w:rFonts w:hint="eastAsia" w:ascii="宋体" w:hAnsi="宋体" w:eastAsia="宋体" w:cs="宋体"/>
          <w:sz w:val="24"/>
          <w:szCs w:val="24"/>
          <w:lang w:eastAsia="zh-CN"/>
        </w:rPr>
        <w:t>竞争性磋商</w:t>
      </w:r>
      <w:bookmarkStart w:id="1353" w:name="_GoBack"/>
      <w:bookmarkEnd w:id="1353"/>
    </w:p>
    <w:p>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540000.00</w:t>
      </w:r>
      <w:r>
        <w:rPr>
          <w:rFonts w:hint="eastAsia" w:ascii="宋体" w:hAnsi="宋体" w:eastAsia="宋体" w:cs="宋体"/>
          <w:color w:val="auto"/>
          <w:sz w:val="24"/>
          <w:szCs w:val="24"/>
          <w:highlight w:val="none"/>
        </w:rPr>
        <w:t xml:space="preserve">元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784" w:firstLineChars="3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540000.00</w:t>
      </w:r>
      <w:r>
        <w:rPr>
          <w:rFonts w:hint="eastAsia" w:ascii="宋体" w:hAnsi="宋体" w:eastAsia="宋体" w:cs="宋体"/>
          <w:color w:val="auto"/>
          <w:sz w:val="24"/>
          <w:szCs w:val="24"/>
          <w:highlight w:val="none"/>
        </w:rPr>
        <w:t>元</w:t>
      </w:r>
    </w:p>
    <w:tbl>
      <w:tblPr>
        <w:tblStyle w:val="24"/>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16"/>
        <w:gridCol w:w="3198"/>
        <w:gridCol w:w="151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tcPr>
          <w:p>
            <w:pPr>
              <w:pStyle w:val="21"/>
              <w:ind w:left="0" w:leftChars="0" w:firstLine="0" w:firstLineChars="0"/>
              <w:jc w:val="both"/>
              <w:rPr>
                <w:rFonts w:hint="eastAsia" w:eastAsiaTheme="minorEastAsia"/>
                <w:color w:val="auto"/>
                <w:sz w:val="24"/>
                <w:szCs w:val="24"/>
                <w:vertAlign w:val="baseline"/>
                <w:lang w:val="en-US" w:eastAsia="zh-CN"/>
              </w:rPr>
            </w:pPr>
            <w:r>
              <w:rPr>
                <w:rFonts w:hint="eastAsia"/>
                <w:color w:val="auto"/>
                <w:sz w:val="24"/>
                <w:szCs w:val="24"/>
                <w:vertAlign w:val="baseline"/>
                <w:lang w:val="en-US" w:eastAsia="zh-CN"/>
              </w:rPr>
              <w:t>序号</w:t>
            </w:r>
          </w:p>
        </w:tc>
        <w:tc>
          <w:tcPr>
            <w:tcW w:w="2616" w:type="dxa"/>
          </w:tcPr>
          <w:p>
            <w:pPr>
              <w:pStyle w:val="21"/>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包号</w:t>
            </w:r>
          </w:p>
        </w:tc>
        <w:tc>
          <w:tcPr>
            <w:tcW w:w="3198" w:type="dxa"/>
          </w:tcPr>
          <w:p>
            <w:pPr>
              <w:pStyle w:val="21"/>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包名称</w:t>
            </w:r>
          </w:p>
        </w:tc>
        <w:tc>
          <w:tcPr>
            <w:tcW w:w="1515" w:type="dxa"/>
          </w:tcPr>
          <w:p>
            <w:pPr>
              <w:pStyle w:val="21"/>
              <w:ind w:left="0" w:leftChars="0" w:firstLine="0" w:firstLineChars="0"/>
              <w:jc w:val="both"/>
              <w:rPr>
                <w:rFonts w:hint="eastAsia" w:eastAsiaTheme="minorEastAsia"/>
                <w:color w:val="auto"/>
                <w:sz w:val="24"/>
                <w:szCs w:val="24"/>
                <w:vertAlign w:val="baseline"/>
                <w:lang w:eastAsia="zh-CN"/>
              </w:rPr>
            </w:pPr>
            <w:r>
              <w:rPr>
                <w:rFonts w:hint="eastAsia"/>
                <w:color w:val="auto"/>
                <w:sz w:val="24"/>
                <w:szCs w:val="24"/>
                <w:vertAlign w:val="baseline"/>
                <w:lang w:eastAsia="zh-CN"/>
              </w:rPr>
              <w:t>包预算（元）</w:t>
            </w:r>
          </w:p>
        </w:tc>
        <w:tc>
          <w:tcPr>
            <w:tcW w:w="1920" w:type="dxa"/>
          </w:tcPr>
          <w:p>
            <w:pPr>
              <w:pStyle w:val="21"/>
              <w:ind w:left="0" w:leftChars="0" w:firstLine="0" w:firstLineChars="0"/>
              <w:jc w:val="both"/>
              <w:rPr>
                <w:rFonts w:hint="eastAsia" w:eastAsiaTheme="minorEastAsia"/>
                <w:color w:val="auto"/>
                <w:sz w:val="24"/>
                <w:szCs w:val="24"/>
                <w:vertAlign w:val="baseline"/>
                <w:lang w:eastAsia="zh-CN"/>
              </w:rPr>
            </w:pPr>
            <w:r>
              <w:rPr>
                <w:rFonts w:hint="eastAsia"/>
                <w:color w:val="auto"/>
                <w:sz w:val="24"/>
                <w:szCs w:val="24"/>
                <w:vertAlign w:val="baseli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7" w:type="dxa"/>
          </w:tcPr>
          <w:p>
            <w:pPr>
              <w:pStyle w:val="21"/>
              <w:rPr>
                <w:rFonts w:hint="eastAsia" w:eastAsiaTheme="minorEastAsia"/>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616" w:type="dxa"/>
          </w:tcPr>
          <w:p>
            <w:pPr>
              <w:pStyle w:val="21"/>
              <w:ind w:left="0" w:leftChars="0" w:firstLine="0" w:firstLineChars="0"/>
              <w:rPr>
                <w:rFonts w:hint="default" w:eastAsia="宋体"/>
                <w:color w:val="auto"/>
                <w:sz w:val="24"/>
                <w:szCs w:val="24"/>
                <w:vertAlign w:val="baseline"/>
                <w:lang w:val="en-US" w:eastAsia="zh-CN"/>
              </w:rPr>
            </w:pPr>
            <w:r>
              <w:rPr>
                <w:rFonts w:hint="eastAsia" w:ascii="宋体" w:hAnsi="宋体" w:eastAsia="宋体" w:cs="宋体"/>
                <w:color w:val="auto"/>
                <w:sz w:val="24"/>
                <w:szCs w:val="24"/>
                <w:highlight w:val="none"/>
              </w:rPr>
              <w:t>息财磋商-2024-0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p>
        </w:tc>
        <w:tc>
          <w:tcPr>
            <w:tcW w:w="3198" w:type="dxa"/>
            <w:vAlign w:val="center"/>
          </w:tcPr>
          <w:p>
            <w:pPr>
              <w:pStyle w:val="21"/>
              <w:spacing w:line="240" w:lineRule="auto"/>
              <w:ind w:left="0" w:leftChars="0" w:firstLine="0" w:firstLineChars="0"/>
              <w:jc w:val="center"/>
              <w:rPr>
                <w:rFonts w:hint="eastAsia"/>
                <w:color w:val="auto"/>
                <w:sz w:val="24"/>
                <w:szCs w:val="24"/>
                <w:vertAlign w:val="baseline"/>
              </w:rPr>
            </w:pPr>
            <w:r>
              <w:rPr>
                <w:rFonts w:hint="eastAsia" w:ascii="宋体" w:hAnsi="宋体" w:eastAsia="宋体" w:cs="宋体"/>
                <w:color w:val="auto"/>
                <w:sz w:val="24"/>
                <w:szCs w:val="24"/>
                <w:highlight w:val="none"/>
                <w:lang w:eastAsia="zh-CN"/>
              </w:rPr>
              <w:t>信阳市生态环境局息县分局息县环境应急预案编制项目</w:t>
            </w:r>
          </w:p>
        </w:tc>
        <w:tc>
          <w:tcPr>
            <w:tcW w:w="1515" w:type="dxa"/>
          </w:tcPr>
          <w:p>
            <w:pPr>
              <w:ind w:left="0" w:leftChars="0" w:firstLine="0" w:firstLineChars="0"/>
              <w:jc w:val="center"/>
              <w:rPr>
                <w:rFonts w:hint="default" w:eastAsiaTheme="minorEastAsia"/>
                <w:color w:val="auto"/>
                <w:sz w:val="24"/>
                <w:szCs w:val="24"/>
                <w:vertAlign w:val="baseline"/>
                <w:lang w:val="en-US" w:eastAsia="zh-CN"/>
              </w:rPr>
            </w:pPr>
            <w:r>
              <w:rPr>
                <w:rFonts w:hint="eastAsia" w:ascii="宋体" w:hAnsi="宋体" w:eastAsia="宋体" w:cs="宋体"/>
                <w:color w:val="auto"/>
                <w:sz w:val="24"/>
                <w:szCs w:val="24"/>
                <w:highlight w:val="none"/>
                <w:lang w:val="en-US" w:eastAsia="zh-CN"/>
              </w:rPr>
              <w:t>540000.00</w:t>
            </w:r>
          </w:p>
        </w:tc>
        <w:tc>
          <w:tcPr>
            <w:tcW w:w="1920" w:type="dxa"/>
          </w:tcPr>
          <w:p>
            <w:pPr>
              <w:ind w:left="0" w:leftChars="0" w:firstLine="0" w:firstLineChars="0"/>
              <w:jc w:val="center"/>
              <w:rPr>
                <w:rFonts w:hint="eastAsia"/>
                <w:color w:val="auto"/>
                <w:sz w:val="24"/>
                <w:szCs w:val="24"/>
                <w:vertAlign w:val="baseline"/>
              </w:rPr>
            </w:pPr>
            <w:r>
              <w:rPr>
                <w:rFonts w:hint="eastAsia" w:ascii="宋体" w:hAnsi="宋体" w:eastAsia="宋体" w:cs="宋体"/>
                <w:color w:val="auto"/>
                <w:sz w:val="24"/>
                <w:szCs w:val="24"/>
                <w:highlight w:val="none"/>
                <w:lang w:val="en-US" w:eastAsia="zh-CN"/>
              </w:rPr>
              <w:t>540000.00</w:t>
            </w:r>
          </w:p>
        </w:tc>
      </w:tr>
    </w:tbl>
    <w:p>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5.采购需求：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财政</w:t>
      </w:r>
      <w:r>
        <w:rPr>
          <w:rFonts w:hint="eastAsia" w:ascii="宋体" w:hAnsi="宋体" w:cs="宋体"/>
          <w:sz w:val="24"/>
          <w:highlight w:val="none"/>
        </w:rPr>
        <w:t>资金，已落实</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w:t>
      </w:r>
      <w:r>
        <w:rPr>
          <w:rFonts w:hint="eastAsia" w:ascii="宋体" w:hAnsi="宋体" w:cs="宋体"/>
          <w:sz w:val="24"/>
          <w:highlight w:val="none"/>
          <w:lang w:eastAsia="zh-CN"/>
        </w:rPr>
        <w:t>磋商</w:t>
      </w:r>
      <w:r>
        <w:rPr>
          <w:rFonts w:hint="eastAsia" w:ascii="宋体" w:hAnsi="宋体" w:cs="宋体"/>
          <w:sz w:val="24"/>
          <w:highlight w:val="none"/>
        </w:rPr>
        <w:t>内容：</w:t>
      </w:r>
      <w:r>
        <w:rPr>
          <w:rFonts w:hint="eastAsia" w:ascii="宋体" w:hAnsi="宋体" w:eastAsia="宋体" w:cs="宋体"/>
          <w:i w:val="0"/>
          <w:iCs w:val="0"/>
          <w:sz w:val="24"/>
          <w:szCs w:val="24"/>
          <w:highlight w:val="none"/>
          <w:lang w:eastAsia="zh-CN"/>
        </w:rPr>
        <w:t>编制信阳市息县突发环境事件应急预案，并组织策划信阳市息县突发环境事件应急演练等服务内容（具体内容详见竞争性磋商文件）</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60日历天</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达到国家相关行业质量合格标准，满足采购人要求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60日历天</w:t>
      </w:r>
    </w:p>
    <w:p>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7.本项目（是/否）接受联合体投标：否</w:t>
      </w:r>
    </w:p>
    <w:p>
      <w:pPr>
        <w:pStyle w:val="21"/>
        <w:spacing w:after="0" w:line="500" w:lineRule="exact"/>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pPr>
        <w:pStyle w:val="21"/>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rPr>
      </w:pPr>
      <w:bookmarkStart w:id="18" w:name="_Toc8368"/>
      <w:bookmarkStart w:id="19" w:name="_Toc28359090"/>
      <w:bookmarkStart w:id="20" w:name="_Toc19866"/>
      <w:bookmarkStart w:id="21" w:name="_Toc35393799"/>
      <w:bookmarkStart w:id="22" w:name="_Toc8367"/>
      <w:bookmarkStart w:id="23" w:name="_Toc11451"/>
      <w:bookmarkStart w:id="24" w:name="_Toc28359013"/>
      <w:bookmarkStart w:id="25" w:name="_Toc22314"/>
      <w:bookmarkStart w:id="26" w:name="_Toc18864"/>
      <w:bookmarkStart w:id="27" w:name="_Toc12712"/>
      <w:bookmarkStart w:id="28" w:name="_Toc35393630"/>
      <w:bookmarkStart w:id="29" w:name="_Toc5017"/>
      <w:r>
        <w:rPr>
          <w:rFonts w:hint="eastAsia" w:ascii="宋体" w:hAnsi="宋体" w:eastAsia="宋体" w:cs="宋体"/>
          <w:b w:val="0"/>
          <w:sz w:val="24"/>
          <w:szCs w:val="24"/>
        </w:rPr>
        <w:t>二、申请人的资格要求</w:t>
      </w:r>
      <w:bookmarkEnd w:id="18"/>
      <w:bookmarkEnd w:id="19"/>
      <w:bookmarkEnd w:id="20"/>
      <w:bookmarkEnd w:id="21"/>
      <w:bookmarkEnd w:id="22"/>
      <w:bookmarkEnd w:id="23"/>
      <w:bookmarkEnd w:id="24"/>
      <w:bookmarkEnd w:id="25"/>
      <w:bookmarkEnd w:id="26"/>
      <w:bookmarkEnd w:id="27"/>
      <w:bookmarkEnd w:id="28"/>
      <w:bookmarkEnd w:id="29"/>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pStyle w:val="19"/>
        <w:keepNext w:val="0"/>
        <w:keepLines w:val="0"/>
        <w:pageBreakBefore w:val="0"/>
        <w:widowControl w:val="0"/>
        <w:kinsoku/>
        <w:overflowPunct/>
        <w:topLinePunct w:val="0"/>
        <w:autoSpaceDE/>
        <w:autoSpaceDN/>
        <w:bidi w:val="0"/>
        <w:snapToGrid/>
        <w:spacing w:before="0" w:beforeAutospacing="0" w:after="0" w:afterAutospacing="0"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rPr>
        <w:t>2.落实政府采购政策需满足的资格要求：</w:t>
      </w:r>
      <w:r>
        <w:rPr>
          <w:rFonts w:hint="eastAsia" w:ascii="宋体" w:hAnsi="宋体" w:eastAsia="宋体" w:cs="宋体"/>
          <w:b/>
          <w:bCs/>
          <w:color w:val="auto"/>
          <w:sz w:val="24"/>
          <w:szCs w:val="24"/>
          <w:highlight w:val="none"/>
          <w:lang w:val="en-US" w:eastAsia="zh-CN"/>
        </w:rPr>
        <w:t>本项目专门面向中小企业采购。</w:t>
      </w:r>
    </w:p>
    <w:p>
      <w:pPr>
        <w:spacing w:line="500" w:lineRule="exact"/>
        <w:ind w:firstLine="482"/>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3.本项目的特定资格要求：</w:t>
      </w:r>
    </w:p>
    <w:p>
      <w:pPr>
        <w:pStyle w:val="3"/>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eastAsia="宋体" w:cs="宋体"/>
          <w:bCs/>
          <w:sz w:val="24"/>
          <w:szCs w:val="24"/>
          <w:highlight w:val="none"/>
        </w:rPr>
      </w:pPr>
      <w:bookmarkStart w:id="30" w:name="_Toc7836"/>
      <w:bookmarkStart w:id="31" w:name="_Toc32073"/>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30"/>
      <w:bookmarkEnd w:id="31"/>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年度或202</w:t>
      </w:r>
      <w:r>
        <w:rPr>
          <w:rFonts w:hint="eastAsia" w:ascii="宋体" w:hAnsi="宋体" w:cs="宋体"/>
          <w:sz w:val="24"/>
          <w:szCs w:val="24"/>
          <w:lang w:val="en-US" w:eastAsia="zh-CN"/>
        </w:rPr>
        <w:t>3</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rPr>
        <w:t>依法免税供应商，应提供相应文件证明</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rPr>
        <w:t>依法不需要缴纳社会保障资金的供应商，应提供相应文件证明</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w:t>
      </w:r>
      <w:r>
        <w:rPr>
          <w:rFonts w:hint="eastAsia" w:ascii="宋体" w:hAnsi="宋体" w:cs="宋体"/>
          <w:sz w:val="24"/>
          <w:szCs w:val="24"/>
        </w:rPr>
        <w:t>（默认书面声明）</w:t>
      </w:r>
      <w:r>
        <w:rPr>
          <w:rFonts w:hint="eastAsia" w:ascii="宋体" w:hAnsi="宋体" w:cs="宋体"/>
          <w:sz w:val="24"/>
          <w:szCs w:val="24"/>
          <w:highlight w:val="none"/>
        </w:rPr>
        <w:t>；</w:t>
      </w:r>
    </w:p>
    <w:p>
      <w:pPr>
        <w:spacing w:line="500" w:lineRule="exact"/>
        <w:ind w:firstLine="480"/>
        <w:jc w:val="left"/>
        <w:rPr>
          <w:rFonts w:hint="eastAsia" w:ascii="宋体" w:hAnsi="宋体" w:eastAsia="宋体" w:cs="宋体"/>
          <w:b w:val="0"/>
          <w:bCs w:val="0"/>
          <w:sz w:val="24"/>
          <w:szCs w:val="24"/>
        </w:rPr>
      </w:pPr>
      <w:r>
        <w:rPr>
          <w:rFonts w:hint="eastAsia" w:ascii="宋体" w:hAnsi="宋体" w:cs="宋体"/>
          <w:sz w:val="24"/>
          <w:szCs w:val="24"/>
          <w:highlight w:val="none"/>
        </w:rPr>
        <w:t>⑥未被列入失信被执行人、重大税收违法案件当事人名单政府采购严重违法失信行为记录名单的证明材料。（默认</w:t>
      </w:r>
      <w:r>
        <w:rPr>
          <w:rFonts w:hint="eastAsia" w:ascii="宋体" w:hAnsi="宋体" w:cs="宋体"/>
          <w:sz w:val="24"/>
          <w:szCs w:val="24"/>
        </w:rPr>
        <w:t>网页截图</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rPr>
      </w:pPr>
      <w:bookmarkStart w:id="32" w:name="_Toc22088"/>
      <w:bookmarkStart w:id="33" w:name="_Toc17803"/>
      <w:bookmarkStart w:id="34" w:name="_Toc28876"/>
      <w:bookmarkStart w:id="35" w:name="_Toc23704"/>
      <w:bookmarkStart w:id="36" w:name="_Toc13112"/>
      <w:bookmarkStart w:id="37" w:name="_Toc27024"/>
      <w:bookmarkStart w:id="38" w:name="_Toc8327"/>
      <w:r>
        <w:rPr>
          <w:rFonts w:hint="eastAsia" w:ascii="宋体" w:hAnsi="宋体" w:eastAsia="宋体" w:cs="宋体"/>
          <w:b w:val="0"/>
          <w:sz w:val="24"/>
          <w:szCs w:val="24"/>
        </w:rPr>
        <w:t>三、获取采购文件</w:t>
      </w:r>
      <w:bookmarkEnd w:id="32"/>
      <w:bookmarkEnd w:id="33"/>
      <w:bookmarkEnd w:id="34"/>
      <w:bookmarkEnd w:id="35"/>
      <w:bookmarkEnd w:id="36"/>
      <w:bookmarkEnd w:id="37"/>
      <w:bookmarkEnd w:id="38"/>
    </w:p>
    <w:p>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 xml:space="preserve"> 2024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8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lang w:val="en-US" w:eastAsia="zh-CN"/>
        </w:rPr>
        <w:t xml:space="preserve"> 2024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8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9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rPr>
        <w:t>地点：全国公共资源交易平台（河南省·息县）官方网站</w:t>
      </w:r>
    </w:p>
    <w:p>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方式：</w:t>
      </w:r>
    </w:p>
    <w:p>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3.1凡有意参加本项目的</w:t>
      </w:r>
      <w:r>
        <w:rPr>
          <w:rFonts w:hint="eastAsia" w:ascii="宋体" w:hAnsi="宋体" w:eastAsia="宋体" w:cs="宋体"/>
          <w:sz w:val="24"/>
          <w:szCs w:val="24"/>
          <w:lang w:eastAsia="zh-CN"/>
        </w:rPr>
        <w:t>投标供应商</w:t>
      </w:r>
      <w:r>
        <w:rPr>
          <w:rFonts w:hint="eastAsia" w:ascii="宋体" w:hAnsi="宋体" w:eastAsia="宋体" w:cs="宋体"/>
          <w:sz w:val="24"/>
          <w:szCs w:val="24"/>
        </w:rPr>
        <w:t>，请</w:t>
      </w:r>
      <w:r>
        <w:rPr>
          <w:rFonts w:hint="eastAsia" w:ascii="宋体" w:hAnsi="宋体" w:eastAsia="宋体" w:cs="宋体"/>
          <w:sz w:val="24"/>
          <w:szCs w:val="24"/>
          <w:lang w:eastAsia="zh-CN"/>
        </w:rPr>
        <w:t>登录</w:t>
      </w:r>
      <w:r>
        <w:rPr>
          <w:rFonts w:hint="eastAsia" w:ascii="宋体" w:hAnsi="宋体" w:eastAsia="宋体" w:cs="宋体"/>
          <w:sz w:val="24"/>
          <w:szCs w:val="24"/>
        </w:rPr>
        <w:t>“信阳市公共资源交易中心（</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）”网站进行交易主体自主注册，按网站公告通知有关要求填报企业信息并上传有关原件扫描件，不需携带原件到信阳市公共资源交易中心进行审核。</w:t>
      </w:r>
    </w:p>
    <w:p>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3.2完成企业诚信库注册后，必须办理CA数字证书方可在网上办理招投标相关业务。</w:t>
      </w:r>
      <w:r>
        <w:rPr>
          <w:rFonts w:hint="eastAsia" w:ascii="宋体" w:hAnsi="宋体" w:eastAsia="宋体" w:cs="宋体"/>
          <w:sz w:val="24"/>
          <w:szCs w:val="24"/>
          <w:lang w:eastAsia="zh-CN"/>
        </w:rPr>
        <w:t>投标供应商</w:t>
      </w:r>
      <w:r>
        <w:rPr>
          <w:rFonts w:hint="eastAsia" w:ascii="宋体" w:hAnsi="宋体" w:eastAsia="宋体" w:cs="宋体"/>
          <w:sz w:val="24"/>
          <w:szCs w:val="24"/>
        </w:rPr>
        <w:t>根据息县公共资源交易网下载中心有关办理CA数字证书的要求，准备好CA办理所需资料，到信阳市公共资源交易中心CA窗口现场办理CA数字证书。</w:t>
      </w:r>
    </w:p>
    <w:p>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投标供应商</w:t>
      </w:r>
      <w:r>
        <w:rPr>
          <w:rFonts w:hint="eastAsia" w:ascii="宋体" w:hAnsi="宋体" w:eastAsia="宋体" w:cs="宋体"/>
          <w:sz w:val="24"/>
          <w:szCs w:val="24"/>
        </w:rPr>
        <w:t>凭CA数字证书</w:t>
      </w:r>
      <w:r>
        <w:rPr>
          <w:rFonts w:hint="eastAsia" w:ascii="宋体" w:hAnsi="宋体" w:eastAsia="宋体" w:cs="宋体"/>
          <w:sz w:val="24"/>
          <w:szCs w:val="24"/>
          <w:lang w:eastAsia="zh-CN"/>
        </w:rPr>
        <w:t>登录</w:t>
      </w:r>
      <w:r>
        <w:rPr>
          <w:rFonts w:hint="eastAsia" w:ascii="宋体" w:hAnsi="宋体" w:eastAsia="宋体" w:cs="宋体"/>
          <w:sz w:val="24"/>
          <w:szCs w:val="24"/>
        </w:rPr>
        <w:t>会员系统后，即可按网上提示下载招标文件及资料（操作程序详见信阳市公共资源交易中心网站下载中心栏目里</w:t>
      </w:r>
      <w:r>
        <w:rPr>
          <w:rFonts w:hint="eastAsia" w:ascii="宋体" w:hAnsi="宋体" w:eastAsia="宋体" w:cs="宋体"/>
          <w:sz w:val="24"/>
          <w:szCs w:val="24"/>
          <w:lang w:eastAsia="zh-CN"/>
        </w:rPr>
        <w:t>投标供应商</w:t>
      </w:r>
      <w:r>
        <w:rPr>
          <w:rFonts w:hint="eastAsia" w:ascii="宋体" w:hAnsi="宋体" w:eastAsia="宋体" w:cs="宋体"/>
          <w:sz w:val="24"/>
          <w:szCs w:val="24"/>
        </w:rPr>
        <w:t>操作手册）。招标文件(*.XYZF格式)下载后需使用“信阳市投标文件制作工具软件”打开（该工具软件可在“信阳市公共资源交易网</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”网站下载中心栏目内下载或招标文件领取页面下载）。</w:t>
      </w:r>
    </w:p>
    <w:p>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4.售价：0元/份</w:t>
      </w:r>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highlight w:val="none"/>
        </w:rPr>
      </w:pPr>
      <w:bookmarkStart w:id="39" w:name="_Toc7673"/>
      <w:bookmarkStart w:id="40" w:name="_Toc17930"/>
      <w:bookmarkStart w:id="41" w:name="_Toc15454"/>
      <w:bookmarkStart w:id="42" w:name="_Toc35393801"/>
      <w:bookmarkStart w:id="43" w:name="_Toc4347"/>
      <w:bookmarkStart w:id="44" w:name="_Toc28359015"/>
      <w:bookmarkStart w:id="45" w:name="_Toc12880"/>
      <w:bookmarkStart w:id="46" w:name="_Toc25172"/>
      <w:bookmarkStart w:id="47" w:name="_Toc35393632"/>
      <w:bookmarkStart w:id="48" w:name="_Toc28359092"/>
      <w:bookmarkStart w:id="49" w:name="_Toc296"/>
      <w:bookmarkStart w:id="50" w:name="_Toc21396"/>
      <w:r>
        <w:rPr>
          <w:rFonts w:hint="eastAsia" w:ascii="宋体" w:hAnsi="宋体" w:eastAsia="宋体" w:cs="宋体"/>
          <w:b w:val="0"/>
          <w:sz w:val="24"/>
          <w:szCs w:val="24"/>
          <w:highlight w:val="none"/>
        </w:rPr>
        <w:t>四、响应文件提交</w:t>
      </w:r>
      <w:bookmarkEnd w:id="39"/>
      <w:bookmarkEnd w:id="40"/>
      <w:bookmarkEnd w:id="41"/>
      <w:bookmarkEnd w:id="42"/>
      <w:bookmarkEnd w:id="43"/>
      <w:bookmarkEnd w:id="44"/>
      <w:bookmarkEnd w:id="45"/>
      <w:bookmarkEnd w:id="46"/>
      <w:bookmarkEnd w:id="47"/>
      <w:bookmarkEnd w:id="48"/>
      <w:bookmarkEnd w:id="49"/>
      <w:bookmarkEnd w:id="50"/>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highlight w:val="none"/>
        </w:rPr>
      </w:pPr>
      <w:bookmarkStart w:id="51" w:name="_Toc13915"/>
      <w:bookmarkStart w:id="52" w:name="_Toc31312"/>
      <w:bookmarkStart w:id="53" w:name="_Toc28020"/>
      <w:bookmarkStart w:id="54" w:name="_Toc28359016"/>
      <w:bookmarkStart w:id="55" w:name="_Toc12139"/>
      <w:bookmarkStart w:id="56" w:name="_Toc9779"/>
      <w:bookmarkStart w:id="57" w:name="_Toc28359093"/>
      <w:bookmarkStart w:id="58" w:name="_Toc35393633"/>
      <w:bookmarkStart w:id="59" w:name="_Toc26030"/>
      <w:bookmarkStart w:id="60" w:name="_Toc32160"/>
      <w:bookmarkStart w:id="61" w:name="_Toc35393802"/>
      <w:bookmarkStart w:id="62" w:name="_Toc14105"/>
      <w:r>
        <w:rPr>
          <w:rFonts w:hint="eastAsia" w:ascii="宋体" w:hAnsi="宋体" w:eastAsia="宋体" w:cs="宋体"/>
          <w:sz w:val="24"/>
          <w:szCs w:val="28"/>
        </w:rPr>
        <w:t>1.时间：</w:t>
      </w:r>
      <w:r>
        <w:rPr>
          <w:rFonts w:hint="eastAsia" w:ascii="宋体" w:hAnsi="宋体" w:eastAsia="宋体" w:cs="宋体"/>
          <w:sz w:val="24"/>
          <w:szCs w:val="28"/>
          <w:highlight w:val="none"/>
          <w:u w:val="single"/>
          <w:lang w:val="en-US" w:eastAsia="zh-CN"/>
        </w:rPr>
        <w:t xml:space="preserve">  2024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15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bookmarkEnd w:id="51"/>
      <w:bookmarkEnd w:id="52"/>
      <w:bookmarkEnd w:id="53"/>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highlight w:val="none"/>
        </w:rPr>
      </w:pPr>
      <w:bookmarkStart w:id="63" w:name="_Toc20841"/>
      <w:bookmarkStart w:id="64" w:name="_Toc18177"/>
      <w:bookmarkStart w:id="65" w:name="_Toc19561"/>
      <w:r>
        <w:rPr>
          <w:rFonts w:hint="eastAsia" w:ascii="宋体" w:hAnsi="宋体" w:eastAsia="宋体" w:cs="宋体"/>
          <w:sz w:val="24"/>
          <w:szCs w:val="28"/>
          <w:highlight w:val="none"/>
        </w:rPr>
        <w:t>2.地点：</w:t>
      </w:r>
      <w:bookmarkEnd w:id="63"/>
      <w:r>
        <w:rPr>
          <w:rFonts w:hint="eastAsia" w:ascii="宋体" w:hAnsi="宋体" w:eastAsia="宋体" w:cs="宋体"/>
          <w:sz w:val="24"/>
          <w:szCs w:val="28"/>
          <w:highlight w:val="none"/>
        </w:rPr>
        <w:t>全国公共资源交易平台（河南省·息县）不见面开标大厅</w:t>
      </w:r>
      <w:bookmarkEnd w:id="64"/>
      <w:bookmarkEnd w:id="65"/>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highlight w:val="none"/>
        </w:rPr>
      </w:pPr>
      <w:bookmarkStart w:id="66" w:name="_Toc11467"/>
      <w:r>
        <w:rPr>
          <w:rFonts w:hint="eastAsia" w:ascii="宋体" w:hAnsi="宋体" w:eastAsia="宋体" w:cs="宋体"/>
          <w:b w:val="0"/>
          <w:sz w:val="24"/>
          <w:szCs w:val="24"/>
          <w:highlight w:val="none"/>
        </w:rPr>
        <w:t>五、开启</w:t>
      </w:r>
      <w:bookmarkEnd w:id="54"/>
      <w:bookmarkEnd w:id="55"/>
      <w:bookmarkEnd w:id="56"/>
      <w:bookmarkEnd w:id="57"/>
      <w:bookmarkEnd w:id="58"/>
      <w:bookmarkEnd w:id="59"/>
      <w:bookmarkEnd w:id="60"/>
      <w:bookmarkEnd w:id="61"/>
      <w:bookmarkEnd w:id="62"/>
      <w:bookmarkEnd w:id="66"/>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rPr>
      </w:pPr>
      <w:bookmarkStart w:id="67" w:name="_Toc16565"/>
      <w:bookmarkStart w:id="68" w:name="_Toc28359017"/>
      <w:bookmarkStart w:id="69" w:name="_Toc28359094"/>
      <w:bookmarkStart w:id="70" w:name="_Toc35393803"/>
      <w:bookmarkStart w:id="71" w:name="_Toc4683"/>
      <w:bookmarkStart w:id="72" w:name="_Toc15559"/>
      <w:bookmarkStart w:id="73" w:name="_Toc35393634"/>
      <w:bookmarkStart w:id="74" w:name="_Toc16984"/>
      <w:bookmarkStart w:id="75" w:name="_Toc30046"/>
      <w:bookmarkStart w:id="76" w:name="_Toc147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截止时间：</w:t>
      </w:r>
      <w:r>
        <w:rPr>
          <w:rFonts w:hint="eastAsia" w:ascii="宋体" w:hAnsi="宋体" w:eastAsia="宋体" w:cs="宋体"/>
          <w:sz w:val="24"/>
          <w:szCs w:val="28"/>
          <w:highlight w:val="none"/>
          <w:u w:val="single"/>
          <w:lang w:val="en-US" w:eastAsia="zh-CN"/>
        </w:rPr>
        <w:t xml:space="preserve">  2024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15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w:t>
      </w:r>
      <w:r>
        <w:rPr>
          <w:rFonts w:hint="eastAsia" w:ascii="宋体" w:hAnsi="宋体" w:eastAsia="宋体" w:cs="宋体"/>
          <w:sz w:val="24"/>
          <w:szCs w:val="28"/>
        </w:rPr>
        <w:t>北京时间）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yellow"/>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sz w:val="24"/>
          <w:szCs w:val="28"/>
        </w:rPr>
        <w:t>全国公共资源交易平台（河南省·息县）不见面开标大厅</w:t>
      </w:r>
    </w:p>
    <w:p>
      <w:pPr>
        <w:pStyle w:val="3"/>
        <w:keepNext w:val="0"/>
        <w:keepLines/>
        <w:pageBreakBefore w:val="0"/>
        <w:widowControl w:val="0"/>
        <w:tabs>
          <w:tab w:val="left" w:pos="525"/>
        </w:tabs>
        <w:kinsoku/>
        <w:wordWrap/>
        <w:overflowPunct/>
        <w:topLinePunct w:val="0"/>
        <w:autoSpaceDE/>
        <w:autoSpaceDN/>
        <w:bidi w:val="0"/>
        <w:adjustRightInd/>
        <w:snapToGrid/>
        <w:spacing w:before="0" w:after="0" w:afterLines="0" w:line="500" w:lineRule="exact"/>
        <w:ind w:left="0" w:leftChars="0" w:firstLine="0" w:firstLineChars="0"/>
        <w:textAlignment w:val="auto"/>
        <w:rPr>
          <w:rFonts w:hint="eastAsia" w:ascii="宋体" w:hAnsi="宋体" w:eastAsia="宋体" w:cs="宋体"/>
          <w:b w:val="0"/>
          <w:sz w:val="24"/>
          <w:szCs w:val="24"/>
        </w:rPr>
      </w:pPr>
      <w:bookmarkStart w:id="77" w:name="_Toc28248"/>
      <w:r>
        <w:rPr>
          <w:rFonts w:hint="eastAsia" w:ascii="宋体" w:hAnsi="宋体" w:eastAsia="宋体" w:cs="宋体"/>
          <w:b w:val="0"/>
          <w:sz w:val="24"/>
          <w:szCs w:val="24"/>
        </w:rPr>
        <w:t>六、</w:t>
      </w:r>
      <w:bookmarkEnd w:id="67"/>
      <w:bookmarkEnd w:id="68"/>
      <w:bookmarkEnd w:id="69"/>
      <w:bookmarkEnd w:id="70"/>
      <w:bookmarkEnd w:id="71"/>
      <w:bookmarkEnd w:id="72"/>
      <w:bookmarkEnd w:id="73"/>
      <w:bookmarkEnd w:id="74"/>
      <w:bookmarkEnd w:id="75"/>
      <w:bookmarkEnd w:id="76"/>
      <w:r>
        <w:rPr>
          <w:rFonts w:hint="eastAsia" w:ascii="宋体" w:hAnsi="宋体" w:eastAsia="宋体" w:cs="宋体"/>
          <w:b w:val="0"/>
          <w:sz w:val="24"/>
          <w:szCs w:val="24"/>
        </w:rPr>
        <w:t>发布公告的媒介及公告期限</w:t>
      </w:r>
      <w:bookmarkEnd w:id="77"/>
    </w:p>
    <w:p>
      <w:pPr>
        <w:keepNext w:val="0"/>
        <w:keepLines/>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本次公告在《河南省政府采购网》、《中国招标投标公共服务平台》及《全国公共资源交易平台（河南省•息县）》上发布。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3"/>
        <w:keepNext w:val="0"/>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bCs/>
          <w:kern w:val="2"/>
          <w:sz w:val="24"/>
          <w:szCs w:val="24"/>
          <w:highlight w:val="none"/>
          <w:lang w:val="en-US" w:eastAsia="zh-CN" w:bidi="ar-SA"/>
        </w:rPr>
      </w:pPr>
      <w:bookmarkStart w:id="78" w:name="_Toc27625"/>
      <w:bookmarkStart w:id="79" w:name="_Toc9859"/>
      <w:bookmarkStart w:id="80" w:name="_Toc35393635"/>
      <w:bookmarkStart w:id="81" w:name="_Toc35393804"/>
      <w:bookmarkStart w:id="82" w:name="_Toc23087"/>
      <w:bookmarkStart w:id="83" w:name="_Toc26494"/>
      <w:bookmarkStart w:id="84" w:name="_Toc30608"/>
      <w:bookmarkStart w:id="85" w:name="_Toc22572"/>
      <w:bookmarkStart w:id="86" w:name="_Toc7373"/>
      <w:bookmarkStart w:id="87" w:name="_Toc18292"/>
      <w:r>
        <w:rPr>
          <w:rFonts w:hint="eastAsia" w:ascii="宋体" w:hAnsi="宋体" w:eastAsia="宋体" w:cs="宋体"/>
          <w:b w:val="0"/>
          <w:sz w:val="24"/>
          <w:szCs w:val="24"/>
        </w:rPr>
        <w:t>七、其他补充事宜</w:t>
      </w:r>
      <w:bookmarkEnd w:id="78"/>
      <w:bookmarkEnd w:id="79"/>
      <w:bookmarkEnd w:id="80"/>
      <w:bookmarkEnd w:id="81"/>
      <w:bookmarkEnd w:id="82"/>
      <w:bookmarkEnd w:id="83"/>
      <w:bookmarkEnd w:id="84"/>
      <w:bookmarkEnd w:id="85"/>
      <w:bookmarkEnd w:id="86"/>
      <w:bookmarkEnd w:id="87"/>
      <w:bookmarkStart w:id="88" w:name="_Toc30418"/>
      <w:bookmarkStart w:id="89" w:name="_Toc28359095"/>
      <w:bookmarkStart w:id="90" w:name="_Toc35393805"/>
      <w:bookmarkStart w:id="91" w:name="_Toc28359018"/>
      <w:bookmarkStart w:id="92" w:name="_Toc35393636"/>
    </w:p>
    <w:p>
      <w:pPr>
        <w:pStyle w:val="7"/>
        <w:pageBreakBefore w:val="0"/>
        <w:widowControl w:val="0"/>
        <w:kinsoku/>
        <w:wordWrap/>
        <w:overflowPunct/>
        <w:topLinePunct w:val="0"/>
        <w:autoSpaceDE/>
        <w:autoSpaceDN/>
        <w:bidi w:val="0"/>
        <w:adjustRightInd/>
        <w:snapToGrid/>
        <w:spacing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93" w:name="_Toc25440"/>
      <w:r>
        <w:rPr>
          <w:rFonts w:hint="eastAsia" w:ascii="宋体" w:hAnsi="宋体" w:eastAsia="宋体" w:cs="宋体"/>
          <w:b w:val="0"/>
          <w:sz w:val="24"/>
          <w:szCs w:val="24"/>
          <w:lang w:val="en-US" w:eastAsia="zh-CN"/>
        </w:rPr>
        <w:t>1.本项目采用“不见面开标”交易方式，不见面开标大厅网址为 https://ggzyjy.xinyang.gov.cn/，投标供应商无需寄送和递交非加密的电子投标文件，无需到现场参加开标会议，无需到达现场提交原件资料。</w:t>
      </w:r>
      <w:bookmarkEnd w:id="93"/>
      <w:r>
        <w:rPr>
          <w:rFonts w:hint="eastAsia" w:ascii="宋体" w:hAnsi="宋体" w:eastAsia="宋体" w:cs="宋体"/>
          <w:b w:val="0"/>
          <w:sz w:val="24"/>
          <w:szCs w:val="24"/>
          <w:lang w:val="en-US" w:eastAsia="zh-CN"/>
        </w:rPr>
        <w:t xml:space="preserve">   </w:t>
      </w:r>
    </w:p>
    <w:p>
      <w:pPr>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2.投标供应商应当在投标截止时间前，使用投标供应商CA数字证书登录不见面开标大厅，在线签到并准时参加开标活动，并在规定时间内完成投标文件解密、答疑澄清等。</w:t>
      </w:r>
    </w:p>
    <w:p>
      <w:pPr>
        <w:pStyle w:val="3"/>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94" w:name="_Toc828"/>
      <w:bookmarkStart w:id="95" w:name="_Toc365"/>
      <w:bookmarkStart w:id="96" w:name="_Toc1355"/>
      <w:bookmarkStart w:id="97" w:name="_Toc21883"/>
      <w:r>
        <w:rPr>
          <w:rFonts w:hint="eastAsia" w:ascii="宋体" w:hAnsi="宋体" w:eastAsia="宋体" w:cs="宋体"/>
          <w:b w:val="0"/>
          <w:sz w:val="24"/>
          <w:szCs w:val="24"/>
          <w:lang w:val="en-US" w:eastAsia="zh-CN"/>
        </w:rPr>
        <w:t>3.逾期解密或者没有准时在线参加开标活动导致的一切后果投标供应商自行承担。</w:t>
      </w:r>
      <w:bookmarkEnd w:id="94"/>
      <w:bookmarkEnd w:id="95"/>
      <w:bookmarkEnd w:id="96"/>
      <w:bookmarkEnd w:id="97"/>
    </w:p>
    <w:p>
      <w:pPr>
        <w:pStyle w:val="3"/>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98" w:name="_Toc3310"/>
      <w:bookmarkStart w:id="99" w:name="_Toc25971"/>
      <w:bookmarkStart w:id="100" w:name="_Toc19622"/>
      <w:bookmarkStart w:id="101" w:name="_Toc29309"/>
      <w:r>
        <w:rPr>
          <w:rFonts w:hint="eastAsia" w:ascii="宋体" w:hAnsi="宋体" w:eastAsia="宋体" w:cs="宋体"/>
          <w:b w:val="0"/>
          <w:sz w:val="24"/>
          <w:szCs w:val="24"/>
          <w:lang w:val="en-US" w:eastAsia="zh-CN"/>
        </w:rPr>
        <w:t>4.不见面开标服务的具体事宜，请查阅信阳市公共资源交易中心网站首页—下载中心—信阳市不见面开标大厅系统操作手册。</w:t>
      </w:r>
      <w:bookmarkEnd w:id="98"/>
      <w:bookmarkEnd w:id="99"/>
      <w:bookmarkEnd w:id="100"/>
      <w:bookmarkEnd w:id="101"/>
    </w:p>
    <w:p>
      <w:pPr>
        <w:pStyle w:val="3"/>
        <w:pageBreakBefore w:val="0"/>
        <w:widowControl w:val="0"/>
        <w:numPr>
          <w:ilvl w:val="0"/>
          <w:numId w:val="0"/>
        </w:numPr>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b/>
          <w:bCs/>
          <w:sz w:val="24"/>
          <w:szCs w:val="24"/>
          <w:lang w:val="en-US" w:eastAsia="zh-CN"/>
        </w:rPr>
      </w:pPr>
      <w:bookmarkStart w:id="102" w:name="_Toc13587"/>
      <w:bookmarkStart w:id="103" w:name="_Toc3440"/>
      <w:bookmarkStart w:id="104" w:name="_Toc21828"/>
      <w:bookmarkStart w:id="105" w:name="_Toc11887"/>
      <w:r>
        <w:rPr>
          <w:rFonts w:hint="eastAsia" w:ascii="宋体" w:hAnsi="宋体" w:eastAsia="宋体" w:cs="宋体"/>
          <w:b/>
          <w:bCs/>
          <w:sz w:val="24"/>
          <w:szCs w:val="24"/>
          <w:lang w:val="en-US" w:eastAsia="zh-CN"/>
        </w:rPr>
        <w:t>特别提示：投标供应商在线签到时，应如实准确的填写授权委托人的联系电话，开标当天请务必保证电话保持畅通。</w:t>
      </w:r>
      <w:bookmarkEnd w:id="102"/>
      <w:bookmarkEnd w:id="103"/>
      <w:bookmarkEnd w:id="104"/>
      <w:bookmarkEnd w:id="105"/>
    </w:p>
    <w:p>
      <w:pPr>
        <w:pStyle w:val="3"/>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rPr>
      </w:pPr>
      <w:bookmarkStart w:id="106" w:name="_Toc7923"/>
      <w:bookmarkStart w:id="107" w:name="_Toc17324"/>
      <w:bookmarkStart w:id="108" w:name="_Toc6682"/>
      <w:bookmarkStart w:id="109" w:name="_Toc3504"/>
      <w:bookmarkStart w:id="110" w:name="_Toc4486"/>
      <w:bookmarkStart w:id="111" w:name="_Toc1319"/>
      <w:bookmarkStart w:id="112" w:name="_Toc14014"/>
      <w:r>
        <w:rPr>
          <w:rFonts w:hint="eastAsia" w:ascii="宋体" w:hAnsi="宋体" w:eastAsia="宋体" w:cs="宋体"/>
          <w:b w:val="0"/>
          <w:sz w:val="24"/>
          <w:szCs w:val="24"/>
        </w:rPr>
        <w:t>八、凡对本次采购提出询问，请按以下方式联系。</w:t>
      </w:r>
      <w:bookmarkEnd w:id="88"/>
      <w:bookmarkEnd w:id="89"/>
      <w:bookmarkEnd w:id="90"/>
      <w:bookmarkEnd w:id="91"/>
      <w:bookmarkEnd w:id="92"/>
      <w:bookmarkEnd w:id="106"/>
      <w:bookmarkEnd w:id="107"/>
      <w:bookmarkEnd w:id="108"/>
      <w:bookmarkEnd w:id="109"/>
      <w:bookmarkEnd w:id="110"/>
      <w:bookmarkEnd w:id="111"/>
      <w:bookmarkEnd w:id="112"/>
    </w:p>
    <w:p>
      <w:pPr>
        <w:pageBreakBefore w:val="0"/>
        <w:widowControl/>
        <w:kinsoku/>
        <w:overflowPunct/>
        <w:topLinePunct w:val="0"/>
        <w:bidi w:val="0"/>
        <w:snapToGrid/>
        <w:spacing w:line="500" w:lineRule="exact"/>
        <w:ind w:firstLine="240" w:firstLineChars="100"/>
        <w:jc w:val="left"/>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采购人</w:t>
      </w:r>
      <w:r>
        <w:rPr>
          <w:rFonts w:hint="eastAsia" w:ascii="宋体" w:hAnsi="宋体" w:eastAsia="宋体" w:cs="宋体"/>
          <w:b w:val="0"/>
          <w:bCs w:val="0"/>
          <w:sz w:val="24"/>
        </w:rPr>
        <w:t>信息</w:t>
      </w:r>
    </w:p>
    <w:p>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名  称：</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eastAsia="zh-CN"/>
        </w:rPr>
        <w:t>信阳市生态环境局息县分局</w:t>
      </w:r>
      <w:r>
        <w:rPr>
          <w:rFonts w:hint="eastAsia" w:ascii="宋体" w:hAnsi="宋体" w:eastAsia="宋体" w:cs="宋体"/>
          <w:b w:val="0"/>
          <w:bCs w:val="0"/>
          <w:sz w:val="24"/>
          <w:highlight w:val="none"/>
          <w:u w:val="single"/>
        </w:rPr>
        <w:t>　　</w:t>
      </w:r>
    </w:p>
    <w:p>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地  址：</w:t>
      </w:r>
      <w:r>
        <w:rPr>
          <w:rFonts w:hint="eastAsia" w:ascii="宋体" w:hAnsi="宋体" w:eastAsia="宋体" w:cs="宋体"/>
          <w:b w:val="0"/>
          <w:bCs w:val="0"/>
          <w:sz w:val="24"/>
          <w:highlight w:val="none"/>
          <w:u w:val="single"/>
        </w:rPr>
        <w:t xml:space="preserve">　息县境内          </w:t>
      </w:r>
      <w:r>
        <w:rPr>
          <w:rFonts w:hint="eastAsia" w:ascii="宋体" w:hAnsi="宋体" w:eastAsia="宋体" w:cs="宋体"/>
          <w:b w:val="0"/>
          <w:bCs w:val="0"/>
          <w:sz w:val="24"/>
          <w:highlight w:val="none"/>
          <w:u w:val="none"/>
        </w:rPr>
        <w:t xml:space="preserve"> 　　</w:t>
      </w:r>
    </w:p>
    <w:p>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联系人：</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eastAsia="zh-CN"/>
        </w:rPr>
        <w:t>蔺辉</w:t>
      </w:r>
      <w:r>
        <w:rPr>
          <w:rFonts w:hint="eastAsia" w:ascii="宋体" w:hAnsi="宋体" w:eastAsia="宋体" w:cs="宋体"/>
          <w:b w:val="0"/>
          <w:bCs w:val="0"/>
          <w:sz w:val="24"/>
          <w:highlight w:val="none"/>
          <w:u w:val="single"/>
        </w:rPr>
        <w:t xml:space="preserve">       　</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none"/>
        </w:rPr>
        <w:t xml:space="preserve">  　</w:t>
      </w:r>
    </w:p>
    <w:p>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u w:val="none"/>
          <w:lang w:val="en-US" w:eastAsia="zh-CN"/>
        </w:rPr>
      </w:pPr>
      <w:r>
        <w:rPr>
          <w:rFonts w:hint="eastAsia" w:ascii="宋体" w:hAnsi="宋体" w:eastAsia="宋体" w:cs="宋体"/>
          <w:b w:val="0"/>
          <w:bCs w:val="0"/>
          <w:sz w:val="24"/>
          <w:highlight w:val="none"/>
        </w:rPr>
        <w:t>联系方式：</w:t>
      </w:r>
      <w:r>
        <w:rPr>
          <w:rFonts w:hint="eastAsia" w:ascii="宋体" w:hAnsi="宋体" w:eastAsia="宋体" w:cs="宋体"/>
          <w:b w:val="0"/>
          <w:bCs w:val="0"/>
          <w:sz w:val="24"/>
          <w:highlight w:val="none"/>
          <w:u w:val="single"/>
          <w:lang w:val="en-US" w:eastAsia="zh-CN"/>
        </w:rPr>
        <w:t xml:space="preserve"> 13839776886</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none"/>
          <w:lang w:val="en-US" w:eastAsia="zh-CN"/>
        </w:rPr>
        <w:t xml:space="preserve"> </w:t>
      </w:r>
    </w:p>
    <w:p>
      <w:pPr>
        <w:spacing w:line="500" w:lineRule="exact"/>
        <w:ind w:firstLine="240" w:firstLineChars="100"/>
        <w:jc w:val="left"/>
        <w:rPr>
          <w:rFonts w:ascii="宋体" w:hAnsi="宋体" w:eastAsia="宋体" w:cs="宋体"/>
          <w:sz w:val="24"/>
        </w:rPr>
      </w:pPr>
      <w:r>
        <w:rPr>
          <w:rFonts w:hint="eastAsia" w:ascii="宋体" w:hAnsi="宋体" w:eastAsia="宋体" w:cs="宋体"/>
          <w:sz w:val="24"/>
        </w:rPr>
        <w:t>2.采购代理机构信息</w:t>
      </w:r>
    </w:p>
    <w:p>
      <w:pPr>
        <w:spacing w:line="500" w:lineRule="exact"/>
        <w:ind w:firstLine="720" w:firstLineChars="300"/>
        <w:rPr>
          <w:rFonts w:ascii="宋体" w:hAnsi="宋体" w:eastAsia="宋体" w:cs="宋体"/>
          <w:sz w:val="24"/>
          <w:szCs w:val="24"/>
        </w:rPr>
      </w:pPr>
      <w:bookmarkStart w:id="113" w:name="_Toc118"/>
      <w:bookmarkStart w:id="114" w:name="_Toc17234"/>
      <w:bookmarkStart w:id="115" w:name="_Toc1399"/>
      <w:bookmarkStart w:id="116" w:name="_Toc17214"/>
      <w:bookmarkStart w:id="117" w:name="_Toc31536"/>
      <w:bookmarkStart w:id="118" w:name="_Toc29599"/>
      <w:bookmarkStart w:id="119" w:name="_Toc11498"/>
      <w:bookmarkStart w:id="120" w:name="_Toc11475"/>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121" w:name="_Toc28359010"/>
      <w:bookmarkStart w:id="122" w:name="_Toc28359087"/>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13673484132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p>
    <w:bookmarkEnd w:id="121"/>
    <w:bookmarkEnd w:id="122"/>
    <w:p>
      <w:pPr>
        <w:pStyle w:val="3"/>
        <w:tabs>
          <w:tab w:val="left" w:pos="525"/>
        </w:tabs>
        <w:spacing w:line="500" w:lineRule="exact"/>
        <w:ind w:left="210" w:leftChars="100" w:firstLine="0" w:firstLineChars="0"/>
        <w:jc w:val="left"/>
        <w:rPr>
          <w:rFonts w:eastAsia="宋体" w:cs="宋体"/>
          <w:b w:val="0"/>
          <w:sz w:val="24"/>
          <w:szCs w:val="24"/>
        </w:rPr>
      </w:pPr>
      <w:bookmarkStart w:id="123" w:name="_Toc18552"/>
      <w:r>
        <w:rPr>
          <w:rFonts w:hint="eastAsia" w:eastAsia="宋体" w:cs="宋体"/>
          <w:b w:val="0"/>
          <w:sz w:val="24"/>
          <w:szCs w:val="24"/>
        </w:rPr>
        <w:t>3.监督单位信息</w:t>
      </w:r>
      <w:bookmarkEnd w:id="113"/>
      <w:bookmarkEnd w:id="114"/>
      <w:bookmarkEnd w:id="115"/>
      <w:bookmarkEnd w:id="116"/>
      <w:bookmarkEnd w:id="117"/>
      <w:bookmarkEnd w:id="118"/>
      <w:bookmarkEnd w:id="119"/>
      <w:bookmarkEnd w:id="120"/>
      <w:bookmarkEnd w:id="123"/>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r>
        <w:rPr>
          <w:rFonts w:hint="eastAsia" w:ascii="宋体" w:hAnsi="宋体" w:eastAsia="宋体" w:cs="宋体"/>
          <w:sz w:val="24"/>
          <w:u w:val="none"/>
        </w:rPr>
        <w:t>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w:t>
      </w:r>
      <w:r>
        <w:rPr>
          <w:rFonts w:hint="eastAsia" w:ascii="宋体" w:hAnsi="宋体" w:eastAsia="宋体" w:cs="宋体"/>
          <w:sz w:val="24"/>
          <w:u w:val="single"/>
          <w:lang w:val="en-US" w:eastAsia="zh-CN"/>
        </w:rPr>
        <w:t>娟</w:t>
      </w:r>
      <w:r>
        <w:rPr>
          <w:rFonts w:hint="eastAsia" w:ascii="宋体" w:hAnsi="宋体" w:eastAsia="宋体" w:cs="宋体"/>
          <w:sz w:val="24"/>
          <w:u w:val="single"/>
        </w:rPr>
        <w:t xml:space="preserve">              </w:t>
      </w:r>
      <w:r>
        <w:rPr>
          <w:rFonts w:hint="eastAsia" w:ascii="宋体" w:hAnsi="宋体" w:eastAsia="宋体" w:cs="宋体"/>
          <w:sz w:val="24"/>
          <w:u w:val="none"/>
        </w:rPr>
        <w:t xml:space="preserve">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u w:val="none"/>
        </w:rPr>
        <w:t xml:space="preserve">   </w:t>
      </w:r>
      <w:r>
        <w:rPr>
          <w:rFonts w:hint="eastAsia" w:ascii="宋体" w:hAnsi="宋体" w:eastAsia="宋体" w:cs="宋体"/>
          <w:sz w:val="24"/>
        </w:rPr>
        <w:t>　　</w:t>
      </w:r>
    </w:p>
    <w:p>
      <w:pPr>
        <w:pStyle w:val="3"/>
        <w:tabs>
          <w:tab w:val="left" w:pos="525"/>
        </w:tabs>
        <w:spacing w:line="500" w:lineRule="exact"/>
        <w:ind w:firstLine="240" w:firstLineChars="100"/>
        <w:jc w:val="left"/>
        <w:rPr>
          <w:rFonts w:eastAsia="宋体" w:cs="宋体"/>
          <w:b w:val="0"/>
          <w:sz w:val="24"/>
          <w:szCs w:val="24"/>
        </w:rPr>
      </w:pPr>
      <w:bookmarkStart w:id="124" w:name="_Toc18164"/>
      <w:bookmarkStart w:id="125" w:name="_Toc25908"/>
      <w:bookmarkStart w:id="126" w:name="_Toc30706"/>
      <w:r>
        <w:rPr>
          <w:rFonts w:hint="eastAsia" w:eastAsia="宋体" w:cs="宋体"/>
          <w:b w:val="0"/>
          <w:sz w:val="24"/>
          <w:szCs w:val="24"/>
        </w:rPr>
        <w:t>4.项目联系方式</w:t>
      </w:r>
      <w:bookmarkEnd w:id="124"/>
      <w:bookmarkEnd w:id="125"/>
      <w:bookmarkEnd w:id="126"/>
    </w:p>
    <w:p>
      <w:pPr>
        <w:pStyle w:val="12"/>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u w:val="none"/>
        </w:rPr>
        <w:t xml:space="preserve">         </w:t>
      </w:r>
      <w:r>
        <w:rPr>
          <w:rFonts w:hint="eastAsia" w:hAnsi="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pPr>
        <w:pStyle w:val="19"/>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bookmarkEnd w:id="2"/>
    <w:p>
      <w:pPr>
        <w:widowControl/>
        <w:spacing w:line="360" w:lineRule="auto"/>
        <w:ind w:firstLine="3296" w:firstLineChars="1026"/>
        <w:jc w:val="both"/>
        <w:outlineLvl w:val="0"/>
        <w:rPr>
          <w:rFonts w:hint="eastAsia" w:ascii="宋体" w:hAnsi="宋体" w:cs="宋体"/>
          <w:b/>
          <w:bCs w:val="0"/>
          <w:color w:val="auto"/>
          <w:sz w:val="32"/>
        </w:rPr>
      </w:pPr>
      <w:bookmarkStart w:id="127" w:name="_Toc31667"/>
      <w:bookmarkStart w:id="128" w:name="_Toc8890"/>
      <w:r>
        <w:rPr>
          <w:rFonts w:hint="eastAsia" w:ascii="宋体" w:hAnsi="宋体" w:cs="宋体"/>
          <w:b/>
          <w:bCs w:val="0"/>
          <w:color w:val="auto"/>
          <w:sz w:val="32"/>
        </w:rPr>
        <w:t>第二章 供应商须知</w:t>
      </w:r>
      <w:bookmarkEnd w:id="3"/>
      <w:bookmarkEnd w:id="4"/>
      <w:bookmarkEnd w:id="5"/>
      <w:bookmarkEnd w:id="127"/>
      <w:bookmarkEnd w:id="128"/>
    </w:p>
    <w:p>
      <w:pPr>
        <w:pStyle w:val="33"/>
        <w:ind w:firstLine="3935" w:firstLineChars="1400"/>
        <w:jc w:val="left"/>
        <w:rPr>
          <w:rFonts w:hint="eastAsia" w:ascii="宋体" w:hAnsi="宋体" w:eastAsia="宋体"/>
          <w:b/>
          <w:bCs/>
          <w:color w:val="auto"/>
        </w:rPr>
      </w:pPr>
      <w:bookmarkStart w:id="129" w:name="_Toc144974496"/>
      <w:bookmarkStart w:id="130" w:name="_Toc455080107"/>
      <w:bookmarkStart w:id="131" w:name="_Toc152042304"/>
      <w:bookmarkStart w:id="132" w:name="_Toc466298090"/>
      <w:bookmarkStart w:id="133" w:name="_Toc27072"/>
      <w:bookmarkStart w:id="134" w:name="_Toc471"/>
      <w:bookmarkStart w:id="135" w:name="_Toc152045528"/>
      <w:bookmarkStart w:id="136" w:name="_Toc16199"/>
      <w:r>
        <w:rPr>
          <w:rFonts w:hint="eastAsia" w:ascii="宋体" w:hAnsi="宋体" w:eastAsia="宋体"/>
          <w:b/>
          <w:bCs/>
          <w:color w:val="auto"/>
        </w:rPr>
        <w:t>供应商须知前附表</w:t>
      </w:r>
      <w:bookmarkEnd w:id="129"/>
      <w:bookmarkEnd w:id="130"/>
      <w:bookmarkEnd w:id="131"/>
      <w:bookmarkEnd w:id="132"/>
      <w:bookmarkEnd w:id="133"/>
      <w:bookmarkEnd w:id="134"/>
      <w:bookmarkEnd w:id="135"/>
      <w:bookmarkEnd w:id="136"/>
    </w:p>
    <w:tbl>
      <w:tblPr>
        <w:tblStyle w:val="23"/>
        <w:tblW w:w="10362" w:type="dxa"/>
        <w:tblInd w:w="-173" w:type="dxa"/>
        <w:tblLayout w:type="fixed"/>
        <w:tblCellMar>
          <w:top w:w="0" w:type="dxa"/>
          <w:left w:w="108" w:type="dxa"/>
          <w:bottom w:w="0" w:type="dxa"/>
          <w:right w:w="108" w:type="dxa"/>
        </w:tblCellMar>
      </w:tblPr>
      <w:tblGrid>
        <w:gridCol w:w="1366"/>
        <w:gridCol w:w="1935"/>
        <w:gridCol w:w="79"/>
        <w:gridCol w:w="6982"/>
      </w:tblGrid>
      <w:tr>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1.2.1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信阳市生态环境局息县分局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rPr>
              <w:t xml:space="preserve">联系人：蔺辉 </w:t>
            </w:r>
          </w:p>
          <w:p>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highlight w:val="none"/>
                <w:u w:val="none"/>
              </w:rPr>
              <w:t>联系电话：13839776886</w:t>
            </w:r>
          </w:p>
        </w:tc>
      </w:tr>
      <w:tr>
        <w:tblPrEx>
          <w:tblCellMar>
            <w:top w:w="0" w:type="dxa"/>
            <w:left w:w="108" w:type="dxa"/>
            <w:bottom w:w="0" w:type="dxa"/>
            <w:right w:w="108" w:type="dxa"/>
          </w:tblCellMar>
        </w:tblPrEx>
        <w:trPr>
          <w:trHeight w:val="176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1.2.2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lang w:val="en-US" w:eastAsia="zh-CN"/>
              </w:rPr>
            </w:pPr>
            <w:r>
              <w:rPr>
                <w:rFonts w:hint="eastAsia" w:ascii="宋体" w:hAnsi="宋体" w:cs="宋体"/>
                <w:sz w:val="24"/>
                <w:highlight w:val="none"/>
              </w:rPr>
              <w:t>联系电话：13673484132</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1.2.3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000000"/>
                <w:sz w:val="24"/>
                <w:lang w:eastAsia="zh-CN"/>
              </w:rPr>
              <w:t>信阳市生态环境局息县分局息县环境应急预案编制项目</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1.2.4</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right="35" w:rightChars="0"/>
              <w:jc w:val="left"/>
              <w:rPr>
                <w:rFonts w:hint="eastAsia" w:ascii="宋体" w:hAnsi="宋体" w:eastAsia="宋体" w:cs="宋体"/>
                <w:color w:val="000000"/>
                <w:spacing w:val="1"/>
                <w:kern w:val="0"/>
                <w:sz w:val="24"/>
                <w:szCs w:val="24"/>
                <w:lang w:val="en-US" w:eastAsia="zh-CN" w:bidi="ar-SA"/>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000000"/>
                <w:spacing w:val="1"/>
                <w:kern w:val="0"/>
                <w:sz w:val="24"/>
                <w:szCs w:val="24"/>
                <w:lang w:val="en-US" w:eastAsia="zh-CN" w:bidi="ar-SA"/>
              </w:rPr>
            </w:pPr>
            <w:r>
              <w:rPr>
                <w:rFonts w:hint="eastAsia" w:ascii="宋体" w:hAnsi="宋体" w:eastAsia="宋体" w:cs="宋体"/>
                <w:color w:val="000000"/>
                <w:spacing w:val="1"/>
                <w:kern w:val="0"/>
                <w:sz w:val="24"/>
                <w:szCs w:val="24"/>
                <w:lang w:val="en-US" w:eastAsia="zh-CN" w:bidi="ar-SA"/>
              </w:rPr>
              <w:t>竞争性磋商</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1.2.5</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eastAsia="zh-CN"/>
              </w:rPr>
              <w:t>采购预算价</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采购预算价：</w:t>
            </w:r>
            <w:r>
              <w:rPr>
                <w:rFonts w:hint="eastAsia" w:ascii="宋体" w:hAnsi="宋体" w:eastAsia="宋体" w:cs="宋体"/>
                <w:color w:val="000000"/>
                <w:kern w:val="0"/>
                <w:sz w:val="24"/>
                <w:szCs w:val="24"/>
                <w:highlight w:val="none"/>
                <w:lang w:val="en-US" w:eastAsia="zh-CN"/>
              </w:rPr>
              <w:t>540000.00</w:t>
            </w:r>
            <w:r>
              <w:rPr>
                <w:rFonts w:hint="eastAsia" w:ascii="宋体" w:hAnsi="宋体" w:eastAsia="宋体" w:cs="宋体"/>
                <w:color w:val="000000"/>
                <w:kern w:val="0"/>
                <w:sz w:val="24"/>
                <w:szCs w:val="24"/>
                <w:highlight w:val="none"/>
              </w:rPr>
              <w:t>元</w:t>
            </w:r>
          </w:p>
          <w:p>
            <w:pPr>
              <w:pStyle w:val="34"/>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bCs/>
                <w:color w:val="000000"/>
                <w:kern w:val="0"/>
                <w:sz w:val="24"/>
                <w:highlight w:val="none"/>
                <w:lang w:eastAsia="zh-CN"/>
              </w:rPr>
              <w:t>注：各投标供应商</w:t>
            </w:r>
            <w:r>
              <w:rPr>
                <w:rFonts w:hint="eastAsia" w:ascii="宋体" w:hAnsi="宋体" w:eastAsia="宋体" w:cs="宋体"/>
                <w:b/>
                <w:bCs/>
                <w:color w:val="000000"/>
                <w:kern w:val="0"/>
                <w:sz w:val="24"/>
                <w:highlight w:val="none"/>
              </w:rPr>
              <w:t>投标报价超过采购预算价，按无效投标处理</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1.4.1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磋商内容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i w:val="0"/>
                <w:iCs w:val="0"/>
                <w:sz w:val="24"/>
                <w:szCs w:val="24"/>
                <w:highlight w:val="none"/>
                <w:lang w:eastAsia="zh-CN"/>
              </w:rPr>
              <w:t>编制信阳市息县突发环境事件应急预案，并组织策划信阳市息县突发环境事件应急演练等服务内容（具体内容详见竞争性磋商文件）</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1.4.2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质量要求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达到国家相关行业质量合格标准，满足采购人要求</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服务期限</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rPr>
                <w:rFonts w:hint="eastAsia" w:ascii="宋体" w:hAnsi="宋体" w:eastAsia="宋体" w:cs="宋体"/>
                <w:color w:val="auto"/>
                <w:sz w:val="24"/>
                <w:szCs w:val="24"/>
                <w:lang w:eastAsia="zh-CN"/>
              </w:rPr>
            </w:pPr>
            <w:r>
              <w:rPr>
                <w:rFonts w:hint="eastAsia" w:ascii="宋体" w:hAnsi="宋体" w:cs="宋体"/>
                <w:sz w:val="24"/>
                <w:highlight w:val="none"/>
                <w:lang w:val="en-US" w:eastAsia="zh-CN"/>
              </w:rPr>
              <w:t>60日历天</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1.4.4</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付款方式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由甲乙双方协商决定</w:t>
            </w:r>
          </w:p>
        </w:tc>
      </w:tr>
      <w:tr>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lang w:val="en-US" w:eastAsia="zh-CN"/>
              </w:rPr>
            </w:pPr>
            <w:r>
              <w:rPr>
                <w:rFonts w:hint="eastAsia" w:ascii="宋体" w:hAnsi="宋体" w:eastAsia="宋体" w:cs="宋体"/>
                <w:sz w:val="24"/>
                <w:szCs w:val="28"/>
              </w:rPr>
              <w:t>1.4.</w:t>
            </w:r>
            <w:r>
              <w:rPr>
                <w:rFonts w:hint="eastAsia" w:ascii="宋体" w:hAnsi="宋体" w:eastAsia="宋体" w:cs="宋体"/>
                <w:sz w:val="24"/>
                <w:szCs w:val="28"/>
                <w:lang w:val="en-US" w:eastAsia="zh-CN"/>
              </w:rPr>
              <w:t>5</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rPr>
              <w:t>资格审查方式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color w:val="auto"/>
                <w:sz w:val="24"/>
                <w:szCs w:val="24"/>
              </w:rPr>
            </w:pPr>
            <w:r>
              <w:rPr>
                <w:rFonts w:hint="eastAsia" w:ascii="宋体" w:hAnsi="宋体" w:eastAsia="宋体" w:cs="宋体"/>
                <w:sz w:val="24"/>
                <w:szCs w:val="24"/>
                <w:lang w:val="en-US" w:eastAsia="zh-CN"/>
              </w:rPr>
              <w:t>资格后审</w:t>
            </w:r>
          </w:p>
        </w:tc>
      </w:tr>
      <w:tr>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1.5.1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供应商资质条件及能力要求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磋商</w:t>
            </w:r>
            <w:r>
              <w:rPr>
                <w:rFonts w:hint="eastAsia" w:ascii="宋体" w:hAnsi="宋体" w:eastAsia="宋体" w:cs="宋体"/>
                <w:sz w:val="24"/>
                <w:szCs w:val="24"/>
              </w:rPr>
              <w:t>公告</w:t>
            </w:r>
          </w:p>
        </w:tc>
      </w:tr>
      <w:tr>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1.5.2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tblPrEx>
          <w:tblCellMar>
            <w:top w:w="0" w:type="dxa"/>
            <w:left w:w="108" w:type="dxa"/>
            <w:bottom w:w="0" w:type="dxa"/>
            <w:right w:w="108" w:type="dxa"/>
          </w:tblCellMar>
        </w:tblPrEx>
        <w:trPr>
          <w:trHeight w:val="56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1.10</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现场踏勘</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自行踏勘</w:t>
            </w:r>
          </w:p>
        </w:tc>
      </w:tr>
      <w:tr>
        <w:tblPrEx>
          <w:tblCellMar>
            <w:top w:w="0" w:type="dxa"/>
            <w:left w:w="108" w:type="dxa"/>
            <w:bottom w:w="0" w:type="dxa"/>
            <w:right w:w="108" w:type="dxa"/>
          </w:tblCellMar>
        </w:tblPrEx>
        <w:trPr>
          <w:trHeight w:val="56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8"/>
              </w:rPr>
            </w:pPr>
            <w:r>
              <w:rPr>
                <w:rFonts w:hint="eastAsia" w:ascii="宋体" w:hAnsi="宋体" w:eastAsia="宋体" w:cs="宋体"/>
                <w:sz w:val="24"/>
                <w:szCs w:val="28"/>
              </w:rPr>
              <w:t>1.11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构成磋商文件</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提出问题的</w:t>
            </w:r>
            <w:r>
              <w:rPr>
                <w:rFonts w:hint="eastAsia" w:ascii="宋体" w:hAnsi="宋体" w:eastAsia="宋体" w:cs="宋体"/>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公告发布之日起</w:t>
            </w:r>
            <w:r>
              <w:rPr>
                <w:rFonts w:hint="eastAsia" w:ascii="宋体" w:hAnsi="宋体" w:eastAsia="宋体" w:cs="宋体"/>
                <w:color w:val="auto"/>
                <w:sz w:val="24"/>
                <w:szCs w:val="24"/>
                <w:lang w:val="en-US" w:eastAsia="zh-CN"/>
              </w:rPr>
              <w:t>7个工作日内</w:t>
            </w:r>
          </w:p>
        </w:tc>
      </w:tr>
      <w:tr>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采购人澄清磋商文件的截止时间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递交响应文件截止之日5天前</w:t>
            </w:r>
          </w:p>
        </w:tc>
      </w:tr>
      <w:tr>
        <w:tblPrEx>
          <w:tblCellMar>
            <w:top w:w="0" w:type="dxa"/>
            <w:left w:w="108" w:type="dxa"/>
            <w:bottom w:w="0" w:type="dxa"/>
            <w:right w:w="108" w:type="dxa"/>
          </w:tblCellMar>
        </w:tblPrEx>
        <w:trPr>
          <w:trHeight w:val="114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供应商确认收到磋商文件澄清的时间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在收到相应澄清文件后 24 小时内</w:t>
            </w:r>
          </w:p>
        </w:tc>
      </w:tr>
      <w:tr>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2.3.2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供应商确认收到磋商文件修改的时间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在收到相应修改文件后 24 小时内</w:t>
            </w:r>
          </w:p>
        </w:tc>
      </w:tr>
      <w:tr>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构成响应文件</w:t>
            </w:r>
          </w:p>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供应商认为需要提交的其他证明材料</w:t>
            </w:r>
          </w:p>
        </w:tc>
      </w:tr>
      <w:tr>
        <w:tblPrEx>
          <w:tblCellMar>
            <w:top w:w="0" w:type="dxa"/>
            <w:left w:w="108" w:type="dxa"/>
            <w:bottom w:w="0" w:type="dxa"/>
            <w:right w:w="108" w:type="dxa"/>
          </w:tblCellMar>
        </w:tblPrEx>
        <w:trPr>
          <w:trHeight w:val="70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3.3.1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60日历天（响应文件截止之日起）</w:t>
            </w:r>
          </w:p>
        </w:tc>
      </w:tr>
      <w:tr>
        <w:tblPrEx>
          <w:tblCellMar>
            <w:top w:w="0" w:type="dxa"/>
            <w:left w:w="108" w:type="dxa"/>
            <w:bottom w:w="0" w:type="dxa"/>
            <w:right w:w="108" w:type="dxa"/>
          </w:tblCellMar>
        </w:tblPrEx>
        <w:trPr>
          <w:trHeight w:val="55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rPr>
              <w:t>3.2.3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textAlignment w:val="center"/>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28"/>
              </w:rPr>
              <w:t>报价方式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left"/>
              <w:textAlignment w:val="center"/>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28"/>
              </w:rPr>
              <w:t>自主报价</w:t>
            </w:r>
          </w:p>
        </w:tc>
      </w:tr>
      <w:tr>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3.6</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是否允许递交备选磋商方案</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tblPrEx>
          <w:tblCellMar>
            <w:top w:w="0" w:type="dxa"/>
            <w:left w:w="108" w:type="dxa"/>
            <w:bottom w:w="0" w:type="dxa"/>
            <w:right w:w="108" w:type="dxa"/>
          </w:tblCellMar>
        </w:tblPrEx>
        <w:trPr>
          <w:trHeight w:val="16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3.7.3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电子响应文件</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签字盖章要求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（1）所有要求供应商加盖公章的地方都须加盖供应商的 CA 印章。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3.7.4</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响应文件份数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加密的电子响应文件壹份（*.XYTF 格式，在会员系统指定位置上传）</w:t>
            </w:r>
          </w:p>
        </w:tc>
      </w:tr>
      <w:tr>
        <w:tblPrEx>
          <w:tblCellMar>
            <w:top w:w="0" w:type="dxa"/>
            <w:left w:w="108" w:type="dxa"/>
            <w:bottom w:w="0" w:type="dxa"/>
            <w:right w:w="108" w:type="dxa"/>
          </w:tblCellMar>
        </w:tblPrEx>
        <w:trPr>
          <w:trHeight w:val="61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4.2</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响应文件的递交</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1、电子响应文件的递交</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2、本项目采用“不见面开标”交易方式，不见面开标大厅网址为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https://ggzyjy.xinyang.gov.cn/，供应商无需寄送和递交非加密的电子响应文件，无需到现场参加开标会议，无需到达现场提交原件资料。</w:t>
            </w:r>
            <w:r>
              <w:rPr>
                <w:rFonts w:hint="eastAsia" w:ascii="宋体" w:hAnsi="宋体" w:eastAsia="宋体" w:cs="宋体"/>
                <w:color w:val="auto"/>
                <w:sz w:val="24"/>
                <w:szCs w:val="24"/>
                <w:lang w:val="en-US" w:eastAsia="zh-CN"/>
              </w:rPr>
              <w:fldChar w:fldCharType="end"/>
            </w:r>
          </w:p>
        </w:tc>
      </w:tr>
      <w:tr>
        <w:tblPrEx>
          <w:tblCellMar>
            <w:top w:w="0" w:type="dxa"/>
            <w:left w:w="108" w:type="dxa"/>
            <w:bottom w:w="0" w:type="dxa"/>
            <w:right w:w="108" w:type="dxa"/>
          </w:tblCellMar>
        </w:tblPrEx>
        <w:trPr>
          <w:trHeight w:val="911"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5.1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提交响应文件</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highlight w:val="green"/>
              </w:rPr>
            </w:pPr>
            <w:r>
              <w:rPr>
                <w:rFonts w:hint="eastAsia" w:ascii="宋体" w:hAnsi="宋体" w:eastAsia="宋体" w:cs="宋体"/>
                <w:sz w:val="24"/>
                <w:szCs w:val="28"/>
                <w:highlight w:val="none"/>
                <w:u w:val="single"/>
                <w:lang w:val="en-US" w:eastAsia="zh-CN"/>
              </w:rPr>
              <w:t xml:space="preserve">  2024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15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w:t>
            </w:r>
            <w:r>
              <w:rPr>
                <w:rFonts w:hint="eastAsia" w:ascii="宋体" w:hAnsi="宋体" w:eastAsia="宋体" w:cs="宋体"/>
                <w:i w:val="0"/>
                <w:iCs w:val="0"/>
                <w:color w:val="000000"/>
                <w:spacing w:val="-6"/>
                <w:kern w:val="0"/>
                <w:sz w:val="24"/>
                <w:szCs w:val="24"/>
                <w:highlight w:val="none"/>
              </w:rPr>
              <w:t>（北京时间）</w:t>
            </w:r>
          </w:p>
        </w:tc>
      </w:tr>
      <w:tr>
        <w:tblPrEx>
          <w:tblCellMar>
            <w:top w:w="0" w:type="dxa"/>
            <w:left w:w="108" w:type="dxa"/>
            <w:bottom w:w="0" w:type="dxa"/>
            <w:right w:w="108" w:type="dxa"/>
          </w:tblCellMar>
        </w:tblPrEx>
        <w:trPr>
          <w:trHeight w:val="6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5.1.1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时间：同</w:t>
            </w:r>
            <w:r>
              <w:rPr>
                <w:rFonts w:hint="eastAsia" w:ascii="宋体" w:hAnsi="宋体" w:eastAsia="宋体" w:cs="宋体"/>
                <w:color w:val="auto"/>
                <w:sz w:val="24"/>
                <w:szCs w:val="24"/>
              </w:rPr>
              <w:t>响应文件提交</w:t>
            </w:r>
            <w:r>
              <w:rPr>
                <w:rFonts w:hint="eastAsia" w:ascii="宋体" w:hAnsi="宋体" w:eastAsia="宋体" w:cs="宋体"/>
                <w:color w:val="auto"/>
                <w:kern w:val="0"/>
                <w:sz w:val="24"/>
                <w:szCs w:val="24"/>
              </w:rPr>
              <w:t>截止时间</w:t>
            </w:r>
          </w:p>
          <w:p>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地点：</w:t>
            </w:r>
            <w:r>
              <w:rPr>
                <w:rFonts w:hint="eastAsia" w:ascii="宋体" w:hAnsi="宋体" w:eastAsia="宋体" w:cs="宋体"/>
                <w:sz w:val="24"/>
                <w:szCs w:val="24"/>
              </w:rPr>
              <w:t>全国公共资源交易平台（河南省·息县）不见面开标大厅</w:t>
            </w:r>
          </w:p>
        </w:tc>
      </w:tr>
      <w:tr>
        <w:tblPrEx>
          <w:tblCellMar>
            <w:top w:w="0" w:type="dxa"/>
            <w:left w:w="108" w:type="dxa"/>
            <w:bottom w:w="0" w:type="dxa"/>
            <w:right w:w="108" w:type="dxa"/>
          </w:tblCellMar>
        </w:tblPrEx>
        <w:trPr>
          <w:trHeight w:val="54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6.1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人，其中业主评委</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rPr>
              <w:t>人，技术、经济类专家</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rPr>
              <w:t>人；</w:t>
            </w:r>
          </w:p>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专家确定方式：磋商前从政府采购专家库中随机抽取。</w:t>
            </w:r>
          </w:p>
        </w:tc>
      </w:tr>
      <w:tr>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7.1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是否授权磋商小组确定成交人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否；推荐的成交候选人数：3名</w:t>
            </w:r>
          </w:p>
        </w:tc>
      </w:tr>
      <w:tr>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7.3</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履约</w:t>
            </w:r>
            <w:r>
              <w:rPr>
                <w:rFonts w:hint="eastAsia" w:ascii="宋体" w:hAnsi="宋体" w:eastAsia="宋体" w:cs="宋体"/>
                <w:color w:val="000000"/>
                <w:kern w:val="0"/>
                <w:sz w:val="24"/>
                <w:szCs w:val="24"/>
                <w:lang w:eastAsia="zh-CN"/>
              </w:rPr>
              <w:t>保证金</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lang w:val="en-US" w:eastAsia="zh-CN"/>
              </w:rPr>
              <w:t>无</w:t>
            </w:r>
          </w:p>
        </w:tc>
      </w:tr>
      <w:tr>
        <w:tblPrEx>
          <w:tblCellMar>
            <w:top w:w="0" w:type="dxa"/>
            <w:left w:w="108" w:type="dxa"/>
            <w:bottom w:w="0" w:type="dxa"/>
            <w:right w:w="108" w:type="dxa"/>
          </w:tblCellMar>
        </w:tblPrEx>
        <w:trPr>
          <w:trHeight w:val="714" w:hRule="atLeast"/>
        </w:trPr>
        <w:tc>
          <w:tcPr>
            <w:tcW w:w="103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需要补充的其他内容</w:t>
            </w:r>
          </w:p>
        </w:tc>
      </w:tr>
      <w:tr>
        <w:tblPrEx>
          <w:tblCellMar>
            <w:top w:w="0" w:type="dxa"/>
            <w:left w:w="108" w:type="dxa"/>
            <w:bottom w:w="0" w:type="dxa"/>
            <w:right w:w="108" w:type="dxa"/>
          </w:tblCellMar>
        </w:tblPrEx>
        <w:trPr>
          <w:trHeight w:val="5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10.1</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解释权</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构成本磋商文件的各个组成文件应互为解释，互为说明；如有不明确或不一致，按</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、供应商须知、评审办法、</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4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采购代理服务费</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r>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b w:val="0"/>
                <w:bCs w:val="0"/>
                <w:color w:val="auto"/>
                <w:kern w:val="2"/>
                <w:sz w:val="24"/>
                <w:szCs w:val="24"/>
                <w:lang w:val="en-US" w:eastAsia="zh-CN" w:bidi="ar-SA"/>
              </w:rPr>
            </w:pPr>
            <w:bookmarkStart w:id="137" w:name="_Toc466298091"/>
            <w:bookmarkStart w:id="138" w:name="_Toc144974497"/>
            <w:bookmarkStart w:id="139" w:name="_Toc152045529"/>
            <w:bookmarkStart w:id="140" w:name="_Toc10694"/>
            <w:bookmarkStart w:id="141" w:name="_Toc455080108"/>
            <w:bookmarkStart w:id="142" w:name="_Toc152042305"/>
            <w:r>
              <w:rPr>
                <w:rFonts w:hint="eastAsia" w:ascii="宋体" w:hAnsi="宋体" w:eastAsia="宋体" w:cs="宋体"/>
                <w:b w:val="0"/>
                <w:bCs w:val="0"/>
                <w:color w:val="000000"/>
                <w:kern w:val="0"/>
                <w:sz w:val="24"/>
                <w:szCs w:val="24"/>
                <w:lang w:val="en-US" w:eastAsia="zh-CN"/>
              </w:rPr>
              <w:t>10.3</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000000"/>
                <w:kern w:val="0"/>
                <w:sz w:val="24"/>
                <w:szCs w:val="24"/>
              </w:rPr>
              <w:t>标书雷同性分析</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文件制作机器码、文件创建标识码有相同的按废标处理。</w:t>
            </w:r>
          </w:p>
        </w:tc>
      </w:tr>
      <w:tr>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10.4</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注意事项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根据《信阳市财政局关于在政府采购项目中对上传诚信库信息的使用进行调整的通知》（信财购【2021】12号）相关规定，专家评审只需对投标文件进行评审，并以</w:t>
            </w: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文件的响应为唯一评审依据，不再比对主体信用信息。</w:t>
            </w:r>
          </w:p>
        </w:tc>
      </w:tr>
      <w:tr>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10.5</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质疑相关事项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10.6</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技术支持</w:t>
            </w:r>
          </w:p>
        </w:tc>
        <w:tc>
          <w:tcPr>
            <w:tcW w:w="6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息县公共资源交易中心</w:t>
            </w:r>
          </w:p>
          <w:p>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地    址：河南省信阳市息县市民之家</w:t>
            </w:r>
          </w:p>
          <w:p>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 xml:space="preserve">电子交易系统技术支持电话：4009980000、0376-6369667  </w:t>
            </w:r>
          </w:p>
        </w:tc>
      </w:tr>
    </w:tbl>
    <w:p>
      <w:pPr>
        <w:pStyle w:val="33"/>
        <w:spacing w:before="0" w:beforeLines="0" w:line="360" w:lineRule="auto"/>
        <w:rPr>
          <w:rFonts w:hint="eastAsia" w:ascii="宋体" w:hAnsi="宋体" w:eastAsia="宋体"/>
          <w:b/>
          <w:bCs/>
          <w:color w:val="auto"/>
          <w:sz w:val="24"/>
          <w:szCs w:val="24"/>
        </w:rPr>
        <w:sectPr>
          <w:footerReference r:id="rId7" w:type="default"/>
          <w:pgSz w:w="11905" w:h="16838"/>
          <w:pgMar w:top="1213" w:right="1236" w:bottom="1270" w:left="1236" w:header="34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color w:val="auto"/>
          <w:sz w:val="24"/>
          <w:szCs w:val="24"/>
        </w:rPr>
      </w:pPr>
      <w:bookmarkStart w:id="143" w:name="_Toc32243"/>
      <w:r>
        <w:rPr>
          <w:rFonts w:hint="eastAsia" w:ascii="宋体" w:hAnsi="宋体" w:eastAsia="宋体" w:cs="宋体"/>
          <w:b/>
          <w:bCs/>
          <w:color w:val="auto"/>
          <w:sz w:val="24"/>
          <w:szCs w:val="24"/>
        </w:rPr>
        <w:t>1. 总则</w:t>
      </w:r>
      <w:bookmarkEnd w:id="137"/>
      <w:bookmarkEnd w:id="138"/>
      <w:bookmarkEnd w:id="139"/>
      <w:bookmarkEnd w:id="140"/>
      <w:bookmarkEnd w:id="141"/>
      <w:bookmarkEnd w:id="142"/>
      <w:bookmarkEnd w:id="143"/>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44" w:name="_Toc490667828"/>
      <w:bookmarkStart w:id="145" w:name="_Toc455080109"/>
      <w:bookmarkStart w:id="146" w:name="_Toc16489"/>
      <w:bookmarkStart w:id="147" w:name="_Toc21458"/>
      <w:bookmarkStart w:id="148" w:name="_Toc466298092"/>
      <w:bookmarkStart w:id="149" w:name="_Toc29023"/>
      <w:bookmarkStart w:id="150" w:name="_Toc10273"/>
      <w:bookmarkStart w:id="151" w:name="_Toc318450675"/>
      <w:bookmarkStart w:id="152" w:name="_Toc20827"/>
      <w:bookmarkStart w:id="153" w:name="_Toc21266"/>
      <w:bookmarkStart w:id="154" w:name="_Toc6747"/>
      <w:bookmarkStart w:id="155" w:name="_Toc274409866"/>
      <w:bookmarkStart w:id="156" w:name="_Toc1172"/>
      <w:bookmarkStart w:id="157" w:name="_Toc281380952"/>
      <w:bookmarkStart w:id="158" w:name="_Toc455867769"/>
      <w:bookmarkStart w:id="159" w:name="_Toc658"/>
      <w:bookmarkStart w:id="160" w:name="_Toc31404"/>
      <w:bookmarkStart w:id="161" w:name="_Toc15709"/>
      <w:bookmarkStart w:id="162" w:name="_Toc144974499"/>
      <w:bookmarkStart w:id="163" w:name="_Toc152042307"/>
      <w:bookmarkStart w:id="164" w:name="_Toc152045531"/>
      <w:r>
        <w:rPr>
          <w:rFonts w:hint="eastAsia" w:ascii="宋体" w:hAnsi="宋体" w:eastAsia="宋体" w:cs="宋体"/>
          <w:b/>
          <w:bCs/>
          <w:color w:val="auto"/>
          <w:sz w:val="24"/>
          <w:szCs w:val="24"/>
        </w:rPr>
        <w:t>1.1 适用范围</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p>
    <w:p>
      <w:pPr>
        <w:pStyle w:val="35"/>
        <w:pageBreakBefore w:val="0"/>
        <w:tabs>
          <w:tab w:val="left" w:pos="7410"/>
        </w:tabs>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65" w:name="_Toc28038"/>
      <w:bookmarkStart w:id="166" w:name="_Toc30891"/>
      <w:bookmarkStart w:id="167" w:name="_Toc10556"/>
      <w:bookmarkStart w:id="168" w:name="_Toc281405468"/>
      <w:bookmarkStart w:id="169" w:name="_Toc32619"/>
      <w:bookmarkStart w:id="170" w:name="_Toc455080110"/>
      <w:bookmarkStart w:id="171" w:name="_Toc2929"/>
      <w:bookmarkStart w:id="172" w:name="_Toc490667829"/>
      <w:bookmarkStart w:id="173" w:name="_Toc455867770"/>
      <w:bookmarkStart w:id="174" w:name="_Toc3336"/>
      <w:bookmarkStart w:id="175" w:name="_Toc10269"/>
      <w:bookmarkStart w:id="176" w:name="_Toc25773"/>
      <w:bookmarkStart w:id="177" w:name="_Toc274409867"/>
      <w:bookmarkStart w:id="178" w:name="_Toc24852"/>
      <w:bookmarkStart w:id="179" w:name="_Toc7237"/>
      <w:bookmarkStart w:id="180" w:name="_Toc318450676"/>
      <w:bookmarkStart w:id="181" w:name="_Toc466298093"/>
      <w:bookmarkStart w:id="182" w:name="_Toc710"/>
      <w:r>
        <w:rPr>
          <w:rFonts w:hint="eastAsia" w:ascii="宋体" w:hAnsi="宋体" w:eastAsia="宋体" w:cs="宋体"/>
          <w:b/>
          <w:bCs/>
          <w:color w:val="auto"/>
          <w:sz w:val="24"/>
          <w:szCs w:val="24"/>
        </w:rPr>
        <w:t>1.2 招标项目说明</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本项目采购方式</w:t>
      </w:r>
      <w:r>
        <w:rPr>
          <w:rFonts w:hint="eastAsia" w:ascii="宋体" w:hAnsi="宋体" w:eastAsia="宋体" w:cs="宋体"/>
          <w:color w:val="auto"/>
          <w:sz w:val="24"/>
          <w:szCs w:val="24"/>
        </w:rPr>
        <w:t>：见供应商须知前附表。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本项目采购预算价</w:t>
      </w:r>
      <w:r>
        <w:rPr>
          <w:rFonts w:hint="eastAsia" w:ascii="宋体" w:hAnsi="宋体" w:eastAsia="宋体" w:cs="宋体"/>
          <w:color w:val="auto"/>
          <w:sz w:val="24"/>
          <w:szCs w:val="24"/>
        </w:rPr>
        <w:t>：见供应商须知前附表。</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83" w:name="_Toc490667830"/>
      <w:bookmarkStart w:id="184" w:name="_Toc17016"/>
      <w:bookmarkStart w:id="185" w:name="_Toc455867771"/>
      <w:bookmarkStart w:id="186" w:name="_Toc466298094"/>
      <w:bookmarkStart w:id="187" w:name="_Toc274409868"/>
      <w:bookmarkStart w:id="188" w:name="_Toc17146"/>
      <w:bookmarkStart w:id="189" w:name="_Toc4122"/>
      <w:bookmarkStart w:id="190" w:name="_Toc18960"/>
      <w:bookmarkStart w:id="191" w:name="_Toc281405469"/>
      <w:bookmarkStart w:id="192" w:name="_Toc4952"/>
      <w:bookmarkStart w:id="193" w:name="_Toc455080111"/>
      <w:bookmarkStart w:id="194" w:name="_Toc3477"/>
      <w:bookmarkStart w:id="195" w:name="_Toc318450677"/>
      <w:bookmarkStart w:id="196" w:name="_Toc16931"/>
      <w:bookmarkStart w:id="197" w:name="_Toc4563"/>
      <w:bookmarkStart w:id="198" w:name="_Toc1373"/>
      <w:bookmarkStart w:id="199" w:name="_Toc22979"/>
      <w:bookmarkStart w:id="200" w:name="_Toc30947"/>
      <w:r>
        <w:rPr>
          <w:rFonts w:hint="eastAsia" w:ascii="宋体" w:hAnsi="宋体" w:eastAsia="宋体" w:cs="宋体"/>
          <w:b/>
          <w:bCs/>
          <w:color w:val="auto"/>
          <w:sz w:val="24"/>
          <w:szCs w:val="24"/>
        </w:rPr>
        <w:t>1.3 定义及解释</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1.3.2采购代理机构：取得政府采购招标代理资质，受采购人委托组织招标活动的社会中介组织。</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1.3.3服务：系指根据本磋商文件规定供应商须承担的服务以及其他类似的义务等。</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1.3.4供应商：供应商是响应磋商文件、参加磋商竞争的中华人民共和国境内的法人、其它组织。</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要求的偏差，该偏差优于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要求的为正偏离；劣于的，为负偏离。</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中的标题或题名仅起引导作用，而不应视为对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内容的理解和解释。</w:t>
      </w:r>
    </w:p>
    <w:bookmarkEnd w:id="162"/>
    <w:bookmarkEnd w:id="163"/>
    <w:bookmarkEnd w:id="164"/>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01" w:name="_Toc27407"/>
      <w:bookmarkStart w:id="202" w:name="_Toc490667831"/>
      <w:bookmarkStart w:id="203" w:name="_Toc21766"/>
      <w:bookmarkStart w:id="204" w:name="_Toc14043"/>
      <w:bookmarkStart w:id="205" w:name="_Toc19363"/>
      <w:bookmarkStart w:id="206" w:name="_Toc466298095"/>
      <w:bookmarkStart w:id="207" w:name="_Toc152042308"/>
      <w:bookmarkStart w:id="208" w:name="_Toc16470"/>
      <w:bookmarkStart w:id="209" w:name="_Toc10894"/>
      <w:bookmarkStart w:id="210" w:name="_Toc12752"/>
      <w:bookmarkStart w:id="211" w:name="_Toc318450678"/>
      <w:bookmarkStart w:id="212" w:name="_Toc32236"/>
      <w:bookmarkStart w:id="213" w:name="_Toc17808"/>
      <w:bookmarkStart w:id="214" w:name="_Toc455867772"/>
      <w:bookmarkStart w:id="215" w:name="_Toc17908"/>
      <w:bookmarkStart w:id="216" w:name="_Toc144974500"/>
      <w:bookmarkStart w:id="217" w:name="_Toc455080112"/>
      <w:bookmarkStart w:id="218" w:name="_Toc152045532"/>
      <w:bookmarkStart w:id="219" w:name="_Toc3614"/>
      <w:r>
        <w:rPr>
          <w:rFonts w:hint="eastAsia" w:ascii="宋体" w:hAnsi="宋体" w:eastAsia="宋体" w:cs="宋体"/>
          <w:b/>
          <w:bCs/>
          <w:color w:val="auto"/>
          <w:sz w:val="24"/>
          <w:szCs w:val="24"/>
        </w:rPr>
        <w:t xml:space="preserve">1.4 </w:t>
      </w:r>
      <w:r>
        <w:rPr>
          <w:rFonts w:hint="eastAsia" w:ascii="宋体" w:hAnsi="宋体" w:eastAsia="宋体" w:cs="宋体"/>
          <w:b/>
          <w:bCs/>
          <w:color w:val="auto"/>
          <w:sz w:val="24"/>
          <w:szCs w:val="24"/>
          <w:lang w:eastAsia="zh-CN"/>
        </w:rPr>
        <w:t>磋商内容、</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、服务期限、付款方式</w:t>
      </w:r>
      <w:r>
        <w:rPr>
          <w:rFonts w:hint="eastAsia" w:ascii="宋体" w:hAnsi="宋体" w:eastAsia="宋体" w:cs="宋体"/>
          <w:b/>
          <w:bCs/>
          <w:color w:val="auto"/>
          <w:sz w:val="24"/>
          <w:szCs w:val="24"/>
        </w:rPr>
        <w:t>和</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hint="eastAsia" w:ascii="宋体" w:hAnsi="宋体" w:eastAsia="宋体" w:cs="宋体"/>
          <w:b/>
          <w:bCs/>
          <w:color w:val="auto"/>
          <w:sz w:val="24"/>
          <w:szCs w:val="24"/>
          <w:lang w:eastAsia="zh-CN"/>
        </w:rPr>
        <w:t>资格审查方式</w:t>
      </w:r>
      <w:bookmarkEnd w:id="219"/>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本项目的质量要求：见供应商须知前附表。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1.4.3本项目的</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rPr>
        <w:t>：见供应商须知前附表。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付款方式</w:t>
      </w:r>
      <w:r>
        <w:rPr>
          <w:rFonts w:hint="eastAsia" w:ascii="宋体" w:hAnsi="宋体" w:eastAsia="宋体" w:cs="宋体"/>
          <w:color w:val="auto"/>
          <w:sz w:val="24"/>
          <w:szCs w:val="24"/>
        </w:rPr>
        <w:t>：见供应商须知前附表。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资格审查方式：</w:t>
      </w:r>
      <w:r>
        <w:rPr>
          <w:rFonts w:hint="eastAsia" w:ascii="宋体" w:hAnsi="宋体" w:eastAsia="宋体" w:cs="宋体"/>
          <w:color w:val="auto"/>
          <w:sz w:val="24"/>
          <w:szCs w:val="24"/>
        </w:rPr>
        <w:t>见供应商须知前附表。</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20" w:name="_Toc152045534"/>
      <w:bookmarkStart w:id="221" w:name="_Toc152042310"/>
      <w:bookmarkStart w:id="222" w:name="_Toc318450679"/>
      <w:bookmarkStart w:id="223" w:name="_Toc144974502"/>
      <w:bookmarkStart w:id="224" w:name="_Toc6698"/>
      <w:bookmarkStart w:id="225" w:name="_Toc11063"/>
      <w:bookmarkStart w:id="226" w:name="_Toc7209"/>
      <w:bookmarkStart w:id="227" w:name="_Toc455080113"/>
      <w:bookmarkStart w:id="228" w:name="_Toc4301"/>
      <w:bookmarkStart w:id="229" w:name="_Toc455867773"/>
      <w:bookmarkStart w:id="230" w:name="_Toc466298096"/>
      <w:bookmarkStart w:id="231" w:name="_Toc18004"/>
      <w:bookmarkStart w:id="232" w:name="_Toc5019"/>
      <w:bookmarkStart w:id="233" w:name="_Toc490667832"/>
      <w:bookmarkStart w:id="234" w:name="_Toc4711"/>
      <w:bookmarkStart w:id="235" w:name="_Toc32156"/>
      <w:bookmarkStart w:id="236" w:name="_Toc18689"/>
      <w:bookmarkStart w:id="237" w:name="_Toc1602"/>
      <w:bookmarkStart w:id="238" w:name="_Toc22643"/>
      <w:r>
        <w:rPr>
          <w:rFonts w:hint="eastAsia" w:ascii="宋体" w:hAnsi="宋体" w:eastAsia="宋体" w:cs="宋体"/>
          <w:b/>
          <w:bCs/>
          <w:color w:val="auto"/>
          <w:sz w:val="24"/>
          <w:szCs w:val="24"/>
        </w:rPr>
        <w:t xml:space="preserve">1.5 </w:t>
      </w:r>
      <w:bookmarkEnd w:id="220"/>
      <w:bookmarkEnd w:id="221"/>
      <w:bookmarkEnd w:id="222"/>
      <w:bookmarkEnd w:id="223"/>
      <w:r>
        <w:rPr>
          <w:rFonts w:hint="eastAsia" w:ascii="宋体" w:hAnsi="宋体" w:eastAsia="宋体" w:cs="宋体"/>
          <w:b/>
          <w:bCs/>
          <w:color w:val="auto"/>
          <w:sz w:val="24"/>
          <w:szCs w:val="24"/>
        </w:rPr>
        <w:t>供应商资质条件和能力</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39" w:name="_Toc16889"/>
      <w:bookmarkStart w:id="240" w:name="_Toc466298097"/>
      <w:bookmarkStart w:id="241" w:name="_Toc318450680"/>
      <w:bookmarkStart w:id="242" w:name="_Toc152042311"/>
      <w:bookmarkStart w:id="243" w:name="_Toc981"/>
      <w:bookmarkStart w:id="244" w:name="_Toc455867774"/>
      <w:bookmarkStart w:id="245" w:name="_Toc12403"/>
      <w:bookmarkStart w:id="246" w:name="_Toc32446"/>
      <w:bookmarkStart w:id="247" w:name="_Toc152045535"/>
      <w:bookmarkStart w:id="248" w:name="_Toc455080114"/>
      <w:bookmarkStart w:id="249" w:name="_Toc11905"/>
      <w:bookmarkStart w:id="250" w:name="_Toc5162"/>
      <w:bookmarkStart w:id="251" w:name="_Toc31854"/>
      <w:bookmarkStart w:id="252" w:name="_Toc32189"/>
      <w:bookmarkStart w:id="253" w:name="_Toc9505"/>
      <w:bookmarkStart w:id="254" w:name="_Toc28135"/>
      <w:bookmarkStart w:id="255" w:name="_Toc651"/>
      <w:bookmarkStart w:id="256" w:name="_Toc144974503"/>
      <w:bookmarkStart w:id="257" w:name="_Toc490667833"/>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.1投标供应商资格要求：</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投标供应商不得存在下列情形：　</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（1）与采购人存在利害关系且可能影响采购公正性；</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（2）与本采购项目的其他投标供应商为同一个单位负责人；</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（3）与本采购项目的其他投标供应商存在直接控股、管理关系；</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（4）为本采购项目提供整体设计、规范编制或者项目管理、监理、检测等服务；</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（5）为本采购项目的采购代理机构或与采购代理机构同为一个法定代表人；</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（6）因违法经营受到刑事处罚或者责令停产停业、吊销许可证或者执照、较大数额罚款等行政处罚；</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（7）进入清算程序，或被宣告破产，或其他丧失履约能力的情形；</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（8）被“信用中国”网站（www.creditchina.gov.cn）列入失信被执行人、重大税收违法案件当事人名单；</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9）被国家税务总局网站（www.chinatax.gov.cn/）列入——重大案件查询栏目“重大税收违法案件当事人名单”的投标供应商；（须在投标文件中附查询截图,查询截图应清晰并显示该网页网址，查询时间为开标前3日内，未按要求提供的投标文件无效）；</w:t>
      </w:r>
    </w:p>
    <w:p>
      <w:pPr>
        <w:pStyle w:val="28"/>
        <w:bidi w:val="0"/>
        <w:rPr>
          <w:rFonts w:hint="eastAsia"/>
        </w:rPr>
      </w:pPr>
      <w:r>
        <w:rPr>
          <w:rFonts w:hint="eastAsia"/>
          <w:sz w:val="24"/>
          <w:szCs w:val="36"/>
        </w:rPr>
        <w:t xml:space="preserve">（10）近三年内投标供应商、法定代表人、授权委托人有行贿犯罪行为的（须提供无行贿犯罪行为承诺书加盖企业电子章及法定代表人、授权委托人签字），未按要求提供的投标文件无效； </w:t>
      </w:r>
      <w:r>
        <w:rPr>
          <w:rFonts w:hint="eastAsia"/>
        </w:rPr>
        <w:t xml:space="preserve"> </w:t>
      </w:r>
    </w:p>
    <w:p>
      <w:pPr>
        <w:pStyle w:val="35"/>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（11）法律法规或投标供应商须知前附表规定的其他情形。</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58" w:name="_Toc152045536"/>
      <w:bookmarkStart w:id="259" w:name="_Toc455867775"/>
      <w:bookmarkStart w:id="260" w:name="_Toc6014"/>
      <w:bookmarkStart w:id="261" w:name="_Toc8055"/>
      <w:bookmarkStart w:id="262" w:name="_Toc455080115"/>
      <w:bookmarkStart w:id="263" w:name="_Toc5402"/>
      <w:bookmarkStart w:id="264" w:name="_Toc2622"/>
      <w:bookmarkStart w:id="265" w:name="_Toc466298098"/>
      <w:bookmarkStart w:id="266" w:name="_Toc152042312"/>
      <w:bookmarkStart w:id="267" w:name="_Toc20145"/>
      <w:bookmarkStart w:id="268" w:name="_Toc15120"/>
      <w:bookmarkStart w:id="269" w:name="_Toc490667834"/>
      <w:bookmarkStart w:id="270" w:name="_Toc1879"/>
      <w:bookmarkStart w:id="271" w:name="_Toc32053"/>
      <w:bookmarkStart w:id="272" w:name="_Toc22136"/>
      <w:bookmarkStart w:id="273" w:name="_Toc22800"/>
      <w:bookmarkStart w:id="274" w:name="_Toc318450681"/>
      <w:bookmarkStart w:id="275" w:name="_Toc24601"/>
      <w:bookmarkStart w:id="276" w:name="_Toc144974504"/>
      <w:r>
        <w:rPr>
          <w:rFonts w:hint="eastAsia" w:ascii="宋体" w:hAnsi="宋体" w:eastAsia="宋体" w:cs="宋体"/>
          <w:b/>
          <w:bCs/>
          <w:color w:val="auto"/>
          <w:sz w:val="24"/>
          <w:szCs w:val="24"/>
        </w:rPr>
        <w:t>1.7 保密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参与磋商活动的各方应对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和响应文件中的商业和技术等秘密保密，违者应对由此造成的后果承担法律责任。 </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77" w:name="_Toc144974505"/>
      <w:bookmarkStart w:id="278" w:name="_Toc490667835"/>
      <w:bookmarkStart w:id="279" w:name="_Toc30747"/>
      <w:bookmarkStart w:id="280" w:name="_Toc3421"/>
      <w:bookmarkStart w:id="281" w:name="_Toc455867776"/>
      <w:bookmarkStart w:id="282" w:name="_Toc13976"/>
      <w:bookmarkStart w:id="283" w:name="_Toc30583"/>
      <w:bookmarkStart w:id="284" w:name="_Toc152045537"/>
      <w:bookmarkStart w:id="285" w:name="_Toc25517"/>
      <w:bookmarkStart w:id="286" w:name="_Toc318450682"/>
      <w:bookmarkStart w:id="287" w:name="_Toc7031"/>
      <w:bookmarkStart w:id="288" w:name="_Toc455080116"/>
      <w:bookmarkStart w:id="289" w:name="_Toc6615"/>
      <w:bookmarkStart w:id="290" w:name="_Toc152042313"/>
      <w:bookmarkStart w:id="291" w:name="_Toc21089"/>
      <w:bookmarkStart w:id="292" w:name="_Toc3628"/>
      <w:bookmarkStart w:id="293" w:name="_Toc14775"/>
      <w:bookmarkStart w:id="294" w:name="_Toc466298099"/>
      <w:bookmarkStart w:id="295" w:name="_Toc15673"/>
      <w:r>
        <w:rPr>
          <w:rFonts w:hint="eastAsia" w:ascii="宋体" w:hAnsi="宋体" w:eastAsia="宋体" w:cs="宋体"/>
          <w:b/>
          <w:bCs/>
          <w:color w:val="auto"/>
          <w:sz w:val="24"/>
          <w:szCs w:val="24"/>
        </w:rPr>
        <w:t>1.8 语言</w:t>
      </w:r>
      <w:bookmarkEnd w:id="277"/>
      <w:r>
        <w:rPr>
          <w:rFonts w:hint="eastAsia" w:ascii="宋体" w:hAnsi="宋体" w:eastAsia="宋体" w:cs="宋体"/>
          <w:b/>
          <w:bCs/>
          <w:color w:val="auto"/>
          <w:sz w:val="24"/>
          <w:szCs w:val="24"/>
        </w:rPr>
        <w:t>文字</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96" w:name="_Toc18357"/>
      <w:bookmarkStart w:id="297" w:name="_Toc24337"/>
      <w:bookmarkStart w:id="298" w:name="_Toc4237"/>
      <w:bookmarkStart w:id="299" w:name="_Toc466298100"/>
      <w:bookmarkStart w:id="300" w:name="_Toc490667836"/>
      <w:bookmarkStart w:id="301" w:name="_Toc22378"/>
      <w:bookmarkStart w:id="302" w:name="_Toc152042314"/>
      <w:bookmarkStart w:id="303" w:name="_Toc22415"/>
      <w:bookmarkStart w:id="304" w:name="_Toc455080117"/>
      <w:bookmarkStart w:id="305" w:name="_Toc32507"/>
      <w:bookmarkStart w:id="306" w:name="_Toc2702"/>
      <w:bookmarkStart w:id="307" w:name="_Toc144974506"/>
      <w:bookmarkStart w:id="308" w:name="_Toc318450683"/>
      <w:bookmarkStart w:id="309" w:name="_Toc4501"/>
      <w:bookmarkStart w:id="310" w:name="_Toc152045538"/>
      <w:bookmarkStart w:id="311" w:name="_Toc28755"/>
      <w:bookmarkStart w:id="312" w:name="_Toc14934"/>
      <w:bookmarkStart w:id="313" w:name="_Toc455867777"/>
      <w:bookmarkStart w:id="314" w:name="_Toc9446"/>
      <w:r>
        <w:rPr>
          <w:rFonts w:hint="eastAsia" w:ascii="宋体" w:hAnsi="宋体" w:eastAsia="宋体" w:cs="宋体"/>
          <w:b/>
          <w:bCs/>
          <w:color w:val="auto"/>
          <w:sz w:val="24"/>
          <w:szCs w:val="24"/>
        </w:rPr>
        <w:t>1.9 计量单位</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315" w:name="_Toc19685"/>
      <w:bookmarkStart w:id="316" w:name="_Toc18589"/>
      <w:bookmarkStart w:id="317" w:name="_Toc12027"/>
      <w:bookmarkStart w:id="318" w:name="_Toc144974508"/>
      <w:bookmarkStart w:id="319" w:name="_Toc318450684"/>
      <w:bookmarkStart w:id="320" w:name="_Toc29845"/>
      <w:bookmarkStart w:id="321" w:name="_Toc455867778"/>
      <w:bookmarkStart w:id="322" w:name="_Toc152045540"/>
      <w:bookmarkStart w:id="323" w:name="_Toc152042316"/>
      <w:bookmarkStart w:id="324" w:name="_Toc13675"/>
      <w:bookmarkStart w:id="325" w:name="_Toc31195"/>
      <w:bookmarkStart w:id="326" w:name="_Toc27570"/>
      <w:bookmarkStart w:id="327" w:name="_Toc284"/>
      <w:bookmarkStart w:id="328" w:name="_Toc490667837"/>
      <w:bookmarkStart w:id="329" w:name="_Toc455080118"/>
      <w:bookmarkStart w:id="330" w:name="_Toc2508"/>
      <w:bookmarkStart w:id="331" w:name="_Toc466298101"/>
      <w:bookmarkStart w:id="332" w:name="_Toc338"/>
      <w:bookmarkStart w:id="333" w:name="_Toc4044"/>
      <w:r>
        <w:rPr>
          <w:rFonts w:hint="eastAsia" w:ascii="宋体" w:hAnsi="宋体" w:eastAsia="宋体" w:cs="宋体"/>
          <w:b/>
          <w:bCs/>
          <w:color w:val="auto"/>
          <w:sz w:val="24"/>
          <w:szCs w:val="24"/>
        </w:rPr>
        <w:t xml:space="preserve">1.10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eastAsia="宋体" w:cs="宋体"/>
          <w:b/>
          <w:bCs/>
          <w:color w:val="auto"/>
          <w:sz w:val="24"/>
          <w:szCs w:val="24"/>
          <w:lang w:eastAsia="zh-CN"/>
        </w:rPr>
        <w:t>现场踏勘：</w:t>
      </w:r>
      <w:r>
        <w:rPr>
          <w:rFonts w:hint="eastAsia" w:ascii="宋体" w:hAnsi="宋体" w:eastAsia="宋体" w:cs="宋体"/>
          <w:b w:val="0"/>
          <w:bCs w:val="0"/>
          <w:color w:val="auto"/>
          <w:sz w:val="24"/>
          <w:szCs w:val="24"/>
          <w:lang w:eastAsia="zh-CN"/>
        </w:rPr>
        <w:t>自行踏勘，与之相关的费用，供应商自行承担。</w:t>
      </w:r>
      <w:bookmarkEnd w:id="333"/>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34" w:name="_Toc9182"/>
      <w:bookmarkStart w:id="335" w:name="_Toc455080119"/>
      <w:bookmarkStart w:id="336" w:name="_Toc5765"/>
      <w:bookmarkStart w:id="337" w:name="_Toc23678"/>
      <w:bookmarkStart w:id="338" w:name="_Toc466298102"/>
      <w:bookmarkStart w:id="339" w:name="_Toc23635"/>
      <w:bookmarkStart w:id="340" w:name="_Toc32757"/>
      <w:bookmarkStart w:id="341" w:name="_Toc11744"/>
      <w:bookmarkStart w:id="342" w:name="_Toc490667838"/>
      <w:bookmarkStart w:id="343" w:name="_Toc152045541"/>
      <w:bookmarkStart w:id="344" w:name="_Toc3853"/>
      <w:bookmarkStart w:id="345" w:name="_Toc152042317"/>
      <w:bookmarkStart w:id="346" w:name="_Toc144974509"/>
      <w:bookmarkStart w:id="347" w:name="_Toc31725"/>
      <w:bookmarkStart w:id="348" w:name="_Toc318450685"/>
      <w:bookmarkStart w:id="349" w:name="_Toc25208"/>
      <w:bookmarkStart w:id="350" w:name="_Toc24262"/>
      <w:bookmarkStart w:id="351" w:name="_Toc12562"/>
      <w:bookmarkStart w:id="352" w:name="_Toc455867779"/>
      <w:r>
        <w:rPr>
          <w:rFonts w:hint="eastAsia" w:ascii="宋体" w:hAnsi="宋体" w:eastAsia="宋体" w:cs="宋体"/>
          <w:b/>
          <w:bCs/>
          <w:color w:val="auto"/>
          <w:sz w:val="24"/>
          <w:szCs w:val="24"/>
        </w:rPr>
        <w:t>1.11分包</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ageBreakBefore w:val="0"/>
        <w:kinsoku/>
        <w:wordWrap/>
        <w:overflowPunct/>
        <w:topLinePunct w:val="0"/>
        <w:bidi w:val="0"/>
        <w:snapToGrid/>
        <w:spacing w:line="500" w:lineRule="exact"/>
        <w:ind w:firstLine="648" w:firstLineChars="270"/>
        <w:textAlignment w:val="auto"/>
        <w:rPr>
          <w:rFonts w:hint="eastAsia" w:ascii="宋体" w:hAnsi="宋体" w:eastAsia="宋体" w:cs="宋体"/>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color w:val="auto"/>
          <w:sz w:val="24"/>
          <w:szCs w:val="24"/>
        </w:rPr>
        <w:t>是否允许分包：见供应商须知前附表。</w:t>
      </w:r>
      <w:bookmarkStart w:id="353" w:name="_Toc152042318"/>
      <w:bookmarkStart w:id="354" w:name="_Toc152045542"/>
      <w:bookmarkStart w:id="355" w:name="_Toc144974510"/>
      <w:bookmarkStart w:id="356" w:name="_Toc455080120"/>
    </w:p>
    <w:bookmarkEnd w:id="353"/>
    <w:bookmarkEnd w:id="354"/>
    <w:bookmarkEnd w:id="355"/>
    <w:p>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bCs/>
          <w:color w:val="auto"/>
          <w:sz w:val="24"/>
          <w:szCs w:val="24"/>
          <w:lang w:eastAsia="zh-CN"/>
        </w:rPr>
      </w:pPr>
      <w:bookmarkStart w:id="357" w:name="_Toc12453"/>
      <w:bookmarkStart w:id="358" w:name="_Toc22624"/>
      <w:r>
        <w:rPr>
          <w:rFonts w:hint="eastAsia" w:ascii="宋体" w:hAnsi="宋体" w:eastAsia="宋体" w:cs="宋体"/>
          <w:b/>
          <w:bCs/>
          <w:color w:val="auto"/>
          <w:sz w:val="24"/>
          <w:szCs w:val="24"/>
        </w:rPr>
        <w:t>2.</w:t>
      </w:r>
      <w:bookmarkEnd w:id="356"/>
      <w:bookmarkEnd w:id="357"/>
      <w:r>
        <w:rPr>
          <w:rFonts w:hint="eastAsia" w:ascii="宋体" w:hAnsi="宋体" w:eastAsia="宋体" w:cs="宋体"/>
          <w:b/>
          <w:bCs/>
          <w:color w:val="auto"/>
          <w:sz w:val="24"/>
          <w:szCs w:val="24"/>
          <w:lang w:eastAsia="zh-CN"/>
        </w:rPr>
        <w:t>竞争性磋商文件</w:t>
      </w:r>
      <w:bookmarkEnd w:id="358"/>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59" w:name="_Toc466298104"/>
      <w:bookmarkStart w:id="360" w:name="_Toc32711"/>
      <w:bookmarkStart w:id="361" w:name="_Toc11567"/>
      <w:bookmarkStart w:id="362" w:name="_Toc152045543"/>
      <w:bookmarkStart w:id="363" w:name="_Toc12004"/>
      <w:bookmarkStart w:id="364" w:name="_Toc9780"/>
      <w:bookmarkStart w:id="365" w:name="_Toc152042319"/>
      <w:bookmarkStart w:id="366" w:name="_Toc1008"/>
      <w:bookmarkStart w:id="367" w:name="_Toc11599"/>
      <w:bookmarkStart w:id="368" w:name="_Toc455080121"/>
      <w:bookmarkStart w:id="369" w:name="_Toc12640"/>
      <w:bookmarkStart w:id="370" w:name="_Toc144974511"/>
      <w:bookmarkStart w:id="371" w:name="_Toc490667840"/>
      <w:bookmarkStart w:id="372" w:name="_Toc23649"/>
      <w:bookmarkStart w:id="373" w:name="_Toc16486"/>
      <w:bookmarkStart w:id="374" w:name="_Toc318450687"/>
      <w:bookmarkStart w:id="375" w:name="_Toc455867781"/>
      <w:bookmarkStart w:id="376" w:name="_Toc7999"/>
      <w:bookmarkStart w:id="377" w:name="_Toc3982"/>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的组成</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河南省政府采购合同（参考文本）</w:t>
      </w:r>
      <w:r>
        <w:rPr>
          <w:rFonts w:hint="eastAsia" w:ascii="宋体" w:hAnsi="宋体" w:eastAsia="宋体" w:cs="宋体"/>
          <w:color w:val="auto"/>
          <w:sz w:val="24"/>
          <w:szCs w:val="24"/>
        </w:rPr>
        <w:t>；</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采购需求</w:t>
      </w:r>
      <w:r>
        <w:rPr>
          <w:rFonts w:hint="eastAsia" w:ascii="宋体" w:hAnsi="宋体" w:eastAsia="宋体" w:cs="宋体"/>
          <w:color w:val="auto"/>
          <w:sz w:val="24"/>
          <w:szCs w:val="24"/>
        </w:rPr>
        <w:t>；</w:t>
      </w:r>
    </w:p>
    <w:p>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所作的澄清、修改，构成</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的组成部分。</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78" w:name="_Toc12414"/>
      <w:bookmarkStart w:id="379" w:name="_Toc15658"/>
      <w:bookmarkStart w:id="380" w:name="_Toc152045546"/>
      <w:bookmarkStart w:id="381" w:name="_Toc152042322"/>
      <w:bookmarkStart w:id="382" w:name="_Toc144974514"/>
      <w:bookmarkStart w:id="383"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bookmarkEnd w:id="378"/>
      <w:bookmarkEnd w:id="379"/>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予以澄清。</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2.2.3供应商应在响应文件递交截止时间前及时查看澄清内容，因供应商未及时查看而造成的后果自负。</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84" w:name="_Toc8263"/>
      <w:bookmarkStart w:id="385" w:name="_Toc535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bookmarkEnd w:id="384"/>
      <w:bookmarkEnd w:id="385"/>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在响应文件递交截止时间5天前，采购人可以修改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如有修改，应在信阳市公共资源交易系统“变更公告”或“答疑文件”将修改内容予以发布。如果修改的内容可能影响响应文件编制且发出的时间距响应文件递交截止时间不足5天，相应延长响应文件递交截止时间。</w:t>
      </w:r>
    </w:p>
    <w:p>
      <w:pPr>
        <w:pageBreakBefore w:val="0"/>
        <w:kinsoku/>
        <w:wordWrap/>
        <w:overflowPunct/>
        <w:topLinePunct w:val="0"/>
        <w:bidi w:val="0"/>
        <w:snapToGrid/>
        <w:spacing w:line="50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2.3.2当</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的澄清、修改、补充等在同一内容的表述上不一致时，以最后在信阳市公共资源交易系统发出的文件为准。</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2.3.3供应商应在响应文件递交截止时间前及时查看修改内容，因供应商未及时查看而造成的后果自负。</w:t>
      </w:r>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386" w:name="_Toc4666"/>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387" w:name="_Toc506"/>
      <w:r>
        <w:rPr>
          <w:rFonts w:hint="eastAsia" w:ascii="宋体" w:hAnsi="宋体" w:eastAsia="宋体" w:cs="宋体"/>
          <w:b/>
          <w:bCs/>
          <w:color w:val="auto"/>
          <w:sz w:val="24"/>
          <w:szCs w:val="24"/>
        </w:rPr>
        <w:t xml:space="preserve">3. </w:t>
      </w:r>
      <w:bookmarkEnd w:id="380"/>
      <w:bookmarkEnd w:id="381"/>
      <w:bookmarkEnd w:id="382"/>
      <w:r>
        <w:rPr>
          <w:rFonts w:hint="eastAsia" w:ascii="宋体" w:hAnsi="宋体" w:eastAsia="宋体" w:cs="宋体"/>
          <w:b/>
          <w:bCs/>
          <w:color w:val="auto"/>
          <w:sz w:val="24"/>
          <w:szCs w:val="24"/>
        </w:rPr>
        <w:t>响应文件</w:t>
      </w:r>
      <w:bookmarkEnd w:id="383"/>
      <w:bookmarkEnd w:id="386"/>
      <w:bookmarkEnd w:id="387"/>
    </w:p>
    <w:p>
      <w:pPr>
        <w:pStyle w:val="35"/>
        <w:pageBreakBefore w:val="0"/>
        <w:kinsoku/>
        <w:wordWrap/>
        <w:overflowPunct/>
        <w:topLinePunct w:val="0"/>
        <w:bidi w:val="0"/>
        <w:snapToGrid/>
        <w:spacing w:before="0" w:beforeLines="0" w:after="0" w:afterLines="0" w:line="500" w:lineRule="exact"/>
        <w:textAlignment w:val="auto"/>
        <w:outlineLvl w:val="9"/>
        <w:rPr>
          <w:rFonts w:hint="eastAsia" w:ascii="宋体" w:hAnsi="宋体" w:eastAsia="宋体" w:cs="宋体"/>
          <w:b/>
          <w:bCs/>
          <w:color w:val="auto"/>
          <w:sz w:val="24"/>
          <w:szCs w:val="24"/>
        </w:rPr>
      </w:pPr>
      <w:bookmarkStart w:id="388" w:name="_Toc15810"/>
      <w:bookmarkStart w:id="389" w:name="_Toc10096"/>
      <w:bookmarkStart w:id="390" w:name="_Toc9273"/>
      <w:bookmarkStart w:id="391" w:name="_Toc144974515"/>
      <w:bookmarkStart w:id="392" w:name="_Toc152045547"/>
      <w:bookmarkStart w:id="393" w:name="_Toc152042323"/>
      <w:bookmarkStart w:id="394" w:name="_Toc27373"/>
      <w:bookmarkStart w:id="395" w:name="_Toc24440"/>
      <w:bookmarkStart w:id="396" w:name="_Toc318450691"/>
      <w:bookmarkStart w:id="397" w:name="_Toc490667844"/>
      <w:bookmarkStart w:id="398" w:name="_Toc16198"/>
      <w:bookmarkStart w:id="399" w:name="_Toc635"/>
      <w:r>
        <w:rPr>
          <w:rFonts w:hint="eastAsia" w:ascii="宋体" w:hAnsi="宋体" w:eastAsia="宋体" w:cs="宋体"/>
          <w:b/>
          <w:bCs/>
          <w:color w:val="auto"/>
          <w:sz w:val="24"/>
          <w:szCs w:val="24"/>
        </w:rPr>
        <w:t>3.1 响应文件的组成</w:t>
      </w:r>
      <w:bookmarkEnd w:id="388"/>
      <w:bookmarkEnd w:id="389"/>
      <w:bookmarkEnd w:id="390"/>
      <w:bookmarkEnd w:id="391"/>
      <w:bookmarkEnd w:id="392"/>
      <w:bookmarkEnd w:id="393"/>
      <w:bookmarkEnd w:id="394"/>
      <w:bookmarkEnd w:id="395"/>
      <w:bookmarkEnd w:id="396"/>
      <w:bookmarkEnd w:id="397"/>
      <w:bookmarkEnd w:id="398"/>
      <w:bookmarkEnd w:id="399"/>
    </w:p>
    <w:p>
      <w:pPr>
        <w:pageBreakBefore w:val="0"/>
        <w:widowControl/>
        <w:kinsoku/>
        <w:wordWrap/>
        <w:overflowPunct/>
        <w:topLinePunct w:val="0"/>
        <w:bidi w:val="0"/>
        <w:snapToGrid/>
        <w:spacing w:line="500" w:lineRule="exact"/>
        <w:ind w:left="0" w:leftChars="0" w:firstLine="480" w:firstLineChars="200"/>
        <w:jc w:val="left"/>
        <w:textAlignment w:val="auto"/>
        <w:rPr>
          <w:rFonts w:hint="eastAsia" w:ascii="宋体" w:hAnsi="宋体" w:eastAsia="宋体" w:cs="宋体"/>
          <w:color w:val="000000"/>
          <w:sz w:val="24"/>
          <w:szCs w:val="24"/>
        </w:rPr>
      </w:pPr>
      <w:bookmarkStart w:id="400" w:name="_Toc144974516"/>
      <w:bookmarkStart w:id="401" w:name="_Toc152045548"/>
      <w:bookmarkStart w:id="402" w:name="_Toc26291"/>
      <w:bookmarkStart w:id="403" w:name="_Toc152042324"/>
      <w:bookmarkStart w:id="404" w:name="_Toc318450692"/>
      <w:bookmarkStart w:id="405" w:name="_Toc899"/>
      <w:bookmarkStart w:id="406" w:name="_Toc279156232"/>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文件应包括下列内容</w:t>
      </w:r>
      <w:r>
        <w:rPr>
          <w:rFonts w:hint="eastAsia" w:ascii="宋体" w:hAnsi="宋体" w:eastAsia="宋体" w:cs="宋体"/>
          <w:b/>
          <w:bCs/>
          <w:color w:val="000000"/>
          <w:sz w:val="24"/>
          <w:szCs w:val="24"/>
        </w:rPr>
        <w:t>：详见第六章“竞争性磋商响应文件格式”</w:t>
      </w:r>
    </w:p>
    <w:p>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400"/>
      <w:bookmarkEnd w:id="401"/>
      <w:bookmarkEnd w:id="402"/>
      <w:bookmarkEnd w:id="403"/>
      <w:bookmarkEnd w:id="404"/>
      <w:bookmarkEnd w:id="405"/>
      <w:bookmarkEnd w:id="406"/>
    </w:p>
    <w:p>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bookmarkStart w:id="407" w:name="_Toc12402"/>
      <w:bookmarkStart w:id="408" w:name="_Toc7105"/>
      <w:bookmarkStart w:id="409" w:name="_Toc152045549"/>
      <w:bookmarkStart w:id="410" w:name="_Toc455080126"/>
      <w:bookmarkStart w:id="411" w:name="_Toc466298109"/>
      <w:bookmarkStart w:id="412" w:name="_Toc29133"/>
      <w:bookmarkStart w:id="413" w:name="_Toc152042325"/>
      <w:bookmarkStart w:id="414" w:name="_Toc7910"/>
      <w:bookmarkStart w:id="415" w:name="_Toc318450693"/>
      <w:bookmarkStart w:id="416" w:name="_Toc6105"/>
      <w:bookmarkStart w:id="417" w:name="_Toc3624"/>
      <w:bookmarkStart w:id="418" w:name="_Toc25387"/>
      <w:bookmarkStart w:id="419" w:name="_Toc21680"/>
      <w:bookmarkStart w:id="420" w:name="_Toc2425"/>
      <w:bookmarkStart w:id="421" w:name="_Toc455867786"/>
      <w:bookmarkStart w:id="422" w:name="_Toc21600"/>
      <w:bookmarkStart w:id="423" w:name="_Toc11968"/>
      <w:bookmarkStart w:id="424" w:name="_Toc490667846"/>
      <w:bookmarkStart w:id="425" w:name="_Toc144974517"/>
      <w:r>
        <w:rPr>
          <w:rFonts w:hint="eastAsia" w:ascii="宋体" w:hAnsi="宋体" w:eastAsia="宋体" w:cs="宋体"/>
          <w:color w:val="auto"/>
          <w:sz w:val="24"/>
          <w:szCs w:val="24"/>
          <w:highlight w:val="none"/>
        </w:rPr>
        <w:t>3.2.1本项目的磋商报价应按照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、补充通知、答疑纪要、现场情况、</w:t>
      </w:r>
      <w:r>
        <w:rPr>
          <w:rFonts w:hint="eastAsia" w:ascii="宋体" w:hAnsi="宋体" w:eastAsia="宋体" w:cs="宋体"/>
          <w:sz w:val="24"/>
          <w:szCs w:val="24"/>
          <w:highlight w:val="none"/>
        </w:rPr>
        <w:t>服务</w:t>
      </w:r>
      <w:r>
        <w:rPr>
          <w:rFonts w:hint="eastAsia" w:ascii="宋体" w:hAnsi="宋体" w:eastAsia="宋体" w:cs="宋体"/>
          <w:color w:val="auto"/>
          <w:sz w:val="24"/>
          <w:szCs w:val="24"/>
          <w:highlight w:val="none"/>
        </w:rPr>
        <w:t>范围，并充分考虑</w:t>
      </w:r>
      <w:r>
        <w:rPr>
          <w:rFonts w:hint="eastAsia" w:ascii="宋体" w:hAnsi="宋体" w:eastAsia="宋体" w:cs="宋体"/>
          <w:sz w:val="24"/>
          <w:szCs w:val="24"/>
          <w:highlight w:val="none"/>
        </w:rPr>
        <w:t>服务</w:t>
      </w:r>
      <w:r>
        <w:rPr>
          <w:rFonts w:hint="eastAsia" w:ascii="宋体" w:hAnsi="宋体" w:eastAsia="宋体" w:cs="宋体"/>
          <w:color w:val="auto"/>
          <w:sz w:val="24"/>
          <w:szCs w:val="24"/>
          <w:highlight w:val="none"/>
        </w:rPr>
        <w:t>期间各类材料、人工市场风险和国家政策性调整等风险系数，由各响应人根据自身情况，在合理范围内，自主考虑、优惠报价，报告编制费、差旅费、监测费、税费、培训费等服务期间所发生的所有费用，但不得低于企业成本，分二次报价：第一次报价必须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的报价格式填报，第二次报价在磋商中填报，第二次报价（不得高于</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rPr>
        <w:t>一次报价）即为最终报价</w:t>
      </w:r>
      <w:bookmarkEnd w:id="407"/>
      <w:r>
        <w:rPr>
          <w:rFonts w:hint="eastAsia" w:ascii="宋体" w:hAnsi="宋体" w:eastAsia="宋体" w:cs="宋体"/>
          <w:color w:val="auto"/>
          <w:sz w:val="24"/>
          <w:szCs w:val="24"/>
          <w:highlight w:val="none"/>
        </w:rPr>
        <w:t>。</w:t>
      </w:r>
    </w:p>
    <w:p>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3.2.2供应商应充分了解该项目的总体情况以及影响磋商报价的其它要素，考虑</w:t>
      </w:r>
      <w:r>
        <w:rPr>
          <w:rFonts w:hint="eastAsia" w:ascii="宋体" w:hAnsi="宋体" w:eastAsia="宋体" w:cs="宋体"/>
          <w:color w:val="auto"/>
          <w:sz w:val="24"/>
          <w:szCs w:val="24"/>
          <w:highlight w:val="none"/>
          <w:lang w:eastAsia="zh-CN"/>
        </w:rPr>
        <w:t>服务期间</w:t>
      </w:r>
      <w:r>
        <w:rPr>
          <w:rFonts w:hint="eastAsia" w:ascii="宋体" w:hAnsi="宋体" w:eastAsia="宋体" w:cs="宋体"/>
          <w:color w:val="auto"/>
          <w:sz w:val="24"/>
          <w:szCs w:val="24"/>
          <w:highlight w:val="none"/>
        </w:rPr>
        <w:t>的价格风险因素，成交价在合同实施期内不得调整，同时也不因市场价格变动而调整。</w:t>
      </w:r>
    </w:p>
    <w:p>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响应报价表中的大写金额和小写金额不一致的，以大写金额为准。</w:t>
      </w:r>
    </w:p>
    <w:p>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3.2.4供应商的报价明显低于其他通过符合性审查供应商的报价，有可能影响</w:t>
      </w:r>
      <w:r>
        <w:rPr>
          <w:rFonts w:hint="eastAsia" w:ascii="宋体" w:hAnsi="宋体" w:eastAsia="宋体" w:cs="宋体"/>
          <w:b w:val="0"/>
          <w:bCs w:val="0"/>
          <w:color w:val="auto"/>
          <w:sz w:val="24"/>
          <w:szCs w:val="24"/>
          <w:lang w:eastAsia="zh-CN"/>
        </w:rPr>
        <w:t>产品</w:t>
      </w:r>
      <w:r>
        <w:rPr>
          <w:rFonts w:hint="eastAsia" w:ascii="宋体" w:hAnsi="宋体" w:eastAsia="宋体" w:cs="宋体"/>
          <w:b w:val="0"/>
          <w:bCs w:val="0"/>
          <w:color w:val="auto"/>
          <w:sz w:val="24"/>
          <w:szCs w:val="24"/>
        </w:rPr>
        <w:t>质量或者不能诚信履约的，磋商委员会应当要求其在磋商现场</w:t>
      </w:r>
      <w:r>
        <w:rPr>
          <w:rFonts w:hint="eastAsia" w:ascii="宋体" w:hAnsi="宋体" w:eastAsia="宋体" w:cs="宋体"/>
          <w:b w:val="0"/>
          <w:bCs w:val="0"/>
          <w:color w:val="auto"/>
          <w:kern w:val="0"/>
          <w:sz w:val="24"/>
          <w:szCs w:val="24"/>
          <w:lang w:eastAsia="zh-CN"/>
        </w:rPr>
        <w:t>（或电子交易系统）</w:t>
      </w:r>
      <w:r>
        <w:rPr>
          <w:rFonts w:hint="eastAsia" w:ascii="宋体" w:hAnsi="宋体" w:eastAsia="宋体" w:cs="宋体"/>
          <w:b w:val="0"/>
          <w:bCs w:val="0"/>
          <w:color w:val="auto"/>
          <w:sz w:val="24"/>
          <w:szCs w:val="24"/>
        </w:rPr>
        <w:t>合理的时间内提供书面说明</w:t>
      </w:r>
      <w:r>
        <w:rPr>
          <w:rFonts w:hint="eastAsia" w:ascii="宋体" w:hAnsi="宋体" w:eastAsia="宋体" w:cs="宋体"/>
          <w:b w:val="0"/>
          <w:bCs w:val="0"/>
          <w:color w:val="auto"/>
          <w:kern w:val="0"/>
          <w:sz w:val="24"/>
          <w:szCs w:val="24"/>
          <w:lang w:eastAsia="zh-CN"/>
        </w:rPr>
        <w:t>（或电子澄清说明文件）</w:t>
      </w:r>
      <w:r>
        <w:rPr>
          <w:rFonts w:hint="eastAsia" w:ascii="宋体" w:hAnsi="宋体" w:eastAsia="宋体" w:cs="宋体"/>
          <w:b w:val="0"/>
          <w:bCs w:val="0"/>
          <w:color w:val="auto"/>
          <w:sz w:val="24"/>
          <w:szCs w:val="24"/>
        </w:rPr>
        <w:t xml:space="preserve">，必要时提交相关证明材料；供应商不能证明其报价合理性的，磋商委员会应当将其作为无效投标处理。 </w:t>
      </w:r>
      <w:r>
        <w:rPr>
          <w:rFonts w:hint="eastAsia" w:ascii="宋体" w:hAnsi="宋体" w:eastAsia="宋体" w:cs="宋体"/>
          <w:b/>
          <w:bCs/>
          <w:color w:val="auto"/>
          <w:sz w:val="24"/>
          <w:szCs w:val="24"/>
        </w:rPr>
        <w:t xml:space="preserve"> </w:t>
      </w:r>
    </w:p>
    <w:p>
      <w:pPr>
        <w:pageBreakBefore w:val="0"/>
        <w:kinsoku/>
        <w:wordWrap/>
        <w:overflowPunct/>
        <w:topLinePunct w:val="0"/>
        <w:bidi w:val="0"/>
        <w:snapToGrid/>
        <w:spacing w:line="500" w:lineRule="exact"/>
        <w:ind w:left="0" w:leftChars="0"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3.2.5</w:t>
      </w:r>
      <w:r>
        <w:rPr>
          <w:rFonts w:hint="eastAsia" w:ascii="宋体" w:hAnsi="宋体" w:eastAsia="宋体" w:cs="宋体"/>
          <w:b/>
          <w:bCs/>
          <w:color w:val="auto"/>
          <w:sz w:val="24"/>
          <w:szCs w:val="24"/>
          <w:lang w:val="zh-CN"/>
        </w:rPr>
        <w:t>小型微型企业认定及评标价格评审（非专门面向中小企业适用）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内容</w:t>
            </w:r>
          </w:p>
        </w:tc>
        <w:tc>
          <w:tcPr>
            <w:tcW w:w="1561" w:type="dxa"/>
            <w:noWrap w:val="0"/>
            <w:vAlign w:val="center"/>
          </w:tcPr>
          <w:p>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大型企业</w:t>
            </w:r>
          </w:p>
        </w:tc>
        <w:tc>
          <w:tcPr>
            <w:tcW w:w="1492" w:type="dxa"/>
            <w:noWrap w:val="0"/>
            <w:vAlign w:val="center"/>
          </w:tcPr>
          <w:p>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中型企业</w:t>
            </w:r>
          </w:p>
        </w:tc>
        <w:tc>
          <w:tcPr>
            <w:tcW w:w="2273"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小型企业</w:t>
            </w:r>
          </w:p>
        </w:tc>
        <w:tc>
          <w:tcPr>
            <w:tcW w:w="2094"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w:t>
            </w:r>
          </w:p>
        </w:tc>
        <w:tc>
          <w:tcPr>
            <w:tcW w:w="1561"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w:t>
            </w:r>
          </w:p>
        </w:tc>
        <w:tc>
          <w:tcPr>
            <w:tcW w:w="1492"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w:t>
            </w:r>
          </w:p>
        </w:tc>
        <w:tc>
          <w:tcPr>
            <w:tcW w:w="2273" w:type="dxa"/>
            <w:noWrap w:val="0"/>
            <w:vAlign w:val="center"/>
          </w:tcPr>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报价×（1-</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w:t>
            </w:r>
          </w:p>
        </w:tc>
        <w:tc>
          <w:tcPr>
            <w:tcW w:w="2094" w:type="dxa"/>
            <w:noWrap w:val="0"/>
            <w:vAlign w:val="center"/>
          </w:tcPr>
          <w:p>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报价×（1-</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w:t>
            </w:r>
          </w:p>
        </w:tc>
      </w:tr>
    </w:tbl>
    <w:p>
      <w:pPr>
        <w:spacing w:line="500" w:lineRule="exact"/>
        <w:ind w:firstLine="480"/>
        <w:rPr>
          <w:rFonts w:hint="eastAsia" w:ascii="宋体" w:hAnsi="宋体" w:eastAsia="宋体" w:cs="宋体"/>
          <w:sz w:val="24"/>
          <w:szCs w:val="24"/>
          <w:lang w:val="zh-CN"/>
        </w:rPr>
      </w:pPr>
      <w:r>
        <w:rPr>
          <w:rFonts w:hint="eastAsia" w:ascii="宋体" w:hAnsi="宋体" w:eastAsia="宋体" w:cs="宋体"/>
          <w:color w:val="auto"/>
          <w:sz w:val="24"/>
          <w:szCs w:val="24"/>
          <w:lang w:val="en-US" w:eastAsia="zh-CN"/>
        </w:rPr>
        <w:t>3.2.5.1</w:t>
      </w:r>
      <w:r>
        <w:rPr>
          <w:rFonts w:hint="eastAsia" w:ascii="宋体" w:hAnsi="宋体" w:eastAsia="宋体" w:cs="宋体"/>
          <w:color w:val="auto"/>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19号</w:t>
      </w:r>
      <w:r>
        <w:rPr>
          <w:rFonts w:hint="eastAsia" w:ascii="宋体" w:hAnsi="宋体" w:eastAsia="宋体" w:cs="宋体"/>
          <w:color w:val="auto"/>
          <w:sz w:val="24"/>
          <w:szCs w:val="24"/>
          <w:lang w:val="zh-CN"/>
        </w:rPr>
        <w:t>）、信阳市财政局关于进一步加大政府采购支持中小企业力度的通知（信财购【</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8号</w:t>
      </w:r>
      <w:r>
        <w:rPr>
          <w:rFonts w:hint="eastAsia" w:ascii="宋体" w:hAnsi="宋体" w:eastAsia="宋体" w:cs="宋体"/>
          <w:color w:val="auto"/>
          <w:sz w:val="24"/>
          <w:szCs w:val="24"/>
          <w:lang w:val="zh-CN"/>
        </w:rPr>
        <w:t>）及息县财政局关于进一步加大政府采购支持中小企业力度的通知（息财购【</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2号</w:t>
      </w:r>
      <w:r>
        <w:rPr>
          <w:rFonts w:hint="eastAsia" w:ascii="宋体" w:hAnsi="宋体" w:eastAsia="宋体" w:cs="宋体"/>
          <w:color w:val="auto"/>
          <w:sz w:val="24"/>
          <w:szCs w:val="24"/>
          <w:lang w:val="zh-CN"/>
        </w:rPr>
        <w:t>）</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2.5.2</w:t>
      </w:r>
      <w:r>
        <w:rPr>
          <w:rFonts w:hint="eastAsia" w:ascii="宋体" w:hAnsi="宋体" w:eastAsia="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2.5.3</w:t>
      </w:r>
      <w:r>
        <w:rPr>
          <w:rFonts w:hint="eastAsia" w:ascii="宋体" w:hAnsi="宋体" w:eastAsia="宋体" w:cs="宋体"/>
          <w:sz w:val="24"/>
          <w:szCs w:val="24"/>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w:t>
      </w:r>
      <w:r>
        <w:rPr>
          <w:rFonts w:hint="eastAsia" w:ascii="宋体" w:hAnsi="宋体" w:eastAsia="宋体" w:cs="宋体"/>
          <w:sz w:val="24"/>
          <w:szCs w:val="24"/>
          <w:lang w:eastAsia="zh-CN"/>
        </w:rPr>
        <w:t>响应</w:t>
      </w:r>
      <w:r>
        <w:rPr>
          <w:rFonts w:hint="eastAsia" w:ascii="宋体" w:hAnsi="宋体" w:eastAsia="宋体" w:cs="宋体"/>
          <w:sz w:val="24"/>
          <w:szCs w:val="24"/>
        </w:rPr>
        <w:t>文件格式)，并对声明的真实性负责。</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26" w:name="_Toc9694"/>
      <w:r>
        <w:rPr>
          <w:rFonts w:hint="eastAsia" w:ascii="宋体" w:hAnsi="宋体" w:eastAsia="宋体" w:cs="宋体"/>
          <w:b/>
          <w:bCs/>
          <w:color w:val="auto"/>
          <w:sz w:val="24"/>
          <w:szCs w:val="24"/>
        </w:rPr>
        <w:t>3.3 磋商有效期</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427" w:name="_Toc152045550"/>
      <w:bookmarkStart w:id="428" w:name="_Toc7973"/>
      <w:bookmarkStart w:id="429" w:name="_Toc490667847"/>
      <w:bookmarkStart w:id="430" w:name="_Toc455867787"/>
      <w:bookmarkStart w:id="431" w:name="_Toc7057"/>
      <w:bookmarkStart w:id="432" w:name="_Toc30697"/>
      <w:bookmarkStart w:id="433" w:name="_Toc10370"/>
      <w:bookmarkStart w:id="434" w:name="_Toc22634"/>
      <w:bookmarkStart w:id="435" w:name="_Toc466298110"/>
      <w:bookmarkStart w:id="436" w:name="_Toc8406"/>
      <w:bookmarkStart w:id="437" w:name="_Toc7618"/>
      <w:bookmarkStart w:id="438" w:name="_Toc4165"/>
      <w:bookmarkStart w:id="439" w:name="_Toc318450694"/>
      <w:bookmarkStart w:id="440" w:name="_Toc144974518"/>
      <w:bookmarkStart w:id="441" w:name="_Toc152042326"/>
      <w:bookmarkStart w:id="442" w:name="_Toc455080127"/>
      <w:bookmarkStart w:id="443" w:name="_Toc2505"/>
      <w:bookmarkStart w:id="444" w:name="_Toc6451"/>
      <w:bookmarkStart w:id="445" w:name="_Toc13921"/>
      <w:r>
        <w:rPr>
          <w:rFonts w:hint="eastAsia" w:ascii="宋体" w:hAnsi="宋体" w:eastAsia="宋体" w:cs="宋体"/>
          <w:b/>
          <w:bCs/>
          <w:color w:val="auto"/>
          <w:sz w:val="24"/>
          <w:szCs w:val="24"/>
        </w:rPr>
        <w:t>3.4 磋商保证金</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Start w:id="446" w:name="_Toc152045552"/>
      <w:bookmarkStart w:id="447" w:name="_Toc318450695"/>
      <w:bookmarkStart w:id="448" w:name="_Toc152042328"/>
      <w:bookmarkStart w:id="449" w:name="_Toc144974520"/>
      <w:r>
        <w:rPr>
          <w:rFonts w:hint="eastAsia" w:ascii="宋体" w:hAnsi="宋体" w:eastAsia="宋体" w:cs="宋体"/>
          <w:b/>
          <w:bCs/>
          <w:color w:val="auto"/>
          <w:sz w:val="24"/>
          <w:szCs w:val="24"/>
          <w:lang w:eastAsia="zh-CN"/>
        </w:rPr>
        <w:t>：无。</w:t>
      </w:r>
      <w:bookmarkEnd w:id="444"/>
      <w:bookmarkEnd w:id="445"/>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50" w:name="_Toc455867788"/>
      <w:bookmarkStart w:id="451" w:name="_Toc490667848"/>
      <w:bookmarkStart w:id="452" w:name="_Toc11077"/>
      <w:bookmarkStart w:id="453" w:name="_Toc466298111"/>
      <w:bookmarkStart w:id="454" w:name="_Toc22384"/>
      <w:bookmarkStart w:id="455" w:name="_Toc20328"/>
      <w:bookmarkStart w:id="456" w:name="_Toc17153"/>
      <w:bookmarkStart w:id="457" w:name="_Toc16747"/>
      <w:bookmarkStart w:id="458" w:name="_Toc13680"/>
      <w:bookmarkStart w:id="459" w:name="_Toc22527"/>
      <w:bookmarkStart w:id="460" w:name="_Toc27579"/>
      <w:bookmarkStart w:id="461" w:name="_Toc455080128"/>
      <w:bookmarkStart w:id="462" w:name="_Toc548"/>
      <w:bookmarkStart w:id="463" w:name="_Toc2794"/>
      <w:bookmarkStart w:id="464" w:name="_Toc15547"/>
      <w:r>
        <w:rPr>
          <w:rFonts w:hint="eastAsia" w:ascii="宋体" w:hAnsi="宋体" w:eastAsia="宋体" w:cs="宋体"/>
          <w:b/>
          <w:bCs/>
          <w:color w:val="auto"/>
          <w:sz w:val="24"/>
          <w:szCs w:val="24"/>
        </w:rPr>
        <w:t>3.5资格审查资料</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pStyle w:val="35"/>
        <w:pageBreakBefore w:val="0"/>
        <w:kinsoku/>
        <w:wordWrap/>
        <w:overflowPunct/>
        <w:topLinePunct w:val="0"/>
        <w:bidi w:val="0"/>
        <w:snapToGrid/>
        <w:spacing w:before="0" w:beforeLines="0" w:after="0" w:afterLines="0" w:line="500" w:lineRule="exact"/>
        <w:ind w:firstLine="360" w:firstLineChars="150"/>
        <w:textAlignment w:val="auto"/>
        <w:outlineLvl w:val="0"/>
        <w:rPr>
          <w:rFonts w:hint="eastAsia" w:ascii="宋体" w:hAnsi="宋体" w:eastAsia="宋体" w:cs="宋体"/>
          <w:color w:val="auto"/>
          <w:kern w:val="2"/>
          <w:sz w:val="24"/>
          <w:szCs w:val="24"/>
          <w:lang w:val="en-US" w:eastAsia="zh-CN"/>
        </w:rPr>
      </w:pPr>
      <w:bookmarkStart w:id="465" w:name="_Toc11313"/>
      <w:bookmarkStart w:id="466" w:name="_Toc4586"/>
      <w:bookmarkStart w:id="467" w:name="_Toc455080129"/>
      <w:bookmarkStart w:id="468" w:name="_Toc1228"/>
      <w:bookmarkStart w:id="469" w:name="_Toc455867789"/>
      <w:bookmarkStart w:id="470" w:name="_Toc9015"/>
      <w:bookmarkStart w:id="471" w:name="_Toc144974521"/>
      <w:bookmarkStart w:id="472" w:name="_Toc5132"/>
      <w:bookmarkStart w:id="473" w:name="_Toc11694"/>
      <w:bookmarkStart w:id="474" w:name="_Toc466298112"/>
      <w:bookmarkStart w:id="475" w:name="_Toc26258"/>
      <w:bookmarkStart w:id="476" w:name="_Toc152045553"/>
      <w:bookmarkStart w:id="477" w:name="_Toc3286"/>
      <w:bookmarkStart w:id="478" w:name="_Toc490667849"/>
      <w:bookmarkStart w:id="479" w:name="_Toc30442"/>
      <w:bookmarkStart w:id="480" w:name="_Toc18915"/>
      <w:bookmarkStart w:id="481" w:name="_Toc318450696"/>
      <w:bookmarkStart w:id="482" w:name="_Toc152042329"/>
      <w:bookmarkStart w:id="483" w:name="_Toc19724"/>
      <w:r>
        <w:rPr>
          <w:rFonts w:hint="eastAsia" w:ascii="宋体" w:hAnsi="宋体" w:eastAsia="宋体" w:cs="宋体"/>
          <w:color w:val="auto"/>
          <w:kern w:val="2"/>
          <w:sz w:val="24"/>
          <w:szCs w:val="24"/>
          <w:lang w:val="en-US" w:eastAsia="zh-CN"/>
        </w:rPr>
        <w:t>按照第二章供应商须知表“供应商须知前附表”1.5.1要求，提供其他相关材料。</w:t>
      </w:r>
      <w:bookmarkEnd w:id="465"/>
      <w:bookmarkEnd w:id="466"/>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84" w:name="_Toc13912"/>
      <w:bookmarkStart w:id="485" w:name="_Toc24859"/>
      <w:r>
        <w:rPr>
          <w:rFonts w:hint="eastAsia" w:ascii="宋体" w:hAnsi="宋体" w:eastAsia="宋体" w:cs="宋体"/>
          <w:b/>
          <w:bCs/>
          <w:color w:val="auto"/>
          <w:sz w:val="24"/>
          <w:szCs w:val="24"/>
        </w:rPr>
        <w:t>3.6 备选方案</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86" w:name="_Toc6323"/>
      <w:bookmarkStart w:id="487" w:name="_Toc5516"/>
      <w:bookmarkStart w:id="488" w:name="_Toc490667850"/>
      <w:bookmarkStart w:id="489" w:name="_Toc12275"/>
      <w:bookmarkStart w:id="490" w:name="_Toc28656"/>
      <w:bookmarkStart w:id="491" w:name="_Toc17697"/>
      <w:bookmarkStart w:id="492" w:name="_Toc6700"/>
      <w:bookmarkStart w:id="493" w:name="_Toc7626"/>
      <w:bookmarkStart w:id="494" w:name="_Toc455867790"/>
      <w:bookmarkStart w:id="495" w:name="_Toc12541"/>
      <w:bookmarkStart w:id="496" w:name="_Toc466298113"/>
      <w:bookmarkStart w:id="497" w:name="_Toc455080130"/>
      <w:bookmarkStart w:id="498" w:name="_Toc152045554"/>
      <w:bookmarkStart w:id="499" w:name="_Toc18912"/>
      <w:bookmarkStart w:id="500" w:name="_Toc7966"/>
      <w:bookmarkStart w:id="501" w:name="_Toc144974522"/>
      <w:bookmarkStart w:id="502" w:name="_Toc25620"/>
      <w:bookmarkStart w:id="503" w:name="_Toc318450697"/>
      <w:bookmarkStart w:id="504" w:name="_Toc152042330"/>
      <w:r>
        <w:rPr>
          <w:rFonts w:hint="eastAsia" w:ascii="宋体" w:hAnsi="宋体" w:eastAsia="宋体" w:cs="宋体"/>
          <w:b/>
          <w:bCs/>
          <w:color w:val="auto"/>
          <w:sz w:val="24"/>
          <w:szCs w:val="24"/>
        </w:rPr>
        <w:t>3.7 响应文件的编制</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505" w:name="_Toc152042331"/>
      <w:bookmarkStart w:id="506" w:name="_Toc144974523"/>
      <w:bookmarkStart w:id="507" w:name="_Toc152045555"/>
      <w:bookmarkStart w:id="508" w:name="_Toc455080131"/>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”进行编写，如有必要，可以增加附页，作为响应文件的组成部分。其中，</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附录在满足</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实质性要求的基础上，可以提出比</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要求更有利于采购人的承诺。</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 响应文件应当对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有关</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rPr>
        <w:t>、磋商有效期、质量要求、</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作出响应。</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供应商应按照招标文件的要求，规范、明确、准时的提交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文件。供应商对所提供的全部资料的合法性、真实性做出响应承诺，格式自拟，否则投标将被否决。</w:t>
      </w:r>
      <w:r>
        <w:rPr>
          <w:rFonts w:hint="eastAsia" w:ascii="宋体" w:hAnsi="宋体" w:eastAsia="宋体" w:cs="宋体"/>
          <w:color w:val="auto"/>
          <w:sz w:val="24"/>
          <w:szCs w:val="24"/>
          <w:lang w:val="en-US" w:eastAsia="zh-CN"/>
        </w:rPr>
        <w:t xml:space="preserve">  </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响应文件应使用信阳市公共资源交易系统投标文件制作专用工具软件编制，</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响应文件份数见供应商须知前附表。</w:t>
      </w:r>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509" w:name="_Toc19433"/>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510" w:name="_Toc22085"/>
      <w:r>
        <w:rPr>
          <w:rFonts w:hint="eastAsia" w:ascii="宋体" w:hAnsi="宋体" w:eastAsia="宋体" w:cs="宋体"/>
          <w:b/>
          <w:bCs/>
          <w:color w:val="auto"/>
          <w:sz w:val="24"/>
          <w:szCs w:val="24"/>
        </w:rPr>
        <w:t xml:space="preserve">4. </w:t>
      </w:r>
      <w:bookmarkEnd w:id="505"/>
      <w:bookmarkEnd w:id="506"/>
      <w:bookmarkEnd w:id="507"/>
      <w:bookmarkEnd w:id="508"/>
      <w:r>
        <w:rPr>
          <w:rFonts w:hint="eastAsia" w:ascii="宋体" w:hAnsi="宋体" w:eastAsia="宋体" w:cs="宋体"/>
          <w:b/>
          <w:bCs/>
          <w:color w:val="auto"/>
          <w:sz w:val="24"/>
          <w:szCs w:val="24"/>
        </w:rPr>
        <w:t>磋商</w:t>
      </w:r>
      <w:bookmarkEnd w:id="509"/>
      <w:bookmarkEnd w:id="510"/>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511" w:name="_Toc16962"/>
      <w:bookmarkStart w:id="512" w:name="_Toc26550"/>
      <w:bookmarkStart w:id="513" w:name="_Toc144974524"/>
      <w:bookmarkStart w:id="514" w:name="_Toc16344"/>
      <w:bookmarkStart w:id="515" w:name="_Toc318450699"/>
      <w:bookmarkStart w:id="516" w:name="_Toc455867792"/>
      <w:bookmarkStart w:id="517" w:name="_Toc16783"/>
      <w:bookmarkStart w:id="518" w:name="_Toc26583"/>
      <w:bookmarkStart w:id="519" w:name="_Toc22961"/>
      <w:bookmarkStart w:id="520" w:name="_Toc152042332"/>
      <w:bookmarkStart w:id="521" w:name="_Toc18820"/>
      <w:bookmarkStart w:id="522" w:name="_Toc490667852"/>
      <w:bookmarkStart w:id="523" w:name="_Toc466298115"/>
      <w:bookmarkStart w:id="524" w:name="_Toc11243"/>
      <w:bookmarkStart w:id="525" w:name="_Toc152045556"/>
      <w:bookmarkStart w:id="526" w:name="_Toc455080132"/>
      <w:bookmarkStart w:id="527" w:name="_Toc31492"/>
      <w:bookmarkStart w:id="528" w:name="_Toc24554"/>
      <w:bookmarkStart w:id="529" w:name="_Toc21145"/>
      <w:r>
        <w:rPr>
          <w:rFonts w:hint="eastAsia" w:ascii="宋体" w:hAnsi="宋体" w:eastAsia="宋体" w:cs="宋体"/>
          <w:b/>
          <w:bCs/>
          <w:color w:val="auto"/>
          <w:sz w:val="24"/>
          <w:szCs w:val="24"/>
        </w:rPr>
        <w:t>4.1 响应文件的</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hint="eastAsia" w:ascii="宋体" w:hAnsi="宋体" w:eastAsia="宋体" w:cs="宋体"/>
          <w:b/>
          <w:bCs/>
          <w:color w:val="auto"/>
          <w:sz w:val="24"/>
          <w:szCs w:val="24"/>
          <w:lang w:eastAsia="zh-CN"/>
        </w:rPr>
        <w:t>上传</w:t>
      </w:r>
      <w:bookmarkEnd w:id="528"/>
      <w:bookmarkEnd w:id="529"/>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30" w:name="_Toc27132"/>
      <w:bookmarkStart w:id="531" w:name="_Toc462"/>
      <w:bookmarkStart w:id="532" w:name="_Toc4767"/>
      <w:bookmarkStart w:id="533" w:name="_Toc21897"/>
      <w:bookmarkStart w:id="534" w:name="_Toc21072"/>
      <w:bookmarkStart w:id="535" w:name="_Toc455867793"/>
      <w:bookmarkStart w:id="536" w:name="_Toc455080133"/>
      <w:bookmarkStart w:id="537" w:name="_Toc20259"/>
      <w:bookmarkStart w:id="538" w:name="_Toc7663"/>
      <w:bookmarkStart w:id="539" w:name="_Toc28272"/>
      <w:bookmarkStart w:id="540" w:name="_Toc490667853"/>
      <w:bookmarkStart w:id="541" w:name="_Toc466298116"/>
      <w:bookmarkStart w:id="542" w:name="_Toc16832"/>
      <w:bookmarkStart w:id="543" w:name="_Toc8754"/>
      <w:bookmarkStart w:id="544" w:name="_Toc27420"/>
      <w:bookmarkStart w:id="545" w:name="_Toc318450700"/>
      <w:bookmarkStart w:id="546" w:name="_Toc144974525"/>
      <w:bookmarkStart w:id="547" w:name="_Toc152045557"/>
      <w:bookmarkStart w:id="548" w:name="_Toc152042333"/>
      <w:r>
        <w:rPr>
          <w:rFonts w:hint="eastAsia" w:ascii="宋体" w:hAnsi="宋体" w:eastAsia="宋体" w:cs="宋体"/>
          <w:b/>
          <w:bCs/>
          <w:color w:val="auto"/>
          <w:sz w:val="24"/>
          <w:szCs w:val="24"/>
        </w:rPr>
        <w:t>4.2 响应文件的递交</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highlight w:val="white"/>
        </w:rPr>
      </w:pPr>
      <w:bookmarkStart w:id="549" w:name="_Toc455080134"/>
      <w:bookmarkStart w:id="550" w:name="_Toc20281"/>
      <w:bookmarkStart w:id="551" w:name="_Toc19951"/>
      <w:bookmarkStart w:id="552" w:name="_Toc5102"/>
      <w:bookmarkStart w:id="553" w:name="_Toc17161"/>
      <w:bookmarkStart w:id="554" w:name="_Toc21890"/>
      <w:bookmarkStart w:id="555" w:name="_Toc490667854"/>
      <w:bookmarkStart w:id="556" w:name="_Toc11817"/>
      <w:bookmarkStart w:id="557" w:name="_Toc318450701"/>
      <w:bookmarkStart w:id="558" w:name="_Toc30860"/>
      <w:bookmarkStart w:id="559" w:name="_Toc152045558"/>
      <w:bookmarkStart w:id="560" w:name="_Toc455867794"/>
      <w:bookmarkStart w:id="561" w:name="_Toc144974526"/>
      <w:bookmarkStart w:id="562" w:name="_Toc2952"/>
      <w:bookmarkStart w:id="563" w:name="_Toc466298117"/>
      <w:bookmarkStart w:id="564" w:name="_Toc26684"/>
      <w:bookmarkStart w:id="565" w:name="_Toc152042334"/>
      <w:r>
        <w:rPr>
          <w:rFonts w:hint="eastAsia" w:ascii="宋体" w:hAnsi="宋体" w:eastAsia="宋体" w:cs="宋体"/>
          <w:color w:val="auto"/>
          <w:sz w:val="24"/>
          <w:szCs w:val="24"/>
          <w:highlight w:val="white"/>
        </w:rPr>
        <w:t>4.2.1电子响应文件的递交</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各供应商应在</w:t>
      </w:r>
      <w:r>
        <w:rPr>
          <w:rFonts w:hint="eastAsia" w:ascii="宋体" w:hAnsi="宋体" w:eastAsia="宋体" w:cs="宋体"/>
          <w:color w:val="auto"/>
          <w:sz w:val="24"/>
          <w:szCs w:val="24"/>
          <w:highlight w:val="white"/>
          <w:lang w:eastAsia="zh-CN"/>
        </w:rPr>
        <w:t>响应文件提交截止时间前</w:t>
      </w:r>
      <w:r>
        <w:rPr>
          <w:rFonts w:hint="eastAsia" w:ascii="宋体" w:hAnsi="宋体" w:eastAsia="宋体" w:cs="宋体"/>
          <w:color w:val="auto"/>
          <w:sz w:val="24"/>
          <w:szCs w:val="24"/>
          <w:highlight w:val="white"/>
        </w:rPr>
        <w:t>上传加密的电子响应文件（*.XYTF）到会员系统的指定位置。上传的电子响应文件应使用</w:t>
      </w:r>
      <w:r>
        <w:rPr>
          <w:rFonts w:hint="eastAsia" w:ascii="宋体" w:hAnsi="宋体" w:eastAsia="宋体" w:cs="宋体"/>
          <w:color w:val="auto"/>
          <w:sz w:val="24"/>
          <w:szCs w:val="24"/>
          <w:highlight w:val="white"/>
          <w:lang w:eastAsia="zh-CN"/>
        </w:rPr>
        <w:t>供应商</w:t>
      </w:r>
      <w:r>
        <w:rPr>
          <w:rFonts w:hint="eastAsia" w:ascii="宋体" w:hAnsi="宋体" w:eastAsia="宋体" w:cs="宋体"/>
          <w:color w:val="auto"/>
          <w:sz w:val="24"/>
          <w:szCs w:val="24"/>
          <w:highlight w:val="white"/>
        </w:rPr>
        <w:t>CA数字证书认证并加密。上传时必须得到交易系统“上传成功”的确认回复后方为上传成功。请供应商在上传前务必认真检查上传响应文件是否完整、正确。</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66" w:name="_Toc1790"/>
      <w:bookmarkStart w:id="567" w:name="_Toc27477"/>
      <w:r>
        <w:rPr>
          <w:rFonts w:hint="eastAsia" w:ascii="宋体" w:hAnsi="宋体" w:eastAsia="宋体" w:cs="宋体"/>
          <w:b/>
          <w:bCs/>
          <w:color w:val="auto"/>
          <w:sz w:val="24"/>
          <w:szCs w:val="24"/>
        </w:rPr>
        <w:t>4.3 响应文件的修改与撤回</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568" w:name="_Toc144974527"/>
      <w:bookmarkStart w:id="569" w:name="_Toc152045559"/>
      <w:bookmarkStart w:id="570" w:name="_Toc152042335"/>
      <w:bookmarkStart w:id="571"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截止时间前，供应商可以多次修改或撤回已递交的响应文件，最终响应文件以</w:t>
      </w:r>
      <w:r>
        <w:rPr>
          <w:rFonts w:hint="eastAsia" w:ascii="宋体" w:hAnsi="宋体" w:eastAsia="宋体" w:cs="宋体"/>
          <w:color w:val="auto"/>
          <w:sz w:val="24"/>
          <w:szCs w:val="24"/>
          <w:lang w:eastAsia="zh-CN"/>
        </w:rPr>
        <w:t>响应文件提交截止时间前</w:t>
      </w:r>
      <w:r>
        <w:rPr>
          <w:rFonts w:hint="eastAsia" w:ascii="宋体" w:hAnsi="宋体" w:eastAsia="宋体" w:cs="宋体"/>
          <w:color w:val="auto"/>
          <w:sz w:val="24"/>
          <w:szCs w:val="24"/>
        </w:rPr>
        <w:t>完成上传至信阳市公共资源交易中心交易系统最后一份响应文件为准。</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68"/>
    <w:bookmarkEnd w:id="569"/>
    <w:bookmarkEnd w:id="570"/>
    <w:p>
      <w:pPr>
        <w:pageBreakBefore w:val="0"/>
        <w:kinsoku/>
        <w:wordWrap/>
        <w:overflowPunct/>
        <w:topLinePunct w:val="0"/>
        <w:bidi w:val="0"/>
        <w:snapToGrid/>
        <w:spacing w:line="500" w:lineRule="exact"/>
        <w:textAlignment w:val="auto"/>
        <w:outlineLvl w:val="1"/>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572" w:name="_Toc14969"/>
    </w:p>
    <w:p>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bCs/>
          <w:color w:val="auto"/>
          <w:sz w:val="24"/>
          <w:szCs w:val="24"/>
        </w:rPr>
      </w:pPr>
      <w:bookmarkStart w:id="573" w:name="_Toc30385"/>
      <w:r>
        <w:rPr>
          <w:rFonts w:hint="eastAsia" w:ascii="宋体" w:hAnsi="宋体" w:eastAsia="宋体" w:cs="宋体"/>
          <w:b/>
          <w:bCs/>
          <w:color w:val="auto"/>
          <w:sz w:val="24"/>
          <w:szCs w:val="24"/>
        </w:rPr>
        <w:t>5.磋商开始</w:t>
      </w:r>
      <w:bookmarkEnd w:id="571"/>
      <w:bookmarkEnd w:id="572"/>
      <w:bookmarkEnd w:id="573"/>
      <w:bookmarkStart w:id="574" w:name="_Toc455080136"/>
      <w:bookmarkStart w:id="575" w:name="_Toc26426"/>
      <w:bookmarkStart w:id="576" w:name="_Toc20660"/>
      <w:bookmarkStart w:id="577" w:name="_Toc9969"/>
      <w:bookmarkStart w:id="578" w:name="_Toc25809"/>
      <w:bookmarkStart w:id="579" w:name="_Toc6763"/>
      <w:bookmarkStart w:id="580" w:name="_Toc25533"/>
      <w:bookmarkStart w:id="581" w:name="_Toc152042336"/>
      <w:bookmarkStart w:id="582" w:name="_Toc144974528"/>
      <w:bookmarkStart w:id="583" w:name="_Toc20333"/>
      <w:bookmarkStart w:id="584" w:name="_Toc455867796"/>
      <w:bookmarkStart w:id="585" w:name="_Toc490667856"/>
      <w:bookmarkStart w:id="586" w:name="_Toc14"/>
      <w:bookmarkStart w:id="587" w:name="_Toc16040"/>
      <w:bookmarkStart w:id="588" w:name="_Toc466298119"/>
      <w:bookmarkStart w:id="589" w:name="_Toc318450703"/>
      <w:bookmarkStart w:id="590" w:name="_Toc152045560"/>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rPr>
      </w:pPr>
      <w:bookmarkStart w:id="591" w:name="_Toc17491"/>
      <w:bookmarkStart w:id="592" w:name="_Toc30792"/>
      <w:bookmarkStart w:id="593" w:name="_Toc318450704"/>
      <w:bookmarkStart w:id="594" w:name="_Toc30965"/>
      <w:bookmarkStart w:id="595" w:name="_Toc30074"/>
      <w:bookmarkStart w:id="596" w:name="_Toc25911"/>
      <w:bookmarkStart w:id="597" w:name="_Toc466298120"/>
      <w:bookmarkStart w:id="598" w:name="_Toc455867797"/>
      <w:bookmarkStart w:id="599" w:name="_Toc3865"/>
      <w:bookmarkStart w:id="600" w:name="_Toc152045561"/>
      <w:bookmarkStart w:id="601" w:name="_Toc9328"/>
      <w:bookmarkStart w:id="602" w:name="_Toc747"/>
      <w:bookmarkStart w:id="603" w:name="_Toc11148"/>
      <w:bookmarkStart w:id="604" w:name="_Toc490667857"/>
      <w:bookmarkStart w:id="605" w:name="_Toc152042337"/>
      <w:bookmarkStart w:id="606" w:name="_Toc18582"/>
      <w:bookmarkStart w:id="607" w:name="_Toc144974529"/>
      <w:bookmarkStart w:id="608" w:name="_Toc455080137"/>
      <w:r>
        <w:rPr>
          <w:rFonts w:hint="eastAsia" w:ascii="宋体" w:hAnsi="宋体" w:eastAsia="宋体" w:cs="宋体"/>
          <w:b/>
          <w:bCs/>
          <w:color w:val="auto"/>
          <w:sz w:val="24"/>
          <w:szCs w:val="24"/>
        </w:rPr>
        <w:t>5.1 磋商时间和地点</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 采购人在本章规定的投标截止时间（</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时间）和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须知前附表规定的地点开标。</w:t>
      </w:r>
    </w:p>
    <w:p>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http://https://ggzyjy.xinyang.gov.cn，供应商无需寄送和递交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r>
        <w:rPr>
          <w:rFonts w:hint="eastAsia" w:ascii="宋体" w:hAnsi="宋体" w:eastAsia="宋体" w:cs="宋体"/>
          <w:b/>
          <w:bCs/>
          <w:color w:val="auto"/>
          <w:sz w:val="24"/>
          <w:szCs w:val="24"/>
          <w:lang w:val="en-US" w:eastAsia="zh-CN"/>
        </w:rPr>
        <w:fldChar w:fldCharType="end"/>
      </w:r>
    </w:p>
    <w:p>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w:t>
      </w:r>
    </w:p>
    <w:p>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09" w:name="_Toc7224"/>
      <w:r>
        <w:rPr>
          <w:rFonts w:hint="eastAsia" w:ascii="宋体" w:hAnsi="宋体" w:eastAsia="宋体" w:cs="宋体"/>
          <w:b/>
          <w:bCs/>
          <w:color w:val="auto"/>
          <w:sz w:val="24"/>
          <w:szCs w:val="24"/>
        </w:rPr>
        <w:t>5.2 磋商程序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val="en-US" w:eastAsia="zh-CN"/>
        </w:rPr>
      </w:pPr>
      <w:bookmarkStart w:id="610" w:name="_Toc30403"/>
      <w:bookmarkStart w:id="611" w:name="_Toc20931"/>
      <w:r>
        <w:rPr>
          <w:rFonts w:hint="eastAsia" w:ascii="宋体" w:hAnsi="宋体" w:eastAsia="宋体" w:cs="宋体"/>
          <w:color w:val="auto"/>
          <w:sz w:val="24"/>
          <w:szCs w:val="24"/>
          <w:lang w:val="en-US" w:eastAsia="zh-CN"/>
        </w:rPr>
        <w:t>5.2.1磋商小组对竞争性磋商文件进行熟悉确认。</w:t>
      </w:r>
      <w:bookmarkEnd w:id="610"/>
      <w:bookmarkEnd w:id="611"/>
    </w:p>
    <w:p>
      <w:pPr>
        <w:pageBreakBefore w:val="0"/>
        <w:kinsoku/>
        <w:wordWrap/>
        <w:overflowPunct/>
        <w:topLinePunct w:val="0"/>
        <w:bidi w:val="0"/>
        <w:snapToGrid/>
        <w:spacing w:line="500" w:lineRule="exact"/>
        <w:ind w:firstLine="540" w:firstLineChars="225"/>
        <w:textAlignment w:val="auto"/>
        <w:rPr>
          <w:rFonts w:hint="eastAsia" w:ascii="宋体" w:hAnsi="宋体" w:eastAsia="宋体" w:cs="宋体"/>
          <w:color w:val="auto"/>
          <w:sz w:val="24"/>
          <w:szCs w:val="24"/>
        </w:rPr>
      </w:pPr>
      <w:bookmarkStart w:id="612" w:name="_Toc152042338"/>
      <w:bookmarkStart w:id="613" w:name="_Toc144974530"/>
      <w:bookmarkStart w:id="614" w:name="_Toc152045562"/>
      <w:r>
        <w:rPr>
          <w:rFonts w:hint="eastAsia" w:ascii="宋体" w:hAnsi="宋体" w:eastAsia="宋体" w:cs="宋体"/>
          <w:color w:val="auto"/>
          <w:sz w:val="24"/>
          <w:szCs w:val="24"/>
        </w:rPr>
        <w:t>5.2.2磋商小组推选组长，讨论、通过磋商工作流程和磋商要点。</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资格评审审查：采购人依据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供应商进行审查，以确定磋商供应商是否具备参与磋商的资格。根据磋商文件资格条件要求提供相关证明材料的扫描件加盖投标供应商企业</w:t>
      </w: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章及法</w:t>
      </w:r>
      <w:r>
        <w:rPr>
          <w:rFonts w:hint="eastAsia" w:ascii="宋体" w:hAnsi="宋体" w:eastAsia="宋体" w:cs="宋体"/>
          <w:color w:val="auto"/>
          <w:sz w:val="24"/>
          <w:szCs w:val="24"/>
          <w:lang w:eastAsia="zh-CN"/>
        </w:rPr>
        <w:t>定代表</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未按要求提供的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文件无效。</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评审审查：磋商开始后，磋商小组依据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规定，对通过资格评审的供应商进行审查，以确定磋商供应商是否具备参与磋商的资格。</w:t>
      </w:r>
    </w:p>
    <w:p>
      <w:pPr>
        <w:pageBreakBefore w:val="0"/>
        <w:kinsoku/>
        <w:wordWrap/>
        <w:overflowPunct/>
        <w:topLinePunct w:val="0"/>
        <w:bidi w:val="0"/>
        <w:snapToGrid/>
        <w:spacing w:line="500" w:lineRule="exact"/>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中的其他内容。实质性变动的内容需经采购人(业主)代表确认。并以书面形式通知所有参加磋商的供应商，该变动是</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的有效组成部分。供应商应当按照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及符合性</w:t>
      </w:r>
      <w:r>
        <w:rPr>
          <w:rFonts w:hint="eastAsia" w:ascii="宋体" w:hAnsi="宋体" w:eastAsia="宋体" w:cs="宋体"/>
          <w:color w:val="auto"/>
          <w:sz w:val="24"/>
          <w:szCs w:val="24"/>
        </w:rPr>
        <w:t>评审后方可进入下一轮报价，在规定的时间内同时提交报价，最终报价不得超过响应文件中报价。</w:t>
      </w:r>
    </w:p>
    <w:p>
      <w:pPr>
        <w:pageBreakBefore w:val="0"/>
        <w:tabs>
          <w:tab w:val="left" w:pos="0"/>
          <w:tab w:val="left" w:pos="1050"/>
        </w:tabs>
        <w:kinsoku/>
        <w:wordWrap/>
        <w:overflowPunct/>
        <w:topLinePunct w:val="0"/>
        <w:bidi w:val="0"/>
        <w:snapToGrid/>
        <w:spacing w:line="500" w:lineRule="exact"/>
        <w:ind w:firstLine="419" w:firstLineChars="174"/>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lang w:val="en-US" w:eastAsia="zh-CN"/>
        </w:rPr>
        <w:t>因供应商原因（如供应商准备不到位、电脑网络问题等），</w:t>
      </w:r>
      <w:r>
        <w:rPr>
          <w:rFonts w:hint="eastAsia" w:ascii="宋体" w:hAnsi="宋体" w:eastAsia="宋体" w:cs="宋体"/>
          <w:b/>
          <w:bCs/>
          <w:color w:val="auto"/>
          <w:sz w:val="24"/>
          <w:szCs w:val="24"/>
          <w:highlight w:val="none"/>
          <w:lang w:eastAsia="zh-CN"/>
        </w:rPr>
        <w:t>未在规定时间内进行二次报价的，第一次报价即为其</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15" w:name="_Toc455080138"/>
      <w:bookmarkStart w:id="616" w:name="_Toc14039"/>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617" w:name="_Toc2032"/>
      <w:r>
        <w:rPr>
          <w:rFonts w:hint="eastAsia" w:ascii="宋体" w:hAnsi="宋体" w:eastAsia="宋体" w:cs="宋体"/>
          <w:b/>
          <w:bCs/>
          <w:color w:val="auto"/>
          <w:sz w:val="24"/>
          <w:szCs w:val="24"/>
        </w:rPr>
        <w:t xml:space="preserve">6. </w:t>
      </w:r>
      <w:bookmarkEnd w:id="612"/>
      <w:bookmarkEnd w:id="613"/>
      <w:bookmarkEnd w:id="614"/>
      <w:r>
        <w:rPr>
          <w:rFonts w:hint="eastAsia" w:ascii="宋体" w:hAnsi="宋体" w:eastAsia="宋体" w:cs="宋体"/>
          <w:b/>
          <w:bCs/>
          <w:color w:val="auto"/>
          <w:sz w:val="24"/>
          <w:szCs w:val="24"/>
        </w:rPr>
        <w:t>磋商</w:t>
      </w:r>
      <w:bookmarkEnd w:id="615"/>
      <w:r>
        <w:rPr>
          <w:rFonts w:hint="eastAsia" w:ascii="宋体" w:hAnsi="宋体" w:eastAsia="宋体" w:cs="宋体"/>
          <w:b/>
          <w:bCs/>
          <w:color w:val="auto"/>
          <w:sz w:val="24"/>
          <w:szCs w:val="24"/>
        </w:rPr>
        <w:t>小组</w:t>
      </w:r>
      <w:bookmarkEnd w:id="616"/>
      <w:bookmarkEnd w:id="617"/>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18" w:name="_Toc22250"/>
      <w:bookmarkStart w:id="619" w:name="_Toc152042339"/>
      <w:bookmarkStart w:id="620" w:name="_Toc144974531"/>
      <w:bookmarkStart w:id="621" w:name="_Toc318450706"/>
      <w:bookmarkStart w:id="622" w:name="_Toc9808"/>
      <w:bookmarkStart w:id="623" w:name="_Toc152045563"/>
      <w:bookmarkStart w:id="624" w:name="_Toc26098"/>
      <w:bookmarkStart w:id="625" w:name="_Toc455867799"/>
      <w:bookmarkStart w:id="626" w:name="_Toc455080139"/>
      <w:bookmarkStart w:id="627" w:name="_Toc13978"/>
      <w:bookmarkStart w:id="628" w:name="_Toc18985"/>
      <w:bookmarkStart w:id="629" w:name="_Toc8725"/>
      <w:bookmarkStart w:id="630" w:name="_Toc17775"/>
      <w:bookmarkStart w:id="631" w:name="_Toc1546"/>
      <w:bookmarkStart w:id="632" w:name="_Toc1574"/>
      <w:bookmarkStart w:id="633" w:name="_Toc8157"/>
      <w:bookmarkStart w:id="634" w:name="_Toc490667859"/>
      <w:bookmarkStart w:id="635" w:name="_Toc23138"/>
      <w:bookmarkStart w:id="636" w:name="_Toc466298122"/>
      <w:r>
        <w:rPr>
          <w:rFonts w:hint="eastAsia" w:ascii="宋体" w:hAnsi="宋体" w:eastAsia="宋体" w:cs="宋体"/>
          <w:b/>
          <w:bCs/>
          <w:color w:val="auto"/>
          <w:sz w:val="24"/>
          <w:szCs w:val="24"/>
        </w:rPr>
        <w:t>6.1</w:t>
      </w:r>
      <w:bookmarkEnd w:id="618"/>
      <w:bookmarkEnd w:id="619"/>
      <w:bookmarkEnd w:id="620"/>
      <w:bookmarkEnd w:id="621"/>
      <w:bookmarkEnd w:id="622"/>
      <w:bookmarkEnd w:id="623"/>
      <w:bookmarkEnd w:id="624"/>
      <w:r>
        <w:rPr>
          <w:rFonts w:hint="eastAsia" w:ascii="宋体" w:hAnsi="宋体" w:eastAsia="宋体" w:cs="宋体"/>
          <w:b/>
          <w:bCs/>
          <w:color w:val="auto"/>
          <w:sz w:val="24"/>
          <w:szCs w:val="24"/>
        </w:rPr>
        <w:t>磋商小组</w:t>
      </w:r>
      <w:bookmarkEnd w:id="625"/>
      <w:bookmarkEnd w:id="626"/>
      <w:bookmarkEnd w:id="627"/>
      <w:bookmarkEnd w:id="628"/>
      <w:bookmarkEnd w:id="629"/>
      <w:bookmarkEnd w:id="630"/>
      <w:bookmarkEnd w:id="631"/>
      <w:bookmarkEnd w:id="632"/>
      <w:bookmarkEnd w:id="633"/>
      <w:bookmarkEnd w:id="634"/>
      <w:bookmarkEnd w:id="635"/>
      <w:bookmarkEnd w:id="63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pPr>
        <w:pStyle w:val="35"/>
        <w:pageBreakBefore w:val="0"/>
        <w:tabs>
          <w:tab w:val="left" w:pos="2620"/>
        </w:tabs>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37" w:name="_Toc27035"/>
      <w:bookmarkStart w:id="638" w:name="_Toc32658"/>
      <w:bookmarkStart w:id="639" w:name="_Toc455867800"/>
      <w:bookmarkStart w:id="640" w:name="_Toc7286"/>
      <w:bookmarkStart w:id="641" w:name="_Toc455080140"/>
      <w:bookmarkStart w:id="642" w:name="_Toc8248"/>
      <w:bookmarkStart w:id="643" w:name="_Toc490667860"/>
      <w:bookmarkStart w:id="644" w:name="_Toc152045564"/>
      <w:bookmarkStart w:id="645" w:name="_Toc466298123"/>
      <w:bookmarkStart w:id="646" w:name="_Toc22143"/>
      <w:bookmarkStart w:id="647" w:name="_Toc144974532"/>
      <w:bookmarkStart w:id="648" w:name="_Toc9532"/>
      <w:bookmarkStart w:id="649" w:name="_Toc8240"/>
      <w:bookmarkStart w:id="650" w:name="_Toc4435"/>
      <w:bookmarkStart w:id="651" w:name="_Toc152042340"/>
      <w:bookmarkStart w:id="652" w:name="_Toc21102"/>
      <w:bookmarkStart w:id="653" w:name="_Toc13368"/>
      <w:bookmarkStart w:id="654" w:name="_Toc318450707"/>
      <w:bookmarkStart w:id="655" w:name="_Toc25721"/>
      <w:r>
        <w:rPr>
          <w:rFonts w:hint="eastAsia" w:ascii="宋体" w:hAnsi="宋体" w:eastAsia="宋体" w:cs="宋体"/>
          <w:b/>
          <w:bCs/>
          <w:color w:val="auto"/>
          <w:sz w:val="24"/>
          <w:szCs w:val="24"/>
        </w:rPr>
        <w:t>6.2 磋商原则</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656" w:name="_Toc8705"/>
      <w:bookmarkStart w:id="657" w:name="_Toc152045565"/>
      <w:bookmarkStart w:id="658" w:name="_Toc152042341"/>
      <w:bookmarkStart w:id="659" w:name="_Toc15595"/>
      <w:bookmarkStart w:id="660" w:name="_Toc16725"/>
      <w:bookmarkStart w:id="661" w:name="_Toc318450708"/>
      <w:bookmarkStart w:id="662" w:name="_Toc144974533"/>
      <w:bookmarkStart w:id="663" w:name="_Toc455867801"/>
      <w:bookmarkStart w:id="664" w:name="_Toc455080141"/>
      <w:bookmarkStart w:id="665" w:name="_Toc7890"/>
      <w:bookmarkStart w:id="666" w:name="_Toc490667861"/>
      <w:bookmarkStart w:id="667" w:name="_Toc24358"/>
      <w:bookmarkStart w:id="668" w:name="_Toc466298124"/>
      <w:bookmarkStart w:id="669" w:name="_Toc18756"/>
      <w:bookmarkStart w:id="670" w:name="_Toc3606"/>
      <w:bookmarkStart w:id="671" w:name="_Toc20062"/>
      <w:bookmarkStart w:id="672" w:name="_Toc27036"/>
      <w:bookmarkStart w:id="673" w:name="_Toc28734"/>
      <w:bookmarkStart w:id="674" w:name="_Toc309"/>
      <w:r>
        <w:rPr>
          <w:rFonts w:hint="eastAsia" w:ascii="宋体" w:hAnsi="宋体" w:eastAsia="宋体" w:cs="宋体"/>
          <w:b/>
          <w:bCs/>
          <w:color w:val="auto"/>
          <w:sz w:val="24"/>
          <w:szCs w:val="24"/>
        </w:rPr>
        <w:t xml:space="preserve">6.3 </w:t>
      </w:r>
      <w:bookmarkEnd w:id="656"/>
      <w:bookmarkEnd w:id="657"/>
      <w:bookmarkEnd w:id="658"/>
      <w:bookmarkEnd w:id="659"/>
      <w:bookmarkEnd w:id="660"/>
      <w:bookmarkEnd w:id="661"/>
      <w:bookmarkEnd w:id="662"/>
      <w:r>
        <w:rPr>
          <w:rFonts w:hint="eastAsia" w:ascii="宋体" w:hAnsi="宋体" w:eastAsia="宋体" w:cs="宋体"/>
          <w:b/>
          <w:bCs/>
          <w:color w:val="auto"/>
          <w:sz w:val="24"/>
          <w:szCs w:val="24"/>
        </w:rPr>
        <w:t>磋商</w:t>
      </w:r>
      <w:bookmarkEnd w:id="663"/>
      <w:bookmarkEnd w:id="664"/>
      <w:bookmarkEnd w:id="665"/>
      <w:bookmarkEnd w:id="666"/>
      <w:bookmarkEnd w:id="667"/>
      <w:bookmarkEnd w:id="668"/>
      <w:bookmarkEnd w:id="669"/>
      <w:bookmarkEnd w:id="670"/>
      <w:bookmarkEnd w:id="671"/>
      <w:bookmarkEnd w:id="672"/>
      <w:bookmarkEnd w:id="673"/>
      <w:bookmarkEnd w:id="674"/>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75" w:name="_Toc455080142"/>
      <w:bookmarkStart w:id="676" w:name="_Toc152045566"/>
      <w:bookmarkStart w:id="677" w:name="_Toc152042342"/>
      <w:bookmarkStart w:id="678" w:name="_Toc144974534"/>
      <w:bookmarkStart w:id="679" w:name="_Toc9522"/>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680" w:name="_Toc5207"/>
      <w:r>
        <w:rPr>
          <w:rFonts w:hint="eastAsia" w:ascii="宋体" w:hAnsi="宋体" w:eastAsia="宋体" w:cs="宋体"/>
          <w:b/>
          <w:bCs/>
          <w:color w:val="auto"/>
          <w:sz w:val="24"/>
          <w:szCs w:val="24"/>
        </w:rPr>
        <w:t>7. 合同授予</w:t>
      </w:r>
      <w:bookmarkEnd w:id="675"/>
      <w:bookmarkEnd w:id="676"/>
      <w:bookmarkEnd w:id="677"/>
      <w:bookmarkEnd w:id="678"/>
      <w:bookmarkEnd w:id="679"/>
      <w:bookmarkEnd w:id="680"/>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81" w:name="_Toc20777"/>
      <w:bookmarkStart w:id="682" w:name="_Toc455867803"/>
      <w:bookmarkStart w:id="683" w:name="_Toc152042343"/>
      <w:bookmarkStart w:id="684" w:name="_Toc28919"/>
      <w:bookmarkStart w:id="685" w:name="_Toc318450710"/>
      <w:bookmarkStart w:id="686" w:name="_Toc490667863"/>
      <w:bookmarkStart w:id="687" w:name="_Toc17660"/>
      <w:bookmarkStart w:id="688" w:name="_Toc466298126"/>
      <w:bookmarkStart w:id="689" w:name="_Toc455080143"/>
      <w:bookmarkStart w:id="690" w:name="_Toc29686"/>
      <w:bookmarkStart w:id="691" w:name="_Toc7358"/>
      <w:bookmarkStart w:id="692" w:name="_Toc23103"/>
      <w:bookmarkStart w:id="693" w:name="_Toc11409"/>
      <w:bookmarkStart w:id="694" w:name="_Toc25316"/>
      <w:bookmarkStart w:id="695" w:name="_Toc14528"/>
      <w:bookmarkStart w:id="696" w:name="_Toc144974535"/>
      <w:bookmarkStart w:id="697" w:name="_Toc29664"/>
      <w:bookmarkStart w:id="698" w:name="_Toc152045567"/>
      <w:bookmarkStart w:id="699" w:name="_Toc22461"/>
      <w:r>
        <w:rPr>
          <w:rFonts w:hint="eastAsia" w:ascii="宋体" w:hAnsi="宋体" w:eastAsia="宋体" w:cs="宋体"/>
          <w:b/>
          <w:bCs/>
          <w:color w:val="auto"/>
          <w:sz w:val="24"/>
          <w:szCs w:val="24"/>
        </w:rPr>
        <w:t>7.1 定标方式</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700" w:name="_Toc7066"/>
      <w:bookmarkStart w:id="701" w:name="_Toc318450711"/>
      <w:bookmarkStart w:id="702" w:name="_Toc152042344"/>
      <w:bookmarkStart w:id="703" w:name="_Toc10868"/>
      <w:bookmarkStart w:id="704" w:name="_Toc152045568"/>
      <w:bookmarkStart w:id="705" w:name="_Toc144974536"/>
      <w:bookmarkStart w:id="706" w:name="_Toc2825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要求提交履约保证金，或者被查实存在影响成交结果的违法行为等情形，不符合成交条件的，采购人可以按照磋商小组提出的成交候选人名单排序依次确定其他成交候选人为成交人，也可以重新磋商。</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07" w:name="_Toc5668"/>
      <w:bookmarkStart w:id="708" w:name="_Toc5428"/>
      <w:bookmarkStart w:id="709" w:name="_Toc16163"/>
      <w:bookmarkStart w:id="710" w:name="_Toc9897"/>
      <w:bookmarkStart w:id="711" w:name="_Toc28177"/>
      <w:bookmarkStart w:id="712" w:name="_Toc455080144"/>
      <w:bookmarkStart w:id="713" w:name="_Toc455867804"/>
      <w:bookmarkStart w:id="714" w:name="_Toc9775"/>
      <w:bookmarkStart w:id="715" w:name="_Toc466298127"/>
      <w:bookmarkStart w:id="716" w:name="_Toc15825"/>
      <w:bookmarkStart w:id="717" w:name="_Toc29772"/>
      <w:bookmarkStart w:id="718" w:name="_Toc490667864"/>
      <w:r>
        <w:rPr>
          <w:rFonts w:hint="eastAsia" w:ascii="宋体" w:hAnsi="宋体" w:eastAsia="宋体" w:cs="宋体"/>
          <w:b/>
          <w:bCs/>
          <w:color w:val="auto"/>
          <w:sz w:val="24"/>
          <w:szCs w:val="24"/>
        </w:rPr>
        <w:t>7.2 成交通知</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在本章第3.3.1款规定的磋商有效期内，采购人以书面形式向成交人发出成交通知书，同时将成交结果通知未成交的供应商。</w:t>
      </w:r>
    </w:p>
    <w:p>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7.3 履约保证金</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val="en-US" w:eastAsia="zh-CN"/>
        </w:rPr>
      </w:pPr>
      <w:bookmarkStart w:id="719" w:name="_Toc26058"/>
      <w:bookmarkStart w:id="720" w:name="_Toc21271"/>
      <w:bookmarkStart w:id="721" w:name="_Toc26915"/>
      <w:bookmarkStart w:id="722" w:name="_Toc318450712"/>
      <w:bookmarkStart w:id="723" w:name="_Toc10082"/>
      <w:bookmarkStart w:id="724" w:name="_Toc455080145"/>
      <w:bookmarkStart w:id="725" w:name="_Toc8886"/>
      <w:bookmarkStart w:id="726" w:name="_Toc466298128"/>
      <w:bookmarkStart w:id="727" w:name="_Toc24026"/>
      <w:bookmarkStart w:id="728" w:name="_Toc12663"/>
      <w:bookmarkStart w:id="729" w:name="_Toc455867805"/>
      <w:bookmarkStart w:id="730" w:name="_Toc13147"/>
      <w:bookmarkStart w:id="731" w:name="_Toc490667865"/>
      <w:bookmarkStart w:id="732" w:name="_Toc144974538"/>
      <w:bookmarkStart w:id="733" w:name="_Toc15458"/>
      <w:bookmarkStart w:id="734" w:name="_Toc26655"/>
      <w:bookmarkStart w:id="735" w:name="_Toc152042346"/>
      <w:bookmarkStart w:id="736" w:name="_Toc26760"/>
      <w:bookmarkStart w:id="737" w:name="_Toc152045570"/>
      <w:r>
        <w:rPr>
          <w:rFonts w:hint="eastAsia" w:ascii="宋体" w:hAnsi="宋体" w:eastAsia="宋体" w:cs="宋体"/>
          <w:b/>
          <w:bCs/>
          <w:color w:val="auto"/>
          <w:sz w:val="24"/>
          <w:szCs w:val="24"/>
          <w:lang w:val="en-US" w:eastAsia="zh-CN"/>
        </w:rPr>
        <w:t>免收履约保证金</w:t>
      </w:r>
      <w:bookmarkEnd w:id="719"/>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38" w:name="_Toc2451"/>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签订合同</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.1采购人和成交人应当自成交通知书发出之日起</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天内，根据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.2 发出成交通知书后，采购人无正当理由拒签合同的，采购人向成交人退还磋商保证金；给成交人造成损失的，还应当赔偿损失。 </w:t>
      </w:r>
      <w:bookmarkStart w:id="739" w:name="_Toc144974542"/>
      <w:bookmarkStart w:id="740" w:name="_Toc152045574"/>
      <w:bookmarkStart w:id="741" w:name="_Toc152042350"/>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42" w:name="_Toc455080146"/>
      <w:bookmarkStart w:id="743" w:name="_Toc16866"/>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744" w:name="_Toc20443"/>
      <w:r>
        <w:rPr>
          <w:rFonts w:hint="eastAsia" w:ascii="宋体" w:hAnsi="宋体" w:eastAsia="宋体" w:cs="宋体"/>
          <w:b/>
          <w:bCs/>
          <w:color w:val="auto"/>
          <w:sz w:val="24"/>
          <w:szCs w:val="24"/>
        </w:rPr>
        <w:t>8.重新招标</w:t>
      </w:r>
      <w:bookmarkEnd w:id="742"/>
      <w:bookmarkEnd w:id="743"/>
      <w:bookmarkEnd w:id="744"/>
    </w:p>
    <w:p>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bookmarkStart w:id="745" w:name="_Toc16556"/>
      <w:r>
        <w:rPr>
          <w:rFonts w:hint="eastAsia" w:ascii="宋体" w:hAnsi="宋体" w:eastAsia="宋体" w:cs="宋体"/>
          <w:b/>
          <w:bCs/>
          <w:color w:val="auto"/>
          <w:sz w:val="24"/>
          <w:szCs w:val="24"/>
        </w:rPr>
        <w:t>8.1 重新招标</w:t>
      </w:r>
      <w:bookmarkEnd w:id="745"/>
    </w:p>
    <w:p>
      <w:pPr>
        <w:pageBreakBefore w:val="0"/>
        <w:kinsoku/>
        <w:wordWrap/>
        <w:overflowPunct/>
        <w:topLinePunct w:val="0"/>
        <w:bidi w:val="0"/>
        <w:snapToGrid/>
        <w:spacing w:line="500" w:lineRule="exact"/>
        <w:ind w:firstLine="480"/>
        <w:textAlignment w:val="auto"/>
        <w:rPr>
          <w:rFonts w:hint="eastAsia" w:ascii="宋体" w:hAnsi="宋体" w:eastAsia="宋体" w:cs="宋体"/>
          <w:color w:val="auto"/>
          <w:sz w:val="24"/>
          <w:szCs w:val="24"/>
        </w:rPr>
      </w:pPr>
      <w:bookmarkStart w:id="746" w:name="_Toc9985"/>
      <w:r>
        <w:rPr>
          <w:rFonts w:hint="eastAsia" w:ascii="宋体" w:hAnsi="宋体" w:eastAsia="宋体" w:cs="宋体"/>
          <w:color w:val="auto"/>
          <w:sz w:val="24"/>
          <w:szCs w:val="24"/>
        </w:rPr>
        <w:t>有下列情形之一的，采购人将重新招标：</w:t>
      </w:r>
      <w:bookmarkEnd w:id="746"/>
    </w:p>
    <w:p>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bookmarkStart w:id="747"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47"/>
      <w:r>
        <w:rPr>
          <w:rFonts w:hint="eastAsia" w:ascii="宋体" w:hAnsi="宋体" w:eastAsia="宋体" w:cs="宋体"/>
          <w:color w:val="auto"/>
          <w:sz w:val="24"/>
          <w:szCs w:val="24"/>
        </w:rPr>
        <w:t xml:space="preserve"> </w:t>
      </w:r>
    </w:p>
    <w:p>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748" w:name="_Toc17911"/>
      <w:r>
        <w:rPr>
          <w:rFonts w:hint="eastAsia" w:ascii="宋体" w:hAnsi="宋体" w:eastAsia="宋体" w:cs="宋体"/>
          <w:color w:val="auto"/>
          <w:sz w:val="24"/>
          <w:szCs w:val="24"/>
        </w:rPr>
        <w:t>（2）经磋商小组评审后否决所有响应文件的。</w:t>
      </w:r>
      <w:bookmarkEnd w:id="748"/>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49" w:name="_Toc455080147"/>
      <w:bookmarkStart w:id="750" w:name="_Toc9996"/>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751" w:name="_Toc22726"/>
      <w:r>
        <w:rPr>
          <w:rFonts w:hint="eastAsia" w:ascii="宋体" w:hAnsi="宋体" w:eastAsia="宋体" w:cs="宋体"/>
          <w:b/>
          <w:bCs/>
          <w:color w:val="auto"/>
          <w:sz w:val="24"/>
          <w:szCs w:val="24"/>
        </w:rPr>
        <w:t>9.纪律和监督</w:t>
      </w:r>
      <w:bookmarkEnd w:id="739"/>
      <w:bookmarkEnd w:id="740"/>
      <w:bookmarkEnd w:id="741"/>
      <w:bookmarkEnd w:id="749"/>
      <w:bookmarkEnd w:id="750"/>
      <w:bookmarkEnd w:id="751"/>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52" w:name="_Toc318450714"/>
      <w:bookmarkStart w:id="753" w:name="_Toc1282"/>
      <w:bookmarkStart w:id="754" w:name="_Toc15592"/>
      <w:bookmarkStart w:id="755" w:name="_Toc13970"/>
      <w:bookmarkStart w:id="756" w:name="_Toc697"/>
      <w:bookmarkStart w:id="757" w:name="_Toc15769"/>
      <w:bookmarkStart w:id="758" w:name="_Toc144974543"/>
      <w:bookmarkStart w:id="759" w:name="_Toc20009"/>
      <w:bookmarkStart w:id="760" w:name="_Toc152042351"/>
      <w:bookmarkStart w:id="761" w:name="_Toc455867808"/>
      <w:bookmarkStart w:id="762" w:name="_Toc12992"/>
      <w:bookmarkStart w:id="763" w:name="_Toc152045575"/>
      <w:bookmarkStart w:id="764" w:name="_Toc19159"/>
      <w:bookmarkStart w:id="765" w:name="_Toc269"/>
      <w:bookmarkStart w:id="766" w:name="_Toc455080148"/>
      <w:bookmarkStart w:id="767" w:name="_Toc6319"/>
      <w:bookmarkStart w:id="768" w:name="_Toc466298131"/>
      <w:bookmarkStart w:id="769" w:name="_Toc27836"/>
      <w:bookmarkStart w:id="770" w:name="_Toc490667868"/>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771" w:name="_Toc318450715"/>
      <w:bookmarkStart w:id="772" w:name="_Toc18204"/>
      <w:bookmarkStart w:id="773" w:name="_Toc455867809"/>
      <w:bookmarkStart w:id="774" w:name="_Toc21646"/>
      <w:bookmarkStart w:id="775" w:name="_Toc17040"/>
      <w:bookmarkStart w:id="776" w:name="_Toc7572"/>
      <w:bookmarkStart w:id="777" w:name="_Toc3089"/>
      <w:bookmarkStart w:id="778" w:name="_Toc1743"/>
      <w:bookmarkStart w:id="779" w:name="_Toc20261"/>
      <w:bookmarkStart w:id="780" w:name="_Toc144974544"/>
      <w:bookmarkStart w:id="781" w:name="_Toc152045576"/>
      <w:bookmarkStart w:id="782" w:name="_Toc18604"/>
      <w:bookmarkStart w:id="783" w:name="_Toc16171"/>
      <w:bookmarkStart w:id="784" w:name="_Toc466298132"/>
      <w:bookmarkStart w:id="785" w:name="_Toc27698"/>
      <w:bookmarkStart w:id="786" w:name="_Toc19167"/>
      <w:bookmarkStart w:id="787" w:name="_Toc152042352"/>
      <w:bookmarkStart w:id="788" w:name="_Toc455080149"/>
      <w:bookmarkStart w:id="789" w:name="_Toc490667869"/>
      <w:r>
        <w:rPr>
          <w:rFonts w:hint="eastAsia" w:ascii="宋体" w:hAnsi="宋体" w:eastAsia="宋体" w:cs="宋体"/>
          <w:b/>
          <w:bCs/>
          <w:color w:val="auto"/>
          <w:sz w:val="24"/>
          <w:szCs w:val="24"/>
        </w:rPr>
        <w:t>9.2 对供应商的纪律要求</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90" w:name="_Toc28813"/>
      <w:bookmarkStart w:id="791" w:name="_Toc25211"/>
      <w:bookmarkStart w:id="792" w:name="_Toc455080150"/>
      <w:bookmarkStart w:id="793" w:name="_Toc490667870"/>
      <w:bookmarkStart w:id="794" w:name="_Toc30153"/>
      <w:bookmarkStart w:id="795" w:name="_Toc25241"/>
      <w:bookmarkStart w:id="796" w:name="_Toc19965"/>
      <w:bookmarkStart w:id="797" w:name="_Toc144974545"/>
      <w:bookmarkStart w:id="798" w:name="_Toc7107"/>
      <w:bookmarkStart w:id="799" w:name="_Toc32320"/>
      <w:bookmarkStart w:id="800" w:name="_Toc466298133"/>
      <w:bookmarkStart w:id="801" w:name="_Toc12177"/>
      <w:bookmarkStart w:id="802" w:name="_Toc7439"/>
      <w:bookmarkStart w:id="803" w:name="_Toc455867810"/>
      <w:bookmarkStart w:id="804" w:name="_Toc152045577"/>
      <w:bookmarkStart w:id="805" w:name="_Toc30334"/>
      <w:bookmarkStart w:id="806" w:name="_Toc318450716"/>
      <w:bookmarkStart w:id="807" w:name="_Toc31001"/>
      <w:bookmarkStart w:id="808" w:name="_Toc152042353"/>
      <w:r>
        <w:rPr>
          <w:rFonts w:hint="eastAsia" w:ascii="宋体" w:hAnsi="宋体" w:eastAsia="宋体" w:cs="宋体"/>
          <w:b/>
          <w:bCs/>
          <w:color w:val="auto"/>
          <w:sz w:val="24"/>
          <w:szCs w:val="24"/>
        </w:rPr>
        <w:t>9.3 对磋商小组成员的纪律要求</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809" w:name="_Toc23717"/>
      <w:bookmarkStart w:id="810" w:name="_Toc455080151"/>
      <w:bookmarkStart w:id="811" w:name="_Toc20546"/>
      <w:bookmarkStart w:id="812" w:name="_Toc19485"/>
      <w:bookmarkStart w:id="813" w:name="_Toc318450717"/>
      <w:bookmarkStart w:id="814" w:name="_Toc7368"/>
      <w:bookmarkStart w:id="815" w:name="_Toc152042354"/>
      <w:bookmarkStart w:id="816" w:name="_Toc152045578"/>
      <w:bookmarkStart w:id="817" w:name="_Toc466298134"/>
      <w:bookmarkStart w:id="818" w:name="_Toc1295"/>
      <w:bookmarkStart w:id="819" w:name="_Toc30691"/>
      <w:bookmarkStart w:id="820" w:name="_Toc26462"/>
      <w:bookmarkStart w:id="821" w:name="_Toc235"/>
      <w:bookmarkStart w:id="822" w:name="_Toc490667871"/>
      <w:bookmarkStart w:id="823" w:name="_Toc455867811"/>
      <w:bookmarkStart w:id="824" w:name="_Toc27559"/>
      <w:bookmarkStart w:id="825" w:name="_Toc24"/>
      <w:bookmarkStart w:id="826" w:name="_Toc9063"/>
      <w:bookmarkStart w:id="827" w:name="_Toc144974546"/>
      <w:r>
        <w:rPr>
          <w:rFonts w:hint="eastAsia" w:ascii="宋体" w:hAnsi="宋体" w:eastAsia="宋体" w:cs="宋体"/>
          <w:b/>
          <w:bCs/>
          <w:color w:val="auto"/>
          <w:sz w:val="24"/>
          <w:szCs w:val="24"/>
        </w:rPr>
        <w:t>9.4 对与评标活动有关的工作人员的纪律要求</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828"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28"/>
    </w:p>
    <w:p>
      <w:pPr>
        <w:pStyle w:val="35"/>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829" w:name="_Toc3303"/>
      <w:bookmarkStart w:id="830" w:name="_Toc455080152"/>
      <w:bookmarkStart w:id="831" w:name="_Toc25751"/>
      <w:bookmarkStart w:id="832" w:name="_Toc1820"/>
      <w:bookmarkStart w:id="833" w:name="_Toc152042356"/>
      <w:bookmarkStart w:id="834" w:name="_Toc490667872"/>
      <w:bookmarkStart w:id="835" w:name="_Toc455867812"/>
      <w:bookmarkStart w:id="836" w:name="_Toc152045579"/>
      <w:bookmarkStart w:id="837" w:name="_Toc8074"/>
      <w:bookmarkStart w:id="838" w:name="_Toc31010"/>
      <w:bookmarkStart w:id="839" w:name="_Toc17735"/>
      <w:bookmarkStart w:id="840" w:name="_Toc18060"/>
      <w:bookmarkStart w:id="841" w:name="_Toc6199"/>
      <w:bookmarkStart w:id="842" w:name="_Toc32675"/>
      <w:bookmarkStart w:id="843" w:name="_Toc5504"/>
      <w:bookmarkStart w:id="844" w:name="_Toc318450718"/>
      <w:bookmarkStart w:id="845" w:name="_Toc3617"/>
      <w:bookmarkStart w:id="846" w:name="_Toc466298135"/>
      <w:r>
        <w:rPr>
          <w:rFonts w:hint="eastAsia" w:ascii="宋体" w:hAnsi="宋体" w:eastAsia="宋体" w:cs="宋体"/>
          <w:b/>
          <w:bCs/>
          <w:color w:val="auto"/>
          <w:sz w:val="24"/>
          <w:szCs w:val="24"/>
        </w:rPr>
        <w:t>9.5 投诉</w:t>
      </w:r>
      <w:bookmarkEnd w:id="827"/>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供应商和其他利害关系人认为本次磋商活动违反法律、法规和规章规定的，有权向有关行政监督部门投诉。</w:t>
      </w:r>
    </w:p>
    <w:p>
      <w:pPr>
        <w:pStyle w:val="33"/>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47" w:name="_Toc14221"/>
      <w:bookmarkStart w:id="848" w:name="_Toc152042357"/>
      <w:bookmarkStart w:id="849" w:name="_Toc455080153"/>
      <w:bookmarkStart w:id="850" w:name="_Toc152045580"/>
      <w:bookmarkStart w:id="851" w:name="_Toc144974547"/>
    </w:p>
    <w:p>
      <w:pPr>
        <w:pStyle w:val="33"/>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852" w:name="_Toc18234"/>
      <w:r>
        <w:rPr>
          <w:rFonts w:hint="eastAsia" w:ascii="宋体" w:hAnsi="宋体" w:eastAsia="宋体" w:cs="宋体"/>
          <w:b/>
          <w:bCs/>
          <w:color w:val="auto"/>
          <w:sz w:val="24"/>
          <w:szCs w:val="24"/>
        </w:rPr>
        <w:t>10. 需要补充的其他内容</w:t>
      </w:r>
      <w:bookmarkEnd w:id="847"/>
      <w:bookmarkEnd w:id="848"/>
      <w:bookmarkEnd w:id="849"/>
      <w:bookmarkEnd w:id="850"/>
      <w:bookmarkEnd w:id="851"/>
      <w:bookmarkEnd w:id="852"/>
    </w:p>
    <w:p>
      <w:pPr>
        <w:outlineLvl w:val="0"/>
        <w:rPr>
          <w:rFonts w:hint="eastAsia" w:ascii="宋体" w:hAnsi="宋体" w:cs="宋体"/>
          <w:b/>
          <w:color w:val="auto"/>
          <w:kern w:val="44"/>
          <w:sz w:val="28"/>
          <w:szCs w:val="28"/>
        </w:rPr>
      </w:pPr>
      <w:bookmarkStart w:id="853" w:name="_Toc455867814"/>
      <w:bookmarkStart w:id="854" w:name="_Toc466298137"/>
      <w:bookmarkStart w:id="855" w:name="_Toc455080154"/>
      <w:bookmarkStart w:id="856" w:name="_Toc152045598"/>
      <w:bookmarkStart w:id="857" w:name="_Toc152042375"/>
      <w:bookmarkStart w:id="858" w:name="_Toc144974565"/>
    </w:p>
    <w:p>
      <w:pPr>
        <w:jc w:val="both"/>
        <w:outlineLvl w:val="0"/>
        <w:rPr>
          <w:rFonts w:hint="eastAsia" w:ascii="宋体" w:hAnsi="宋体" w:cs="宋体"/>
          <w:b w:val="0"/>
          <w:bCs/>
          <w:color w:val="auto"/>
          <w:kern w:val="44"/>
          <w:sz w:val="24"/>
          <w:szCs w:val="24"/>
        </w:rPr>
      </w:pPr>
      <w:bookmarkStart w:id="859" w:name="_Toc6192"/>
      <w:r>
        <w:rPr>
          <w:rFonts w:hint="eastAsia" w:ascii="宋体" w:hAnsi="宋体" w:cs="宋体"/>
          <w:b w:val="0"/>
          <w:bCs/>
          <w:color w:val="auto"/>
          <w:kern w:val="44"/>
          <w:sz w:val="24"/>
          <w:szCs w:val="24"/>
        </w:rPr>
        <w:t xml:space="preserve">需要补充的其他内容：见供应商须知前附表。 </w:t>
      </w:r>
    </w:p>
    <w:p>
      <w:pPr>
        <w:pStyle w:val="21"/>
        <w:rPr>
          <w:rFonts w:hint="eastAsia" w:ascii="宋体" w:hAnsi="宋体" w:cs="宋体"/>
          <w:b/>
          <w:color w:val="auto"/>
          <w:kern w:val="44"/>
          <w:sz w:val="32"/>
          <w:szCs w:val="32"/>
        </w:rPr>
      </w:pPr>
    </w:p>
    <w:p>
      <w:pPr>
        <w:pStyle w:val="22"/>
        <w:rPr>
          <w:rFonts w:hint="eastAsia" w:ascii="宋体" w:hAnsi="宋体" w:cs="宋体"/>
          <w:b/>
          <w:color w:val="auto"/>
          <w:kern w:val="44"/>
          <w:sz w:val="32"/>
          <w:szCs w:val="32"/>
        </w:rPr>
      </w:pPr>
    </w:p>
    <w:p>
      <w:pPr>
        <w:rPr>
          <w:rFonts w:hint="eastAsia"/>
        </w:rPr>
      </w:pPr>
    </w:p>
    <w:p>
      <w:pPr>
        <w:jc w:val="center"/>
        <w:outlineLvl w:val="0"/>
        <w:rPr>
          <w:rFonts w:hint="eastAsia" w:ascii="宋体" w:hAnsi="宋体" w:cs="宋体"/>
          <w:b/>
          <w:color w:val="auto"/>
          <w:kern w:val="44"/>
          <w:sz w:val="32"/>
          <w:szCs w:val="32"/>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pPr>
        <w:pStyle w:val="16"/>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3"/>
        <w:tblW w:w="10496" w:type="dxa"/>
        <w:jc w:val="center"/>
        <w:tblLayout w:type="fixed"/>
        <w:tblCellMar>
          <w:top w:w="0" w:type="dxa"/>
          <w:left w:w="108" w:type="dxa"/>
          <w:bottom w:w="0" w:type="dxa"/>
          <w:right w:w="108" w:type="dxa"/>
        </w:tblCellMar>
      </w:tblPr>
      <w:tblGrid>
        <w:gridCol w:w="2088"/>
        <w:gridCol w:w="1515"/>
        <w:gridCol w:w="717"/>
        <w:gridCol w:w="1320"/>
        <w:gridCol w:w="1950"/>
        <w:gridCol w:w="1650"/>
        <w:gridCol w:w="1256"/>
      </w:tblGrid>
      <w:tr>
        <w:tblPrEx>
          <w:tblCellMar>
            <w:top w:w="0" w:type="dxa"/>
            <w:left w:w="108" w:type="dxa"/>
            <w:bottom w:w="0" w:type="dxa"/>
            <w:right w:w="108" w:type="dxa"/>
          </w:tblCellMar>
        </w:tblPrEx>
        <w:trPr>
          <w:trHeight w:val="635" w:hRule="exact"/>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4"/>
                <w:szCs w:val="32"/>
              </w:rPr>
            </w:pPr>
            <w:r>
              <w:rPr>
                <w:rFonts w:hint="eastAsia" w:ascii="宋体" w:hAnsi="宋体" w:eastAsia="宋体" w:cs="宋体"/>
                <w:b/>
                <w:bCs/>
                <w:color w:val="000000"/>
                <w:kern w:val="0"/>
                <w:sz w:val="24"/>
                <w:szCs w:val="32"/>
              </w:rPr>
              <w:t>行业名称</w:t>
            </w:r>
          </w:p>
        </w:tc>
        <w:tc>
          <w:tcPr>
            <w:tcW w:w="15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指标名称</w:t>
            </w:r>
          </w:p>
        </w:tc>
        <w:tc>
          <w:tcPr>
            <w:tcW w:w="7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计量</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单位</w:t>
            </w:r>
          </w:p>
        </w:tc>
        <w:tc>
          <w:tcPr>
            <w:tcW w:w="13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大型</w:t>
            </w:r>
          </w:p>
        </w:tc>
        <w:tc>
          <w:tcPr>
            <w:tcW w:w="195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中型</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小型</w:t>
            </w:r>
          </w:p>
        </w:tc>
        <w:tc>
          <w:tcPr>
            <w:tcW w:w="125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微型</w:t>
            </w:r>
          </w:p>
        </w:tc>
      </w:tr>
      <w:tr>
        <w:tblPrEx>
          <w:tblCellMar>
            <w:top w:w="0" w:type="dxa"/>
            <w:left w:w="108" w:type="dxa"/>
            <w:bottom w:w="0" w:type="dxa"/>
            <w:right w:w="108" w:type="dxa"/>
          </w:tblCellMar>
        </w:tblPrEx>
        <w:trPr>
          <w:trHeight w:val="405" w:hRule="exact"/>
          <w:jc w:val="center"/>
        </w:trPr>
        <w:tc>
          <w:tcPr>
            <w:tcW w:w="2088"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农、林、牧、渔业</w:t>
            </w:r>
          </w:p>
        </w:tc>
        <w:tc>
          <w:tcPr>
            <w:tcW w:w="15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500≤Y＜20000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50≤Y＜500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工业 *</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Y≥40000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2000≤Y＜40000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300≤Y＜2000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Y≥80000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6000≤Y＜80000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300≤Y＜6000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Z≥80000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5000≤Z＜80000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300≤Z＜5000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Z＜300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批发业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20≤X＜200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5≤X＜20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X＜5</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Y≥40000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5000≤Y＜40000</w:t>
            </w:r>
          </w:p>
        </w:tc>
        <w:tc>
          <w:tcPr>
            <w:tcW w:w="1650"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1000≤Y＜5000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零售业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50≤X＜300</w:t>
            </w:r>
          </w:p>
        </w:tc>
        <w:tc>
          <w:tcPr>
            <w:tcW w:w="1650"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10≤X＜50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500≤Y＜20000</w:t>
            </w:r>
          </w:p>
        </w:tc>
        <w:tc>
          <w:tcPr>
            <w:tcW w:w="1650"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100≤Y＜500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交通运输业 *</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3000≤Y＜30000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200≤Y＜3000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仓储业*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w:t>
            </w:r>
          </w:p>
        </w:tc>
        <w:tc>
          <w:tcPr>
            <w:tcW w:w="1950" w:type="dxa"/>
            <w:tcBorders>
              <w:top w:val="nil"/>
              <w:left w:val="nil"/>
              <w:bottom w:val="nil"/>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100≤X＜200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1000≤Y＜30000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邮政业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2000≤Y＜30000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住宿业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2000≤Y＜10000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餐饮业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2000≤Y＜10000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信息传输业 *</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100≤X＜2000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1000≤Y＜100000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347" w:hRule="exact"/>
          <w:jc w:val="center"/>
        </w:trPr>
        <w:tc>
          <w:tcPr>
            <w:tcW w:w="20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2"/>
                <w:szCs w:val="22"/>
              </w:rPr>
            </w:pPr>
            <w:r>
              <w:rPr>
                <w:rFonts w:hint="eastAsia" w:ascii="宋体" w:hAnsi="宋体" w:eastAsia="宋体" w:cs="宋体"/>
                <w:color w:val="000000"/>
                <w:spacing w:val="-12"/>
                <w:kern w:val="0"/>
                <w:sz w:val="22"/>
                <w:szCs w:val="22"/>
              </w:rPr>
              <w:t>软件和信息技术服</w:t>
            </w:r>
            <w:r>
              <w:rPr>
                <w:rFonts w:hint="eastAsia" w:ascii="宋体" w:hAnsi="宋体" w:eastAsia="宋体" w:cs="宋体"/>
                <w:color w:val="000000"/>
                <w:kern w:val="0"/>
                <w:sz w:val="22"/>
                <w:szCs w:val="22"/>
              </w:rPr>
              <w:t>务业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347" w:hRule="exact"/>
          <w:jc w:val="center"/>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1000≤Y＜10000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50≤Y＜1000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w:t>
            </w:r>
          </w:p>
        </w:tc>
      </w:tr>
      <w:tr>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房地产开发经营</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1000≤Y＜200000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5000≤Z＜10000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2000≤Z＜5000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Z＜2000</w:t>
            </w:r>
          </w:p>
        </w:tc>
      </w:tr>
      <w:tr>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物业管理</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w:t>
            </w:r>
          </w:p>
        </w:tc>
      </w:tr>
      <w:tr>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Y≥5000</w:t>
            </w:r>
          </w:p>
        </w:tc>
        <w:tc>
          <w:tcPr>
            <w:tcW w:w="1950" w:type="dxa"/>
            <w:tcBorders>
              <w:top w:val="nil"/>
              <w:left w:val="nil"/>
              <w:bottom w:val="single" w:color="auto" w:sz="4" w:space="0"/>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1000≤Y＜5000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500≤Y＜1000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Y＜500</w:t>
            </w:r>
          </w:p>
        </w:tc>
      </w:tr>
      <w:tr>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租赁和商务服务业</w:t>
            </w:r>
          </w:p>
        </w:tc>
        <w:tc>
          <w:tcPr>
            <w:tcW w:w="15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Z≥120000</w:t>
            </w:r>
          </w:p>
        </w:tc>
        <w:tc>
          <w:tcPr>
            <w:tcW w:w="19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8000≤Z＜120000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100≤Z＜8000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Z＜100</w:t>
            </w:r>
          </w:p>
        </w:tc>
      </w:tr>
      <w:tr>
        <w:tblPrEx>
          <w:tblCellMar>
            <w:top w:w="0" w:type="dxa"/>
            <w:left w:w="108" w:type="dxa"/>
            <w:bottom w:w="0" w:type="dxa"/>
            <w:right w:w="108" w:type="dxa"/>
          </w:tblCellMar>
        </w:tblPrEx>
        <w:trPr>
          <w:trHeight w:val="415" w:hRule="exact"/>
          <w:jc w:val="center"/>
        </w:trPr>
        <w:tc>
          <w:tcPr>
            <w:tcW w:w="2088"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其他未列明行业 *</w:t>
            </w:r>
          </w:p>
        </w:tc>
        <w:tc>
          <w:tcPr>
            <w:tcW w:w="15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single" w:color="auto" w:sz="4" w:space="0"/>
              <w:right w:val="single" w:color="auto" w:sz="4" w:space="0"/>
            </w:tcBorders>
            <w:vAlign w:val="center"/>
          </w:tcPr>
          <w:p>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bl>
    <w:p>
      <w:pPr>
        <w:widowControl/>
        <w:spacing w:line="540" w:lineRule="exact"/>
        <w:ind w:left="0" w:leftChars="0" w:firstLine="0" w:firstLineChars="0"/>
        <w:rPr>
          <w:rFonts w:hint="eastAsia" w:ascii="宋体" w:hAnsi="宋体" w:eastAsia="宋体" w:cs="宋体"/>
          <w:color w:val="000000"/>
          <w:spacing w:val="8"/>
          <w:kern w:val="0"/>
          <w:sz w:val="24"/>
          <w:szCs w:val="24"/>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21"/>
      </w:pPr>
    </w:p>
    <w:p>
      <w:pPr>
        <w:pStyle w:val="44"/>
        <w:ind w:firstLine="482" w:firstLineChars="200"/>
        <w:rPr>
          <w:highlight w:val="none"/>
        </w:rPr>
        <w:sectPr>
          <w:footerReference r:id="rId8" w:type="default"/>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本项目对应的“中小企业划分标准”所属行业是属于“其他未列明行业”。</w:t>
      </w:r>
    </w:p>
    <w:p>
      <w:pPr>
        <w:jc w:val="center"/>
        <w:outlineLvl w:val="0"/>
        <w:rPr>
          <w:rFonts w:hint="eastAsia" w:ascii="宋体" w:hAnsi="宋体" w:cs="宋体"/>
          <w:bCs/>
          <w:color w:val="auto"/>
          <w:sz w:val="32"/>
          <w:szCs w:val="32"/>
        </w:rPr>
      </w:pPr>
      <w:bookmarkStart w:id="860" w:name="_Toc4003"/>
      <w:r>
        <w:rPr>
          <w:rFonts w:hint="eastAsia" w:ascii="宋体" w:hAnsi="宋体" w:cs="宋体"/>
          <w:b/>
          <w:color w:val="auto"/>
          <w:kern w:val="44"/>
          <w:sz w:val="32"/>
          <w:szCs w:val="32"/>
        </w:rPr>
        <w:t>第三章  评审办法（综合评分法）</w:t>
      </w:r>
      <w:bookmarkEnd w:id="853"/>
      <w:bookmarkEnd w:id="854"/>
      <w:bookmarkEnd w:id="855"/>
      <w:bookmarkEnd w:id="859"/>
      <w:bookmarkEnd w:id="860"/>
    </w:p>
    <w:bookmarkEnd w:id="856"/>
    <w:bookmarkEnd w:id="857"/>
    <w:bookmarkEnd w:id="858"/>
    <w:p>
      <w:pPr>
        <w:jc w:val="center"/>
        <w:outlineLvl w:val="1"/>
        <w:rPr>
          <w:rFonts w:hint="eastAsia" w:ascii="宋体" w:hAnsi="宋体"/>
          <w:color w:val="auto"/>
          <w:sz w:val="24"/>
        </w:rPr>
      </w:pPr>
      <w:bookmarkStart w:id="861" w:name="_Toc152045599"/>
      <w:bookmarkStart w:id="862" w:name="_Toc28069"/>
      <w:bookmarkStart w:id="863" w:name="_Toc455867816"/>
      <w:bookmarkStart w:id="864" w:name="_Toc26044"/>
      <w:bookmarkStart w:id="865" w:name="_Toc152042376"/>
      <w:bookmarkStart w:id="866" w:name="_Toc27806"/>
      <w:bookmarkStart w:id="867" w:name="_Toc318450721"/>
      <w:bookmarkStart w:id="868" w:name="_Toc466298139"/>
      <w:bookmarkStart w:id="869" w:name="_Toc144974566"/>
      <w:bookmarkStart w:id="870" w:name="_Toc455080156"/>
      <w:bookmarkStart w:id="871" w:name="_Toc281405527"/>
      <w:r>
        <w:rPr>
          <w:rFonts w:hint="eastAsia" w:ascii="宋体" w:hAnsi="宋体"/>
          <w:color w:val="auto"/>
          <w:sz w:val="24"/>
        </w:rPr>
        <w:t>评审办法前附表</w:t>
      </w:r>
      <w:bookmarkEnd w:id="861"/>
      <w:bookmarkEnd w:id="862"/>
      <w:bookmarkEnd w:id="863"/>
      <w:bookmarkEnd w:id="864"/>
      <w:bookmarkEnd w:id="865"/>
      <w:bookmarkEnd w:id="866"/>
      <w:bookmarkEnd w:id="867"/>
      <w:bookmarkEnd w:id="868"/>
      <w:bookmarkEnd w:id="869"/>
      <w:bookmarkEnd w:id="870"/>
      <w:bookmarkEnd w:id="871"/>
    </w:p>
    <w:tbl>
      <w:tblPr>
        <w:tblStyle w:val="23"/>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（如有）</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szCs w:val="24"/>
                <w:lang w:eastAsia="zh-CN"/>
              </w:rPr>
              <w:t>响应</w:t>
            </w:r>
            <w:r>
              <w:rPr>
                <w:rFonts w:hint="eastAsia" w:ascii="宋体" w:hAnsi="宋体" w:eastAsia="宋体" w:cs="宋体"/>
                <w:b/>
                <w:sz w:val="24"/>
                <w:szCs w:val="24"/>
              </w:rPr>
              <w:t>文件中附原件扫描件，资料不全或不合格者视为未通过资格审查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响应内容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质量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1.4.2</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1.4.3</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1.4.5</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3.3.1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20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9"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磋商报价得分=（磋商基准价/最后磋商报价）×20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项目评审过程中，不得去掉最后报价中的最高报价和最低报价。</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价格分计算保留小数点后二位；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超过磋商最高限价的磋商报价采购人不予接受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按无效响应处理。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根据供应商对“第五章 采购需求”中服务内容的响应，完全满足的得40分；每有一项负偏差的扣10分；扣完为止。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cs="宋体"/>
                <w:sz w:val="24"/>
                <w:highlight w:val="none"/>
                <w:lang w:eastAsia="zh-CN"/>
              </w:rPr>
            </w:pPr>
            <w:r>
              <w:rPr>
                <w:rFonts w:hint="eastAsia" w:ascii="宋体" w:hAnsi="宋体" w:cs="宋体"/>
                <w:sz w:val="24"/>
                <w:highlight w:val="none"/>
                <w:lang w:eastAsia="zh-CN"/>
              </w:rPr>
              <w:t>编制方案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0" w:firstLineChars="0"/>
              <w:rPr>
                <w:rFonts w:ascii="宋体" w:hAnsi="宋体" w:eastAsia="宋体" w:cs="宋体"/>
                <w:sz w:val="24"/>
                <w:szCs w:val="24"/>
              </w:rPr>
            </w:pPr>
            <w:r>
              <w:rPr>
                <w:rFonts w:hint="eastAsia" w:ascii="宋体" w:hAnsi="宋体" w:cs="宋体"/>
                <w:sz w:val="24"/>
                <w:highlight w:val="none"/>
                <w:lang w:eastAsia="zh-CN"/>
              </w:rPr>
              <w:t>根据供应商的编制方案（包含但不仅限于对本项目的项目背景、规划的理解及对项目的分析；针对本项目的演练实施方案，能提供应急演练脚本、应急演练流程图；桌面推演及参演人员培训方案；演练保障方案等）</w:t>
            </w:r>
            <w:r>
              <w:rPr>
                <w:rFonts w:hint="eastAsia" w:ascii="宋体" w:hAnsi="宋体" w:eastAsia="宋体" w:cs="宋体"/>
                <w:sz w:val="24"/>
                <w:szCs w:val="24"/>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sz w:val="24"/>
                <w:highlight w:val="none"/>
                <w:lang w:eastAsia="zh-CN"/>
              </w:rPr>
              <w:t>编制</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详细、具体、可行，具有可操作性，得5分；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sz w:val="24"/>
                <w:highlight w:val="none"/>
                <w:lang w:eastAsia="zh-CN"/>
              </w:rPr>
              <w:t>编制</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基本合理但不全面，具有一定可操作性，得2分；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sz w:val="24"/>
                <w:highlight w:val="none"/>
                <w:lang w:eastAsia="zh-CN"/>
              </w:rPr>
              <w:t>编制</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不够全面，操作性不强，得1分； </w:t>
            </w:r>
          </w:p>
          <w:p>
            <w:pPr>
              <w:spacing w:line="500" w:lineRule="exact"/>
              <w:ind w:firstLine="0" w:firstLineChars="0"/>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sz w:val="24"/>
                <w:highlight w:val="none"/>
              </w:rPr>
            </w:pPr>
            <w:r>
              <w:rPr>
                <w:rFonts w:hint="eastAsia" w:ascii="宋体" w:hAnsi="宋体" w:cs="宋体"/>
                <w:sz w:val="24"/>
                <w:highlight w:val="none"/>
              </w:rPr>
              <w:t>成果提交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sz w:val="24"/>
                <w:highlight w:val="none"/>
              </w:rPr>
            </w:pPr>
            <w:r>
              <w:rPr>
                <w:rFonts w:hint="eastAsia" w:ascii="宋体" w:hAnsi="宋体" w:cs="宋体"/>
                <w:sz w:val="24"/>
                <w:highlight w:val="none"/>
                <w:lang w:eastAsia="zh-CN"/>
              </w:rPr>
              <w:t>质量</w:t>
            </w:r>
            <w:r>
              <w:rPr>
                <w:rFonts w:hint="eastAsia" w:ascii="宋体" w:hAnsi="宋体" w:cs="宋体"/>
                <w:sz w:val="24"/>
                <w:highlight w:val="none"/>
              </w:rPr>
              <w:t>保证措施</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ascii="宋体" w:hAnsi="宋体" w:eastAsia="宋体" w:cs="宋体"/>
                <w:sz w:val="24"/>
                <w:szCs w:val="24"/>
              </w:rPr>
            </w:pPr>
            <w:r>
              <w:rPr>
                <w:rFonts w:hint="eastAsia" w:ascii="宋体" w:hAnsi="宋体" w:cs="宋体"/>
                <w:sz w:val="24"/>
                <w:highlight w:val="none"/>
                <w:lang w:eastAsia="zh-CN"/>
              </w:rPr>
              <w:t>根据供应商的成果提交质量保证措施（包含但不仅限于突发环境事件应急预案档案资料收集运用、</w:t>
            </w:r>
            <w:r>
              <w:rPr>
                <w:rFonts w:hint="eastAsia" w:ascii="宋体" w:hAnsi="宋体" w:cs="宋体"/>
                <w:color w:val="auto"/>
                <w:kern w:val="2"/>
                <w:sz w:val="24"/>
                <w:szCs w:val="24"/>
                <w:highlight w:val="none"/>
                <w:lang w:val="en-US" w:eastAsia="zh-CN" w:bidi="ar-SA"/>
              </w:rPr>
              <w:t>保密措施、风险防范措施等</w:t>
            </w:r>
            <w:r>
              <w:rPr>
                <w:rFonts w:hint="eastAsia" w:ascii="宋体" w:hAnsi="宋体" w:cs="宋体"/>
                <w:sz w:val="24"/>
                <w:highlight w:val="none"/>
                <w:lang w:eastAsia="zh-CN"/>
              </w:rPr>
              <w:t>）</w:t>
            </w:r>
            <w:r>
              <w:rPr>
                <w:rFonts w:hint="eastAsia" w:ascii="宋体" w:hAnsi="宋体" w:eastAsia="宋体" w:cs="宋体"/>
                <w:sz w:val="24"/>
                <w:szCs w:val="24"/>
              </w:rPr>
              <w:t>进行评审：</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①</w:t>
            </w:r>
            <w:r>
              <w:rPr>
                <w:rFonts w:hint="eastAsia" w:ascii="宋体" w:hAnsi="宋体" w:cs="宋体"/>
                <w:sz w:val="24"/>
                <w:highlight w:val="none"/>
                <w:lang w:eastAsia="zh-CN"/>
              </w:rPr>
              <w:t>质量保证措施</w:t>
            </w:r>
            <w:r>
              <w:rPr>
                <w:rFonts w:hint="eastAsia" w:ascii="宋体" w:hAnsi="宋体" w:cs="宋体"/>
                <w:sz w:val="24"/>
                <w:highlight w:val="none"/>
              </w:rPr>
              <w:t>合理</w:t>
            </w:r>
            <w:r>
              <w:rPr>
                <w:rFonts w:hint="eastAsia" w:ascii="宋体" w:hAnsi="宋体" w:cs="宋体"/>
                <w:sz w:val="24"/>
                <w:highlight w:val="none"/>
                <w:lang w:eastAsia="zh-CN"/>
              </w:rPr>
              <w:t>、详尽，</w:t>
            </w:r>
            <w:r>
              <w:rPr>
                <w:rFonts w:hint="eastAsia" w:ascii="宋体" w:hAnsi="宋体" w:cs="宋体"/>
                <w:sz w:val="24"/>
                <w:highlight w:val="none"/>
              </w:rPr>
              <w:t>成果提交满足业主要求，措施详细可行且具体的得</w:t>
            </w:r>
            <w:r>
              <w:rPr>
                <w:rFonts w:hint="eastAsia" w:ascii="宋体" w:hAnsi="宋体" w:cs="宋体"/>
                <w:sz w:val="24"/>
                <w:highlight w:val="none"/>
                <w:lang w:val="en-US" w:eastAsia="zh-CN"/>
              </w:rPr>
              <w:t>5</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②</w:t>
            </w:r>
            <w:r>
              <w:rPr>
                <w:rFonts w:hint="eastAsia" w:ascii="宋体" w:hAnsi="宋体" w:cs="宋体"/>
                <w:sz w:val="24"/>
                <w:highlight w:val="none"/>
                <w:lang w:eastAsia="zh-CN"/>
              </w:rPr>
              <w:t>质量保证措施较</w:t>
            </w:r>
            <w:r>
              <w:rPr>
                <w:rFonts w:hint="eastAsia" w:ascii="宋体" w:hAnsi="宋体" w:cs="宋体"/>
                <w:sz w:val="24"/>
                <w:highlight w:val="none"/>
              </w:rPr>
              <w:t>合理</w:t>
            </w:r>
            <w:r>
              <w:rPr>
                <w:rFonts w:hint="eastAsia" w:ascii="宋体" w:hAnsi="宋体" w:cs="宋体"/>
                <w:sz w:val="24"/>
                <w:highlight w:val="none"/>
                <w:lang w:eastAsia="zh-CN"/>
              </w:rPr>
              <w:t>、详尽，</w:t>
            </w:r>
            <w:r>
              <w:rPr>
                <w:rFonts w:hint="eastAsia" w:ascii="宋体" w:hAnsi="宋体" w:cs="宋体"/>
                <w:sz w:val="24"/>
                <w:highlight w:val="none"/>
              </w:rPr>
              <w:t>成果提交</w:t>
            </w:r>
            <w:r>
              <w:rPr>
                <w:rFonts w:hint="eastAsia" w:ascii="宋体" w:hAnsi="宋体" w:cs="宋体"/>
                <w:sz w:val="24"/>
                <w:highlight w:val="none"/>
                <w:lang w:eastAsia="zh-CN"/>
              </w:rPr>
              <w:t>较</w:t>
            </w:r>
            <w:r>
              <w:rPr>
                <w:rFonts w:hint="eastAsia" w:ascii="宋体" w:hAnsi="宋体" w:cs="宋体"/>
                <w:sz w:val="24"/>
                <w:highlight w:val="none"/>
              </w:rPr>
              <w:t>满足业主要求，</w:t>
            </w:r>
            <w:r>
              <w:rPr>
                <w:rFonts w:hint="eastAsia" w:ascii="宋体" w:hAnsi="宋体" w:cs="宋体"/>
                <w:sz w:val="24"/>
                <w:highlight w:val="none"/>
                <w:lang w:eastAsia="zh-CN"/>
              </w:rPr>
              <w:t>保证</w:t>
            </w:r>
            <w:r>
              <w:rPr>
                <w:rFonts w:hint="eastAsia" w:ascii="宋体" w:hAnsi="宋体" w:cs="宋体"/>
                <w:sz w:val="24"/>
                <w:highlight w:val="none"/>
              </w:rPr>
              <w:t>措施</w:t>
            </w:r>
            <w:r>
              <w:rPr>
                <w:rFonts w:hint="eastAsia" w:ascii="宋体" w:hAnsi="宋体" w:cs="宋体"/>
                <w:sz w:val="24"/>
                <w:highlight w:val="none"/>
                <w:lang w:eastAsia="zh-CN"/>
              </w:rPr>
              <w:t>较</w:t>
            </w:r>
            <w:r>
              <w:rPr>
                <w:rFonts w:hint="eastAsia" w:ascii="宋体" w:hAnsi="宋体" w:cs="宋体"/>
                <w:sz w:val="24"/>
                <w:highlight w:val="none"/>
              </w:rPr>
              <w:t>详细可行且具体的得</w:t>
            </w:r>
            <w:r>
              <w:rPr>
                <w:rFonts w:hint="eastAsia" w:ascii="宋体" w:hAnsi="宋体" w:cs="宋体"/>
                <w:sz w:val="24"/>
                <w:highlight w:val="none"/>
                <w:lang w:val="en-US" w:eastAsia="zh-CN"/>
              </w:rPr>
              <w:t>2</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③</w:t>
            </w:r>
            <w:r>
              <w:rPr>
                <w:rFonts w:hint="eastAsia" w:ascii="宋体" w:hAnsi="宋体" w:cs="宋体"/>
                <w:sz w:val="24"/>
                <w:highlight w:val="none"/>
                <w:lang w:eastAsia="zh-CN"/>
              </w:rPr>
              <w:t>质量保证措施一般</w:t>
            </w:r>
            <w:r>
              <w:rPr>
                <w:rFonts w:hint="eastAsia" w:ascii="宋体" w:hAnsi="宋体" w:cs="宋体"/>
                <w:sz w:val="24"/>
                <w:highlight w:val="none"/>
              </w:rPr>
              <w:t>合理</w:t>
            </w:r>
            <w:r>
              <w:rPr>
                <w:rFonts w:hint="eastAsia" w:ascii="宋体" w:hAnsi="宋体" w:cs="宋体"/>
                <w:sz w:val="24"/>
                <w:highlight w:val="none"/>
                <w:lang w:eastAsia="zh-CN"/>
              </w:rPr>
              <w:t>、详尽，</w:t>
            </w:r>
            <w:r>
              <w:rPr>
                <w:rFonts w:hint="eastAsia" w:ascii="宋体" w:hAnsi="宋体" w:cs="宋体"/>
                <w:sz w:val="24"/>
                <w:highlight w:val="none"/>
              </w:rPr>
              <w:t>成果提交</w:t>
            </w:r>
            <w:r>
              <w:rPr>
                <w:rFonts w:hint="eastAsia" w:ascii="宋体" w:hAnsi="宋体" w:cs="宋体"/>
                <w:sz w:val="24"/>
                <w:highlight w:val="none"/>
                <w:lang w:eastAsia="zh-CN"/>
              </w:rPr>
              <w:t>一般</w:t>
            </w:r>
            <w:r>
              <w:rPr>
                <w:rFonts w:hint="eastAsia" w:ascii="宋体" w:hAnsi="宋体" w:cs="宋体"/>
                <w:sz w:val="24"/>
                <w:highlight w:val="none"/>
              </w:rPr>
              <w:t>满足业主要求，</w:t>
            </w:r>
            <w:r>
              <w:rPr>
                <w:rFonts w:hint="eastAsia" w:ascii="宋体" w:hAnsi="宋体" w:cs="宋体"/>
                <w:sz w:val="24"/>
                <w:highlight w:val="none"/>
                <w:lang w:eastAsia="zh-CN"/>
              </w:rPr>
              <w:t>保证</w:t>
            </w:r>
            <w:r>
              <w:rPr>
                <w:rFonts w:hint="eastAsia" w:ascii="宋体" w:hAnsi="宋体" w:cs="宋体"/>
                <w:sz w:val="24"/>
                <w:highlight w:val="none"/>
              </w:rPr>
              <w:t>措施</w:t>
            </w:r>
            <w:r>
              <w:rPr>
                <w:rFonts w:hint="eastAsia" w:ascii="宋体" w:hAnsi="宋体" w:cs="宋体"/>
                <w:sz w:val="24"/>
                <w:highlight w:val="none"/>
                <w:lang w:eastAsia="zh-CN"/>
              </w:rPr>
              <w:t>一般</w:t>
            </w:r>
            <w:r>
              <w:rPr>
                <w:rFonts w:hint="eastAsia" w:ascii="宋体" w:hAnsi="宋体" w:cs="宋体"/>
                <w:sz w:val="24"/>
                <w:highlight w:val="none"/>
              </w:rPr>
              <w:t>详细可行且具体的得</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7"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sz w:val="24"/>
                <w:highlight w:val="none"/>
              </w:rPr>
            </w:pPr>
            <w:r>
              <w:rPr>
                <w:rFonts w:hint="eastAsia" w:ascii="宋体" w:hAnsi="宋体" w:cs="宋体"/>
                <w:sz w:val="24"/>
                <w:highlight w:val="none"/>
              </w:rPr>
              <w:t>成果提交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sz w:val="24"/>
                <w:highlight w:val="none"/>
              </w:rPr>
            </w:pPr>
            <w:r>
              <w:rPr>
                <w:rFonts w:hint="eastAsia" w:ascii="宋体" w:hAnsi="宋体" w:cs="宋体"/>
                <w:sz w:val="24"/>
                <w:highlight w:val="none"/>
              </w:rPr>
              <w:t>计划及保证措施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ascii="宋体" w:hAnsi="宋体" w:eastAsia="宋体" w:cs="宋体"/>
                <w:sz w:val="24"/>
                <w:szCs w:val="24"/>
              </w:rPr>
            </w:pPr>
            <w:r>
              <w:rPr>
                <w:rFonts w:hint="eastAsia" w:ascii="宋体" w:hAnsi="宋体" w:cs="宋体"/>
                <w:sz w:val="24"/>
                <w:highlight w:val="none"/>
                <w:lang w:eastAsia="zh-CN"/>
              </w:rPr>
              <w:t>根据供应商的</w:t>
            </w:r>
            <w:r>
              <w:rPr>
                <w:rFonts w:hint="eastAsia" w:ascii="宋体" w:hAnsi="宋体" w:cs="宋体"/>
                <w:sz w:val="24"/>
                <w:highlight w:val="none"/>
              </w:rPr>
              <w:t>成果提交计划及保证措施</w:t>
            </w:r>
            <w:r>
              <w:rPr>
                <w:rFonts w:hint="eastAsia" w:ascii="宋体" w:hAnsi="宋体" w:eastAsia="宋体" w:cs="宋体"/>
                <w:sz w:val="24"/>
                <w:szCs w:val="24"/>
              </w:rPr>
              <w:t>进行评审：</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①</w:t>
            </w:r>
            <w:r>
              <w:rPr>
                <w:rFonts w:hint="eastAsia" w:ascii="宋体" w:hAnsi="宋体" w:cs="宋体"/>
                <w:sz w:val="24"/>
                <w:highlight w:val="none"/>
              </w:rPr>
              <w:t>提交计划安排合理</w:t>
            </w:r>
            <w:r>
              <w:rPr>
                <w:rFonts w:hint="eastAsia" w:ascii="宋体" w:hAnsi="宋体" w:cs="宋体"/>
                <w:sz w:val="24"/>
                <w:highlight w:val="none"/>
                <w:lang w:eastAsia="zh-CN"/>
              </w:rPr>
              <w:t>、详尽，</w:t>
            </w:r>
            <w:r>
              <w:rPr>
                <w:rFonts w:hint="eastAsia" w:ascii="宋体" w:hAnsi="宋体" w:cs="宋体"/>
                <w:sz w:val="24"/>
                <w:highlight w:val="none"/>
              </w:rPr>
              <w:t>成果提交满足业主要求，</w:t>
            </w:r>
            <w:r>
              <w:rPr>
                <w:rFonts w:hint="eastAsia" w:ascii="宋体" w:hAnsi="宋体" w:cs="宋体"/>
                <w:sz w:val="24"/>
                <w:highlight w:val="none"/>
                <w:lang w:eastAsia="zh-CN"/>
              </w:rPr>
              <w:t>保证</w:t>
            </w:r>
            <w:r>
              <w:rPr>
                <w:rFonts w:hint="eastAsia" w:ascii="宋体" w:hAnsi="宋体" w:cs="宋体"/>
                <w:sz w:val="24"/>
                <w:highlight w:val="none"/>
              </w:rPr>
              <w:t>措施详细可行且具体的得</w:t>
            </w:r>
            <w:r>
              <w:rPr>
                <w:rFonts w:hint="eastAsia" w:ascii="宋体" w:hAnsi="宋体" w:cs="宋体"/>
                <w:sz w:val="24"/>
                <w:highlight w:val="none"/>
                <w:lang w:val="en-US" w:eastAsia="zh-CN"/>
              </w:rPr>
              <w:t>5</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②</w:t>
            </w:r>
            <w:r>
              <w:rPr>
                <w:rFonts w:hint="eastAsia" w:ascii="宋体" w:hAnsi="宋体" w:cs="宋体"/>
                <w:sz w:val="24"/>
                <w:highlight w:val="none"/>
              </w:rPr>
              <w:t>提交计划安排</w:t>
            </w:r>
            <w:r>
              <w:rPr>
                <w:rFonts w:hint="eastAsia" w:ascii="宋体" w:hAnsi="宋体" w:cs="宋体"/>
                <w:sz w:val="24"/>
                <w:highlight w:val="none"/>
                <w:lang w:eastAsia="zh-CN"/>
              </w:rPr>
              <w:t>较</w:t>
            </w:r>
            <w:r>
              <w:rPr>
                <w:rFonts w:hint="eastAsia" w:ascii="宋体" w:hAnsi="宋体" w:cs="宋体"/>
                <w:sz w:val="24"/>
                <w:highlight w:val="none"/>
              </w:rPr>
              <w:t>合理</w:t>
            </w:r>
            <w:r>
              <w:rPr>
                <w:rFonts w:hint="eastAsia" w:ascii="宋体" w:hAnsi="宋体" w:cs="宋体"/>
                <w:sz w:val="24"/>
                <w:highlight w:val="none"/>
                <w:lang w:eastAsia="zh-CN"/>
              </w:rPr>
              <w:t>、详尽，</w:t>
            </w:r>
            <w:r>
              <w:rPr>
                <w:rFonts w:hint="eastAsia" w:ascii="宋体" w:hAnsi="宋体" w:cs="宋体"/>
                <w:sz w:val="24"/>
                <w:highlight w:val="none"/>
              </w:rPr>
              <w:t>成果提交</w:t>
            </w:r>
            <w:r>
              <w:rPr>
                <w:rFonts w:hint="eastAsia" w:ascii="宋体" w:hAnsi="宋体" w:cs="宋体"/>
                <w:sz w:val="24"/>
                <w:highlight w:val="none"/>
                <w:lang w:eastAsia="zh-CN"/>
              </w:rPr>
              <w:t>较</w:t>
            </w:r>
            <w:r>
              <w:rPr>
                <w:rFonts w:hint="eastAsia" w:ascii="宋体" w:hAnsi="宋体" w:cs="宋体"/>
                <w:sz w:val="24"/>
                <w:highlight w:val="none"/>
              </w:rPr>
              <w:t>满足业主要求，</w:t>
            </w:r>
            <w:r>
              <w:rPr>
                <w:rFonts w:hint="eastAsia" w:ascii="宋体" w:hAnsi="宋体" w:cs="宋体"/>
                <w:sz w:val="24"/>
                <w:highlight w:val="none"/>
                <w:lang w:eastAsia="zh-CN"/>
              </w:rPr>
              <w:t>保证</w:t>
            </w:r>
            <w:r>
              <w:rPr>
                <w:rFonts w:hint="eastAsia" w:ascii="宋体" w:hAnsi="宋体" w:cs="宋体"/>
                <w:sz w:val="24"/>
                <w:highlight w:val="none"/>
              </w:rPr>
              <w:t>措施</w:t>
            </w:r>
            <w:r>
              <w:rPr>
                <w:rFonts w:hint="eastAsia" w:ascii="宋体" w:hAnsi="宋体" w:cs="宋体"/>
                <w:sz w:val="24"/>
                <w:highlight w:val="none"/>
                <w:lang w:eastAsia="zh-CN"/>
              </w:rPr>
              <w:t>较</w:t>
            </w:r>
            <w:r>
              <w:rPr>
                <w:rFonts w:hint="eastAsia" w:ascii="宋体" w:hAnsi="宋体" w:cs="宋体"/>
                <w:sz w:val="24"/>
                <w:highlight w:val="none"/>
              </w:rPr>
              <w:t>详细可行且具体的得</w:t>
            </w:r>
            <w:r>
              <w:rPr>
                <w:rFonts w:hint="eastAsia" w:ascii="宋体" w:hAnsi="宋体" w:cs="宋体"/>
                <w:sz w:val="24"/>
                <w:highlight w:val="none"/>
                <w:lang w:val="en-US" w:eastAsia="zh-CN"/>
              </w:rPr>
              <w:t>2</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③</w:t>
            </w:r>
            <w:r>
              <w:rPr>
                <w:rFonts w:hint="eastAsia" w:ascii="宋体" w:hAnsi="宋体" w:cs="宋体"/>
                <w:sz w:val="24"/>
                <w:highlight w:val="none"/>
              </w:rPr>
              <w:t>提交计划安排</w:t>
            </w:r>
            <w:r>
              <w:rPr>
                <w:rFonts w:hint="eastAsia" w:ascii="宋体" w:hAnsi="宋体" w:cs="宋体"/>
                <w:sz w:val="24"/>
                <w:highlight w:val="none"/>
                <w:lang w:eastAsia="zh-CN"/>
              </w:rPr>
              <w:t>一般、详尽，</w:t>
            </w:r>
            <w:r>
              <w:rPr>
                <w:rFonts w:hint="eastAsia" w:ascii="宋体" w:hAnsi="宋体" w:cs="宋体"/>
                <w:sz w:val="24"/>
                <w:highlight w:val="none"/>
              </w:rPr>
              <w:t>成果提交</w:t>
            </w:r>
            <w:r>
              <w:rPr>
                <w:rFonts w:hint="eastAsia" w:ascii="宋体" w:hAnsi="宋体" w:cs="宋体"/>
                <w:sz w:val="24"/>
                <w:highlight w:val="none"/>
                <w:lang w:eastAsia="zh-CN"/>
              </w:rPr>
              <w:t>一般</w:t>
            </w:r>
            <w:r>
              <w:rPr>
                <w:rFonts w:hint="eastAsia" w:ascii="宋体" w:hAnsi="宋体" w:cs="宋体"/>
                <w:sz w:val="24"/>
                <w:highlight w:val="none"/>
              </w:rPr>
              <w:t>满足业主要求，</w:t>
            </w:r>
            <w:r>
              <w:rPr>
                <w:rFonts w:hint="eastAsia" w:ascii="宋体" w:hAnsi="宋体" w:cs="宋体"/>
                <w:sz w:val="24"/>
                <w:highlight w:val="none"/>
                <w:lang w:eastAsia="zh-CN"/>
              </w:rPr>
              <w:t>保证</w:t>
            </w:r>
            <w:r>
              <w:rPr>
                <w:rFonts w:hint="eastAsia" w:ascii="宋体" w:hAnsi="宋体" w:cs="宋体"/>
                <w:sz w:val="24"/>
                <w:highlight w:val="none"/>
              </w:rPr>
              <w:t>措施</w:t>
            </w:r>
            <w:r>
              <w:rPr>
                <w:rFonts w:hint="eastAsia" w:ascii="宋体" w:hAnsi="宋体" w:cs="宋体"/>
                <w:sz w:val="24"/>
                <w:highlight w:val="none"/>
                <w:lang w:eastAsia="zh-CN"/>
              </w:rPr>
              <w:t>一般</w:t>
            </w:r>
            <w:r>
              <w:rPr>
                <w:rFonts w:hint="eastAsia" w:ascii="宋体" w:hAnsi="宋体" w:cs="宋体"/>
                <w:sz w:val="24"/>
                <w:highlight w:val="none"/>
              </w:rPr>
              <w:t>详细可行且具体的得</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根据供应商针对本项目的制度管理方案（包含管理制度、人员考核方案、日常档案管理制度、奖励与处罚制度等）进行评审：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详细、具体、可行，具有可操作性，得5分；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基本合理但不全面，具有一定可操作性，得2分；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不够全面，操作性不强，得1分；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iCs/>
                <w:color w:val="000000"/>
                <w:sz w:val="24"/>
                <w:szCs w:val="24"/>
                <w:highlight w:val="none"/>
                <w:lang w:eastAsia="zh-CN"/>
              </w:rPr>
            </w:pPr>
            <w:r>
              <w:rPr>
                <w:rFonts w:hint="eastAsia" w:ascii="宋体" w:hAnsi="宋体" w:cs="宋体"/>
                <w:sz w:val="24"/>
                <w:highlight w:val="none"/>
              </w:rPr>
              <w:t>项目实施难点、关键过程分析及</w:t>
            </w:r>
            <w:r>
              <w:rPr>
                <w:rFonts w:hint="eastAsia" w:ascii="宋体" w:hAnsi="宋体"/>
                <w:iCs/>
                <w:color w:val="000000"/>
                <w:sz w:val="24"/>
                <w:szCs w:val="24"/>
                <w:highlight w:val="none"/>
                <w:lang w:eastAsia="zh-CN"/>
              </w:rPr>
              <w:t>合理化建议</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ascii="宋体" w:hAnsi="宋体" w:eastAsia="宋体" w:cs="宋体"/>
                <w:sz w:val="24"/>
                <w:szCs w:val="24"/>
              </w:rPr>
            </w:pPr>
            <w:r>
              <w:rPr>
                <w:rFonts w:hint="eastAsia" w:ascii="宋体" w:hAnsi="宋体" w:cs="宋体"/>
                <w:sz w:val="24"/>
                <w:highlight w:val="none"/>
                <w:lang w:eastAsia="zh-CN"/>
              </w:rPr>
              <w:t>根据供应商的对</w:t>
            </w:r>
            <w:r>
              <w:rPr>
                <w:rFonts w:hint="eastAsia" w:ascii="宋体" w:hAnsi="宋体" w:cs="宋体"/>
                <w:sz w:val="24"/>
                <w:highlight w:val="none"/>
              </w:rPr>
              <w:t>项目实施难点、关键过程分析及</w:t>
            </w:r>
            <w:r>
              <w:rPr>
                <w:rFonts w:hint="eastAsia" w:ascii="宋体" w:hAnsi="宋体"/>
                <w:iCs/>
                <w:color w:val="000000"/>
                <w:sz w:val="24"/>
                <w:szCs w:val="24"/>
                <w:highlight w:val="none"/>
                <w:lang w:eastAsia="zh-CN"/>
              </w:rPr>
              <w:t>合理化建议</w:t>
            </w:r>
            <w:r>
              <w:rPr>
                <w:rFonts w:hint="eastAsia" w:ascii="宋体" w:hAnsi="宋体" w:eastAsia="宋体" w:cs="宋体"/>
                <w:sz w:val="24"/>
                <w:szCs w:val="24"/>
              </w:rPr>
              <w:t>进行评审：</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①</w:t>
            </w:r>
            <w:r>
              <w:rPr>
                <w:rFonts w:hint="eastAsia" w:ascii="宋体" w:hAnsi="宋体" w:eastAsia="宋体" w:cs="宋体"/>
                <w:sz w:val="24"/>
                <w:lang w:eastAsia="zh-CN"/>
              </w:rPr>
              <w:t>方案分析</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w:t>
            </w:r>
            <w:r>
              <w:rPr>
                <w:rFonts w:hint="eastAsia" w:ascii="宋体" w:hAnsi="宋体" w:cs="宋体"/>
                <w:sz w:val="24"/>
                <w:highlight w:val="none"/>
              </w:rPr>
              <w:t>可行且具体的得</w:t>
            </w:r>
            <w:r>
              <w:rPr>
                <w:rFonts w:hint="eastAsia" w:ascii="宋体" w:hAnsi="宋体" w:cs="宋体"/>
                <w:sz w:val="24"/>
                <w:highlight w:val="none"/>
                <w:lang w:val="en-US" w:eastAsia="zh-CN"/>
              </w:rPr>
              <w:t>5</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cs="宋体"/>
                <w:sz w:val="24"/>
                <w:highlight w:val="none"/>
                <w:lang w:eastAsia="zh-CN"/>
              </w:rPr>
            </w:pPr>
            <w:r>
              <w:rPr>
                <w:rFonts w:hint="eastAsia" w:ascii="宋体" w:hAnsi="宋体" w:eastAsia="宋体" w:cs="宋体"/>
                <w:sz w:val="24"/>
              </w:rPr>
              <w:t>②</w:t>
            </w:r>
            <w:r>
              <w:rPr>
                <w:rFonts w:hint="eastAsia" w:ascii="宋体" w:hAnsi="宋体" w:eastAsia="宋体" w:cs="宋体"/>
                <w:sz w:val="24"/>
                <w:lang w:eastAsia="zh-CN"/>
              </w:rPr>
              <w:t>方案分析较</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合理化建议较</w:t>
            </w:r>
            <w:r>
              <w:rPr>
                <w:rFonts w:hint="eastAsia" w:ascii="宋体" w:hAnsi="宋体" w:cs="宋体"/>
                <w:sz w:val="24"/>
                <w:highlight w:val="none"/>
              </w:rPr>
              <w:t>可行且具体的得</w:t>
            </w:r>
            <w:r>
              <w:rPr>
                <w:rFonts w:hint="eastAsia" w:ascii="宋体" w:hAnsi="宋体" w:cs="宋体"/>
                <w:sz w:val="24"/>
                <w:highlight w:val="none"/>
                <w:lang w:val="en-US" w:eastAsia="zh-CN"/>
              </w:rPr>
              <w:t>2</w:t>
            </w:r>
            <w:r>
              <w:rPr>
                <w:rFonts w:hint="eastAsia" w:ascii="宋体" w:hAnsi="宋体" w:cs="宋体"/>
                <w:sz w:val="24"/>
                <w:highlight w:val="none"/>
              </w:rPr>
              <w:t>分</w:t>
            </w:r>
            <w:r>
              <w:rPr>
                <w:rFonts w:hint="eastAsia" w:ascii="宋体" w:hAnsi="宋体" w:cs="宋体"/>
                <w:sz w:val="24"/>
                <w:highlight w:val="none"/>
                <w:lang w:eastAsia="zh-CN"/>
              </w:rPr>
              <w:t>；</w:t>
            </w:r>
          </w:p>
          <w:p>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③</w:t>
            </w:r>
            <w:r>
              <w:rPr>
                <w:rFonts w:hint="eastAsia" w:ascii="宋体" w:hAnsi="宋体" w:eastAsia="宋体" w:cs="宋体"/>
                <w:sz w:val="24"/>
                <w:lang w:eastAsia="zh-CN"/>
              </w:rPr>
              <w:t>方案分析一般</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合理化建议一般</w:t>
            </w:r>
            <w:r>
              <w:rPr>
                <w:rFonts w:hint="eastAsia" w:ascii="宋体" w:hAnsi="宋体" w:cs="宋体"/>
                <w:sz w:val="24"/>
                <w:highlight w:val="none"/>
              </w:rPr>
              <w:t>可行且具体的得</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自2021年1月1日以来，供应商每提供一份类似业绩的得3分,最多得12分；</w:t>
            </w:r>
          </w:p>
          <w:p>
            <w:pPr>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146" w:type="dxa"/>
            <w:vMerge w:val="continue"/>
            <w:tcBorders>
              <w:left w:val="single" w:color="000000" w:sz="4" w:space="0"/>
              <w:right w:val="single" w:color="000000"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供应商具有环保类相关专业高级及以上技术职称的得3分。</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注：人员</w:t>
            </w:r>
            <w:r>
              <w:rPr>
                <w:rFonts w:hint="eastAsia" w:ascii="宋体" w:hAnsi="宋体" w:cs="宋体"/>
                <w:b/>
                <w:bCs/>
                <w:color w:val="auto"/>
                <w:kern w:val="2"/>
                <w:sz w:val="24"/>
                <w:szCs w:val="24"/>
                <w:highlight w:val="none"/>
                <w:lang w:val="en-US" w:eastAsia="zh-CN" w:bidi="ar-SA"/>
              </w:rPr>
              <w:t>提供相关证书、劳动合同</w:t>
            </w:r>
            <w:r>
              <w:rPr>
                <w:rFonts w:hint="eastAsia" w:ascii="宋体" w:hAnsi="宋体" w:eastAsia="宋体" w:cs="宋体"/>
                <w:b/>
                <w:bCs/>
                <w:color w:val="auto"/>
                <w:kern w:val="2"/>
                <w:sz w:val="24"/>
                <w:szCs w:val="24"/>
                <w:highlight w:val="none"/>
                <w:lang w:val="en-US" w:eastAsia="zh-CN" w:bidi="ar-SA"/>
              </w:rPr>
              <w:t>原件扫描件</w:t>
            </w:r>
          </w:p>
        </w:tc>
      </w:tr>
    </w:tbl>
    <w:p>
      <w:pPr>
        <w:jc w:val="center"/>
        <w:outlineLvl w:val="1"/>
        <w:rPr>
          <w:rFonts w:hint="eastAsia" w:ascii="宋体" w:hAnsi="宋体"/>
          <w:color w:val="auto"/>
          <w:sz w:val="24"/>
        </w:rPr>
      </w:pPr>
    </w:p>
    <w:p>
      <w:pPr>
        <w:rPr>
          <w:color w:val="auto"/>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72" w:name="_Toc318450722"/>
      <w:bookmarkStart w:id="873" w:name="_Toc152042377"/>
      <w:bookmarkStart w:id="874" w:name="_Toc144974567"/>
      <w:bookmarkStart w:id="875" w:name="_Toc281405528"/>
      <w:bookmarkStart w:id="876" w:name="_Toc31578"/>
      <w:bookmarkStart w:id="877" w:name="_Toc152045600"/>
    </w:p>
    <w:p>
      <w:pPr>
        <w:pageBreakBefore w:val="0"/>
        <w:widowControl w:val="0"/>
        <w:numPr>
          <w:ilvl w:val="0"/>
          <w:numId w:val="1"/>
        </w:numPr>
        <w:kinsoku/>
        <w:wordWrap/>
        <w:overflowPunct/>
        <w:topLinePunct w:val="0"/>
        <w:autoSpaceDE/>
        <w:autoSpaceDN/>
        <w:bidi w:val="0"/>
        <w:adjustRightInd/>
        <w:snapToGrid/>
        <w:spacing w:line="500" w:lineRule="exact"/>
        <w:textAlignment w:val="auto"/>
        <w:outlineLvl w:val="1"/>
        <w:rPr>
          <w:rFonts w:hint="eastAsia" w:ascii="宋体" w:hAnsi="宋体" w:eastAsia="宋体" w:cs="宋体"/>
          <w:b/>
          <w:bCs/>
          <w:color w:val="auto"/>
          <w:sz w:val="24"/>
          <w:szCs w:val="24"/>
        </w:rPr>
      </w:pPr>
      <w:bookmarkStart w:id="878" w:name="_Toc20676"/>
      <w:r>
        <w:rPr>
          <w:rFonts w:hint="eastAsia" w:ascii="宋体" w:hAnsi="宋体" w:eastAsia="宋体" w:cs="宋体"/>
          <w:b/>
          <w:bCs/>
          <w:color w:val="auto"/>
          <w:sz w:val="24"/>
          <w:szCs w:val="24"/>
        </w:rPr>
        <w:t>评审方法</w:t>
      </w:r>
      <w:bookmarkEnd w:id="872"/>
      <w:bookmarkEnd w:id="873"/>
      <w:bookmarkEnd w:id="874"/>
      <w:bookmarkEnd w:id="875"/>
      <w:bookmarkEnd w:id="876"/>
      <w:bookmarkEnd w:id="877"/>
      <w:bookmarkEnd w:id="878"/>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bidi="en-US"/>
        </w:rPr>
      </w:pPr>
      <w:r>
        <w:rPr>
          <w:rFonts w:hint="eastAsia" w:ascii="宋体" w:hAnsi="宋体" w:eastAsia="宋体" w:cs="宋体"/>
          <w:color w:val="auto"/>
          <w:sz w:val="24"/>
          <w:szCs w:val="24"/>
          <w:lang w:val="en-US" w:eastAsia="zh-CN" w:bidi="en-US"/>
        </w:rPr>
        <w:t>1.1</w:t>
      </w:r>
      <w:r>
        <w:rPr>
          <w:rFonts w:hint="eastAsia" w:ascii="宋体" w:hAnsi="宋体" w:eastAsia="宋体" w:cs="宋体"/>
          <w:color w:val="auto"/>
          <w:sz w:val="24"/>
          <w:szCs w:val="24"/>
          <w:lang w:bidi="en-US"/>
        </w:rPr>
        <w:t>本次评审采用综合评分法。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磋商小组对满足</w:t>
      </w:r>
      <w:r>
        <w:rPr>
          <w:rFonts w:hint="eastAsia" w:ascii="宋体" w:hAnsi="宋体" w:eastAsia="宋体" w:cs="宋体"/>
          <w:color w:val="auto"/>
          <w:sz w:val="24"/>
          <w:szCs w:val="24"/>
          <w:lang w:eastAsia="zh-CN" w:bidi="en-US"/>
        </w:rPr>
        <w:t>竞争性磋商文件</w:t>
      </w:r>
      <w:r>
        <w:rPr>
          <w:rFonts w:hint="eastAsia" w:ascii="宋体" w:hAnsi="宋体" w:eastAsia="宋体" w:cs="宋体"/>
          <w:color w:val="auto"/>
          <w:sz w:val="24"/>
          <w:szCs w:val="24"/>
          <w:lang w:bidi="en-US"/>
        </w:rPr>
        <w:t>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879" w:name="_Toc152042378"/>
      <w:bookmarkStart w:id="880" w:name="_Toc144974568"/>
      <w:bookmarkStart w:id="881" w:name="_Toc152045601"/>
      <w:bookmarkStart w:id="882" w:name="_Toc20837"/>
      <w:bookmarkStart w:id="883" w:name="_Toc318450723"/>
      <w:bookmarkStart w:id="884" w:name="_Toc455080157"/>
      <w:bookmarkStart w:id="885" w:name="_Toc281405529"/>
      <w:bookmarkStart w:id="886" w:name="_Toc490667876"/>
      <w:bookmarkStart w:id="887" w:name="_Toc455867817"/>
      <w:bookmarkStart w:id="888" w:name="_Toc466298140"/>
      <w:bookmarkStart w:id="889" w:name="_Toc6612"/>
      <w:bookmarkStart w:id="890" w:name="_Toc24936"/>
      <w:bookmarkStart w:id="891" w:name="_Toc29362"/>
      <w:bookmarkStart w:id="892" w:name="_Toc26131"/>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lang w:val="en-US" w:eastAsia="zh-CN"/>
        </w:rPr>
      </w:pPr>
      <w:r>
        <w:rPr>
          <w:rFonts w:hint="eastAsia" w:ascii="宋体" w:hAnsi="宋体" w:eastAsia="宋体" w:cs="宋体"/>
          <w:color w:val="auto"/>
          <w:kern w:val="0"/>
          <w:sz w:val="24"/>
          <w:szCs w:val="24"/>
          <w:lang w:val="en-US" w:eastAsia="zh-CN"/>
        </w:rPr>
        <w:t>1.2</w:t>
      </w:r>
      <w:r>
        <w:rPr>
          <w:rFonts w:hint="eastAsia" w:ascii="宋体" w:hAnsi="宋体" w:eastAsia="宋体" w:cs="宋体"/>
          <w:color w:val="000000"/>
          <w:sz w:val="24"/>
          <w:szCs w:val="24"/>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评审标准</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Start w:id="893" w:name="_Toc11223"/>
      <w:bookmarkStart w:id="894" w:name="_Toc281405530"/>
      <w:bookmarkStart w:id="895" w:name="_Toc455080158"/>
      <w:bookmarkStart w:id="896" w:name="_Toc19934"/>
      <w:bookmarkStart w:id="897" w:name="_Toc6711"/>
      <w:bookmarkStart w:id="898" w:name="_Toc318450724"/>
      <w:bookmarkStart w:id="899" w:name="_Toc144974569"/>
      <w:bookmarkStart w:id="900" w:name="_Toc2867"/>
      <w:bookmarkStart w:id="901" w:name="_Toc25637"/>
      <w:bookmarkStart w:id="902" w:name="_Toc15813"/>
      <w:bookmarkStart w:id="903" w:name="_Toc31037"/>
      <w:bookmarkStart w:id="904" w:name="_Toc24558"/>
      <w:bookmarkStart w:id="905" w:name="_Toc152045602"/>
      <w:bookmarkStart w:id="906" w:name="_Toc455867818"/>
      <w:bookmarkStart w:id="907" w:name="_Toc152042379"/>
      <w:bookmarkStart w:id="908" w:name="_Toc466298141"/>
      <w:bookmarkStart w:id="909" w:name="_Toc490667877"/>
      <w:bookmarkStart w:id="910" w:name="_Toc21120"/>
    </w:p>
    <w:p>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资格检查评审标准：见评审办法前附表。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性检查评审标准：见评审办法前附表。</w:t>
      </w:r>
    </w:p>
    <w:p>
      <w:pPr>
        <w:pStyle w:val="35"/>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11" w:name="_Toc21970"/>
      <w:bookmarkStart w:id="912" w:name="_Toc25492"/>
      <w:bookmarkStart w:id="913" w:name="_Toc24825"/>
      <w:bookmarkStart w:id="914" w:name="_Toc7284"/>
      <w:bookmarkStart w:id="915" w:name="_Toc26179"/>
      <w:bookmarkStart w:id="916" w:name="_Toc281405531"/>
      <w:bookmarkStart w:id="917" w:name="_Toc30189"/>
      <w:bookmarkStart w:id="918" w:name="_Toc318450725"/>
      <w:bookmarkStart w:id="919" w:name="_Toc455867819"/>
      <w:bookmarkStart w:id="920" w:name="_Toc144974570"/>
      <w:bookmarkStart w:id="921" w:name="_Toc12013"/>
      <w:bookmarkStart w:id="922" w:name="_Toc11061"/>
      <w:bookmarkStart w:id="923" w:name="_Toc152042380"/>
      <w:bookmarkStart w:id="924" w:name="_Toc22439"/>
      <w:bookmarkStart w:id="925" w:name="_Toc466298142"/>
      <w:bookmarkStart w:id="926" w:name="_Toc30479"/>
      <w:bookmarkStart w:id="927" w:name="_Toc490667878"/>
      <w:bookmarkStart w:id="928" w:name="_Toc455080159"/>
      <w:bookmarkStart w:id="929" w:name="_Toc152045603"/>
      <w:r>
        <w:rPr>
          <w:rFonts w:hint="eastAsia" w:ascii="宋体" w:hAnsi="宋体" w:eastAsia="宋体" w:cs="宋体"/>
          <w:b/>
          <w:bCs/>
          <w:color w:val="auto"/>
          <w:sz w:val="24"/>
          <w:szCs w:val="24"/>
        </w:rPr>
        <w:t>2.2 分值构成与评分标准</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（1）商务标：见评审办法前附表；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（2）技术标：见评审办法前附表；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（3）综合标：见评审办法前附表。</w:t>
      </w:r>
    </w:p>
    <w:p>
      <w:pPr>
        <w:pStyle w:val="33"/>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color w:val="auto"/>
          <w:sz w:val="24"/>
          <w:szCs w:val="24"/>
        </w:rPr>
      </w:pPr>
      <w:bookmarkStart w:id="930" w:name="_Toc455867820"/>
      <w:bookmarkStart w:id="931" w:name="_Toc32314"/>
      <w:bookmarkStart w:id="932" w:name="_Toc16479"/>
      <w:bookmarkStart w:id="933" w:name="_Toc318450726"/>
      <w:bookmarkStart w:id="934" w:name="_Toc29297"/>
      <w:bookmarkStart w:id="935" w:name="_Toc466298143"/>
      <w:bookmarkStart w:id="936" w:name="_Toc5270"/>
      <w:bookmarkStart w:id="937" w:name="_Toc490667879"/>
      <w:bookmarkStart w:id="938" w:name="_Toc18127"/>
      <w:bookmarkStart w:id="939" w:name="_Toc17308"/>
      <w:bookmarkStart w:id="940" w:name="_Toc281405532"/>
      <w:bookmarkStart w:id="941" w:name="_Toc455080160"/>
      <w:r>
        <w:rPr>
          <w:rFonts w:hint="eastAsia" w:ascii="宋体" w:hAnsi="宋体" w:eastAsia="宋体" w:cs="宋体"/>
          <w:b/>
          <w:bCs/>
          <w:color w:val="auto"/>
          <w:sz w:val="24"/>
          <w:szCs w:val="24"/>
        </w:rPr>
        <w:t>3. 评审程序</w:t>
      </w:r>
      <w:bookmarkEnd w:id="930"/>
      <w:bookmarkEnd w:id="931"/>
      <w:bookmarkEnd w:id="932"/>
      <w:bookmarkEnd w:id="933"/>
      <w:bookmarkEnd w:id="934"/>
      <w:bookmarkEnd w:id="935"/>
      <w:bookmarkEnd w:id="936"/>
      <w:bookmarkEnd w:id="937"/>
      <w:bookmarkEnd w:id="938"/>
      <w:bookmarkEnd w:id="939"/>
      <w:bookmarkEnd w:id="940"/>
      <w:bookmarkEnd w:id="941"/>
    </w:p>
    <w:p>
      <w:pPr>
        <w:pStyle w:val="35"/>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42" w:name="_Toc281405533"/>
      <w:bookmarkStart w:id="943" w:name="_Toc466298144"/>
      <w:bookmarkStart w:id="944" w:name="_Toc318450727"/>
      <w:bookmarkStart w:id="945" w:name="_Toc29092"/>
      <w:bookmarkStart w:id="946" w:name="_Toc490667880"/>
      <w:bookmarkStart w:id="947" w:name="_Toc22972"/>
      <w:bookmarkStart w:id="948" w:name="_Toc29614"/>
      <w:bookmarkStart w:id="949" w:name="_Toc2410"/>
      <w:bookmarkStart w:id="950" w:name="_Toc30986"/>
      <w:bookmarkStart w:id="951" w:name="_Toc14633"/>
      <w:bookmarkStart w:id="952" w:name="_Toc455080161"/>
      <w:bookmarkStart w:id="953" w:name="_Toc16892"/>
      <w:bookmarkStart w:id="954" w:name="_Toc5427"/>
      <w:bookmarkStart w:id="955" w:name="_Toc9433"/>
      <w:bookmarkStart w:id="956" w:name="_Toc7272"/>
      <w:bookmarkStart w:id="957" w:name="_Toc18886"/>
      <w:bookmarkStart w:id="958" w:name="_Toc455867821"/>
      <w:r>
        <w:rPr>
          <w:rFonts w:hint="eastAsia" w:ascii="宋体" w:hAnsi="宋体" w:eastAsia="宋体" w:cs="宋体"/>
          <w:b/>
          <w:bCs/>
          <w:color w:val="auto"/>
          <w:sz w:val="24"/>
          <w:szCs w:val="24"/>
        </w:rPr>
        <w:t>3.1 初步评审</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bookmarkStart w:id="959" w:name="_Toc490667881"/>
      <w:bookmarkStart w:id="960" w:name="_Toc318450728"/>
      <w:bookmarkStart w:id="961" w:name="_Toc16964"/>
      <w:bookmarkStart w:id="962" w:name="_Toc281405534"/>
      <w:bookmarkStart w:id="963" w:name="_Toc455867822"/>
      <w:bookmarkStart w:id="964" w:name="_Toc7121"/>
      <w:bookmarkStart w:id="965" w:name="_Toc455080162"/>
      <w:bookmarkStart w:id="966" w:name="_Toc22101"/>
      <w:bookmarkStart w:id="967" w:name="_Toc21032"/>
      <w:bookmarkStart w:id="968" w:name="_Toc10692"/>
      <w:bookmarkStart w:id="969" w:name="_Toc21570"/>
      <w:bookmarkStart w:id="970" w:name="_Toc13386"/>
      <w:bookmarkStart w:id="971" w:name="_Toc466298145"/>
      <w:bookmarkStart w:id="972" w:name="_Toc12406"/>
      <w:bookmarkStart w:id="973" w:name="_Toc26049"/>
      <w:bookmarkStart w:id="974" w:name="_Toc26280"/>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w:t>
      </w: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规定的内容和标准对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）串通或弄虚作假或有其他违法行为的；</w:t>
      </w:r>
    </w:p>
    <w:p>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）不按磋商小组要求澄清、说明或补正的；</w:t>
      </w:r>
    </w:p>
    <w:p>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）未按规定格式填写、内容不全或关键字迹模糊、无法辨认的；</w:t>
      </w:r>
    </w:p>
    <w:p>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）响应文件附有采购人不能接受的条件；</w:t>
      </w:r>
    </w:p>
    <w:p>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规定的其他实质性要求。</w:t>
      </w:r>
    </w:p>
    <w:p>
      <w:pPr>
        <w:pStyle w:val="35"/>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75" w:name="_Toc1098"/>
      <w:r>
        <w:rPr>
          <w:rFonts w:hint="eastAsia" w:ascii="宋体" w:hAnsi="宋体" w:eastAsia="宋体" w:cs="宋体"/>
          <w:b/>
          <w:bCs/>
          <w:color w:val="auto"/>
          <w:sz w:val="24"/>
          <w:szCs w:val="24"/>
        </w:rPr>
        <w:t>3.2 详细评审</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3.2.4在磋商过程中，凡遇到</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中无界定或界定不清、前后不一致使磋商小组意见有分歧且又难以协商一致的问题，均由磋商小组予以表决，获半数以上同意的即为通过，未获半数同意的即为否决。</w:t>
      </w:r>
    </w:p>
    <w:p>
      <w:pPr>
        <w:pStyle w:val="35"/>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76" w:name="_Toc8342"/>
      <w:bookmarkStart w:id="977" w:name="_Toc22084"/>
      <w:bookmarkStart w:id="978" w:name="_Toc455867823"/>
      <w:bookmarkStart w:id="979" w:name="_Toc281405535"/>
      <w:bookmarkStart w:id="980" w:name="_Toc455080163"/>
      <w:bookmarkStart w:id="981" w:name="_Toc12374"/>
      <w:bookmarkStart w:id="982" w:name="_Toc11958"/>
      <w:bookmarkStart w:id="983" w:name="_Toc490667882"/>
      <w:bookmarkStart w:id="984" w:name="_Toc331"/>
      <w:bookmarkStart w:id="985" w:name="_Toc466298146"/>
      <w:bookmarkStart w:id="986" w:name="_Toc8813"/>
      <w:bookmarkStart w:id="987" w:name="_Toc318450729"/>
      <w:bookmarkStart w:id="988" w:name="_Toc2657"/>
      <w:bookmarkStart w:id="989" w:name="_Toc10153"/>
      <w:bookmarkStart w:id="990" w:name="_Toc24862"/>
      <w:bookmarkStart w:id="991" w:name="_Toc28633"/>
      <w:bookmarkStart w:id="992" w:name="_Toc23825"/>
      <w:r>
        <w:rPr>
          <w:rFonts w:hint="eastAsia" w:ascii="宋体" w:hAnsi="宋体" w:eastAsia="宋体" w:cs="宋体"/>
          <w:b/>
          <w:bCs/>
          <w:color w:val="auto"/>
          <w:sz w:val="24"/>
          <w:szCs w:val="24"/>
        </w:rPr>
        <w:t>3.3 响应文件的澄清和补正</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3.3.1在磋商过程中，磋商小组可以书面形式要求供应商对所提交的响应文件中不明确的内容进行书面澄清或说明，或者对细微偏离进行补正。磋商小组不接受供应商主动提出的澄清、说明或补正。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pPr>
        <w:pStyle w:val="35"/>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993" w:name="_Toc30053"/>
      <w:bookmarkStart w:id="994" w:name="_Toc490667883"/>
      <w:bookmarkStart w:id="995" w:name="_Toc26894"/>
      <w:bookmarkStart w:id="996" w:name="_Toc455867824"/>
      <w:bookmarkStart w:id="997" w:name="_Toc1857"/>
      <w:bookmarkStart w:id="998" w:name="_Toc455080164"/>
      <w:bookmarkStart w:id="999" w:name="_Toc466298147"/>
      <w:bookmarkStart w:id="1000" w:name="_Toc19453"/>
      <w:bookmarkStart w:id="1001" w:name="_Toc5903"/>
      <w:bookmarkStart w:id="1002" w:name="_Toc281405536"/>
      <w:bookmarkStart w:id="1003" w:name="_Toc22682"/>
      <w:bookmarkStart w:id="1004" w:name="_Toc32183"/>
      <w:bookmarkStart w:id="1005" w:name="_Toc13842"/>
      <w:bookmarkStart w:id="1006" w:name="_Toc318450730"/>
      <w:bookmarkStart w:id="1007" w:name="_Toc22049"/>
      <w:bookmarkStart w:id="1008" w:name="_Toc22986"/>
      <w:bookmarkStart w:id="1009" w:name="_Toc19938"/>
      <w:r>
        <w:rPr>
          <w:rFonts w:hint="eastAsia" w:ascii="宋体" w:hAnsi="宋体" w:eastAsia="宋体" w:cs="宋体"/>
          <w:color w:val="auto"/>
          <w:sz w:val="24"/>
          <w:szCs w:val="24"/>
        </w:rPr>
        <w:t>3.4 评审结果</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1010" w:name="_Toc152045609"/>
      <w:bookmarkStart w:id="1011" w:name="_Toc14024"/>
      <w:bookmarkStart w:id="1012" w:name="_Toc144974577"/>
      <w:bookmarkStart w:id="1013" w:name="_Toc152042387"/>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评标结果同时在</w:t>
      </w:r>
      <w:r>
        <w:rPr>
          <w:rFonts w:hint="eastAsia" w:ascii="宋体" w:hAnsi="宋体" w:eastAsia="宋体" w:cs="宋体"/>
          <w:color w:val="auto"/>
          <w:sz w:val="24"/>
          <w:szCs w:val="24"/>
          <w:lang w:val="en-US" w:eastAsia="zh-CN"/>
        </w:rPr>
        <w:t>《中国招标投标公共服务平台》、《河南省政府采购网》、《全国公共资源交易平台（河南省·息县）》</w:t>
      </w:r>
      <w:r>
        <w:rPr>
          <w:rFonts w:hint="eastAsia" w:ascii="宋体" w:hAnsi="宋体" w:eastAsia="宋体" w:cs="宋体"/>
          <w:color w:val="auto"/>
          <w:sz w:val="24"/>
          <w:szCs w:val="24"/>
        </w:rPr>
        <w:t>公示。</w:t>
      </w:r>
    </w:p>
    <w:p>
      <w:pPr>
        <w:rPr>
          <w:rFonts w:hint="eastAsia" w:ascii="宋体" w:hAnsi="宋体" w:cs="宋体"/>
          <w:bCs/>
          <w:color w:val="auto"/>
          <w:sz w:val="28"/>
          <w:szCs w:val="28"/>
        </w:rPr>
      </w:pPr>
    </w:p>
    <w:p>
      <w:pPr>
        <w:pStyle w:val="21"/>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pStyle w:val="4"/>
        <w:pageBreakBefore w:val="0"/>
        <w:numPr>
          <w:ilvl w:val="0"/>
          <w:numId w:val="0"/>
        </w:numPr>
        <w:kinsoku/>
        <w:wordWrap/>
        <w:overflowPunct/>
        <w:topLinePunct w:val="0"/>
        <w:bidi w:val="0"/>
        <w:spacing w:line="400" w:lineRule="exact"/>
        <w:ind w:left="459" w:leftChars="0"/>
        <w:rPr>
          <w:rFonts w:hint="eastAsia" w:ascii="宋体" w:hAnsi="宋体" w:eastAsia="宋体" w:cs="宋体"/>
          <w:color w:val="000000"/>
          <w:sz w:val="24"/>
          <w:szCs w:val="24"/>
        </w:rPr>
      </w:pPr>
      <w:bookmarkStart w:id="1014" w:name="_Toc31487"/>
      <w:r>
        <w:rPr>
          <w:rFonts w:hint="eastAsia" w:ascii="宋体" w:hAnsi="宋体" w:eastAsia="宋体" w:cs="宋体"/>
          <w:color w:val="000000"/>
          <w:sz w:val="24"/>
          <w:szCs w:val="24"/>
        </w:rPr>
        <w:t>附件：废标条件</w:t>
      </w:r>
      <w:bookmarkEnd w:id="1014"/>
    </w:p>
    <w:p>
      <w:pPr>
        <w:pageBreakBefore w:val="0"/>
        <w:kinsoku/>
        <w:wordWrap/>
        <w:overflowPunct/>
        <w:topLinePunct w:val="0"/>
        <w:bidi w:val="0"/>
        <w:spacing w:line="480" w:lineRule="auto"/>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pPr>
        <w:pageBreakBefore w:val="0"/>
        <w:kinsoku/>
        <w:wordWrap/>
        <w:overflowPunct/>
        <w:topLinePunct w:val="0"/>
        <w:bidi w:val="0"/>
        <w:spacing w:line="480" w:lineRule="auto"/>
        <w:ind w:firstLine="482" w:firstLineChars="200"/>
        <w:rPr>
          <w:rFonts w:hint="eastAsia" w:ascii="宋体" w:hAnsi="宋体" w:eastAsia="宋体" w:cs="宋体"/>
          <w:b/>
          <w:color w:val="000000"/>
          <w:sz w:val="24"/>
          <w:szCs w:val="24"/>
        </w:rPr>
      </w:pPr>
    </w:p>
    <w:p>
      <w:pPr>
        <w:pageBreakBefore w:val="0"/>
        <w:kinsoku/>
        <w:wordWrap/>
        <w:overflowPunct/>
        <w:topLinePunct w:val="0"/>
        <w:bidi w:val="0"/>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供应商</w:t>
      </w:r>
      <w:r>
        <w:rPr>
          <w:rFonts w:hint="eastAsia" w:ascii="宋体" w:hAnsi="宋体" w:eastAsia="宋体" w:cs="宋体"/>
          <w:b/>
          <w:color w:val="000000"/>
          <w:sz w:val="24"/>
          <w:szCs w:val="24"/>
        </w:rPr>
        <w:t>须知”和本章正文部分的规定为准。</w:t>
      </w:r>
    </w:p>
    <w:p>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w:t>
      </w:r>
      <w:r>
        <w:rPr>
          <w:rFonts w:hint="eastAsia" w:ascii="宋体" w:hAnsi="宋体" w:eastAsia="宋体" w:cs="宋体"/>
          <w:b/>
          <w:color w:val="000000"/>
          <w:sz w:val="24"/>
          <w:szCs w:val="24"/>
          <w:lang w:eastAsia="zh-CN"/>
        </w:rPr>
        <w:t>磋商小组</w:t>
      </w:r>
      <w:r>
        <w:rPr>
          <w:rFonts w:hint="eastAsia" w:ascii="宋体" w:hAnsi="宋体" w:eastAsia="宋体" w:cs="宋体"/>
          <w:b/>
          <w:color w:val="000000"/>
          <w:sz w:val="24"/>
          <w:szCs w:val="24"/>
        </w:rPr>
        <w:t>要求澄清、说明或补正的；</w:t>
      </w:r>
    </w:p>
    <w:p>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磋商</w:t>
      </w:r>
      <w:r>
        <w:rPr>
          <w:rFonts w:hint="eastAsia" w:ascii="宋体" w:hAnsi="宋体" w:eastAsia="宋体" w:cs="宋体"/>
          <w:b/>
          <w:color w:val="000000"/>
          <w:sz w:val="24"/>
          <w:szCs w:val="24"/>
        </w:rPr>
        <w:t>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pPr>
        <w:pageBreakBefore w:val="0"/>
        <w:kinsoku/>
        <w:wordWrap/>
        <w:overflowPunct/>
        <w:topLinePunct w:val="0"/>
        <w:bidi w:val="0"/>
        <w:spacing w:line="360" w:lineRule="auto"/>
        <w:ind w:left="0" w:leftChars="0" w:firstLine="460" w:firstLineChars="191"/>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8.文件制作机器码、文件创建标识码有相同的；</w:t>
      </w:r>
    </w:p>
    <w:p>
      <w:pPr>
        <w:spacing w:line="360" w:lineRule="auto"/>
        <w:ind w:left="0" w:leftChars="0" w:firstLine="699" w:firstLineChars="290"/>
        <w:rPr>
          <w:rFonts w:hint="eastAsia" w:ascii="宋体" w:hAnsi="宋体" w:cs="宋体"/>
          <w:bCs/>
          <w:color w:val="auto"/>
          <w:sz w:val="24"/>
          <w:szCs w:val="24"/>
        </w:rPr>
      </w:pP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不符合</w:t>
      </w:r>
      <w:r>
        <w:rPr>
          <w:rFonts w:hint="eastAsia" w:ascii="宋体" w:hAnsi="宋体" w:eastAsia="宋体" w:cs="宋体"/>
          <w:b/>
          <w:color w:val="000000"/>
          <w:sz w:val="24"/>
          <w:szCs w:val="24"/>
          <w:lang w:eastAsia="zh-CN"/>
        </w:rPr>
        <w:t>竞争性磋商</w:t>
      </w:r>
      <w:r>
        <w:rPr>
          <w:rFonts w:hint="eastAsia" w:ascii="宋体" w:hAnsi="宋体" w:eastAsia="宋体" w:cs="宋体"/>
          <w:b/>
          <w:color w:val="000000"/>
          <w:sz w:val="24"/>
          <w:szCs w:val="24"/>
        </w:rPr>
        <w:t>文件规定的其他实质性要求及相关法律、法规或规章规定可以废标的其他情形。</w:t>
      </w:r>
    </w:p>
    <w:p>
      <w:pPr>
        <w:pStyle w:val="21"/>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rPr>
          <w:rFonts w:hint="eastAsia" w:ascii="宋体" w:hAnsi="宋体" w:cs="宋体"/>
          <w:bCs/>
          <w:color w:val="auto"/>
          <w:sz w:val="28"/>
          <w:szCs w:val="28"/>
        </w:rPr>
      </w:pPr>
    </w:p>
    <w:p>
      <w:pPr>
        <w:pStyle w:val="21"/>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rPr>
          <w:rFonts w:hint="eastAsia" w:ascii="宋体" w:hAnsi="宋体" w:cs="宋体"/>
          <w:bCs/>
          <w:color w:val="auto"/>
          <w:sz w:val="28"/>
          <w:szCs w:val="28"/>
        </w:rPr>
      </w:pPr>
    </w:p>
    <w:p>
      <w:pPr>
        <w:pStyle w:val="21"/>
        <w:rPr>
          <w:rFonts w:hint="eastAsia" w:ascii="宋体" w:hAnsi="宋体" w:cs="宋体"/>
          <w:bCs/>
          <w:color w:val="auto"/>
          <w:sz w:val="28"/>
          <w:szCs w:val="28"/>
        </w:rPr>
      </w:pPr>
    </w:p>
    <w:p>
      <w:pPr>
        <w:pStyle w:val="22"/>
        <w:rPr>
          <w:rFonts w:hint="eastAsia" w:ascii="宋体" w:hAnsi="宋体" w:cs="宋体"/>
          <w:bCs/>
          <w:color w:val="auto"/>
          <w:sz w:val="28"/>
          <w:szCs w:val="28"/>
        </w:rPr>
      </w:pPr>
    </w:p>
    <w:p>
      <w:pPr>
        <w:rPr>
          <w:rFonts w:hint="eastAsia"/>
        </w:rPr>
      </w:pPr>
    </w:p>
    <w:bookmarkEnd w:id="1010"/>
    <w:bookmarkEnd w:id="1011"/>
    <w:bookmarkEnd w:id="1012"/>
    <w:bookmarkEnd w:id="1013"/>
    <w:p>
      <w:pPr>
        <w:spacing w:line="400" w:lineRule="exact"/>
        <w:jc w:val="center"/>
        <w:outlineLvl w:val="0"/>
        <w:rPr>
          <w:rFonts w:hint="eastAsia" w:ascii="宋体" w:hAnsi="宋体" w:cs="宋体"/>
          <w:b/>
          <w:bCs/>
          <w:color w:val="auto"/>
          <w:sz w:val="32"/>
          <w:szCs w:val="32"/>
        </w:rPr>
      </w:pPr>
      <w:bookmarkStart w:id="1015" w:name="_Toc14158"/>
      <w:bookmarkStart w:id="1016" w:name="_Toc152042575"/>
      <w:bookmarkStart w:id="1017" w:name="_Toc152045786"/>
      <w:bookmarkStart w:id="1018" w:name="_Toc144974855"/>
    </w:p>
    <w:p>
      <w:pPr>
        <w:spacing w:line="400" w:lineRule="exact"/>
        <w:jc w:val="center"/>
        <w:outlineLvl w:val="0"/>
        <w:rPr>
          <w:rFonts w:hint="eastAsia" w:ascii="宋体" w:hAnsi="宋体" w:cs="宋体"/>
          <w:b/>
          <w:bCs/>
          <w:color w:val="auto"/>
          <w:sz w:val="32"/>
          <w:szCs w:val="32"/>
        </w:rPr>
      </w:pPr>
      <w:bookmarkStart w:id="1019" w:name="_Toc3740"/>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1019"/>
    </w:p>
    <w:p>
      <w:pPr>
        <w:spacing w:line="400" w:lineRule="exact"/>
        <w:ind w:firstLine="450" w:firstLineChars="150"/>
        <w:rPr>
          <w:rFonts w:hint="eastAsia" w:ascii="宋体" w:hAnsi="宋体" w:cs="宋体"/>
          <w:color w:val="auto"/>
          <w:sz w:val="30"/>
          <w:szCs w:val="30"/>
        </w:rPr>
      </w:pPr>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pPr>
        <w:pStyle w:val="46"/>
        <w:ind w:firstLine="0"/>
        <w:rPr>
          <w:rFonts w:hint="eastAsia" w:ascii="宋体" w:hAnsi="宋体" w:eastAsia="宋体" w:cs="宋体"/>
          <w:szCs w:val="24"/>
        </w:rPr>
      </w:pPr>
    </w:p>
    <w:p>
      <w:pPr>
        <w:pStyle w:val="46"/>
        <w:ind w:firstLine="0"/>
        <w:rPr>
          <w:rFonts w:hint="eastAsia" w:ascii="宋体" w:hAnsi="宋体" w:eastAsia="宋体" w:cs="宋体"/>
          <w:szCs w:val="24"/>
        </w:rPr>
      </w:pPr>
    </w:p>
    <w:p>
      <w:pPr>
        <w:pStyle w:val="46"/>
        <w:ind w:firstLine="0"/>
        <w:rPr>
          <w:rFonts w:hint="eastAsia" w:ascii="宋体" w:hAnsi="宋体" w:eastAsia="宋体" w:cs="宋体"/>
          <w:szCs w:val="24"/>
        </w:rPr>
      </w:pPr>
    </w:p>
    <w:p>
      <w:pPr>
        <w:pStyle w:val="46"/>
        <w:ind w:firstLine="0"/>
        <w:rPr>
          <w:rFonts w:hint="eastAsia" w:ascii="宋体" w:hAnsi="宋体" w:eastAsia="宋体" w:cs="宋体"/>
          <w:szCs w:val="24"/>
        </w:rPr>
      </w:pPr>
    </w:p>
    <w:p>
      <w:pPr>
        <w:pStyle w:val="46"/>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47"/>
        <w:spacing w:before="120" w:line="22" w:lineRule="atLeast"/>
        <w:rPr>
          <w:rFonts w:hint="eastAsia" w:ascii="宋体" w:hAnsi="宋体" w:eastAsia="宋体" w:cs="宋体"/>
          <w:szCs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9" w:type="default"/>
          <w:footerReference r:id="rId10" w:type="default"/>
          <w:pgSz w:w="11907" w:h="16840"/>
          <w:pgMar w:top="1474" w:right="1814" w:bottom="1474" w:left="1814" w:header="851" w:footer="851" w:gutter="0"/>
          <w:pgNumType w:fmt="decimal"/>
          <w:cols w:space="720" w:num="1"/>
          <w:docGrid w:linePitch="462" w:charSpace="0"/>
        </w:sectPr>
      </w:pPr>
    </w:p>
    <w:p>
      <w:pPr>
        <w:pStyle w:val="46"/>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spacing w:before="120" w:line="22" w:lineRule="atLeast"/>
        <w:ind w:left="0" w:leftChars="0" w:firstLine="0" w:firstLineChars="0"/>
        <w:rPr>
          <w:rFonts w:hint="eastAsia" w:ascii="楷体" w:hAnsi="楷体" w:eastAsia="楷体"/>
          <w:sz w:val="24"/>
        </w:rPr>
      </w:pP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1020" w:name="_Toc28855"/>
      <w:bookmarkStart w:id="1021" w:name="_Toc24723"/>
      <w:bookmarkStart w:id="1022" w:name="_Toc15367"/>
      <w:bookmarkStart w:id="1023" w:name="_Toc20421"/>
      <w:bookmarkStart w:id="1024" w:name="_Toc19273"/>
      <w:bookmarkStart w:id="1025" w:name="_Toc22967"/>
      <w:bookmarkStart w:id="1026" w:name="_Toc6377"/>
      <w:bookmarkStart w:id="1027" w:name="_Toc30217"/>
      <w:bookmarkStart w:id="1028" w:name="_Toc11759"/>
      <w:r>
        <w:rPr>
          <w:rFonts w:hint="eastAsia" w:ascii="宋体" w:hAnsi="宋体" w:eastAsia="宋体" w:cs="宋体"/>
          <w:b/>
          <w:sz w:val="24"/>
          <w:szCs w:val="24"/>
        </w:rPr>
        <w:t>1.1 合同组成部分</w:t>
      </w:r>
      <w:bookmarkEnd w:id="1020"/>
      <w:bookmarkEnd w:id="1021"/>
      <w:bookmarkEnd w:id="1022"/>
      <w:bookmarkEnd w:id="1023"/>
      <w:bookmarkEnd w:id="1024"/>
      <w:bookmarkEnd w:id="1025"/>
      <w:bookmarkEnd w:id="1026"/>
      <w:bookmarkEnd w:id="1027"/>
      <w:bookmarkEnd w:id="102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1029" w:name="_Toc6311"/>
      <w:bookmarkStart w:id="1030" w:name="_Toc20647"/>
      <w:bookmarkStart w:id="1031" w:name="_Toc2918"/>
      <w:bookmarkStart w:id="1032" w:name="_Toc22185"/>
      <w:bookmarkStart w:id="1033" w:name="_Toc27701"/>
      <w:bookmarkStart w:id="1034" w:name="_Toc18585"/>
      <w:bookmarkStart w:id="1035" w:name="_Toc29654"/>
      <w:bookmarkStart w:id="1036" w:name="_Toc15524"/>
      <w:bookmarkStart w:id="1037" w:name="_Toc6773"/>
      <w:r>
        <w:rPr>
          <w:rFonts w:hint="eastAsia" w:ascii="宋体" w:hAnsi="宋体" w:eastAsia="宋体" w:cs="宋体"/>
          <w:b/>
          <w:sz w:val="24"/>
          <w:szCs w:val="24"/>
        </w:rPr>
        <w:t>1.2 标的</w:t>
      </w:r>
      <w:bookmarkEnd w:id="1029"/>
      <w:bookmarkEnd w:id="1030"/>
      <w:bookmarkEnd w:id="1031"/>
      <w:bookmarkEnd w:id="1032"/>
      <w:bookmarkEnd w:id="1033"/>
      <w:bookmarkEnd w:id="1034"/>
      <w:bookmarkEnd w:id="1035"/>
      <w:bookmarkEnd w:id="1036"/>
      <w:bookmarkEnd w:id="1037"/>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1038" w:name="_Toc14990"/>
      <w:bookmarkStart w:id="1039" w:name="_Toc21124"/>
      <w:bookmarkStart w:id="1040" w:name="_Toc22657"/>
      <w:bookmarkStart w:id="1041" w:name="_Toc4929"/>
      <w:bookmarkStart w:id="1042" w:name="_Toc1825"/>
      <w:bookmarkStart w:id="1043" w:name="_Toc1386"/>
      <w:bookmarkStart w:id="1044" w:name="_Toc13918"/>
      <w:bookmarkStart w:id="1045" w:name="_Toc30004"/>
      <w:bookmarkStart w:id="1046" w:name="_Toc5635"/>
      <w:r>
        <w:rPr>
          <w:rFonts w:hint="eastAsia" w:ascii="宋体" w:hAnsi="宋体" w:eastAsia="宋体" w:cs="宋体"/>
          <w:b/>
          <w:sz w:val="24"/>
          <w:szCs w:val="24"/>
        </w:rPr>
        <w:t>1.3 价款</w:t>
      </w:r>
      <w:bookmarkEnd w:id="1038"/>
      <w:bookmarkEnd w:id="1039"/>
      <w:bookmarkEnd w:id="1040"/>
      <w:bookmarkEnd w:id="1041"/>
      <w:bookmarkEnd w:id="1042"/>
      <w:bookmarkEnd w:id="1043"/>
      <w:bookmarkEnd w:id="1044"/>
      <w:bookmarkEnd w:id="1045"/>
      <w:bookmarkEnd w:id="104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pPr>
              <w:pStyle w:val="48"/>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pPr>
              <w:pStyle w:val="48"/>
              <w:spacing w:line="560" w:lineRule="exact"/>
              <w:ind w:firstLine="200"/>
              <w:jc w:val="center"/>
              <w:rPr>
                <w:rFonts w:hint="eastAsia" w:ascii="宋体" w:hAnsi="宋体" w:eastAsia="宋体" w:cs="宋体"/>
                <w:color w:val="000000"/>
                <w:kern w:val="2"/>
                <w:sz w:val="24"/>
                <w:szCs w:val="24"/>
                <w:lang w:val="en-US" w:eastAsia="zh-CN"/>
              </w:rPr>
            </w:pPr>
          </w:p>
        </w:tc>
      </w:tr>
    </w:tbl>
    <w:p>
      <w:pPr>
        <w:spacing w:line="560" w:lineRule="exact"/>
        <w:ind w:firstLine="482" w:firstLineChars="200"/>
        <w:outlineLvl w:val="0"/>
        <w:rPr>
          <w:rFonts w:hint="eastAsia" w:ascii="宋体" w:hAnsi="宋体" w:eastAsia="宋体" w:cs="宋体"/>
          <w:b/>
          <w:sz w:val="24"/>
          <w:szCs w:val="24"/>
        </w:rPr>
      </w:pPr>
      <w:bookmarkStart w:id="1047" w:name="_Toc32541"/>
      <w:bookmarkStart w:id="1048" w:name="_Toc12469"/>
      <w:bookmarkStart w:id="1049" w:name="_Toc26916"/>
      <w:bookmarkStart w:id="1050" w:name="_Toc14993"/>
      <w:bookmarkStart w:id="1051" w:name="_Toc30506"/>
      <w:bookmarkStart w:id="1052" w:name="_Toc28062"/>
      <w:bookmarkStart w:id="1053" w:name="_Toc17191"/>
      <w:bookmarkStart w:id="1054" w:name="_Toc30158"/>
      <w:r>
        <w:rPr>
          <w:rFonts w:hint="eastAsia" w:ascii="宋体" w:hAnsi="宋体" w:eastAsia="宋体" w:cs="宋体"/>
          <w:b/>
          <w:sz w:val="24"/>
          <w:szCs w:val="24"/>
        </w:rPr>
        <w:t>1.4 付款方式和发票开具方式</w:t>
      </w:r>
      <w:bookmarkEnd w:id="1047"/>
      <w:bookmarkEnd w:id="1048"/>
      <w:bookmarkEnd w:id="1049"/>
      <w:bookmarkEnd w:id="1050"/>
      <w:bookmarkEnd w:id="1051"/>
      <w:bookmarkEnd w:id="1052"/>
      <w:bookmarkEnd w:id="1053"/>
      <w:bookmarkEnd w:id="105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1055" w:name="_Toc3625"/>
      <w:bookmarkStart w:id="1056" w:name="_Toc4422"/>
      <w:bookmarkStart w:id="1057" w:name="_Toc12482"/>
      <w:bookmarkStart w:id="1058" w:name="_Toc18878"/>
      <w:bookmarkStart w:id="1059" w:name="_Toc8772"/>
      <w:bookmarkStart w:id="1060" w:name="_Toc4760"/>
      <w:bookmarkStart w:id="1061" w:name="_Toc28063"/>
      <w:bookmarkStart w:id="1062" w:name="_Toc11108"/>
      <w:bookmarkStart w:id="1063" w:name="_Toc31421"/>
      <w:r>
        <w:rPr>
          <w:rFonts w:hint="eastAsia" w:ascii="宋体" w:hAnsi="宋体" w:eastAsia="宋体" w:cs="宋体"/>
          <w:b/>
          <w:sz w:val="24"/>
          <w:szCs w:val="24"/>
        </w:rPr>
        <w:t>1.5 履行期限、地点和方式</w:t>
      </w:r>
      <w:bookmarkEnd w:id="1055"/>
      <w:bookmarkEnd w:id="1056"/>
      <w:bookmarkEnd w:id="1057"/>
      <w:bookmarkEnd w:id="1058"/>
      <w:bookmarkEnd w:id="1059"/>
      <w:bookmarkEnd w:id="1060"/>
      <w:bookmarkEnd w:id="1061"/>
      <w:bookmarkEnd w:id="1062"/>
      <w:bookmarkEnd w:id="1063"/>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1064" w:name="_Toc15746"/>
      <w:bookmarkStart w:id="1065" w:name="_Toc2375"/>
      <w:bookmarkStart w:id="1066" w:name="_Toc14030"/>
      <w:bookmarkStart w:id="1067" w:name="_Toc8586"/>
      <w:bookmarkStart w:id="1068" w:name="_Toc14751"/>
      <w:bookmarkStart w:id="1069" w:name="_Toc3079"/>
      <w:bookmarkStart w:id="1070" w:name="_Toc24662"/>
      <w:bookmarkStart w:id="1071" w:name="_Toc8076"/>
      <w:bookmarkStart w:id="1072" w:name="_Toc5698"/>
      <w:r>
        <w:rPr>
          <w:rFonts w:hint="eastAsia" w:ascii="宋体" w:hAnsi="宋体" w:eastAsia="宋体" w:cs="宋体"/>
          <w:b/>
          <w:sz w:val="24"/>
          <w:szCs w:val="24"/>
        </w:rPr>
        <w:t>1.6 违约责任</w:t>
      </w:r>
      <w:bookmarkEnd w:id="1064"/>
      <w:bookmarkEnd w:id="1065"/>
      <w:bookmarkEnd w:id="1066"/>
      <w:bookmarkEnd w:id="1067"/>
      <w:bookmarkEnd w:id="1068"/>
      <w:bookmarkEnd w:id="1069"/>
      <w:bookmarkEnd w:id="1070"/>
      <w:bookmarkEnd w:id="1071"/>
      <w:bookmarkEnd w:id="1072"/>
    </w:p>
    <w:p>
      <w:pPr>
        <w:spacing w:line="560" w:lineRule="exact"/>
        <w:ind w:firstLine="480" w:firstLineChars="200"/>
        <w:rPr>
          <w:rFonts w:hint="eastAsia" w:ascii="宋体" w:hAnsi="宋体" w:eastAsia="宋体" w:cs="宋体"/>
          <w:sz w:val="24"/>
          <w:szCs w:val="24"/>
        </w:rPr>
      </w:pPr>
      <w:bookmarkStart w:id="1073" w:name="_Toc9497"/>
      <w:bookmarkStart w:id="1074" w:name="_Toc32454"/>
      <w:bookmarkStart w:id="1075" w:name="_Toc18683"/>
      <w:bookmarkStart w:id="1076" w:name="_Toc26807"/>
      <w:bookmarkStart w:id="1077" w:name="_Toc30329"/>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1078" w:name="_Toc21807"/>
      <w:bookmarkStart w:id="1079" w:name="_Toc28830"/>
      <w:bookmarkStart w:id="1080" w:name="_Toc27363"/>
      <w:bookmarkStart w:id="1081" w:name="_Toc29062"/>
      <w:r>
        <w:rPr>
          <w:rFonts w:hint="eastAsia" w:ascii="宋体" w:hAnsi="宋体" w:eastAsia="宋体" w:cs="宋体"/>
          <w:b/>
          <w:sz w:val="24"/>
          <w:szCs w:val="24"/>
        </w:rPr>
        <w:t>1.7 合同争议的解决</w:t>
      </w:r>
      <w:bookmarkEnd w:id="1073"/>
      <w:bookmarkEnd w:id="1074"/>
      <w:bookmarkEnd w:id="1075"/>
      <w:bookmarkEnd w:id="1076"/>
      <w:bookmarkEnd w:id="1077"/>
      <w:bookmarkEnd w:id="1078"/>
      <w:bookmarkEnd w:id="1079"/>
      <w:bookmarkEnd w:id="1080"/>
      <w:bookmarkEnd w:id="108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1082" w:name="_Toc16567"/>
      <w:bookmarkStart w:id="1083" w:name="_Toc23784"/>
      <w:bookmarkStart w:id="1084" w:name="_Toc16417"/>
      <w:bookmarkStart w:id="1085" w:name="_Toc15827"/>
      <w:bookmarkStart w:id="1086" w:name="_Toc12273"/>
      <w:bookmarkStart w:id="1087" w:name="_Toc26227"/>
      <w:bookmarkStart w:id="1088" w:name="_Toc5611"/>
      <w:bookmarkStart w:id="1089" w:name="_Toc31865"/>
      <w:bookmarkStart w:id="1090" w:name="_Toc22645"/>
      <w:r>
        <w:rPr>
          <w:rFonts w:hint="eastAsia" w:ascii="宋体" w:hAnsi="宋体" w:eastAsia="宋体" w:cs="宋体"/>
          <w:b/>
          <w:sz w:val="24"/>
          <w:szCs w:val="24"/>
        </w:rPr>
        <w:t>1.8 合同生效</w:t>
      </w:r>
      <w:bookmarkEnd w:id="1082"/>
      <w:bookmarkEnd w:id="1083"/>
      <w:bookmarkEnd w:id="1084"/>
      <w:bookmarkEnd w:id="1085"/>
      <w:bookmarkEnd w:id="1086"/>
      <w:bookmarkEnd w:id="1087"/>
      <w:bookmarkEnd w:id="1088"/>
      <w:bookmarkEnd w:id="1089"/>
      <w:bookmarkEnd w:id="1090"/>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1091"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46"/>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1091"/>
    </w:p>
    <w:p>
      <w:pPr>
        <w:spacing w:line="560" w:lineRule="exact"/>
        <w:ind w:firstLine="482" w:firstLineChars="200"/>
        <w:outlineLvl w:val="0"/>
        <w:rPr>
          <w:rFonts w:hint="eastAsia" w:ascii="宋体" w:hAnsi="宋体" w:eastAsia="宋体" w:cs="宋体"/>
          <w:b/>
          <w:sz w:val="24"/>
          <w:szCs w:val="24"/>
        </w:rPr>
      </w:pPr>
      <w:bookmarkStart w:id="1092" w:name="_Toc487900349"/>
      <w:bookmarkStart w:id="1093" w:name="_Toc5228"/>
      <w:bookmarkStart w:id="1094" w:name="_Toc259093669"/>
      <w:bookmarkStart w:id="1095" w:name="_Ref467379195"/>
      <w:bookmarkStart w:id="1096" w:name="_Ref467378499"/>
      <w:bookmarkStart w:id="1097" w:name="_Toc31297"/>
      <w:bookmarkStart w:id="1098" w:name="_Toc25079"/>
      <w:bookmarkStart w:id="1099" w:name="_Ref467379214"/>
      <w:bookmarkStart w:id="1100" w:name="_Toc1346"/>
      <w:bookmarkStart w:id="1101" w:name="_Ref467379109"/>
      <w:bookmarkStart w:id="1102" w:name="_Toc19680"/>
      <w:bookmarkStart w:id="1103" w:name="_Ref467378404"/>
      <w:bookmarkStart w:id="1104" w:name="_Ref467379101"/>
      <w:bookmarkStart w:id="1105" w:name="_Ref467379094"/>
      <w:bookmarkStart w:id="1106" w:name="_Toc20846"/>
      <w:bookmarkStart w:id="1107" w:name="_Toc14021"/>
      <w:bookmarkStart w:id="1108" w:name="_Ref467379225"/>
      <w:bookmarkStart w:id="1109" w:name="_Toc17953"/>
      <w:bookmarkStart w:id="1110" w:name="_Ref467378463"/>
      <w:bookmarkStart w:id="1111" w:name="_Toc27798"/>
      <w:bookmarkStart w:id="1112" w:name="_Ref467379205"/>
      <w:bookmarkStart w:id="1113" w:name="_Toc279701240"/>
      <w:r>
        <w:rPr>
          <w:rFonts w:hint="eastAsia" w:ascii="宋体" w:hAnsi="宋体" w:eastAsia="宋体" w:cs="宋体"/>
          <w:b/>
          <w:sz w:val="24"/>
          <w:szCs w:val="24"/>
        </w:rPr>
        <w:t>2.1 定义</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1114" w:name="_Ref467378840"/>
      <w:r>
        <w:rPr>
          <w:rFonts w:hint="eastAsia" w:ascii="宋体" w:hAnsi="宋体" w:eastAsia="宋体" w:cs="宋体"/>
          <w:sz w:val="24"/>
          <w:szCs w:val="24"/>
        </w:rPr>
        <w:t>2.1.4 “甲方”系指与中标供应商签署合同的采购人</w:t>
      </w:r>
      <w:bookmarkEnd w:id="1114"/>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1115" w:name="_Ref467379400"/>
      <w:r>
        <w:rPr>
          <w:rFonts w:hint="eastAsia" w:ascii="宋体" w:hAnsi="宋体" w:eastAsia="宋体" w:cs="宋体"/>
          <w:sz w:val="24"/>
          <w:szCs w:val="24"/>
        </w:rPr>
        <w:t>2.1.5 “乙方”系指根据合同约定提供服务的中标供应商</w:t>
      </w:r>
      <w:bookmarkEnd w:id="1115"/>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1116" w:name="_Ref467379436"/>
      <w:r>
        <w:rPr>
          <w:rFonts w:hint="eastAsia" w:ascii="宋体" w:hAnsi="宋体" w:eastAsia="宋体" w:cs="宋体"/>
          <w:sz w:val="24"/>
          <w:szCs w:val="24"/>
        </w:rPr>
        <w:t>2.1.6 “现场”系指合同约定提供服务的地点。</w:t>
      </w:r>
      <w:bookmarkEnd w:id="1116"/>
    </w:p>
    <w:p>
      <w:pPr>
        <w:spacing w:line="560" w:lineRule="exact"/>
        <w:ind w:firstLine="482" w:firstLineChars="200"/>
        <w:outlineLvl w:val="0"/>
        <w:rPr>
          <w:rFonts w:hint="eastAsia" w:ascii="宋体" w:hAnsi="宋体" w:eastAsia="宋体" w:cs="宋体"/>
          <w:b/>
          <w:sz w:val="24"/>
          <w:szCs w:val="24"/>
        </w:rPr>
      </w:pPr>
      <w:bookmarkStart w:id="1117" w:name="_Toc30998"/>
      <w:bookmarkStart w:id="1118" w:name="_Toc31402"/>
      <w:bookmarkStart w:id="1119" w:name="_Toc279701241"/>
      <w:bookmarkStart w:id="1120" w:name="_Toc3769"/>
      <w:bookmarkStart w:id="1121" w:name="_Toc19539"/>
      <w:bookmarkStart w:id="1122" w:name="_Toc21986"/>
      <w:bookmarkStart w:id="1123" w:name="_Toc16752"/>
      <w:bookmarkStart w:id="1124" w:name="_Toc25747"/>
      <w:bookmarkStart w:id="1125" w:name="_Toc259093670"/>
      <w:bookmarkStart w:id="1126" w:name="_Toc23289"/>
      <w:bookmarkStart w:id="1127" w:name="_Toc7473"/>
      <w:bookmarkStart w:id="1128" w:name="_Toc487900350"/>
      <w:r>
        <w:rPr>
          <w:rFonts w:hint="eastAsia" w:ascii="宋体" w:hAnsi="宋体" w:eastAsia="宋体" w:cs="宋体"/>
          <w:b/>
          <w:sz w:val="24"/>
          <w:szCs w:val="24"/>
        </w:rPr>
        <w:t>2.2 技术规范</w:t>
      </w:r>
      <w:bookmarkEnd w:id="1117"/>
      <w:bookmarkEnd w:id="1118"/>
      <w:bookmarkEnd w:id="1119"/>
      <w:bookmarkEnd w:id="1120"/>
      <w:bookmarkEnd w:id="1121"/>
      <w:bookmarkEnd w:id="1122"/>
      <w:bookmarkEnd w:id="1123"/>
      <w:bookmarkEnd w:id="1124"/>
      <w:bookmarkEnd w:id="1125"/>
      <w:bookmarkEnd w:id="1126"/>
      <w:bookmarkEnd w:id="1127"/>
      <w:bookmarkEnd w:id="112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1129" w:name="_Toc26767"/>
      <w:bookmarkStart w:id="1130" w:name="_Toc279701242"/>
      <w:bookmarkStart w:id="1131" w:name="_Toc487900351"/>
      <w:bookmarkStart w:id="1132" w:name="_Toc27945"/>
      <w:bookmarkStart w:id="1133" w:name="_Toc4133"/>
      <w:bookmarkStart w:id="1134" w:name="_Toc12412"/>
      <w:bookmarkStart w:id="1135" w:name="_Toc13673"/>
      <w:bookmarkStart w:id="1136" w:name="_Toc9161"/>
      <w:bookmarkStart w:id="1137" w:name="_Toc22927"/>
      <w:bookmarkStart w:id="1138" w:name="_Toc259093671"/>
      <w:bookmarkStart w:id="1139" w:name="_Toc28918"/>
      <w:bookmarkStart w:id="1140" w:name="_Toc14743"/>
      <w:r>
        <w:rPr>
          <w:rFonts w:hint="eastAsia" w:ascii="宋体" w:hAnsi="宋体" w:eastAsia="宋体" w:cs="宋体"/>
          <w:b/>
          <w:sz w:val="24"/>
          <w:szCs w:val="24"/>
        </w:rPr>
        <w:t>2.3 知识产权</w:t>
      </w:r>
      <w:bookmarkEnd w:id="1129"/>
      <w:bookmarkEnd w:id="1130"/>
      <w:bookmarkEnd w:id="1131"/>
      <w:bookmarkEnd w:id="1132"/>
      <w:bookmarkEnd w:id="1133"/>
      <w:bookmarkEnd w:id="1134"/>
      <w:bookmarkEnd w:id="1135"/>
      <w:bookmarkEnd w:id="1136"/>
      <w:bookmarkEnd w:id="1137"/>
      <w:bookmarkEnd w:id="1138"/>
      <w:bookmarkEnd w:id="1139"/>
      <w:bookmarkEnd w:id="114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1141" w:name="_Ref467379657"/>
      <w:r>
        <w:rPr>
          <w:rFonts w:hint="eastAsia" w:ascii="宋体" w:hAnsi="宋体" w:eastAsia="宋体" w:cs="宋体"/>
          <w:sz w:val="24"/>
          <w:szCs w:val="24"/>
        </w:rPr>
        <w:t>2.4.1</w:t>
      </w:r>
      <w:bookmarkEnd w:id="1141"/>
      <w:bookmarkStart w:id="1142" w:name="_Toc186431854"/>
      <w:bookmarkStart w:id="1143" w:name="_Ref467379793"/>
      <w:bookmarkStart w:id="1144" w:name="_Toc259093676"/>
      <w:bookmarkStart w:id="1145" w:name="_Toc487900357"/>
      <w:bookmarkStart w:id="1146" w:name="_Ref467379807"/>
      <w:bookmarkStart w:id="1147" w:name="_Toc27970124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1142"/>
      <w:bookmarkStart w:id="1148" w:name="_Toc186431855"/>
      <w:r>
        <w:rPr>
          <w:rFonts w:hint="eastAsia" w:ascii="宋体" w:hAnsi="宋体" w:eastAsia="宋体" w:cs="宋体"/>
          <w:sz w:val="24"/>
          <w:szCs w:val="24"/>
        </w:rPr>
        <w:t>。</w:t>
      </w:r>
    </w:p>
    <w:bookmarkEnd w:id="1148"/>
    <w:p>
      <w:pPr>
        <w:spacing w:line="560" w:lineRule="exact"/>
        <w:ind w:firstLine="482" w:firstLineChars="200"/>
        <w:outlineLvl w:val="0"/>
        <w:rPr>
          <w:rFonts w:hint="eastAsia" w:ascii="宋体" w:hAnsi="宋体" w:eastAsia="宋体" w:cs="宋体"/>
          <w:b/>
          <w:sz w:val="24"/>
          <w:szCs w:val="24"/>
        </w:rPr>
      </w:pPr>
      <w:bookmarkStart w:id="1149" w:name="_Toc26555"/>
      <w:bookmarkStart w:id="1150" w:name="_Toc17638"/>
      <w:bookmarkStart w:id="1151" w:name="_Toc22011"/>
      <w:bookmarkStart w:id="1152" w:name="_Toc31233"/>
      <w:bookmarkStart w:id="1153" w:name="_Toc12535"/>
      <w:bookmarkStart w:id="1154" w:name="_Toc17432"/>
      <w:bookmarkStart w:id="1155" w:name="_Toc32670"/>
      <w:bookmarkStart w:id="1156" w:name="_Toc19359"/>
      <w:bookmarkStart w:id="1157" w:name="_Toc15447"/>
      <w:r>
        <w:rPr>
          <w:rFonts w:hint="eastAsia" w:ascii="宋体" w:hAnsi="宋体" w:eastAsia="宋体" w:cs="宋体"/>
          <w:b/>
          <w:sz w:val="24"/>
          <w:szCs w:val="24"/>
        </w:rPr>
        <w:t>2.5 结算方式和付款条件</w:t>
      </w:r>
      <w:bookmarkEnd w:id="1143"/>
      <w:bookmarkEnd w:id="1144"/>
      <w:bookmarkEnd w:id="1145"/>
      <w:bookmarkEnd w:id="1146"/>
      <w:bookmarkEnd w:id="1147"/>
      <w:bookmarkEnd w:id="1149"/>
      <w:bookmarkEnd w:id="1150"/>
      <w:bookmarkEnd w:id="1151"/>
      <w:bookmarkEnd w:id="1152"/>
      <w:bookmarkEnd w:id="1153"/>
      <w:bookmarkEnd w:id="1154"/>
      <w:bookmarkEnd w:id="1155"/>
      <w:bookmarkEnd w:id="1156"/>
      <w:bookmarkEnd w:id="115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1158" w:name="_Ref467379923"/>
      <w:bookmarkStart w:id="1159" w:name="_Ref467379852"/>
      <w:bookmarkStart w:id="1160" w:name="_Toc259093677"/>
      <w:bookmarkStart w:id="1161" w:name="_Ref467379863"/>
      <w:bookmarkStart w:id="1162" w:name="_Toc279701248"/>
      <w:bookmarkStart w:id="1163" w:name="_Toc487900358"/>
      <w:bookmarkStart w:id="1164" w:name="_Toc18990"/>
      <w:bookmarkStart w:id="1165" w:name="_Toc13154"/>
      <w:bookmarkStart w:id="1166" w:name="_Toc32682"/>
      <w:bookmarkStart w:id="1167" w:name="_Toc10557"/>
      <w:bookmarkStart w:id="1168" w:name="_Toc24604"/>
      <w:bookmarkStart w:id="1169" w:name="_Toc13467"/>
      <w:r>
        <w:rPr>
          <w:rFonts w:hint="eastAsia" w:ascii="宋体" w:hAnsi="宋体" w:eastAsia="宋体" w:cs="宋体"/>
          <w:b/>
          <w:sz w:val="24"/>
          <w:szCs w:val="24"/>
        </w:rPr>
        <w:t>2.6 技术资料</w:t>
      </w:r>
      <w:bookmarkEnd w:id="1158"/>
      <w:bookmarkEnd w:id="1159"/>
      <w:bookmarkEnd w:id="1160"/>
      <w:bookmarkEnd w:id="1161"/>
      <w:bookmarkEnd w:id="1162"/>
      <w:bookmarkEnd w:id="1163"/>
      <w:r>
        <w:rPr>
          <w:rFonts w:hint="eastAsia" w:ascii="宋体" w:hAnsi="宋体" w:eastAsia="宋体" w:cs="宋体"/>
          <w:b/>
          <w:sz w:val="24"/>
          <w:szCs w:val="24"/>
        </w:rPr>
        <w:t>和保密义务</w:t>
      </w:r>
      <w:bookmarkEnd w:id="1164"/>
      <w:bookmarkEnd w:id="1165"/>
      <w:bookmarkEnd w:id="1166"/>
      <w:bookmarkEnd w:id="1167"/>
      <w:bookmarkEnd w:id="1168"/>
      <w:bookmarkEnd w:id="116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1170" w:name="_Toc1447"/>
      <w:bookmarkStart w:id="1171" w:name="_Toc19069"/>
      <w:bookmarkStart w:id="1172" w:name="_Toc26945"/>
      <w:bookmarkStart w:id="1173" w:name="_Toc29124"/>
      <w:bookmarkStart w:id="1174" w:name="_Toc21740"/>
      <w:bookmarkStart w:id="1175" w:name="_Toc487900362"/>
      <w:bookmarkStart w:id="1176" w:name="_Toc259093681"/>
      <w:bookmarkStart w:id="1177" w:name="_Toc279701252"/>
      <w:r>
        <w:rPr>
          <w:rFonts w:hint="eastAsia" w:ascii="宋体" w:hAnsi="宋体" w:eastAsia="宋体" w:cs="宋体"/>
          <w:b/>
          <w:sz w:val="24"/>
          <w:szCs w:val="24"/>
        </w:rPr>
        <w:t>2.7 质量保证</w:t>
      </w:r>
      <w:bookmarkEnd w:id="1170"/>
      <w:bookmarkEnd w:id="1171"/>
      <w:bookmarkEnd w:id="1172"/>
      <w:bookmarkEnd w:id="1173"/>
      <w:bookmarkEnd w:id="117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1178" w:name="_Toc5058"/>
      <w:bookmarkStart w:id="1179" w:name="_Toc22267"/>
      <w:bookmarkStart w:id="1180" w:name="_Toc24190"/>
      <w:bookmarkStart w:id="1181" w:name="_Toc709"/>
      <w:bookmarkStart w:id="1182" w:name="_Toc9728"/>
      <w:r>
        <w:rPr>
          <w:rFonts w:hint="eastAsia" w:ascii="宋体" w:hAnsi="宋体" w:eastAsia="宋体" w:cs="宋体"/>
          <w:b/>
          <w:sz w:val="24"/>
          <w:szCs w:val="24"/>
        </w:rPr>
        <w:t>2.8 延迟</w:t>
      </w:r>
      <w:bookmarkEnd w:id="1175"/>
      <w:bookmarkEnd w:id="1176"/>
      <w:bookmarkEnd w:id="1177"/>
      <w:r>
        <w:rPr>
          <w:rFonts w:hint="eastAsia" w:ascii="宋体" w:hAnsi="宋体" w:eastAsia="宋体" w:cs="宋体"/>
          <w:b/>
          <w:sz w:val="24"/>
          <w:szCs w:val="24"/>
        </w:rPr>
        <w:t>履行</w:t>
      </w:r>
      <w:bookmarkEnd w:id="1178"/>
      <w:bookmarkEnd w:id="1179"/>
      <w:bookmarkEnd w:id="1180"/>
      <w:bookmarkEnd w:id="1181"/>
      <w:bookmarkEnd w:id="118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1183" w:name="_Toc31443"/>
      <w:bookmarkStart w:id="1184" w:name="_Toc10611"/>
      <w:bookmarkStart w:id="1185" w:name="_Toc21355"/>
      <w:bookmarkStart w:id="1186" w:name="_Toc15837"/>
      <w:bookmarkStart w:id="1187" w:name="_Toc16734"/>
      <w:bookmarkStart w:id="1188" w:name="_Ref467378121"/>
      <w:bookmarkStart w:id="1189" w:name="_Toc259093683"/>
      <w:bookmarkStart w:id="1190" w:name="_Toc487900364"/>
      <w:bookmarkStart w:id="1191" w:name="_Toc279701254"/>
      <w:r>
        <w:rPr>
          <w:rFonts w:hint="eastAsia" w:ascii="宋体" w:hAnsi="宋体" w:eastAsia="宋体" w:cs="宋体"/>
          <w:b/>
          <w:sz w:val="24"/>
          <w:szCs w:val="24"/>
        </w:rPr>
        <w:t>2.9 合同变更</w:t>
      </w:r>
      <w:bookmarkEnd w:id="1183"/>
      <w:bookmarkEnd w:id="1184"/>
      <w:bookmarkEnd w:id="1185"/>
      <w:bookmarkEnd w:id="1186"/>
      <w:bookmarkEnd w:id="118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1192" w:name="_Toc259093688"/>
      <w:bookmarkStart w:id="1193" w:name="_Toc279701259"/>
      <w:bookmarkStart w:id="1194" w:name="_Toc487900369"/>
    </w:p>
    <w:p>
      <w:pPr>
        <w:spacing w:line="560" w:lineRule="exact"/>
        <w:ind w:firstLine="482" w:firstLineChars="200"/>
        <w:outlineLvl w:val="0"/>
        <w:rPr>
          <w:rFonts w:hint="eastAsia" w:ascii="宋体" w:hAnsi="宋体" w:eastAsia="宋体" w:cs="宋体"/>
          <w:b/>
          <w:sz w:val="24"/>
          <w:szCs w:val="24"/>
        </w:rPr>
      </w:pPr>
      <w:bookmarkStart w:id="1195" w:name="_Toc11531"/>
      <w:bookmarkStart w:id="1196" w:name="_Toc42"/>
      <w:bookmarkStart w:id="1197" w:name="_Toc26689"/>
      <w:bookmarkStart w:id="1198" w:name="_Toc5676"/>
      <w:bookmarkStart w:id="1199" w:name="_Toc10663"/>
      <w:bookmarkStart w:id="1200" w:name="_Toc21830"/>
      <w:bookmarkStart w:id="1201" w:name="_Toc7075"/>
      <w:bookmarkStart w:id="1202" w:name="_Toc23368"/>
      <w:bookmarkStart w:id="1203" w:name="_Toc29906"/>
      <w:r>
        <w:rPr>
          <w:rFonts w:hint="eastAsia" w:ascii="宋体" w:hAnsi="宋体" w:eastAsia="宋体" w:cs="宋体"/>
          <w:b/>
          <w:sz w:val="24"/>
          <w:szCs w:val="24"/>
        </w:rPr>
        <w:t>2.10 合同转让</w:t>
      </w:r>
      <w:bookmarkEnd w:id="1192"/>
      <w:bookmarkEnd w:id="1193"/>
      <w:bookmarkEnd w:id="1194"/>
      <w:r>
        <w:rPr>
          <w:rFonts w:hint="eastAsia" w:ascii="宋体" w:hAnsi="宋体" w:eastAsia="宋体" w:cs="宋体"/>
          <w:b/>
          <w:sz w:val="24"/>
          <w:szCs w:val="24"/>
        </w:rPr>
        <w:t>和分包</w:t>
      </w:r>
      <w:bookmarkEnd w:id="1195"/>
      <w:bookmarkEnd w:id="1196"/>
      <w:bookmarkEnd w:id="1197"/>
      <w:bookmarkEnd w:id="1198"/>
      <w:bookmarkEnd w:id="1199"/>
      <w:bookmarkEnd w:id="1200"/>
      <w:bookmarkEnd w:id="1201"/>
      <w:bookmarkEnd w:id="1202"/>
      <w:bookmarkEnd w:id="120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1204" w:name="_Toc5714"/>
      <w:bookmarkStart w:id="1205" w:name="_Toc8004"/>
      <w:bookmarkStart w:id="1206" w:name="_Toc25571"/>
      <w:bookmarkStart w:id="1207" w:name="_Toc13172"/>
      <w:bookmarkStart w:id="1208" w:name="_Toc26633"/>
      <w:bookmarkStart w:id="1209" w:name="_Toc19886"/>
      <w:bookmarkStart w:id="1210" w:name="_Toc32494"/>
      <w:bookmarkStart w:id="1211" w:name="_Toc4720"/>
      <w:bookmarkStart w:id="1212" w:name="_Toc14371"/>
      <w:r>
        <w:rPr>
          <w:rFonts w:hint="eastAsia" w:ascii="宋体" w:hAnsi="宋体" w:eastAsia="宋体" w:cs="宋体"/>
          <w:b/>
          <w:sz w:val="24"/>
          <w:szCs w:val="24"/>
        </w:rPr>
        <w:t>2.11 不可抗力</w:t>
      </w:r>
      <w:bookmarkEnd w:id="1204"/>
      <w:bookmarkEnd w:id="1205"/>
      <w:bookmarkEnd w:id="1206"/>
      <w:bookmarkEnd w:id="1207"/>
      <w:bookmarkEnd w:id="1208"/>
      <w:bookmarkEnd w:id="1209"/>
      <w:bookmarkEnd w:id="1210"/>
      <w:bookmarkEnd w:id="1211"/>
      <w:bookmarkEnd w:id="121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1213" w:name="_Toc24465"/>
      <w:bookmarkStart w:id="1214" w:name="_Toc3638"/>
      <w:bookmarkStart w:id="1215" w:name="_Toc259093684"/>
      <w:bookmarkStart w:id="1216" w:name="_Toc25783"/>
      <w:bookmarkStart w:id="1217" w:name="_Toc26219"/>
      <w:bookmarkStart w:id="1218" w:name="_Toc22135"/>
      <w:bookmarkStart w:id="1219" w:name="_Toc14115"/>
      <w:bookmarkStart w:id="1220" w:name="_Toc28108"/>
      <w:bookmarkStart w:id="1221" w:name="_Toc487900365"/>
      <w:bookmarkStart w:id="1222" w:name="_Toc3659"/>
      <w:bookmarkStart w:id="1223" w:name="_Toc279701255"/>
      <w:bookmarkStart w:id="1224" w:name="_Toc23854"/>
      <w:r>
        <w:rPr>
          <w:rFonts w:hint="eastAsia" w:ascii="宋体" w:hAnsi="宋体" w:eastAsia="宋体" w:cs="宋体"/>
          <w:b/>
          <w:sz w:val="24"/>
          <w:szCs w:val="24"/>
        </w:rPr>
        <w:t>2.12 税费</w:t>
      </w:r>
      <w:bookmarkEnd w:id="1213"/>
      <w:bookmarkEnd w:id="1214"/>
      <w:bookmarkEnd w:id="1215"/>
      <w:bookmarkEnd w:id="1216"/>
      <w:bookmarkEnd w:id="1217"/>
      <w:bookmarkEnd w:id="1218"/>
      <w:bookmarkEnd w:id="1219"/>
      <w:bookmarkEnd w:id="1220"/>
      <w:bookmarkEnd w:id="1221"/>
      <w:bookmarkEnd w:id="1222"/>
      <w:bookmarkEnd w:id="1223"/>
      <w:bookmarkEnd w:id="122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1225" w:name="_Toc30105"/>
      <w:bookmarkStart w:id="1226" w:name="_Toc23998"/>
      <w:bookmarkStart w:id="1227" w:name="_Toc26883"/>
      <w:bookmarkStart w:id="1228" w:name="_Toc487900368"/>
      <w:bookmarkStart w:id="1229" w:name="_Toc259093687"/>
      <w:bookmarkStart w:id="1230" w:name="_Toc9678"/>
      <w:bookmarkStart w:id="1231" w:name="_Toc14814"/>
      <w:bookmarkStart w:id="1232" w:name="_Toc23741"/>
      <w:bookmarkStart w:id="1233" w:name="_Toc25525"/>
      <w:bookmarkStart w:id="1234" w:name="_Toc7315"/>
      <w:bookmarkStart w:id="1235" w:name="_Toc279701258"/>
      <w:bookmarkStart w:id="1236" w:name="_Toc24512"/>
      <w:r>
        <w:rPr>
          <w:rFonts w:hint="eastAsia" w:ascii="宋体" w:hAnsi="宋体" w:eastAsia="宋体" w:cs="宋体"/>
          <w:b/>
          <w:sz w:val="24"/>
          <w:szCs w:val="24"/>
        </w:rPr>
        <w:t>2.13 乙方破产</w:t>
      </w:r>
      <w:bookmarkEnd w:id="1225"/>
      <w:bookmarkEnd w:id="1226"/>
      <w:bookmarkEnd w:id="1227"/>
      <w:bookmarkEnd w:id="1228"/>
      <w:bookmarkEnd w:id="1229"/>
      <w:bookmarkEnd w:id="1230"/>
      <w:bookmarkEnd w:id="1231"/>
      <w:bookmarkEnd w:id="1232"/>
      <w:bookmarkEnd w:id="1233"/>
      <w:bookmarkEnd w:id="1234"/>
      <w:bookmarkEnd w:id="1235"/>
      <w:bookmarkEnd w:id="123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1237" w:name="_Toc26471"/>
      <w:bookmarkStart w:id="1238" w:name="_Toc10101"/>
      <w:bookmarkStart w:id="1239" w:name="_Toc24725"/>
      <w:bookmarkStart w:id="1240" w:name="_Toc2016"/>
      <w:bookmarkStart w:id="1241" w:name="_Toc1123"/>
      <w:bookmarkStart w:id="1242" w:name="_Toc25067"/>
      <w:bookmarkStart w:id="1243" w:name="_Toc23323"/>
      <w:r>
        <w:rPr>
          <w:rFonts w:hint="eastAsia" w:ascii="宋体" w:hAnsi="宋体" w:eastAsia="宋体" w:cs="宋体"/>
          <w:b/>
          <w:sz w:val="24"/>
          <w:szCs w:val="24"/>
        </w:rPr>
        <w:t>2.14 合同中止、终止</w:t>
      </w:r>
      <w:bookmarkEnd w:id="1237"/>
      <w:bookmarkEnd w:id="1238"/>
      <w:bookmarkEnd w:id="1239"/>
      <w:bookmarkEnd w:id="1240"/>
      <w:bookmarkEnd w:id="1241"/>
      <w:bookmarkEnd w:id="1242"/>
      <w:bookmarkEnd w:id="124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1244" w:name="_Toc14525"/>
      <w:bookmarkStart w:id="1245" w:name="_Toc23177"/>
      <w:bookmarkStart w:id="1246" w:name="_Toc17363"/>
      <w:bookmarkStart w:id="1247" w:name="_Toc1969"/>
      <w:bookmarkStart w:id="1248" w:name="_Toc10354"/>
      <w:bookmarkStart w:id="1249" w:name="_Toc7756"/>
      <w:bookmarkStart w:id="1250" w:name="_Toc6285"/>
      <w:r>
        <w:rPr>
          <w:rFonts w:hint="eastAsia" w:ascii="宋体" w:hAnsi="宋体" w:eastAsia="宋体" w:cs="宋体"/>
          <w:b/>
          <w:sz w:val="24"/>
          <w:szCs w:val="24"/>
        </w:rPr>
        <w:t>2.15 检验和验收</w:t>
      </w:r>
      <w:bookmarkEnd w:id="1244"/>
      <w:bookmarkEnd w:id="1245"/>
      <w:bookmarkEnd w:id="1246"/>
      <w:bookmarkEnd w:id="1247"/>
      <w:bookmarkEnd w:id="1248"/>
      <w:bookmarkEnd w:id="1249"/>
      <w:bookmarkEnd w:id="1250"/>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188"/>
    <w:bookmarkEnd w:id="1189"/>
    <w:bookmarkEnd w:id="1190"/>
    <w:bookmarkEnd w:id="1191"/>
    <w:p>
      <w:pPr>
        <w:spacing w:line="560" w:lineRule="exact"/>
        <w:ind w:firstLine="482" w:firstLineChars="200"/>
        <w:outlineLvl w:val="0"/>
        <w:rPr>
          <w:rFonts w:hint="eastAsia" w:ascii="宋体" w:hAnsi="宋体" w:eastAsia="宋体" w:cs="宋体"/>
          <w:b/>
          <w:sz w:val="24"/>
          <w:szCs w:val="24"/>
        </w:rPr>
      </w:pPr>
      <w:bookmarkStart w:id="1251" w:name="_Toc487900371"/>
      <w:bookmarkStart w:id="1252" w:name="_Toc279701261"/>
      <w:bookmarkStart w:id="1253" w:name="_Toc259093690"/>
      <w:bookmarkStart w:id="1254" w:name="_Toc2308"/>
      <w:bookmarkStart w:id="1255" w:name="_Toc25198"/>
      <w:bookmarkStart w:id="1256" w:name="_Toc11667"/>
      <w:bookmarkStart w:id="1257" w:name="_Toc28291"/>
      <w:bookmarkStart w:id="1258" w:name="_Toc21947"/>
      <w:bookmarkStart w:id="1259" w:name="_Toc12666"/>
      <w:bookmarkStart w:id="1260" w:name="_Toc2372"/>
      <w:bookmarkStart w:id="1261" w:name="_Toc31892"/>
      <w:r>
        <w:rPr>
          <w:rFonts w:hint="eastAsia" w:ascii="宋体" w:hAnsi="宋体" w:eastAsia="宋体" w:cs="宋体"/>
          <w:b/>
          <w:sz w:val="24"/>
          <w:szCs w:val="24"/>
        </w:rPr>
        <w:t>2.16 通知</w:t>
      </w:r>
      <w:bookmarkEnd w:id="1251"/>
      <w:bookmarkEnd w:id="1252"/>
      <w:bookmarkEnd w:id="1253"/>
      <w:r>
        <w:rPr>
          <w:rFonts w:hint="eastAsia" w:ascii="宋体" w:hAnsi="宋体" w:eastAsia="宋体" w:cs="宋体"/>
          <w:b/>
          <w:sz w:val="24"/>
          <w:szCs w:val="24"/>
        </w:rPr>
        <w:t>和送达</w:t>
      </w:r>
      <w:bookmarkEnd w:id="1254"/>
      <w:bookmarkEnd w:id="1255"/>
      <w:bookmarkEnd w:id="1256"/>
      <w:bookmarkEnd w:id="1257"/>
      <w:bookmarkEnd w:id="1258"/>
      <w:bookmarkEnd w:id="1259"/>
      <w:bookmarkEnd w:id="1260"/>
      <w:bookmarkEnd w:id="1261"/>
    </w:p>
    <w:p>
      <w:pPr>
        <w:spacing w:line="560" w:lineRule="exact"/>
        <w:ind w:firstLine="480" w:firstLineChars="200"/>
        <w:rPr>
          <w:rFonts w:hint="eastAsia" w:ascii="宋体" w:hAnsi="宋体" w:eastAsia="宋体" w:cs="宋体"/>
          <w:sz w:val="24"/>
          <w:szCs w:val="24"/>
        </w:rPr>
      </w:pPr>
      <w:bookmarkStart w:id="1262" w:name="_Toc29220"/>
      <w:bookmarkStart w:id="1263" w:name="_Toc7073"/>
      <w:bookmarkStart w:id="1264" w:name="_Toc279701262"/>
      <w:bookmarkStart w:id="1265" w:name="_Toc487900372"/>
      <w:bookmarkStart w:id="1266" w:name="_Toc259093691"/>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1262"/>
      <w:bookmarkEnd w:id="1263"/>
    </w:p>
    <w:p>
      <w:pPr>
        <w:spacing w:line="560" w:lineRule="exact"/>
        <w:ind w:firstLine="480" w:firstLineChars="200"/>
        <w:rPr>
          <w:rFonts w:hint="eastAsia" w:ascii="宋体" w:hAnsi="宋体" w:eastAsia="宋体" w:cs="宋体"/>
          <w:sz w:val="24"/>
          <w:szCs w:val="24"/>
        </w:rPr>
      </w:pPr>
      <w:bookmarkStart w:id="1267" w:name="_Toc27674"/>
      <w:bookmarkStart w:id="1268"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267"/>
      <w:bookmarkEnd w:id="1268"/>
    </w:p>
    <w:bookmarkEnd w:id="1264"/>
    <w:bookmarkEnd w:id="1265"/>
    <w:bookmarkEnd w:id="1266"/>
    <w:p>
      <w:pPr>
        <w:spacing w:line="560" w:lineRule="exact"/>
        <w:ind w:firstLine="482" w:firstLineChars="200"/>
        <w:outlineLvl w:val="0"/>
        <w:rPr>
          <w:rFonts w:hint="eastAsia" w:ascii="宋体" w:hAnsi="宋体" w:eastAsia="宋体" w:cs="宋体"/>
          <w:b/>
          <w:sz w:val="24"/>
          <w:szCs w:val="24"/>
        </w:rPr>
      </w:pPr>
      <w:bookmarkStart w:id="1269" w:name="_Toc14037"/>
      <w:bookmarkStart w:id="1270" w:name="_Toc5063"/>
      <w:bookmarkStart w:id="1271" w:name="_Toc279701263"/>
      <w:bookmarkStart w:id="1272" w:name="_Toc20808"/>
      <w:bookmarkStart w:id="1273" w:name="_Toc487900373"/>
      <w:bookmarkStart w:id="1274" w:name="_Toc12254"/>
      <w:bookmarkStart w:id="1275" w:name="_Toc28906"/>
      <w:bookmarkStart w:id="1276" w:name="_Toc24943"/>
      <w:bookmarkStart w:id="1277" w:name="_Toc1929"/>
      <w:bookmarkStart w:id="1278" w:name="_Toc259093692"/>
      <w:bookmarkStart w:id="1279" w:name="_Toc14232"/>
      <w:r>
        <w:rPr>
          <w:rFonts w:hint="eastAsia" w:ascii="宋体" w:hAnsi="宋体" w:eastAsia="宋体" w:cs="宋体"/>
          <w:b/>
          <w:sz w:val="24"/>
          <w:szCs w:val="24"/>
        </w:rPr>
        <w:t>2.17 合同使用的文字和适用的法律</w:t>
      </w:r>
      <w:bookmarkEnd w:id="1269"/>
      <w:bookmarkEnd w:id="1270"/>
      <w:bookmarkEnd w:id="1271"/>
      <w:bookmarkEnd w:id="1272"/>
      <w:bookmarkEnd w:id="1273"/>
      <w:bookmarkEnd w:id="1274"/>
      <w:bookmarkEnd w:id="1275"/>
      <w:bookmarkEnd w:id="1276"/>
      <w:bookmarkEnd w:id="1277"/>
      <w:bookmarkEnd w:id="1278"/>
      <w:bookmarkEnd w:id="127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1280" w:name="_Toc27127"/>
      <w:bookmarkStart w:id="1281" w:name="_Toc259093693"/>
      <w:bookmarkStart w:id="1282" w:name="_Toc27403"/>
      <w:bookmarkStart w:id="1283" w:name="_Toc1492"/>
      <w:bookmarkStart w:id="1284" w:name="_Toc22266"/>
      <w:bookmarkStart w:id="1285" w:name="_Toc21507"/>
      <w:bookmarkStart w:id="1286" w:name="_Toc30096"/>
      <w:bookmarkStart w:id="1287" w:name="_Toc279701264"/>
      <w:bookmarkStart w:id="1288" w:name="_Toc1493"/>
      <w:bookmarkStart w:id="1289" w:name="_Toc27158"/>
      <w:bookmarkStart w:id="1290" w:name="_Toc28232"/>
      <w:bookmarkStart w:id="1291" w:name="_Toc487900374"/>
      <w:r>
        <w:rPr>
          <w:rFonts w:hint="eastAsia" w:ascii="宋体" w:hAnsi="宋体" w:eastAsia="宋体" w:cs="宋体"/>
          <w:b/>
          <w:sz w:val="24"/>
          <w:szCs w:val="24"/>
        </w:rPr>
        <w:t>2.18 履约保证金</w:t>
      </w:r>
      <w:bookmarkEnd w:id="1280"/>
      <w:bookmarkEnd w:id="1281"/>
      <w:bookmarkEnd w:id="1282"/>
      <w:bookmarkEnd w:id="1283"/>
      <w:bookmarkEnd w:id="1284"/>
      <w:bookmarkEnd w:id="1285"/>
      <w:bookmarkEnd w:id="1286"/>
      <w:bookmarkEnd w:id="1287"/>
      <w:bookmarkEnd w:id="1288"/>
      <w:bookmarkEnd w:id="1289"/>
      <w:bookmarkEnd w:id="129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291"/>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46"/>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1292" w:name="_Toc331685784"/>
      <w:r>
        <w:rPr>
          <w:rFonts w:hint="eastAsia" w:ascii="宋体" w:hAnsi="宋体" w:eastAsia="宋体" w:cs="宋体"/>
          <w:b/>
          <w:szCs w:val="24"/>
        </w:rPr>
        <w:t>第三部分  合同专用条款</w:t>
      </w:r>
      <w:bookmarkEnd w:id="129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26"/>
        <w:gridCol w:w="74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26" w:type="dxa"/>
            <w:tcBorders>
              <w:left w:val="single" w:color="auto" w:sz="4" w:space="0"/>
            </w:tcBorders>
            <w:noWrap w:val="0"/>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477" w:type="dxa"/>
            <w:noWrap w:val="0"/>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pPr>
              <w:spacing w:line="560" w:lineRule="exact"/>
              <w:rPr>
                <w:rFonts w:ascii="楷体" w:hAnsi="楷体" w:eastAsia="楷体"/>
                <w:sz w:val="24"/>
              </w:rPr>
            </w:pPr>
          </w:p>
        </w:tc>
        <w:tc>
          <w:tcPr>
            <w:tcW w:w="7477"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bl>
    <w:p>
      <w:pPr>
        <w:pStyle w:val="22"/>
        <w:numPr>
          <w:ilvl w:val="0"/>
          <w:numId w:val="0"/>
        </w:numPr>
        <w:jc w:val="left"/>
        <w:rPr>
          <w:rFonts w:hint="eastAsia" w:ascii="宋体" w:hAnsi="宋体" w:eastAsia="宋体" w:cs="宋体"/>
          <w:b/>
          <w:bCs/>
          <w:color w:val="FF0000"/>
          <w:sz w:val="21"/>
          <w:szCs w:val="21"/>
          <w:lang w:val="en-US" w:eastAsia="zh-CN"/>
        </w:rPr>
      </w:pPr>
    </w:p>
    <w:p>
      <w:pPr>
        <w:shd w:val="clear" w:color="auto" w:fill="FFFFFF"/>
        <w:bidi w:val="0"/>
        <w:snapToGrid w:val="0"/>
        <w:spacing w:line="440" w:lineRule="exact"/>
        <w:ind w:left="0" w:leftChars="0" w:firstLine="0" w:firstLineChars="0"/>
        <w:rPr>
          <w:rFonts w:hint="eastAsia" w:ascii="宋体" w:hAnsi="宋体" w:cs="宋体"/>
          <w:color w:val="000000"/>
          <w:sz w:val="24"/>
        </w:rPr>
      </w:pPr>
    </w:p>
    <w:p>
      <w:pPr>
        <w:pStyle w:val="7"/>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26"/>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41"/>
        <w:rPr>
          <w:rFonts w:hint="eastAsia"/>
        </w:rPr>
      </w:pPr>
    </w:p>
    <w:p>
      <w:pPr>
        <w:pStyle w:val="41"/>
        <w:rPr>
          <w:rFonts w:hint="eastAsia"/>
        </w:rPr>
      </w:pPr>
    </w:p>
    <w:p>
      <w:pPr>
        <w:pStyle w:val="19"/>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2"/>
        <w:numPr>
          <w:ilvl w:val="0"/>
          <w:numId w:val="0"/>
        </w:numPr>
        <w:spacing w:before="120" w:beforeLines="0" w:after="120" w:afterLines="0" w:line="400" w:lineRule="exact"/>
        <w:ind w:leftChars="0" w:firstLine="1405" w:firstLineChars="500"/>
        <w:jc w:val="both"/>
        <w:rPr>
          <w:rFonts w:hint="eastAsia" w:ascii="宋体" w:hAnsi="宋体" w:cs="宋体"/>
          <w:color w:val="auto"/>
          <w:sz w:val="28"/>
          <w:szCs w:val="28"/>
          <w:lang w:val="en-US" w:eastAsia="zh-CN"/>
        </w:rPr>
      </w:pPr>
    </w:p>
    <w:p>
      <w:pPr>
        <w:rPr>
          <w:rFonts w:hint="eastAsia" w:ascii="宋体" w:hAnsi="宋体" w:cs="宋体"/>
          <w:color w:val="auto"/>
          <w:sz w:val="28"/>
          <w:szCs w:val="28"/>
          <w:lang w:val="en-US" w:eastAsia="zh-CN"/>
        </w:rPr>
      </w:pPr>
    </w:p>
    <w:p>
      <w:pPr>
        <w:pStyle w:val="21"/>
        <w:rPr>
          <w:rFonts w:hint="eastAsia" w:ascii="宋体" w:hAnsi="宋体" w:cs="宋体"/>
          <w:color w:val="auto"/>
          <w:sz w:val="28"/>
          <w:szCs w:val="28"/>
          <w:lang w:val="en-US" w:eastAsia="zh-CN"/>
        </w:rPr>
      </w:pPr>
    </w:p>
    <w:p>
      <w:pPr>
        <w:pStyle w:val="22"/>
        <w:rPr>
          <w:rFonts w:hint="eastAsia" w:ascii="宋体" w:hAnsi="宋体" w:cs="宋体"/>
          <w:color w:val="auto"/>
          <w:sz w:val="28"/>
          <w:szCs w:val="28"/>
          <w:lang w:val="en-US" w:eastAsia="zh-CN"/>
        </w:rPr>
      </w:pPr>
    </w:p>
    <w:p>
      <w:pPr>
        <w:rPr>
          <w:rFonts w:hint="eastAsia"/>
          <w:lang w:val="en-US" w:eastAsia="zh-CN"/>
        </w:rPr>
      </w:pPr>
    </w:p>
    <w:bookmarkEnd w:id="1015"/>
    <w:p>
      <w:pPr>
        <w:pStyle w:val="20"/>
        <w:numPr>
          <w:ilvl w:val="0"/>
          <w:numId w:val="2"/>
        </w:numPr>
        <w:spacing w:line="400" w:lineRule="exact"/>
        <w:ind w:firstLine="643"/>
        <w:outlineLvl w:val="0"/>
        <w:rPr>
          <w:rFonts w:hint="eastAsia" w:ascii="宋体" w:hAnsi="宋体" w:eastAsia="宋体" w:cs="宋体"/>
          <w:color w:val="000000"/>
          <w:highlight w:val="none"/>
        </w:rPr>
      </w:pPr>
      <w:bookmarkStart w:id="1293" w:name="_Toc23805"/>
      <w:bookmarkStart w:id="1294" w:name="_Toc21122"/>
      <w:r>
        <w:rPr>
          <w:rFonts w:hint="eastAsia" w:ascii="宋体" w:hAnsi="宋体" w:eastAsia="宋体" w:cs="宋体"/>
          <w:color w:val="000000"/>
          <w:highlight w:val="none"/>
        </w:rPr>
        <w:t>采购需求</w:t>
      </w:r>
      <w:bookmarkEnd w:id="1293"/>
      <w:bookmarkEnd w:id="1294"/>
    </w:p>
    <w:p>
      <w:pPr>
        <w:numPr>
          <w:ilvl w:val="0"/>
          <w:numId w:val="0"/>
        </w:numPr>
      </w:pPr>
    </w:p>
    <w:p>
      <w:pPr>
        <w:pStyle w:val="27"/>
      </w:pP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为增强环境安全和风险防范意识、锻炼环境应急队伍、检验完善环境应急预案、提高应急处置能力，信阳市生态环境局息县分局委托第三方编制信阳市息县突发环境事件应急预案，并组织策划信阳市息县突发环境事件应急演练服务，采购内容包含：</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编制县级突发环境事件应急预案，收集并统计我县大气、水、土壤、危险废物等环境风险源、环境风险受体、环境风险防控与应急救援能力，开展应急资源调查、环境风险识别、环境风险分析、典型突发环境事件情景分析、环境风险防控与应急措施差距分析等工作，提出应急管理对策、措施，指导管委会及相关部门开展环境风险应急管理。</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2、参与组织实施 1 次突发环境事件应急实战演练，承担应急演练的方案设计、组织实施、相关保障等相关支持，确保演练顺利开展。参与组织参演单位和人员按照演练脚本进行演练；按照视频拍摄方案组织专业人员进行演练期间视频拍摄制作等工作，并于后期制作形成视频集成记录；提供演练成果集成。主要技术要求如下：</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（1）实战演练部分项目需求：提供技术支持及演练相关物资的租赁采购， 开展以污染事故为主要情节的综合性应急演练，采取信息化演练手段，相关部门/企业履行主体责任，属地政府采取有效防护措施，确保群众生命财产及环境安全。</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（2）演练脚本编制需求：按照生态环境部《突发环境事件应急管理办法》（部令第 34 号）和《企事业单位突发环境事件应急预案评审工作指南》（环办应急〔2018〕8 号）等文件的规定，勘察演练现场，调查应急资源，在此基础上编写演练脚本。</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（3）依据确定的演练脚本和既定的场地，开展演练前的物资和人员准备工作，所有演练人员熟悉脚本内容、开展桌面推演和现场实战预演等相关内容，提供演练资料汇总以及演练全流程视频拍摄。</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cs="宋体"/>
          <w:b w:val="0"/>
          <w:bCs w:val="0"/>
          <w:sz w:val="24"/>
          <w:szCs w:val="24"/>
          <w:highlight w:val="none"/>
          <w:lang w:val="en-US" w:eastAsia="zh-CN"/>
        </w:rPr>
        <w:t>（4）为及时、妥善地处置好应急演练预演和演练过程中的突发事件，保护参演及观摩人员的生命安全，保证演练顺利进行，维持秩序，制定有针对性的应急保障。</w:t>
      </w:r>
    </w:p>
    <w:p>
      <w:pPr>
        <w:numPr>
          <w:ilvl w:val="0"/>
          <w:numId w:val="0"/>
        </w:numPr>
        <w:rPr>
          <w:rFonts w:hint="eastAsia"/>
          <w:color w:val="auto"/>
          <w:lang w:eastAsia="zh-CN"/>
        </w:rPr>
      </w:pPr>
    </w:p>
    <w:bookmarkEnd w:id="1016"/>
    <w:bookmarkEnd w:id="1017"/>
    <w:bookmarkEnd w:id="1018"/>
    <w:p>
      <w:pPr>
        <w:rPr>
          <w:color w:val="auto"/>
        </w:rPr>
      </w:pPr>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pPr>
        <w:pStyle w:val="20"/>
        <w:spacing w:line="400" w:lineRule="exact"/>
        <w:ind w:firstLine="643"/>
        <w:outlineLvl w:val="0"/>
        <w:rPr>
          <w:rFonts w:hint="eastAsia" w:ascii="宋体" w:hAnsi="宋体" w:eastAsia="宋体" w:cs="宋体"/>
          <w:color w:val="000000"/>
          <w:highlight w:val="none"/>
          <w:lang w:eastAsia="zh-CN"/>
        </w:rPr>
      </w:pPr>
      <w:bookmarkStart w:id="1295" w:name="_Toc27038"/>
      <w:r>
        <w:rPr>
          <w:rFonts w:hint="eastAsia" w:ascii="宋体" w:hAnsi="宋体" w:eastAsia="宋体" w:cs="宋体"/>
          <w:color w:val="000000"/>
          <w:highlight w:val="none"/>
        </w:rPr>
        <w:t xml:space="preserve">第六章  </w:t>
      </w:r>
      <w:r>
        <w:rPr>
          <w:rFonts w:hint="eastAsia" w:ascii="宋体" w:hAnsi="宋体" w:eastAsia="宋体" w:cs="宋体"/>
          <w:color w:val="000000"/>
          <w:highlight w:val="none"/>
          <w:lang w:eastAsia="zh-CN"/>
        </w:rPr>
        <w:t>竞争性磋商响应文件格式</w:t>
      </w:r>
      <w:bookmarkEnd w:id="1295"/>
    </w:p>
    <w:p>
      <w:pPr>
        <w:spacing w:line="400" w:lineRule="exact"/>
        <w:rPr>
          <w:rFonts w:hint="eastAsia" w:ascii="宋体" w:hAnsi="宋体" w:cs="宋体"/>
          <w:color w:val="auto"/>
        </w:rPr>
      </w:pPr>
    </w:p>
    <w:p>
      <w:pPr>
        <w:spacing w:line="440" w:lineRule="exact"/>
        <w:jc w:val="right"/>
        <w:rPr>
          <w:rFonts w:hint="eastAsia" w:ascii="宋体" w:hAnsi="宋体" w:cs="宋体"/>
          <w:color w:val="auto"/>
          <w:sz w:val="24"/>
          <w:bdr w:val="single" w:color="auto" w:sz="4" w:space="0"/>
        </w:rPr>
      </w:pPr>
    </w:p>
    <w:p>
      <w:pPr>
        <w:spacing w:line="440" w:lineRule="exact"/>
        <w:rPr>
          <w:rFonts w:hint="eastAsia" w:ascii="宋体" w:hAnsi="宋体" w:cs="宋体"/>
          <w:color w:val="auto"/>
          <w:sz w:val="24"/>
        </w:rPr>
      </w:pPr>
    </w:p>
    <w:p>
      <w:pPr>
        <w:jc w:val="center"/>
        <w:rPr>
          <w:rFonts w:hint="eastAsia" w:ascii="宋体" w:hAnsi="宋体" w:eastAsia="宋体" w:cs="宋体"/>
          <w:b/>
          <w:bCs/>
          <w:color w:val="auto"/>
          <w:sz w:val="30"/>
          <w:szCs w:val="30"/>
          <w:lang w:eastAsia="zh-CN"/>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720" w:lineRule="auto"/>
        <w:jc w:val="center"/>
        <w:rPr>
          <w:rFonts w:hint="eastAsia" w:ascii="宋体" w:hAnsi="宋体" w:cs="宋体"/>
          <w:b/>
          <w:bCs/>
          <w:color w:val="auto"/>
          <w:sz w:val="72"/>
          <w:szCs w:val="84"/>
        </w:rPr>
      </w:pPr>
    </w:p>
    <w:p>
      <w:pPr>
        <w:spacing w:line="720" w:lineRule="auto"/>
        <w:jc w:val="center"/>
        <w:rPr>
          <w:rFonts w:hint="eastAsia" w:ascii="宋体" w:hAnsi="宋体" w:cs="宋体"/>
          <w:b/>
          <w:bCs/>
          <w:color w:val="auto"/>
          <w:sz w:val="72"/>
          <w:szCs w:val="84"/>
        </w:rPr>
      </w:pPr>
    </w:p>
    <w:p>
      <w:pPr>
        <w:spacing w:line="720" w:lineRule="auto"/>
        <w:jc w:val="center"/>
        <w:rPr>
          <w:rFonts w:hint="eastAsia" w:ascii="宋体" w:hAnsi="宋体" w:cs="宋体"/>
          <w:color w:val="auto"/>
          <w:sz w:val="72"/>
          <w:szCs w:val="84"/>
        </w:rPr>
      </w:pPr>
      <w:r>
        <w:rPr>
          <w:rFonts w:hint="eastAsia" w:ascii="宋体" w:hAnsi="宋体" w:cs="宋体"/>
          <w:b/>
          <w:bCs/>
          <w:color w:val="auto"/>
          <w:sz w:val="72"/>
          <w:szCs w:val="84"/>
        </w:rPr>
        <w:t>响 应 文 件</w:t>
      </w: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80" w:lineRule="auto"/>
        <w:jc w:val="center"/>
        <w:rPr>
          <w:rFonts w:hint="eastAsia"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 （单位电子签章）</w:t>
      </w:r>
    </w:p>
    <w:p>
      <w:pPr>
        <w:spacing w:line="480" w:lineRule="auto"/>
        <w:jc w:val="center"/>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（电子签名或盖章）</w:t>
      </w:r>
    </w:p>
    <w:p>
      <w:pPr>
        <w:spacing w:line="480" w:lineRule="auto"/>
        <w:jc w:val="center"/>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00" w:lineRule="exact"/>
        <w:rPr>
          <w:rFonts w:hint="eastAsia" w:ascii="宋体" w:hAnsi="宋体" w:cs="宋体"/>
          <w:color w:val="auto"/>
          <w:sz w:val="22"/>
          <w:szCs w:val="28"/>
        </w:rPr>
      </w:pPr>
    </w:p>
    <w:p>
      <w:pPr>
        <w:pStyle w:val="33"/>
        <w:jc w:val="center"/>
        <w:rPr>
          <w:rFonts w:hint="eastAsia" w:ascii="宋体" w:hAnsi="宋体" w:eastAsia="宋体"/>
          <w:color w:val="auto"/>
          <w:sz w:val="32"/>
          <w:szCs w:val="32"/>
        </w:rPr>
      </w:pPr>
      <w:bookmarkStart w:id="1296" w:name="_Toc788"/>
      <w:bookmarkStart w:id="1297" w:name="_Toc144974856"/>
      <w:bookmarkStart w:id="1298" w:name="_Toc8978"/>
      <w:bookmarkStart w:id="1299" w:name="_Toc20198"/>
      <w:bookmarkStart w:id="1300" w:name="_Toc152042576"/>
      <w:bookmarkStart w:id="1301" w:name="_Toc466298157"/>
      <w:bookmarkStart w:id="1302" w:name="_Toc152045787"/>
      <w:r>
        <w:rPr>
          <w:rFonts w:hint="eastAsia" w:ascii="宋体" w:hAnsi="宋体" w:eastAsia="宋体"/>
          <w:color w:val="auto"/>
          <w:sz w:val="32"/>
          <w:szCs w:val="32"/>
        </w:rPr>
        <w:t>目    录</w:t>
      </w:r>
      <w:bookmarkEnd w:id="1296"/>
      <w:bookmarkEnd w:id="1297"/>
      <w:bookmarkEnd w:id="1298"/>
      <w:bookmarkEnd w:id="1299"/>
      <w:bookmarkEnd w:id="1300"/>
      <w:bookmarkEnd w:id="1301"/>
      <w:bookmarkEnd w:id="1302"/>
    </w:p>
    <w:p>
      <w:pPr>
        <w:spacing w:line="540" w:lineRule="exact"/>
        <w:rPr>
          <w:rFonts w:hint="eastAsia" w:ascii="宋体" w:hAnsi="宋体" w:cs="宋体"/>
          <w:color w:val="auto"/>
          <w:sz w:val="24"/>
          <w:szCs w:val="32"/>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一、响应函及响应函附录</w:t>
      </w:r>
    </w:p>
    <w:p>
      <w:pPr>
        <w:spacing w:line="360" w:lineRule="auto"/>
        <w:rPr>
          <w:rFonts w:hint="eastAsia" w:ascii="宋体" w:hAnsi="宋体" w:cs="宋体"/>
          <w:color w:val="auto"/>
          <w:sz w:val="24"/>
          <w:szCs w:val="28"/>
        </w:rPr>
      </w:pPr>
      <w:r>
        <w:rPr>
          <w:rFonts w:hint="eastAsia" w:ascii="宋体" w:hAnsi="宋体" w:cs="宋体"/>
          <w:color w:val="auto"/>
          <w:sz w:val="24"/>
          <w:szCs w:val="28"/>
        </w:rPr>
        <w:t>二、法定代表</w:t>
      </w:r>
      <w:r>
        <w:rPr>
          <w:rFonts w:hint="eastAsia" w:ascii="宋体" w:hAnsi="宋体" w:cs="宋体"/>
          <w:color w:val="auto"/>
          <w:sz w:val="24"/>
          <w:szCs w:val="28"/>
          <w:lang w:eastAsia="zh-CN"/>
        </w:rPr>
        <w:t>人</w:t>
      </w:r>
      <w:r>
        <w:rPr>
          <w:rFonts w:hint="eastAsia" w:ascii="宋体" w:hAnsi="宋体" w:cs="宋体"/>
          <w:color w:val="auto"/>
          <w:sz w:val="24"/>
          <w:szCs w:val="28"/>
        </w:rPr>
        <w:t>身份证明</w:t>
      </w:r>
      <w:r>
        <w:rPr>
          <w:rFonts w:hint="eastAsia" w:ascii="宋体" w:hAnsi="宋体" w:cs="宋体"/>
          <w:color w:val="auto"/>
          <w:sz w:val="24"/>
          <w:szCs w:val="28"/>
        </w:rPr>
        <w:tab/>
      </w:r>
    </w:p>
    <w:p>
      <w:pPr>
        <w:spacing w:line="360" w:lineRule="auto"/>
        <w:rPr>
          <w:rFonts w:hint="eastAsia" w:ascii="宋体" w:hAnsi="宋体" w:cs="宋体"/>
          <w:color w:val="auto"/>
          <w:sz w:val="24"/>
          <w:szCs w:val="28"/>
        </w:rPr>
      </w:pPr>
      <w:r>
        <w:rPr>
          <w:rFonts w:hint="eastAsia" w:ascii="宋体" w:hAnsi="宋体" w:cs="宋体"/>
          <w:color w:val="auto"/>
          <w:sz w:val="24"/>
          <w:szCs w:val="28"/>
        </w:rPr>
        <w:t>三、授权委托书</w:t>
      </w:r>
      <w:r>
        <w:rPr>
          <w:rFonts w:hint="eastAsia" w:ascii="宋体" w:hAnsi="宋体" w:cs="宋体"/>
          <w:color w:val="auto"/>
          <w:sz w:val="24"/>
          <w:szCs w:val="28"/>
        </w:rPr>
        <w:tab/>
      </w:r>
    </w:p>
    <w:p>
      <w:pPr>
        <w:spacing w:line="360" w:lineRule="auto"/>
        <w:rPr>
          <w:rFonts w:hint="eastAsia" w:ascii="宋体" w:hAnsi="宋体" w:cs="宋体"/>
          <w:color w:val="auto"/>
          <w:sz w:val="24"/>
          <w:szCs w:val="28"/>
        </w:rPr>
      </w:pPr>
      <w:r>
        <w:rPr>
          <w:rFonts w:hint="eastAsia" w:ascii="宋体" w:hAnsi="宋体" w:cs="宋体"/>
          <w:color w:val="auto"/>
          <w:sz w:val="24"/>
          <w:szCs w:val="28"/>
        </w:rPr>
        <w:t>四、商务及技术偏差表</w:t>
      </w:r>
    </w:p>
    <w:p>
      <w:pPr>
        <w:spacing w:line="360" w:lineRule="auto"/>
        <w:rPr>
          <w:rFonts w:hint="eastAsia" w:ascii="宋体" w:hAnsi="宋体" w:cs="宋体"/>
          <w:color w:val="auto"/>
          <w:sz w:val="24"/>
          <w:szCs w:val="28"/>
        </w:rPr>
      </w:pPr>
      <w:r>
        <w:rPr>
          <w:rFonts w:hint="eastAsia" w:ascii="宋体" w:hAnsi="宋体" w:cs="宋体"/>
          <w:color w:val="auto"/>
          <w:sz w:val="24"/>
          <w:szCs w:val="28"/>
        </w:rPr>
        <w:t>五、资格审查资料</w:t>
      </w:r>
      <w:r>
        <w:rPr>
          <w:rFonts w:hint="eastAsia" w:ascii="宋体" w:hAnsi="宋体" w:cs="宋体"/>
          <w:color w:val="auto"/>
          <w:sz w:val="24"/>
          <w:szCs w:val="28"/>
        </w:rPr>
        <w:tab/>
      </w:r>
    </w:p>
    <w:p>
      <w:pPr>
        <w:spacing w:line="360" w:lineRule="auto"/>
        <w:rPr>
          <w:rFonts w:hint="eastAsia" w:ascii="宋体" w:hAnsi="宋体" w:cs="宋体"/>
          <w:color w:val="auto"/>
          <w:sz w:val="24"/>
          <w:szCs w:val="28"/>
        </w:rPr>
      </w:pPr>
      <w:r>
        <w:rPr>
          <w:rFonts w:hint="eastAsia" w:ascii="宋体" w:hAnsi="宋体" w:cs="宋体"/>
          <w:color w:val="auto"/>
          <w:sz w:val="24"/>
          <w:szCs w:val="28"/>
        </w:rPr>
        <w:t>六、中小企业声明函（服务类）</w:t>
      </w:r>
    </w:p>
    <w:p>
      <w:pPr>
        <w:spacing w:line="360" w:lineRule="auto"/>
        <w:rPr>
          <w:rFonts w:hint="eastAsia" w:ascii="宋体" w:hAnsi="宋体" w:cs="宋体"/>
          <w:color w:val="auto"/>
          <w:sz w:val="24"/>
          <w:szCs w:val="28"/>
        </w:rPr>
      </w:pPr>
      <w:r>
        <w:rPr>
          <w:rFonts w:hint="eastAsia" w:ascii="宋体" w:hAnsi="宋体" w:cs="宋体"/>
          <w:color w:val="auto"/>
          <w:sz w:val="24"/>
          <w:szCs w:val="28"/>
        </w:rPr>
        <w:t>七、残疾人福利性单位声明函</w:t>
      </w:r>
      <w:r>
        <w:rPr>
          <w:rFonts w:hint="eastAsia" w:ascii="宋体" w:hAnsi="宋体" w:cs="宋体"/>
          <w:color w:val="auto"/>
          <w:sz w:val="24"/>
          <w:szCs w:val="28"/>
        </w:rPr>
        <w:tab/>
      </w:r>
    </w:p>
    <w:p>
      <w:pPr>
        <w:spacing w:line="360" w:lineRule="auto"/>
        <w:rPr>
          <w:rFonts w:hint="eastAsia" w:ascii="宋体" w:hAnsi="宋体" w:cs="宋体"/>
          <w:color w:val="auto"/>
          <w:sz w:val="24"/>
          <w:szCs w:val="28"/>
        </w:rPr>
      </w:pPr>
      <w:r>
        <w:rPr>
          <w:rFonts w:hint="eastAsia" w:ascii="宋体" w:hAnsi="宋体" w:cs="宋体"/>
          <w:color w:val="auto"/>
          <w:sz w:val="24"/>
          <w:szCs w:val="28"/>
        </w:rPr>
        <w:t>八、监狱企业证明文件（如有）</w:t>
      </w:r>
    </w:p>
    <w:p>
      <w:pPr>
        <w:spacing w:line="360" w:lineRule="auto"/>
        <w:rPr>
          <w:rFonts w:hint="eastAsia" w:ascii="宋体" w:hAnsi="宋体" w:cs="宋体"/>
          <w:color w:val="auto"/>
          <w:sz w:val="24"/>
          <w:szCs w:val="28"/>
        </w:rPr>
      </w:pPr>
      <w:r>
        <w:rPr>
          <w:rFonts w:hint="eastAsia" w:ascii="宋体" w:hAnsi="宋体" w:cs="宋体"/>
          <w:color w:val="auto"/>
          <w:sz w:val="24"/>
          <w:szCs w:val="28"/>
        </w:rPr>
        <w:t>九、反商业贿赂承诺书</w:t>
      </w:r>
    </w:p>
    <w:p>
      <w:pPr>
        <w:spacing w:line="360" w:lineRule="auto"/>
        <w:rPr>
          <w:rFonts w:hint="eastAsia" w:ascii="宋体" w:hAnsi="宋体" w:cs="宋体"/>
          <w:color w:val="auto"/>
          <w:sz w:val="24"/>
          <w:szCs w:val="28"/>
        </w:rPr>
      </w:pPr>
      <w:r>
        <w:rPr>
          <w:rFonts w:hint="eastAsia" w:ascii="宋体" w:hAnsi="宋体" w:cs="宋体"/>
          <w:color w:val="auto"/>
          <w:sz w:val="24"/>
          <w:szCs w:val="28"/>
        </w:rPr>
        <w:t>十、其他材料</w:t>
      </w:r>
      <w:r>
        <w:rPr>
          <w:rFonts w:hint="eastAsia" w:ascii="宋体" w:hAnsi="宋体" w:cs="宋体"/>
          <w:color w:val="auto"/>
          <w:sz w:val="24"/>
          <w:szCs w:val="28"/>
        </w:rPr>
        <w:tab/>
      </w: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pStyle w:val="21"/>
        <w:rPr>
          <w:rFonts w:hint="eastAsia"/>
        </w:rPr>
      </w:pPr>
    </w:p>
    <w:p>
      <w:pPr>
        <w:pStyle w:val="22"/>
        <w:rPr>
          <w:rFonts w:hint="eastAsia"/>
        </w:rPr>
      </w:pPr>
    </w:p>
    <w:p>
      <w:pPr>
        <w:rPr>
          <w:rFonts w:hint="eastAsia"/>
        </w:rPr>
      </w:pPr>
    </w:p>
    <w:p>
      <w:pPr>
        <w:pStyle w:val="21"/>
        <w:rPr>
          <w:rFonts w:hint="eastAsia"/>
        </w:rPr>
      </w:pPr>
    </w:p>
    <w:p>
      <w:pPr>
        <w:pStyle w:val="22"/>
        <w:rPr>
          <w:rFonts w:hint="eastAsia"/>
        </w:rPr>
      </w:pPr>
    </w:p>
    <w:p>
      <w:pPr>
        <w:rPr>
          <w:rFonts w:hint="eastAsia"/>
        </w:rPr>
      </w:pPr>
    </w:p>
    <w:p>
      <w:pPr>
        <w:pStyle w:val="21"/>
        <w:rPr>
          <w:rFonts w:hint="eastAsia"/>
        </w:rPr>
      </w:pPr>
    </w:p>
    <w:p>
      <w:pPr>
        <w:pStyle w:val="22"/>
        <w:rPr>
          <w:rFonts w:hint="eastAsia"/>
        </w:rPr>
      </w:pPr>
    </w:p>
    <w:p>
      <w:pPr>
        <w:pStyle w:val="33"/>
        <w:numPr>
          <w:ilvl w:val="0"/>
          <w:numId w:val="3"/>
        </w:numPr>
        <w:spacing w:line="360" w:lineRule="auto"/>
        <w:jc w:val="center"/>
        <w:outlineLvl w:val="1"/>
        <w:rPr>
          <w:rFonts w:hint="eastAsia" w:ascii="宋体" w:hAnsi="宋体" w:eastAsia="宋体"/>
          <w:b/>
          <w:color w:val="auto"/>
          <w:szCs w:val="28"/>
        </w:rPr>
      </w:pPr>
      <w:bookmarkStart w:id="1303" w:name="_Toc144974857"/>
      <w:bookmarkStart w:id="1304" w:name="_Toc152042577"/>
      <w:bookmarkStart w:id="1305" w:name="_Toc152045788"/>
      <w:bookmarkStart w:id="1306" w:name="_Toc8095"/>
      <w:bookmarkStart w:id="1307" w:name="_Toc466298158"/>
      <w:bookmarkStart w:id="1308" w:name="_Toc31597"/>
      <w:bookmarkStart w:id="1309" w:name="_Toc9911"/>
      <w:r>
        <w:rPr>
          <w:rFonts w:hint="eastAsia" w:ascii="宋体" w:hAnsi="宋体" w:eastAsia="宋体"/>
          <w:b/>
          <w:color w:val="auto"/>
          <w:szCs w:val="28"/>
          <w:lang w:eastAsia="zh-CN"/>
        </w:rPr>
        <w:t>响应函</w:t>
      </w:r>
      <w:r>
        <w:rPr>
          <w:rFonts w:hint="eastAsia" w:ascii="宋体" w:hAnsi="宋体" w:eastAsia="宋体"/>
          <w:b/>
          <w:color w:val="auto"/>
          <w:szCs w:val="28"/>
        </w:rPr>
        <w:t>及</w:t>
      </w:r>
      <w:bookmarkEnd w:id="1303"/>
      <w:bookmarkEnd w:id="1304"/>
      <w:bookmarkEnd w:id="1305"/>
      <w:r>
        <w:rPr>
          <w:rFonts w:hint="eastAsia" w:ascii="宋体" w:hAnsi="宋体" w:eastAsia="宋体"/>
          <w:b/>
          <w:color w:val="auto"/>
          <w:szCs w:val="28"/>
          <w:lang w:eastAsia="zh-CN"/>
        </w:rPr>
        <w:t>响应函</w:t>
      </w:r>
      <w:r>
        <w:rPr>
          <w:rFonts w:hint="eastAsia" w:ascii="宋体" w:hAnsi="宋体" w:eastAsia="宋体"/>
          <w:b/>
          <w:color w:val="auto"/>
          <w:szCs w:val="28"/>
        </w:rPr>
        <w:t>附录</w:t>
      </w:r>
      <w:bookmarkEnd w:id="1306"/>
      <w:bookmarkEnd w:id="1307"/>
      <w:bookmarkEnd w:id="1308"/>
      <w:bookmarkEnd w:id="1309"/>
    </w:p>
    <w:p>
      <w:pPr>
        <w:pStyle w:val="35"/>
        <w:numPr>
          <w:ilvl w:val="0"/>
          <w:numId w:val="4"/>
        </w:numPr>
        <w:spacing w:line="360" w:lineRule="auto"/>
        <w:jc w:val="center"/>
        <w:outlineLvl w:val="0"/>
        <w:rPr>
          <w:rFonts w:hint="eastAsia" w:ascii="宋体" w:hAnsi="宋体" w:eastAsia="宋体"/>
          <w:b/>
          <w:color w:val="auto"/>
          <w:szCs w:val="23"/>
        </w:rPr>
      </w:pPr>
      <w:bookmarkStart w:id="1310" w:name="_Toc22691"/>
      <w:r>
        <w:rPr>
          <w:rFonts w:hint="eastAsia" w:ascii="宋体" w:hAnsi="宋体" w:eastAsia="宋体"/>
          <w:b/>
          <w:color w:val="auto"/>
          <w:szCs w:val="23"/>
          <w:lang w:eastAsia="zh-CN"/>
        </w:rPr>
        <w:t>响应函</w:t>
      </w:r>
      <w:bookmarkEnd w:id="1310"/>
    </w:p>
    <w:p>
      <w:pPr>
        <w:pStyle w:val="10"/>
        <w:spacing w:line="360" w:lineRule="auto"/>
        <w:ind w:left="112" w:leftChars="0" w:hanging="112" w:hangingChars="47"/>
        <w:rPr>
          <w:rFonts w:hint="eastAsia" w:ascii="宋体" w:hAnsi="宋体" w:eastAsia="宋体" w:cs="宋体"/>
          <w:color w:val="auto"/>
          <w:sz w:val="24"/>
          <w:szCs w:val="24"/>
        </w:rPr>
      </w:pPr>
      <w:bookmarkStart w:id="1311" w:name="_Toc466298160"/>
      <w:bookmarkStart w:id="1312" w:name="_Toc447888814"/>
      <w:bookmarkStart w:id="1313" w:name="_Toc490667893"/>
      <w:bookmarkStart w:id="1314" w:name="_Toc19056"/>
      <w:r>
        <w:rPr>
          <w:rFonts w:hint="eastAsia" w:ascii="宋体" w:hAnsi="宋体" w:eastAsia="宋体" w:cs="宋体"/>
          <w:color w:val="auto"/>
          <w:sz w:val="24"/>
          <w:szCs w:val="24"/>
        </w:rPr>
        <w:t>致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（采购人）</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1．根据已收到的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，遵照《中华人民共和国政府采购法》等有关规定，经考察和认真研究本项目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及其它有关文件后，愿以人民币（大写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）的磋商总报价作为第一次磋商报价，按合同约定实施和完成本项目，并承担其任何质量缺陷等问题所造成的任何损失。</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2．我方已详细检查全部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包括澄清文件、补充通知（如有的话）及有关附件，并完全理解我方必须放弃提出含糊不清或误解的权力，愿按照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中的条款和要求按最后一次的报价做为最后报价。</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3．我方在此承诺，我方若能成交，保证在服务期限内，全面履行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中规定的职责和义务。</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4．如果我方成交，我方保证按合同条款中规定的内容执行；我方保证质量达到国家及行业现行标准规范规定的合格要求，并按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和有关规定提交一切资料。</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5．如果我方成交，我方将按照采购人规定提交履约保证金。</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6．我方同意从响应文件递交截止日期起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日历天内保持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有效，在此有效期内，我方将严格遵守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的承诺，本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对我方具有约束力，并可随时被接受成交。</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所提交的资料外，我方同意随时接受贵方的检查、询问，并根据磋商需要补充贵方要求提交的资料。</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8．如果我方成交后，我方没有任何正当理由而拒签合同，同时我方愿意补偿该项工作因我方延误所造成的经济损失。</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9．我方愿接受合同条款中规定的合同价款计算和调整方式。</w:t>
      </w:r>
    </w:p>
    <w:p>
      <w:pPr>
        <w:pStyle w:val="10"/>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10．除非另外达成协议并生效，贵方的成交通知书和本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将成为约束我方的合同文件组成部分。</w:t>
      </w:r>
    </w:p>
    <w:p>
      <w:pPr>
        <w:pStyle w:val="10"/>
        <w:spacing w:line="420" w:lineRule="exact"/>
        <w:ind w:left="1" w:leftChars="0" w:firstLine="420" w:firstLineChars="200"/>
        <w:rPr>
          <w:rFonts w:hint="eastAsia" w:ascii="宋体" w:hAnsi="宋体"/>
          <w:color w:val="auto"/>
          <w:szCs w:val="21"/>
        </w:rPr>
      </w:pPr>
    </w:p>
    <w:p>
      <w:pPr>
        <w:pStyle w:val="10"/>
        <w:spacing w:line="420" w:lineRule="exact"/>
        <w:ind w:left="1" w:leftChars="0" w:firstLine="420" w:firstLineChars="200"/>
        <w:rPr>
          <w:rFonts w:hint="eastAsia" w:ascii="宋体" w:hAnsi="宋体"/>
          <w:color w:val="auto"/>
          <w:szCs w:val="21"/>
        </w:rPr>
      </w:pPr>
    </w:p>
    <w:p>
      <w:pPr>
        <w:pStyle w:val="10"/>
        <w:spacing w:line="420" w:lineRule="exact"/>
        <w:ind w:left="1" w:leftChars="0" w:firstLine="420" w:firstLineChars="200"/>
        <w:rPr>
          <w:rFonts w:hint="eastAsia" w:ascii="宋体" w:hAnsi="宋体"/>
          <w:color w:val="auto"/>
          <w:szCs w:val="21"/>
        </w:rPr>
      </w:pPr>
    </w:p>
    <w:p>
      <w:pPr>
        <w:pStyle w:val="10"/>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lang w:eastAsia="zh-CN"/>
        </w:rPr>
        <w:t>投标</w:t>
      </w:r>
      <w:r>
        <w:rPr>
          <w:rFonts w:hint="eastAsia" w:ascii="宋体" w:hAnsi="宋体"/>
          <w:color w:val="auto"/>
          <w:sz w:val="24"/>
          <w:szCs w:val="24"/>
        </w:rPr>
        <w:t>供应商：</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s="宋体"/>
          <w:color w:val="auto"/>
          <w:sz w:val="24"/>
          <w:szCs w:val="24"/>
        </w:rPr>
        <w:t>单位电子签章</w:t>
      </w:r>
      <w:r>
        <w:rPr>
          <w:rFonts w:hint="eastAsia" w:ascii="宋体" w:hAnsi="宋体"/>
          <w:color w:val="auto"/>
          <w:sz w:val="24"/>
          <w:szCs w:val="24"/>
        </w:rPr>
        <w:t>）</w:t>
      </w:r>
    </w:p>
    <w:p>
      <w:pPr>
        <w:pStyle w:val="10"/>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（电子签名或盖章）</w:t>
      </w:r>
    </w:p>
    <w:p>
      <w:pPr>
        <w:pStyle w:val="10"/>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rPr>
        <w:t>委托代理人：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（电子签名或盖章）</w:t>
      </w:r>
    </w:p>
    <w:p>
      <w:pPr>
        <w:spacing w:line="360" w:lineRule="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color w:val="auto"/>
          <w:sz w:val="24"/>
          <w:szCs w:val="24"/>
        </w:rPr>
        <w:t>日</w:t>
      </w:r>
      <w:r>
        <w:rPr>
          <w:rFonts w:hint="eastAsia" w:ascii="宋体" w:hAnsi="宋体"/>
          <w:color w:val="auto"/>
          <w:sz w:val="24"/>
          <w:szCs w:val="24"/>
          <w:lang w:val="en-US" w:eastAsia="zh-CN"/>
        </w:rPr>
        <w:t xml:space="preserve">      </w:t>
      </w:r>
      <w:r>
        <w:rPr>
          <w:rFonts w:hint="eastAsia" w:ascii="宋体" w:hAnsi="宋体"/>
          <w:color w:val="auto"/>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3"/>
        <w:numPr>
          <w:ilvl w:val="1"/>
          <w:numId w:val="0"/>
        </w:numPr>
        <w:jc w:val="center"/>
        <w:rPr>
          <w:rFonts w:hint="eastAsia" w:ascii="宋体" w:hAnsi="宋体" w:eastAsia="宋体"/>
          <w:color w:val="auto"/>
          <w:sz w:val="28"/>
          <w:szCs w:val="28"/>
        </w:rPr>
      </w:pPr>
      <w:bookmarkStart w:id="1315" w:name="_Toc11398"/>
      <w:bookmarkStart w:id="1316" w:name="_Toc28910"/>
      <w:r>
        <w:rPr>
          <w:rFonts w:hint="eastAsia" w:ascii="宋体" w:hAnsi="宋体" w:eastAsia="宋体"/>
          <w:color w:val="auto"/>
          <w:sz w:val="28"/>
          <w:szCs w:val="28"/>
        </w:rPr>
        <w:t>（二）</w:t>
      </w:r>
      <w:bookmarkEnd w:id="1311"/>
      <w:bookmarkEnd w:id="1312"/>
      <w:r>
        <w:rPr>
          <w:rFonts w:hint="eastAsia" w:ascii="宋体" w:hAnsi="宋体" w:eastAsia="宋体"/>
          <w:color w:val="auto"/>
          <w:sz w:val="28"/>
          <w:szCs w:val="28"/>
          <w:lang w:eastAsia="zh-CN"/>
        </w:rPr>
        <w:t>响应函</w:t>
      </w:r>
      <w:r>
        <w:rPr>
          <w:rFonts w:hint="eastAsia" w:ascii="宋体" w:hAnsi="宋体" w:eastAsia="宋体"/>
          <w:color w:val="auto"/>
          <w:sz w:val="28"/>
          <w:szCs w:val="28"/>
        </w:rPr>
        <w:t>附录</w:t>
      </w:r>
      <w:bookmarkEnd w:id="1313"/>
      <w:bookmarkEnd w:id="1314"/>
      <w:bookmarkEnd w:id="1315"/>
      <w:bookmarkEnd w:id="1316"/>
    </w:p>
    <w:tbl>
      <w:tblPr>
        <w:tblStyle w:val="2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402"/>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供应商</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658"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响应报价（元）</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c>
          <w:tcPr>
            <w:tcW w:w="31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658"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rPr>
            </w:pP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质量</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服务期限</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440" w:firstLineChars="600"/>
              <w:jc w:val="both"/>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sz w:val="24"/>
                <w:szCs w:val="24"/>
                <w:lang w:eastAsia="zh-CN"/>
              </w:rPr>
              <w:t>备注</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pStyle w:val="37"/>
              <w:widowControl w:val="0"/>
              <w:autoSpaceDE w:val="0"/>
              <w:autoSpaceDN w:val="0"/>
              <w:spacing w:before="0" w:after="0" w:line="400" w:lineRule="exact"/>
              <w:jc w:val="center"/>
              <w:rPr>
                <w:rFonts w:hint="eastAsia" w:ascii="宋体" w:hAnsi="宋体" w:eastAsia="宋体" w:cs="宋体"/>
                <w:color w:val="0000FF"/>
                <w:sz w:val="24"/>
                <w:szCs w:val="24"/>
                <w:lang w:val="ru-RU" w:eastAsia="zh-CN" w:bidi="ar-SA"/>
              </w:rPr>
            </w:pPr>
          </w:p>
        </w:tc>
      </w:tr>
    </w:tbl>
    <w:p>
      <w:pPr>
        <w:rPr>
          <w:rFonts w:hint="eastAsia" w:ascii="宋体" w:hAnsi="宋体"/>
          <w:color w:val="auto"/>
          <w:szCs w:val="21"/>
        </w:rPr>
      </w:pPr>
    </w:p>
    <w:p>
      <w:pPr>
        <w:spacing w:line="360" w:lineRule="auto"/>
        <w:ind w:firstLine="2940" w:firstLineChars="1225"/>
        <w:rPr>
          <w:rFonts w:ascii="宋体" w:hAnsi="宋体" w:eastAsia="宋体" w:cs="宋体"/>
          <w:color w:val="000000"/>
          <w:sz w:val="24"/>
          <w:szCs w:val="24"/>
        </w:rPr>
      </w:pPr>
      <w:bookmarkStart w:id="1317" w:name="_Toc144974860"/>
      <w:bookmarkStart w:id="1318" w:name="_Toc152045791"/>
      <w:bookmarkStart w:id="1319" w:name="_Toc152042580"/>
      <w:bookmarkStart w:id="1320" w:name="_Toc287367268"/>
      <w:bookmarkStart w:id="1321" w:name="_Toc466298161"/>
      <w:bookmarkStart w:id="1322" w:name="_Toc2481"/>
      <w:bookmarkStart w:id="1323" w:name="_Toc31033"/>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firstLine="5100" w:firstLineChars="2125"/>
        <w:rPr>
          <w:rFonts w:hint="eastAsia" w:ascii="宋体" w:hAnsi="宋体" w:eastAsia="宋体" w:cs="宋体"/>
          <w:color w:val="000000"/>
          <w:sz w:val="24"/>
          <w:szCs w:val="24"/>
        </w:rPr>
      </w:pPr>
    </w:p>
    <w:p>
      <w:pPr>
        <w:spacing w:line="360" w:lineRule="auto"/>
        <w:ind w:firstLine="5100" w:firstLineChars="2125"/>
        <w:rPr>
          <w:rFonts w:hint="eastAsia" w:ascii="宋体" w:hAnsi="宋体" w:eastAsia="宋体" w:cs="宋体"/>
          <w:color w:val="000000"/>
          <w:sz w:val="24"/>
          <w:szCs w:val="24"/>
        </w:rPr>
        <w:sectPr>
          <w:headerReference r:id="rId11" w:type="default"/>
          <w:footerReference r:id="rId12" w:type="default"/>
          <w:pgSz w:w="11905" w:h="16838"/>
          <w:pgMar w:top="1440" w:right="1463" w:bottom="1440" w:left="1463" w:header="850" w:footer="850" w:gutter="0"/>
          <w:pgNumType w:fmt="decimal"/>
          <w:cols w:space="720" w:num="1"/>
          <w:docGrid w:type="lines" w:linePitch="411" w:charSpace="0"/>
        </w:sectPr>
      </w:pPr>
    </w:p>
    <w:p>
      <w:pPr>
        <w:pStyle w:val="33"/>
        <w:jc w:val="center"/>
        <w:outlineLvl w:val="1"/>
        <w:rPr>
          <w:rFonts w:hint="eastAsia" w:ascii="宋体" w:hAnsi="宋体"/>
          <w:b/>
          <w:color w:val="auto"/>
          <w:szCs w:val="28"/>
        </w:rPr>
      </w:pPr>
      <w:bookmarkStart w:id="1324" w:name="_Toc20535"/>
      <w:r>
        <w:rPr>
          <w:rFonts w:hint="eastAsia" w:ascii="宋体" w:hAnsi="宋体" w:eastAsia="宋体"/>
          <w:b/>
          <w:color w:val="auto"/>
          <w:szCs w:val="28"/>
        </w:rPr>
        <w:t>二、</w:t>
      </w:r>
      <w:bookmarkEnd w:id="1317"/>
      <w:bookmarkEnd w:id="1318"/>
      <w:bookmarkEnd w:id="1319"/>
      <w:bookmarkEnd w:id="1320"/>
      <w:r>
        <w:rPr>
          <w:rFonts w:hint="eastAsia" w:ascii="宋体" w:hAnsi="宋体" w:eastAsia="宋体"/>
          <w:b/>
          <w:color w:val="auto"/>
          <w:szCs w:val="28"/>
        </w:rPr>
        <w:t>法定代表</w:t>
      </w:r>
      <w:r>
        <w:rPr>
          <w:rFonts w:hint="eastAsia" w:ascii="宋体" w:hAnsi="宋体" w:eastAsia="宋体"/>
          <w:b/>
          <w:color w:val="auto"/>
          <w:szCs w:val="28"/>
          <w:lang w:eastAsia="zh-CN"/>
        </w:rPr>
        <w:t>人</w:t>
      </w:r>
      <w:r>
        <w:rPr>
          <w:rFonts w:hint="eastAsia" w:ascii="宋体" w:hAnsi="宋体" w:eastAsia="宋体"/>
          <w:b/>
          <w:color w:val="auto"/>
          <w:szCs w:val="28"/>
        </w:rPr>
        <w:t>身份证明</w:t>
      </w:r>
      <w:bookmarkEnd w:id="1321"/>
      <w:bookmarkEnd w:id="1322"/>
      <w:bookmarkEnd w:id="1323"/>
      <w:bookmarkEnd w:id="1324"/>
    </w:p>
    <w:p>
      <w:pPr>
        <w:spacing w:line="440" w:lineRule="exact"/>
        <w:jc w:val="center"/>
        <w:rPr>
          <w:rFonts w:hint="eastAsia" w:ascii="宋体" w:hAnsi="宋体" w:cs="宋体"/>
          <w:color w:val="auto"/>
          <w:szCs w:val="21"/>
        </w:rPr>
      </w:pPr>
    </w:p>
    <w:p>
      <w:pPr>
        <w:spacing w:line="360" w:lineRule="auto"/>
        <w:rPr>
          <w:rFonts w:hint="eastAsia"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w:t>
      </w:r>
    </w:p>
    <w:p>
      <w:pPr>
        <w:spacing w:line="360" w:lineRule="auto"/>
        <w:rPr>
          <w:rFonts w:hint="eastAsia"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年龄：</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（供应商名称）的法定代表人。</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特此证明。</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spacing w:line="360" w:lineRule="auto"/>
        <w:rPr>
          <w:rFonts w:hint="eastAsia" w:ascii="宋体" w:hAnsi="宋体" w:cs="宋体"/>
          <w:color w:val="auto"/>
          <w:sz w:val="24"/>
          <w:szCs w:val="24"/>
        </w:rPr>
      </w:pPr>
    </w:p>
    <w:p>
      <w:pPr>
        <w:spacing w:line="440" w:lineRule="exact"/>
        <w:rPr>
          <w:rFonts w:hint="eastAsia" w:ascii="宋体" w:hAnsi="宋体" w:cs="宋体"/>
          <w:color w:val="auto"/>
          <w:szCs w:val="21"/>
        </w:rPr>
      </w:pPr>
    </w:p>
    <w:p>
      <w:pPr>
        <w:spacing w:line="440" w:lineRule="exact"/>
        <w:jc w:val="right"/>
        <w:rPr>
          <w:rFonts w:hint="eastAsia" w:ascii="宋体" w:hAnsi="宋体" w:cs="宋体"/>
          <w:color w:val="auto"/>
          <w:sz w:val="24"/>
          <w:szCs w:val="24"/>
        </w:rPr>
      </w:pPr>
      <w:r>
        <w:rPr>
          <w:rFonts w:hint="eastAsia" w:ascii="宋体" w:hAnsi="宋体" w:cs="宋体"/>
          <w:color w:val="auto"/>
          <w:szCs w:val="21"/>
        </w:rPr>
        <w:t xml:space="preserve">                          </w:t>
      </w: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（单位电子签章）</w:t>
      </w:r>
    </w:p>
    <w:p>
      <w:pPr>
        <w:spacing w:line="440" w:lineRule="exact"/>
        <w:jc w:val="right"/>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日 </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pStyle w:val="3"/>
        <w:numPr>
          <w:ilvl w:val="1"/>
          <w:numId w:val="0"/>
        </w:numPr>
        <w:jc w:val="center"/>
        <w:rPr>
          <w:rFonts w:hint="eastAsia" w:ascii="Times New Roman" w:hAnsi="Times New Roman" w:eastAsia="宋体"/>
          <w:color w:val="auto"/>
          <w:sz w:val="28"/>
          <w:lang w:eastAsia="zh-CN"/>
        </w:rPr>
        <w:sectPr>
          <w:pgSz w:w="11905" w:h="16838"/>
          <w:pgMar w:top="1440" w:right="1463" w:bottom="1440" w:left="1463" w:header="850" w:footer="850" w:gutter="0"/>
          <w:pgNumType w:fmt="decimal"/>
          <w:cols w:space="720" w:num="1"/>
          <w:docGrid w:type="lines" w:linePitch="411" w:charSpace="0"/>
        </w:sectPr>
      </w:pPr>
      <w:bookmarkStart w:id="1325" w:name="_Toc318989765"/>
      <w:bookmarkStart w:id="1326" w:name="_Toc26203"/>
      <w:bookmarkStart w:id="1327" w:name="_Toc466298162"/>
      <w:bookmarkStart w:id="1328" w:name="_Toc4123"/>
      <w:bookmarkStart w:id="1329" w:name="_Toc202941490"/>
      <w:bookmarkStart w:id="1330" w:name="_Toc441791190"/>
    </w:p>
    <w:p>
      <w:pPr>
        <w:pStyle w:val="3"/>
        <w:numPr>
          <w:ilvl w:val="1"/>
          <w:numId w:val="0"/>
        </w:numPr>
        <w:jc w:val="center"/>
        <w:outlineLvl w:val="1"/>
        <w:rPr>
          <w:rFonts w:ascii="Times New Roman" w:hAnsi="Times New Roman" w:eastAsia="宋体"/>
          <w:color w:val="auto"/>
          <w:sz w:val="28"/>
        </w:rPr>
      </w:pPr>
      <w:bookmarkStart w:id="1331" w:name="_Toc21011"/>
      <w:r>
        <w:rPr>
          <w:rFonts w:hint="eastAsia" w:ascii="Times New Roman" w:hAnsi="Times New Roman" w:eastAsia="宋体"/>
          <w:color w:val="auto"/>
          <w:sz w:val="28"/>
          <w:lang w:eastAsia="zh-CN"/>
        </w:rPr>
        <w:t>三</w:t>
      </w:r>
      <w:r>
        <w:rPr>
          <w:rFonts w:ascii="Times New Roman" w:hAnsi="Times New Roman" w:eastAsia="宋体"/>
          <w:color w:val="auto"/>
          <w:sz w:val="28"/>
        </w:rPr>
        <w:t>、授权委托书</w:t>
      </w:r>
      <w:bookmarkEnd w:id="1325"/>
      <w:bookmarkEnd w:id="1326"/>
      <w:bookmarkEnd w:id="1327"/>
      <w:bookmarkEnd w:id="1328"/>
      <w:bookmarkEnd w:id="1329"/>
      <w:bookmarkEnd w:id="1330"/>
      <w:bookmarkEnd w:id="1331"/>
    </w:p>
    <w:p>
      <w:pPr>
        <w:topLinePunct/>
        <w:spacing w:line="440" w:lineRule="exact"/>
        <w:ind w:firstLine="420" w:firstLineChars="200"/>
        <w:rPr>
          <w:rFonts w:hint="eastAsia" w:ascii="宋体" w:hAnsi="宋体" w:cs="宋体"/>
          <w:color w:val="auto"/>
          <w:szCs w:val="21"/>
        </w:rPr>
      </w:pPr>
    </w:p>
    <w:p>
      <w:pPr>
        <w:topLinePunct/>
        <w:spacing w:line="440" w:lineRule="exact"/>
        <w:ind w:firstLine="420" w:firstLineChars="200"/>
        <w:rPr>
          <w:rFonts w:hint="eastAsia" w:ascii="宋体" w:hAnsi="宋体" w:cs="宋体"/>
          <w:color w:val="auto"/>
          <w:szCs w:val="21"/>
        </w:rPr>
      </w:pPr>
    </w:p>
    <w:p>
      <w:pPr>
        <w:topLinePunct/>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本人</w:t>
      </w:r>
      <w:r>
        <w:rPr>
          <w:rFonts w:hint="eastAsia" w:ascii="宋体" w:hAnsi="宋体" w:cs="宋体"/>
          <w:color w:val="auto"/>
          <w:sz w:val="24"/>
          <w:szCs w:val="24"/>
          <w:u w:val="single"/>
        </w:rPr>
        <w:t xml:space="preserve">       </w:t>
      </w:r>
      <w:r>
        <w:rPr>
          <w:rFonts w:hint="eastAsia" w:ascii="宋体" w:hAnsi="宋体" w:cs="宋体"/>
          <w:color w:val="auto"/>
          <w:sz w:val="24"/>
          <w:szCs w:val="24"/>
        </w:rPr>
        <w:t>（姓名）系</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（供应商名称）的法定代表人，现委托</w:t>
      </w:r>
      <w:r>
        <w:rPr>
          <w:rFonts w:hint="eastAsia" w:ascii="宋体" w:hAnsi="宋体" w:cs="宋体"/>
          <w:color w:val="auto"/>
          <w:sz w:val="24"/>
          <w:szCs w:val="24"/>
          <w:u w:val="single"/>
        </w:rPr>
        <w:t xml:space="preserve">        </w:t>
      </w:r>
      <w:r>
        <w:rPr>
          <w:rFonts w:hint="eastAsia" w:ascii="宋体" w:hAnsi="宋体" w:cs="宋体"/>
          <w:color w:val="auto"/>
          <w:sz w:val="24"/>
          <w:szCs w:val="24"/>
        </w:rPr>
        <w:t>（姓名）为我方代理人。代理人根据授权，以我方名义签署、澄清、说明、补正、递交、撤回、修改</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（项目名称）响应文件、签订合同和处理有关事宜，其法律后果由我方承担。</w:t>
      </w:r>
    </w:p>
    <w:p>
      <w:pPr>
        <w:spacing w:line="360" w:lineRule="auto"/>
        <w:rPr>
          <w:rFonts w:hint="eastAsia"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8"/>
        </w:rPr>
        <w:t>自本委托书签署之日起至</w:t>
      </w:r>
      <w:r>
        <w:rPr>
          <w:rFonts w:hint="eastAsia" w:ascii="宋体" w:hAnsi="宋体" w:cs="宋体"/>
          <w:color w:val="auto"/>
          <w:sz w:val="24"/>
          <w:szCs w:val="28"/>
          <w:lang w:eastAsia="zh-CN"/>
        </w:rPr>
        <w:t>磋商</w:t>
      </w:r>
      <w:r>
        <w:rPr>
          <w:rFonts w:hint="eastAsia" w:ascii="宋体" w:hAnsi="宋体" w:cs="宋体"/>
          <w:color w:val="auto"/>
          <w:sz w:val="24"/>
          <w:szCs w:val="28"/>
        </w:rPr>
        <w:t>有效期期满。</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代理人无转委托权。</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附：委托代理人身份证复印件</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 w:val="24"/>
          <w:szCs w:val="24"/>
          <w:lang w:eastAsia="zh-CN"/>
        </w:rPr>
        <w:t>投标</w:t>
      </w: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（单位电子签章）</w:t>
      </w:r>
    </w:p>
    <w:p>
      <w:pPr>
        <w:tabs>
          <w:tab w:val="left" w:pos="3570"/>
        </w:tabs>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（电子签名或盖章）</w:t>
      </w:r>
    </w:p>
    <w:p>
      <w:pPr>
        <w:tabs>
          <w:tab w:val="left" w:pos="3570"/>
        </w:tabs>
        <w:spacing w:line="360" w:lineRule="auto"/>
        <w:ind w:left="0" w:leftChars="0" w:firstLine="2160" w:firstLineChars="900"/>
        <w:rPr>
          <w:rFonts w:hint="eastAsia"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（电子签名或盖章）</w:t>
      </w:r>
    </w:p>
    <w:p>
      <w:pPr>
        <w:spacing w:line="360" w:lineRule="auto"/>
        <w:ind w:left="0" w:leftChars="0" w:firstLine="2160" w:firstLineChars="900"/>
        <w:rPr>
          <w:rFonts w:hint="eastAsia"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spacing w:line="360" w:lineRule="auto"/>
        <w:jc w:val="right"/>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440" w:lineRule="exact"/>
        <w:rPr>
          <w:rFonts w:hint="eastAsia" w:ascii="宋体" w:hAnsi="宋体" w:cs="宋体"/>
          <w:color w:val="auto"/>
          <w:szCs w:val="21"/>
        </w:rPr>
      </w:pPr>
    </w:p>
    <w:p>
      <w:pPr>
        <w:pStyle w:val="7"/>
        <w:rPr>
          <w:rFonts w:hint="eastAsia"/>
          <w:color w:val="auto"/>
        </w:rPr>
      </w:pPr>
    </w:p>
    <w:p>
      <w:pPr>
        <w:pStyle w:val="18"/>
        <w:rPr>
          <w:rFonts w:hint="eastAsia"/>
          <w:color w:val="auto"/>
        </w:rPr>
      </w:pPr>
    </w:p>
    <w:p>
      <w:pPr>
        <w:pStyle w:val="7"/>
        <w:rPr>
          <w:rFonts w:hint="eastAsia"/>
          <w:color w:val="auto"/>
        </w:rPr>
      </w:pPr>
    </w:p>
    <w:p>
      <w:pPr>
        <w:pStyle w:val="18"/>
        <w:rPr>
          <w:rFonts w:hint="eastAsia"/>
          <w:color w:val="auto"/>
        </w:rPr>
      </w:pPr>
    </w:p>
    <w:p>
      <w:pPr>
        <w:pStyle w:val="7"/>
        <w:rPr>
          <w:rFonts w:hint="eastAsia"/>
        </w:rPr>
      </w:pPr>
    </w:p>
    <w:p>
      <w:pPr>
        <w:pStyle w:val="7"/>
        <w:rPr>
          <w:rFonts w:hint="eastAsia"/>
        </w:rPr>
      </w:pPr>
    </w:p>
    <w:p>
      <w:pPr>
        <w:pStyle w:val="21"/>
        <w:ind w:firstLine="540" w:firstLineChars="192"/>
        <w:jc w:val="center"/>
        <w:outlineLvl w:val="1"/>
        <w:rPr>
          <w:rFonts w:ascii="宋体" w:hAnsi="宋体" w:eastAsia="宋体" w:cs="宋体"/>
          <w:b/>
          <w:color w:val="000000"/>
          <w:sz w:val="28"/>
          <w:szCs w:val="28"/>
        </w:rPr>
      </w:pPr>
      <w:bookmarkStart w:id="1332" w:name="_Toc19003"/>
      <w:bookmarkStart w:id="1333" w:name="_Toc25801"/>
      <w:bookmarkStart w:id="1334" w:name="_Toc475624458"/>
      <w:bookmarkStart w:id="1335" w:name="_Toc5437"/>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、商务及技术偏差表</w:t>
      </w:r>
      <w:bookmarkEnd w:id="1332"/>
      <w:bookmarkEnd w:id="1333"/>
    </w:p>
    <w:p>
      <w:pPr>
        <w:pStyle w:val="21"/>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3"/>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pPr>
              <w:pStyle w:val="36"/>
              <w:spacing w:line="500" w:lineRule="exact"/>
              <w:ind w:right="223" w:firstLine="0" w:firstLineChars="0"/>
              <w:jc w:val="center"/>
              <w:rPr>
                <w:rFonts w:hint="default"/>
                <w:bCs/>
                <w:sz w:val="24"/>
                <w:szCs w:val="24"/>
              </w:rPr>
            </w:pPr>
            <w:r>
              <w:rPr>
                <w:rFonts w:cs="宋体"/>
                <w:bCs/>
                <w:sz w:val="24"/>
                <w:szCs w:val="24"/>
              </w:rPr>
              <w:t xml:space="preserve"> 序号</w:t>
            </w:r>
          </w:p>
        </w:tc>
        <w:tc>
          <w:tcPr>
            <w:tcW w:w="1688" w:type="dxa"/>
            <w:vAlign w:val="center"/>
          </w:tcPr>
          <w:p>
            <w:pPr>
              <w:pStyle w:val="36"/>
              <w:spacing w:line="500" w:lineRule="exact"/>
              <w:ind w:firstLine="0" w:firstLineChars="0"/>
              <w:jc w:val="center"/>
              <w:rPr>
                <w:rFonts w:hint="default"/>
                <w:bCs/>
                <w:sz w:val="24"/>
                <w:szCs w:val="24"/>
              </w:rPr>
            </w:pPr>
            <w:r>
              <w:rPr>
                <w:rFonts w:cs="宋体"/>
                <w:bCs/>
                <w:sz w:val="24"/>
                <w:szCs w:val="24"/>
              </w:rPr>
              <w:t>项目内容</w:t>
            </w:r>
          </w:p>
        </w:tc>
        <w:tc>
          <w:tcPr>
            <w:tcW w:w="2517" w:type="dxa"/>
            <w:vAlign w:val="center"/>
          </w:tcPr>
          <w:p>
            <w:pPr>
              <w:pStyle w:val="36"/>
              <w:spacing w:line="500" w:lineRule="exact"/>
              <w:ind w:firstLine="0" w:firstLineChars="0"/>
              <w:jc w:val="center"/>
              <w:rPr>
                <w:rFonts w:hint="default"/>
                <w:bCs/>
                <w:sz w:val="24"/>
                <w:szCs w:val="24"/>
              </w:rPr>
            </w:pPr>
            <w:r>
              <w:rPr>
                <w:rFonts w:cs="宋体"/>
                <w:bCs/>
                <w:sz w:val="24"/>
                <w:szCs w:val="24"/>
              </w:rPr>
              <w:t>招标文件要求</w:t>
            </w:r>
          </w:p>
        </w:tc>
        <w:tc>
          <w:tcPr>
            <w:tcW w:w="2517" w:type="dxa"/>
            <w:vAlign w:val="center"/>
          </w:tcPr>
          <w:p>
            <w:pPr>
              <w:pStyle w:val="36"/>
              <w:spacing w:line="500" w:lineRule="exact"/>
              <w:ind w:firstLine="720" w:firstLineChars="300"/>
              <w:jc w:val="both"/>
              <w:rPr>
                <w:rFonts w:hint="default"/>
                <w:bCs/>
                <w:sz w:val="24"/>
                <w:szCs w:val="24"/>
              </w:rPr>
            </w:pPr>
            <w:r>
              <w:rPr>
                <w:rFonts w:hint="eastAsia" w:cs="宋体"/>
                <w:bCs/>
                <w:sz w:val="24"/>
                <w:szCs w:val="24"/>
                <w:lang w:eastAsia="zh-CN"/>
              </w:rPr>
              <w:t>响应</w:t>
            </w:r>
            <w:r>
              <w:rPr>
                <w:rFonts w:cs="宋体"/>
                <w:bCs/>
                <w:sz w:val="24"/>
                <w:szCs w:val="24"/>
              </w:rPr>
              <w:t>文件响应</w:t>
            </w:r>
          </w:p>
        </w:tc>
        <w:tc>
          <w:tcPr>
            <w:tcW w:w="1416" w:type="dxa"/>
            <w:vAlign w:val="center"/>
          </w:tcPr>
          <w:p>
            <w:pPr>
              <w:pStyle w:val="36"/>
              <w:spacing w:line="500" w:lineRule="exact"/>
              <w:ind w:firstLine="240" w:firstLineChars="100"/>
              <w:jc w:val="both"/>
              <w:rPr>
                <w:rFonts w:hint="default"/>
                <w:bCs/>
                <w:sz w:val="24"/>
                <w:szCs w:val="24"/>
              </w:rPr>
            </w:pPr>
            <w:r>
              <w:rPr>
                <w:rFonts w:cs="宋体"/>
                <w:bCs/>
                <w:sz w:val="24"/>
                <w:szCs w:val="24"/>
              </w:rPr>
              <w:t>偏差结论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lang w:eastAsia="zh-CN"/>
              </w:rPr>
              <w:t>磋商</w:t>
            </w:r>
            <w:r>
              <w:rPr>
                <w:rFonts w:hint="eastAsia" w:ascii="宋体" w:hAnsi="宋体" w:eastAsia="宋体" w:cs="宋体"/>
                <w:bCs/>
                <w:sz w:val="24"/>
                <w:szCs w:val="24"/>
              </w:rPr>
              <w:t>内容</w:t>
            </w: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pPr>
              <w:spacing w:line="500" w:lineRule="exact"/>
              <w:ind w:firstLine="0" w:firstLineChars="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服务期限</w:t>
            </w: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hint="eastAsia" w:ascii="宋体" w:hAnsi="宋体" w:eastAsia="宋体" w:cs="宋体"/>
                <w:bCs/>
                <w:sz w:val="24"/>
                <w:szCs w:val="24"/>
                <w:lang w:eastAsia="zh-CN"/>
              </w:rPr>
            </w:pPr>
            <w:r>
              <w:rPr>
                <w:rFonts w:hint="eastAsia" w:ascii="宋体" w:hAnsi="宋体" w:eastAsia="宋体"/>
                <w:color w:val="000000"/>
                <w:sz w:val="24"/>
                <w:szCs w:val="24"/>
                <w:lang w:val="en-US" w:eastAsia="zh-CN"/>
              </w:rPr>
              <w:t>3</w:t>
            </w:r>
          </w:p>
        </w:tc>
        <w:tc>
          <w:tcPr>
            <w:tcW w:w="1688" w:type="dxa"/>
            <w:vAlign w:val="center"/>
          </w:tcPr>
          <w:p>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磋商</w:t>
            </w:r>
            <w:r>
              <w:rPr>
                <w:rFonts w:hint="eastAsia" w:ascii="宋体" w:hAnsi="宋体" w:eastAsia="宋体" w:cs="宋体"/>
                <w:bCs/>
                <w:sz w:val="24"/>
                <w:szCs w:val="24"/>
              </w:rPr>
              <w:t>有效期</w:t>
            </w: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hint="eastAsia" w:ascii="宋体" w:hAnsi="宋体" w:eastAsia="宋体" w:cs="宋体"/>
                <w:bCs/>
                <w:sz w:val="24"/>
                <w:szCs w:val="24"/>
                <w:lang w:eastAsia="zh-CN"/>
              </w:rPr>
            </w:pPr>
            <w:r>
              <w:rPr>
                <w:rFonts w:hint="eastAsia" w:ascii="宋体" w:hAnsi="宋体" w:eastAsia="宋体"/>
                <w:color w:val="000000"/>
                <w:sz w:val="24"/>
                <w:szCs w:val="24"/>
                <w:lang w:val="en-US" w:eastAsia="zh-CN"/>
              </w:rPr>
              <w:t>4</w:t>
            </w:r>
          </w:p>
        </w:tc>
        <w:tc>
          <w:tcPr>
            <w:tcW w:w="1688" w:type="dxa"/>
            <w:vAlign w:val="center"/>
          </w:tcPr>
          <w:p>
            <w:pPr>
              <w:spacing w:line="500" w:lineRule="exact"/>
              <w:ind w:left="0" w:leftChars="0" w:firstLine="240" w:firstLineChars="100"/>
              <w:rPr>
                <w:rFonts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hint="eastAsia" w:ascii="宋体" w:hAnsi="宋体" w:eastAsia="宋体" w:cs="宋体"/>
                <w:bCs/>
                <w:i/>
                <w:sz w:val="24"/>
                <w:szCs w:val="24"/>
                <w:lang w:eastAsia="zh-CN"/>
              </w:rPr>
            </w:pPr>
            <w:r>
              <w:rPr>
                <w:rFonts w:hint="eastAsia" w:ascii="宋体" w:hAnsi="宋体" w:eastAsia="宋体"/>
                <w:color w:val="000000"/>
                <w:sz w:val="24"/>
                <w:szCs w:val="24"/>
                <w:lang w:val="en-US" w:eastAsia="zh-CN"/>
              </w:rPr>
              <w:t>5</w:t>
            </w:r>
          </w:p>
        </w:tc>
        <w:tc>
          <w:tcPr>
            <w:tcW w:w="1688" w:type="dxa"/>
            <w:vAlign w:val="center"/>
          </w:tcPr>
          <w:p>
            <w:pPr>
              <w:spacing w:line="500" w:lineRule="exact"/>
              <w:ind w:left="0" w:leftChars="0" w:firstLine="240" w:firstLineChars="100"/>
              <w:rPr>
                <w:rFonts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hint="eastAsia" w:ascii="宋体" w:hAnsi="宋体" w:eastAsiaTheme="minorEastAsia"/>
                <w:color w:val="000000"/>
                <w:sz w:val="24"/>
                <w:szCs w:val="28"/>
                <w:lang w:eastAsia="zh-CN"/>
              </w:rPr>
            </w:pPr>
            <w:r>
              <w:rPr>
                <w:rFonts w:hint="eastAsia" w:ascii="宋体" w:hAnsi="宋体"/>
                <w:color w:val="000000"/>
                <w:sz w:val="24"/>
                <w:szCs w:val="28"/>
                <w:lang w:val="en-US" w:eastAsia="zh-CN"/>
              </w:rPr>
              <w:t>6</w:t>
            </w:r>
          </w:p>
        </w:tc>
        <w:tc>
          <w:tcPr>
            <w:tcW w:w="1688" w:type="dxa"/>
            <w:vAlign w:val="center"/>
          </w:tcPr>
          <w:p>
            <w:pPr>
              <w:spacing w:line="500" w:lineRule="exact"/>
              <w:ind w:firstLine="480"/>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2517"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bl>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2"/>
      </w:pPr>
    </w:p>
    <w:p>
      <w:pPr>
        <w:spacing w:line="360" w:lineRule="auto"/>
        <w:ind w:firstLine="1680" w:firstLineChars="700"/>
        <w:rPr>
          <w:rFonts w:hint="eastAsia" w:ascii="宋体" w:hAnsi="宋体" w:eastAsia="宋体" w:cs="宋体"/>
          <w:color w:val="000000"/>
          <w:sz w:val="24"/>
          <w:szCs w:val="24"/>
        </w:rPr>
      </w:pPr>
    </w:p>
    <w:p>
      <w:pPr>
        <w:spacing w:line="360" w:lineRule="auto"/>
        <w:ind w:firstLine="1680" w:firstLineChars="700"/>
        <w:rPr>
          <w:rFonts w:hint="eastAsia"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1"/>
        <w:ind w:firstLine="403" w:firstLineChars="192"/>
        <w:jc w:val="center"/>
        <w:rPr>
          <w:rFonts w:ascii="宋体" w:hAnsi="宋体" w:eastAsia="宋体" w:cs="宋体"/>
          <w:color w:val="000000"/>
          <w:szCs w:val="21"/>
        </w:rPr>
      </w:pPr>
    </w:p>
    <w:p>
      <w:pPr>
        <w:pStyle w:val="22"/>
        <w:rPr>
          <w:rFonts w:ascii="宋体" w:hAnsi="宋体" w:eastAsia="宋体" w:cs="宋体"/>
          <w:color w:val="000000"/>
          <w:szCs w:val="21"/>
        </w:rPr>
      </w:pPr>
    </w:p>
    <w:p>
      <w:pPr>
        <w:rPr>
          <w:rFonts w:ascii="宋体" w:hAnsi="宋体" w:eastAsia="宋体" w:cs="宋体"/>
          <w:color w:val="000000"/>
          <w:szCs w:val="21"/>
        </w:rPr>
      </w:pPr>
    </w:p>
    <w:p>
      <w:pPr>
        <w:pStyle w:val="21"/>
        <w:rPr>
          <w:rFonts w:ascii="宋体" w:hAnsi="宋体" w:eastAsia="宋体" w:cs="宋体"/>
          <w:color w:val="000000"/>
          <w:szCs w:val="21"/>
        </w:rPr>
      </w:pPr>
    </w:p>
    <w:p>
      <w:pPr>
        <w:pStyle w:val="21"/>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3"/>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lang w:eastAsia="zh-CN"/>
              </w:rPr>
              <w:t>服务内容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vMerge w:val="restart"/>
            <w:tcBorders>
              <w:top w:val="single" w:color="auto" w:sz="4" w:space="0"/>
              <w:left w:val="single" w:color="auto" w:sz="4" w:space="0"/>
              <w:right w:val="single" w:color="auto" w:sz="4" w:space="0"/>
            </w:tcBorders>
          </w:tcPr>
          <w:p>
            <w:pPr>
              <w:ind w:left="0" w:leftChars="0" w:firstLine="0" w:firstLineChars="0"/>
              <w:rPr>
                <w:rFonts w:ascii="宋体" w:hAnsi="宋体" w:eastAsia="宋体" w:cs="宋体"/>
                <w:sz w:val="24"/>
                <w:szCs w:val="24"/>
              </w:rPr>
            </w:pPr>
            <w:r>
              <w:rPr>
                <w:rFonts w:hint="eastAsia" w:ascii="宋体" w:hAnsi="宋体" w:eastAsia="宋体" w:cs="宋体"/>
                <w:sz w:val="24"/>
                <w:szCs w:val="24"/>
              </w:rPr>
              <w:t>编制信阳市息县突发环境事件应急预案，并组织策划信阳市息县突发环境事件应急演练等服务内容</w:t>
            </w: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vMerge w:val="continue"/>
            <w:tcBorders>
              <w:left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vMerge w:val="continue"/>
            <w:tcBorders>
              <w:left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vMerge w:val="continue"/>
            <w:tcBorders>
              <w:left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vMerge w:val="continue"/>
            <w:tcBorders>
              <w:left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vMerge w:val="continue"/>
            <w:tcBorders>
              <w:left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vMerge w:val="continue"/>
            <w:tcBorders>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pPr>
        <w:spacing w:line="360" w:lineRule="auto"/>
        <w:ind w:firstLine="241" w:firstLineChars="100"/>
        <w:rPr>
          <w:rFonts w:hint="eastAsia" w:eastAsia="宋体" w:cs="宋体"/>
          <w:b/>
          <w:color w:val="000000"/>
          <w:sz w:val="24"/>
          <w:szCs w:val="24"/>
        </w:rPr>
      </w:pPr>
    </w:p>
    <w:p>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w:t>
      </w:r>
      <w:r>
        <w:rPr>
          <w:rFonts w:hint="eastAsia" w:ascii="宋体" w:hAnsi="宋体" w:eastAsia="宋体" w:cs="宋体"/>
          <w:b w:val="0"/>
          <w:bCs/>
          <w:color w:val="000000"/>
          <w:sz w:val="24"/>
          <w:szCs w:val="24"/>
          <w:lang w:eastAsia="zh-CN"/>
        </w:rPr>
        <w:t>磋商</w:t>
      </w:r>
      <w:r>
        <w:rPr>
          <w:rFonts w:hint="eastAsia" w:ascii="宋体" w:hAnsi="宋体" w:eastAsia="宋体" w:cs="宋体"/>
          <w:b w:val="0"/>
          <w:bCs/>
          <w:color w:val="000000"/>
          <w:sz w:val="24"/>
          <w:szCs w:val="24"/>
        </w:rPr>
        <w:t>文件的全部要求</w:t>
      </w:r>
      <w:r>
        <w:rPr>
          <w:rFonts w:hint="eastAsia" w:eastAsia="宋体" w:cs="宋体"/>
          <w:b w:val="0"/>
          <w:bCs/>
          <w:color w:val="000000"/>
          <w:sz w:val="24"/>
          <w:szCs w:val="24"/>
        </w:rPr>
        <w:t>。投标供应商须在投标文件中提供相关承诺，格式自拟，否则投标将被否决。</w:t>
      </w:r>
    </w:p>
    <w:p>
      <w:pPr>
        <w:pStyle w:val="41"/>
        <w:ind w:firstLine="420"/>
      </w:pPr>
    </w:p>
    <w:p>
      <w:pPr>
        <w:pStyle w:val="41"/>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1"/>
        <w:spacing w:line="400" w:lineRule="exact"/>
        <w:ind w:firstLine="281"/>
        <w:jc w:val="center"/>
        <w:outlineLvl w:val="1"/>
        <w:rPr>
          <w:rFonts w:ascii="宋体" w:hAnsi="宋体" w:eastAsia="宋体" w:cs="宋体"/>
          <w:b/>
          <w:color w:val="000000"/>
          <w:sz w:val="28"/>
          <w:szCs w:val="28"/>
        </w:rPr>
      </w:pPr>
      <w:r>
        <w:rPr>
          <w:color w:val="auto"/>
        </w:rPr>
        <w:br w:type="page"/>
      </w:r>
      <w:bookmarkStart w:id="1336" w:name="_Toc15736"/>
      <w:bookmarkStart w:id="1337" w:name="_Toc30207"/>
      <w:bookmarkStart w:id="1338" w:name="_Toc1183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1336"/>
      <w:bookmarkEnd w:id="1337"/>
    </w:p>
    <w:p>
      <w:pPr>
        <w:pStyle w:val="21"/>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3"/>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pPr>
              <w:spacing w:line="400" w:lineRule="exact"/>
              <w:ind w:firstLine="480"/>
              <w:rPr>
                <w:rFonts w:ascii="宋体" w:hAnsi="宋体" w:eastAsia="宋体" w:cs="宋体"/>
                <w:color w:val="000000"/>
                <w:sz w:val="24"/>
                <w:szCs w:val="24"/>
              </w:rPr>
            </w:pP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pPr>
              <w:spacing w:line="400" w:lineRule="exact"/>
              <w:ind w:firstLine="480"/>
              <w:jc w:val="center"/>
              <w:rPr>
                <w:rFonts w:ascii="宋体" w:hAnsi="宋体" w:eastAsia="宋体" w:cs="宋体"/>
                <w:color w:val="000000"/>
                <w:sz w:val="24"/>
                <w:szCs w:val="24"/>
              </w:rPr>
            </w:pPr>
          </w:p>
        </w:tc>
        <w:tc>
          <w:tcPr>
            <w:tcW w:w="1412"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pPr>
              <w:spacing w:line="400" w:lineRule="exact"/>
              <w:ind w:firstLine="480"/>
              <w:jc w:val="center"/>
              <w:rPr>
                <w:rFonts w:ascii="宋体" w:hAnsi="宋体" w:eastAsia="宋体" w:cs="宋体"/>
                <w:color w:val="000000"/>
                <w:sz w:val="24"/>
                <w:szCs w:val="24"/>
              </w:rPr>
            </w:pPr>
          </w:p>
        </w:tc>
        <w:tc>
          <w:tcPr>
            <w:tcW w:w="85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193" w:type="dxa"/>
            <w:gridSpan w:val="6"/>
          </w:tcPr>
          <w:p>
            <w:pPr>
              <w:spacing w:line="400" w:lineRule="exact"/>
              <w:ind w:firstLine="480"/>
              <w:rPr>
                <w:rFonts w:ascii="宋体" w:hAnsi="宋体" w:eastAsia="宋体" w:cs="宋体"/>
                <w:color w:val="000000"/>
                <w:sz w:val="24"/>
                <w:szCs w:val="24"/>
              </w:rPr>
            </w:pPr>
          </w:p>
        </w:tc>
      </w:tr>
    </w:tbl>
    <w:p>
      <w:pPr>
        <w:spacing w:line="400" w:lineRule="exact"/>
        <w:ind w:firstLine="420"/>
        <w:rPr>
          <w:rFonts w:ascii="宋体" w:hAnsi="宋体" w:eastAsia="宋体" w:cs="宋体"/>
          <w:color w:val="000000"/>
          <w:szCs w:val="21"/>
        </w:rPr>
      </w:pPr>
    </w:p>
    <w:p>
      <w:pPr>
        <w:pStyle w:val="21"/>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应根据</w:t>
      </w:r>
      <w:r>
        <w:rPr>
          <w:rFonts w:hint="eastAsia" w:ascii="宋体" w:hAnsi="宋体" w:eastAsia="宋体" w:cs="宋体"/>
          <w:b w:val="0"/>
          <w:bCs w:val="0"/>
          <w:color w:val="000000"/>
          <w:sz w:val="24"/>
          <w:szCs w:val="24"/>
          <w:lang w:eastAsia="zh-CN"/>
        </w:rPr>
        <w:t>投标供应商</w:t>
      </w:r>
      <w:r>
        <w:rPr>
          <w:rFonts w:hint="eastAsia" w:ascii="宋体" w:hAnsi="宋体" w:eastAsia="宋体" w:cs="宋体"/>
          <w:b w:val="0"/>
          <w:bCs w:val="0"/>
          <w:color w:val="000000"/>
          <w:sz w:val="24"/>
          <w:szCs w:val="24"/>
        </w:rPr>
        <w:t>须知“</w:t>
      </w:r>
      <w:r>
        <w:rPr>
          <w:rFonts w:hint="eastAsia" w:ascii="宋体" w:hAnsi="宋体" w:eastAsia="宋体" w:cs="宋体"/>
          <w:b w:val="0"/>
          <w:bCs w:val="0"/>
          <w:color w:val="000000"/>
          <w:sz w:val="24"/>
          <w:szCs w:val="24"/>
          <w:lang w:eastAsia="zh-CN"/>
        </w:rPr>
        <w:t>投标供应商</w:t>
      </w:r>
      <w:r>
        <w:rPr>
          <w:rFonts w:hint="eastAsia" w:ascii="宋体" w:hAnsi="宋体" w:eastAsia="宋体" w:cs="宋体"/>
          <w:b w:val="0"/>
          <w:bCs w:val="0"/>
          <w:color w:val="000000"/>
          <w:sz w:val="24"/>
          <w:szCs w:val="24"/>
        </w:rPr>
        <w:t>资格要求”在本表后附供应商信用承诺函。</w:t>
      </w:r>
    </w:p>
    <w:p>
      <w:pPr>
        <w:pStyle w:val="21"/>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jc w:val="center"/>
        <w:rPr>
          <w:rFonts w:hint="eastAsia" w:ascii="Times New Roman" w:hAnsi="Times New Roman" w:eastAsia="宋体"/>
          <w:b/>
          <w:bCs/>
          <w:color w:val="auto"/>
          <w:sz w:val="28"/>
          <w:lang w:val="en-US" w:eastAsia="zh-CN"/>
        </w:rPr>
      </w:pPr>
      <w:r>
        <w:rPr>
          <w:rFonts w:hint="eastAsia" w:ascii="Times New Roman" w:hAnsi="Times New Roman" w:eastAsia="宋体"/>
          <w:b/>
          <w:bCs/>
          <w:color w:val="auto"/>
          <w:sz w:val="28"/>
          <w:lang w:val="en-US" w:eastAsia="zh-CN"/>
        </w:rPr>
        <w:t>.</w:t>
      </w:r>
    </w:p>
    <w:bookmarkEnd w:id="1334"/>
    <w:bookmarkEnd w:id="1335"/>
    <w:bookmarkEnd w:id="1338"/>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bCs/>
          <w:kern w:val="0"/>
          <w:sz w:val="24"/>
          <w:szCs w:val="24"/>
          <w:lang w:val="en-US" w:eastAsia="zh-CN" w:bidi="ar"/>
        </w:rPr>
      </w:pPr>
      <w:bookmarkStart w:id="1339" w:name="_Toc456185720"/>
      <w:r>
        <w:rPr>
          <w:rFonts w:hint="eastAsia" w:ascii="宋体" w:hAnsi="宋体" w:eastAsia="宋体" w:cs="宋体"/>
          <w:b/>
          <w:bCs/>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息县政府采购供应商信用承诺函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pStyle w:val="21"/>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20" w:firstLineChars="3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1、供应商须在响应文件中按此模板提供承诺函，未提供视为未实质性响应招标文件要求，按无效投标处理。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2、供应商的法定代表人或者授权代表的签字或盖章应真实、有效，如由授权代表签字或盖章的，应提供“法定代表人授权书”。</w:t>
      </w:r>
    </w:p>
    <w:p>
      <w:pPr>
        <w:spacing w:before="312" w:beforeLines="100" w:after="156" w:afterLines="50"/>
        <w:rPr>
          <w:rFonts w:hint="eastAsia" w:ascii="宋体" w:hAnsi="宋体"/>
          <w:b/>
          <w:color w:val="auto"/>
          <w:szCs w:val="21"/>
        </w:rPr>
      </w:pPr>
    </w:p>
    <w:bookmarkEnd w:id="1339"/>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outlineLvl w:val="1"/>
        <w:rPr>
          <w:rFonts w:hint="eastAsia" w:ascii="宋体" w:hAnsi="宋体" w:eastAsia="宋体" w:cs="宋体"/>
          <w:color w:val="000000"/>
          <w:sz w:val="21"/>
          <w:szCs w:val="21"/>
          <w:lang w:eastAsia="zh-CN"/>
        </w:rPr>
      </w:pPr>
      <w:bookmarkStart w:id="1340" w:name="_Toc13290"/>
      <w:bookmarkStart w:id="1341" w:name="_Toc10361"/>
      <w:bookmarkStart w:id="1342" w:name="_Toc29899"/>
      <w:bookmarkStart w:id="1343" w:name="_Toc525210052"/>
      <w:r>
        <w:rPr>
          <w:rFonts w:hint="eastAsia" w:ascii="宋体" w:hAnsi="宋体" w:eastAsia="宋体" w:cs="宋体"/>
          <w:b/>
          <w:bCs/>
          <w:color w:val="000000"/>
          <w:sz w:val="28"/>
          <w:szCs w:val="28"/>
          <w:lang w:eastAsia="zh-CN"/>
        </w:rPr>
        <w:t>六、中小企业声明函（服务类）</w:t>
      </w:r>
      <w:bookmarkEnd w:id="1340"/>
      <w:bookmarkEnd w:id="1341"/>
      <w:bookmarkEnd w:id="1342"/>
    </w:p>
    <w:p>
      <w:pPr>
        <w:pStyle w:val="21"/>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8"/>
        <w:rPr>
          <w:rFonts w:hint="eastAsia" w:ascii="宋体" w:hAnsi="宋体" w:eastAsia="宋体" w:cs="宋体"/>
          <w:sz w:val="24"/>
          <w:szCs w:val="24"/>
        </w:rPr>
      </w:pPr>
    </w:p>
    <w:p>
      <w:pPr>
        <w:pStyle w:val="7"/>
        <w:rPr>
          <w:rFonts w:hint="eastAsia"/>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rPr>
          <w:rFonts w:hint="eastAsia" w:hAnsi="宋体" w:cs="宋体"/>
          <w:b/>
          <w:bCs/>
          <w:color w:val="000000"/>
          <w:kern w:val="2"/>
          <w:sz w:val="24"/>
          <w:szCs w:val="24"/>
          <w:lang w:val="en-US" w:eastAsia="zh-CN" w:bidi="ar-SA"/>
        </w:rPr>
      </w:pPr>
    </w:p>
    <w:p>
      <w:pPr>
        <w:pStyle w:val="27"/>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27"/>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5"/>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sectPr>
          <w:pgSz w:w="11906" w:h="16838"/>
          <w:pgMar w:top="1440" w:right="1800" w:bottom="1440" w:left="1800" w:header="851" w:footer="992" w:gutter="0"/>
          <w:pgNumType w:fmt="decimal"/>
          <w:cols w:space="425" w:num="1"/>
          <w:docGrid w:type="lines" w:linePitch="312" w:charSpace="0"/>
        </w:sectPr>
      </w:pPr>
      <w:bookmarkStart w:id="1344" w:name="_Toc1903"/>
      <w:bookmarkStart w:id="1345" w:name="_Toc13396"/>
      <w:bookmarkStart w:id="1346" w:name="_Toc13297"/>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1344"/>
      <w:bookmarkEnd w:id="1345"/>
      <w:bookmarkEnd w:id="1346"/>
    </w:p>
    <w:p>
      <w:pPr>
        <w:spacing w:line="360" w:lineRule="auto"/>
        <w:ind w:firstLine="562"/>
        <w:jc w:val="center"/>
        <w:outlineLvl w:val="1"/>
        <w:rPr>
          <w:rFonts w:ascii="宋体" w:hAnsi="宋体" w:eastAsia="宋体" w:cs="宋体"/>
          <w:color w:val="000000"/>
          <w:kern w:val="0"/>
          <w:szCs w:val="21"/>
        </w:rPr>
      </w:pPr>
      <w:bookmarkStart w:id="1347" w:name="_Toc30275"/>
      <w:r>
        <w:rPr>
          <w:rFonts w:hint="eastAsia" w:ascii="宋体" w:hAnsi="宋体" w:eastAsia="宋体" w:cs="宋体"/>
          <w:b/>
          <w:bCs/>
          <w:color w:val="000000"/>
          <w:sz w:val="28"/>
          <w:szCs w:val="28"/>
          <w:lang w:eastAsia="zh-CN"/>
        </w:rPr>
        <w:t>七</w:t>
      </w:r>
      <w:r>
        <w:rPr>
          <w:rFonts w:hint="eastAsia" w:ascii="宋体" w:hAnsi="宋体" w:eastAsia="宋体" w:cs="宋体"/>
          <w:b/>
          <w:bCs/>
          <w:color w:val="000000"/>
          <w:sz w:val="28"/>
          <w:szCs w:val="28"/>
        </w:rPr>
        <w:t>、残疾人福利性单位声明函</w:t>
      </w:r>
      <w:bookmarkEnd w:id="1343"/>
      <w:bookmarkEnd w:id="1347"/>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41"/>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（符合/不符合）</w:t>
      </w:r>
      <w:r>
        <w:rPr>
          <w:rFonts w:hint="eastAsia" w:ascii="宋体" w:hAnsi="宋体" w:eastAsia="宋体" w:cs="宋体"/>
          <w:color w:val="000000"/>
          <w:sz w:val="24"/>
          <w:szCs w:val="24"/>
        </w:rPr>
        <w:t>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2"/>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27"/>
        <w:rPr>
          <w:rFonts w:hAnsi="宋体"/>
          <w:b/>
          <w:kern w:val="2"/>
          <w:sz w:val="21"/>
          <w:szCs w:val="21"/>
        </w:rPr>
      </w:pPr>
    </w:p>
    <w:p>
      <w:pPr>
        <w:pStyle w:val="16"/>
        <w:ind w:firstLine="422"/>
        <w:rPr>
          <w:rFonts w:ascii="宋体" w:hAnsi="宋体" w:eastAsia="宋体" w:cs="宋体"/>
          <w:b/>
          <w:color w:val="000000"/>
          <w:sz w:val="21"/>
          <w:szCs w:val="21"/>
        </w:rPr>
      </w:pPr>
    </w:p>
    <w:p>
      <w:pPr>
        <w:pStyle w:val="16"/>
        <w:ind w:firstLine="422"/>
        <w:rPr>
          <w:rFonts w:ascii="宋体" w:hAnsi="宋体" w:eastAsia="宋体" w:cs="宋体"/>
          <w:b/>
          <w:color w:val="000000"/>
          <w:sz w:val="21"/>
          <w:szCs w:val="21"/>
        </w:rPr>
      </w:pPr>
    </w:p>
    <w:p>
      <w:pPr>
        <w:pStyle w:val="16"/>
        <w:ind w:firstLine="422"/>
        <w:rPr>
          <w:rFonts w:ascii="宋体" w:hAnsi="宋体" w:eastAsia="宋体" w:cs="宋体"/>
          <w:b/>
          <w:color w:val="000000"/>
          <w:sz w:val="21"/>
          <w:szCs w:val="21"/>
        </w:rPr>
      </w:pPr>
    </w:p>
    <w:p>
      <w:pPr>
        <w:pStyle w:val="16"/>
        <w:ind w:firstLine="422"/>
        <w:rPr>
          <w:rFonts w:ascii="宋体" w:hAnsi="宋体" w:eastAsia="宋体" w:cs="宋体"/>
          <w:b/>
          <w:color w:val="000000"/>
          <w:sz w:val="21"/>
          <w:szCs w:val="21"/>
        </w:rPr>
      </w:pPr>
    </w:p>
    <w:p>
      <w:pPr>
        <w:pStyle w:val="16"/>
        <w:ind w:firstLine="422"/>
        <w:rPr>
          <w:rFonts w:ascii="宋体" w:hAnsi="宋体" w:eastAsia="宋体" w:cs="宋体"/>
          <w:b/>
          <w:color w:val="000000"/>
          <w:sz w:val="21"/>
          <w:szCs w:val="21"/>
        </w:rPr>
      </w:pPr>
    </w:p>
    <w:p>
      <w:pPr>
        <w:pStyle w:val="16"/>
        <w:ind w:firstLine="422"/>
        <w:rPr>
          <w:rFonts w:ascii="宋体" w:hAnsi="宋体" w:eastAsia="宋体" w:cs="宋体"/>
          <w:b/>
          <w:color w:val="000000"/>
          <w:sz w:val="21"/>
          <w:szCs w:val="21"/>
        </w:rPr>
      </w:pPr>
    </w:p>
    <w:p>
      <w:pPr>
        <w:pStyle w:val="3"/>
        <w:ind w:left="425" w:firstLine="0" w:firstLineChars="0"/>
        <w:jc w:val="center"/>
        <w:outlineLvl w:val="1"/>
        <w:rPr>
          <w:rFonts w:eastAsia="宋体" w:cs="宋体"/>
          <w:bCs/>
          <w:color w:val="000000"/>
          <w:sz w:val="28"/>
          <w:szCs w:val="28"/>
        </w:rPr>
      </w:pPr>
      <w:bookmarkStart w:id="1348" w:name="_Toc2203"/>
      <w:bookmarkStart w:id="1349" w:name="_Toc10431"/>
      <w:r>
        <w:rPr>
          <w:rFonts w:hint="eastAsia" w:eastAsia="宋体" w:cs="宋体"/>
          <w:bCs/>
          <w:color w:val="000000"/>
          <w:sz w:val="28"/>
          <w:szCs w:val="28"/>
          <w:lang w:eastAsia="zh-CN"/>
        </w:rPr>
        <w:t>八</w:t>
      </w:r>
      <w:r>
        <w:rPr>
          <w:rFonts w:hint="eastAsia" w:eastAsia="宋体" w:cs="宋体"/>
          <w:bCs/>
          <w:color w:val="000000"/>
          <w:sz w:val="28"/>
          <w:szCs w:val="28"/>
        </w:rPr>
        <w:t>、监狱企业证明文件（如有）</w:t>
      </w:r>
      <w:bookmarkEnd w:id="1348"/>
      <w:bookmarkEnd w:id="1349"/>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21"/>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41"/>
        <w:ind w:firstLine="422"/>
        <w:rPr>
          <w:rFonts w:ascii="宋体" w:hAnsi="宋体" w:eastAsia="宋体" w:cs="宋体"/>
          <w:b/>
          <w:color w:val="000000"/>
          <w:szCs w:val="21"/>
        </w:rPr>
      </w:pPr>
    </w:p>
    <w:p>
      <w:pPr>
        <w:pStyle w:val="41"/>
        <w:ind w:firstLine="422"/>
        <w:rPr>
          <w:rFonts w:ascii="宋体" w:hAnsi="宋体" w:eastAsia="宋体" w:cs="宋体"/>
          <w:b/>
          <w:color w:val="000000"/>
          <w:szCs w:val="21"/>
        </w:rPr>
      </w:pPr>
    </w:p>
    <w:p>
      <w:pPr>
        <w:pStyle w:val="41"/>
        <w:ind w:firstLine="422"/>
        <w:rPr>
          <w:rFonts w:ascii="宋体" w:hAnsi="宋体" w:eastAsia="宋体" w:cs="宋体"/>
          <w:b/>
          <w:color w:val="000000"/>
          <w:szCs w:val="21"/>
        </w:rPr>
      </w:pPr>
    </w:p>
    <w:p>
      <w:pPr>
        <w:pStyle w:val="41"/>
        <w:ind w:firstLine="422"/>
        <w:rPr>
          <w:rFonts w:ascii="宋体" w:hAnsi="宋体" w:eastAsia="宋体" w:cs="宋体"/>
          <w:b/>
          <w:color w:val="000000"/>
          <w:szCs w:val="21"/>
        </w:rPr>
      </w:pPr>
    </w:p>
    <w:p>
      <w:pPr>
        <w:pStyle w:val="3"/>
        <w:ind w:firstLine="562"/>
        <w:jc w:val="center"/>
        <w:outlineLvl w:val="1"/>
        <w:rPr>
          <w:rFonts w:eastAsia="宋体" w:cs="宋体"/>
          <w:bCs/>
          <w:color w:val="000000"/>
          <w:sz w:val="28"/>
          <w:szCs w:val="28"/>
        </w:rPr>
      </w:pPr>
      <w:bookmarkStart w:id="1350" w:name="_Toc16862"/>
      <w:bookmarkStart w:id="1351" w:name="_Toc9761"/>
      <w:r>
        <w:rPr>
          <w:rFonts w:hint="eastAsia" w:eastAsia="宋体" w:cs="宋体"/>
          <w:bCs/>
          <w:color w:val="000000"/>
          <w:sz w:val="28"/>
          <w:szCs w:val="28"/>
          <w:lang w:eastAsia="zh-CN"/>
        </w:rPr>
        <w:t>九</w:t>
      </w:r>
      <w:r>
        <w:rPr>
          <w:rFonts w:hint="eastAsia" w:eastAsia="宋体" w:cs="宋体"/>
          <w:bCs/>
          <w:color w:val="000000"/>
          <w:sz w:val="28"/>
          <w:szCs w:val="28"/>
        </w:rPr>
        <w:t>、反商业贿赂承诺书</w:t>
      </w:r>
      <w:bookmarkEnd w:id="1350"/>
      <w:bookmarkEnd w:id="1351"/>
    </w:p>
    <w:p>
      <w:pPr>
        <w:pStyle w:val="21"/>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1352" w:name="_Toc28113"/>
      <w:r>
        <w:rPr>
          <w:rFonts w:hint="eastAsia" w:ascii="宋体" w:hAnsi="宋体" w:eastAsia="宋体" w:cs="宋体"/>
          <w:b/>
          <w:bCs/>
          <w:color w:val="000000"/>
          <w:kern w:val="2"/>
          <w:sz w:val="28"/>
          <w:szCs w:val="28"/>
          <w:lang w:val="en-US" w:eastAsia="zh-CN" w:bidi="ar-SA"/>
        </w:rPr>
        <w:t>十、其他材料</w:t>
      </w:r>
      <w:bookmarkEnd w:id="1352"/>
    </w:p>
    <w:p>
      <w:pPr>
        <w:pStyle w:val="19"/>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1、采购代理服务费承诺函</w:t>
      </w:r>
    </w:p>
    <w:p>
      <w:pPr>
        <w:pStyle w:val="19"/>
        <w:shd w:val="clear" w:color="auto" w:fill="FFFFFF"/>
        <w:bidi w:val="0"/>
        <w:spacing w:before="0" w:beforeLines="0" w:beforeAutospacing="0" w:after="0" w:afterLines="0" w:afterAutospacing="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pPr>
        <w:pStyle w:val="1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1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19"/>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供应商名称：</w:t>
      </w:r>
      <w:r>
        <w:rPr>
          <w:rFonts w:hint="eastAsia" w:ascii="宋体" w:hAnsi="宋体" w:eastAsia="宋体" w:cs="宋体"/>
          <w:color w:val="000000"/>
          <w:spacing w:val="8"/>
          <w:sz w:val="24"/>
          <w:szCs w:val="24"/>
          <w:u w:val="single"/>
          <w:shd w:val="clear" w:color="auto" w:fill="FFFFFF"/>
        </w:rPr>
        <w:t>          </w:t>
      </w:r>
      <w:r>
        <w:rPr>
          <w:rFonts w:hint="eastAsia" w:ascii="宋体" w:hAnsi="宋体" w:eastAsia="宋体" w:cs="宋体"/>
          <w:color w:val="000000"/>
          <w:spacing w:val="8"/>
          <w:sz w:val="24"/>
          <w:szCs w:val="24"/>
          <w:shd w:val="clear" w:color="auto" w:fill="FFFFFF"/>
        </w:rPr>
        <w:t>（单位电子签章）</w:t>
      </w:r>
    </w:p>
    <w:p>
      <w:pPr>
        <w:pStyle w:val="19"/>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法定代表人或授权代表：</w:t>
      </w:r>
      <w:r>
        <w:rPr>
          <w:rFonts w:hint="eastAsia" w:ascii="宋体" w:hAnsi="宋体" w:eastAsia="宋体" w:cs="宋体"/>
          <w:color w:val="000000"/>
          <w:spacing w:val="8"/>
          <w:sz w:val="24"/>
          <w:szCs w:val="24"/>
          <w:u w:val="single"/>
          <w:shd w:val="clear" w:color="auto" w:fill="FFFFFF"/>
        </w:rPr>
        <w:t>      </w:t>
      </w:r>
      <w:r>
        <w:rPr>
          <w:rFonts w:hint="eastAsia" w:ascii="宋体" w:hAnsi="宋体" w:eastAsia="宋体" w:cs="宋体"/>
          <w:color w:val="000000"/>
          <w:spacing w:val="8"/>
          <w:sz w:val="24"/>
          <w:szCs w:val="24"/>
          <w:shd w:val="clear" w:color="auto" w:fill="FFFFFF"/>
        </w:rPr>
        <w:t>（电子签名或盖章）</w:t>
      </w:r>
    </w:p>
    <w:p>
      <w:pPr>
        <w:pStyle w:val="19"/>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日期：</w:t>
      </w:r>
      <w:r>
        <w:rPr>
          <w:rFonts w:hint="eastAsia" w:ascii="宋体" w:hAnsi="宋体" w:eastAsia="宋体" w:cs="宋体"/>
          <w:color w:val="000000"/>
          <w:spacing w:val="8"/>
          <w:sz w:val="24"/>
          <w:szCs w:val="24"/>
          <w:u w:val="single"/>
          <w:shd w:val="clear" w:color="auto" w:fill="FFFFFF"/>
        </w:rPr>
        <w:t>       </w:t>
      </w:r>
    </w:p>
    <w:p>
      <w:pPr>
        <w:pStyle w:val="1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pPr>
        <w:bidi w:val="0"/>
        <w:jc w:val="center"/>
        <w:rPr>
          <w:rFonts w:hint="eastAsia" w:ascii="宋体" w:hAnsi="宋体" w:eastAsia="宋体" w:cs="宋体"/>
          <w:b/>
          <w:bCs/>
          <w:color w:val="000000"/>
          <w:sz w:val="21"/>
          <w:szCs w:val="21"/>
          <w:lang w:val="en-US" w:eastAsia="zh-CN"/>
        </w:rPr>
      </w:pPr>
    </w:p>
    <w:p>
      <w:pPr>
        <w:jc w:val="center"/>
        <w:rPr>
          <w:rFonts w:hint="eastAsia" w:ascii="宋体" w:hAnsi="宋体" w:eastAsia="宋体" w:cs="宋体"/>
          <w:b/>
          <w:bCs/>
          <w:color w:val="auto"/>
          <w:sz w:val="21"/>
          <w:szCs w:val="21"/>
          <w:lang w:val="en-US" w:eastAsia="zh-CN"/>
        </w:rPr>
      </w:pPr>
    </w:p>
    <w:p>
      <w:pPr>
        <w:jc w:val="center"/>
        <w:rPr>
          <w:rFonts w:hint="eastAsia" w:ascii="宋体" w:hAnsi="宋体" w:eastAsia="宋体" w:cs="宋体"/>
          <w:b/>
          <w:bCs/>
          <w:color w:val="auto"/>
          <w:sz w:val="21"/>
          <w:szCs w:val="21"/>
          <w:lang w:val="en-US" w:eastAsia="zh-CN"/>
        </w:rPr>
      </w:pPr>
    </w:p>
    <w:p>
      <w:pPr>
        <w:jc w:val="cente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right"/>
      <w:rPr>
        <w:rFonts w:hint="eastAsia" w:ascii="宋体" w:hAnsi="宋体" w:eastAsia="宋体"/>
        <w:sz w:val="15"/>
        <w:szCs w:val="15"/>
        <w:lang w:val="en-US" w:eastAsia="zh-CN"/>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pPr>
      <w:pStyle w:val="14"/>
      <w:pBdr>
        <w:bottom w:val="none" w:color="auto" w:sz="0" w:space="1"/>
      </w:pBdr>
      <w:tabs>
        <w:tab w:val="left" w:pos="6514"/>
      </w:tabs>
      <w:bidi w:val="0"/>
      <w:jc w:val="left"/>
      <w:rPr>
        <w:rFonts w:hint="eastAsia" w:ascii="宋体" w:hAnsi="宋体" w:eastAsia="宋体"/>
        <w:sz w:val="15"/>
        <w:szCs w:val="15"/>
        <w:lang w:eastAsia="zh-CN"/>
      </w:rPr>
    </w:pPr>
  </w:p>
  <w:p>
    <w:pPr>
      <w:pStyle w:val="14"/>
      <w:pBdr>
        <w:bottom w:val="none" w:color="auto" w:sz="0" w:space="1"/>
      </w:pBdr>
      <w:bidi w:val="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A5DBB2"/>
    <w:multiLevelType w:val="singleLevel"/>
    <w:tmpl w:val="64A5DBB2"/>
    <w:lvl w:ilvl="0" w:tentative="0">
      <w:start w:val="1"/>
      <w:numFmt w:val="decimal"/>
      <w:suff w:val="space"/>
      <w:lvlText w:val="%1."/>
      <w:lvlJc w:val="left"/>
    </w:lvl>
  </w:abstractNum>
  <w:abstractNum w:abstractNumId="6">
    <w:nsid w:val="75AF216A"/>
    <w:multiLevelType w:val="singleLevel"/>
    <w:tmpl w:val="75AF216A"/>
    <w:lvl w:ilvl="0" w:tentative="0">
      <w:start w:val="5"/>
      <w:numFmt w:val="chineseCounting"/>
      <w:suff w:val="space"/>
      <w:lvlText w:val="第%1章"/>
      <w:lvlJc w:val="left"/>
      <w:rPr>
        <w:rFonts w:hint="eastAsia"/>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DNkNDI2YzMwMzE4NmExNWUzZjU5ODFmNDdiOTkifQ=="/>
  </w:docVars>
  <w:rsids>
    <w:rsidRoot w:val="4A1D222D"/>
    <w:rsid w:val="01972DE8"/>
    <w:rsid w:val="03192A63"/>
    <w:rsid w:val="05FA02D5"/>
    <w:rsid w:val="0A0C7FA0"/>
    <w:rsid w:val="0D054A17"/>
    <w:rsid w:val="0DFC65D1"/>
    <w:rsid w:val="0F74364E"/>
    <w:rsid w:val="136C6BDF"/>
    <w:rsid w:val="14E35F19"/>
    <w:rsid w:val="182B350C"/>
    <w:rsid w:val="23635A76"/>
    <w:rsid w:val="24107485"/>
    <w:rsid w:val="25EF3DCB"/>
    <w:rsid w:val="2A0E67EA"/>
    <w:rsid w:val="2B6561BA"/>
    <w:rsid w:val="2BC74EA2"/>
    <w:rsid w:val="2D7D32CA"/>
    <w:rsid w:val="2E810393"/>
    <w:rsid w:val="313E15DD"/>
    <w:rsid w:val="315021EE"/>
    <w:rsid w:val="33164DA7"/>
    <w:rsid w:val="34BA58B7"/>
    <w:rsid w:val="39D66A73"/>
    <w:rsid w:val="3BE55CE6"/>
    <w:rsid w:val="3D5F0556"/>
    <w:rsid w:val="3D972B19"/>
    <w:rsid w:val="3ECF59DB"/>
    <w:rsid w:val="4106686C"/>
    <w:rsid w:val="46FA78FD"/>
    <w:rsid w:val="484004BC"/>
    <w:rsid w:val="48AD07BC"/>
    <w:rsid w:val="4A1D222D"/>
    <w:rsid w:val="4E1E1A8F"/>
    <w:rsid w:val="4E3A6962"/>
    <w:rsid w:val="55F94AE5"/>
    <w:rsid w:val="5C512BF3"/>
    <w:rsid w:val="5DA44C35"/>
    <w:rsid w:val="5E5466E6"/>
    <w:rsid w:val="61606709"/>
    <w:rsid w:val="6254011E"/>
    <w:rsid w:val="626A3B5D"/>
    <w:rsid w:val="62D421F9"/>
    <w:rsid w:val="63610875"/>
    <w:rsid w:val="69463CA2"/>
    <w:rsid w:val="69D5200B"/>
    <w:rsid w:val="6AEF52A0"/>
    <w:rsid w:val="6BFD31F6"/>
    <w:rsid w:val="6CDA3DB7"/>
    <w:rsid w:val="709C3CA6"/>
    <w:rsid w:val="71035C45"/>
    <w:rsid w:val="7220528A"/>
    <w:rsid w:val="742F4DEB"/>
    <w:rsid w:val="77CC3A04"/>
    <w:rsid w:val="7887686D"/>
    <w:rsid w:val="795100FA"/>
    <w:rsid w:val="79C21DD2"/>
    <w:rsid w:val="7AAA37E4"/>
    <w:rsid w:val="7AC04563"/>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21"/>
    </w:rPr>
  </w:style>
  <w:style w:type="paragraph" w:styleId="6">
    <w:name w:val="Body Text 3"/>
    <w:basedOn w:val="1"/>
    <w:qFormat/>
    <w:uiPriority w:val="0"/>
    <w:rPr>
      <w:rFonts w:hAnsi="Times New Roman"/>
      <w:kern w:val="0"/>
      <w:sz w:val="24"/>
      <w:szCs w:val="20"/>
    </w:rPr>
  </w:style>
  <w:style w:type="paragraph" w:styleId="7">
    <w:name w:val="Body Text"/>
    <w:basedOn w:val="1"/>
    <w:qFormat/>
    <w:uiPriority w:val="0"/>
    <w:pPr>
      <w:spacing w:after="120" w:afterLines="0" w:afterAutospacing="0"/>
    </w:pPr>
    <w:rPr>
      <w:sz w:val="21"/>
    </w:rPr>
  </w:style>
  <w:style w:type="paragraph" w:styleId="8">
    <w:name w:val="Body Text Indent"/>
    <w:basedOn w:val="1"/>
    <w:next w:val="9"/>
    <w:qFormat/>
    <w:uiPriority w:val="0"/>
    <w:pPr>
      <w:spacing w:line="312" w:lineRule="auto"/>
      <w:ind w:firstLine="735" w:firstLineChars="245"/>
    </w:pPr>
  </w:style>
  <w:style w:type="paragraph" w:styleId="9">
    <w:name w:val="envelope return"/>
    <w:basedOn w:val="1"/>
    <w:unhideWhenUsed/>
    <w:qFormat/>
    <w:uiPriority w:val="99"/>
    <w:pPr>
      <w:snapToGrid w:val="0"/>
    </w:pPr>
    <w:rPr>
      <w:rFonts w:ascii="Arial" w:hAnsi="Arial"/>
    </w:rPr>
  </w:style>
  <w:style w:type="paragraph" w:styleId="10">
    <w:name w:val="List 2"/>
    <w:basedOn w:val="1"/>
    <w:qFormat/>
    <w:uiPriority w:val="0"/>
    <w:pPr>
      <w:ind w:left="100" w:leftChars="200" w:hanging="200" w:hangingChars="200"/>
    </w:pPr>
    <w:rPr>
      <w:sz w:val="21"/>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szCs w:val="18"/>
    </w:rPr>
  </w:style>
  <w:style w:type="paragraph" w:styleId="17">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8">
    <w:name w:val="Body Text 2"/>
    <w:basedOn w:val="1"/>
    <w:next w:val="7"/>
    <w:qFormat/>
    <w:uiPriority w:val="0"/>
    <w:pPr>
      <w:spacing w:after="120" w:afterLines="0" w:afterAutospacing="0" w:line="480" w:lineRule="auto"/>
    </w:pPr>
    <w:rPr>
      <w:sz w:val="21"/>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0">
    <w:name w:val="Title"/>
    <w:basedOn w:val="1"/>
    <w:next w:val="1"/>
    <w:qFormat/>
    <w:uiPriority w:val="0"/>
    <w:pPr>
      <w:jc w:val="center"/>
      <w:outlineLvl w:val="0"/>
    </w:pPr>
    <w:rPr>
      <w:rFonts w:ascii="Cambria" w:hAnsi="Cambria"/>
      <w:b/>
      <w:bCs/>
      <w:sz w:val="32"/>
      <w:szCs w:val="32"/>
    </w:rPr>
  </w:style>
  <w:style w:type="paragraph" w:styleId="21">
    <w:name w:val="Body Text First Indent"/>
    <w:basedOn w:val="7"/>
    <w:next w:val="1"/>
    <w:qFormat/>
    <w:uiPriority w:val="0"/>
    <w:pPr>
      <w:ind w:firstLine="420" w:firstLineChars="100"/>
    </w:pPr>
  </w:style>
  <w:style w:type="paragraph" w:styleId="22">
    <w:name w:val="Body Text First Indent 2"/>
    <w:basedOn w:val="8"/>
    <w:next w:val="1"/>
    <w:qFormat/>
    <w:uiPriority w:val="0"/>
    <w:pPr>
      <w:spacing w:after="120" w:afterLines="0" w:line="240" w:lineRule="auto"/>
      <w:ind w:left="420" w:leftChars="200"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BodyText1I2"/>
    <w:basedOn w:val="31"/>
    <w:next w:val="32"/>
    <w:qFormat/>
    <w:uiPriority w:val="0"/>
    <w:pPr>
      <w:ind w:firstLine="420" w:firstLineChars="200"/>
    </w:pPr>
    <w:rPr>
      <w:rFonts w:ascii="Calibri" w:hAnsi="Calibri" w:eastAsia="楷体_GB2312"/>
      <w:kern w:val="44"/>
      <w:sz w:val="44"/>
    </w:rPr>
  </w:style>
  <w:style w:type="paragraph" w:customStyle="1" w:styleId="31">
    <w:name w:val="BodyTextIndent"/>
    <w:basedOn w:val="1"/>
    <w:qFormat/>
    <w:uiPriority w:val="0"/>
    <w:pPr>
      <w:spacing w:after="120"/>
      <w:ind w:left="420" w:leftChars="200"/>
    </w:pPr>
    <w:rPr>
      <w:rFonts w:ascii="Times New Roman" w:hAnsi="Times New Roman"/>
      <w:kern w:val="0"/>
      <w:sz w:val="20"/>
    </w:rPr>
  </w:style>
  <w:style w:type="paragraph" w:customStyle="1" w:styleId="32">
    <w:name w:val="UserStyle_136"/>
    <w:basedOn w:val="1"/>
    <w:next w:val="1"/>
    <w:qFormat/>
    <w:uiPriority w:val="0"/>
    <w:pPr>
      <w:spacing w:after="120" w:line="320" w:lineRule="atLeast"/>
      <w:ind w:firstLine="200" w:firstLineChars="200"/>
    </w:pPr>
    <w:rPr>
      <w:rFonts w:ascii="Arial" w:hAnsi="Arial"/>
      <w:kern w:val="0"/>
    </w:rPr>
  </w:style>
  <w:style w:type="paragraph" w:customStyle="1" w:styleId="33">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34">
    <w:name w:val="List Paragraph"/>
    <w:basedOn w:val="1"/>
    <w:qFormat/>
    <w:uiPriority w:val="0"/>
    <w:pPr>
      <w:ind w:firstLine="420" w:firstLineChars="200"/>
    </w:pPr>
    <w:rPr>
      <w:sz w:val="21"/>
      <w:szCs w:val="24"/>
    </w:rPr>
  </w:style>
  <w:style w:type="paragraph" w:customStyle="1" w:styleId="35">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6">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3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0">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无间隔1"/>
    <w:basedOn w:val="1"/>
    <w:qFormat/>
    <w:uiPriority w:val="1"/>
    <w:pPr>
      <w:spacing w:line="400" w:lineRule="exact"/>
    </w:pPr>
  </w:style>
  <w:style w:type="paragraph" w:customStyle="1" w:styleId="42">
    <w:name w:val="style4"/>
    <w:basedOn w:val="43"/>
    <w:next w:val="44"/>
    <w:qFormat/>
    <w:uiPriority w:val="0"/>
    <w:pPr>
      <w:widowControl/>
      <w:autoSpaceDE/>
      <w:autoSpaceDN/>
      <w:spacing w:before="280" w:after="280" w:line="240" w:lineRule="auto"/>
      <w:ind w:left="0" w:firstLine="0"/>
      <w:jc w:val="both"/>
    </w:pPr>
    <w:rPr>
      <w:rFonts w:ascii="宋体" w:eastAsia="宋体"/>
      <w:sz w:val="18"/>
    </w:rPr>
  </w:style>
  <w:style w:type="paragraph" w:customStyle="1" w:styleId="43">
    <w:name w:val="正文1"/>
    <w:basedOn w:val="1"/>
    <w:next w:val="21"/>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6">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47">
    <w:name w:val="索引 11"/>
    <w:basedOn w:val="1"/>
    <w:next w:val="1"/>
    <w:qFormat/>
    <w:uiPriority w:val="0"/>
    <w:pPr>
      <w:spacing w:line="360" w:lineRule="auto"/>
    </w:pPr>
    <w:rPr>
      <w:rFonts w:ascii="仿宋_GB2312" w:eastAsia="仿宋_GB2312"/>
      <w:sz w:val="24"/>
      <w:szCs w:val="20"/>
    </w:rPr>
  </w:style>
  <w:style w:type="paragraph" w:customStyle="1" w:styleId="48">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26440</Words>
  <Characters>28623</Characters>
  <Lines>0</Lines>
  <Paragraphs>0</Paragraphs>
  <TotalTime>5</TotalTime>
  <ScaleCrop>false</ScaleCrop>
  <LinksUpToDate>false</LinksUpToDate>
  <CharactersWithSpaces>31680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2023-03-12T02:57:00Z</dcterms:created>
  <dc:creator>Somier</dc:creator>
  <cp:lastModifiedBy>辰</cp:lastModifiedBy>
  <dcterms:modified xsi:type="dcterms:W3CDTF">2024-08-02T02:44:31Z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C2E82C640DF14D23A1FACB707A661FCD_13</vt:lpwstr>
  </property>
</Properties>
</file>