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1D7D7">
      <w:pPr>
        <w:pStyle w:val="4"/>
        <w:ind w:left="0" w:leftChars="0" w:firstLine="0" w:firstLineChars="0"/>
        <w:rPr>
          <w:rFonts w:hint="eastAsia" w:ascii="宋体" w:hAnsi="宋体" w:eastAsia="宋体" w:cs="宋体"/>
          <w:b/>
          <w:bCs/>
          <w:sz w:val="60"/>
          <w:szCs w:val="60"/>
          <w:lang w:eastAsia="zh-CN"/>
        </w:rPr>
      </w:pPr>
      <w:r>
        <w:rPr>
          <w:rFonts w:hint="eastAsia" w:ascii="宋体" w:hAnsi="宋体" w:eastAsia="宋体" w:cs="宋体"/>
          <w:b/>
          <w:bCs/>
          <w:sz w:val="60"/>
          <w:szCs w:val="60"/>
          <w:lang w:eastAsia="zh-CN"/>
        </w:rPr>
        <w:t>息县发展和改革委员会南信合高铁息县站站区规划费用项目</w:t>
      </w:r>
    </w:p>
    <w:p w14:paraId="1C030DF2">
      <w:pPr>
        <w:rPr>
          <w:rFonts w:hint="eastAsia"/>
        </w:rPr>
      </w:pPr>
    </w:p>
    <w:p w14:paraId="266A1E7A">
      <w:pPr>
        <w:pStyle w:val="4"/>
        <w:rPr>
          <w:rFonts w:hint="eastAsia"/>
        </w:rPr>
      </w:pPr>
    </w:p>
    <w:p w14:paraId="3D9280DC">
      <w:pPr>
        <w:spacing w:line="600" w:lineRule="auto"/>
        <w:jc w:val="both"/>
        <w:rPr>
          <w:rFonts w:hint="eastAsia" w:ascii="宋体" w:hAnsi="宋体" w:eastAsia="宋体" w:cs="宋体"/>
          <w:b/>
          <w:kern w:val="15"/>
          <w:sz w:val="72"/>
          <w:szCs w:val="52"/>
        </w:rPr>
      </w:pPr>
      <w:r>
        <w:rPr>
          <w:rFonts w:hint="eastAsia" w:ascii="宋体" w:hAnsi="宋体" w:eastAsia="宋体" w:cs="宋体"/>
          <w:b/>
          <w:kern w:val="15"/>
          <w:sz w:val="72"/>
          <w:szCs w:val="52"/>
        </w:rPr>
        <w:t>竞争性</w:t>
      </w:r>
      <w:r>
        <w:rPr>
          <w:rFonts w:hint="eastAsia" w:ascii="宋体" w:hAnsi="宋体" w:eastAsia="宋体" w:cs="宋体"/>
          <w:b/>
          <w:kern w:val="15"/>
          <w:sz w:val="72"/>
          <w:szCs w:val="52"/>
          <w:lang w:eastAsia="zh-CN"/>
        </w:rPr>
        <w:t>磋商</w:t>
      </w:r>
      <w:r>
        <w:rPr>
          <w:rFonts w:hint="eastAsia" w:ascii="宋体" w:hAnsi="宋体" w:eastAsia="宋体" w:cs="宋体"/>
          <w:b/>
          <w:kern w:val="15"/>
          <w:sz w:val="72"/>
          <w:szCs w:val="52"/>
        </w:rPr>
        <w:t>文件</w:t>
      </w:r>
    </w:p>
    <w:p w14:paraId="71C7EC7F">
      <w:pPr>
        <w:pStyle w:val="2"/>
        <w:rPr>
          <w:rFonts w:hint="eastAsia"/>
        </w:rPr>
      </w:pPr>
      <w:r>
        <w:rPr>
          <w:rFonts w:hint="eastAsia" w:ascii="楷体" w:hAnsi="楷体" w:eastAsia="楷体" w:cs="楷体"/>
          <w:b/>
          <w:bCs/>
          <w:sz w:val="56"/>
          <w:szCs w:val="96"/>
        </w:rPr>
        <w:drawing>
          <wp:anchor distT="0" distB="0" distL="114300" distR="114300" simplePos="0" relativeHeight="251661312" behindDoc="0" locked="0" layoutInCell="1" allowOverlap="1">
            <wp:simplePos x="0" y="0"/>
            <wp:positionH relativeFrom="column">
              <wp:posOffset>1266190</wp:posOffset>
            </wp:positionH>
            <wp:positionV relativeFrom="paragraph">
              <wp:posOffset>385445</wp:posOffset>
            </wp:positionV>
            <wp:extent cx="2477135" cy="2208530"/>
            <wp:effectExtent l="0" t="0" r="18415" b="1270"/>
            <wp:wrapSquare wrapText="bothSides"/>
            <wp:docPr id="6" name="图片 2" descr="亿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亿达logo"/>
                    <pic:cNvPicPr>
                      <a:picLocks noChangeAspect="1"/>
                    </pic:cNvPicPr>
                  </pic:nvPicPr>
                  <pic:blipFill>
                    <a:blip r:embed="rId15" cstate="print"/>
                    <a:srcRect l="21983" t="24567" r="21173" b="24767"/>
                    <a:stretch>
                      <a:fillRect/>
                    </a:stretch>
                  </pic:blipFill>
                  <pic:spPr>
                    <a:xfrm>
                      <a:off x="0" y="0"/>
                      <a:ext cx="2477135" cy="2208530"/>
                    </a:xfrm>
                    <a:prstGeom prst="rect">
                      <a:avLst/>
                    </a:prstGeom>
                    <a:noFill/>
                    <a:ln>
                      <a:noFill/>
                    </a:ln>
                  </pic:spPr>
                </pic:pic>
              </a:graphicData>
            </a:graphic>
          </wp:anchor>
        </w:drawing>
      </w:r>
    </w:p>
    <w:p w14:paraId="104B78B7">
      <w:pPr>
        <w:autoSpaceDE w:val="0"/>
        <w:autoSpaceDN w:val="0"/>
        <w:jc w:val="center"/>
        <w:rPr>
          <w:rFonts w:hint="eastAsia" w:ascii="宋体" w:hAnsi="宋体" w:eastAsia="宋体" w:cs="宋体"/>
          <w:b/>
          <w:sz w:val="36"/>
          <w:szCs w:val="36"/>
        </w:rPr>
      </w:pPr>
    </w:p>
    <w:p w14:paraId="60158AE9">
      <w:pPr>
        <w:jc w:val="center"/>
        <w:rPr>
          <w:rFonts w:hint="eastAsia" w:ascii="宋体" w:hAnsi="宋体" w:eastAsia="宋体" w:cs="宋体"/>
          <w:b/>
          <w:sz w:val="36"/>
          <w:szCs w:val="36"/>
        </w:rPr>
      </w:pPr>
    </w:p>
    <w:p w14:paraId="4560AD44">
      <w:pPr>
        <w:jc w:val="center"/>
        <w:rPr>
          <w:rFonts w:hint="eastAsia" w:ascii="宋体" w:hAnsi="宋体" w:eastAsia="宋体" w:cs="宋体"/>
          <w:b/>
          <w:sz w:val="36"/>
          <w:szCs w:val="36"/>
        </w:rPr>
      </w:pPr>
    </w:p>
    <w:p w14:paraId="3A32429F">
      <w:pPr>
        <w:rPr>
          <w:rFonts w:hint="eastAsia"/>
        </w:rPr>
      </w:pPr>
    </w:p>
    <w:p w14:paraId="4EB21E6B">
      <w:pPr>
        <w:pStyle w:val="2"/>
        <w:rPr>
          <w:rFonts w:hint="eastAsia"/>
        </w:rPr>
      </w:pPr>
    </w:p>
    <w:p w14:paraId="16F2BCBB">
      <w:pPr>
        <w:pStyle w:val="2"/>
        <w:rPr>
          <w:rFonts w:hint="eastAsia"/>
        </w:rPr>
      </w:pPr>
    </w:p>
    <w:p w14:paraId="47B02939">
      <w:pPr>
        <w:pStyle w:val="2"/>
        <w:rPr>
          <w:rFonts w:hint="eastAsia"/>
          <w:lang w:val="en-US" w:eastAsia="zh-CN"/>
        </w:rPr>
      </w:pPr>
    </w:p>
    <w:p w14:paraId="246DF2D7">
      <w:pPr>
        <w:tabs>
          <w:tab w:val="left" w:pos="7860"/>
        </w:tabs>
        <w:spacing w:line="480" w:lineRule="auto"/>
        <w:ind w:left="0" w:leftChars="0" w:firstLine="842" w:firstLineChars="262"/>
        <w:rPr>
          <w:rFonts w:hint="eastAsia" w:ascii="宋体" w:hAnsi="宋体" w:eastAsia="宋体" w:cs="宋体"/>
          <w:b/>
          <w:bCs/>
          <w:color w:val="auto"/>
          <w:sz w:val="32"/>
          <w:szCs w:val="32"/>
          <w:lang w:val="en-US" w:eastAsia="zh-CN"/>
        </w:rPr>
      </w:pPr>
    </w:p>
    <w:p w14:paraId="70F9AF71">
      <w:pPr>
        <w:ind w:left="0" w:leftChars="0" w:firstLine="0" w:firstLineChars="0"/>
        <w:rPr>
          <w:rFonts w:hint="eastAsia" w:ascii="宋体" w:hAnsi="宋体" w:eastAsia="宋体" w:cs="宋体"/>
          <w:b/>
          <w:bCs/>
          <w:color w:val="auto"/>
          <w:sz w:val="32"/>
          <w:szCs w:val="32"/>
          <w:lang w:val="en-US" w:eastAsia="zh-CN"/>
        </w:rPr>
      </w:pPr>
    </w:p>
    <w:p w14:paraId="7735188A">
      <w:pPr>
        <w:tabs>
          <w:tab w:val="left" w:pos="7860"/>
        </w:tabs>
        <w:spacing w:line="480" w:lineRule="auto"/>
        <w:ind w:left="0" w:leftChars="0" w:firstLine="643" w:firstLineChars="20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 xml:space="preserve">采   购   </w:t>
      </w:r>
      <w:r>
        <w:rPr>
          <w:rFonts w:hint="eastAsia" w:ascii="宋体" w:hAnsi="宋体" w:eastAsia="宋体" w:cs="宋体"/>
          <w:b/>
          <w:bCs/>
          <w:color w:val="auto"/>
          <w:sz w:val="32"/>
          <w:szCs w:val="32"/>
        </w:rPr>
        <w:t xml:space="preserve">人: </w:t>
      </w:r>
      <w:r>
        <w:rPr>
          <w:rFonts w:hint="eastAsia" w:ascii="宋体" w:hAnsi="宋体" w:eastAsia="宋体" w:cs="宋体"/>
          <w:b/>
          <w:bCs/>
          <w:color w:val="auto"/>
          <w:sz w:val="32"/>
          <w:szCs w:val="32"/>
          <w:lang w:eastAsia="zh-CN"/>
        </w:rPr>
        <w:t>息县发展和改革委员会</w:t>
      </w:r>
    </w:p>
    <w:p w14:paraId="35F15A63">
      <w:pPr>
        <w:tabs>
          <w:tab w:val="left" w:pos="7860"/>
        </w:tabs>
        <w:spacing w:line="480" w:lineRule="auto"/>
        <w:ind w:left="0" w:leftChars="0" w:firstLine="643" w:firstLineChars="200"/>
        <w:rPr>
          <w:rFonts w:hint="eastAsia" w:ascii="宋体" w:hAnsi="宋体" w:eastAsia="宋体" w:cs="宋体"/>
          <w:b/>
          <w:bCs/>
          <w:color w:val="auto"/>
          <w:sz w:val="32"/>
          <w:szCs w:val="32"/>
        </w:rPr>
      </w:pPr>
      <w:r>
        <w:rPr>
          <w:rFonts w:hint="eastAsia" w:ascii="宋体" w:hAnsi="宋体" w:eastAsia="宋体" w:cs="宋体"/>
          <w:b/>
          <w:bCs/>
          <w:color w:val="auto"/>
          <w:sz w:val="32"/>
          <w:szCs w:val="32"/>
          <w:lang w:val="en-US" w:eastAsia="zh-CN"/>
        </w:rPr>
        <w:t>采购</w:t>
      </w:r>
      <w:r>
        <w:rPr>
          <w:rFonts w:hint="eastAsia" w:ascii="宋体" w:hAnsi="宋体" w:eastAsia="宋体" w:cs="宋体"/>
          <w:b/>
          <w:bCs/>
          <w:color w:val="auto"/>
          <w:sz w:val="32"/>
          <w:szCs w:val="32"/>
        </w:rPr>
        <w:t xml:space="preserve">代理机构: </w:t>
      </w:r>
      <w:r>
        <w:rPr>
          <w:rFonts w:hint="eastAsia" w:ascii="宋体" w:hAnsi="宋体" w:eastAsia="宋体" w:cs="宋体"/>
          <w:b/>
          <w:bCs/>
          <w:color w:val="auto"/>
          <w:sz w:val="32"/>
          <w:szCs w:val="32"/>
          <w:lang w:eastAsia="zh-CN"/>
        </w:rPr>
        <w:t>河南省亿达工程管理咨询有限公司</w:t>
      </w:r>
    </w:p>
    <w:p w14:paraId="086448A6">
      <w:pPr>
        <w:spacing w:line="360" w:lineRule="auto"/>
        <w:ind w:left="0" w:leftChars="0" w:firstLine="643" w:firstLineChars="200"/>
        <w:rPr>
          <w:rFonts w:ascii="宋体" w:hAnsi="宋体" w:cs="宋体"/>
          <w:b/>
          <w:sz w:val="32"/>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val="en-US" w:eastAsia="zh-CN"/>
        </w:rPr>
        <w:t xml:space="preserve"> </w:t>
      </w:r>
      <w:r>
        <w:rPr>
          <w:rFonts w:hint="eastAsia" w:ascii="宋体" w:hAnsi="宋体" w:cs="宋体"/>
          <w:b/>
          <w:sz w:val="32"/>
        </w:rPr>
        <w:t>二零二</w:t>
      </w:r>
      <w:r>
        <w:rPr>
          <w:rFonts w:hint="eastAsia" w:ascii="宋体" w:hAnsi="宋体" w:cs="宋体"/>
          <w:b/>
          <w:sz w:val="32"/>
          <w:lang w:val="en-US" w:eastAsia="zh-CN"/>
        </w:rPr>
        <w:t>五</w:t>
      </w:r>
      <w:r>
        <w:rPr>
          <w:rFonts w:hint="eastAsia" w:ascii="宋体" w:hAnsi="宋体" w:cs="宋体"/>
          <w:b/>
          <w:sz w:val="32"/>
        </w:rPr>
        <w:t>年</w:t>
      </w:r>
      <w:r>
        <w:rPr>
          <w:rFonts w:hint="eastAsia" w:ascii="宋体" w:hAnsi="宋体" w:cs="宋体"/>
          <w:b/>
          <w:sz w:val="32"/>
          <w:lang w:eastAsia="zh-CN"/>
        </w:rPr>
        <w:t>二</w:t>
      </w:r>
      <w:r>
        <w:rPr>
          <w:rFonts w:hint="eastAsia" w:ascii="宋体" w:hAnsi="宋体" w:cs="宋体"/>
          <w:b/>
          <w:sz w:val="32"/>
        </w:rPr>
        <w:t>月</w:t>
      </w:r>
    </w:p>
    <w:p w14:paraId="7BA5DDD1">
      <w:pPr>
        <w:pStyle w:val="2"/>
        <w:rPr>
          <w:rFonts w:hint="eastAsia"/>
        </w:rPr>
      </w:pPr>
    </w:p>
    <w:p w14:paraId="365F8BC2">
      <w:pPr>
        <w:pStyle w:val="27"/>
        <w:jc w:val="center"/>
        <w:rPr>
          <w:rFonts w:hint="eastAsia" w:cs="宋体"/>
          <w:b/>
          <w:color w:val="auto"/>
          <w:spacing w:val="14"/>
          <w:sz w:val="44"/>
          <w:szCs w:val="44"/>
          <w:lang w:eastAsia="zh-CN"/>
        </w:rPr>
      </w:pPr>
      <w:r>
        <w:rPr>
          <w:rFonts w:hint="eastAsia" w:cs="宋体"/>
          <w:b/>
          <w:color w:val="auto"/>
          <w:spacing w:val="14"/>
          <w:sz w:val="44"/>
          <w:szCs w:val="44"/>
          <w:lang w:eastAsia="zh-CN"/>
        </w:rPr>
        <w:t>目</w:t>
      </w:r>
      <w:r>
        <w:rPr>
          <w:rFonts w:hint="eastAsia" w:cs="宋体"/>
          <w:b/>
          <w:color w:val="auto"/>
          <w:spacing w:val="14"/>
          <w:sz w:val="44"/>
          <w:szCs w:val="44"/>
          <w:lang w:val="en-US" w:eastAsia="zh-CN"/>
        </w:rPr>
        <w:t xml:space="preserve">  </w:t>
      </w:r>
      <w:r>
        <w:rPr>
          <w:rFonts w:hint="eastAsia" w:cs="宋体"/>
          <w:b/>
          <w:color w:val="auto"/>
          <w:spacing w:val="14"/>
          <w:sz w:val="44"/>
          <w:szCs w:val="44"/>
          <w:lang w:eastAsia="zh-CN"/>
        </w:rPr>
        <w:t>录</w:t>
      </w:r>
    </w:p>
    <w:p w14:paraId="7A5F52C3">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TOC \o "1-3" \h \u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_Toc30884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 xml:space="preserve">第一章 </w:t>
      </w:r>
      <w:r>
        <w:rPr>
          <w:rFonts w:hint="eastAsia" w:ascii="宋体" w:hAnsi="宋体" w:eastAsia="宋体" w:cs="宋体"/>
          <w:bCs/>
          <w:sz w:val="24"/>
          <w:szCs w:val="24"/>
          <w:highlight w:val="none"/>
          <w:lang w:eastAsia="zh-CN"/>
        </w:rPr>
        <w:t>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_Toc30884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0353BE3F">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_Toc13762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val="0"/>
          <w:sz w:val="24"/>
          <w:szCs w:val="24"/>
          <w:highlight w:val="none"/>
        </w:rPr>
        <w:t>第二章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_Toc13762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05CCEEC3">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_Toc12234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_Toc12234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6AB3519F">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_Toc26921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1.总则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_Toc26921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4FEC3E38">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_Toc19756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eastAsia="zh-CN"/>
        </w:rPr>
        <w:t>竞争性磋商文件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_Toc19756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265F4195">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_Toc30559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3.响应文件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_Toc30559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4C8445D3">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_Toc17752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4.磋商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_Toc17752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5E7AE62B">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_Toc11086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5.磋商开始</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_Toc11086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49A4FD77">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_Toc21457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6.磋商小组</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_Toc21457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D51D2C5">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_Toc17150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7.合同授予</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_Toc17150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60564D8A">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_Toc13693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8.重新招标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_Toc13693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267B2A7B">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_Toc6440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9.纪律和监督</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_Toc6440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8E8861C">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_Toc27064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10.需要补充的其他内容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_Toc27064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8BA9663">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_Toc30658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kern w:val="44"/>
          <w:sz w:val="24"/>
          <w:szCs w:val="24"/>
          <w:highlight w:val="none"/>
        </w:rPr>
        <w:t>第三章 评审办法（综合评分法）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_Toc30658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495324A">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_Toc11597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rPr>
        <w:t xml:space="preserve">第四章 </w:t>
      </w:r>
      <w:r>
        <w:rPr>
          <w:rFonts w:hint="eastAsia" w:ascii="宋体" w:hAnsi="宋体" w:eastAsia="宋体" w:cs="宋体"/>
          <w:sz w:val="24"/>
          <w:szCs w:val="24"/>
          <w:highlight w:val="none"/>
        </w:rPr>
        <w:t>河南省政府采购合同（</w:t>
      </w:r>
      <w:r>
        <w:rPr>
          <w:rFonts w:hint="eastAsia" w:ascii="宋体" w:hAnsi="宋体" w:eastAsia="宋体" w:cs="宋体"/>
          <w:sz w:val="24"/>
          <w:szCs w:val="24"/>
          <w:highlight w:val="none"/>
          <w:lang w:eastAsia="zh-CN"/>
        </w:rPr>
        <w:t>参考文本</w:t>
      </w:r>
      <w:r>
        <w:rPr>
          <w:rFonts w:hint="eastAsia" w:ascii="宋体" w:hAnsi="宋体" w:eastAsia="宋体" w:cs="宋体"/>
          <w:sz w:val="24"/>
          <w:szCs w:val="24"/>
          <w:highlight w:val="none"/>
        </w:rPr>
        <w:t>）</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_Toc11597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0207C2D8">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_Toc31498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第五章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_Toc31498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433EC86A">
      <w:pPr>
        <w:pStyle w:val="17"/>
        <w:keepNext w:val="0"/>
        <w:keepLines w:val="0"/>
        <w:pageBreakBefore w:val="0"/>
        <w:tabs>
          <w:tab w:val="right" w:leader="dot" w:pos="8299"/>
        </w:tabs>
        <w:kinsoku/>
        <w:wordWrap/>
        <w:overflowPunct/>
        <w:topLinePunct w:val="0"/>
        <w:autoSpaceDE/>
        <w:autoSpaceDN/>
        <w:bidi w:val="0"/>
        <w:adjustRightInd/>
        <w:snapToGrid/>
        <w:spacing w:line="480" w:lineRule="exact"/>
        <w:ind w:left="0" w:leftChars="-95" w:hanging="199" w:hangingChars="83"/>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_Toc21882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eastAsia="zh-CN"/>
        </w:rPr>
        <w:t>竞争性磋商响应文件格式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_Toc21882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46926A8">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_Toc23074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及</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附录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_Toc23074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357E2EAA">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_Toc30887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二、法定代表</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身份证明</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_Toc30887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56B34174">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_Toc16617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、授权委托书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_Toc16617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20CFBAE">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_Toc19302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、商务及技术偏差表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_Toc19302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0764E339">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_Toc28051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、资格审查资料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_Toc28051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233BEC48">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_Toc16337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lang w:eastAsia="zh-CN"/>
        </w:rPr>
        <w:t>六、中小企业声明函（服务类）</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_Toc16337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58</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4B2D16A">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_Toc26041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lang w:eastAsia="zh-CN"/>
        </w:rPr>
        <w:t>七</w:t>
      </w:r>
      <w:r>
        <w:rPr>
          <w:rFonts w:hint="eastAsia" w:ascii="宋体" w:hAnsi="宋体" w:eastAsia="宋体" w:cs="宋体"/>
          <w:bCs/>
          <w:sz w:val="24"/>
          <w:szCs w:val="24"/>
          <w:highlight w:val="none"/>
        </w:rPr>
        <w:t>、残疾人福利性单位声明函</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_Toc26041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714FB2F1">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_Toc2382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lang w:eastAsia="zh-CN"/>
        </w:rPr>
        <w:t>八</w:t>
      </w:r>
      <w:r>
        <w:rPr>
          <w:rFonts w:hint="eastAsia" w:ascii="宋体" w:hAnsi="宋体" w:eastAsia="宋体" w:cs="宋体"/>
          <w:bCs/>
          <w:sz w:val="24"/>
          <w:szCs w:val="24"/>
          <w:highlight w:val="none"/>
        </w:rPr>
        <w:t>、监狱企业证明文件（如有）</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4B8D48F6">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_Toc23831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sz w:val="24"/>
          <w:szCs w:val="24"/>
          <w:highlight w:val="none"/>
          <w:lang w:eastAsia="zh-CN"/>
        </w:rPr>
        <w:t>九</w:t>
      </w:r>
      <w:r>
        <w:rPr>
          <w:rFonts w:hint="eastAsia" w:ascii="宋体" w:hAnsi="宋体" w:eastAsia="宋体" w:cs="宋体"/>
          <w:bCs/>
          <w:sz w:val="24"/>
          <w:szCs w:val="24"/>
          <w:highlight w:val="none"/>
        </w:rPr>
        <w:t>、反商业贿赂承诺书</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_Toc23831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31CB2261">
      <w:pPr>
        <w:pStyle w:val="19"/>
        <w:keepNext w:val="0"/>
        <w:keepLines w:val="0"/>
        <w:pageBreakBefore w:val="0"/>
        <w:tabs>
          <w:tab w:val="right" w:leader="dot" w:pos="8299"/>
        </w:tabs>
        <w:kinsoku/>
        <w:wordWrap/>
        <w:overflowPunct/>
        <w:topLinePunct w:val="0"/>
        <w:autoSpaceDE/>
        <w:autoSpaceDN/>
        <w:bidi w:val="0"/>
        <w:adjustRightInd/>
        <w:snapToGrid/>
        <w:spacing w:after="0" w:afterLines="0" w:line="480" w:lineRule="exact"/>
        <w:ind w:left="0" w:leftChars="0" w:firstLine="218" w:firstLineChars="91"/>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_Toc27343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bCs/>
          <w:kern w:val="2"/>
          <w:sz w:val="24"/>
          <w:szCs w:val="24"/>
          <w:highlight w:val="none"/>
          <w:lang w:val="en-US" w:eastAsia="zh-CN" w:bidi="ar-SA"/>
        </w:rPr>
        <w:t>十、其他材料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_Toc27343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lang w:eastAsia="zh-CN"/>
        </w:rPr>
        <w:fldChar w:fldCharType="end"/>
      </w:r>
    </w:p>
    <w:p w14:paraId="0E1CCB5D">
      <w:pPr>
        <w:pStyle w:val="2"/>
        <w:keepNext w:val="0"/>
        <w:keepLines w:val="0"/>
        <w:pageBreakBefore w:val="0"/>
        <w:kinsoku/>
        <w:wordWrap/>
        <w:overflowPunct/>
        <w:topLinePunct w:val="0"/>
        <w:autoSpaceDE/>
        <w:autoSpaceDN/>
        <w:bidi w:val="0"/>
        <w:adjustRightInd/>
        <w:snapToGrid/>
        <w:spacing w:after="0" w:afterLines="0" w:line="480" w:lineRule="exact"/>
        <w:ind w:left="0" w:leftChars="-95" w:hanging="199" w:hangingChars="83"/>
        <w:textAlignment w:val="auto"/>
        <w:rPr>
          <w:rFonts w:hint="eastAsia"/>
          <w:lang w:eastAsia="zh-CN"/>
        </w:rPr>
        <w:sectPr>
          <w:headerReference r:id="rId5" w:type="default"/>
          <w:footerReference r:id="rId6" w:type="default"/>
          <w:pgSz w:w="11905" w:h="16838"/>
          <w:pgMar w:top="1440" w:right="1803" w:bottom="1440" w:left="1803" w:header="227"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sz w:val="24"/>
          <w:szCs w:val="24"/>
          <w:highlight w:val="none"/>
          <w:lang w:eastAsia="zh-CN"/>
        </w:rPr>
        <w:fldChar w:fldCharType="end"/>
      </w:r>
    </w:p>
    <w:p w14:paraId="78299508">
      <w:pPr>
        <w:pStyle w:val="19"/>
        <w:tabs>
          <w:tab w:val="right" w:leader="underscore" w:pos="8296"/>
        </w:tabs>
        <w:spacing w:after="0" w:afterLines="0" w:line="360" w:lineRule="auto"/>
        <w:ind w:left="0"/>
        <w:jc w:val="center"/>
        <w:outlineLvl w:val="0"/>
        <w:rPr>
          <w:rFonts w:hint="eastAsia" w:ascii="宋体" w:hAnsi="宋体" w:eastAsia="宋体" w:cs="宋体"/>
          <w:b/>
          <w:bCs/>
          <w:color w:val="auto"/>
          <w:sz w:val="32"/>
          <w:szCs w:val="32"/>
          <w:lang w:eastAsia="zh-CN"/>
        </w:rPr>
      </w:pPr>
      <w:bookmarkStart w:id="0" w:name="_Toc30363"/>
      <w:bookmarkStart w:id="1" w:name="_Toc30884"/>
      <w:r>
        <w:rPr>
          <w:rFonts w:hint="eastAsia" w:ascii="宋体" w:hAnsi="宋体" w:cs="宋体"/>
          <w:b/>
          <w:bCs/>
          <w:color w:val="auto"/>
          <w:sz w:val="32"/>
          <w:szCs w:val="32"/>
        </w:rPr>
        <w:t xml:space="preserve">第一章 </w:t>
      </w:r>
      <w:bookmarkEnd w:id="0"/>
      <w:r>
        <w:rPr>
          <w:rFonts w:hint="eastAsia" w:ascii="宋体" w:hAnsi="宋体" w:cs="宋体"/>
          <w:b/>
          <w:bCs/>
          <w:color w:val="auto"/>
          <w:sz w:val="32"/>
          <w:szCs w:val="32"/>
          <w:lang w:eastAsia="zh-CN"/>
        </w:rPr>
        <w:t>竞争性磋商公告</w:t>
      </w:r>
      <w:bookmarkEnd w:id="1"/>
    </w:p>
    <w:p w14:paraId="4A23F06C">
      <w:pPr>
        <w:pStyle w:val="28"/>
        <w:keepNext w:val="0"/>
        <w:keepLines w:val="0"/>
        <w:pageBreakBefore w:val="0"/>
        <w:widowControl/>
        <w:kinsoku/>
        <w:wordWrap/>
        <w:overflowPunct/>
        <w:topLinePunct w:val="0"/>
        <w:autoSpaceDE/>
        <w:autoSpaceDN/>
        <w:bidi w:val="0"/>
        <w:adjustRightInd/>
        <w:snapToGrid/>
        <w:spacing w:before="0" w:after="0" w:line="500" w:lineRule="exact"/>
        <w:jc w:val="center"/>
        <w:textAlignment w:val="auto"/>
        <w:rPr>
          <w:rFonts w:hint="eastAsia"/>
          <w:b/>
          <w:bCs/>
          <w:sz w:val="32"/>
          <w:szCs w:val="32"/>
          <w:lang w:eastAsia="zh-CN"/>
        </w:rPr>
      </w:pPr>
      <w:bookmarkStart w:id="2" w:name="OLE_LINK1"/>
      <w:bookmarkStart w:id="3" w:name="_Toc152045527"/>
      <w:bookmarkStart w:id="4" w:name="_Toc152042303"/>
      <w:bookmarkStart w:id="5" w:name="_Toc144974495"/>
      <w:r>
        <w:rPr>
          <w:rFonts w:hint="eastAsia"/>
          <w:b/>
          <w:bCs/>
          <w:sz w:val="32"/>
          <w:szCs w:val="32"/>
          <w:lang w:eastAsia="zh-CN"/>
        </w:rPr>
        <w:t>息县发展和改革委员会南信合高铁息县站站区规划费用项目</w:t>
      </w:r>
    </w:p>
    <w:p w14:paraId="32C3F5F2">
      <w:pPr>
        <w:pStyle w:val="28"/>
        <w:keepNext w:val="0"/>
        <w:keepLines w:val="0"/>
        <w:pageBreakBefore w:val="0"/>
        <w:widowControl/>
        <w:kinsoku/>
        <w:wordWrap/>
        <w:overflowPunct/>
        <w:topLinePunct w:val="0"/>
        <w:autoSpaceDE/>
        <w:autoSpaceDN/>
        <w:bidi w:val="0"/>
        <w:adjustRightInd/>
        <w:snapToGrid/>
        <w:spacing w:before="0" w:after="0" w:line="500" w:lineRule="exact"/>
        <w:jc w:val="center"/>
        <w:textAlignment w:val="auto"/>
        <w:rPr>
          <w:rFonts w:hint="eastAsia"/>
          <w:b/>
          <w:bCs/>
          <w:sz w:val="32"/>
          <w:szCs w:val="32"/>
          <w:lang w:eastAsia="zh-CN"/>
        </w:rPr>
      </w:pPr>
      <w:r>
        <w:rPr>
          <w:rFonts w:hint="eastAsia"/>
          <w:b/>
          <w:bCs/>
          <w:sz w:val="32"/>
          <w:szCs w:val="32"/>
          <w:lang w:eastAsia="zh-CN"/>
        </w:rPr>
        <w:t>竞争性磋商公告</w:t>
      </w:r>
    </w:p>
    <w:p w14:paraId="4A208649">
      <w:pPr>
        <w:pStyle w:val="30"/>
        <w:rPr>
          <w:rFonts w:hint="eastAsia"/>
          <w:lang w:eastAsia="zh-CN"/>
        </w:rPr>
      </w:pPr>
    </w:p>
    <w:p w14:paraId="410207BE">
      <w:pPr>
        <w:pBdr>
          <w:top w:val="single" w:color="auto" w:sz="4" w:space="1"/>
          <w:left w:val="single" w:color="auto" w:sz="4" w:space="4"/>
          <w:bottom w:val="single" w:color="auto" w:sz="4" w:space="1"/>
          <w:right w:val="single" w:color="auto" w:sz="4" w:space="4"/>
        </w:pBdr>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lang w:eastAsia="zh-CN"/>
        </w:rPr>
        <w:t>项</w:t>
      </w:r>
      <w:r>
        <w:rPr>
          <w:rFonts w:hint="eastAsia" w:ascii="宋体" w:hAnsi="宋体" w:eastAsia="宋体" w:cs="宋体"/>
          <w:sz w:val="24"/>
          <w:szCs w:val="24"/>
        </w:rPr>
        <w:t>目概况</w:t>
      </w:r>
    </w:p>
    <w:p w14:paraId="48B87DF1">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息县发展和改革委员会南信合高铁息县站站区规划费用项目</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采购项目的潜在供应商应在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（全国公共资源交易平台（河南省·息县）</w:t>
      </w:r>
      <w:r>
        <w:rPr>
          <w:rFonts w:hint="eastAsia" w:ascii="宋体" w:hAnsi="宋体" w:eastAsia="宋体" w:cs="宋体"/>
          <w:b w:val="0"/>
          <w:bCs/>
          <w:i w:val="0"/>
          <w:iCs w:val="0"/>
          <w:sz w:val="24"/>
          <w:szCs w:val="24"/>
          <w:highlight w:val="none"/>
          <w:u w:val="single"/>
          <w:lang w:eastAsia="zh-CN"/>
        </w:rPr>
        <w:t>http://ggzyjy.xinyang.gov.cn/xixian/</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获取采购文件，并于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2025 </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3 </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11 </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14 </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30 </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（北京时间）前提交响应文件</w:t>
      </w:r>
      <w:r>
        <w:rPr>
          <w:rFonts w:hint="eastAsia" w:ascii="宋体" w:hAnsi="宋体" w:eastAsia="宋体" w:cs="宋体"/>
          <w:sz w:val="24"/>
          <w:szCs w:val="24"/>
          <w:highlight w:val="none"/>
        </w:rPr>
        <w:t>。</w:t>
      </w:r>
    </w:p>
    <w:p w14:paraId="154D2B0D">
      <w:pPr>
        <w:pStyle w:val="7"/>
        <w:pageBreakBefore w:val="0"/>
        <w:widowControl w:val="0"/>
        <w:tabs>
          <w:tab w:val="left" w:pos="525"/>
        </w:tabs>
        <w:kinsoku/>
        <w:wordWrap/>
        <w:overflowPunct/>
        <w:topLinePunct w:val="0"/>
        <w:autoSpaceDE/>
        <w:autoSpaceDN/>
        <w:bidi w:val="0"/>
        <w:adjustRightInd/>
        <w:snapToGrid/>
        <w:spacing w:before="0" w:beforeLines="0" w:after="0" w:afterLines="0" w:line="360" w:lineRule="auto"/>
        <w:ind w:left="0" w:leftChars="0" w:firstLine="0" w:firstLineChars="0"/>
        <w:textAlignment w:val="auto"/>
        <w:rPr>
          <w:rFonts w:hint="eastAsia" w:ascii="宋体" w:hAnsi="宋体" w:eastAsia="宋体" w:cs="宋体"/>
          <w:b w:val="0"/>
          <w:sz w:val="24"/>
          <w:szCs w:val="24"/>
          <w:highlight w:val="none"/>
        </w:rPr>
      </w:pPr>
      <w:bookmarkStart w:id="6" w:name="_Toc35393798"/>
      <w:bookmarkStart w:id="7" w:name="_Toc24425"/>
      <w:bookmarkStart w:id="8" w:name="_Toc28359089"/>
      <w:bookmarkStart w:id="9" w:name="_Toc13077"/>
      <w:bookmarkStart w:id="10" w:name="_Toc13689"/>
      <w:bookmarkStart w:id="11" w:name="_Toc30364"/>
      <w:bookmarkStart w:id="12" w:name="_Toc35393629"/>
      <w:bookmarkStart w:id="13" w:name="_Toc28359012"/>
      <w:bookmarkStart w:id="14" w:name="_Toc27258"/>
      <w:bookmarkStart w:id="15" w:name="_Toc12313"/>
      <w:bookmarkStart w:id="16" w:name="_Toc18501"/>
      <w:bookmarkStart w:id="17" w:name="_Toc19595"/>
      <w:bookmarkStart w:id="18" w:name="_Toc1732"/>
      <w:r>
        <w:rPr>
          <w:rFonts w:hint="eastAsia" w:ascii="宋体" w:hAnsi="宋体" w:eastAsia="宋体" w:cs="宋体"/>
          <w:b w:val="0"/>
          <w:sz w:val="24"/>
          <w:szCs w:val="24"/>
          <w:highlight w:val="none"/>
        </w:rPr>
        <w:t>一、项目基本情况</w:t>
      </w:r>
      <w:bookmarkEnd w:id="6"/>
      <w:bookmarkEnd w:id="7"/>
      <w:bookmarkEnd w:id="8"/>
      <w:bookmarkEnd w:id="9"/>
      <w:bookmarkEnd w:id="10"/>
      <w:bookmarkEnd w:id="11"/>
      <w:bookmarkEnd w:id="12"/>
      <w:bookmarkEnd w:id="13"/>
      <w:bookmarkEnd w:id="14"/>
      <w:bookmarkEnd w:id="15"/>
      <w:bookmarkEnd w:id="16"/>
      <w:bookmarkEnd w:id="17"/>
      <w:bookmarkEnd w:id="18"/>
    </w:p>
    <w:p w14:paraId="25998C1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编号</w:t>
      </w:r>
      <w:r>
        <w:rPr>
          <w:rFonts w:hint="eastAsia" w:ascii="宋体" w:hAnsi="宋体" w:eastAsia="宋体" w:cs="宋体"/>
          <w:color w:val="auto"/>
          <w:sz w:val="24"/>
          <w:szCs w:val="24"/>
          <w:highlight w:val="none"/>
        </w:rPr>
        <w:t>：息财磋商-202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p>
    <w:p w14:paraId="6EABB02C">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息县发展和改革委员会南信合高铁息县站站区规划费用项目</w:t>
      </w:r>
    </w:p>
    <w:p w14:paraId="4CA8C0DF">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采购方式：</w:t>
      </w:r>
      <w:r>
        <w:rPr>
          <w:rFonts w:hint="eastAsia" w:ascii="宋体" w:hAnsi="宋体" w:eastAsia="宋体" w:cs="宋体"/>
          <w:sz w:val="24"/>
          <w:szCs w:val="24"/>
          <w:lang w:eastAsia="zh-CN"/>
        </w:rPr>
        <w:t>竞争性磋商</w:t>
      </w:r>
    </w:p>
    <w:p w14:paraId="148DA029">
      <w:pPr>
        <w:keepNext w:val="0"/>
        <w:keepLines w:val="0"/>
        <w:pageBreakBefore w:val="0"/>
        <w:widowControl w:val="0"/>
        <w:kinsoku/>
        <w:wordWrap/>
        <w:overflowPunct/>
        <w:topLinePunct w:val="0"/>
        <w:autoSpaceDE/>
        <w:autoSpaceDN/>
        <w:bidi w:val="0"/>
        <w:adjustRightInd/>
        <w:snapToGrid/>
        <w:spacing w:line="500" w:lineRule="exact"/>
        <w:ind w:left="0" w:leftChars="0" w:firstLine="547" w:firstLine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1786000.00</w:t>
      </w:r>
      <w:r>
        <w:rPr>
          <w:rFonts w:hint="eastAsia" w:ascii="宋体" w:hAnsi="宋体" w:eastAsia="宋体" w:cs="宋体"/>
          <w:color w:val="auto"/>
          <w:sz w:val="24"/>
          <w:szCs w:val="24"/>
          <w:highlight w:val="none"/>
        </w:rPr>
        <w:t xml:space="preserve">元 </w:t>
      </w:r>
    </w:p>
    <w:p w14:paraId="6A037792">
      <w:pPr>
        <w:keepNext w:val="0"/>
        <w:keepLines w:val="0"/>
        <w:pageBreakBefore w:val="0"/>
        <w:widowControl w:val="0"/>
        <w:kinsoku/>
        <w:wordWrap/>
        <w:overflowPunct/>
        <w:topLinePunct w:val="0"/>
        <w:autoSpaceDE/>
        <w:autoSpaceDN/>
        <w:bidi w:val="0"/>
        <w:adjustRightInd/>
        <w:snapToGrid/>
        <w:spacing w:line="500" w:lineRule="exact"/>
        <w:ind w:left="0" w:leftChars="0" w:firstLine="784" w:firstLineChars="32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1786000.00</w:t>
      </w:r>
      <w:r>
        <w:rPr>
          <w:rFonts w:hint="eastAsia" w:ascii="宋体" w:hAnsi="宋体" w:eastAsia="宋体" w:cs="宋体"/>
          <w:color w:val="auto"/>
          <w:sz w:val="24"/>
          <w:szCs w:val="24"/>
          <w:highlight w:val="none"/>
        </w:rPr>
        <w:t>元</w:t>
      </w:r>
    </w:p>
    <w:tbl>
      <w:tblPr>
        <w:tblStyle w:val="24"/>
        <w:tblW w:w="99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16"/>
        <w:gridCol w:w="3198"/>
        <w:gridCol w:w="1515"/>
        <w:gridCol w:w="1920"/>
      </w:tblGrid>
      <w:tr w14:paraId="404C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17" w:type="dxa"/>
          </w:tcPr>
          <w:p w14:paraId="64CCDD90">
            <w:pPr>
              <w:pStyle w:val="2"/>
              <w:ind w:left="0" w:leftChars="0" w:firstLine="0" w:firstLineChars="0"/>
              <w:jc w:val="both"/>
              <w:rPr>
                <w:rFonts w:hint="eastAsia" w:eastAsiaTheme="minorEastAsia"/>
                <w:color w:val="auto"/>
                <w:sz w:val="24"/>
                <w:szCs w:val="24"/>
                <w:vertAlign w:val="baseline"/>
                <w:lang w:val="en-US" w:eastAsia="zh-CN"/>
              </w:rPr>
            </w:pPr>
            <w:r>
              <w:rPr>
                <w:rFonts w:hint="eastAsia"/>
                <w:color w:val="auto"/>
                <w:sz w:val="24"/>
                <w:szCs w:val="24"/>
                <w:vertAlign w:val="baseline"/>
                <w:lang w:val="en-US" w:eastAsia="zh-CN"/>
              </w:rPr>
              <w:t>序号</w:t>
            </w:r>
          </w:p>
        </w:tc>
        <w:tc>
          <w:tcPr>
            <w:tcW w:w="2616" w:type="dxa"/>
          </w:tcPr>
          <w:p w14:paraId="444CDCB3">
            <w:pPr>
              <w:pStyle w:val="2"/>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包号</w:t>
            </w:r>
          </w:p>
        </w:tc>
        <w:tc>
          <w:tcPr>
            <w:tcW w:w="3198" w:type="dxa"/>
          </w:tcPr>
          <w:p w14:paraId="589BB180">
            <w:pPr>
              <w:pStyle w:val="2"/>
              <w:jc w:val="center"/>
              <w:rPr>
                <w:rFonts w:hint="eastAsia" w:eastAsiaTheme="minorEastAsia"/>
                <w:color w:val="auto"/>
                <w:sz w:val="24"/>
                <w:szCs w:val="24"/>
                <w:vertAlign w:val="baseline"/>
                <w:lang w:eastAsia="zh-CN"/>
              </w:rPr>
            </w:pPr>
            <w:r>
              <w:rPr>
                <w:rFonts w:hint="eastAsia"/>
                <w:color w:val="auto"/>
                <w:sz w:val="24"/>
                <w:szCs w:val="24"/>
                <w:vertAlign w:val="baseline"/>
                <w:lang w:eastAsia="zh-CN"/>
              </w:rPr>
              <w:t>包名称</w:t>
            </w:r>
          </w:p>
        </w:tc>
        <w:tc>
          <w:tcPr>
            <w:tcW w:w="1515" w:type="dxa"/>
          </w:tcPr>
          <w:p w14:paraId="27D40A2F">
            <w:pPr>
              <w:pStyle w:val="2"/>
              <w:ind w:left="0" w:leftChars="0" w:firstLine="0" w:firstLineChars="0"/>
              <w:jc w:val="both"/>
              <w:rPr>
                <w:rFonts w:hint="eastAsia" w:eastAsiaTheme="minorEastAsia"/>
                <w:color w:val="auto"/>
                <w:sz w:val="24"/>
                <w:szCs w:val="24"/>
                <w:vertAlign w:val="baseline"/>
                <w:lang w:eastAsia="zh-CN"/>
              </w:rPr>
            </w:pPr>
            <w:r>
              <w:rPr>
                <w:rFonts w:hint="eastAsia"/>
                <w:color w:val="auto"/>
                <w:sz w:val="24"/>
                <w:szCs w:val="24"/>
                <w:vertAlign w:val="baseline"/>
                <w:lang w:eastAsia="zh-CN"/>
              </w:rPr>
              <w:t>包预算（元）</w:t>
            </w:r>
          </w:p>
        </w:tc>
        <w:tc>
          <w:tcPr>
            <w:tcW w:w="1920" w:type="dxa"/>
          </w:tcPr>
          <w:p w14:paraId="73B0F3D8">
            <w:pPr>
              <w:pStyle w:val="2"/>
              <w:ind w:left="0" w:leftChars="0" w:firstLine="0" w:firstLineChars="0"/>
              <w:jc w:val="both"/>
              <w:rPr>
                <w:rFonts w:hint="eastAsia" w:eastAsiaTheme="minorEastAsia"/>
                <w:color w:val="auto"/>
                <w:sz w:val="24"/>
                <w:szCs w:val="24"/>
                <w:vertAlign w:val="baseline"/>
                <w:lang w:eastAsia="zh-CN"/>
              </w:rPr>
            </w:pPr>
            <w:r>
              <w:rPr>
                <w:rFonts w:hint="eastAsia"/>
                <w:color w:val="auto"/>
                <w:sz w:val="24"/>
                <w:szCs w:val="24"/>
                <w:vertAlign w:val="baseline"/>
                <w:lang w:eastAsia="zh-CN"/>
              </w:rPr>
              <w:t>包最高限价（元）</w:t>
            </w:r>
          </w:p>
        </w:tc>
      </w:tr>
      <w:tr w14:paraId="196B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717" w:type="dxa"/>
          </w:tcPr>
          <w:p w14:paraId="0A1E203A">
            <w:pPr>
              <w:pStyle w:val="2"/>
              <w:rPr>
                <w:rFonts w:hint="eastAsia" w:eastAsiaTheme="minorEastAsia"/>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2616" w:type="dxa"/>
          </w:tcPr>
          <w:p w14:paraId="61359C41">
            <w:pPr>
              <w:pStyle w:val="2"/>
              <w:ind w:left="0" w:leftChars="0" w:firstLine="0" w:firstLineChars="0"/>
              <w:rPr>
                <w:rFonts w:hint="default" w:eastAsia="宋体"/>
                <w:color w:val="auto"/>
                <w:sz w:val="24"/>
                <w:szCs w:val="24"/>
                <w:vertAlign w:val="baseline"/>
                <w:lang w:val="en-US" w:eastAsia="zh-CN"/>
              </w:rPr>
            </w:pPr>
            <w:r>
              <w:rPr>
                <w:rFonts w:hint="eastAsia" w:ascii="宋体" w:hAnsi="宋体" w:eastAsia="宋体" w:cs="宋体"/>
                <w:color w:val="auto"/>
                <w:sz w:val="24"/>
                <w:szCs w:val="24"/>
                <w:highlight w:val="none"/>
              </w:rPr>
              <w:t>息财磋商-202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4-1</w:t>
            </w:r>
          </w:p>
        </w:tc>
        <w:tc>
          <w:tcPr>
            <w:tcW w:w="3198" w:type="dxa"/>
            <w:vAlign w:val="center"/>
          </w:tcPr>
          <w:p w14:paraId="62E77BDB">
            <w:pPr>
              <w:pStyle w:val="2"/>
              <w:spacing w:line="240" w:lineRule="auto"/>
              <w:ind w:left="0" w:leftChars="0" w:firstLine="0" w:firstLineChars="0"/>
              <w:jc w:val="center"/>
              <w:rPr>
                <w:rFonts w:hint="eastAsia"/>
                <w:color w:val="auto"/>
                <w:sz w:val="24"/>
                <w:szCs w:val="24"/>
                <w:vertAlign w:val="baseline"/>
              </w:rPr>
            </w:pPr>
            <w:r>
              <w:rPr>
                <w:rFonts w:hint="eastAsia" w:ascii="宋体" w:hAnsi="宋体" w:eastAsia="宋体" w:cs="宋体"/>
                <w:color w:val="auto"/>
                <w:sz w:val="24"/>
                <w:szCs w:val="24"/>
                <w:highlight w:val="none"/>
                <w:lang w:eastAsia="zh-CN"/>
              </w:rPr>
              <w:t>息县发展和改革委员会南信合高铁息县站站区规划费用项目</w:t>
            </w:r>
          </w:p>
        </w:tc>
        <w:tc>
          <w:tcPr>
            <w:tcW w:w="1515" w:type="dxa"/>
          </w:tcPr>
          <w:p w14:paraId="13A6C4E6">
            <w:pPr>
              <w:ind w:left="0" w:leftChars="0" w:firstLine="0" w:firstLineChars="0"/>
              <w:jc w:val="center"/>
              <w:rPr>
                <w:rFonts w:hint="default" w:eastAsiaTheme="minorEastAsia"/>
                <w:color w:val="auto"/>
                <w:sz w:val="24"/>
                <w:szCs w:val="24"/>
                <w:vertAlign w:val="baseline"/>
                <w:lang w:val="en-US" w:eastAsia="zh-CN"/>
              </w:rPr>
            </w:pPr>
            <w:r>
              <w:rPr>
                <w:rFonts w:hint="eastAsia" w:ascii="宋体" w:hAnsi="宋体" w:eastAsia="宋体" w:cs="宋体"/>
                <w:color w:val="auto"/>
                <w:sz w:val="24"/>
                <w:szCs w:val="24"/>
                <w:highlight w:val="none"/>
                <w:lang w:val="en-US" w:eastAsia="zh-CN"/>
              </w:rPr>
              <w:t>1786000.00</w:t>
            </w:r>
          </w:p>
        </w:tc>
        <w:tc>
          <w:tcPr>
            <w:tcW w:w="1920" w:type="dxa"/>
          </w:tcPr>
          <w:p w14:paraId="7E03E578">
            <w:pPr>
              <w:ind w:left="0" w:leftChars="0" w:firstLine="0" w:firstLineChars="0"/>
              <w:jc w:val="center"/>
              <w:rPr>
                <w:rFonts w:hint="eastAsia"/>
                <w:color w:val="auto"/>
                <w:sz w:val="24"/>
                <w:szCs w:val="24"/>
                <w:vertAlign w:val="baseline"/>
              </w:rPr>
            </w:pPr>
            <w:r>
              <w:rPr>
                <w:rFonts w:hint="eastAsia" w:ascii="宋体" w:hAnsi="宋体" w:eastAsia="宋体" w:cs="宋体"/>
                <w:color w:val="auto"/>
                <w:sz w:val="24"/>
                <w:szCs w:val="24"/>
                <w:highlight w:val="none"/>
                <w:lang w:val="en-US" w:eastAsia="zh-CN"/>
              </w:rPr>
              <w:t>1786000.00</w:t>
            </w:r>
          </w:p>
        </w:tc>
      </w:tr>
    </w:tbl>
    <w:p w14:paraId="4F92BACD">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5.采购需求：</w:t>
      </w:r>
    </w:p>
    <w:p w14:paraId="4D486DD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lang w:eastAsia="zh-CN"/>
        </w:rPr>
      </w:pPr>
      <w:r>
        <w:rPr>
          <w:rFonts w:hint="eastAsia" w:ascii="宋体" w:hAnsi="宋体" w:cs="宋体"/>
          <w:sz w:val="24"/>
          <w:highlight w:val="none"/>
        </w:rPr>
        <w:t>5.1</w:t>
      </w:r>
      <w:r>
        <w:rPr>
          <w:rFonts w:hint="eastAsia" w:ascii="宋体" w:hAnsi="宋体" w:cs="宋体"/>
          <w:sz w:val="24"/>
          <w:highlight w:val="none"/>
          <w:lang w:eastAsia="zh-CN"/>
        </w:rPr>
        <w:t>磋商</w:t>
      </w:r>
      <w:r>
        <w:rPr>
          <w:rFonts w:hint="eastAsia" w:ascii="宋体" w:hAnsi="宋体" w:cs="宋体"/>
          <w:sz w:val="24"/>
          <w:highlight w:val="none"/>
        </w:rPr>
        <w:t>内容：</w:t>
      </w:r>
      <w:r>
        <w:rPr>
          <w:rFonts w:hint="eastAsia" w:ascii="宋体" w:hAnsi="宋体" w:cs="宋体"/>
          <w:sz w:val="24"/>
          <w:highlight w:val="none"/>
          <w:lang w:eastAsia="zh-CN"/>
        </w:rPr>
        <w:t>息县发展和改革委员会南信合高铁息县站站区规划，包含(1)高铁站区概念性城市设计(约3.0Km2)(2)站前广场概念性方案研究(3)涉铁通道专题研究等</w:t>
      </w:r>
    </w:p>
    <w:p w14:paraId="75EC7F44">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lang w:val="en-US" w:eastAsia="zh-CN"/>
        </w:rPr>
        <w:t>5.2</w:t>
      </w:r>
      <w:r>
        <w:rPr>
          <w:rFonts w:hint="eastAsia" w:ascii="宋体" w:hAnsi="宋体" w:cs="宋体"/>
          <w:sz w:val="24"/>
          <w:highlight w:val="none"/>
        </w:rPr>
        <w:t>资金来源：财政资金，已落实</w:t>
      </w:r>
    </w:p>
    <w:p w14:paraId="1D18F19C">
      <w:pPr>
        <w:pageBreakBefore w:val="0"/>
        <w:kinsoku/>
        <w:wordWrap/>
        <w:overflowPunct/>
        <w:topLinePunct w:val="0"/>
        <w:autoSpaceDE/>
        <w:autoSpaceDN/>
        <w:bidi w:val="0"/>
        <w:adjustRightInd/>
        <w:snapToGrid/>
        <w:spacing w:line="500" w:lineRule="exact"/>
        <w:ind w:firstLine="638" w:firstLineChars="266"/>
        <w:jc w:val="left"/>
        <w:textAlignment w:val="auto"/>
        <w:rPr>
          <w:rFonts w:hint="default" w:ascii="宋体" w:hAnsi="宋体" w:cs="宋体" w:eastAsiaTheme="minorEastAsia"/>
          <w:sz w:val="24"/>
          <w:highlight w:val="none"/>
          <w:lang w:val="en-US" w:eastAsia="zh-CN"/>
        </w:rPr>
      </w:pPr>
      <w:r>
        <w:rPr>
          <w:rFonts w:hint="eastAsia" w:ascii="宋体" w:hAnsi="宋体" w:cs="宋体"/>
          <w:sz w:val="24"/>
          <w:highlight w:val="none"/>
        </w:rPr>
        <w:t>5.3服务期限：</w:t>
      </w:r>
      <w:r>
        <w:rPr>
          <w:rFonts w:hint="eastAsia" w:ascii="宋体" w:hAnsi="宋体" w:cs="宋体"/>
          <w:sz w:val="24"/>
          <w:highlight w:val="none"/>
          <w:lang w:val="en-US" w:eastAsia="zh-CN"/>
        </w:rPr>
        <w:t>自合同签订后180日内</w:t>
      </w:r>
    </w:p>
    <w:p w14:paraId="1052B69D">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5.4质量要求：符合国家现行相关规范及标准要求，确保通过各相关部门审查</w:t>
      </w:r>
    </w:p>
    <w:p w14:paraId="13C3C962">
      <w:pPr>
        <w:pageBreakBefore w:val="0"/>
        <w:kinsoku/>
        <w:wordWrap/>
        <w:overflowPunct/>
        <w:topLinePunct w:val="0"/>
        <w:autoSpaceDE/>
        <w:autoSpaceDN/>
        <w:bidi w:val="0"/>
        <w:adjustRightInd/>
        <w:snapToGrid/>
        <w:spacing w:line="500" w:lineRule="exact"/>
        <w:ind w:firstLine="638" w:firstLineChars="266"/>
        <w:jc w:val="left"/>
        <w:textAlignment w:val="auto"/>
        <w:rPr>
          <w:rFonts w:hint="eastAsia" w:ascii="宋体" w:hAnsi="宋体" w:cs="宋体"/>
          <w:sz w:val="24"/>
          <w:highlight w:val="none"/>
        </w:rPr>
      </w:pPr>
      <w:r>
        <w:rPr>
          <w:rFonts w:hint="eastAsia" w:ascii="宋体" w:hAnsi="宋体" w:cs="宋体"/>
          <w:sz w:val="24"/>
          <w:highlight w:val="none"/>
        </w:rPr>
        <w:t>5.5标段划分：本项目共划分为1个标段</w:t>
      </w:r>
    </w:p>
    <w:p w14:paraId="32EB0C17">
      <w:pPr>
        <w:spacing w:line="500" w:lineRule="exact"/>
        <w:ind w:left="0" w:leftChars="0" w:firstLine="420" w:firstLineChars="175"/>
        <w:jc w:val="left"/>
        <w:rPr>
          <w:rFonts w:hint="eastAsia" w:ascii="宋体" w:hAnsi="宋体" w:cs="宋体"/>
          <w:sz w:val="24"/>
          <w:szCs w:val="24"/>
          <w:highlight w:val="none"/>
          <w:u w:val="single"/>
        </w:rPr>
      </w:pPr>
      <w:r>
        <w:rPr>
          <w:rFonts w:hint="eastAsia" w:ascii="宋体" w:hAnsi="宋体" w:cs="宋体"/>
          <w:sz w:val="24"/>
          <w:szCs w:val="24"/>
          <w:highlight w:val="none"/>
        </w:rPr>
        <w:t>6.合同履行期限：</w:t>
      </w:r>
      <w:r>
        <w:rPr>
          <w:rFonts w:hint="eastAsia" w:ascii="宋体" w:hAnsi="宋体" w:cs="宋体"/>
          <w:sz w:val="24"/>
          <w:highlight w:val="none"/>
          <w:lang w:val="en-US" w:eastAsia="zh-CN"/>
        </w:rPr>
        <w:t>自合同签订后180日内</w:t>
      </w:r>
    </w:p>
    <w:p w14:paraId="31D902D0">
      <w:pPr>
        <w:spacing w:line="500" w:lineRule="exact"/>
        <w:ind w:left="0" w:leftChars="0" w:firstLine="420" w:firstLineChars="175"/>
        <w:jc w:val="left"/>
        <w:rPr>
          <w:rFonts w:hint="eastAsia" w:ascii="宋体" w:hAnsi="宋体" w:cs="宋体"/>
          <w:sz w:val="24"/>
          <w:szCs w:val="24"/>
          <w:highlight w:val="none"/>
        </w:rPr>
      </w:pPr>
      <w:r>
        <w:rPr>
          <w:rFonts w:hint="eastAsia" w:ascii="宋体" w:hAnsi="宋体" w:cs="宋体"/>
          <w:sz w:val="24"/>
          <w:szCs w:val="24"/>
          <w:highlight w:val="none"/>
        </w:rPr>
        <w:t>7.本项目（是/否）接受联合体投标：否</w:t>
      </w:r>
    </w:p>
    <w:p w14:paraId="7CEED48D">
      <w:pPr>
        <w:pStyle w:val="2"/>
        <w:spacing w:after="0" w:line="500" w:lineRule="exact"/>
        <w:ind w:left="0" w:leftChars="0" w:firstLine="420" w:firstLineChars="175"/>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8.是否接受进口产品：</w:t>
      </w:r>
      <w:r>
        <w:rPr>
          <w:rFonts w:hint="eastAsia" w:ascii="宋体" w:hAnsi="宋体" w:eastAsia="宋体" w:cs="宋体"/>
          <w:sz w:val="24"/>
          <w:szCs w:val="24"/>
          <w:highlight w:val="none"/>
          <w:lang w:eastAsia="zh-CN"/>
        </w:rPr>
        <w:t>否</w:t>
      </w:r>
    </w:p>
    <w:p w14:paraId="38084F70">
      <w:pPr>
        <w:pStyle w:val="2"/>
        <w:spacing w:after="0" w:line="500" w:lineRule="exact"/>
        <w:ind w:left="0" w:leftChars="0"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9.是否专门面向中小企业：否</w:t>
      </w:r>
    </w:p>
    <w:p w14:paraId="56064EB3">
      <w:pPr>
        <w:pStyle w:val="7"/>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highlight w:val="none"/>
        </w:rPr>
      </w:pPr>
      <w:bookmarkStart w:id="19" w:name="_Toc8368"/>
      <w:bookmarkStart w:id="20" w:name="_Toc22314"/>
      <w:bookmarkStart w:id="21" w:name="_Toc30543"/>
      <w:bookmarkStart w:id="22" w:name="_Toc18864"/>
      <w:bookmarkStart w:id="23" w:name="_Toc12712"/>
      <w:bookmarkStart w:id="24" w:name="_Toc19866"/>
      <w:bookmarkStart w:id="25" w:name="_Toc35393630"/>
      <w:bookmarkStart w:id="26" w:name="_Toc5017"/>
      <w:bookmarkStart w:id="27" w:name="_Toc28359090"/>
      <w:bookmarkStart w:id="28" w:name="_Toc35393799"/>
      <w:bookmarkStart w:id="29" w:name="_Toc8367"/>
      <w:bookmarkStart w:id="30" w:name="_Toc11451"/>
      <w:bookmarkStart w:id="31" w:name="_Toc28359013"/>
      <w:r>
        <w:rPr>
          <w:rFonts w:hint="eastAsia" w:ascii="宋体" w:hAnsi="宋体" w:eastAsia="宋体" w:cs="宋体"/>
          <w:b w:val="0"/>
          <w:sz w:val="24"/>
          <w:szCs w:val="24"/>
          <w:highlight w:val="none"/>
        </w:rPr>
        <w:t>二、申请人的资格要求</w:t>
      </w:r>
      <w:bookmarkEnd w:id="19"/>
      <w:bookmarkEnd w:id="20"/>
      <w:bookmarkEnd w:id="21"/>
      <w:bookmarkEnd w:id="22"/>
      <w:bookmarkEnd w:id="23"/>
      <w:bookmarkEnd w:id="24"/>
      <w:bookmarkEnd w:id="25"/>
      <w:bookmarkEnd w:id="26"/>
      <w:bookmarkEnd w:id="27"/>
      <w:bookmarkEnd w:id="28"/>
      <w:bookmarkEnd w:id="29"/>
      <w:bookmarkEnd w:id="30"/>
      <w:bookmarkEnd w:id="31"/>
    </w:p>
    <w:p w14:paraId="5EFC82DF">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14:paraId="1BCCD3EA">
      <w:pPr>
        <w:pStyle w:val="21"/>
        <w:keepNext w:val="0"/>
        <w:keepLines w:val="0"/>
        <w:pageBreakBefore w:val="0"/>
        <w:widowControl w:val="0"/>
        <w:kinsoku/>
        <w:overflowPunct/>
        <w:topLinePunct w:val="0"/>
        <w:autoSpaceDE/>
        <w:autoSpaceDN/>
        <w:bidi w:val="0"/>
        <w:snapToGrid/>
        <w:spacing w:before="0" w:beforeAutospacing="0" w:after="0" w:afterAutospacing="0"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sz w:val="24"/>
          <w:szCs w:val="24"/>
          <w:highlight w:val="none"/>
        </w:rPr>
        <w:t>2.落实政府采购政策需满足的资格要求：</w:t>
      </w:r>
      <w:r>
        <w:rPr>
          <w:rFonts w:hint="eastAsia" w:ascii="宋体" w:hAnsi="宋体" w:eastAsia="宋体" w:cs="宋体"/>
          <w:b/>
          <w:bCs/>
          <w:color w:val="auto"/>
          <w:sz w:val="24"/>
          <w:szCs w:val="24"/>
          <w:highlight w:val="none"/>
          <w:lang w:val="en-US" w:eastAsia="zh-CN"/>
        </w:rPr>
        <w:t>本项目</w:t>
      </w:r>
      <w:r>
        <w:rPr>
          <w:rFonts w:hint="eastAsia" w:eastAsia="宋体" w:cs="宋体"/>
          <w:b/>
          <w:bCs/>
          <w:color w:val="auto"/>
          <w:sz w:val="24"/>
          <w:szCs w:val="24"/>
          <w:highlight w:val="none"/>
          <w:lang w:val="en-US" w:eastAsia="zh-CN"/>
        </w:rPr>
        <w:t>非</w:t>
      </w:r>
      <w:r>
        <w:rPr>
          <w:rFonts w:hint="eastAsia" w:ascii="宋体" w:hAnsi="宋体" w:eastAsia="宋体" w:cs="宋体"/>
          <w:b/>
          <w:bCs/>
          <w:color w:val="auto"/>
          <w:sz w:val="24"/>
          <w:szCs w:val="24"/>
          <w:highlight w:val="none"/>
          <w:lang w:val="en-US" w:eastAsia="zh-CN"/>
        </w:rPr>
        <w:t>专门面向中小企业采购。</w:t>
      </w:r>
    </w:p>
    <w:p w14:paraId="1D55784E">
      <w:pPr>
        <w:spacing w:line="500" w:lineRule="exact"/>
        <w:ind w:firstLine="482"/>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本项目落实自主创新产业发展、绿色发展、节能环保、保护环境、扶持不发达地区和少数民族地区、促进中小微企业、监狱企业及残疾人福利性单位发展等政府采购政策。</w:t>
      </w:r>
    </w:p>
    <w:p w14:paraId="3DB3F346">
      <w:pPr>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3.本项目的特定资格要求：</w:t>
      </w:r>
    </w:p>
    <w:p w14:paraId="2F632F01">
      <w:pPr>
        <w:pStyle w:val="7"/>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eastAsia="宋体" w:cs="宋体"/>
          <w:b w:val="0"/>
          <w:bCs/>
          <w:sz w:val="24"/>
          <w:szCs w:val="24"/>
          <w:highlight w:val="none"/>
          <w:lang w:val="en-US" w:eastAsia="zh-CN"/>
        </w:rPr>
      </w:pPr>
      <w:bookmarkStart w:id="32" w:name="_Toc32073"/>
      <w:bookmarkStart w:id="33" w:name="_Toc7836"/>
      <w:bookmarkStart w:id="34" w:name="_Toc7135"/>
      <w:r>
        <w:rPr>
          <w:rFonts w:hint="eastAsia" w:eastAsia="宋体" w:cs="宋体"/>
          <w:b w:val="0"/>
          <w:bCs/>
          <w:sz w:val="24"/>
          <w:szCs w:val="24"/>
          <w:highlight w:val="none"/>
          <w:lang w:val="en-US" w:eastAsia="zh-CN"/>
        </w:rPr>
        <w:t>3.1资质要求：供应商须具有国家建设行政主管部门核发的城乡规划编制甲级资质和工程设计综合甲级资质；拟派本项目负责人须同时具有注册城乡规划师执业资格证书和相关专业高级及以上职称，提供劳动合同和自2024年1月1日以来任意连续3个月在本单位缴纳社会保险证明。</w:t>
      </w:r>
    </w:p>
    <w:p w14:paraId="5BDDD42D">
      <w:pPr>
        <w:pStyle w:val="7"/>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hint="eastAsia" w:eastAsia="宋体" w:cs="宋体"/>
          <w:bCs/>
          <w:sz w:val="24"/>
          <w:szCs w:val="24"/>
          <w:highlight w:val="none"/>
        </w:rPr>
      </w:pPr>
      <w:r>
        <w:rPr>
          <w:rFonts w:hint="eastAsia" w:eastAsia="宋体" w:cs="宋体"/>
          <w:b w:val="0"/>
          <w:bCs/>
          <w:sz w:val="24"/>
          <w:szCs w:val="24"/>
          <w:highlight w:val="none"/>
          <w:lang w:val="en-US" w:eastAsia="zh-CN"/>
        </w:rPr>
        <w:t>3.2</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【提供“国家企业信用信息公示系统”中公示的公司基础信息包含股东及出资信息截图】</w:t>
      </w:r>
      <w:bookmarkEnd w:id="32"/>
      <w:bookmarkEnd w:id="33"/>
      <w:bookmarkEnd w:id="34"/>
    </w:p>
    <w:p w14:paraId="679A915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val="0"/>
          <w:bCs w:val="0"/>
          <w:sz w:val="24"/>
          <w:szCs w:val="28"/>
          <w:highlight w:val="none"/>
        </w:rPr>
      </w:pPr>
      <w:r>
        <w:rPr>
          <w:rFonts w:hint="eastAsia" w:ascii="宋体" w:hAnsi="宋体" w:eastAsia="宋体" w:cs="宋体"/>
          <w:b w:val="0"/>
          <w:bCs w:val="0"/>
          <w:sz w:val="24"/>
          <w:szCs w:val="28"/>
          <w:highlight w:val="none"/>
          <w:lang w:val="en-US" w:eastAsia="zh-CN"/>
        </w:rPr>
        <w:t>3.3</w:t>
      </w:r>
      <w:r>
        <w:rPr>
          <w:rFonts w:hint="eastAsia" w:ascii="宋体" w:hAnsi="宋体" w:eastAsia="宋体" w:cs="宋体"/>
          <w:b w:val="0"/>
          <w:bCs w:val="0"/>
          <w:sz w:val="24"/>
          <w:szCs w:val="28"/>
          <w:highlight w:val="none"/>
        </w:rPr>
        <w:t>本项目适用信用承诺（详见下述要求）</w:t>
      </w:r>
    </w:p>
    <w:p w14:paraId="646AE606">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五</w:t>
      </w:r>
      <w:r>
        <w:rPr>
          <w:rFonts w:hint="eastAsia" w:ascii="宋体" w:hAnsi="宋体" w:cs="宋体"/>
          <w:sz w:val="24"/>
          <w:szCs w:val="24"/>
          <w:highlight w:val="none"/>
        </w:rPr>
        <w:t>、资格审查资料”附件），供应商只需在资格审查环节提供满足相应条件的书面承诺书，不再需要提供以下证明材料：</w:t>
      </w:r>
    </w:p>
    <w:p w14:paraId="343C36D6">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w:t>
      </w:r>
      <w:r>
        <w:rPr>
          <w:rFonts w:hint="eastAsia" w:ascii="宋体" w:hAnsi="宋体" w:cs="宋体"/>
          <w:sz w:val="24"/>
          <w:szCs w:val="24"/>
        </w:rPr>
        <w:t>202</w:t>
      </w:r>
      <w:r>
        <w:rPr>
          <w:rFonts w:hint="eastAsia" w:ascii="宋体" w:hAnsi="宋体" w:cs="宋体"/>
          <w:sz w:val="24"/>
          <w:szCs w:val="24"/>
          <w:lang w:val="en-US" w:eastAsia="zh-CN"/>
        </w:rPr>
        <w:t>2</w:t>
      </w:r>
      <w:r>
        <w:rPr>
          <w:rFonts w:hint="eastAsia" w:ascii="宋体" w:hAnsi="宋体" w:cs="宋体"/>
          <w:sz w:val="24"/>
          <w:szCs w:val="24"/>
        </w:rPr>
        <w:t>年度或202</w:t>
      </w:r>
      <w:r>
        <w:rPr>
          <w:rFonts w:hint="eastAsia" w:ascii="宋体" w:hAnsi="宋体" w:cs="宋体"/>
          <w:sz w:val="24"/>
          <w:szCs w:val="24"/>
          <w:lang w:val="en-US" w:eastAsia="zh-CN"/>
        </w:rPr>
        <w:t>3</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r>
        <w:rPr>
          <w:rFonts w:hint="eastAsia" w:ascii="宋体" w:hAnsi="宋体" w:cs="宋体"/>
          <w:sz w:val="24"/>
          <w:szCs w:val="24"/>
          <w:highlight w:val="none"/>
        </w:rPr>
        <w:t>）；</w:t>
      </w:r>
    </w:p>
    <w:p w14:paraId="4E0F5839">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rPr>
        <w:t>依法免税供应商，应提供相应文件证明</w:t>
      </w:r>
      <w:r>
        <w:rPr>
          <w:rFonts w:hint="eastAsia" w:ascii="宋体" w:hAnsi="宋体" w:cs="宋体"/>
          <w:sz w:val="24"/>
          <w:szCs w:val="24"/>
          <w:highlight w:val="none"/>
        </w:rPr>
        <w:t>）；</w:t>
      </w:r>
    </w:p>
    <w:p w14:paraId="3D4BE75A">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rPr>
        <w:t>依法不需要缴纳社会保障资金的供应商，应提供相应文件证明</w:t>
      </w:r>
      <w:r>
        <w:rPr>
          <w:rFonts w:hint="eastAsia" w:ascii="宋体" w:hAnsi="宋体" w:cs="宋体"/>
          <w:sz w:val="24"/>
          <w:szCs w:val="24"/>
          <w:highlight w:val="none"/>
        </w:rPr>
        <w:t>）；</w:t>
      </w:r>
    </w:p>
    <w:p w14:paraId="28F4491A">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eastAsia="zh-CN"/>
        </w:rPr>
        <w:t>及承诺书</w:t>
      </w:r>
      <w:r>
        <w:rPr>
          <w:rFonts w:hint="eastAsia" w:ascii="宋体" w:hAnsi="宋体" w:cs="宋体"/>
          <w:sz w:val="24"/>
          <w:szCs w:val="24"/>
          <w:highlight w:val="none"/>
        </w:rPr>
        <w:t>）；</w:t>
      </w:r>
    </w:p>
    <w:p w14:paraId="7EB0546A">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w:t>
      </w:r>
      <w:r>
        <w:rPr>
          <w:rFonts w:hint="eastAsia" w:ascii="宋体" w:hAnsi="宋体" w:cs="宋体"/>
          <w:sz w:val="24"/>
          <w:szCs w:val="24"/>
        </w:rPr>
        <w:t>（默认书面声明）</w:t>
      </w:r>
      <w:r>
        <w:rPr>
          <w:rFonts w:hint="eastAsia" w:ascii="宋体" w:hAnsi="宋体" w:cs="宋体"/>
          <w:sz w:val="24"/>
          <w:szCs w:val="24"/>
          <w:highlight w:val="none"/>
        </w:rPr>
        <w:t>；</w:t>
      </w:r>
    </w:p>
    <w:p w14:paraId="264C3A03">
      <w:pPr>
        <w:spacing w:line="500" w:lineRule="exact"/>
        <w:ind w:firstLine="480"/>
        <w:jc w:val="left"/>
        <w:rPr>
          <w:rFonts w:hint="eastAsia" w:ascii="宋体" w:hAnsi="宋体" w:eastAsia="宋体" w:cs="宋体"/>
          <w:b w:val="0"/>
          <w:bCs w:val="0"/>
          <w:sz w:val="24"/>
          <w:szCs w:val="24"/>
        </w:rPr>
      </w:pPr>
      <w:r>
        <w:rPr>
          <w:rFonts w:hint="eastAsia" w:ascii="宋体" w:hAnsi="宋体" w:cs="宋体"/>
          <w:sz w:val="24"/>
          <w:szCs w:val="24"/>
          <w:highlight w:val="none"/>
        </w:rPr>
        <w:t>⑥未被列入失信被执行人、重大税收违法案件当事人名单政府采购严重违法失信行为记录名单的证明材料。（默认</w:t>
      </w:r>
      <w:r>
        <w:rPr>
          <w:rFonts w:hint="eastAsia" w:ascii="宋体" w:hAnsi="宋体" w:cs="宋体"/>
          <w:sz w:val="24"/>
          <w:szCs w:val="24"/>
        </w:rPr>
        <w:t>网页截图</w:t>
      </w:r>
      <w:r>
        <w:rPr>
          <w:rFonts w:hint="eastAsia" w:ascii="宋体" w:hAnsi="宋体" w:cs="宋体"/>
          <w:sz w:val="24"/>
          <w:szCs w:val="24"/>
          <w:highlight w:val="none"/>
        </w:rPr>
        <w:t>）</w:t>
      </w:r>
    </w:p>
    <w:p w14:paraId="5BD0BF31">
      <w:pPr>
        <w:spacing w:line="500" w:lineRule="exact"/>
        <w:ind w:firstLine="480"/>
        <w:jc w:val="left"/>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59970D78">
      <w:pPr>
        <w:pStyle w:val="7"/>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rPr>
      </w:pPr>
      <w:bookmarkStart w:id="35" w:name="_Toc8327"/>
      <w:bookmarkStart w:id="36" w:name="_Toc13112"/>
      <w:bookmarkStart w:id="37" w:name="_Toc22088"/>
      <w:bookmarkStart w:id="38" w:name="_Toc14044"/>
      <w:bookmarkStart w:id="39" w:name="_Toc27024"/>
      <w:bookmarkStart w:id="40" w:name="_Toc23704"/>
      <w:bookmarkStart w:id="41" w:name="_Toc28876"/>
      <w:bookmarkStart w:id="42" w:name="_Toc17803"/>
      <w:r>
        <w:rPr>
          <w:rFonts w:hint="eastAsia" w:ascii="宋体" w:hAnsi="宋体" w:eastAsia="宋体" w:cs="宋体"/>
          <w:b w:val="0"/>
          <w:sz w:val="24"/>
          <w:szCs w:val="24"/>
        </w:rPr>
        <w:t>三、获取采购文件</w:t>
      </w:r>
      <w:bookmarkEnd w:id="35"/>
      <w:bookmarkEnd w:id="36"/>
      <w:bookmarkEnd w:id="37"/>
      <w:bookmarkEnd w:id="38"/>
      <w:bookmarkEnd w:id="39"/>
      <w:bookmarkEnd w:id="40"/>
      <w:bookmarkEnd w:id="41"/>
      <w:bookmarkEnd w:id="42"/>
    </w:p>
    <w:p w14:paraId="7C86BE10">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 xml:space="preserve"> 2025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2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28</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w:t>
      </w:r>
      <w:r>
        <w:rPr>
          <w:rFonts w:hint="eastAsia" w:ascii="宋体" w:hAnsi="宋体" w:eastAsia="宋体" w:cs="宋体"/>
          <w:kern w:val="0"/>
          <w:sz w:val="24"/>
          <w:szCs w:val="24"/>
          <w:highlight w:val="none"/>
        </w:rPr>
        <w:t>至</w:t>
      </w:r>
      <w:r>
        <w:rPr>
          <w:rFonts w:hint="eastAsia" w:ascii="宋体" w:hAnsi="宋体" w:eastAsia="宋体" w:cs="宋体"/>
          <w:sz w:val="24"/>
          <w:szCs w:val="24"/>
          <w:highlight w:val="none"/>
          <w:u w:val="single"/>
          <w:lang w:val="en-US" w:eastAsia="zh-CN"/>
        </w:rPr>
        <w:t xml:space="preserve"> 2025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3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06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shd w:val="clear" w:color="auto" w:fill="FFFFFF"/>
          <w:lang w:bidi="ar"/>
        </w:rPr>
        <w:t>23时59分</w:t>
      </w:r>
      <w:r>
        <w:rPr>
          <w:rFonts w:hint="eastAsia" w:ascii="宋体" w:hAnsi="宋体" w:eastAsia="宋体" w:cs="宋体"/>
          <w:sz w:val="24"/>
          <w:szCs w:val="24"/>
          <w:highlight w:val="none"/>
        </w:rPr>
        <w:t>（北京时间，法定节假日除外）</w:t>
      </w:r>
    </w:p>
    <w:p w14:paraId="422E1D28">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rPr>
        <w:t>地点：全国公共资源交易平台（河南省·息县）官方网站</w:t>
      </w:r>
    </w:p>
    <w:p w14:paraId="4CA67479">
      <w:pPr>
        <w:pageBreakBefore w:val="0"/>
        <w:widowControl w:val="0"/>
        <w:kinsoku/>
        <w:wordWrap/>
        <w:overflowPunct/>
        <w:topLinePunct w:val="0"/>
        <w:autoSpaceDE/>
        <w:autoSpaceDN/>
        <w:bidi w:val="0"/>
        <w:adjustRightInd/>
        <w:snapToGrid/>
        <w:spacing w:line="500" w:lineRule="exact"/>
        <w:ind w:firstLine="54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方式：</w:t>
      </w:r>
    </w:p>
    <w:p w14:paraId="4D0FEC5F">
      <w:pPr>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3.1凡有意参加本项目的</w:t>
      </w:r>
      <w:r>
        <w:rPr>
          <w:rFonts w:hint="eastAsia" w:ascii="宋体" w:hAnsi="宋体" w:eastAsia="宋体" w:cs="宋体"/>
          <w:sz w:val="24"/>
          <w:szCs w:val="24"/>
          <w:lang w:eastAsia="zh-CN"/>
        </w:rPr>
        <w:t>投标供应商</w:t>
      </w:r>
      <w:r>
        <w:rPr>
          <w:rFonts w:hint="eastAsia" w:ascii="宋体" w:hAnsi="宋体" w:eastAsia="宋体" w:cs="宋体"/>
          <w:sz w:val="24"/>
          <w:szCs w:val="24"/>
        </w:rPr>
        <w:t>，请</w:t>
      </w:r>
      <w:r>
        <w:rPr>
          <w:rFonts w:hint="eastAsia" w:ascii="宋体" w:hAnsi="宋体" w:eastAsia="宋体" w:cs="宋体"/>
          <w:sz w:val="24"/>
          <w:szCs w:val="24"/>
          <w:lang w:eastAsia="zh-CN"/>
        </w:rPr>
        <w:t>登录</w:t>
      </w:r>
      <w:r>
        <w:rPr>
          <w:rFonts w:hint="eastAsia" w:ascii="宋体" w:hAnsi="宋体" w:eastAsia="宋体" w:cs="宋体"/>
          <w:sz w:val="24"/>
          <w:szCs w:val="24"/>
        </w:rPr>
        <w:t>“信阳市公共资源交易中心（</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）”网站进行交易主体自主注册，按网站公告通知有关要求填报企业信息并上传有关原件扫描件，不需携带原件到信阳市公共资源交易中心进行审核。</w:t>
      </w:r>
    </w:p>
    <w:p w14:paraId="1D3B54DB">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3.2完成企业诚信库注册后，必须办理CA数字证书方可在网上办理招投标相关业务。</w:t>
      </w:r>
      <w:r>
        <w:rPr>
          <w:rFonts w:hint="eastAsia" w:ascii="宋体" w:hAnsi="宋体" w:eastAsia="宋体" w:cs="宋体"/>
          <w:sz w:val="24"/>
          <w:szCs w:val="24"/>
          <w:lang w:eastAsia="zh-CN"/>
        </w:rPr>
        <w:t>投标供应商</w:t>
      </w:r>
      <w:r>
        <w:rPr>
          <w:rFonts w:hint="eastAsia" w:ascii="宋体" w:hAnsi="宋体" w:eastAsia="宋体" w:cs="宋体"/>
          <w:sz w:val="24"/>
          <w:szCs w:val="24"/>
        </w:rPr>
        <w:t>根据息县公共资源交易网下载中心有关办理CA数字证书的要求，准备好CA办理所需资料，到信阳市公共资源交易中心CA窗口现场办理CA数字证书。</w:t>
      </w:r>
    </w:p>
    <w:p w14:paraId="302FB22C">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eastAsia="宋体" w:cs="宋体"/>
          <w:sz w:val="24"/>
          <w:szCs w:val="24"/>
          <w:lang w:eastAsia="zh-CN"/>
        </w:rPr>
        <w:t>投标供应商</w:t>
      </w:r>
      <w:r>
        <w:rPr>
          <w:rFonts w:hint="eastAsia" w:ascii="宋体" w:hAnsi="宋体" w:eastAsia="宋体" w:cs="宋体"/>
          <w:sz w:val="24"/>
          <w:szCs w:val="24"/>
        </w:rPr>
        <w:t>凭CA数字证书</w:t>
      </w:r>
      <w:r>
        <w:rPr>
          <w:rFonts w:hint="eastAsia" w:ascii="宋体" w:hAnsi="宋体" w:eastAsia="宋体" w:cs="宋体"/>
          <w:sz w:val="24"/>
          <w:szCs w:val="24"/>
          <w:lang w:eastAsia="zh-CN"/>
        </w:rPr>
        <w:t>登录</w:t>
      </w:r>
      <w:r>
        <w:rPr>
          <w:rFonts w:hint="eastAsia" w:ascii="宋体" w:hAnsi="宋体" w:eastAsia="宋体" w:cs="宋体"/>
          <w:sz w:val="24"/>
          <w:szCs w:val="24"/>
        </w:rPr>
        <w:t>会员系统后，即可按网上提示下载招标文件及资料（操作程序详见信阳市公共资源交易中心网站下载中心栏目里</w:t>
      </w:r>
      <w:r>
        <w:rPr>
          <w:rFonts w:hint="eastAsia" w:ascii="宋体" w:hAnsi="宋体" w:eastAsia="宋体" w:cs="宋体"/>
          <w:sz w:val="24"/>
          <w:szCs w:val="24"/>
          <w:lang w:eastAsia="zh-CN"/>
        </w:rPr>
        <w:t>投标供应商</w:t>
      </w:r>
      <w:r>
        <w:rPr>
          <w:rFonts w:hint="eastAsia" w:ascii="宋体" w:hAnsi="宋体" w:eastAsia="宋体" w:cs="宋体"/>
          <w:sz w:val="24"/>
          <w:szCs w:val="24"/>
        </w:rPr>
        <w:t>操作手册）。招标文件(*.XYZF格式)下载后需使用“信阳市投标文件制作工具软件”打开（该工具软件可在“信阳市公共资源交易网</w:t>
      </w:r>
      <w:r>
        <w:rPr>
          <w:rFonts w:hint="eastAsia" w:ascii="宋体" w:hAnsi="宋体" w:eastAsia="宋体" w:cs="宋体"/>
          <w:sz w:val="24"/>
          <w:szCs w:val="24"/>
          <w:lang w:eastAsia="zh-CN"/>
        </w:rPr>
        <w:t>https://ggzyjy.xinyang.gov.cn/</w:t>
      </w:r>
      <w:r>
        <w:rPr>
          <w:rFonts w:hint="eastAsia" w:ascii="宋体" w:hAnsi="宋体" w:eastAsia="宋体" w:cs="宋体"/>
          <w:sz w:val="24"/>
          <w:szCs w:val="24"/>
        </w:rPr>
        <w:t>”网站下载中心栏目内下载或招标文件领取页面下载）。</w:t>
      </w:r>
    </w:p>
    <w:p w14:paraId="06E8BB74">
      <w:pPr>
        <w:pageBreakBefore w:val="0"/>
        <w:kinsoku/>
        <w:wordWrap/>
        <w:overflowPunct/>
        <w:topLinePunct w:val="0"/>
        <w:autoSpaceDE/>
        <w:autoSpaceDN/>
        <w:bidi w:val="0"/>
        <w:adjustRightInd/>
        <w:snapToGrid/>
        <w:spacing w:line="500" w:lineRule="exact"/>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4.售价：0元/份。</w:t>
      </w:r>
    </w:p>
    <w:p w14:paraId="6D57D663">
      <w:pPr>
        <w:pStyle w:val="7"/>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highlight w:val="none"/>
        </w:rPr>
      </w:pPr>
      <w:bookmarkStart w:id="43" w:name="_Toc25172"/>
      <w:bookmarkStart w:id="44" w:name="_Toc35393801"/>
      <w:bookmarkStart w:id="45" w:name="_Toc15454"/>
      <w:bookmarkStart w:id="46" w:name="_Toc4347"/>
      <w:bookmarkStart w:id="47" w:name="_Toc296"/>
      <w:bookmarkStart w:id="48" w:name="_Toc13005"/>
      <w:bookmarkStart w:id="49" w:name="_Toc12880"/>
      <w:bookmarkStart w:id="50" w:name="_Toc28359015"/>
      <w:bookmarkStart w:id="51" w:name="_Toc21396"/>
      <w:bookmarkStart w:id="52" w:name="_Toc17930"/>
      <w:bookmarkStart w:id="53" w:name="_Toc28359092"/>
      <w:bookmarkStart w:id="54" w:name="_Toc35393632"/>
      <w:bookmarkStart w:id="55" w:name="_Toc7673"/>
      <w:r>
        <w:rPr>
          <w:rFonts w:hint="eastAsia" w:ascii="宋体" w:hAnsi="宋体" w:eastAsia="宋体" w:cs="宋体"/>
          <w:b w:val="0"/>
          <w:sz w:val="24"/>
          <w:szCs w:val="24"/>
          <w:highlight w:val="none"/>
        </w:rPr>
        <w:t>四、响应文件提交</w:t>
      </w:r>
      <w:bookmarkEnd w:id="43"/>
      <w:bookmarkEnd w:id="44"/>
      <w:bookmarkEnd w:id="45"/>
      <w:bookmarkEnd w:id="46"/>
      <w:bookmarkEnd w:id="47"/>
      <w:bookmarkEnd w:id="48"/>
      <w:bookmarkEnd w:id="49"/>
      <w:bookmarkEnd w:id="50"/>
      <w:bookmarkEnd w:id="51"/>
      <w:bookmarkEnd w:id="52"/>
      <w:bookmarkEnd w:id="53"/>
      <w:bookmarkEnd w:id="54"/>
      <w:bookmarkEnd w:id="55"/>
    </w:p>
    <w:p w14:paraId="3EAFEB77">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highlight w:val="none"/>
        </w:rPr>
      </w:pPr>
      <w:bookmarkStart w:id="56" w:name="_Toc28020"/>
      <w:bookmarkStart w:id="57" w:name="_Toc13915"/>
      <w:bookmarkStart w:id="58" w:name="_Toc31312"/>
      <w:bookmarkStart w:id="59" w:name="_Toc35393802"/>
      <w:bookmarkStart w:id="60" w:name="_Toc28359093"/>
      <w:bookmarkStart w:id="61" w:name="_Toc12139"/>
      <w:bookmarkStart w:id="62" w:name="_Toc26030"/>
      <w:bookmarkStart w:id="63" w:name="_Toc32160"/>
      <w:bookmarkStart w:id="64" w:name="_Toc28359016"/>
      <w:bookmarkStart w:id="65" w:name="_Toc35393633"/>
      <w:bookmarkStart w:id="66" w:name="_Toc9779"/>
      <w:bookmarkStart w:id="67" w:name="_Toc14105"/>
      <w:r>
        <w:rPr>
          <w:rFonts w:hint="eastAsia" w:ascii="宋体" w:hAnsi="宋体" w:eastAsia="宋体" w:cs="宋体"/>
          <w:sz w:val="24"/>
          <w:szCs w:val="28"/>
          <w:highlight w:val="none"/>
        </w:rPr>
        <w:t>1.时间：</w:t>
      </w:r>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3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11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14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bookmarkEnd w:id="56"/>
      <w:bookmarkEnd w:id="57"/>
      <w:bookmarkEnd w:id="58"/>
    </w:p>
    <w:p w14:paraId="1C2F4774">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highlight w:val="none"/>
        </w:rPr>
      </w:pPr>
      <w:bookmarkStart w:id="68" w:name="_Toc20841"/>
      <w:bookmarkStart w:id="69" w:name="_Toc19561"/>
      <w:bookmarkStart w:id="70" w:name="_Toc18177"/>
      <w:r>
        <w:rPr>
          <w:rFonts w:hint="eastAsia" w:ascii="宋体" w:hAnsi="宋体" w:eastAsia="宋体" w:cs="宋体"/>
          <w:sz w:val="24"/>
          <w:szCs w:val="28"/>
          <w:highlight w:val="none"/>
        </w:rPr>
        <w:t>2.地点：</w:t>
      </w:r>
      <w:bookmarkEnd w:id="68"/>
      <w:r>
        <w:rPr>
          <w:rFonts w:hint="eastAsia" w:ascii="宋体" w:hAnsi="宋体" w:eastAsia="宋体" w:cs="宋体"/>
          <w:sz w:val="24"/>
          <w:szCs w:val="28"/>
          <w:highlight w:val="none"/>
        </w:rPr>
        <w:t>全国公共资源交易平台（河南省·息县）不见面开标大厅</w:t>
      </w:r>
      <w:bookmarkEnd w:id="69"/>
      <w:bookmarkEnd w:id="70"/>
    </w:p>
    <w:p w14:paraId="5D9221DF">
      <w:pPr>
        <w:pStyle w:val="7"/>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highlight w:val="none"/>
        </w:rPr>
      </w:pPr>
      <w:bookmarkStart w:id="71" w:name="_Toc11467"/>
      <w:bookmarkStart w:id="72" w:name="_Toc25454"/>
      <w:r>
        <w:rPr>
          <w:rFonts w:hint="eastAsia" w:ascii="宋体" w:hAnsi="宋体" w:eastAsia="宋体" w:cs="宋体"/>
          <w:b w:val="0"/>
          <w:sz w:val="24"/>
          <w:szCs w:val="24"/>
          <w:highlight w:val="none"/>
        </w:rPr>
        <w:t>五、开启</w:t>
      </w:r>
      <w:bookmarkEnd w:id="59"/>
      <w:bookmarkEnd w:id="60"/>
      <w:bookmarkEnd w:id="61"/>
      <w:bookmarkEnd w:id="62"/>
      <w:bookmarkEnd w:id="63"/>
      <w:bookmarkEnd w:id="64"/>
      <w:bookmarkEnd w:id="65"/>
      <w:bookmarkEnd w:id="66"/>
      <w:bookmarkEnd w:id="67"/>
      <w:bookmarkEnd w:id="71"/>
      <w:bookmarkEnd w:id="72"/>
    </w:p>
    <w:p w14:paraId="74F6A076">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highlight w:val="none"/>
        </w:rPr>
      </w:pPr>
      <w:bookmarkStart w:id="73" w:name="_Toc35393803"/>
      <w:bookmarkStart w:id="74" w:name="_Toc35393634"/>
      <w:bookmarkStart w:id="75" w:name="_Toc16565"/>
      <w:bookmarkStart w:id="76" w:name="_Toc16984"/>
      <w:bookmarkStart w:id="77" w:name="_Toc15559"/>
      <w:bookmarkStart w:id="78" w:name="_Toc28359017"/>
      <w:bookmarkStart w:id="79" w:name="_Toc28359094"/>
      <w:bookmarkStart w:id="80" w:name="_Toc1477"/>
      <w:bookmarkStart w:id="81" w:name="_Toc4683"/>
      <w:bookmarkStart w:id="82" w:name="_Toc30046"/>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截止时间：</w:t>
      </w:r>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3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11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14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分（北京时间）</w:t>
      </w:r>
    </w:p>
    <w:p w14:paraId="367185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sz w:val="24"/>
          <w:szCs w:val="24"/>
          <w:highlight w:val="yellow"/>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地点：</w:t>
      </w:r>
      <w:r>
        <w:rPr>
          <w:rFonts w:hint="eastAsia" w:ascii="宋体" w:hAnsi="宋体" w:eastAsia="宋体" w:cs="宋体"/>
          <w:sz w:val="24"/>
          <w:szCs w:val="28"/>
        </w:rPr>
        <w:t>全国公共资源交易平台（河南省·息县）不见面开标大厅</w:t>
      </w:r>
    </w:p>
    <w:p w14:paraId="132FFDA3">
      <w:pPr>
        <w:pStyle w:val="7"/>
        <w:keepNext w:val="0"/>
        <w:keepLines/>
        <w:pageBreakBefore w:val="0"/>
        <w:widowControl w:val="0"/>
        <w:tabs>
          <w:tab w:val="left" w:pos="525"/>
        </w:tabs>
        <w:kinsoku/>
        <w:wordWrap/>
        <w:overflowPunct/>
        <w:topLinePunct w:val="0"/>
        <w:autoSpaceDE/>
        <w:autoSpaceDN/>
        <w:bidi w:val="0"/>
        <w:adjustRightInd/>
        <w:snapToGrid/>
        <w:spacing w:before="0" w:after="0" w:afterLines="0" w:line="500" w:lineRule="exact"/>
        <w:ind w:left="0" w:leftChars="0" w:firstLine="0" w:firstLineChars="0"/>
        <w:textAlignment w:val="auto"/>
        <w:rPr>
          <w:rFonts w:hint="eastAsia" w:ascii="宋体" w:hAnsi="宋体" w:eastAsia="宋体" w:cs="宋体"/>
          <w:b w:val="0"/>
          <w:sz w:val="24"/>
          <w:szCs w:val="24"/>
        </w:rPr>
      </w:pPr>
      <w:bookmarkStart w:id="83" w:name="_Toc670"/>
      <w:bookmarkStart w:id="84" w:name="_Toc28248"/>
      <w:r>
        <w:rPr>
          <w:rFonts w:hint="eastAsia" w:ascii="宋体" w:hAnsi="宋体" w:eastAsia="宋体" w:cs="宋体"/>
          <w:b w:val="0"/>
          <w:sz w:val="24"/>
          <w:szCs w:val="24"/>
        </w:rPr>
        <w:t>六、</w:t>
      </w:r>
      <w:bookmarkEnd w:id="73"/>
      <w:bookmarkEnd w:id="74"/>
      <w:bookmarkEnd w:id="75"/>
      <w:bookmarkEnd w:id="76"/>
      <w:bookmarkEnd w:id="77"/>
      <w:bookmarkEnd w:id="78"/>
      <w:bookmarkEnd w:id="79"/>
      <w:bookmarkEnd w:id="80"/>
      <w:bookmarkEnd w:id="81"/>
      <w:bookmarkEnd w:id="82"/>
      <w:r>
        <w:rPr>
          <w:rFonts w:hint="eastAsia" w:ascii="宋体" w:hAnsi="宋体" w:eastAsia="宋体" w:cs="宋体"/>
          <w:b w:val="0"/>
          <w:sz w:val="24"/>
          <w:szCs w:val="24"/>
        </w:rPr>
        <w:t>发布公告的媒介及公告期限</w:t>
      </w:r>
      <w:bookmarkEnd w:id="83"/>
      <w:bookmarkEnd w:id="84"/>
    </w:p>
    <w:p w14:paraId="38814136">
      <w:pPr>
        <w:keepNext w:val="0"/>
        <w:keepLines/>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kern w:val="2"/>
          <w:sz w:val="24"/>
          <w:szCs w:val="24"/>
          <w:highlight w:val="none"/>
          <w:lang w:val="en-US" w:eastAsia="zh-CN" w:bidi="ar-SA"/>
        </w:rPr>
      </w:pPr>
      <w:r>
        <w:rPr>
          <w:rFonts w:hint="eastAsia" w:ascii="宋体" w:hAnsi="宋体" w:eastAsia="宋体" w:cs="宋体"/>
          <w:b w:val="0"/>
          <w:bCs/>
          <w:kern w:val="2"/>
          <w:sz w:val="24"/>
          <w:szCs w:val="24"/>
          <w:highlight w:val="none"/>
          <w:lang w:val="en-US" w:eastAsia="zh-CN" w:bidi="ar-SA"/>
        </w:rPr>
        <w:t xml:space="preserve">本次公告在《河南省政府采购网》、《中国招标投标公共服务平台》及《全国公共资源交易平台（河南省•息县）》上发布。 </w:t>
      </w:r>
    </w:p>
    <w:p w14:paraId="5B5BBF0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14:paraId="19645659">
      <w:pPr>
        <w:pStyle w:val="7"/>
        <w:keepNext w:val="0"/>
        <w:keepLines/>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bCs/>
          <w:kern w:val="2"/>
          <w:sz w:val="24"/>
          <w:szCs w:val="24"/>
          <w:highlight w:val="none"/>
          <w:lang w:val="en-US" w:eastAsia="zh-CN" w:bidi="ar-SA"/>
        </w:rPr>
      </w:pPr>
      <w:bookmarkStart w:id="85" w:name="_Toc26494"/>
      <w:bookmarkStart w:id="86" w:name="_Toc7373"/>
      <w:bookmarkStart w:id="87" w:name="_Toc35393635"/>
      <w:bookmarkStart w:id="88" w:name="_Toc27625"/>
      <w:bookmarkStart w:id="89" w:name="_Toc9859"/>
      <w:bookmarkStart w:id="90" w:name="_Toc30345"/>
      <w:bookmarkStart w:id="91" w:name="_Toc18292"/>
      <w:bookmarkStart w:id="92" w:name="_Toc22572"/>
      <w:bookmarkStart w:id="93" w:name="_Toc23087"/>
      <w:bookmarkStart w:id="94" w:name="_Toc35393804"/>
      <w:bookmarkStart w:id="95" w:name="_Toc30608"/>
      <w:r>
        <w:rPr>
          <w:rFonts w:hint="eastAsia" w:ascii="宋体" w:hAnsi="宋体" w:eastAsia="宋体" w:cs="宋体"/>
          <w:b w:val="0"/>
          <w:sz w:val="24"/>
          <w:szCs w:val="24"/>
        </w:rPr>
        <w:t>七、其他补充事宜</w:t>
      </w:r>
      <w:bookmarkEnd w:id="85"/>
      <w:bookmarkEnd w:id="86"/>
      <w:bookmarkEnd w:id="87"/>
      <w:bookmarkEnd w:id="88"/>
      <w:bookmarkEnd w:id="89"/>
      <w:bookmarkEnd w:id="90"/>
      <w:bookmarkEnd w:id="91"/>
      <w:bookmarkEnd w:id="92"/>
      <w:bookmarkEnd w:id="93"/>
      <w:bookmarkEnd w:id="94"/>
      <w:bookmarkEnd w:id="95"/>
      <w:bookmarkStart w:id="96" w:name="_Toc35393636"/>
      <w:bookmarkStart w:id="97" w:name="_Toc28359018"/>
      <w:bookmarkStart w:id="98" w:name="_Toc28359095"/>
      <w:bookmarkStart w:id="99" w:name="_Toc30418"/>
      <w:bookmarkStart w:id="100" w:name="_Toc35393805"/>
    </w:p>
    <w:p w14:paraId="744C8BA8">
      <w:pPr>
        <w:pStyle w:val="3"/>
        <w:pageBreakBefore w:val="0"/>
        <w:widowControl w:val="0"/>
        <w:kinsoku/>
        <w:wordWrap/>
        <w:overflowPunct/>
        <w:topLinePunct w:val="0"/>
        <w:autoSpaceDE/>
        <w:autoSpaceDN/>
        <w:bidi w:val="0"/>
        <w:adjustRightInd/>
        <w:snapToGrid/>
        <w:spacing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101" w:name="_Toc25440"/>
      <w:r>
        <w:rPr>
          <w:rFonts w:hint="eastAsia" w:ascii="宋体" w:hAnsi="宋体" w:eastAsia="宋体" w:cs="宋体"/>
          <w:b w:val="0"/>
          <w:sz w:val="24"/>
          <w:szCs w:val="24"/>
          <w:lang w:val="en-US" w:eastAsia="zh-CN"/>
        </w:rPr>
        <w:t>1.本项目采用“不见面开标”交易方式，不见面开标大厅网址为 https://ggzyjy.xinyang.gov.cn/，投标供应商无需寄送和递交非加密的电子投标文件，无需到现场参加开标会议，无需到达现场提交原件资料。</w:t>
      </w:r>
      <w:bookmarkEnd w:id="101"/>
      <w:r>
        <w:rPr>
          <w:rFonts w:hint="eastAsia" w:ascii="宋体" w:hAnsi="宋体" w:eastAsia="宋体" w:cs="宋体"/>
          <w:b w:val="0"/>
          <w:sz w:val="24"/>
          <w:szCs w:val="24"/>
          <w:lang w:val="en-US" w:eastAsia="zh-CN"/>
        </w:rPr>
        <w:t xml:space="preserve">   </w:t>
      </w:r>
    </w:p>
    <w:p w14:paraId="5C90DDEF">
      <w:pPr>
        <w:pageBreakBefore w:val="0"/>
        <w:widowControl w:val="0"/>
        <w:kinsoku/>
        <w:wordWrap/>
        <w:overflowPunct/>
        <w:topLinePunct w:val="0"/>
        <w:autoSpaceDE/>
        <w:autoSpaceDN/>
        <w:bidi w:val="0"/>
        <w:adjustRightInd/>
        <w:snapToGrid/>
        <w:spacing w:line="500" w:lineRule="exact"/>
        <w:ind w:left="0" w:leftChars="0" w:firstLine="420" w:firstLineChars="175"/>
        <w:textAlignment w:val="auto"/>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2.投标供应商应当在投标截止时间前，使用投标供应商CA数字证书登录不见面开标大厅，在线签到并准时参加开标活动，并在规定时间内完成投标文件解密、答疑澄清等。</w:t>
      </w:r>
    </w:p>
    <w:p w14:paraId="32D1FDFF">
      <w:pPr>
        <w:pStyle w:val="7"/>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102" w:name="_Toc14405"/>
      <w:bookmarkStart w:id="103" w:name="_Toc1355"/>
      <w:bookmarkStart w:id="104" w:name="_Toc21883"/>
      <w:bookmarkStart w:id="105" w:name="_Toc828"/>
      <w:bookmarkStart w:id="106" w:name="_Toc365"/>
      <w:r>
        <w:rPr>
          <w:rFonts w:hint="eastAsia" w:ascii="宋体" w:hAnsi="宋体" w:eastAsia="宋体" w:cs="宋体"/>
          <w:b w:val="0"/>
          <w:sz w:val="24"/>
          <w:szCs w:val="24"/>
          <w:lang w:val="en-US" w:eastAsia="zh-CN"/>
        </w:rPr>
        <w:t>3.逾期解密或者没有准时在线参加开标活动导致的一切后果投标供应商自行承担。</w:t>
      </w:r>
      <w:bookmarkEnd w:id="102"/>
      <w:bookmarkEnd w:id="103"/>
      <w:bookmarkEnd w:id="104"/>
      <w:bookmarkEnd w:id="105"/>
      <w:bookmarkEnd w:id="106"/>
    </w:p>
    <w:p w14:paraId="023310B6">
      <w:pPr>
        <w:pStyle w:val="7"/>
        <w:pageBreakBefore w:val="0"/>
        <w:widowControl w:val="0"/>
        <w:numPr>
          <w:ilvl w:val="0"/>
          <w:numId w:val="0"/>
        </w:numPr>
        <w:kinsoku/>
        <w:wordWrap/>
        <w:overflowPunct/>
        <w:topLinePunct w:val="0"/>
        <w:autoSpaceDE/>
        <w:autoSpaceDN/>
        <w:bidi w:val="0"/>
        <w:adjustRightInd/>
        <w:snapToGrid/>
        <w:spacing w:before="0" w:after="0" w:line="500" w:lineRule="exact"/>
        <w:ind w:left="0" w:leftChars="0" w:firstLine="420" w:firstLineChars="175"/>
        <w:textAlignment w:val="auto"/>
        <w:rPr>
          <w:rFonts w:hint="eastAsia" w:ascii="宋体" w:hAnsi="宋体" w:eastAsia="宋体" w:cs="宋体"/>
          <w:b w:val="0"/>
          <w:sz w:val="24"/>
          <w:szCs w:val="24"/>
          <w:lang w:val="en-US" w:eastAsia="zh-CN"/>
        </w:rPr>
      </w:pPr>
      <w:bookmarkStart w:id="107" w:name="_Toc19622"/>
      <w:bookmarkStart w:id="108" w:name="_Toc3310"/>
      <w:bookmarkStart w:id="109" w:name="_Toc25971"/>
      <w:bookmarkStart w:id="110" w:name="_Toc9417"/>
      <w:bookmarkStart w:id="111" w:name="_Toc29309"/>
      <w:r>
        <w:rPr>
          <w:rFonts w:hint="eastAsia" w:ascii="宋体" w:hAnsi="宋体" w:eastAsia="宋体" w:cs="宋体"/>
          <w:b w:val="0"/>
          <w:sz w:val="24"/>
          <w:szCs w:val="24"/>
          <w:lang w:val="en-US" w:eastAsia="zh-CN"/>
        </w:rPr>
        <w:t>4.不见面开标服务的具体事宜，请查阅信阳市公共资源交易中心网站首页—下载中心—信阳市不见面开标大厅系统操作手册。</w:t>
      </w:r>
      <w:bookmarkEnd w:id="107"/>
      <w:bookmarkEnd w:id="108"/>
      <w:bookmarkEnd w:id="109"/>
      <w:bookmarkEnd w:id="110"/>
      <w:bookmarkEnd w:id="111"/>
    </w:p>
    <w:p w14:paraId="38AF99BB">
      <w:pPr>
        <w:pStyle w:val="7"/>
        <w:pageBreakBefore w:val="0"/>
        <w:widowControl w:val="0"/>
        <w:numPr>
          <w:ilvl w:val="0"/>
          <w:numId w:val="0"/>
        </w:numPr>
        <w:kinsoku/>
        <w:wordWrap/>
        <w:overflowPunct/>
        <w:topLinePunct w:val="0"/>
        <w:autoSpaceDE/>
        <w:autoSpaceDN/>
        <w:bidi w:val="0"/>
        <w:adjustRightInd/>
        <w:snapToGrid/>
        <w:spacing w:before="0" w:after="0" w:line="500" w:lineRule="exact"/>
        <w:ind w:firstLine="482" w:firstLineChars="200"/>
        <w:textAlignment w:val="auto"/>
        <w:rPr>
          <w:rFonts w:hint="eastAsia" w:ascii="宋体" w:hAnsi="宋体" w:eastAsia="宋体" w:cs="宋体"/>
          <w:b/>
          <w:bCs/>
          <w:sz w:val="24"/>
          <w:szCs w:val="24"/>
          <w:lang w:val="en-US" w:eastAsia="zh-CN"/>
        </w:rPr>
      </w:pPr>
      <w:bookmarkStart w:id="112" w:name="_Toc13587"/>
      <w:bookmarkStart w:id="113" w:name="_Toc11887"/>
      <w:bookmarkStart w:id="114" w:name="_Toc3440"/>
      <w:bookmarkStart w:id="115" w:name="_Toc27520"/>
      <w:bookmarkStart w:id="116" w:name="_Toc21828"/>
      <w:r>
        <w:rPr>
          <w:rFonts w:hint="eastAsia" w:ascii="宋体" w:hAnsi="宋体" w:eastAsia="宋体" w:cs="宋体"/>
          <w:b/>
          <w:bCs/>
          <w:sz w:val="24"/>
          <w:szCs w:val="24"/>
          <w:lang w:val="en-US" w:eastAsia="zh-CN"/>
        </w:rPr>
        <w:t>特别提示：投标供应商在线签到时，应如实准确的填写授权委托人的联系电话，开标当天请务必保证电话保持畅通。</w:t>
      </w:r>
      <w:bookmarkEnd w:id="112"/>
      <w:bookmarkEnd w:id="113"/>
      <w:bookmarkEnd w:id="114"/>
      <w:bookmarkEnd w:id="115"/>
      <w:bookmarkEnd w:id="116"/>
    </w:p>
    <w:p w14:paraId="127C7E3B">
      <w:pPr>
        <w:pStyle w:val="7"/>
        <w:pageBreakBefore w:val="0"/>
        <w:widowControl w:val="0"/>
        <w:tabs>
          <w:tab w:val="left" w:pos="525"/>
        </w:tabs>
        <w:kinsoku/>
        <w:wordWrap/>
        <w:overflowPunct/>
        <w:topLinePunct w:val="0"/>
        <w:autoSpaceDE/>
        <w:autoSpaceDN/>
        <w:bidi w:val="0"/>
        <w:adjustRightInd/>
        <w:snapToGrid/>
        <w:spacing w:before="0" w:beforeLines="0" w:after="0" w:afterLines="0" w:line="500" w:lineRule="exact"/>
        <w:ind w:left="0" w:leftChars="0" w:firstLine="0" w:firstLineChars="0"/>
        <w:textAlignment w:val="auto"/>
        <w:rPr>
          <w:rFonts w:hint="eastAsia" w:ascii="宋体" w:hAnsi="宋体" w:eastAsia="宋体" w:cs="宋体"/>
          <w:b w:val="0"/>
          <w:sz w:val="24"/>
          <w:szCs w:val="24"/>
        </w:rPr>
      </w:pPr>
      <w:bookmarkStart w:id="117" w:name="_Toc3504"/>
      <w:bookmarkStart w:id="118" w:name="_Toc1319"/>
      <w:bookmarkStart w:id="119" w:name="_Toc6682"/>
      <w:bookmarkStart w:id="120" w:name="_Toc14014"/>
      <w:bookmarkStart w:id="121" w:name="_Toc20033"/>
      <w:bookmarkStart w:id="122" w:name="_Toc17324"/>
      <w:bookmarkStart w:id="123" w:name="_Toc7923"/>
      <w:bookmarkStart w:id="124" w:name="_Toc4486"/>
      <w:r>
        <w:rPr>
          <w:rFonts w:hint="eastAsia" w:ascii="宋体" w:hAnsi="宋体" w:eastAsia="宋体" w:cs="宋体"/>
          <w:b w:val="0"/>
          <w:sz w:val="24"/>
          <w:szCs w:val="24"/>
        </w:rPr>
        <w:t>八、凡对本次采购提出询问，请按以下方式联系。</w:t>
      </w:r>
      <w:bookmarkEnd w:id="96"/>
      <w:bookmarkEnd w:id="97"/>
      <w:bookmarkEnd w:id="98"/>
      <w:bookmarkEnd w:id="99"/>
      <w:bookmarkEnd w:id="100"/>
      <w:bookmarkEnd w:id="117"/>
      <w:bookmarkEnd w:id="118"/>
      <w:bookmarkEnd w:id="119"/>
      <w:bookmarkEnd w:id="120"/>
      <w:bookmarkEnd w:id="121"/>
      <w:bookmarkEnd w:id="122"/>
      <w:bookmarkEnd w:id="123"/>
      <w:bookmarkEnd w:id="124"/>
    </w:p>
    <w:p w14:paraId="0EF2BB7F">
      <w:pPr>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6C895CA7">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bookmarkStart w:id="125" w:name="_Toc28359086"/>
      <w:bookmarkStart w:id="126" w:name="_Toc28359009"/>
      <w:r>
        <w:rPr>
          <w:rFonts w:hint="eastAsia" w:ascii="宋体" w:hAnsi="宋体" w:eastAsia="宋体" w:cs="宋体"/>
          <w:b w:val="0"/>
          <w:bCs w:val="0"/>
          <w:sz w:val="24"/>
          <w:highlight w:val="none"/>
        </w:rPr>
        <w:t>名  称：</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eastAsia="zh-CN"/>
        </w:rPr>
        <w:t>息县发展和改革委员会</w:t>
      </w:r>
      <w:r>
        <w:rPr>
          <w:rFonts w:hint="eastAsia" w:ascii="宋体" w:hAnsi="宋体" w:eastAsia="宋体" w:cs="宋体"/>
          <w:b w:val="0"/>
          <w:bCs w:val="0"/>
          <w:sz w:val="24"/>
          <w:highlight w:val="none"/>
          <w:u w:val="single"/>
        </w:rPr>
        <w:t>　　</w:t>
      </w:r>
    </w:p>
    <w:p w14:paraId="58E6ED82">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地  址：</w:t>
      </w:r>
      <w:r>
        <w:rPr>
          <w:rFonts w:hint="eastAsia" w:ascii="宋体" w:hAnsi="宋体" w:eastAsia="宋体" w:cs="宋体"/>
          <w:b w:val="0"/>
          <w:bCs w:val="0"/>
          <w:sz w:val="24"/>
          <w:highlight w:val="none"/>
          <w:u w:val="single"/>
        </w:rPr>
        <w:t xml:space="preserve">　息县境内          </w:t>
      </w:r>
      <w:r>
        <w:rPr>
          <w:rFonts w:hint="eastAsia" w:ascii="宋体" w:hAnsi="宋体" w:eastAsia="宋体" w:cs="宋体"/>
          <w:b w:val="0"/>
          <w:bCs w:val="0"/>
          <w:sz w:val="24"/>
          <w:highlight w:val="none"/>
          <w:u w:val="none"/>
        </w:rPr>
        <w:t xml:space="preserve"> 　　</w:t>
      </w:r>
    </w:p>
    <w:p w14:paraId="635A249B">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联系人：</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single"/>
          <w:lang w:eastAsia="zh-CN"/>
        </w:rPr>
        <w:t>王俊杰</w:t>
      </w:r>
      <w:r>
        <w:rPr>
          <w:rFonts w:hint="eastAsia" w:ascii="宋体" w:hAnsi="宋体" w:eastAsia="宋体" w:cs="宋体"/>
          <w:b w:val="0"/>
          <w:bCs w:val="0"/>
          <w:sz w:val="24"/>
          <w:highlight w:val="none"/>
          <w:u w:val="single"/>
        </w:rPr>
        <w:t xml:space="preserve">       　</w:t>
      </w:r>
      <w:r>
        <w:rPr>
          <w:rFonts w:hint="eastAsia" w:ascii="宋体" w:hAnsi="宋体" w:eastAsia="宋体" w:cs="宋体"/>
          <w:b w:val="0"/>
          <w:bCs w:val="0"/>
          <w:sz w:val="24"/>
          <w:highlight w:val="none"/>
          <w:u w:val="single"/>
          <w:lang w:val="en-US" w:eastAsia="zh-CN"/>
        </w:rPr>
        <w:t xml:space="preserve">   </w:t>
      </w:r>
      <w:r>
        <w:rPr>
          <w:rFonts w:hint="eastAsia" w:ascii="宋体" w:hAnsi="宋体" w:eastAsia="宋体" w:cs="宋体"/>
          <w:b w:val="0"/>
          <w:bCs w:val="0"/>
          <w:sz w:val="24"/>
          <w:highlight w:val="none"/>
          <w:u w:val="none"/>
        </w:rPr>
        <w:t xml:space="preserve">  　</w:t>
      </w:r>
    </w:p>
    <w:p w14:paraId="4F5DCED6">
      <w:pPr>
        <w:pageBreakBefore w:val="0"/>
        <w:kinsoku/>
        <w:overflowPunct/>
        <w:topLinePunct w:val="0"/>
        <w:bidi w:val="0"/>
        <w:snapToGrid/>
        <w:spacing w:line="500" w:lineRule="exact"/>
        <w:ind w:left="1079" w:leftChars="371" w:hanging="300" w:hangingChars="125"/>
        <w:jc w:val="left"/>
        <w:rPr>
          <w:rFonts w:hint="eastAsia" w:ascii="宋体" w:hAnsi="宋体" w:eastAsia="宋体" w:cs="宋体"/>
          <w:b w:val="0"/>
          <w:bCs w:val="0"/>
          <w:sz w:val="24"/>
          <w:highlight w:val="none"/>
          <w:u w:val="none"/>
          <w:lang w:val="en-US" w:eastAsia="zh-CN"/>
        </w:rPr>
      </w:pPr>
      <w:r>
        <w:rPr>
          <w:rFonts w:hint="eastAsia" w:ascii="宋体" w:hAnsi="宋体" w:eastAsia="宋体" w:cs="宋体"/>
          <w:b w:val="0"/>
          <w:bCs w:val="0"/>
          <w:sz w:val="24"/>
          <w:highlight w:val="none"/>
        </w:rPr>
        <w:t>联系方式：</w:t>
      </w:r>
      <w:r>
        <w:rPr>
          <w:rFonts w:hint="eastAsia" w:ascii="宋体" w:hAnsi="宋体" w:eastAsia="宋体" w:cs="宋体"/>
          <w:b w:val="0"/>
          <w:bCs w:val="0"/>
          <w:sz w:val="24"/>
          <w:highlight w:val="none"/>
          <w:u w:val="single"/>
          <w:lang w:val="en-US" w:eastAsia="zh-CN"/>
        </w:rPr>
        <w:t xml:space="preserve"> 13782901609</w:t>
      </w:r>
      <w:r>
        <w:rPr>
          <w:rFonts w:hint="eastAsia" w:ascii="宋体" w:hAnsi="宋体" w:eastAsia="宋体" w:cs="宋体"/>
          <w:b w:val="0"/>
          <w:bCs w:val="0"/>
          <w:sz w:val="24"/>
          <w:highlight w:val="none"/>
          <w:u w:val="single"/>
        </w:rPr>
        <w:t>　　</w:t>
      </w:r>
      <w:r>
        <w:rPr>
          <w:rFonts w:hint="eastAsia" w:ascii="宋体" w:hAnsi="宋体" w:eastAsia="宋体" w:cs="宋体"/>
          <w:b w:val="0"/>
          <w:bCs w:val="0"/>
          <w:sz w:val="24"/>
          <w:highlight w:val="none"/>
          <w:u w:val="none"/>
          <w:lang w:val="en-US" w:eastAsia="zh-CN"/>
        </w:rPr>
        <w:t xml:space="preserve"> </w:t>
      </w:r>
    </w:p>
    <w:p w14:paraId="311BBEC0">
      <w:pPr>
        <w:pageBreakBefore w:val="0"/>
        <w:kinsoku/>
        <w:wordWrap/>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125"/>
      <w:bookmarkEnd w:id="126"/>
    </w:p>
    <w:p w14:paraId="653E4581">
      <w:pPr>
        <w:spacing w:line="500" w:lineRule="exact"/>
        <w:ind w:firstLine="720" w:firstLineChars="300"/>
        <w:rPr>
          <w:rFonts w:ascii="宋体" w:hAnsi="宋体" w:eastAsia="宋体" w:cs="宋体"/>
          <w:sz w:val="24"/>
          <w:szCs w:val="24"/>
        </w:rPr>
      </w:pPr>
      <w:bookmarkStart w:id="127" w:name="_Toc24689"/>
      <w:bookmarkStart w:id="128" w:name="_Toc14410"/>
      <w:bookmarkStart w:id="129" w:name="_Toc20807"/>
      <w:bookmarkStart w:id="130" w:name="_Toc17288"/>
      <w:bookmarkStart w:id="131" w:name="_Toc9592"/>
      <w:bookmarkStart w:id="132" w:name="_Toc4278"/>
      <w:bookmarkStart w:id="133" w:name="_Toc19772"/>
      <w:bookmarkStart w:id="134" w:name="_Toc27644"/>
      <w:bookmarkStart w:id="135" w:name="_Toc29818"/>
      <w:bookmarkStart w:id="136" w:name="_Toc28359021"/>
      <w:bookmarkStart w:id="137" w:name="_Toc35393639"/>
      <w:bookmarkStart w:id="138" w:name="_Toc35393808"/>
      <w:bookmarkStart w:id="139" w:name="_Toc28359098"/>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河南省亿达工程管理咨询有限公司</w:t>
      </w:r>
      <w:r>
        <w:rPr>
          <w:rFonts w:hint="eastAsia" w:ascii="宋体" w:hAnsi="宋体" w:eastAsia="宋体" w:cs="宋体"/>
          <w:sz w:val="24"/>
          <w:szCs w:val="24"/>
          <w:u w:val="single"/>
        </w:rPr>
        <w:t>　　</w:t>
      </w:r>
    </w:p>
    <w:p w14:paraId="6160E8D9">
      <w:pPr>
        <w:spacing w:line="500" w:lineRule="exact"/>
        <w:ind w:firstLine="720" w:firstLineChars="300"/>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郑州市青年路玉凤路交叉口升龙环球大厦C座2605室</w:t>
      </w:r>
      <w:r>
        <w:rPr>
          <w:rFonts w:hint="eastAsia" w:ascii="宋体" w:hAnsi="宋体" w:eastAsia="宋体" w:cs="宋体"/>
          <w:sz w:val="24"/>
          <w:szCs w:val="24"/>
        </w:rPr>
        <w:t xml:space="preserve">　    </w:t>
      </w:r>
    </w:p>
    <w:p w14:paraId="4C96324D">
      <w:pPr>
        <w:spacing w:line="500" w:lineRule="exact"/>
        <w:ind w:firstLine="720" w:firstLineChars="300"/>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张俊峰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0945289">
      <w:pPr>
        <w:pStyle w:val="7"/>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720" w:firstLineChars="3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b w:val="0"/>
          <w:bCs/>
          <w:sz w:val="24"/>
          <w:szCs w:val="24"/>
          <w:highlight w:val="none"/>
        </w:rPr>
        <w:t>联系电话：</w:t>
      </w:r>
      <w:r>
        <w:rPr>
          <w:rFonts w:hint="eastAsia" w:ascii="宋体" w:hAnsi="宋体" w:eastAsia="宋体" w:cs="宋体"/>
          <w:b w:val="0"/>
          <w:bCs/>
          <w:sz w:val="24"/>
          <w:szCs w:val="24"/>
          <w:highlight w:val="none"/>
          <w:u w:val="single"/>
        </w:rPr>
        <w:t xml:space="preserve">  </w:t>
      </w:r>
      <w:r>
        <w:rPr>
          <w:rFonts w:hint="eastAsia" w:eastAsia="宋体" w:cs="宋体"/>
          <w:b w:val="0"/>
          <w:bCs/>
          <w:sz w:val="24"/>
          <w:szCs w:val="24"/>
          <w:highlight w:val="none"/>
          <w:u w:val="single"/>
          <w:lang w:val="en-US" w:eastAsia="zh-CN"/>
        </w:rPr>
        <w:t>13663972028</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1BFBFD85">
      <w:pPr>
        <w:pStyle w:val="7"/>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firstLine="240" w:firstLineChars="100"/>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w:t>
      </w:r>
      <w:r>
        <w:rPr>
          <w:rFonts w:hint="eastAsia" w:ascii="宋体" w:hAnsi="宋体" w:eastAsia="宋体" w:cs="宋体"/>
          <w:b w:val="0"/>
          <w:sz w:val="24"/>
          <w:szCs w:val="24"/>
          <w:lang w:eastAsia="zh-CN"/>
        </w:rPr>
        <w:t>监督单位</w:t>
      </w:r>
      <w:r>
        <w:rPr>
          <w:rFonts w:hint="eastAsia" w:ascii="宋体" w:hAnsi="宋体" w:eastAsia="宋体" w:cs="宋体"/>
          <w:b w:val="0"/>
          <w:sz w:val="24"/>
          <w:szCs w:val="24"/>
        </w:rPr>
        <w:t>信息</w:t>
      </w:r>
      <w:bookmarkEnd w:id="127"/>
      <w:bookmarkEnd w:id="128"/>
      <w:bookmarkEnd w:id="129"/>
      <w:bookmarkEnd w:id="130"/>
      <w:bookmarkEnd w:id="131"/>
      <w:bookmarkEnd w:id="132"/>
      <w:bookmarkEnd w:id="133"/>
      <w:bookmarkEnd w:id="134"/>
      <w:bookmarkEnd w:id="135"/>
    </w:p>
    <w:p w14:paraId="3DFE66E8">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息县财政局政府采购股</w:t>
      </w:r>
      <w:r>
        <w:rPr>
          <w:rFonts w:hint="eastAsia" w:ascii="宋体" w:hAnsi="宋体" w:eastAsia="宋体" w:cs="宋体"/>
          <w:sz w:val="24"/>
          <w:szCs w:val="24"/>
          <w:u w:val="none"/>
        </w:rPr>
        <w:t>　　</w:t>
      </w:r>
    </w:p>
    <w:p w14:paraId="1B776DAB">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息县谯楼街488号　　　</w:t>
      </w:r>
      <w:r>
        <w:rPr>
          <w:rFonts w:hint="eastAsia" w:ascii="宋体" w:hAnsi="宋体" w:eastAsia="宋体" w:cs="宋体"/>
          <w:sz w:val="24"/>
          <w:szCs w:val="24"/>
          <w:u w:val="none"/>
        </w:rPr>
        <w:t>　　</w:t>
      </w:r>
    </w:p>
    <w:p w14:paraId="323F01BA">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u w:val="single"/>
          <w:lang w:eastAsia="zh-CN"/>
        </w:rPr>
        <w:t>张娟</w:t>
      </w:r>
      <w:r>
        <w:rPr>
          <w:rFonts w:hint="eastAsia" w:ascii="宋体" w:hAnsi="宋体" w:eastAsia="宋体" w:cs="宋体"/>
          <w:sz w:val="24"/>
          <w:szCs w:val="24"/>
          <w:u w:val="single"/>
          <w:lang w:val="en-US" w:eastAsia="zh-CN"/>
        </w:rPr>
        <w:t xml:space="preserve">                  </w:t>
      </w:r>
    </w:p>
    <w:p w14:paraId="3AC0B062">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t>联系</w:t>
      </w:r>
      <w:r>
        <w:rPr>
          <w:rFonts w:hint="eastAsia" w:ascii="宋体" w:hAnsi="宋体" w:eastAsia="宋体" w:cs="宋体"/>
          <w:sz w:val="24"/>
          <w:szCs w:val="24"/>
          <w:lang w:eastAsia="zh-CN"/>
        </w:rPr>
        <w:t>电话</w:t>
      </w:r>
      <w:r>
        <w:rPr>
          <w:rFonts w:hint="eastAsia" w:ascii="宋体" w:hAnsi="宋体" w:eastAsia="宋体" w:cs="宋体"/>
          <w:sz w:val="24"/>
          <w:szCs w:val="24"/>
        </w:rPr>
        <w:t>：</w:t>
      </w:r>
      <w:r>
        <w:rPr>
          <w:rFonts w:hint="eastAsia" w:ascii="宋体" w:hAnsi="宋体" w:eastAsia="宋体" w:cs="宋体"/>
          <w:sz w:val="24"/>
          <w:szCs w:val="24"/>
          <w:u w:val="single"/>
        </w:rPr>
        <w:t>0376-5935027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none"/>
        </w:rPr>
        <w:t>　　</w:t>
      </w:r>
    </w:p>
    <w:p w14:paraId="670B93BD">
      <w:pPr>
        <w:pStyle w:val="7"/>
        <w:pageBreakBefore w:val="0"/>
        <w:widowControl w:val="0"/>
        <w:numPr>
          <w:ilvl w:val="0"/>
          <w:numId w:val="0"/>
        </w:numPr>
        <w:tabs>
          <w:tab w:val="left" w:pos="525"/>
        </w:tabs>
        <w:kinsoku/>
        <w:wordWrap/>
        <w:overflowPunct/>
        <w:topLinePunct w:val="0"/>
        <w:autoSpaceDE/>
        <w:autoSpaceDN/>
        <w:bidi w:val="0"/>
        <w:adjustRightInd/>
        <w:snapToGrid/>
        <w:spacing w:before="0" w:beforeLines="0" w:after="0" w:afterLines="0" w:line="500" w:lineRule="exact"/>
        <w:ind w:leftChars="200"/>
        <w:textAlignment w:val="auto"/>
        <w:rPr>
          <w:rFonts w:hint="eastAsia" w:ascii="宋体" w:hAnsi="宋体" w:eastAsia="宋体" w:cs="宋体"/>
          <w:b w:val="0"/>
          <w:sz w:val="24"/>
          <w:szCs w:val="24"/>
        </w:rPr>
      </w:pPr>
      <w:bookmarkStart w:id="140" w:name="_Toc30951"/>
      <w:bookmarkStart w:id="141" w:name="_Toc451"/>
      <w:bookmarkStart w:id="142" w:name="_Toc23602"/>
      <w:bookmarkStart w:id="143" w:name="_Toc5187"/>
      <w:bookmarkStart w:id="144" w:name="_Toc31910"/>
      <w:bookmarkStart w:id="145" w:name="_Toc18104"/>
      <w:bookmarkStart w:id="146" w:name="_Toc3048"/>
      <w:bookmarkStart w:id="147" w:name="_Toc23715"/>
      <w:bookmarkStart w:id="148" w:name="_Toc16275"/>
      <w:r>
        <w:rPr>
          <w:rFonts w:hint="eastAsia" w:ascii="宋体" w:hAnsi="宋体" w:eastAsia="宋体" w:cs="宋体"/>
          <w:b w:val="0"/>
          <w:sz w:val="24"/>
          <w:szCs w:val="24"/>
          <w:lang w:val="en-US" w:eastAsia="zh-CN"/>
        </w:rPr>
        <w:t>4</w:t>
      </w:r>
      <w:r>
        <w:rPr>
          <w:rFonts w:hint="eastAsia" w:ascii="宋体" w:hAnsi="宋体" w:eastAsia="宋体" w:cs="宋体"/>
          <w:b w:val="0"/>
          <w:sz w:val="24"/>
          <w:szCs w:val="24"/>
        </w:rPr>
        <w:t>.项目联系方式</w:t>
      </w:r>
      <w:bookmarkEnd w:id="136"/>
      <w:bookmarkEnd w:id="137"/>
      <w:bookmarkEnd w:id="138"/>
      <w:bookmarkEnd w:id="139"/>
      <w:bookmarkEnd w:id="140"/>
      <w:bookmarkEnd w:id="141"/>
      <w:bookmarkEnd w:id="142"/>
      <w:bookmarkEnd w:id="143"/>
      <w:bookmarkEnd w:id="144"/>
      <w:bookmarkEnd w:id="145"/>
      <w:bookmarkEnd w:id="146"/>
      <w:bookmarkEnd w:id="147"/>
      <w:bookmarkEnd w:id="148"/>
    </w:p>
    <w:p w14:paraId="0DA220BD">
      <w:pPr>
        <w:pStyle w:val="13"/>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highlight w:val="none"/>
          <w:u w:val="single"/>
        </w:rPr>
        <w:t>张俊峰</w:t>
      </w:r>
      <w:r>
        <w:rPr>
          <w:rFonts w:hint="eastAsia" w:hAnsi="宋体" w:eastAsia="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11DE73DE">
      <w:pPr>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电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13663972028 </w:t>
      </w:r>
      <w:r>
        <w:rPr>
          <w:rFonts w:hint="eastAsia" w:ascii="宋体" w:hAnsi="宋体" w:eastAsia="宋体" w:cs="宋体"/>
          <w:sz w:val="24"/>
          <w:szCs w:val="24"/>
          <w:u w:val="single"/>
        </w:rPr>
        <w:t>　　</w:t>
      </w:r>
    </w:p>
    <w:p w14:paraId="19E46035">
      <w:pPr>
        <w:pStyle w:val="6"/>
        <w:numPr>
          <w:ilvl w:val="0"/>
          <w:numId w:val="0"/>
        </w:numPr>
        <w:spacing w:after="0" w:line="360" w:lineRule="auto"/>
        <w:ind w:firstLine="2891" w:firstLineChars="900"/>
        <w:jc w:val="both"/>
        <w:rPr>
          <w:rFonts w:hint="eastAsia" w:ascii="宋体" w:hAnsi="宋体" w:cs="宋体"/>
          <w:sz w:val="32"/>
          <w:szCs w:val="32"/>
          <w:lang w:eastAsia="zh-CN"/>
        </w:rPr>
      </w:pPr>
    </w:p>
    <w:p w14:paraId="290D4B1C">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3702E5FC">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67BF5134">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000EB44C">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60BEFB4D">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18830D01">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7C972E92">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0468F81A">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5751F7E0">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6759739F">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79ADC146">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2565A8B5">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7959122D">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7B3FC1C9">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194AA77C">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35C57195">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7AE2110B">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5991740F">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1DA186A8">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3E2B199E">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3EBDD56C">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p w14:paraId="05E7B676">
      <w:pPr>
        <w:pStyle w:val="21"/>
        <w:widowControl w:val="0"/>
        <w:spacing w:before="0" w:beforeAutospacing="0" w:after="0" w:afterAutospacing="0" w:line="400" w:lineRule="exact"/>
        <w:ind w:firstLine="422" w:firstLineChars="200"/>
        <w:rPr>
          <w:rFonts w:hint="eastAsia" w:ascii="宋体" w:hAnsi="宋体" w:eastAsia="宋体" w:cs="宋体"/>
          <w:b/>
          <w:color w:val="auto"/>
          <w:sz w:val="21"/>
          <w:szCs w:val="21"/>
        </w:rPr>
      </w:pPr>
    </w:p>
    <w:bookmarkEnd w:id="2"/>
    <w:p w14:paraId="7F126F44">
      <w:pPr>
        <w:widowControl/>
        <w:spacing w:line="360" w:lineRule="auto"/>
        <w:ind w:firstLine="3296" w:firstLineChars="1026"/>
        <w:jc w:val="both"/>
        <w:outlineLvl w:val="0"/>
        <w:rPr>
          <w:rFonts w:hint="eastAsia" w:ascii="宋体" w:hAnsi="宋体" w:cs="宋体"/>
          <w:b/>
          <w:bCs w:val="0"/>
          <w:color w:val="auto"/>
          <w:sz w:val="32"/>
        </w:rPr>
      </w:pPr>
      <w:bookmarkStart w:id="149" w:name="_Toc13762"/>
      <w:bookmarkStart w:id="150" w:name="_Toc8890"/>
      <w:r>
        <w:rPr>
          <w:rFonts w:hint="eastAsia" w:ascii="宋体" w:hAnsi="宋体" w:cs="宋体"/>
          <w:b/>
          <w:bCs w:val="0"/>
          <w:color w:val="auto"/>
          <w:sz w:val="32"/>
        </w:rPr>
        <w:t>第二章 供应商须知</w:t>
      </w:r>
      <w:bookmarkEnd w:id="3"/>
      <w:bookmarkEnd w:id="4"/>
      <w:bookmarkEnd w:id="5"/>
      <w:bookmarkEnd w:id="149"/>
      <w:bookmarkEnd w:id="150"/>
    </w:p>
    <w:p w14:paraId="34F2896B">
      <w:pPr>
        <w:pStyle w:val="31"/>
        <w:ind w:firstLine="3935" w:firstLineChars="1400"/>
        <w:jc w:val="left"/>
        <w:rPr>
          <w:rFonts w:hint="eastAsia" w:ascii="宋体" w:hAnsi="宋体" w:eastAsia="宋体"/>
          <w:b/>
          <w:bCs/>
          <w:color w:val="auto"/>
        </w:rPr>
      </w:pPr>
      <w:bookmarkStart w:id="151" w:name="_Toc144974496"/>
      <w:bookmarkStart w:id="152" w:name="_Toc471"/>
      <w:bookmarkStart w:id="153" w:name="_Toc152042304"/>
      <w:bookmarkStart w:id="154" w:name="_Toc152045528"/>
      <w:bookmarkStart w:id="155" w:name="_Toc455080107"/>
      <w:bookmarkStart w:id="156" w:name="_Toc12234"/>
      <w:bookmarkStart w:id="157" w:name="_Toc466298090"/>
      <w:bookmarkStart w:id="158" w:name="_Toc27072"/>
      <w:r>
        <w:rPr>
          <w:rFonts w:hint="eastAsia" w:ascii="宋体" w:hAnsi="宋体" w:eastAsia="宋体"/>
          <w:b/>
          <w:bCs/>
          <w:color w:val="auto"/>
        </w:rPr>
        <w:t>供应商须知前附表</w:t>
      </w:r>
      <w:bookmarkEnd w:id="151"/>
      <w:bookmarkEnd w:id="152"/>
      <w:bookmarkEnd w:id="153"/>
      <w:bookmarkEnd w:id="154"/>
      <w:bookmarkEnd w:id="155"/>
      <w:bookmarkEnd w:id="156"/>
      <w:bookmarkEnd w:id="157"/>
      <w:bookmarkEnd w:id="158"/>
    </w:p>
    <w:tbl>
      <w:tblPr>
        <w:tblStyle w:val="23"/>
        <w:tblW w:w="10362" w:type="dxa"/>
        <w:tblInd w:w="-173" w:type="dxa"/>
        <w:tblLayout w:type="fixed"/>
        <w:tblCellMar>
          <w:top w:w="0" w:type="dxa"/>
          <w:left w:w="108" w:type="dxa"/>
          <w:bottom w:w="0" w:type="dxa"/>
          <w:right w:w="108" w:type="dxa"/>
        </w:tblCellMar>
      </w:tblPr>
      <w:tblGrid>
        <w:gridCol w:w="1366"/>
        <w:gridCol w:w="1935"/>
        <w:gridCol w:w="79"/>
        <w:gridCol w:w="6982"/>
      </w:tblGrid>
      <w:tr w14:paraId="7E67F330">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85D037C">
            <w:pPr>
              <w:adjustRightInd w:val="0"/>
              <w:spacing w:line="360" w:lineRule="auto"/>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061B0F">
            <w:pPr>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6D4ABFE">
            <w:pPr>
              <w:adjustRightInd w:val="0"/>
              <w:spacing w:line="36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编  列  内  容</w:t>
            </w:r>
          </w:p>
        </w:tc>
      </w:tr>
      <w:tr w14:paraId="178B6480">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6DF69C8A">
            <w:pPr>
              <w:rPr>
                <w:rFonts w:hint="eastAsia" w:ascii="宋体" w:hAnsi="宋体" w:eastAsia="宋体" w:cs="宋体"/>
                <w:sz w:val="24"/>
                <w:szCs w:val="28"/>
              </w:rPr>
            </w:pPr>
            <w:r>
              <w:rPr>
                <w:rFonts w:hint="eastAsia" w:ascii="宋体" w:hAnsi="宋体" w:eastAsia="宋体" w:cs="宋体"/>
                <w:sz w:val="24"/>
                <w:szCs w:val="28"/>
              </w:rPr>
              <w:t>1.2.1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301C1">
            <w:pPr>
              <w:keepNext w:val="0"/>
              <w:keepLines w:val="0"/>
              <w:pageBreakBefore w:val="0"/>
              <w:widowControl w:val="0"/>
              <w:kinsoku/>
              <w:wordWrap/>
              <w:overflowPunct/>
              <w:topLinePunct w:val="0"/>
              <w:bidi w:val="0"/>
              <w:adjustRightInd w:val="0"/>
              <w:snapToGrid/>
              <w:spacing w:line="500" w:lineRule="exact"/>
              <w:ind w:firstLine="720" w:firstLineChars="3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DBE78C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采购人：</w:t>
            </w:r>
            <w:r>
              <w:rPr>
                <w:rFonts w:hint="eastAsia" w:ascii="宋体" w:hAnsi="宋体" w:eastAsia="宋体" w:cs="宋体"/>
                <w:kern w:val="0"/>
                <w:sz w:val="24"/>
                <w:szCs w:val="24"/>
                <w:highlight w:val="none"/>
                <w:lang w:eastAsia="zh-CN"/>
              </w:rPr>
              <w:t>息县发展和改革委员会</w:t>
            </w:r>
          </w:p>
          <w:p w14:paraId="31165A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地址：息县境内</w:t>
            </w:r>
          </w:p>
          <w:p w14:paraId="6A884C7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outlineLvl w:val="9"/>
              <w:rPr>
                <w:rFonts w:hint="eastAsia" w:ascii="宋体" w:hAnsi="宋体" w:eastAsia="宋体" w:cs="宋体"/>
                <w:kern w:val="0"/>
                <w:sz w:val="24"/>
                <w:szCs w:val="24"/>
                <w:highlight w:val="none"/>
                <w:u w:val="none"/>
                <w:lang w:eastAsia="zh-CN"/>
              </w:rPr>
            </w:pPr>
            <w:r>
              <w:rPr>
                <w:rFonts w:hint="eastAsia" w:ascii="宋体" w:hAnsi="宋体" w:eastAsia="宋体" w:cs="宋体"/>
                <w:kern w:val="0"/>
                <w:sz w:val="24"/>
                <w:szCs w:val="24"/>
                <w:highlight w:val="none"/>
              </w:rPr>
              <w:t>联系人：</w:t>
            </w:r>
            <w:r>
              <w:rPr>
                <w:rFonts w:hint="eastAsia" w:ascii="宋体" w:hAnsi="宋体" w:eastAsia="宋体" w:cs="宋体"/>
                <w:b w:val="0"/>
                <w:bCs w:val="0"/>
                <w:sz w:val="24"/>
                <w:highlight w:val="none"/>
                <w:u w:val="none"/>
                <w:lang w:eastAsia="zh-CN"/>
              </w:rPr>
              <w:t>王俊杰</w:t>
            </w:r>
          </w:p>
          <w:p w14:paraId="69E3CAF7">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highlight w:val="none"/>
                <w:u w:val="none"/>
              </w:rPr>
              <w:t>联系</w:t>
            </w:r>
            <w:r>
              <w:rPr>
                <w:rFonts w:hint="eastAsia" w:ascii="宋体" w:hAnsi="宋体" w:eastAsia="宋体" w:cs="宋体"/>
                <w:kern w:val="0"/>
                <w:sz w:val="24"/>
                <w:szCs w:val="24"/>
                <w:highlight w:val="none"/>
                <w:u w:val="none"/>
                <w:lang w:eastAsia="zh-CN"/>
              </w:rPr>
              <w:t>方式</w:t>
            </w:r>
            <w:r>
              <w:rPr>
                <w:rFonts w:hint="eastAsia" w:ascii="宋体" w:hAnsi="宋体" w:eastAsia="宋体" w:cs="宋体"/>
                <w:kern w:val="0"/>
                <w:sz w:val="24"/>
                <w:szCs w:val="24"/>
                <w:highlight w:val="none"/>
                <w:u w:val="none"/>
              </w:rPr>
              <w:t>：13782901609</w:t>
            </w:r>
          </w:p>
        </w:tc>
      </w:tr>
      <w:tr w14:paraId="42A7150F">
        <w:tblPrEx>
          <w:tblCellMar>
            <w:top w:w="0" w:type="dxa"/>
            <w:left w:w="108" w:type="dxa"/>
            <w:bottom w:w="0" w:type="dxa"/>
            <w:right w:w="108" w:type="dxa"/>
          </w:tblCellMar>
        </w:tblPrEx>
        <w:trPr>
          <w:trHeight w:val="176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EE0E8BA">
            <w:pPr>
              <w:rPr>
                <w:rFonts w:hint="eastAsia" w:ascii="宋体" w:hAnsi="宋体" w:eastAsia="宋体" w:cs="宋体"/>
                <w:sz w:val="24"/>
                <w:szCs w:val="28"/>
              </w:rPr>
            </w:pPr>
            <w:r>
              <w:rPr>
                <w:rFonts w:hint="eastAsia" w:ascii="宋体" w:hAnsi="宋体" w:eastAsia="宋体" w:cs="宋体"/>
                <w:sz w:val="24"/>
                <w:szCs w:val="28"/>
              </w:rPr>
              <w:t>1.2.2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FB776B2">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81D34AA">
            <w:pPr>
              <w:adjustRightInd w:val="0"/>
              <w:spacing w:line="500" w:lineRule="exact"/>
              <w:ind w:firstLine="0" w:firstLineChars="0"/>
              <w:jc w:val="left"/>
              <w:rPr>
                <w:rFonts w:ascii="宋体" w:hAnsi="宋体" w:eastAsia="宋体" w:cs="宋体"/>
                <w:sz w:val="24"/>
                <w:highlight w:val="none"/>
              </w:rPr>
            </w:pPr>
            <w:r>
              <w:rPr>
                <w:rFonts w:hint="eastAsia" w:ascii="宋体" w:hAnsi="宋体" w:eastAsia="宋体" w:cs="宋体"/>
                <w:kern w:val="0"/>
                <w:sz w:val="24"/>
                <w:szCs w:val="24"/>
                <w:highlight w:val="none"/>
              </w:rPr>
              <w:t>采购代理机构：河南省亿达工程管理咨询有限公司　</w:t>
            </w:r>
          </w:p>
          <w:p w14:paraId="151AA26D">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地址：郑州市青年路玉凤路交叉口升龙环球大厦C座2605室</w:t>
            </w:r>
          </w:p>
          <w:p w14:paraId="72D21123">
            <w:pPr>
              <w:adjustRightInd w:val="0"/>
              <w:spacing w:line="500" w:lineRule="exact"/>
              <w:ind w:firstLine="0" w:firstLineChars="0"/>
              <w:jc w:val="left"/>
              <w:rPr>
                <w:rFonts w:ascii="宋体" w:hAnsi="宋体" w:cs="宋体"/>
                <w:sz w:val="24"/>
                <w:highlight w:val="none"/>
              </w:rPr>
            </w:pPr>
            <w:r>
              <w:rPr>
                <w:rFonts w:hint="eastAsia" w:ascii="宋体" w:hAnsi="宋体" w:cs="宋体"/>
                <w:sz w:val="24"/>
                <w:highlight w:val="none"/>
              </w:rPr>
              <w:t>联系人：张俊峰</w:t>
            </w:r>
          </w:p>
          <w:p w14:paraId="33AA0804">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lang w:val="en-US" w:eastAsia="zh-CN"/>
              </w:rPr>
            </w:pPr>
            <w:r>
              <w:rPr>
                <w:rFonts w:hint="eastAsia" w:ascii="宋体" w:hAnsi="宋体" w:cs="宋体"/>
                <w:sz w:val="24"/>
                <w:highlight w:val="none"/>
              </w:rPr>
              <w:t>联系</w:t>
            </w:r>
            <w:r>
              <w:rPr>
                <w:rFonts w:hint="eastAsia" w:ascii="宋体" w:hAnsi="宋体" w:cs="宋体"/>
                <w:sz w:val="24"/>
                <w:highlight w:val="none"/>
                <w:lang w:eastAsia="zh-CN"/>
              </w:rPr>
              <w:t>方式</w:t>
            </w:r>
            <w:r>
              <w:rPr>
                <w:rFonts w:hint="eastAsia" w:ascii="宋体" w:hAnsi="宋体" w:cs="宋体"/>
                <w:sz w:val="24"/>
                <w:highlight w:val="none"/>
              </w:rPr>
              <w:t>： 13663972028</w:t>
            </w:r>
            <w:bookmarkStart w:id="1464" w:name="_GoBack"/>
            <w:bookmarkEnd w:id="1464"/>
          </w:p>
        </w:tc>
      </w:tr>
      <w:tr w14:paraId="7195DBBC">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C199068">
            <w:pPr>
              <w:rPr>
                <w:rFonts w:hint="eastAsia" w:ascii="宋体" w:hAnsi="宋体" w:eastAsia="宋体" w:cs="宋体"/>
                <w:sz w:val="24"/>
                <w:szCs w:val="28"/>
              </w:rPr>
            </w:pPr>
            <w:r>
              <w:rPr>
                <w:rFonts w:hint="eastAsia" w:ascii="宋体" w:hAnsi="宋体" w:eastAsia="宋体" w:cs="宋体"/>
                <w:sz w:val="24"/>
                <w:szCs w:val="28"/>
              </w:rPr>
              <w:t>1.2.3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52A7AB3">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E8C9D94">
            <w:pPr>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sz w:val="24"/>
                <w:szCs w:val="24"/>
                <w:lang w:eastAsia="zh-CN"/>
              </w:rPr>
            </w:pPr>
            <w:r>
              <w:rPr>
                <w:rFonts w:hint="eastAsia" w:ascii="宋体" w:hAnsi="宋体" w:eastAsia="宋体" w:cs="宋体"/>
                <w:color w:val="000000"/>
                <w:sz w:val="24"/>
                <w:lang w:eastAsia="zh-CN"/>
              </w:rPr>
              <w:t>息县发展和改革委员会南信合高铁息县站站区规划费用项目</w:t>
            </w:r>
          </w:p>
        </w:tc>
      </w:tr>
      <w:tr w14:paraId="5BA56720">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63E8458">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B356050">
            <w:pPr>
              <w:keepNext w:val="0"/>
              <w:keepLines w:val="0"/>
              <w:pageBreakBefore w:val="0"/>
              <w:widowControl w:val="0"/>
              <w:kinsoku/>
              <w:wordWrap/>
              <w:overflowPunct/>
              <w:topLinePunct w:val="0"/>
              <w:autoSpaceDE w:val="0"/>
              <w:autoSpaceDN w:val="0"/>
              <w:bidi w:val="0"/>
              <w:adjustRightInd w:val="0"/>
              <w:snapToGrid/>
              <w:spacing w:line="500" w:lineRule="exact"/>
              <w:ind w:right="35" w:rightChars="0"/>
              <w:jc w:val="left"/>
              <w:rPr>
                <w:rFonts w:hint="eastAsia" w:ascii="宋体" w:hAnsi="宋体" w:eastAsia="宋体" w:cs="宋体"/>
                <w:color w:val="000000"/>
                <w:spacing w:val="1"/>
                <w:kern w:val="0"/>
                <w:sz w:val="24"/>
                <w:szCs w:val="24"/>
                <w:lang w:val="en-US" w:eastAsia="zh-CN" w:bidi="ar-SA"/>
              </w:rPr>
            </w:pPr>
            <w:r>
              <w:rPr>
                <w:rFonts w:hint="eastAsia" w:ascii="宋体" w:hAnsi="宋体" w:eastAsia="宋体" w:cs="宋体"/>
                <w:color w:val="000000"/>
                <w:spacing w:val="1"/>
                <w:kern w:val="0"/>
                <w:sz w:val="24"/>
                <w:szCs w:val="24"/>
                <w:lang w:eastAsia="zh-CN"/>
              </w:rPr>
              <w:t>采购</w:t>
            </w:r>
            <w:r>
              <w:rPr>
                <w:rFonts w:hint="eastAsia" w:ascii="宋体" w:hAnsi="宋体" w:eastAsia="宋体" w:cs="宋体"/>
                <w:color w:val="000000"/>
                <w:spacing w:val="1"/>
                <w:kern w:val="0"/>
                <w:sz w:val="24"/>
                <w:szCs w:val="24"/>
              </w:rPr>
              <w:t>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CAD94A2">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000000"/>
                <w:spacing w:val="1"/>
                <w:kern w:val="0"/>
                <w:sz w:val="24"/>
                <w:szCs w:val="24"/>
                <w:lang w:val="en-US" w:eastAsia="zh-CN" w:bidi="ar-SA"/>
              </w:rPr>
            </w:pPr>
            <w:r>
              <w:rPr>
                <w:rFonts w:hint="eastAsia" w:ascii="宋体" w:hAnsi="宋体" w:eastAsia="宋体" w:cs="宋体"/>
                <w:color w:val="000000"/>
                <w:spacing w:val="1"/>
                <w:kern w:val="0"/>
                <w:sz w:val="24"/>
                <w:szCs w:val="24"/>
                <w:lang w:val="en-US" w:eastAsia="zh-CN" w:bidi="ar-SA"/>
              </w:rPr>
              <w:t>竞争性磋商</w:t>
            </w:r>
          </w:p>
        </w:tc>
      </w:tr>
      <w:tr w14:paraId="23FD2EFD">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132FB09">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1.2.5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B5E0E46">
            <w:pPr>
              <w:keepNext w:val="0"/>
              <w:keepLines w:val="0"/>
              <w:pageBreakBefore w:val="0"/>
              <w:widowControl w:val="0"/>
              <w:kinsoku/>
              <w:wordWrap/>
              <w:overflowPunct/>
              <w:topLinePunct w:val="0"/>
              <w:autoSpaceDE w:val="0"/>
              <w:autoSpaceDN w:val="0"/>
              <w:bidi w:val="0"/>
              <w:adjustRightInd w:val="0"/>
              <w:snapToGrid/>
              <w:spacing w:line="500" w:lineRule="exact"/>
              <w:jc w:val="left"/>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eastAsia="zh-CN"/>
              </w:rPr>
              <w:t>采购预算价</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6119349">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采购预算价：</w:t>
            </w:r>
            <w:r>
              <w:rPr>
                <w:rFonts w:hint="eastAsia" w:ascii="宋体" w:hAnsi="宋体" w:eastAsia="宋体" w:cs="宋体"/>
                <w:color w:val="000000"/>
                <w:kern w:val="0"/>
                <w:sz w:val="24"/>
                <w:szCs w:val="24"/>
                <w:highlight w:val="none"/>
                <w:lang w:val="en-US" w:eastAsia="zh-CN"/>
              </w:rPr>
              <w:t>1786000.00</w:t>
            </w:r>
            <w:r>
              <w:rPr>
                <w:rFonts w:hint="eastAsia" w:ascii="宋体" w:hAnsi="宋体" w:eastAsia="宋体" w:cs="宋体"/>
                <w:color w:val="000000"/>
                <w:kern w:val="0"/>
                <w:sz w:val="24"/>
                <w:szCs w:val="24"/>
                <w:highlight w:val="none"/>
              </w:rPr>
              <w:t>元</w:t>
            </w:r>
          </w:p>
          <w:p w14:paraId="4253FA67">
            <w:pPr>
              <w:pStyle w:val="32"/>
              <w:keepNext w:val="0"/>
              <w:keepLines w:val="0"/>
              <w:pageBreakBefore w:val="0"/>
              <w:widowControl w:val="0"/>
              <w:kinsoku/>
              <w:wordWrap/>
              <w:overflowPunct/>
              <w:topLinePunct w:val="0"/>
              <w:bidi w:val="0"/>
              <w:snapToGrid/>
              <w:spacing w:line="500" w:lineRule="exact"/>
              <w:ind w:firstLine="0" w:firstLineChars="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bCs/>
                <w:color w:val="000000"/>
                <w:kern w:val="0"/>
                <w:sz w:val="24"/>
                <w:highlight w:val="none"/>
                <w:lang w:eastAsia="zh-CN"/>
              </w:rPr>
              <w:t>注：各供应商</w:t>
            </w:r>
            <w:r>
              <w:rPr>
                <w:rFonts w:hint="eastAsia" w:ascii="宋体" w:hAnsi="宋体" w:eastAsia="宋体" w:cs="宋体"/>
                <w:b/>
                <w:bCs/>
                <w:color w:val="000000"/>
                <w:kern w:val="0"/>
                <w:sz w:val="24"/>
                <w:highlight w:val="none"/>
              </w:rPr>
              <w:t>投标报价超过采购预算价，按无效投标处理</w:t>
            </w:r>
          </w:p>
        </w:tc>
      </w:tr>
      <w:tr w14:paraId="05D0CB84">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A0A4127">
            <w:pPr>
              <w:rPr>
                <w:rFonts w:hint="eastAsia" w:ascii="宋体" w:hAnsi="宋体" w:eastAsia="宋体" w:cs="宋体"/>
                <w:sz w:val="24"/>
                <w:szCs w:val="28"/>
              </w:rPr>
            </w:pPr>
            <w:r>
              <w:rPr>
                <w:rFonts w:hint="eastAsia" w:ascii="宋体" w:hAnsi="宋体" w:eastAsia="宋体" w:cs="宋体"/>
                <w:sz w:val="24"/>
                <w:szCs w:val="28"/>
              </w:rPr>
              <w:t>1.4.1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6C85F">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磋商内容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49AFA6F6">
            <w:pPr>
              <w:pStyle w:val="12"/>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cs="宋体"/>
                <w:sz w:val="24"/>
                <w:highlight w:val="none"/>
                <w:lang w:eastAsia="zh-CN"/>
              </w:rPr>
              <w:t>息县发展和改革委员会南信合高铁息县站站区规划</w:t>
            </w:r>
          </w:p>
        </w:tc>
      </w:tr>
      <w:tr w14:paraId="58BF63D7">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D6C8DB1">
            <w:pPr>
              <w:rPr>
                <w:rFonts w:hint="eastAsia" w:ascii="宋体" w:hAnsi="宋体" w:eastAsia="宋体" w:cs="宋体"/>
                <w:sz w:val="24"/>
                <w:szCs w:val="28"/>
              </w:rPr>
            </w:pPr>
            <w:r>
              <w:rPr>
                <w:rFonts w:hint="eastAsia" w:ascii="宋体" w:hAnsi="宋体" w:eastAsia="宋体" w:cs="宋体"/>
                <w:sz w:val="24"/>
                <w:szCs w:val="28"/>
              </w:rPr>
              <w:t>1.4.2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39A0F5F">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5C0910C">
            <w:pPr>
              <w:keepNext w:val="0"/>
              <w:keepLines w:val="0"/>
              <w:pageBreakBefore w:val="0"/>
              <w:widowControl w:val="0"/>
              <w:kinsoku/>
              <w:wordWrap/>
              <w:overflowPunct/>
              <w:topLinePunct w:val="0"/>
              <w:bidi w:val="0"/>
              <w:snapToGrid/>
              <w:spacing w:line="5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sz w:val="24"/>
                <w:szCs w:val="24"/>
                <w:highlight w:val="none"/>
                <w:lang w:eastAsia="zh-CN"/>
              </w:rPr>
              <w:t>达到国家相关行业质量合格标准，满足采购人要求</w:t>
            </w:r>
          </w:p>
        </w:tc>
      </w:tr>
      <w:tr w14:paraId="537E2E69">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783A353">
            <w:pPr>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1.4.3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EC5A1A9">
            <w:pPr>
              <w:keepNext w:val="0"/>
              <w:keepLines w:val="0"/>
              <w:pageBreakBefore w:val="0"/>
              <w:widowControl w:val="0"/>
              <w:kinsoku/>
              <w:wordWrap/>
              <w:overflowPunct/>
              <w:topLinePunct w:val="0"/>
              <w:bidi w:val="0"/>
              <w:snapToGrid/>
              <w:spacing w:line="500" w:lineRule="exact"/>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服务期限</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C084E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sz w:val="24"/>
                <w:highlight w:val="none"/>
                <w:lang w:val="en-US" w:eastAsia="zh-CN"/>
              </w:rPr>
              <w:t>自合同签订后180日内</w:t>
            </w:r>
          </w:p>
        </w:tc>
      </w:tr>
      <w:tr w14:paraId="458EE4F1">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FACDE12">
            <w:pPr>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1.4.4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7BB8C45">
            <w:pPr>
              <w:keepNext w:val="0"/>
              <w:keepLines w:val="0"/>
              <w:pageBreakBefore w:val="0"/>
              <w:widowControl w:val="0"/>
              <w:kinsoku/>
              <w:wordWrap/>
              <w:overflowPunct/>
              <w:topLinePunct w:val="0"/>
              <w:bidi w:val="0"/>
              <w:snapToGrid/>
              <w:spacing w:line="500" w:lineRule="exact"/>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付款方式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BA08EF8">
            <w:pPr>
              <w:keepNext w:val="0"/>
              <w:keepLines w:val="0"/>
              <w:pageBreakBefore w:val="0"/>
              <w:widowControl w:val="0"/>
              <w:kinsoku/>
              <w:wordWrap/>
              <w:overflowPunct/>
              <w:topLinePunct w:val="0"/>
              <w:bidi w:val="0"/>
              <w:snapToGrid/>
              <w:spacing w:line="500" w:lineRule="exact"/>
              <w:ind w:left="0" w:leftChars="0"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由甲乙双方协商决定</w:t>
            </w:r>
          </w:p>
        </w:tc>
      </w:tr>
      <w:tr w14:paraId="3180970B">
        <w:tblPrEx>
          <w:tblCellMar>
            <w:top w:w="0" w:type="dxa"/>
            <w:left w:w="108" w:type="dxa"/>
            <w:bottom w:w="0" w:type="dxa"/>
            <w:right w:w="108" w:type="dxa"/>
          </w:tblCellMar>
        </w:tblPrEx>
        <w:trPr>
          <w:trHeight w:val="5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04BF439">
            <w:pPr>
              <w:rPr>
                <w:rFonts w:hint="eastAsia" w:ascii="宋体" w:hAnsi="宋体" w:eastAsia="宋体" w:cs="宋体"/>
                <w:sz w:val="24"/>
                <w:szCs w:val="28"/>
                <w:lang w:val="en-US" w:eastAsia="zh-CN"/>
              </w:rPr>
            </w:pPr>
            <w:r>
              <w:rPr>
                <w:rFonts w:hint="eastAsia" w:ascii="宋体" w:hAnsi="宋体" w:eastAsia="宋体" w:cs="宋体"/>
                <w:sz w:val="24"/>
                <w:szCs w:val="28"/>
              </w:rPr>
              <w:t>1.4.</w:t>
            </w:r>
            <w:r>
              <w:rPr>
                <w:rFonts w:hint="eastAsia" w:ascii="宋体" w:hAnsi="宋体" w:eastAsia="宋体" w:cs="宋体"/>
                <w:sz w:val="24"/>
                <w:szCs w:val="28"/>
                <w:lang w:val="en-US" w:eastAsia="zh-CN"/>
              </w:rPr>
              <w:t>5</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4F824A1">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rPr>
              <w:t>资格审查方式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EA7DDA8">
            <w:pPr>
              <w:pStyle w:val="33"/>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color w:val="auto"/>
                <w:sz w:val="24"/>
                <w:szCs w:val="24"/>
              </w:rPr>
            </w:pPr>
            <w:r>
              <w:rPr>
                <w:rFonts w:hint="eastAsia" w:ascii="宋体" w:hAnsi="宋体" w:eastAsia="宋体" w:cs="宋体"/>
                <w:sz w:val="24"/>
                <w:szCs w:val="24"/>
                <w:lang w:val="en-US" w:eastAsia="zh-CN"/>
              </w:rPr>
              <w:t>资格后审</w:t>
            </w:r>
          </w:p>
        </w:tc>
      </w:tr>
      <w:tr w14:paraId="7F69D4AF">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39D0CB6">
            <w:pPr>
              <w:rPr>
                <w:rFonts w:hint="eastAsia" w:ascii="宋体" w:hAnsi="宋体" w:eastAsia="宋体" w:cs="宋体"/>
                <w:sz w:val="24"/>
                <w:szCs w:val="28"/>
              </w:rPr>
            </w:pPr>
            <w:r>
              <w:rPr>
                <w:rFonts w:hint="eastAsia" w:ascii="宋体" w:hAnsi="宋体" w:eastAsia="宋体" w:cs="宋体"/>
                <w:sz w:val="24"/>
                <w:szCs w:val="28"/>
              </w:rPr>
              <w:t>1.5.1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6F8A2D6">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供应商资质条件及能力要求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5B3C747">
            <w:pPr>
              <w:pStyle w:val="11"/>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sz w:val="24"/>
                <w:szCs w:val="24"/>
              </w:rPr>
              <w:t>详见</w:t>
            </w:r>
            <w:r>
              <w:rPr>
                <w:rFonts w:hint="eastAsia" w:ascii="宋体" w:hAnsi="宋体" w:eastAsia="宋体" w:cs="宋体"/>
                <w:sz w:val="24"/>
                <w:szCs w:val="24"/>
                <w:lang w:eastAsia="zh-CN"/>
              </w:rPr>
              <w:t>磋商</w:t>
            </w:r>
            <w:r>
              <w:rPr>
                <w:rFonts w:hint="eastAsia" w:ascii="宋体" w:hAnsi="宋体" w:eastAsia="宋体" w:cs="宋体"/>
                <w:sz w:val="24"/>
                <w:szCs w:val="24"/>
              </w:rPr>
              <w:t>公告</w:t>
            </w:r>
          </w:p>
        </w:tc>
      </w:tr>
      <w:tr w14:paraId="1173C52A">
        <w:tblPrEx>
          <w:tblCellMar>
            <w:top w:w="0" w:type="dxa"/>
            <w:left w:w="108" w:type="dxa"/>
            <w:bottom w:w="0" w:type="dxa"/>
            <w:right w:w="108" w:type="dxa"/>
          </w:tblCellMar>
        </w:tblPrEx>
        <w:trPr>
          <w:trHeight w:val="39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F627CB4">
            <w:pPr>
              <w:rPr>
                <w:rFonts w:hint="eastAsia" w:ascii="宋体" w:hAnsi="宋体" w:eastAsia="宋体" w:cs="宋体"/>
                <w:sz w:val="24"/>
                <w:szCs w:val="28"/>
              </w:rPr>
            </w:pPr>
            <w:r>
              <w:rPr>
                <w:rFonts w:hint="eastAsia" w:ascii="宋体" w:hAnsi="宋体" w:eastAsia="宋体" w:cs="宋体"/>
                <w:sz w:val="24"/>
                <w:szCs w:val="28"/>
              </w:rPr>
              <w:t>1.5.2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B84335A">
            <w:pPr>
              <w:keepNext w:val="0"/>
              <w:keepLines w:val="0"/>
              <w:pageBreakBefore w:val="0"/>
              <w:widowControl w:val="0"/>
              <w:kinsoku/>
              <w:wordWrap/>
              <w:overflowPunct/>
              <w:topLinePunct w:val="0"/>
              <w:bidi w:val="0"/>
              <w:snapToGrid/>
              <w:spacing w:line="500" w:lineRule="exact"/>
              <w:ind w:left="0" w:leftChars="0" w:firstLine="0" w:firstLineChars="0"/>
              <w:jc w:val="both"/>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0BA132">
            <w:pPr>
              <w:pStyle w:val="11"/>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不接受</w:t>
            </w:r>
          </w:p>
        </w:tc>
      </w:tr>
      <w:tr w14:paraId="51035BA5">
        <w:tblPrEx>
          <w:tblCellMar>
            <w:top w:w="0" w:type="dxa"/>
            <w:left w:w="108" w:type="dxa"/>
            <w:bottom w:w="0" w:type="dxa"/>
            <w:right w:w="108" w:type="dxa"/>
          </w:tblCellMar>
        </w:tblPrEx>
        <w:trPr>
          <w:trHeight w:val="56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E42B176">
            <w:pPr>
              <w:rPr>
                <w:rFonts w:hint="eastAsia" w:ascii="宋体" w:hAnsi="宋体" w:eastAsia="宋体" w:cs="宋体"/>
                <w:sz w:val="24"/>
                <w:szCs w:val="28"/>
              </w:rPr>
            </w:pPr>
            <w:r>
              <w:rPr>
                <w:rFonts w:hint="eastAsia" w:ascii="宋体" w:hAnsi="宋体" w:eastAsia="宋体" w:cs="宋体"/>
                <w:sz w:val="24"/>
                <w:szCs w:val="28"/>
              </w:rPr>
              <w:t>1.10</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E3DAFEF">
            <w:pPr>
              <w:keepNext w:val="0"/>
              <w:keepLines w:val="0"/>
              <w:pageBreakBefore w:val="0"/>
              <w:widowControl w:val="0"/>
              <w:kinsoku/>
              <w:wordWrap/>
              <w:overflowPunct/>
              <w:topLinePunct w:val="0"/>
              <w:bidi w:val="0"/>
              <w:adjustRightInd w:val="0"/>
              <w:snapToGrid/>
              <w:spacing w:line="500" w:lineRule="exact"/>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现场踏勘</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C282E70">
            <w:pPr>
              <w:pStyle w:val="11"/>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自行踏勘</w:t>
            </w:r>
          </w:p>
        </w:tc>
      </w:tr>
      <w:tr w14:paraId="05A81943">
        <w:tblPrEx>
          <w:tblCellMar>
            <w:top w:w="0" w:type="dxa"/>
            <w:left w:w="108" w:type="dxa"/>
            <w:bottom w:w="0" w:type="dxa"/>
            <w:right w:w="108" w:type="dxa"/>
          </w:tblCellMar>
        </w:tblPrEx>
        <w:trPr>
          <w:trHeight w:val="56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1CEA1A9">
            <w:pPr>
              <w:rPr>
                <w:rFonts w:hint="eastAsia" w:ascii="宋体" w:hAnsi="宋体" w:eastAsia="宋体" w:cs="宋体"/>
                <w:sz w:val="24"/>
                <w:szCs w:val="28"/>
              </w:rPr>
            </w:pPr>
            <w:r>
              <w:rPr>
                <w:rFonts w:hint="eastAsia" w:ascii="宋体" w:hAnsi="宋体" w:eastAsia="宋体" w:cs="宋体"/>
                <w:sz w:val="24"/>
                <w:szCs w:val="28"/>
              </w:rPr>
              <w:t>1.11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5005116">
            <w:pPr>
              <w:keepNext w:val="0"/>
              <w:keepLines w:val="0"/>
              <w:pageBreakBefore w:val="0"/>
              <w:widowControl w:val="0"/>
              <w:kinsoku/>
              <w:wordWrap/>
              <w:overflowPunct/>
              <w:topLinePunct w:val="0"/>
              <w:bidi w:val="0"/>
              <w:adjustRightInd w:val="0"/>
              <w:snapToGrid/>
              <w:spacing w:line="500" w:lineRule="exact"/>
              <w:ind w:firstLine="720" w:firstLineChars="3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778F6FB">
            <w:pPr>
              <w:pStyle w:val="11"/>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412904C3">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61C5C">
            <w:pPr>
              <w:spacing w:line="500" w:lineRule="exact"/>
              <w:ind w:firstLine="241" w:firstLineChars="100"/>
              <w:jc w:val="left"/>
              <w:rPr>
                <w:rFonts w:hint="eastAsia" w:ascii="宋体" w:hAnsi="宋体" w:eastAsia="宋体" w:cs="宋体"/>
                <w:b/>
                <w:bCs/>
                <w:kern w:val="2"/>
                <w:sz w:val="24"/>
                <w:szCs w:val="28"/>
                <w:lang w:val="en-US" w:eastAsia="zh-CN" w:bidi="ar-SA"/>
              </w:rPr>
            </w:pPr>
            <w:r>
              <w:rPr>
                <w:rFonts w:hint="eastAsia" w:ascii="宋体" w:hAnsi="宋体" w:eastAsia="宋体" w:cs="宋体"/>
                <w:b/>
                <w:bCs/>
                <w:sz w:val="24"/>
                <w:szCs w:val="28"/>
                <w:lang w:val="en-US" w:eastAsia="zh-CN"/>
              </w:rPr>
              <w:t>1.12</w:t>
            </w:r>
          </w:p>
        </w:tc>
        <w:tc>
          <w:tcPr>
            <w:tcW w:w="19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869BE">
            <w:pPr>
              <w:keepNext w:val="0"/>
              <w:keepLines w:val="0"/>
              <w:pageBreakBefore w:val="0"/>
              <w:kinsoku/>
              <w:wordWrap/>
              <w:overflowPunct/>
              <w:topLinePunct w:val="0"/>
              <w:autoSpaceDE/>
              <w:autoSpaceDN/>
              <w:bidi w:val="0"/>
              <w:adjustRightInd w:val="0"/>
              <w:snapToGrid w:val="0"/>
              <w:spacing w:line="500" w:lineRule="exact"/>
              <w:ind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sz w:val="24"/>
                <w:szCs w:val="24"/>
                <w:highlight w:val="none"/>
              </w:rPr>
              <w:t>偏离</w:t>
            </w:r>
          </w:p>
        </w:tc>
        <w:tc>
          <w:tcPr>
            <w:tcW w:w="706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D5CFB6A">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不允许负偏离招标文件规定的实质性要求和条件</w:t>
            </w:r>
          </w:p>
          <w:p w14:paraId="2119A0F0">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实质性要求和条件：</w:t>
            </w:r>
          </w:p>
          <w:p w14:paraId="4FFBC5E3">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★采购内容</w:t>
            </w:r>
          </w:p>
          <w:p w14:paraId="4C2A3AEC">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★质量要求</w:t>
            </w:r>
          </w:p>
          <w:p w14:paraId="6B5DE997">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★服务期限</w:t>
            </w:r>
          </w:p>
          <w:p w14:paraId="643D1F46">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★付款方式</w:t>
            </w:r>
          </w:p>
          <w:p w14:paraId="73F111E1">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0"/>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★投标有效期</w:t>
            </w:r>
          </w:p>
          <w:p w14:paraId="1394E928">
            <w:pPr>
              <w:keepNext w:val="0"/>
              <w:keepLines w:val="0"/>
              <w:pageBreakBefore w:val="0"/>
              <w:numPr>
                <w:ilvl w:val="0"/>
                <w:numId w:val="0"/>
              </w:numPr>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rPr>
              <w:t>其他：/</w:t>
            </w:r>
          </w:p>
        </w:tc>
      </w:tr>
      <w:tr w14:paraId="114F67FC">
        <w:tblPrEx>
          <w:tblCellMar>
            <w:top w:w="0" w:type="dxa"/>
            <w:left w:w="108" w:type="dxa"/>
            <w:bottom w:w="0" w:type="dxa"/>
            <w:right w:w="108" w:type="dxa"/>
          </w:tblCellMar>
        </w:tblPrEx>
        <w:trPr>
          <w:trHeight w:val="469"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2BDEACD6">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33BB26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构成磋商文件</w:t>
            </w:r>
          </w:p>
          <w:p w14:paraId="11B74814">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63FB8B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除磋商文件外，采购人在磋商期间发出的澄清、修改、补充、补遗和其它有效正式函件等内容均是磋商文件的组成部分</w:t>
            </w:r>
          </w:p>
        </w:tc>
      </w:tr>
      <w:tr w14:paraId="7908D82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3ADA038">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5AAA32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eastAsia="zh-CN"/>
              </w:rPr>
              <w:t>提出问题的</w:t>
            </w:r>
            <w:r>
              <w:rPr>
                <w:rFonts w:hint="eastAsia" w:ascii="宋体" w:hAnsi="宋体" w:eastAsia="宋体" w:cs="宋体"/>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C0B416">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公告发布之日起</w:t>
            </w:r>
            <w:r>
              <w:rPr>
                <w:rFonts w:hint="eastAsia" w:ascii="宋体" w:hAnsi="宋体" w:eastAsia="宋体" w:cs="宋体"/>
                <w:color w:val="auto"/>
                <w:sz w:val="24"/>
                <w:szCs w:val="24"/>
                <w:lang w:val="en-US" w:eastAsia="zh-CN"/>
              </w:rPr>
              <w:t>7个工作日内</w:t>
            </w:r>
          </w:p>
        </w:tc>
      </w:tr>
      <w:tr w14:paraId="7217A831">
        <w:tblPrEx>
          <w:tblCellMar>
            <w:top w:w="0" w:type="dxa"/>
            <w:left w:w="108" w:type="dxa"/>
            <w:bottom w:w="0" w:type="dxa"/>
            <w:right w:w="108" w:type="dxa"/>
          </w:tblCellMar>
        </w:tblPrEx>
        <w:trPr>
          <w:trHeight w:val="9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55D7163">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AAA1BD3">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采购人澄清磋商文件的截止时间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1913FE6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递交响应文件截止之日5天前</w:t>
            </w:r>
          </w:p>
        </w:tc>
      </w:tr>
      <w:tr w14:paraId="2DBA42C3">
        <w:tblPrEx>
          <w:tblCellMar>
            <w:top w:w="0" w:type="dxa"/>
            <w:left w:w="108" w:type="dxa"/>
            <w:bottom w:w="0" w:type="dxa"/>
            <w:right w:w="108" w:type="dxa"/>
          </w:tblCellMar>
        </w:tblPrEx>
        <w:trPr>
          <w:trHeight w:val="114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9DA46C3">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2078369A">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供应商确认收到磋商文件澄清的时间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730A3F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在收到相应澄清文件后 24 小时内</w:t>
            </w:r>
          </w:p>
        </w:tc>
      </w:tr>
      <w:tr w14:paraId="5F453D6C">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56D1ECF4">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2.3.2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F3595EF">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供应商确认收到磋商文件修改的时间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AEB88A2">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在收到相应修改文件后 24 小时内</w:t>
            </w:r>
          </w:p>
        </w:tc>
      </w:tr>
      <w:tr w14:paraId="5B9FE895">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3FC5C1A0">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A4C309">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构成响应文件</w:t>
            </w:r>
          </w:p>
          <w:p w14:paraId="23E43B81">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的其他材料</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BA3C9C0">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供应商认为需要提交的其他证明材料</w:t>
            </w:r>
          </w:p>
        </w:tc>
      </w:tr>
      <w:tr w14:paraId="430ABCFE">
        <w:tblPrEx>
          <w:tblCellMar>
            <w:top w:w="0" w:type="dxa"/>
            <w:left w:w="108" w:type="dxa"/>
            <w:bottom w:w="0" w:type="dxa"/>
            <w:right w:w="108" w:type="dxa"/>
          </w:tblCellMar>
        </w:tblPrEx>
        <w:trPr>
          <w:trHeight w:val="70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7B7DD839">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3.3.1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4BA34C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436C54">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60日历天（响应文件截止之日起）</w:t>
            </w:r>
          </w:p>
        </w:tc>
      </w:tr>
      <w:tr w14:paraId="21AC3F5D">
        <w:tblPrEx>
          <w:tblCellMar>
            <w:top w:w="0" w:type="dxa"/>
            <w:left w:w="108" w:type="dxa"/>
            <w:bottom w:w="0" w:type="dxa"/>
            <w:right w:w="108" w:type="dxa"/>
          </w:tblCellMar>
        </w:tblPrEx>
        <w:trPr>
          <w:trHeight w:val="552"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E60A979">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rPr>
              <w:t>3.2.3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133AB90">
            <w:pPr>
              <w:keepNext w:val="0"/>
              <w:keepLines w:val="0"/>
              <w:pageBreakBefore w:val="0"/>
              <w:widowControl w:val="0"/>
              <w:kinsoku/>
              <w:wordWrap/>
              <w:overflowPunct/>
              <w:topLinePunct w:val="0"/>
              <w:bidi w:val="0"/>
              <w:snapToGrid/>
              <w:spacing w:line="500" w:lineRule="exact"/>
              <w:ind w:left="0" w:leftChars="0" w:firstLine="0" w:firstLineChars="0"/>
              <w:jc w:val="center"/>
              <w:textAlignment w:val="center"/>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28"/>
              </w:rPr>
              <w:t>报价方式</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9A4519E">
            <w:pPr>
              <w:keepNext w:val="0"/>
              <w:keepLines w:val="0"/>
              <w:pageBreakBefore w:val="0"/>
              <w:widowControl w:val="0"/>
              <w:kinsoku/>
              <w:wordWrap/>
              <w:overflowPunct/>
              <w:topLinePunct w:val="0"/>
              <w:bidi w:val="0"/>
              <w:snapToGrid/>
              <w:spacing w:line="500" w:lineRule="exact"/>
              <w:ind w:left="0" w:leftChars="0" w:firstLine="0" w:firstLineChars="0"/>
              <w:jc w:val="left"/>
              <w:textAlignment w:val="center"/>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sz w:val="24"/>
                <w:szCs w:val="28"/>
              </w:rPr>
              <w:t>自主报价</w:t>
            </w:r>
          </w:p>
        </w:tc>
      </w:tr>
      <w:tr w14:paraId="78EAF89B">
        <w:tblPrEx>
          <w:tblCellMar>
            <w:top w:w="0" w:type="dxa"/>
            <w:left w:w="108" w:type="dxa"/>
            <w:bottom w:w="0" w:type="dxa"/>
            <w:right w:w="108" w:type="dxa"/>
          </w:tblCellMar>
        </w:tblPrEx>
        <w:tc>
          <w:tcPr>
            <w:tcW w:w="1366" w:type="dxa"/>
            <w:tcBorders>
              <w:top w:val="single" w:color="auto" w:sz="4" w:space="0"/>
              <w:left w:val="single" w:color="auto" w:sz="4" w:space="0"/>
              <w:bottom w:val="single" w:color="auto" w:sz="4" w:space="0"/>
              <w:right w:val="single" w:color="auto" w:sz="4" w:space="0"/>
            </w:tcBorders>
            <w:noWrap w:val="0"/>
            <w:vAlign w:val="center"/>
          </w:tcPr>
          <w:p w14:paraId="24F81C31">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3.6</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36124D4">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是否允许递交备选磋商方案</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F247E65">
            <w:pPr>
              <w:pStyle w:val="11"/>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不允许</w:t>
            </w:r>
          </w:p>
        </w:tc>
      </w:tr>
      <w:tr w14:paraId="3A50B981">
        <w:tblPrEx>
          <w:tblCellMar>
            <w:top w:w="0" w:type="dxa"/>
            <w:left w:w="108" w:type="dxa"/>
            <w:bottom w:w="0" w:type="dxa"/>
            <w:right w:w="108" w:type="dxa"/>
          </w:tblCellMar>
        </w:tblPrEx>
        <w:trPr>
          <w:trHeight w:val="54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9B0CB34">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66A4143B">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电子响应文件</w:t>
            </w:r>
          </w:p>
          <w:p w14:paraId="38586F7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签字盖章要求</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51879B8">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（1）所有要求供应商加盖公章的地方都须加盖供应商的 CA 印章。</w:t>
            </w:r>
          </w:p>
          <w:p w14:paraId="014AAE75">
            <w:pPr>
              <w:keepNext w:val="0"/>
              <w:keepLines w:val="0"/>
              <w:pageBreakBefore w:val="0"/>
              <w:widowControl w:val="0"/>
              <w:kinsoku/>
              <w:wordWrap/>
              <w:overflowPunct/>
              <w:topLinePunct w:val="0"/>
              <w:autoSpaceDE/>
              <w:autoSpaceDN/>
              <w:bidi w:val="0"/>
              <w:adjustRightInd w:val="0"/>
              <w:snapToGrid/>
              <w:spacing w:line="500" w:lineRule="exact"/>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（2）所有要求法定代表人或其委托代理人签字的地方都须法定代表人或其委托代理人加盖CA印章或签字。</w:t>
            </w:r>
          </w:p>
        </w:tc>
      </w:tr>
      <w:tr w14:paraId="49A5CE33">
        <w:tblPrEx>
          <w:tblCellMar>
            <w:top w:w="0" w:type="dxa"/>
            <w:left w:w="108" w:type="dxa"/>
            <w:bottom w:w="0" w:type="dxa"/>
            <w:right w:w="108" w:type="dxa"/>
          </w:tblCellMar>
        </w:tblPrEx>
        <w:trPr>
          <w:trHeight w:val="788"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9445A7A">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3.7.4</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5DF0A4D">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响应文件份数</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237BC90B">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加密的电子响应文件壹份（*.XYTF 格式，在会员系统指定位置上传）</w:t>
            </w:r>
          </w:p>
        </w:tc>
      </w:tr>
      <w:tr w14:paraId="1A451D7B">
        <w:tblPrEx>
          <w:tblCellMar>
            <w:top w:w="0" w:type="dxa"/>
            <w:left w:w="108" w:type="dxa"/>
            <w:bottom w:w="0" w:type="dxa"/>
            <w:right w:w="108" w:type="dxa"/>
          </w:tblCellMar>
        </w:tblPrEx>
        <w:trPr>
          <w:trHeight w:val="617"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75FBE11">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4.2</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007EE332">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响应文件的递交</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372D8EE1">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1、电子响应文件的递交</w:t>
            </w:r>
          </w:p>
          <w:p w14:paraId="73FB63E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14:paraId="16C5420F">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2、本项目采用“不见面开标”交易方式，不见面开标大厅网址为 </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lang w:val="en-US" w:eastAsia="zh-CN"/>
              </w:rPr>
              <w:t>https://ggzyjy.xinyang.gov.cn/，供应商无需寄送和递交非加密的电子响应文件，无需到现场参加开标会议，无需到达现场提交原件资料。</w:t>
            </w:r>
            <w:r>
              <w:rPr>
                <w:rFonts w:hint="eastAsia" w:ascii="宋体" w:hAnsi="宋体" w:eastAsia="宋体" w:cs="宋体"/>
                <w:color w:val="auto"/>
                <w:sz w:val="24"/>
                <w:szCs w:val="24"/>
                <w:lang w:val="en-US" w:eastAsia="zh-CN"/>
              </w:rPr>
              <w:fldChar w:fldCharType="end"/>
            </w:r>
          </w:p>
        </w:tc>
      </w:tr>
      <w:tr w14:paraId="393D75D5">
        <w:tblPrEx>
          <w:tblCellMar>
            <w:top w:w="0" w:type="dxa"/>
            <w:left w:w="108" w:type="dxa"/>
            <w:bottom w:w="0" w:type="dxa"/>
            <w:right w:w="108" w:type="dxa"/>
          </w:tblCellMar>
        </w:tblPrEx>
        <w:trPr>
          <w:trHeight w:val="911"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36016F0">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5.1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4943E3D8">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提交响应文件</w:t>
            </w:r>
          </w:p>
          <w:p w14:paraId="1ED2A0C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截止时间</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07AC193">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highlight w:val="none"/>
              </w:rPr>
            </w:pPr>
            <w:r>
              <w:rPr>
                <w:rFonts w:hint="eastAsia" w:ascii="宋体" w:hAnsi="宋体" w:eastAsia="宋体" w:cs="宋体"/>
                <w:sz w:val="24"/>
                <w:szCs w:val="28"/>
                <w:highlight w:val="none"/>
                <w:u w:val="single"/>
                <w:lang w:val="en-US" w:eastAsia="zh-CN"/>
              </w:rPr>
              <w:t xml:space="preserve">  2025  </w:t>
            </w:r>
            <w:r>
              <w:rPr>
                <w:rFonts w:hint="eastAsia" w:ascii="宋体" w:hAnsi="宋体" w:eastAsia="宋体" w:cs="宋体"/>
                <w:sz w:val="24"/>
                <w:szCs w:val="28"/>
                <w:highlight w:val="none"/>
              </w:rPr>
              <w:t>年</w:t>
            </w:r>
            <w:r>
              <w:rPr>
                <w:rFonts w:hint="eastAsia" w:ascii="宋体" w:hAnsi="宋体" w:eastAsia="宋体" w:cs="宋体"/>
                <w:sz w:val="24"/>
                <w:szCs w:val="28"/>
                <w:highlight w:val="none"/>
                <w:u w:val="single"/>
                <w:lang w:val="en-US" w:eastAsia="zh-CN"/>
              </w:rPr>
              <w:t xml:space="preserve">  3 </w:t>
            </w:r>
            <w:r>
              <w:rPr>
                <w:rFonts w:hint="eastAsia" w:ascii="宋体" w:hAnsi="宋体" w:eastAsia="宋体" w:cs="宋体"/>
                <w:sz w:val="24"/>
                <w:szCs w:val="28"/>
                <w:highlight w:val="none"/>
              </w:rPr>
              <w:t>月</w:t>
            </w:r>
            <w:r>
              <w:rPr>
                <w:rFonts w:hint="eastAsia" w:ascii="宋体" w:hAnsi="宋体" w:eastAsia="宋体" w:cs="宋体"/>
                <w:sz w:val="24"/>
                <w:szCs w:val="28"/>
                <w:highlight w:val="none"/>
                <w:u w:val="single"/>
                <w:lang w:val="en-US" w:eastAsia="zh-CN"/>
              </w:rPr>
              <w:t xml:space="preserve">  11 </w:t>
            </w:r>
            <w:r>
              <w:rPr>
                <w:rFonts w:hint="eastAsia" w:ascii="宋体" w:hAnsi="宋体" w:eastAsia="宋体" w:cs="宋体"/>
                <w:sz w:val="24"/>
                <w:szCs w:val="28"/>
                <w:highlight w:val="none"/>
              </w:rPr>
              <w:t>日</w:t>
            </w:r>
            <w:r>
              <w:rPr>
                <w:rFonts w:hint="eastAsia" w:ascii="宋体" w:hAnsi="宋体" w:eastAsia="宋体" w:cs="宋体"/>
                <w:sz w:val="24"/>
                <w:szCs w:val="28"/>
                <w:highlight w:val="none"/>
                <w:u w:val="single"/>
                <w:lang w:val="en-US" w:eastAsia="zh-CN"/>
              </w:rPr>
              <w:t xml:space="preserve">  14  </w:t>
            </w:r>
            <w:r>
              <w:rPr>
                <w:rFonts w:hint="eastAsia" w:ascii="宋体" w:hAnsi="宋体" w:eastAsia="宋体" w:cs="宋体"/>
                <w:sz w:val="24"/>
                <w:szCs w:val="28"/>
                <w:highlight w:val="none"/>
                <w:lang w:eastAsia="zh-CN"/>
              </w:rPr>
              <w:t>点</w:t>
            </w:r>
            <w:r>
              <w:rPr>
                <w:rFonts w:hint="eastAsia" w:ascii="宋体" w:hAnsi="宋体" w:eastAsia="宋体" w:cs="宋体"/>
                <w:sz w:val="24"/>
                <w:szCs w:val="28"/>
                <w:highlight w:val="none"/>
                <w:u w:val="single"/>
                <w:lang w:val="en-US" w:eastAsia="zh-CN"/>
              </w:rPr>
              <w:t xml:space="preserve">  30 </w:t>
            </w:r>
            <w:r>
              <w:rPr>
                <w:rFonts w:hint="eastAsia" w:ascii="宋体" w:hAnsi="宋体" w:eastAsia="宋体" w:cs="宋体"/>
                <w:sz w:val="24"/>
                <w:szCs w:val="28"/>
                <w:highlight w:val="none"/>
              </w:rPr>
              <w:t>分</w:t>
            </w:r>
            <w:r>
              <w:rPr>
                <w:rFonts w:hint="eastAsia" w:ascii="宋体" w:hAnsi="宋体" w:eastAsia="宋体" w:cs="宋体"/>
                <w:i w:val="0"/>
                <w:iCs w:val="0"/>
                <w:color w:val="000000"/>
                <w:spacing w:val="-6"/>
                <w:kern w:val="0"/>
                <w:sz w:val="24"/>
                <w:szCs w:val="24"/>
                <w:highlight w:val="none"/>
              </w:rPr>
              <w:t>（北京时间）</w:t>
            </w:r>
          </w:p>
        </w:tc>
      </w:tr>
      <w:tr w14:paraId="5CB04D78">
        <w:tblPrEx>
          <w:tblCellMar>
            <w:top w:w="0" w:type="dxa"/>
            <w:left w:w="108" w:type="dxa"/>
            <w:bottom w:w="0" w:type="dxa"/>
            <w:right w:w="108" w:type="dxa"/>
          </w:tblCellMar>
        </w:tblPrEx>
        <w:trPr>
          <w:trHeight w:val="6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171D5CA9">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5.1.1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9562935">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68DF657C">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时间：同</w:t>
            </w:r>
            <w:r>
              <w:rPr>
                <w:rFonts w:hint="eastAsia" w:ascii="宋体" w:hAnsi="宋体" w:eastAsia="宋体" w:cs="宋体"/>
                <w:color w:val="auto"/>
                <w:sz w:val="24"/>
                <w:szCs w:val="24"/>
              </w:rPr>
              <w:t>响应文件提交</w:t>
            </w:r>
            <w:r>
              <w:rPr>
                <w:rFonts w:hint="eastAsia" w:ascii="宋体" w:hAnsi="宋体" w:eastAsia="宋体" w:cs="宋体"/>
                <w:color w:val="auto"/>
                <w:kern w:val="0"/>
                <w:sz w:val="24"/>
                <w:szCs w:val="24"/>
              </w:rPr>
              <w:t>截止时间</w:t>
            </w:r>
          </w:p>
          <w:p w14:paraId="4EAAE375">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磋商</w:t>
            </w:r>
            <w:r>
              <w:rPr>
                <w:rFonts w:hint="eastAsia" w:ascii="宋体" w:hAnsi="宋体" w:eastAsia="宋体" w:cs="宋体"/>
                <w:color w:val="auto"/>
                <w:kern w:val="0"/>
                <w:sz w:val="24"/>
                <w:szCs w:val="24"/>
              </w:rPr>
              <w:t>地点：</w:t>
            </w:r>
            <w:r>
              <w:rPr>
                <w:rFonts w:hint="eastAsia" w:ascii="宋体" w:hAnsi="宋体" w:eastAsia="宋体" w:cs="宋体"/>
                <w:sz w:val="24"/>
                <w:szCs w:val="24"/>
              </w:rPr>
              <w:t>全国公共资源交易平台（河南省·息县）不见面开标大厅</w:t>
            </w:r>
          </w:p>
        </w:tc>
      </w:tr>
      <w:tr w14:paraId="7D31B130">
        <w:tblPrEx>
          <w:tblCellMar>
            <w:top w:w="0" w:type="dxa"/>
            <w:left w:w="108" w:type="dxa"/>
            <w:bottom w:w="0" w:type="dxa"/>
            <w:right w:w="108" w:type="dxa"/>
          </w:tblCellMar>
        </w:tblPrEx>
        <w:trPr>
          <w:trHeight w:val="544"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287D660">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6.1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8A36F46">
            <w:pPr>
              <w:keepNext w:val="0"/>
              <w:keepLines w:val="0"/>
              <w:pageBreakBefore w:val="0"/>
              <w:widowControl w:val="0"/>
              <w:kinsoku/>
              <w:wordWrap/>
              <w:overflowPunct/>
              <w:topLinePunct w:val="0"/>
              <w:bidi w:val="0"/>
              <w:adjustRightInd w:val="0"/>
              <w:snapToGrid/>
              <w:spacing w:line="500" w:lineRule="exact"/>
              <w:ind w:left="0" w:leftChars="0" w:firstLine="0" w:firstLineChars="0"/>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磋商小组的组建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7FD7B8C9">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磋商小组构成：</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rPr>
              <w:t>人，其中业主评委</w:t>
            </w:r>
            <w:r>
              <w:rPr>
                <w:rFonts w:hint="eastAsia" w:ascii="宋体" w:hAnsi="宋体" w:eastAsia="宋体" w:cs="宋体"/>
                <w:color w:val="auto"/>
                <w:sz w:val="24"/>
                <w:szCs w:val="24"/>
                <w:u w:val="single"/>
                <w:lang w:val="en-US" w:eastAsia="zh-CN"/>
              </w:rPr>
              <w:t xml:space="preserve"> 1 </w:t>
            </w:r>
            <w:r>
              <w:rPr>
                <w:rFonts w:hint="eastAsia" w:ascii="宋体" w:hAnsi="宋体" w:eastAsia="宋体" w:cs="宋体"/>
                <w:color w:val="auto"/>
                <w:sz w:val="24"/>
                <w:szCs w:val="24"/>
              </w:rPr>
              <w:t>人，技术、经济类专家</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rPr>
              <w:t>人；</w:t>
            </w:r>
          </w:p>
          <w:p w14:paraId="3F3366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w:t>专家确定方式：磋商前从政府采购专家库中随机抽取。</w:t>
            </w:r>
          </w:p>
        </w:tc>
      </w:tr>
      <w:tr w14:paraId="2511F8A8">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44C08B0">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rPr>
            </w:pPr>
            <w:r>
              <w:rPr>
                <w:rFonts w:hint="eastAsia" w:ascii="宋体" w:hAnsi="宋体" w:eastAsia="宋体" w:cs="宋体"/>
                <w:sz w:val="24"/>
                <w:szCs w:val="28"/>
              </w:rPr>
              <w:t>7.1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11B17D7A">
            <w:pPr>
              <w:keepNext w:val="0"/>
              <w:keepLines w:val="0"/>
              <w:pageBreakBefore w:val="0"/>
              <w:widowControl w:val="0"/>
              <w:kinsoku/>
              <w:wordWrap/>
              <w:overflowPunct/>
              <w:topLinePunct w:val="0"/>
              <w:bidi w:val="0"/>
              <w:adjustRightInd w:val="0"/>
              <w:snapToGrid/>
              <w:spacing w:line="500" w:lineRule="exact"/>
              <w:ind w:left="0" w:leftChars="0" w:firstLine="0" w:firstLineChars="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是否授权磋商小组确定成交人</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073BC5D5">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否；推荐的成交候选人数：3名</w:t>
            </w:r>
          </w:p>
        </w:tc>
      </w:tr>
      <w:tr w14:paraId="37A9F50B">
        <w:tblPrEx>
          <w:tblCellMar>
            <w:top w:w="0" w:type="dxa"/>
            <w:left w:w="108" w:type="dxa"/>
            <w:bottom w:w="0" w:type="dxa"/>
            <w:right w:w="108" w:type="dxa"/>
          </w:tblCellMar>
        </w:tblPrEx>
        <w:trPr>
          <w:trHeight w:val="73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0CA7D4C7">
            <w:pPr>
              <w:keepNext w:val="0"/>
              <w:keepLines w:val="0"/>
              <w:pageBreakBefore w:val="0"/>
              <w:widowControl w:val="0"/>
              <w:kinsoku/>
              <w:wordWrap/>
              <w:overflowPunct/>
              <w:topLinePunct w:val="0"/>
              <w:bidi w:val="0"/>
              <w:snapToGrid/>
              <w:spacing w:line="500" w:lineRule="exact"/>
              <w:jc w:val="left"/>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7.3</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7B329DF0">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240" w:firstLineChars="100"/>
              <w:jc w:val="both"/>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rPr>
              <w:t>履约</w:t>
            </w:r>
            <w:r>
              <w:rPr>
                <w:rFonts w:hint="eastAsia" w:ascii="宋体" w:hAnsi="宋体" w:eastAsia="宋体" w:cs="宋体"/>
                <w:color w:val="000000"/>
                <w:kern w:val="0"/>
                <w:sz w:val="24"/>
                <w:szCs w:val="24"/>
                <w:lang w:eastAsia="zh-CN"/>
              </w:rPr>
              <w:t>保证金</w:t>
            </w:r>
          </w:p>
        </w:tc>
        <w:tc>
          <w:tcPr>
            <w:tcW w:w="7061" w:type="dxa"/>
            <w:gridSpan w:val="2"/>
            <w:tcBorders>
              <w:top w:val="single" w:color="auto" w:sz="4" w:space="0"/>
              <w:left w:val="single" w:color="auto" w:sz="4" w:space="0"/>
              <w:bottom w:val="single" w:color="auto" w:sz="4" w:space="0"/>
              <w:right w:val="single" w:color="auto" w:sz="4" w:space="0"/>
            </w:tcBorders>
            <w:noWrap w:val="0"/>
            <w:vAlign w:val="center"/>
          </w:tcPr>
          <w:p w14:paraId="58BE357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sz w:val="24"/>
                <w:szCs w:val="24"/>
                <w:lang w:val="en-US" w:eastAsia="zh-CN"/>
              </w:rPr>
              <w:t>无</w:t>
            </w:r>
          </w:p>
        </w:tc>
      </w:tr>
      <w:tr w14:paraId="60888FA7">
        <w:tblPrEx>
          <w:tblCellMar>
            <w:top w:w="0" w:type="dxa"/>
            <w:left w:w="108" w:type="dxa"/>
            <w:bottom w:w="0" w:type="dxa"/>
            <w:right w:w="108" w:type="dxa"/>
          </w:tblCellMar>
        </w:tblPrEx>
        <w:trPr>
          <w:trHeight w:val="714" w:hRule="atLeast"/>
        </w:trPr>
        <w:tc>
          <w:tcPr>
            <w:tcW w:w="10362" w:type="dxa"/>
            <w:gridSpan w:val="4"/>
            <w:tcBorders>
              <w:top w:val="single" w:color="auto" w:sz="4" w:space="0"/>
              <w:left w:val="single" w:color="auto" w:sz="4" w:space="0"/>
              <w:bottom w:val="single" w:color="auto" w:sz="4" w:space="0"/>
              <w:right w:val="single" w:color="auto" w:sz="4" w:space="0"/>
            </w:tcBorders>
            <w:noWrap w:val="0"/>
            <w:vAlign w:val="center"/>
          </w:tcPr>
          <w:p w14:paraId="6E4E1C94">
            <w:pPr>
              <w:keepNext w:val="0"/>
              <w:keepLines w:val="0"/>
              <w:pageBreakBefore w:val="0"/>
              <w:widowControl w:val="0"/>
              <w:kinsoku/>
              <w:wordWrap/>
              <w:overflowPunct/>
              <w:topLinePunct w:val="0"/>
              <w:bidi w:val="0"/>
              <w:adjustRightInd w:val="0"/>
              <w:snapToGrid/>
              <w:spacing w:line="500" w:lineRule="exact"/>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需要补充的其他内容</w:t>
            </w:r>
          </w:p>
        </w:tc>
      </w:tr>
      <w:tr w14:paraId="2CE0848F">
        <w:tblPrEx>
          <w:tblCellMar>
            <w:top w:w="0" w:type="dxa"/>
            <w:left w:w="108" w:type="dxa"/>
            <w:bottom w:w="0" w:type="dxa"/>
            <w:right w:w="108" w:type="dxa"/>
          </w:tblCellMar>
        </w:tblPrEx>
        <w:trPr>
          <w:trHeight w:val="56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4A5E6708">
            <w:pPr>
              <w:keepNext w:val="0"/>
              <w:keepLines w:val="0"/>
              <w:pageBreakBefore w:val="0"/>
              <w:widowControl w:val="0"/>
              <w:kinsoku/>
              <w:wordWrap/>
              <w:overflowPunct/>
              <w:topLinePunct w:val="0"/>
              <w:bidi w:val="0"/>
              <w:adjustRightInd w:val="0"/>
              <w:snapToGrid/>
              <w:spacing w:line="500" w:lineRule="exact"/>
              <w:ind w:left="0" w:leftChars="0" w:firstLine="240" w:firstLineChars="100"/>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10.1</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6E11CB3D">
            <w:pPr>
              <w:keepNext w:val="0"/>
              <w:keepLines w:val="0"/>
              <w:pageBreakBefore w:val="0"/>
              <w:widowControl w:val="0"/>
              <w:kinsoku/>
              <w:wordWrap/>
              <w:overflowPunct/>
              <w:topLinePunct w:val="0"/>
              <w:bidi w:val="0"/>
              <w:adjustRightInd w:val="0"/>
              <w:snapToGrid/>
              <w:spacing w:line="500" w:lineRule="exact"/>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解释权</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217AEA6A">
            <w:pPr>
              <w:keepNext w:val="0"/>
              <w:keepLines w:val="0"/>
              <w:pageBreakBefore w:val="0"/>
              <w:widowControl w:val="0"/>
              <w:kinsoku/>
              <w:wordWrap/>
              <w:overflowPunct/>
              <w:topLinePunct w:val="0"/>
              <w:bidi w:val="0"/>
              <w:adjustRightInd w:val="0"/>
              <w:snapToGrid/>
              <w:spacing w:line="500" w:lineRule="exact"/>
              <w:ind w:left="0" w:leftChars="0" w:firstLine="0" w:firstLineChars="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构成本磋商文件的各个组成文件应互为解释，互为说明；如有不明确或不一致，按</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、供应商须知、评审办法、</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75EDB59">
        <w:tblPrEx>
          <w:tblCellMar>
            <w:top w:w="0" w:type="dxa"/>
            <w:left w:w="108" w:type="dxa"/>
            <w:bottom w:w="0" w:type="dxa"/>
            <w:right w:w="108" w:type="dxa"/>
          </w:tblCellMar>
        </w:tblPrEx>
        <w:trPr>
          <w:trHeight w:val="485"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6ACF7E2">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2B5349">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采购代理服务费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34C8D206">
            <w:pPr>
              <w:keepNext w:val="0"/>
              <w:keepLines w:val="0"/>
              <w:pageBreakBefore w:val="0"/>
              <w:widowControl w:val="0"/>
              <w:kinsoku/>
              <w:wordWrap/>
              <w:overflowPunct/>
              <w:topLinePunct w:val="0"/>
              <w:bidi w:val="0"/>
              <w:snapToGrid/>
              <w:spacing w:line="500" w:lineRule="exact"/>
              <w:ind w:left="0" w:leftChars="0" w:firstLine="0" w:firstLineChars="0"/>
              <w:jc w:val="left"/>
              <w:rPr>
                <w:rFonts w:hint="eastAsia" w:ascii="宋体" w:hAnsi="宋体" w:eastAsia="宋体" w:cs="宋体"/>
                <w:color w:val="auto"/>
                <w:kern w:val="2"/>
                <w:sz w:val="24"/>
                <w:szCs w:val="24"/>
                <w:lang w:val="en-US" w:eastAsia="zh-CN" w:bidi="ar-SA"/>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代理服务费由中标人支付，参照《招标代理合同》约定及</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p>
        </w:tc>
      </w:tr>
      <w:tr w14:paraId="43CE05DF">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A0F828D">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eastAsia" w:ascii="宋体" w:hAnsi="宋体" w:eastAsia="宋体" w:cs="宋体"/>
                <w:b w:val="0"/>
                <w:bCs w:val="0"/>
                <w:color w:val="auto"/>
                <w:kern w:val="2"/>
                <w:sz w:val="24"/>
                <w:szCs w:val="24"/>
                <w:lang w:val="en-US" w:eastAsia="zh-CN" w:bidi="ar-SA"/>
              </w:rPr>
            </w:pPr>
            <w:bookmarkStart w:id="159" w:name="_Toc152045529"/>
            <w:bookmarkStart w:id="160" w:name="_Toc466298091"/>
            <w:bookmarkStart w:id="161" w:name="_Toc144974497"/>
            <w:bookmarkStart w:id="162" w:name="_Toc10694"/>
            <w:bookmarkStart w:id="163" w:name="_Toc455080108"/>
            <w:bookmarkStart w:id="164" w:name="_Toc152042305"/>
            <w:r>
              <w:rPr>
                <w:rFonts w:hint="eastAsia" w:ascii="宋体" w:hAnsi="宋体" w:eastAsia="宋体" w:cs="宋体"/>
                <w:b w:val="0"/>
                <w:bCs w:val="0"/>
                <w:color w:val="000000"/>
                <w:kern w:val="0"/>
                <w:sz w:val="24"/>
                <w:szCs w:val="24"/>
                <w:lang w:val="en-US" w:eastAsia="zh-CN"/>
              </w:rPr>
              <w:t>10.3</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EAF2A02">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000000"/>
                <w:kern w:val="0"/>
                <w:sz w:val="24"/>
                <w:szCs w:val="24"/>
              </w:rPr>
              <w:t>标书雷同性分析</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4B68A7A">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文件制作机器码、文件创建标识码有相同的按废标处理。</w:t>
            </w:r>
          </w:p>
        </w:tc>
      </w:tr>
      <w:tr w14:paraId="456E73AD">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69DAA47B">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10.4</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CF2AD16">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注意事项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4609C038">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根据《信阳市财政局关于在政府采购项目中对上传诚信库信息的使用进行调整的通知》（信财购【2021】12号）相关规定，专家评审只需对投标文件进行评审，并以</w:t>
            </w: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文件的响应为唯一评审依据，不再比对主体信用信息。</w:t>
            </w:r>
          </w:p>
        </w:tc>
      </w:tr>
      <w:tr w14:paraId="32C85761">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3F276A3F">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10.5</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19DB7D8D">
            <w:pPr>
              <w:keepNext w:val="0"/>
              <w:keepLines w:val="0"/>
              <w:pageBreakBefore w:val="0"/>
              <w:widowControl w:val="0"/>
              <w:kinsoku/>
              <w:wordWrap/>
              <w:overflowPunct/>
              <w:topLinePunct w:val="0"/>
              <w:bidi w:val="0"/>
              <w:snapToGrid/>
              <w:spacing w:line="500" w:lineRule="exact"/>
              <w:ind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质疑相关事项</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06A295C">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14:paraId="269E3A0A">
        <w:tblPrEx>
          <w:tblCellMar>
            <w:top w:w="0" w:type="dxa"/>
            <w:left w:w="108" w:type="dxa"/>
            <w:bottom w:w="0" w:type="dxa"/>
            <w:right w:w="108" w:type="dxa"/>
          </w:tblCellMar>
        </w:tblPrEx>
        <w:trPr>
          <w:trHeight w:val="800" w:hRule="atLeast"/>
        </w:trPr>
        <w:tc>
          <w:tcPr>
            <w:tcW w:w="1366" w:type="dxa"/>
            <w:tcBorders>
              <w:top w:val="single" w:color="auto" w:sz="4" w:space="0"/>
              <w:left w:val="single" w:color="auto" w:sz="4" w:space="0"/>
              <w:bottom w:val="single" w:color="auto" w:sz="4" w:space="0"/>
              <w:right w:val="single" w:color="auto" w:sz="4" w:space="0"/>
            </w:tcBorders>
            <w:noWrap w:val="0"/>
            <w:vAlign w:val="center"/>
          </w:tcPr>
          <w:p w14:paraId="5383AF46">
            <w:pPr>
              <w:keepNext w:val="0"/>
              <w:keepLines w:val="0"/>
              <w:pageBreakBefore w:val="0"/>
              <w:widowControl w:val="0"/>
              <w:kinsoku/>
              <w:wordWrap/>
              <w:overflowPunct/>
              <w:topLinePunct w:val="0"/>
              <w:autoSpaceDE w:val="0"/>
              <w:autoSpaceDN w:val="0"/>
              <w:bidi w:val="0"/>
              <w:adjustRightInd w:val="0"/>
              <w:snapToGrid/>
              <w:spacing w:line="500" w:lineRule="exact"/>
              <w:ind w:firstLine="0" w:firstLineChars="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10.6</w:t>
            </w:r>
          </w:p>
        </w:tc>
        <w:tc>
          <w:tcPr>
            <w:tcW w:w="2014" w:type="dxa"/>
            <w:gridSpan w:val="2"/>
            <w:tcBorders>
              <w:top w:val="single" w:color="auto" w:sz="4" w:space="0"/>
              <w:left w:val="single" w:color="auto" w:sz="4" w:space="0"/>
              <w:bottom w:val="single" w:color="auto" w:sz="4" w:space="0"/>
              <w:right w:val="single" w:color="auto" w:sz="4" w:space="0"/>
            </w:tcBorders>
            <w:noWrap w:val="0"/>
            <w:vAlign w:val="center"/>
          </w:tcPr>
          <w:p w14:paraId="7ED1F208">
            <w:pPr>
              <w:keepNext w:val="0"/>
              <w:keepLines w:val="0"/>
              <w:pageBreakBefore w:val="0"/>
              <w:widowControl w:val="0"/>
              <w:kinsoku/>
              <w:wordWrap/>
              <w:overflowPunct/>
              <w:topLinePunct w:val="0"/>
              <w:bidi w:val="0"/>
              <w:snapToGrid/>
              <w:spacing w:line="500" w:lineRule="exact"/>
              <w:ind w:left="0" w:leftChars="0" w:firstLine="0" w:firstLineChars="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技术支持</w:t>
            </w:r>
          </w:p>
        </w:tc>
        <w:tc>
          <w:tcPr>
            <w:tcW w:w="6982" w:type="dxa"/>
            <w:tcBorders>
              <w:top w:val="single" w:color="auto" w:sz="4" w:space="0"/>
              <w:left w:val="single" w:color="auto" w:sz="4" w:space="0"/>
              <w:bottom w:val="single" w:color="auto" w:sz="4" w:space="0"/>
              <w:right w:val="single" w:color="auto" w:sz="4" w:space="0"/>
            </w:tcBorders>
            <w:noWrap w:val="0"/>
            <w:vAlign w:val="center"/>
          </w:tcPr>
          <w:p w14:paraId="6C6D6493">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息县公共资源交易中心</w:t>
            </w:r>
          </w:p>
          <w:p w14:paraId="54040E34">
            <w:pPr>
              <w:keepNext w:val="0"/>
              <w:keepLines w:val="0"/>
              <w:pageBreakBefore w:val="0"/>
              <w:widowControl w:val="0"/>
              <w:kinsoku/>
              <w:wordWrap/>
              <w:overflowPunct/>
              <w:topLinePunct w:val="0"/>
              <w:bidi w:val="0"/>
              <w:snapToGrid/>
              <w:spacing w:line="500" w:lineRule="exact"/>
              <w:ind w:firstLine="0" w:firstLineChars="0"/>
              <w:rPr>
                <w:rFonts w:ascii="宋体" w:hAnsi="宋体" w:eastAsia="宋体" w:cs="宋体"/>
                <w:b w:val="0"/>
                <w:bCs w:val="0"/>
                <w:sz w:val="24"/>
                <w:szCs w:val="24"/>
              </w:rPr>
            </w:pPr>
            <w:r>
              <w:rPr>
                <w:rFonts w:hint="eastAsia" w:ascii="宋体" w:hAnsi="宋体" w:eastAsia="宋体" w:cs="宋体"/>
                <w:b w:val="0"/>
                <w:bCs w:val="0"/>
                <w:sz w:val="24"/>
                <w:szCs w:val="24"/>
              </w:rPr>
              <w:t>地    址：河南省信阳市息县市民之家</w:t>
            </w:r>
          </w:p>
          <w:p w14:paraId="49779ACA">
            <w:pPr>
              <w:keepNext w:val="0"/>
              <w:keepLines w:val="0"/>
              <w:pageBreakBefore w:val="0"/>
              <w:widowControl w:val="0"/>
              <w:kinsoku/>
              <w:wordWrap/>
              <w:overflowPunct/>
              <w:topLinePunct w:val="0"/>
              <w:bidi w:val="0"/>
              <w:snapToGrid/>
              <w:spacing w:line="500" w:lineRule="exact"/>
              <w:ind w:firstLine="0" w:firstLineChars="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sz w:val="24"/>
                <w:szCs w:val="24"/>
              </w:rPr>
              <w:t xml:space="preserve">电子交易系统技术支持电话：4009980000、0376-6369667  </w:t>
            </w:r>
          </w:p>
        </w:tc>
      </w:tr>
    </w:tbl>
    <w:p w14:paraId="0AF77CAF">
      <w:pPr>
        <w:pStyle w:val="31"/>
        <w:spacing w:before="0" w:beforeLines="0" w:line="360" w:lineRule="auto"/>
        <w:rPr>
          <w:rFonts w:hint="eastAsia" w:ascii="宋体" w:hAnsi="宋体" w:eastAsia="宋体"/>
          <w:b/>
          <w:bCs/>
          <w:color w:val="auto"/>
          <w:sz w:val="24"/>
          <w:szCs w:val="24"/>
        </w:rPr>
        <w:sectPr>
          <w:footerReference r:id="rId7" w:type="default"/>
          <w:pgSz w:w="11905" w:h="16838"/>
          <w:pgMar w:top="1213" w:right="1236" w:bottom="1270" w:left="1236" w:header="340" w:footer="850" w:gutter="0"/>
          <w:pgBorders>
            <w:top w:val="none" w:sz="0" w:space="0"/>
            <w:left w:val="none" w:sz="0" w:space="0"/>
            <w:bottom w:val="none" w:sz="0" w:space="0"/>
            <w:right w:val="none" w:sz="0" w:space="0"/>
          </w:pgBorders>
          <w:pgNumType w:fmt="decimal" w:start="1"/>
          <w:cols w:space="720" w:num="1"/>
          <w:rtlGutter w:val="0"/>
          <w:docGrid w:type="lines" w:linePitch="349" w:charSpace="0"/>
        </w:sectPr>
      </w:pPr>
    </w:p>
    <w:p w14:paraId="4BDE097C">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color w:val="auto"/>
          <w:sz w:val="24"/>
          <w:szCs w:val="24"/>
        </w:rPr>
      </w:pPr>
      <w:bookmarkStart w:id="165" w:name="_Toc26921"/>
      <w:r>
        <w:rPr>
          <w:rFonts w:hint="eastAsia" w:ascii="宋体" w:hAnsi="宋体" w:eastAsia="宋体" w:cs="宋体"/>
          <w:b/>
          <w:bCs/>
          <w:color w:val="auto"/>
          <w:sz w:val="24"/>
          <w:szCs w:val="24"/>
        </w:rPr>
        <w:t>1. 总则</w:t>
      </w:r>
      <w:bookmarkEnd w:id="159"/>
      <w:bookmarkEnd w:id="160"/>
      <w:bookmarkEnd w:id="161"/>
      <w:bookmarkEnd w:id="162"/>
      <w:bookmarkEnd w:id="163"/>
      <w:bookmarkEnd w:id="164"/>
      <w:bookmarkEnd w:id="165"/>
    </w:p>
    <w:p w14:paraId="2FDE4FA9">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66" w:name="_Toc490667828"/>
      <w:bookmarkStart w:id="167" w:name="_Toc10273"/>
      <w:bookmarkStart w:id="168" w:name="_Toc466298092"/>
      <w:bookmarkStart w:id="169" w:name="_Toc455080109"/>
      <w:bookmarkStart w:id="170" w:name="_Toc29023"/>
      <w:bookmarkStart w:id="171" w:name="_Toc281380952"/>
      <w:bookmarkStart w:id="172" w:name="_Toc16489"/>
      <w:bookmarkStart w:id="173" w:name="_Toc15709"/>
      <w:bookmarkStart w:id="174" w:name="_Toc318450675"/>
      <w:bookmarkStart w:id="175" w:name="_Toc20827"/>
      <w:bookmarkStart w:id="176" w:name="_Toc658"/>
      <w:bookmarkStart w:id="177" w:name="_Toc31404"/>
      <w:bookmarkStart w:id="178" w:name="_Toc6747"/>
      <w:bookmarkStart w:id="179" w:name="_Toc274409866"/>
      <w:bookmarkStart w:id="180" w:name="_Toc455867769"/>
      <w:bookmarkStart w:id="181" w:name="_Toc1172"/>
      <w:bookmarkStart w:id="182" w:name="_Toc21458"/>
      <w:bookmarkStart w:id="183" w:name="_Toc21266"/>
      <w:bookmarkStart w:id="184" w:name="_Toc15893"/>
      <w:bookmarkStart w:id="185" w:name="_Toc144974499"/>
      <w:bookmarkStart w:id="186" w:name="_Toc152042307"/>
      <w:bookmarkStart w:id="187" w:name="_Toc152045531"/>
      <w:r>
        <w:rPr>
          <w:rFonts w:hint="eastAsia" w:ascii="宋体" w:hAnsi="宋体" w:eastAsia="宋体" w:cs="宋体"/>
          <w:b/>
          <w:bCs/>
          <w:color w:val="auto"/>
          <w:sz w:val="24"/>
          <w:szCs w:val="24"/>
        </w:rPr>
        <w:t>1.1 适用范围</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221E735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1.1.1根据《中华人民共和国政府采购法》等有关法律、法规和规章的规定，编制本项目磋商文件。</w:t>
      </w:r>
    </w:p>
    <w:p w14:paraId="0F29E1E4">
      <w:pPr>
        <w:pStyle w:val="34"/>
        <w:pageBreakBefore w:val="0"/>
        <w:tabs>
          <w:tab w:val="left" w:pos="7410"/>
        </w:tabs>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88" w:name="_Toc281405468"/>
      <w:bookmarkStart w:id="189" w:name="_Toc466298093"/>
      <w:bookmarkStart w:id="190" w:name="_Toc274409867"/>
      <w:bookmarkStart w:id="191" w:name="_Toc318450676"/>
      <w:bookmarkStart w:id="192" w:name="_Toc10556"/>
      <w:bookmarkStart w:id="193" w:name="_Toc10269"/>
      <w:bookmarkStart w:id="194" w:name="_Toc30891"/>
      <w:bookmarkStart w:id="195" w:name="_Toc3336"/>
      <w:bookmarkStart w:id="196" w:name="_Toc490667829"/>
      <w:bookmarkStart w:id="197" w:name="_Toc25773"/>
      <w:bookmarkStart w:id="198" w:name="_Toc455080110"/>
      <w:bookmarkStart w:id="199" w:name="_Toc32619"/>
      <w:bookmarkStart w:id="200" w:name="_Toc7237"/>
      <w:bookmarkStart w:id="201" w:name="_Toc2929"/>
      <w:bookmarkStart w:id="202" w:name="_Toc710"/>
      <w:bookmarkStart w:id="203" w:name="_Toc455867770"/>
      <w:bookmarkStart w:id="204" w:name="_Toc24852"/>
      <w:bookmarkStart w:id="205" w:name="_Toc28038"/>
      <w:bookmarkStart w:id="206" w:name="_Toc5601"/>
      <w:r>
        <w:rPr>
          <w:rFonts w:hint="eastAsia" w:ascii="宋体" w:hAnsi="宋体" w:eastAsia="宋体" w:cs="宋体"/>
          <w:b/>
          <w:bCs/>
          <w:color w:val="auto"/>
          <w:sz w:val="24"/>
          <w:szCs w:val="24"/>
        </w:rPr>
        <w:t>1.2 招标项目说明</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F2320A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 本项目采购人：见供应商须知前附表。</w:t>
      </w:r>
    </w:p>
    <w:p w14:paraId="095DBE1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1.2.2 本项目采购代理机构：见供应商须知前附表。</w:t>
      </w:r>
    </w:p>
    <w:p w14:paraId="31A20806">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1.2.3 本项目名称：见供应商须知前附表。</w:t>
      </w:r>
    </w:p>
    <w:p w14:paraId="3C4AF198">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本项目采购方式</w:t>
      </w:r>
      <w:r>
        <w:rPr>
          <w:rFonts w:hint="eastAsia" w:ascii="宋体" w:hAnsi="宋体" w:eastAsia="宋体" w:cs="宋体"/>
          <w:color w:val="auto"/>
          <w:sz w:val="24"/>
          <w:szCs w:val="24"/>
        </w:rPr>
        <w:t>：见供应商须知前附表。</w:t>
      </w:r>
    </w:p>
    <w:p w14:paraId="06CACF24">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1.2.5 本项目采购预算价</w:t>
      </w:r>
      <w:r>
        <w:rPr>
          <w:rFonts w:hint="eastAsia" w:ascii="宋体" w:hAnsi="宋体" w:eastAsia="宋体" w:cs="宋体"/>
          <w:color w:val="auto"/>
          <w:sz w:val="24"/>
          <w:szCs w:val="24"/>
        </w:rPr>
        <w:t>：见供应商须知前附表。</w:t>
      </w:r>
    </w:p>
    <w:p w14:paraId="7D2869E8">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07" w:name="_Toc30947"/>
      <w:bookmarkStart w:id="208" w:name="_Toc274409868"/>
      <w:bookmarkStart w:id="209" w:name="_Toc455867771"/>
      <w:bookmarkStart w:id="210" w:name="_Toc18960"/>
      <w:bookmarkStart w:id="211" w:name="_Toc466298094"/>
      <w:bookmarkStart w:id="212" w:name="_Toc15806"/>
      <w:bookmarkStart w:id="213" w:name="_Toc318450677"/>
      <w:bookmarkStart w:id="214" w:name="_Toc16931"/>
      <w:bookmarkStart w:id="215" w:name="_Toc4122"/>
      <w:bookmarkStart w:id="216" w:name="_Toc4563"/>
      <w:bookmarkStart w:id="217" w:name="_Toc490667830"/>
      <w:bookmarkStart w:id="218" w:name="_Toc455080111"/>
      <w:bookmarkStart w:id="219" w:name="_Toc17146"/>
      <w:bookmarkStart w:id="220" w:name="_Toc3477"/>
      <w:bookmarkStart w:id="221" w:name="_Toc17016"/>
      <w:bookmarkStart w:id="222" w:name="_Toc22979"/>
      <w:bookmarkStart w:id="223" w:name="_Toc4952"/>
      <w:bookmarkStart w:id="224" w:name="_Toc281405469"/>
      <w:bookmarkStart w:id="225" w:name="_Toc1373"/>
      <w:r>
        <w:rPr>
          <w:rFonts w:hint="eastAsia" w:ascii="宋体" w:hAnsi="宋体" w:eastAsia="宋体" w:cs="宋体"/>
          <w:b/>
          <w:bCs/>
          <w:color w:val="auto"/>
          <w:sz w:val="24"/>
          <w:szCs w:val="24"/>
        </w:rPr>
        <w:t>1.3 定义及解释</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2575729">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1.3.1采购人：依法进行政府采购的国家机关、事业单位、团体组织。</w:t>
      </w:r>
    </w:p>
    <w:p w14:paraId="7734F792">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1.3.2采购代理机构：取得政府采购招标代理资质，受采购人委托组织招标活动的社会中介组织。</w:t>
      </w:r>
    </w:p>
    <w:p w14:paraId="43EDFBD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1.3.3服务：系指根据本磋商文件规定供应商须承担的服务以及其他类似的义务等。</w:t>
      </w:r>
    </w:p>
    <w:p w14:paraId="130D95C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1.3.4供应商：供应商是响应磋商文件、参加磋商竞争的中华人民共和国境内的法人、其它组织。</w:t>
      </w:r>
    </w:p>
    <w:p w14:paraId="7F243DD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1.3.5响应文件：指供应商根据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提交的所有文件。</w:t>
      </w:r>
    </w:p>
    <w:p w14:paraId="54F7720F">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1.3.6磋商小组：依据</w:t>
      </w:r>
      <w:r>
        <w:rPr>
          <w:rFonts w:hint="eastAsia" w:ascii="宋体" w:hAnsi="宋体" w:eastAsia="宋体" w:cs="宋体"/>
          <w:color w:val="auto"/>
          <w:sz w:val="24"/>
          <w:szCs w:val="24"/>
          <w:lang w:bidi="en-US"/>
        </w:rPr>
        <w:t>《中华人民共和国政府采购法》及有关法律、法规的规定依法组建的专门负责本次评标工作的临时机构</w:t>
      </w:r>
      <w:r>
        <w:rPr>
          <w:rFonts w:hint="eastAsia" w:ascii="宋体" w:hAnsi="宋体" w:eastAsia="宋体" w:cs="宋体"/>
          <w:color w:val="auto"/>
          <w:sz w:val="24"/>
          <w:szCs w:val="24"/>
        </w:rPr>
        <w:t>。</w:t>
      </w:r>
    </w:p>
    <w:p w14:paraId="5B6C0109">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1.3.7偏离：响应文件的响应相对于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要求的偏差，该偏差优于</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要求的为正偏离；劣于的，为负偏离。</w:t>
      </w:r>
    </w:p>
    <w:p w14:paraId="7AF6CB92">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1.3.8“日期”或“天”：指日历天。</w:t>
      </w:r>
    </w:p>
    <w:p w14:paraId="7BCFF192">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1.3.9合同：指依据本次服务采购招标结果签订的协议或合约文件。</w:t>
      </w:r>
    </w:p>
    <w:p w14:paraId="0290CB14">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1.3.10</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中的标题或题名仅起引导作用，而不应视为对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内容的理解和解释。</w:t>
      </w:r>
    </w:p>
    <w:bookmarkEnd w:id="185"/>
    <w:bookmarkEnd w:id="186"/>
    <w:bookmarkEnd w:id="187"/>
    <w:p w14:paraId="38F704E4">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226" w:name="_Toc12752"/>
      <w:bookmarkStart w:id="227" w:name="_Toc318450678"/>
      <w:bookmarkStart w:id="228" w:name="_Toc19363"/>
      <w:bookmarkStart w:id="229" w:name="_Toc144974500"/>
      <w:bookmarkStart w:id="230" w:name="_Toc14043"/>
      <w:bookmarkStart w:id="231" w:name="_Toc455080112"/>
      <w:bookmarkStart w:id="232" w:name="_Toc466298095"/>
      <w:bookmarkStart w:id="233" w:name="_Toc27407"/>
      <w:bookmarkStart w:id="234" w:name="_Toc152042308"/>
      <w:bookmarkStart w:id="235" w:name="_Toc21766"/>
      <w:bookmarkStart w:id="236" w:name="_Toc17908"/>
      <w:bookmarkStart w:id="237" w:name="_Toc455867772"/>
      <w:bookmarkStart w:id="238" w:name="_Toc17808"/>
      <w:bookmarkStart w:id="239" w:name="_Toc32236"/>
      <w:bookmarkStart w:id="240" w:name="_Toc16470"/>
      <w:bookmarkStart w:id="241" w:name="_Toc152045532"/>
      <w:bookmarkStart w:id="242" w:name="_Toc10894"/>
      <w:bookmarkStart w:id="243" w:name="_Toc490667831"/>
      <w:bookmarkStart w:id="244" w:name="_Toc24472"/>
      <w:bookmarkStart w:id="245" w:name="_Toc3614"/>
      <w:r>
        <w:rPr>
          <w:rFonts w:hint="eastAsia" w:ascii="宋体" w:hAnsi="宋体" w:eastAsia="宋体" w:cs="宋体"/>
          <w:b/>
          <w:bCs/>
          <w:color w:val="auto"/>
          <w:sz w:val="24"/>
          <w:szCs w:val="24"/>
        </w:rPr>
        <w:t xml:space="preserve">1.4 </w:t>
      </w:r>
      <w:r>
        <w:rPr>
          <w:rFonts w:hint="eastAsia" w:ascii="宋体" w:hAnsi="宋体" w:eastAsia="宋体" w:cs="宋体"/>
          <w:b/>
          <w:bCs/>
          <w:color w:val="auto"/>
          <w:sz w:val="24"/>
          <w:szCs w:val="24"/>
          <w:lang w:eastAsia="zh-CN"/>
        </w:rPr>
        <w:t>磋商内容、</w:t>
      </w:r>
      <w:r>
        <w:rPr>
          <w:rFonts w:hint="eastAsia" w:ascii="宋体" w:hAnsi="宋体" w:eastAsia="宋体" w:cs="宋体"/>
          <w:b/>
          <w:bCs/>
          <w:color w:val="auto"/>
          <w:sz w:val="24"/>
          <w:szCs w:val="24"/>
        </w:rPr>
        <w:t>质量要求</w:t>
      </w:r>
      <w:r>
        <w:rPr>
          <w:rFonts w:hint="eastAsia" w:ascii="宋体" w:hAnsi="宋体" w:eastAsia="宋体" w:cs="宋体"/>
          <w:b/>
          <w:bCs/>
          <w:color w:val="auto"/>
          <w:sz w:val="24"/>
          <w:szCs w:val="24"/>
          <w:lang w:eastAsia="zh-CN"/>
        </w:rPr>
        <w:t>、服务期限、付款方式</w:t>
      </w:r>
      <w:r>
        <w:rPr>
          <w:rFonts w:hint="eastAsia" w:ascii="宋体" w:hAnsi="宋体" w:eastAsia="宋体" w:cs="宋体"/>
          <w:b/>
          <w:bCs/>
          <w:color w:val="auto"/>
          <w:sz w:val="24"/>
          <w:szCs w:val="24"/>
        </w:rPr>
        <w:t>和</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宋体" w:hAnsi="宋体" w:eastAsia="宋体" w:cs="宋体"/>
          <w:b/>
          <w:bCs/>
          <w:color w:val="auto"/>
          <w:sz w:val="24"/>
          <w:szCs w:val="24"/>
          <w:lang w:eastAsia="zh-CN"/>
        </w:rPr>
        <w:t>资格审查方式</w:t>
      </w:r>
      <w:bookmarkEnd w:id="244"/>
      <w:bookmarkEnd w:id="245"/>
    </w:p>
    <w:p w14:paraId="778960CF">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 本次</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：见供应商须知前附表。</w:t>
      </w:r>
    </w:p>
    <w:p w14:paraId="4D8C6A5F">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1.4.2 本项目的质量要求：见供应商须知前附表。</w:t>
      </w:r>
    </w:p>
    <w:p w14:paraId="614F164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1.4.3本项目的</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rPr>
        <w:t>：见供应商须知前附表。</w:t>
      </w:r>
    </w:p>
    <w:p w14:paraId="3431B4BD">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付款方式</w:t>
      </w:r>
      <w:r>
        <w:rPr>
          <w:rFonts w:hint="eastAsia" w:ascii="宋体" w:hAnsi="宋体" w:eastAsia="宋体" w:cs="宋体"/>
          <w:color w:val="auto"/>
          <w:sz w:val="24"/>
          <w:szCs w:val="24"/>
        </w:rPr>
        <w:t>：见供应商须知前附表。</w:t>
      </w:r>
    </w:p>
    <w:p w14:paraId="08F311A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1.4.5</w:t>
      </w:r>
      <w:r>
        <w:rPr>
          <w:rFonts w:hint="eastAsia" w:ascii="宋体" w:hAnsi="宋体" w:eastAsia="宋体" w:cs="宋体"/>
          <w:color w:val="auto"/>
          <w:sz w:val="24"/>
          <w:szCs w:val="24"/>
        </w:rPr>
        <w:t>本项目的</w:t>
      </w:r>
      <w:r>
        <w:rPr>
          <w:rFonts w:hint="eastAsia" w:ascii="宋体" w:hAnsi="宋体" w:eastAsia="宋体" w:cs="宋体"/>
          <w:color w:val="auto"/>
          <w:sz w:val="24"/>
          <w:szCs w:val="24"/>
          <w:lang w:val="en-US" w:eastAsia="zh-CN"/>
        </w:rPr>
        <w:t>资格审查方式：</w:t>
      </w:r>
      <w:r>
        <w:rPr>
          <w:rFonts w:hint="eastAsia" w:ascii="宋体" w:hAnsi="宋体" w:eastAsia="宋体" w:cs="宋体"/>
          <w:color w:val="auto"/>
          <w:sz w:val="24"/>
          <w:szCs w:val="24"/>
        </w:rPr>
        <w:t>见供应商须知前附表。</w:t>
      </w:r>
    </w:p>
    <w:p w14:paraId="09E2A011">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46" w:name="_Toc152042310"/>
      <w:bookmarkStart w:id="247" w:name="_Toc144974502"/>
      <w:bookmarkStart w:id="248" w:name="_Toc318450679"/>
      <w:bookmarkStart w:id="249" w:name="_Toc152045534"/>
      <w:bookmarkStart w:id="250" w:name="_Toc18004"/>
      <w:bookmarkStart w:id="251" w:name="_Toc1602"/>
      <w:bookmarkStart w:id="252" w:name="_Toc30762"/>
      <w:bookmarkStart w:id="253" w:name="_Toc490667832"/>
      <w:bookmarkStart w:id="254" w:name="_Toc4711"/>
      <w:bookmarkStart w:id="255" w:name="_Toc455867773"/>
      <w:bookmarkStart w:id="256" w:name="_Toc4301"/>
      <w:bookmarkStart w:id="257" w:name="_Toc18689"/>
      <w:bookmarkStart w:id="258" w:name="_Toc22643"/>
      <w:bookmarkStart w:id="259" w:name="_Toc455080113"/>
      <w:bookmarkStart w:id="260" w:name="_Toc6698"/>
      <w:bookmarkStart w:id="261" w:name="_Toc7209"/>
      <w:bookmarkStart w:id="262" w:name="_Toc5019"/>
      <w:bookmarkStart w:id="263" w:name="_Toc466298096"/>
      <w:bookmarkStart w:id="264" w:name="_Toc32156"/>
      <w:bookmarkStart w:id="265" w:name="_Toc11063"/>
      <w:r>
        <w:rPr>
          <w:rFonts w:hint="eastAsia" w:ascii="宋体" w:hAnsi="宋体" w:eastAsia="宋体" w:cs="宋体"/>
          <w:b/>
          <w:bCs/>
          <w:color w:val="auto"/>
          <w:sz w:val="24"/>
          <w:szCs w:val="24"/>
        </w:rPr>
        <w:t xml:space="preserve">1.5 </w:t>
      </w:r>
      <w:bookmarkEnd w:id="246"/>
      <w:bookmarkEnd w:id="247"/>
      <w:bookmarkEnd w:id="248"/>
      <w:bookmarkEnd w:id="249"/>
      <w:r>
        <w:rPr>
          <w:rFonts w:hint="eastAsia" w:ascii="宋体" w:hAnsi="宋体" w:eastAsia="宋体" w:cs="宋体"/>
          <w:b/>
          <w:bCs/>
          <w:color w:val="auto"/>
          <w:sz w:val="24"/>
          <w:szCs w:val="24"/>
        </w:rPr>
        <w:t>供应商资质条件和能力</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1AF7FAD2">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66" w:name="_Toc5316"/>
      <w:bookmarkStart w:id="267" w:name="_Toc11905"/>
      <w:bookmarkStart w:id="268" w:name="_Toc28135"/>
      <w:bookmarkStart w:id="269" w:name="_Toc455080114"/>
      <w:bookmarkStart w:id="270" w:name="_Toc12403"/>
      <w:bookmarkStart w:id="271" w:name="_Toc32189"/>
      <w:bookmarkStart w:id="272" w:name="_Toc466298097"/>
      <w:bookmarkStart w:id="273" w:name="_Toc455867774"/>
      <w:bookmarkStart w:id="274" w:name="_Toc32446"/>
      <w:bookmarkStart w:id="275" w:name="_Toc981"/>
      <w:bookmarkStart w:id="276" w:name="_Toc490667833"/>
      <w:bookmarkStart w:id="277" w:name="_Toc318450680"/>
      <w:bookmarkStart w:id="278" w:name="_Toc31854"/>
      <w:bookmarkStart w:id="279" w:name="_Toc651"/>
      <w:bookmarkStart w:id="280" w:name="_Toc16889"/>
      <w:bookmarkStart w:id="281" w:name="_Toc152045535"/>
      <w:bookmarkStart w:id="282" w:name="_Toc9505"/>
      <w:bookmarkStart w:id="283" w:name="_Toc144974503"/>
      <w:bookmarkStart w:id="284" w:name="_Toc5162"/>
      <w:bookmarkStart w:id="285" w:name="_Toc152042311"/>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.1投标供应商资格要求：</w:t>
      </w:r>
      <w:bookmarkEnd w:id="266"/>
    </w:p>
    <w:p w14:paraId="09C8EA87">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86" w:name="_Toc10744"/>
      <w:r>
        <w:rPr>
          <w:rFonts w:hint="eastAsia" w:ascii="宋体" w:hAnsi="宋体" w:eastAsia="宋体" w:cs="宋体"/>
          <w:color w:val="auto"/>
          <w:sz w:val="24"/>
          <w:szCs w:val="24"/>
        </w:rPr>
        <w:t>投标供应商须满足《中华人民共和国政府采购法》第二十二条规定的条件。投标供应商须在投标文件中提供相关承诺，格式自拟，否则投标将被否决。其他具体要求见投标供应商须知前附表。</w:t>
      </w:r>
      <w:bookmarkEnd w:id="286"/>
    </w:p>
    <w:p w14:paraId="7AC222DB">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87" w:name="_Toc3968"/>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bookmarkEnd w:id="287"/>
    </w:p>
    <w:p w14:paraId="024E1744">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88" w:name="_Toc31980"/>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.3 投标供应商不得存在下列情形：</w:t>
      </w:r>
      <w:bookmarkEnd w:id="288"/>
      <w:r>
        <w:rPr>
          <w:rFonts w:hint="eastAsia" w:ascii="宋体" w:hAnsi="宋体" w:eastAsia="宋体" w:cs="宋体"/>
          <w:color w:val="auto"/>
          <w:sz w:val="24"/>
          <w:szCs w:val="24"/>
        </w:rPr>
        <w:t>　</w:t>
      </w:r>
    </w:p>
    <w:p w14:paraId="15EBB06D">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89" w:name="_Toc29265"/>
      <w:r>
        <w:rPr>
          <w:rFonts w:hint="eastAsia" w:ascii="宋体" w:hAnsi="宋体" w:eastAsia="宋体" w:cs="宋体"/>
          <w:color w:val="auto"/>
          <w:sz w:val="24"/>
          <w:szCs w:val="24"/>
        </w:rPr>
        <w:t>（1）与采购人存在利害关系且可能影响采购公正性；</w:t>
      </w:r>
      <w:bookmarkEnd w:id="289"/>
    </w:p>
    <w:p w14:paraId="3D6999EE">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0" w:name="_Toc21013"/>
      <w:r>
        <w:rPr>
          <w:rFonts w:hint="eastAsia" w:ascii="宋体" w:hAnsi="宋体" w:eastAsia="宋体" w:cs="宋体"/>
          <w:color w:val="auto"/>
          <w:sz w:val="24"/>
          <w:szCs w:val="24"/>
        </w:rPr>
        <w:t>（2）与本采购项目的其他投标供应商为同一个单位负责人；</w:t>
      </w:r>
      <w:bookmarkEnd w:id="290"/>
    </w:p>
    <w:p w14:paraId="4BC31DE3">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1" w:name="_Toc18464"/>
      <w:r>
        <w:rPr>
          <w:rFonts w:hint="eastAsia" w:ascii="宋体" w:hAnsi="宋体" w:eastAsia="宋体" w:cs="宋体"/>
          <w:color w:val="auto"/>
          <w:sz w:val="24"/>
          <w:szCs w:val="24"/>
        </w:rPr>
        <w:t>（3）与本采购项目的其他投标供应商存在直接控股、管理关系；</w:t>
      </w:r>
      <w:bookmarkEnd w:id="291"/>
    </w:p>
    <w:p w14:paraId="67554B04">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2" w:name="_Toc26221"/>
      <w:r>
        <w:rPr>
          <w:rFonts w:hint="eastAsia" w:ascii="宋体" w:hAnsi="宋体" w:eastAsia="宋体" w:cs="宋体"/>
          <w:color w:val="auto"/>
          <w:sz w:val="24"/>
          <w:szCs w:val="24"/>
        </w:rPr>
        <w:t>（4）为本采购项目提供整体设计、规范编制或者项目管理、监理、检测等服务；</w:t>
      </w:r>
      <w:bookmarkEnd w:id="292"/>
    </w:p>
    <w:p w14:paraId="59667E24">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3" w:name="_Toc2278"/>
      <w:r>
        <w:rPr>
          <w:rFonts w:hint="eastAsia" w:ascii="宋体" w:hAnsi="宋体" w:eastAsia="宋体" w:cs="宋体"/>
          <w:color w:val="auto"/>
          <w:sz w:val="24"/>
          <w:szCs w:val="24"/>
        </w:rPr>
        <w:t>（5）为本采购项目的采购代理机构或与采购代理机构同为一个法定代表人；</w:t>
      </w:r>
      <w:bookmarkEnd w:id="293"/>
    </w:p>
    <w:p w14:paraId="7CE3A676">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4" w:name="_Toc27978"/>
      <w:r>
        <w:rPr>
          <w:rFonts w:hint="eastAsia" w:ascii="宋体" w:hAnsi="宋体" w:eastAsia="宋体" w:cs="宋体"/>
          <w:color w:val="auto"/>
          <w:sz w:val="24"/>
          <w:szCs w:val="24"/>
        </w:rPr>
        <w:t>（6）因违法经营受到刑事处罚或者责令停产停业、吊销许可证或者执照、较大数额罚款等行政处罚；</w:t>
      </w:r>
      <w:bookmarkEnd w:id="294"/>
    </w:p>
    <w:p w14:paraId="219DC85B">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5" w:name="_Toc20705"/>
      <w:r>
        <w:rPr>
          <w:rFonts w:hint="eastAsia" w:ascii="宋体" w:hAnsi="宋体" w:eastAsia="宋体" w:cs="宋体"/>
          <w:color w:val="auto"/>
          <w:sz w:val="24"/>
          <w:szCs w:val="24"/>
        </w:rPr>
        <w:t>（7）进入清算程序，或被宣告破产，或其他丧失履约能力的情形；</w:t>
      </w:r>
      <w:bookmarkEnd w:id="295"/>
    </w:p>
    <w:p w14:paraId="1292C9DC">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6" w:name="_Toc22342"/>
      <w:r>
        <w:rPr>
          <w:rFonts w:hint="eastAsia" w:ascii="宋体" w:hAnsi="宋体" w:eastAsia="宋体" w:cs="宋体"/>
          <w:color w:val="auto"/>
          <w:sz w:val="24"/>
          <w:szCs w:val="24"/>
        </w:rPr>
        <w:t>（8）被“信用中国”网站（www.creditchina.gov.cn）列入失信被执行人、重大税收违法案件当事人名单；</w:t>
      </w:r>
      <w:bookmarkEnd w:id="296"/>
    </w:p>
    <w:p w14:paraId="078394D2">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7" w:name="_Toc17995"/>
      <w:r>
        <w:rPr>
          <w:rFonts w:hint="eastAsia" w:ascii="宋体" w:hAnsi="宋体" w:eastAsia="宋体" w:cs="宋体"/>
          <w:color w:val="auto"/>
          <w:sz w:val="24"/>
          <w:szCs w:val="24"/>
        </w:rPr>
        <w:t>（9）被国家税务总局网站（www.chinatax.gov.cn/）列入——重大案件查询栏目“重大税收违法案件当事人名单”的投标供应商；（须在投标文件中附查询截图,查询截图应清晰并显示该网页网址，查询时间为开标前3日内，未按要求提供的投标文件无效）；</w:t>
      </w:r>
      <w:bookmarkEnd w:id="297"/>
    </w:p>
    <w:p w14:paraId="58F336FF">
      <w:pPr>
        <w:pStyle w:val="27"/>
        <w:bidi w:val="0"/>
        <w:rPr>
          <w:rFonts w:hint="eastAsia"/>
        </w:rPr>
      </w:pPr>
      <w:r>
        <w:rPr>
          <w:rFonts w:hint="eastAsia"/>
          <w:sz w:val="24"/>
          <w:szCs w:val="36"/>
        </w:rPr>
        <w:t>（10）近三年内投标供应商、法定代表人、授权委托人有行贿犯罪行为的（须提供无行贿犯罪行为承诺书加盖企业电子章及法定代表人、授权委托人签字</w:t>
      </w:r>
      <w:r>
        <w:rPr>
          <w:rFonts w:hint="eastAsia"/>
          <w:sz w:val="24"/>
          <w:szCs w:val="36"/>
          <w:lang w:eastAsia="zh-CN"/>
        </w:rPr>
        <w:t>或盖章</w:t>
      </w:r>
      <w:r>
        <w:rPr>
          <w:rFonts w:hint="eastAsia"/>
          <w:sz w:val="24"/>
          <w:szCs w:val="36"/>
        </w:rPr>
        <w:t xml:space="preserve">），未按要求提供的投标文件无效； </w:t>
      </w:r>
      <w:r>
        <w:rPr>
          <w:rFonts w:hint="eastAsia"/>
        </w:rPr>
        <w:t xml:space="preserve"> </w:t>
      </w:r>
    </w:p>
    <w:p w14:paraId="752721B1">
      <w:pPr>
        <w:pStyle w:val="34"/>
        <w:keepNext w:val="0"/>
        <w:keepLines/>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298" w:name="_Toc29074"/>
      <w:r>
        <w:rPr>
          <w:rFonts w:hint="eastAsia" w:ascii="宋体" w:hAnsi="宋体" w:eastAsia="宋体" w:cs="宋体"/>
          <w:color w:val="auto"/>
          <w:sz w:val="24"/>
          <w:szCs w:val="24"/>
        </w:rPr>
        <w:t>（11）法律法规或投标供应商须知前附表规定的其他情形。</w:t>
      </w:r>
      <w:bookmarkEnd w:id="298"/>
    </w:p>
    <w:p w14:paraId="3271A8B0">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299" w:name="_Toc18919"/>
      <w:r>
        <w:rPr>
          <w:rFonts w:hint="eastAsia" w:ascii="宋体" w:hAnsi="宋体" w:eastAsia="宋体" w:cs="宋体"/>
          <w:b/>
          <w:bCs/>
          <w:color w:val="auto"/>
          <w:sz w:val="24"/>
          <w:szCs w:val="24"/>
        </w:rPr>
        <w:t>1.6 费用承担</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99"/>
    </w:p>
    <w:p w14:paraId="02219C2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供应商准备和参加磋商活动发生的费用自理，不论磋商的结果如何，采购人和采购代理机构在任何情况下均无义务和责任承担这些费用。</w:t>
      </w:r>
    </w:p>
    <w:p w14:paraId="5DC1FBAA">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00" w:name="_Toc490667834"/>
      <w:bookmarkStart w:id="301" w:name="_Toc1879"/>
      <w:bookmarkStart w:id="302" w:name="_Toc152045536"/>
      <w:bookmarkStart w:id="303" w:name="_Toc24601"/>
      <w:bookmarkStart w:id="304" w:name="_Toc2622"/>
      <w:bookmarkStart w:id="305" w:name="_Toc22800"/>
      <w:bookmarkStart w:id="306" w:name="_Toc15120"/>
      <w:bookmarkStart w:id="307" w:name="_Toc152042312"/>
      <w:bookmarkStart w:id="308" w:name="_Toc144974504"/>
      <w:bookmarkStart w:id="309" w:name="_Toc22136"/>
      <w:bookmarkStart w:id="310" w:name="_Toc455080115"/>
      <w:bookmarkStart w:id="311" w:name="_Toc10457"/>
      <w:bookmarkStart w:id="312" w:name="_Toc455867775"/>
      <w:bookmarkStart w:id="313" w:name="_Toc5402"/>
      <w:bookmarkStart w:id="314" w:name="_Toc6014"/>
      <w:bookmarkStart w:id="315" w:name="_Toc32053"/>
      <w:bookmarkStart w:id="316" w:name="_Toc466298098"/>
      <w:bookmarkStart w:id="317" w:name="_Toc8055"/>
      <w:bookmarkStart w:id="318" w:name="_Toc318450681"/>
      <w:bookmarkStart w:id="319" w:name="_Toc20145"/>
      <w:r>
        <w:rPr>
          <w:rFonts w:hint="eastAsia" w:ascii="宋体" w:hAnsi="宋体" w:eastAsia="宋体" w:cs="宋体"/>
          <w:b/>
          <w:bCs/>
          <w:color w:val="auto"/>
          <w:sz w:val="24"/>
          <w:szCs w:val="24"/>
        </w:rPr>
        <w:t>1.7 保密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520B9FEE">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参与磋商活动的各方应对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和响应文件中的商业和技术等秘密保密，违者应对由此造成的后果承担法律责任。 </w:t>
      </w:r>
    </w:p>
    <w:p w14:paraId="3B3DB6A2">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20" w:name="_Toc144974505"/>
      <w:bookmarkStart w:id="321" w:name="_Toc12517"/>
      <w:bookmarkStart w:id="322" w:name="_Toc3421"/>
      <w:bookmarkStart w:id="323" w:name="_Toc13976"/>
      <w:bookmarkStart w:id="324" w:name="_Toc6615"/>
      <w:bookmarkStart w:id="325" w:name="_Toc490667835"/>
      <w:bookmarkStart w:id="326" w:name="_Toc455080116"/>
      <w:bookmarkStart w:id="327" w:name="_Toc30747"/>
      <w:bookmarkStart w:id="328" w:name="_Toc318450682"/>
      <w:bookmarkStart w:id="329" w:name="_Toc15673"/>
      <w:bookmarkStart w:id="330" w:name="_Toc25517"/>
      <w:bookmarkStart w:id="331" w:name="_Toc14775"/>
      <w:bookmarkStart w:id="332" w:name="_Toc152045537"/>
      <w:bookmarkStart w:id="333" w:name="_Toc21089"/>
      <w:bookmarkStart w:id="334" w:name="_Toc30583"/>
      <w:bookmarkStart w:id="335" w:name="_Toc152042313"/>
      <w:bookmarkStart w:id="336" w:name="_Toc3628"/>
      <w:bookmarkStart w:id="337" w:name="_Toc466298099"/>
      <w:bookmarkStart w:id="338" w:name="_Toc455867776"/>
      <w:bookmarkStart w:id="339" w:name="_Toc7031"/>
      <w:r>
        <w:rPr>
          <w:rFonts w:hint="eastAsia" w:ascii="宋体" w:hAnsi="宋体" w:eastAsia="宋体" w:cs="宋体"/>
          <w:b/>
          <w:bCs/>
          <w:color w:val="auto"/>
          <w:sz w:val="24"/>
          <w:szCs w:val="24"/>
        </w:rPr>
        <w:t>1.8 语言</w:t>
      </w:r>
      <w:bookmarkEnd w:id="320"/>
      <w:r>
        <w:rPr>
          <w:rFonts w:hint="eastAsia" w:ascii="宋体" w:hAnsi="宋体" w:eastAsia="宋体" w:cs="宋体"/>
          <w:b/>
          <w:bCs/>
          <w:color w:val="auto"/>
          <w:sz w:val="24"/>
          <w:szCs w:val="24"/>
        </w:rPr>
        <w:t>文字</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3E3BCBD">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除专用术语外，与磋商有关的语言均使用中文。必要时专用术语应附有中文注释，</w:t>
      </w:r>
      <w:r>
        <w:rPr>
          <w:rFonts w:hint="eastAsia" w:ascii="宋体" w:hAnsi="宋体" w:eastAsia="宋体" w:cs="宋体"/>
          <w:color w:val="auto"/>
          <w:sz w:val="24"/>
          <w:szCs w:val="24"/>
          <w:lang w:bidi="en-US"/>
        </w:rPr>
        <w:t>对不同文字文本响应文件的解释发生异议的，以中文文本为准。</w:t>
      </w:r>
    </w:p>
    <w:p w14:paraId="1AE88436">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40" w:name="_Toc32507"/>
      <w:bookmarkStart w:id="341" w:name="_Toc152042314"/>
      <w:bookmarkStart w:id="342" w:name="_Toc28755"/>
      <w:bookmarkStart w:id="343" w:name="_Toc466298100"/>
      <w:bookmarkStart w:id="344" w:name="_Toc4237"/>
      <w:bookmarkStart w:id="345" w:name="_Toc318450683"/>
      <w:bookmarkStart w:id="346" w:name="_Toc18357"/>
      <w:bookmarkStart w:id="347" w:name="_Toc9446"/>
      <w:bookmarkStart w:id="348" w:name="_Toc24337"/>
      <w:bookmarkStart w:id="349" w:name="_Toc21516"/>
      <w:bookmarkStart w:id="350" w:name="_Toc14934"/>
      <w:bookmarkStart w:id="351" w:name="_Toc4501"/>
      <w:bookmarkStart w:id="352" w:name="_Toc144974506"/>
      <w:bookmarkStart w:id="353" w:name="_Toc22415"/>
      <w:bookmarkStart w:id="354" w:name="_Toc490667836"/>
      <w:bookmarkStart w:id="355" w:name="_Toc455080117"/>
      <w:bookmarkStart w:id="356" w:name="_Toc455867777"/>
      <w:bookmarkStart w:id="357" w:name="_Toc2702"/>
      <w:bookmarkStart w:id="358" w:name="_Toc22378"/>
      <w:bookmarkStart w:id="359" w:name="_Toc152045538"/>
      <w:r>
        <w:rPr>
          <w:rFonts w:hint="eastAsia" w:ascii="宋体" w:hAnsi="宋体" w:eastAsia="宋体" w:cs="宋体"/>
          <w:b/>
          <w:bCs/>
          <w:color w:val="auto"/>
          <w:sz w:val="24"/>
          <w:szCs w:val="24"/>
        </w:rPr>
        <w:t>1.9 计量单位</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0D87C7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7D46FDA8">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val="0"/>
          <w:bCs w:val="0"/>
          <w:color w:val="auto"/>
          <w:sz w:val="24"/>
          <w:szCs w:val="24"/>
          <w:lang w:eastAsia="zh-CN"/>
        </w:rPr>
      </w:pPr>
      <w:bookmarkStart w:id="360" w:name="_Toc29845"/>
      <w:bookmarkStart w:id="361" w:name="_Toc284"/>
      <w:bookmarkStart w:id="362" w:name="_Toc13675"/>
      <w:bookmarkStart w:id="363" w:name="_Toc466298101"/>
      <w:bookmarkStart w:id="364" w:name="_Toc490667837"/>
      <w:bookmarkStart w:id="365" w:name="_Toc19685"/>
      <w:bookmarkStart w:id="366" w:name="_Toc31195"/>
      <w:bookmarkStart w:id="367" w:name="_Toc152042316"/>
      <w:bookmarkStart w:id="368" w:name="_Toc338"/>
      <w:bookmarkStart w:id="369" w:name="_Toc318450684"/>
      <w:bookmarkStart w:id="370" w:name="_Toc2508"/>
      <w:bookmarkStart w:id="371" w:name="_Toc18589"/>
      <w:bookmarkStart w:id="372" w:name="_Toc455867778"/>
      <w:bookmarkStart w:id="373" w:name="_Toc12027"/>
      <w:bookmarkStart w:id="374" w:name="_Toc144974508"/>
      <w:bookmarkStart w:id="375" w:name="_Toc455080118"/>
      <w:bookmarkStart w:id="376" w:name="_Toc27570"/>
      <w:bookmarkStart w:id="377" w:name="_Toc152045540"/>
      <w:bookmarkStart w:id="378" w:name="_Toc4044"/>
      <w:bookmarkStart w:id="379" w:name="_Toc31462"/>
      <w:r>
        <w:rPr>
          <w:rFonts w:hint="eastAsia" w:ascii="宋体" w:hAnsi="宋体" w:eastAsia="宋体" w:cs="宋体"/>
          <w:b/>
          <w:bCs/>
          <w:color w:val="auto"/>
          <w:sz w:val="24"/>
          <w:szCs w:val="24"/>
        </w:rPr>
        <w:t xml:space="preserve">1.10 </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hint="eastAsia" w:ascii="宋体" w:hAnsi="宋体" w:eastAsia="宋体" w:cs="宋体"/>
          <w:b/>
          <w:bCs/>
          <w:color w:val="auto"/>
          <w:sz w:val="24"/>
          <w:szCs w:val="24"/>
          <w:lang w:eastAsia="zh-CN"/>
        </w:rPr>
        <w:t>现场踏勘：</w:t>
      </w:r>
      <w:r>
        <w:rPr>
          <w:rFonts w:hint="eastAsia" w:ascii="宋体" w:hAnsi="宋体" w:eastAsia="宋体" w:cs="宋体"/>
          <w:b w:val="0"/>
          <w:bCs w:val="0"/>
          <w:color w:val="auto"/>
          <w:sz w:val="24"/>
          <w:szCs w:val="24"/>
          <w:lang w:eastAsia="zh-CN"/>
        </w:rPr>
        <w:t>自行踏勘，与之相关的费用，供应商自行承担。</w:t>
      </w:r>
      <w:bookmarkEnd w:id="378"/>
      <w:bookmarkEnd w:id="379"/>
    </w:p>
    <w:p w14:paraId="0CDB74F0">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380" w:name="_Toc3853"/>
      <w:bookmarkStart w:id="381" w:name="_Toc152042317"/>
      <w:bookmarkStart w:id="382" w:name="_Toc466298102"/>
      <w:bookmarkStart w:id="383" w:name="_Toc12562"/>
      <w:bookmarkStart w:id="384" w:name="_Toc5765"/>
      <w:bookmarkStart w:id="385" w:name="_Toc152045541"/>
      <w:bookmarkStart w:id="386" w:name="_Toc24262"/>
      <w:bookmarkStart w:id="387" w:name="_Toc23678"/>
      <w:bookmarkStart w:id="388" w:name="_Toc9182"/>
      <w:bookmarkStart w:id="389" w:name="_Toc25208"/>
      <w:bookmarkStart w:id="390" w:name="_Toc318450685"/>
      <w:bookmarkStart w:id="391" w:name="_Toc455867779"/>
      <w:bookmarkStart w:id="392" w:name="_Toc32757"/>
      <w:bookmarkStart w:id="393" w:name="_Toc144974509"/>
      <w:bookmarkStart w:id="394" w:name="_Toc490667838"/>
      <w:bookmarkStart w:id="395" w:name="_Toc23635"/>
      <w:bookmarkStart w:id="396" w:name="_Toc455080119"/>
      <w:bookmarkStart w:id="397" w:name="_Toc31725"/>
      <w:bookmarkStart w:id="398" w:name="_Toc20185"/>
      <w:bookmarkStart w:id="399" w:name="_Toc11744"/>
      <w:r>
        <w:rPr>
          <w:rFonts w:hint="eastAsia" w:ascii="宋体" w:hAnsi="宋体" w:eastAsia="宋体" w:cs="宋体"/>
          <w:b/>
          <w:bCs/>
          <w:color w:val="auto"/>
          <w:sz w:val="24"/>
          <w:szCs w:val="24"/>
        </w:rPr>
        <w:t>1.11分包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62DC17A6">
      <w:pPr>
        <w:pageBreakBefore w:val="0"/>
        <w:kinsoku/>
        <w:wordWrap/>
        <w:overflowPunct/>
        <w:topLinePunct w:val="0"/>
        <w:bidi w:val="0"/>
        <w:snapToGrid/>
        <w:spacing w:line="500" w:lineRule="exact"/>
        <w:ind w:firstLine="648" w:firstLineChars="27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是否允许分包：见供应商须知前附表。</w:t>
      </w:r>
      <w:bookmarkStart w:id="400" w:name="_Toc152042318"/>
      <w:bookmarkStart w:id="401" w:name="_Toc152045542"/>
      <w:bookmarkStart w:id="402" w:name="_Toc144974510"/>
      <w:bookmarkStart w:id="403" w:name="_Toc455080120"/>
    </w:p>
    <w:p w14:paraId="3B77346F">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1.1</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lang w:eastAsia="zh-CN"/>
        </w:rPr>
        <w:t>偏离</w:t>
      </w:r>
    </w:p>
    <w:p w14:paraId="75183219">
      <w:pPr>
        <w:pStyle w:val="34"/>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1.12.1投标文件应当对招标文件的实质性要求和条件作出满足性或更有利于采购人的响应，否则，投标供应商的投标将被否决。实质性要求和条件见投标供应商须知前附表。</w:t>
      </w:r>
    </w:p>
    <w:p w14:paraId="081B9678">
      <w:pPr>
        <w:pStyle w:val="34"/>
        <w:pageBreakBefore w:val="0"/>
        <w:kinsoku/>
        <w:wordWrap/>
        <w:overflowPunct/>
        <w:topLinePunct w:val="0"/>
        <w:bidi w:val="0"/>
        <w:snapToGrid/>
        <w:spacing w:before="0" w:beforeLines="0" w:after="0" w:afterLines="0" w:line="500" w:lineRule="exact"/>
        <w:ind w:left="0" w:leftChars="0" w:firstLine="420" w:firstLineChars="175"/>
        <w:textAlignment w:val="auto"/>
        <w:outlineLvl w:val="0"/>
        <w:rPr>
          <w:rFonts w:hint="eastAsia" w:ascii="宋体" w:hAnsi="宋体" w:eastAsia="宋体" w:cs="宋体"/>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b w:val="0"/>
          <w:bCs w:val="0"/>
          <w:color w:val="auto"/>
          <w:sz w:val="24"/>
          <w:szCs w:val="24"/>
          <w:lang w:eastAsia="zh-CN"/>
        </w:rPr>
        <w:t>1.1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投标文件对招标文件的全部偏离，均应在投标文件的商务和技术偏离表中列明，除列明的内容外，视为投标供应商响应招标文件的全部要求。</w:t>
      </w:r>
    </w:p>
    <w:bookmarkEnd w:id="400"/>
    <w:bookmarkEnd w:id="401"/>
    <w:bookmarkEnd w:id="402"/>
    <w:p w14:paraId="5D248181">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bCs/>
          <w:color w:val="auto"/>
          <w:sz w:val="24"/>
          <w:szCs w:val="24"/>
          <w:lang w:eastAsia="zh-CN"/>
        </w:rPr>
      </w:pPr>
      <w:bookmarkStart w:id="404" w:name="_Toc12453"/>
      <w:bookmarkStart w:id="405" w:name="_Toc19756"/>
      <w:r>
        <w:rPr>
          <w:rFonts w:hint="eastAsia" w:ascii="宋体" w:hAnsi="宋体" w:eastAsia="宋体" w:cs="宋体"/>
          <w:b/>
          <w:bCs/>
          <w:color w:val="auto"/>
          <w:sz w:val="24"/>
          <w:szCs w:val="24"/>
        </w:rPr>
        <w:t>2.</w:t>
      </w:r>
      <w:bookmarkEnd w:id="403"/>
      <w:bookmarkEnd w:id="404"/>
      <w:r>
        <w:rPr>
          <w:rFonts w:hint="eastAsia" w:ascii="宋体" w:hAnsi="宋体" w:eastAsia="宋体" w:cs="宋体"/>
          <w:b/>
          <w:bCs/>
          <w:color w:val="auto"/>
          <w:sz w:val="24"/>
          <w:szCs w:val="24"/>
          <w:lang w:eastAsia="zh-CN"/>
        </w:rPr>
        <w:t>竞争性磋商文件</w:t>
      </w:r>
      <w:bookmarkEnd w:id="405"/>
    </w:p>
    <w:p w14:paraId="03E8EC02">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06" w:name="_Toc3982"/>
      <w:bookmarkStart w:id="407" w:name="_Toc11567"/>
      <w:bookmarkStart w:id="408" w:name="_Toc455867781"/>
      <w:bookmarkStart w:id="409" w:name="_Toc10398"/>
      <w:bookmarkStart w:id="410" w:name="_Toc318450687"/>
      <w:bookmarkStart w:id="411" w:name="_Toc1008"/>
      <w:bookmarkStart w:id="412" w:name="_Toc23649"/>
      <w:bookmarkStart w:id="413" w:name="_Toc12640"/>
      <w:bookmarkStart w:id="414" w:name="_Toc490667840"/>
      <w:bookmarkStart w:id="415" w:name="_Toc455080121"/>
      <w:bookmarkStart w:id="416" w:name="_Toc32711"/>
      <w:bookmarkStart w:id="417" w:name="_Toc152042319"/>
      <w:bookmarkStart w:id="418" w:name="_Toc9780"/>
      <w:bookmarkStart w:id="419" w:name="_Toc144974511"/>
      <w:bookmarkStart w:id="420" w:name="_Toc12004"/>
      <w:bookmarkStart w:id="421" w:name="_Toc466298104"/>
      <w:bookmarkStart w:id="422" w:name="_Toc7999"/>
      <w:bookmarkStart w:id="423" w:name="_Toc152045543"/>
      <w:bookmarkStart w:id="424" w:name="_Toc16486"/>
      <w:bookmarkStart w:id="425" w:name="_Toc11599"/>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的组成</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760393FC">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本</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w:t>
      </w:r>
    </w:p>
    <w:p w14:paraId="41362C41">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w:t>
      </w:r>
    </w:p>
    <w:p w14:paraId="3354F5D7">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（2）供应商须知；</w:t>
      </w:r>
    </w:p>
    <w:p w14:paraId="66C9605D">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（3）评审办法；</w:t>
      </w:r>
    </w:p>
    <w:p w14:paraId="400D08DF">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河南省政府采购合同（参考文本）</w:t>
      </w:r>
      <w:r>
        <w:rPr>
          <w:rFonts w:hint="eastAsia" w:ascii="宋体" w:hAnsi="宋体" w:eastAsia="宋体" w:cs="宋体"/>
          <w:color w:val="auto"/>
          <w:sz w:val="24"/>
          <w:szCs w:val="24"/>
        </w:rPr>
        <w:t>；</w:t>
      </w:r>
    </w:p>
    <w:p w14:paraId="7353CE76">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采购需求</w:t>
      </w:r>
      <w:r>
        <w:rPr>
          <w:rFonts w:hint="eastAsia" w:ascii="宋体" w:hAnsi="宋体" w:eastAsia="宋体" w:cs="宋体"/>
          <w:color w:val="auto"/>
          <w:sz w:val="24"/>
          <w:szCs w:val="24"/>
        </w:rPr>
        <w:t>；</w:t>
      </w:r>
    </w:p>
    <w:p w14:paraId="593E744C">
      <w:pPr>
        <w:pageBreakBefore w:val="0"/>
        <w:kinsoku/>
        <w:wordWrap/>
        <w:overflowPunct/>
        <w:topLinePunct w:val="0"/>
        <w:bidi w:val="0"/>
        <w:snapToGrid/>
        <w:spacing w:line="500" w:lineRule="exact"/>
        <w:ind w:left="0" w:leftChars="0" w:firstLine="840" w:firstLineChars="3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w:t>
      </w:r>
    </w:p>
    <w:p w14:paraId="03BA060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根据本章第2.2款和第2.3款对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所作的澄清、修改，构成</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的组成部分。</w:t>
      </w:r>
    </w:p>
    <w:p w14:paraId="5DCF752D">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26" w:name="_Toc12414"/>
      <w:bookmarkStart w:id="427" w:name="_Toc1079"/>
      <w:bookmarkStart w:id="428" w:name="_Toc15658"/>
      <w:bookmarkStart w:id="429" w:name="_Toc144974514"/>
      <w:bookmarkStart w:id="430" w:name="_Toc152045546"/>
      <w:bookmarkStart w:id="431" w:name="_Toc152042322"/>
      <w:bookmarkStart w:id="432" w:name="_Toc455080124"/>
      <w:r>
        <w:rPr>
          <w:rFonts w:hint="eastAsia" w:ascii="宋体" w:hAnsi="宋体" w:eastAsia="宋体" w:cs="宋体"/>
          <w:b/>
          <w:bCs/>
          <w:color w:val="auto"/>
          <w:sz w:val="24"/>
          <w:szCs w:val="24"/>
        </w:rPr>
        <w:t xml:space="preserve">2.2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的澄清</w:t>
      </w:r>
      <w:bookmarkEnd w:id="426"/>
      <w:bookmarkEnd w:id="427"/>
      <w:bookmarkEnd w:id="428"/>
    </w:p>
    <w:p w14:paraId="5F8ECD0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2.2.1供应商应仔细阅读和检查</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全部内容。如发现缺页或附件不全，应及时向采购人提出，以便补齐。如有疑问，应在供应商须知前附表规定的时间前以书面形式（包括信函、电报、传真等可以有形表现所载内容的形式，下同），要求采购人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予以澄清。</w:t>
      </w:r>
    </w:p>
    <w:p w14:paraId="6945BCAD">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2.2.2 </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将在供应商须知前附表规定的响应文件递交截止时间5天前在信阳市公共资源交易系统“变更公告”或“答疑文件”将澄清内容予以发布，但不指明澄清问题的来源。如果澄清的内容可能影响响应文件编制且发出的时间距响应文件递交截止时间不足5天，相应延长投标截止时间。</w:t>
      </w:r>
    </w:p>
    <w:p w14:paraId="08B8F80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2.2.3供应商应在响应文件递交截止时间前及时查看澄清内容，因供应商未及时查看而造成的后果自负。</w:t>
      </w:r>
    </w:p>
    <w:p w14:paraId="57DFC23A">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33" w:name="_Toc8263"/>
      <w:bookmarkStart w:id="434" w:name="_Toc5133"/>
      <w:bookmarkStart w:id="435" w:name="_Toc5355"/>
      <w:r>
        <w:rPr>
          <w:rFonts w:hint="eastAsia" w:ascii="宋体" w:hAnsi="宋体" w:eastAsia="宋体" w:cs="宋体"/>
          <w:b/>
          <w:bCs/>
          <w:color w:val="auto"/>
          <w:sz w:val="24"/>
          <w:szCs w:val="24"/>
        </w:rPr>
        <w:t xml:space="preserve">2.3 </w:t>
      </w:r>
      <w:r>
        <w:rPr>
          <w:rFonts w:hint="eastAsia" w:ascii="宋体" w:hAnsi="宋体" w:eastAsia="宋体" w:cs="宋体"/>
          <w:b/>
          <w:bCs/>
          <w:color w:val="auto"/>
          <w:sz w:val="24"/>
          <w:szCs w:val="24"/>
          <w:lang w:eastAsia="zh-CN"/>
        </w:rPr>
        <w:t>竞争性磋商文件</w:t>
      </w:r>
      <w:r>
        <w:rPr>
          <w:rFonts w:hint="eastAsia" w:ascii="宋体" w:hAnsi="宋体" w:eastAsia="宋体" w:cs="宋体"/>
          <w:b/>
          <w:bCs/>
          <w:color w:val="auto"/>
          <w:sz w:val="24"/>
          <w:szCs w:val="24"/>
        </w:rPr>
        <w:t>的修改</w:t>
      </w:r>
      <w:bookmarkEnd w:id="433"/>
      <w:bookmarkEnd w:id="434"/>
      <w:bookmarkEnd w:id="435"/>
    </w:p>
    <w:p w14:paraId="2F5ADD5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 在响应文件递交截止时间5天前，采购人可以修改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如有修改，应在信阳市公共资源交易系统“变更公告”或“答疑文件”将修改内容予以发布。如果修改的内容可能影响响应文件编制且发出的时间距响应文件递交截止时间不足5天，相应延长响应文件递交截止时间。</w:t>
      </w:r>
    </w:p>
    <w:p w14:paraId="7EF6F186">
      <w:pPr>
        <w:pageBreakBefore w:val="0"/>
        <w:kinsoku/>
        <w:wordWrap/>
        <w:overflowPunct/>
        <w:topLinePunct w:val="0"/>
        <w:bidi w:val="0"/>
        <w:snapToGrid/>
        <w:spacing w:line="500" w:lineRule="exact"/>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2.3.2当</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的澄清、修改、补充等在同一内容的表述上不一致时，以最后在信阳市公共资源交易系统发出的文件为准。</w:t>
      </w:r>
    </w:p>
    <w:p w14:paraId="746D2E18">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2.3.3供应商应在响应文件递交截止时间前及时查看修改内容，因供应商未及时查看而造成的后果自负。</w:t>
      </w:r>
    </w:p>
    <w:p w14:paraId="123FEB36">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436" w:name="_Toc4666"/>
    </w:p>
    <w:p w14:paraId="6BE37245">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437" w:name="_Toc30559"/>
      <w:r>
        <w:rPr>
          <w:rFonts w:hint="eastAsia" w:ascii="宋体" w:hAnsi="宋体" w:eastAsia="宋体" w:cs="宋体"/>
          <w:b/>
          <w:bCs/>
          <w:color w:val="auto"/>
          <w:sz w:val="24"/>
          <w:szCs w:val="24"/>
        </w:rPr>
        <w:t xml:space="preserve">3. </w:t>
      </w:r>
      <w:bookmarkEnd w:id="429"/>
      <w:bookmarkEnd w:id="430"/>
      <w:bookmarkEnd w:id="431"/>
      <w:r>
        <w:rPr>
          <w:rFonts w:hint="eastAsia" w:ascii="宋体" w:hAnsi="宋体" w:eastAsia="宋体" w:cs="宋体"/>
          <w:b/>
          <w:bCs/>
          <w:color w:val="auto"/>
          <w:sz w:val="24"/>
          <w:szCs w:val="24"/>
        </w:rPr>
        <w:t>响应文件</w:t>
      </w:r>
      <w:bookmarkEnd w:id="432"/>
      <w:bookmarkEnd w:id="436"/>
      <w:bookmarkEnd w:id="437"/>
    </w:p>
    <w:p w14:paraId="7105D50A">
      <w:pPr>
        <w:pStyle w:val="34"/>
        <w:pageBreakBefore w:val="0"/>
        <w:kinsoku/>
        <w:wordWrap/>
        <w:overflowPunct/>
        <w:topLinePunct w:val="0"/>
        <w:bidi w:val="0"/>
        <w:snapToGrid/>
        <w:spacing w:before="0" w:beforeLines="0" w:after="0" w:afterLines="0" w:line="500" w:lineRule="exact"/>
        <w:textAlignment w:val="auto"/>
        <w:outlineLvl w:val="9"/>
        <w:rPr>
          <w:rFonts w:hint="eastAsia" w:ascii="宋体" w:hAnsi="宋体" w:eastAsia="宋体" w:cs="宋体"/>
          <w:b/>
          <w:bCs/>
          <w:color w:val="auto"/>
          <w:sz w:val="24"/>
          <w:szCs w:val="24"/>
        </w:rPr>
      </w:pPr>
      <w:bookmarkStart w:id="438" w:name="_Toc152045547"/>
      <w:bookmarkStart w:id="439" w:name="_Toc10096"/>
      <w:bookmarkStart w:id="440" w:name="_Toc152042323"/>
      <w:bookmarkStart w:id="441" w:name="_Toc15810"/>
      <w:bookmarkStart w:id="442" w:name="_Toc635"/>
      <w:bookmarkStart w:id="443" w:name="_Toc490667844"/>
      <w:bookmarkStart w:id="444" w:name="_Toc318450691"/>
      <w:bookmarkStart w:id="445" w:name="_Toc144974515"/>
      <w:bookmarkStart w:id="446" w:name="_Toc16198"/>
      <w:bookmarkStart w:id="447" w:name="_Toc9273"/>
      <w:bookmarkStart w:id="448" w:name="_Toc24440"/>
      <w:bookmarkStart w:id="449" w:name="_Toc27373"/>
      <w:r>
        <w:rPr>
          <w:rFonts w:hint="eastAsia" w:ascii="宋体" w:hAnsi="宋体" w:eastAsia="宋体" w:cs="宋体"/>
          <w:b/>
          <w:bCs/>
          <w:color w:val="auto"/>
          <w:sz w:val="24"/>
          <w:szCs w:val="24"/>
        </w:rPr>
        <w:t>3.1 响应文件的组成</w:t>
      </w:r>
      <w:bookmarkEnd w:id="438"/>
      <w:bookmarkEnd w:id="439"/>
      <w:bookmarkEnd w:id="440"/>
      <w:bookmarkEnd w:id="441"/>
      <w:bookmarkEnd w:id="442"/>
      <w:bookmarkEnd w:id="443"/>
      <w:bookmarkEnd w:id="444"/>
      <w:bookmarkEnd w:id="445"/>
      <w:bookmarkEnd w:id="446"/>
      <w:bookmarkEnd w:id="447"/>
      <w:bookmarkEnd w:id="448"/>
      <w:bookmarkEnd w:id="449"/>
    </w:p>
    <w:p w14:paraId="571670CC">
      <w:pPr>
        <w:pageBreakBefore w:val="0"/>
        <w:widowControl/>
        <w:kinsoku/>
        <w:wordWrap/>
        <w:overflowPunct/>
        <w:topLinePunct w:val="0"/>
        <w:bidi w:val="0"/>
        <w:snapToGrid/>
        <w:spacing w:line="500" w:lineRule="exact"/>
        <w:ind w:left="0" w:leftChars="0" w:firstLine="480" w:firstLineChars="200"/>
        <w:jc w:val="left"/>
        <w:textAlignment w:val="auto"/>
        <w:rPr>
          <w:rFonts w:hint="eastAsia" w:ascii="宋体" w:hAnsi="宋体" w:eastAsia="宋体" w:cs="宋体"/>
          <w:color w:val="000000"/>
          <w:sz w:val="24"/>
          <w:szCs w:val="24"/>
        </w:rPr>
      </w:pPr>
      <w:bookmarkStart w:id="450" w:name="_Toc152045548"/>
      <w:bookmarkStart w:id="451" w:name="_Toc318450692"/>
      <w:bookmarkStart w:id="452" w:name="_Toc144974516"/>
      <w:bookmarkStart w:id="453" w:name="_Toc899"/>
      <w:bookmarkStart w:id="454" w:name="_Toc152042324"/>
      <w:bookmarkStart w:id="455" w:name="_Toc279156232"/>
      <w:bookmarkStart w:id="456" w:name="_Toc26291"/>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文件应包括下列内容</w:t>
      </w:r>
      <w:r>
        <w:rPr>
          <w:rFonts w:hint="eastAsia" w:ascii="宋体" w:hAnsi="宋体" w:eastAsia="宋体" w:cs="宋体"/>
          <w:b/>
          <w:bCs/>
          <w:color w:val="000000"/>
          <w:sz w:val="24"/>
          <w:szCs w:val="24"/>
        </w:rPr>
        <w:t>：详见第六章“竞争性磋商响应文件格式”</w:t>
      </w:r>
    </w:p>
    <w:p w14:paraId="21C8DE96">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3.2 磋商报价</w:t>
      </w:r>
      <w:bookmarkEnd w:id="450"/>
      <w:bookmarkEnd w:id="451"/>
      <w:bookmarkEnd w:id="452"/>
      <w:bookmarkEnd w:id="453"/>
      <w:bookmarkEnd w:id="454"/>
      <w:bookmarkEnd w:id="455"/>
      <w:bookmarkEnd w:id="456"/>
    </w:p>
    <w:p w14:paraId="55211334">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bookmarkStart w:id="457" w:name="_Toc12402"/>
      <w:bookmarkStart w:id="458" w:name="_Toc29133"/>
      <w:bookmarkStart w:id="459" w:name="_Toc3624"/>
      <w:bookmarkStart w:id="460" w:name="_Toc2425"/>
      <w:bookmarkStart w:id="461" w:name="_Toc21680"/>
      <w:bookmarkStart w:id="462" w:name="_Toc7910"/>
      <w:bookmarkStart w:id="463" w:name="_Toc455867786"/>
      <w:bookmarkStart w:id="464" w:name="_Toc318450693"/>
      <w:bookmarkStart w:id="465" w:name="_Toc7105"/>
      <w:bookmarkStart w:id="466" w:name="_Toc144974517"/>
      <w:bookmarkStart w:id="467" w:name="_Toc152045549"/>
      <w:bookmarkStart w:id="468" w:name="_Toc11968"/>
      <w:bookmarkStart w:id="469" w:name="_Toc25387"/>
      <w:bookmarkStart w:id="470" w:name="_Toc455080126"/>
      <w:bookmarkStart w:id="471" w:name="_Toc466298109"/>
      <w:bookmarkStart w:id="472" w:name="_Toc490667846"/>
      <w:bookmarkStart w:id="473" w:name="_Toc21600"/>
      <w:bookmarkStart w:id="474" w:name="_Toc152042325"/>
      <w:bookmarkStart w:id="475" w:name="_Toc6105"/>
      <w:r>
        <w:rPr>
          <w:rFonts w:hint="eastAsia" w:ascii="宋体" w:hAnsi="宋体" w:eastAsia="宋体" w:cs="宋体"/>
          <w:color w:val="auto"/>
          <w:sz w:val="24"/>
          <w:szCs w:val="24"/>
          <w:highlight w:val="none"/>
        </w:rPr>
        <w:t>3.2.1本项目的磋商报价应按照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、补充通知、答疑纪要、现场情况、</w:t>
      </w:r>
      <w:r>
        <w:rPr>
          <w:rFonts w:hint="eastAsia" w:ascii="宋体" w:hAnsi="宋体" w:eastAsia="宋体" w:cs="宋体"/>
          <w:sz w:val="24"/>
          <w:szCs w:val="24"/>
          <w:highlight w:val="none"/>
        </w:rPr>
        <w:t>服务</w:t>
      </w:r>
      <w:r>
        <w:rPr>
          <w:rFonts w:hint="eastAsia" w:ascii="宋体" w:hAnsi="宋体" w:eastAsia="宋体" w:cs="宋体"/>
          <w:color w:val="auto"/>
          <w:sz w:val="24"/>
          <w:szCs w:val="24"/>
          <w:highlight w:val="none"/>
        </w:rPr>
        <w:t>范围，并充分考虑</w:t>
      </w:r>
      <w:r>
        <w:rPr>
          <w:rFonts w:hint="eastAsia" w:ascii="宋体" w:hAnsi="宋体" w:eastAsia="宋体" w:cs="宋体"/>
          <w:sz w:val="24"/>
          <w:szCs w:val="24"/>
          <w:highlight w:val="none"/>
        </w:rPr>
        <w:t>服务</w:t>
      </w:r>
      <w:r>
        <w:rPr>
          <w:rFonts w:hint="eastAsia" w:ascii="宋体" w:hAnsi="宋体" w:eastAsia="宋体" w:cs="宋体"/>
          <w:color w:val="auto"/>
          <w:sz w:val="24"/>
          <w:szCs w:val="24"/>
          <w:highlight w:val="none"/>
        </w:rPr>
        <w:t>期间各类材料、人工市场风险和国家政策性调整等风险系数，由各响应人根据自身情况，在合理范围内，自主考虑、优惠报价，报告编制费、差旅费、监测费、税费、培训费等服务期间所发生的所有费用，但不得低于企业成本，分二次报价：第一次报价必须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的报价格式填报，第二次报价在磋商中填报，第二次报价（不得高于</w:t>
      </w:r>
      <w:r>
        <w:rPr>
          <w:rFonts w:hint="eastAsia" w:ascii="宋体" w:hAnsi="宋体" w:eastAsia="宋体" w:cs="宋体"/>
          <w:color w:val="auto"/>
          <w:sz w:val="24"/>
          <w:szCs w:val="24"/>
          <w:highlight w:val="none"/>
          <w:lang w:eastAsia="zh-CN"/>
        </w:rPr>
        <w:t>第</w:t>
      </w:r>
      <w:r>
        <w:rPr>
          <w:rFonts w:hint="eastAsia" w:ascii="宋体" w:hAnsi="宋体" w:eastAsia="宋体" w:cs="宋体"/>
          <w:color w:val="auto"/>
          <w:sz w:val="24"/>
          <w:szCs w:val="24"/>
          <w:highlight w:val="none"/>
        </w:rPr>
        <w:t>一次报价）即为最终报价</w:t>
      </w:r>
      <w:bookmarkEnd w:id="457"/>
      <w:r>
        <w:rPr>
          <w:rFonts w:hint="eastAsia" w:ascii="宋体" w:hAnsi="宋体" w:eastAsia="宋体" w:cs="宋体"/>
          <w:color w:val="auto"/>
          <w:sz w:val="24"/>
          <w:szCs w:val="24"/>
          <w:highlight w:val="none"/>
        </w:rPr>
        <w:t>。</w:t>
      </w:r>
    </w:p>
    <w:p w14:paraId="43D4666E">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3.2.2供应商应充分了解该项目的总体情况以及影响磋商报价的其它要素，考虑</w:t>
      </w:r>
      <w:r>
        <w:rPr>
          <w:rFonts w:hint="eastAsia" w:ascii="宋体" w:hAnsi="宋体" w:eastAsia="宋体" w:cs="宋体"/>
          <w:color w:val="auto"/>
          <w:sz w:val="24"/>
          <w:szCs w:val="24"/>
          <w:highlight w:val="none"/>
          <w:lang w:eastAsia="zh-CN"/>
        </w:rPr>
        <w:t>服务期间</w:t>
      </w:r>
      <w:r>
        <w:rPr>
          <w:rFonts w:hint="eastAsia" w:ascii="宋体" w:hAnsi="宋体" w:eastAsia="宋体" w:cs="宋体"/>
          <w:color w:val="auto"/>
          <w:sz w:val="24"/>
          <w:szCs w:val="24"/>
          <w:highlight w:val="none"/>
        </w:rPr>
        <w:t>的价格风险因素，成交价在合同实施期内不得调整，同时也不因市场价格变动而调整。</w:t>
      </w:r>
    </w:p>
    <w:p w14:paraId="02EFE2A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响应报价表中的大写金额和小写金额不一致的，以大写金额为准。</w:t>
      </w:r>
    </w:p>
    <w:p w14:paraId="163D3392">
      <w:pPr>
        <w:pageBreakBefore w:val="0"/>
        <w:tabs>
          <w:tab w:val="left" w:pos="0"/>
          <w:tab w:val="left" w:pos="1050"/>
        </w:tabs>
        <w:kinsoku/>
        <w:wordWrap/>
        <w:overflowPunct/>
        <w:topLinePunct w:val="0"/>
        <w:bidi w:val="0"/>
        <w:snapToGrid/>
        <w:spacing w:line="500" w:lineRule="exact"/>
        <w:ind w:firstLine="417" w:firstLineChars="174"/>
        <w:textAlignment w:val="auto"/>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3.2.4供应商的报价明显低于其他通过符合性审查供应商的报价，有可能影响</w:t>
      </w:r>
      <w:r>
        <w:rPr>
          <w:rFonts w:hint="eastAsia" w:ascii="宋体" w:hAnsi="宋体" w:eastAsia="宋体" w:cs="宋体"/>
          <w:b w:val="0"/>
          <w:bCs w:val="0"/>
          <w:color w:val="auto"/>
          <w:sz w:val="24"/>
          <w:szCs w:val="24"/>
          <w:lang w:eastAsia="zh-CN"/>
        </w:rPr>
        <w:t>产品</w:t>
      </w:r>
      <w:r>
        <w:rPr>
          <w:rFonts w:hint="eastAsia" w:ascii="宋体" w:hAnsi="宋体" w:eastAsia="宋体" w:cs="宋体"/>
          <w:b w:val="0"/>
          <w:bCs w:val="0"/>
          <w:color w:val="auto"/>
          <w:sz w:val="24"/>
          <w:szCs w:val="24"/>
        </w:rPr>
        <w:t>质量或者不能诚信履约的，磋商委员会应当要求其在磋商现场</w:t>
      </w:r>
      <w:r>
        <w:rPr>
          <w:rFonts w:hint="eastAsia" w:ascii="宋体" w:hAnsi="宋体" w:eastAsia="宋体" w:cs="宋体"/>
          <w:b w:val="0"/>
          <w:bCs w:val="0"/>
          <w:color w:val="auto"/>
          <w:kern w:val="0"/>
          <w:sz w:val="24"/>
          <w:szCs w:val="24"/>
          <w:lang w:eastAsia="zh-CN"/>
        </w:rPr>
        <w:t>（或电子交易系统）</w:t>
      </w:r>
      <w:r>
        <w:rPr>
          <w:rFonts w:hint="eastAsia" w:ascii="宋体" w:hAnsi="宋体" w:eastAsia="宋体" w:cs="宋体"/>
          <w:b w:val="0"/>
          <w:bCs w:val="0"/>
          <w:color w:val="auto"/>
          <w:sz w:val="24"/>
          <w:szCs w:val="24"/>
        </w:rPr>
        <w:t>合理的时间内提供书面说明</w:t>
      </w:r>
      <w:r>
        <w:rPr>
          <w:rFonts w:hint="eastAsia" w:ascii="宋体" w:hAnsi="宋体" w:eastAsia="宋体" w:cs="宋体"/>
          <w:b w:val="0"/>
          <w:bCs w:val="0"/>
          <w:color w:val="auto"/>
          <w:kern w:val="0"/>
          <w:sz w:val="24"/>
          <w:szCs w:val="24"/>
          <w:lang w:eastAsia="zh-CN"/>
        </w:rPr>
        <w:t>（或电子澄清说明文件）</w:t>
      </w:r>
      <w:r>
        <w:rPr>
          <w:rFonts w:hint="eastAsia" w:ascii="宋体" w:hAnsi="宋体" w:eastAsia="宋体" w:cs="宋体"/>
          <w:b w:val="0"/>
          <w:bCs w:val="0"/>
          <w:color w:val="auto"/>
          <w:sz w:val="24"/>
          <w:szCs w:val="24"/>
        </w:rPr>
        <w:t xml:space="preserve">，必要时提交相关证明材料；供应商不能证明其报价合理性的，磋商委员会应当将其作为无效投标处理。 </w:t>
      </w:r>
      <w:r>
        <w:rPr>
          <w:rFonts w:hint="eastAsia" w:ascii="宋体" w:hAnsi="宋体" w:eastAsia="宋体" w:cs="宋体"/>
          <w:b/>
          <w:bCs/>
          <w:color w:val="auto"/>
          <w:sz w:val="24"/>
          <w:szCs w:val="24"/>
        </w:rPr>
        <w:t xml:space="preserve"> </w:t>
      </w:r>
    </w:p>
    <w:p w14:paraId="2FF51023">
      <w:pPr>
        <w:pageBreakBefore w:val="0"/>
        <w:kinsoku/>
        <w:wordWrap/>
        <w:overflowPunct/>
        <w:topLinePunct w:val="0"/>
        <w:bidi w:val="0"/>
        <w:snapToGrid/>
        <w:spacing w:line="500" w:lineRule="exact"/>
        <w:ind w:left="0" w:leftChars="0" w:firstLine="482" w:firstLineChars="200"/>
        <w:textAlignment w:val="auto"/>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3.2.5</w:t>
      </w:r>
      <w:r>
        <w:rPr>
          <w:rFonts w:hint="eastAsia" w:ascii="宋体" w:hAnsi="宋体" w:eastAsia="宋体" w:cs="宋体"/>
          <w:b/>
          <w:bCs/>
          <w:color w:val="auto"/>
          <w:sz w:val="24"/>
          <w:szCs w:val="24"/>
          <w:lang w:val="zh-CN"/>
        </w:rPr>
        <w:t>小型微型企业认定及评标价格评审（非专门面向中小企业适用）</w:t>
      </w:r>
    </w:p>
    <w:tbl>
      <w:tblPr>
        <w:tblStyle w:val="23"/>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14:paraId="2AC8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0"/>
            <w:vAlign w:val="center"/>
          </w:tcPr>
          <w:p w14:paraId="0231ABF9">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内容</w:t>
            </w:r>
          </w:p>
        </w:tc>
        <w:tc>
          <w:tcPr>
            <w:tcW w:w="1561" w:type="dxa"/>
            <w:noWrap w:val="0"/>
            <w:vAlign w:val="center"/>
          </w:tcPr>
          <w:p w14:paraId="2E52D0DA">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大型企业</w:t>
            </w:r>
          </w:p>
        </w:tc>
        <w:tc>
          <w:tcPr>
            <w:tcW w:w="1492" w:type="dxa"/>
            <w:noWrap w:val="0"/>
            <w:vAlign w:val="center"/>
          </w:tcPr>
          <w:p w14:paraId="54229C2D">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中型企业</w:t>
            </w:r>
          </w:p>
        </w:tc>
        <w:tc>
          <w:tcPr>
            <w:tcW w:w="2273" w:type="dxa"/>
            <w:noWrap w:val="0"/>
            <w:vAlign w:val="center"/>
          </w:tcPr>
          <w:p w14:paraId="7CEC9C21">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小型企业</w:t>
            </w:r>
          </w:p>
        </w:tc>
        <w:tc>
          <w:tcPr>
            <w:tcW w:w="2094" w:type="dxa"/>
            <w:noWrap w:val="0"/>
            <w:vAlign w:val="center"/>
          </w:tcPr>
          <w:p w14:paraId="5C551895">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微型企业</w:t>
            </w:r>
          </w:p>
        </w:tc>
      </w:tr>
      <w:tr w14:paraId="14A6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0"/>
            <w:vAlign w:val="center"/>
          </w:tcPr>
          <w:p w14:paraId="7401D682">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价格=</w:t>
            </w:r>
          </w:p>
        </w:tc>
        <w:tc>
          <w:tcPr>
            <w:tcW w:w="1561" w:type="dxa"/>
            <w:noWrap w:val="0"/>
            <w:vAlign w:val="center"/>
          </w:tcPr>
          <w:p w14:paraId="6FC47F48">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w:t>
            </w:r>
          </w:p>
        </w:tc>
        <w:tc>
          <w:tcPr>
            <w:tcW w:w="1492" w:type="dxa"/>
            <w:noWrap w:val="0"/>
            <w:vAlign w:val="center"/>
          </w:tcPr>
          <w:p w14:paraId="1A0FF72B">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w:t>
            </w:r>
          </w:p>
        </w:tc>
        <w:tc>
          <w:tcPr>
            <w:tcW w:w="2273" w:type="dxa"/>
            <w:noWrap w:val="0"/>
            <w:vAlign w:val="center"/>
          </w:tcPr>
          <w:p w14:paraId="29E45794">
            <w:pPr>
              <w:pageBreakBefore w:val="0"/>
              <w:kinsoku/>
              <w:wordWrap/>
              <w:overflowPunct/>
              <w:topLinePunct w:val="0"/>
              <w:bidi w:val="0"/>
              <w:snapToGrid/>
              <w:spacing w:line="500" w:lineRule="exact"/>
              <w:ind w:left="0"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报价×（1-</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w:t>
            </w:r>
          </w:p>
        </w:tc>
        <w:tc>
          <w:tcPr>
            <w:tcW w:w="2094" w:type="dxa"/>
            <w:noWrap w:val="0"/>
            <w:vAlign w:val="center"/>
          </w:tcPr>
          <w:p w14:paraId="5DD14A67">
            <w:pPr>
              <w:pageBreakBefore w:val="0"/>
              <w:kinsoku/>
              <w:wordWrap/>
              <w:overflowPunct/>
              <w:topLinePunct w:val="0"/>
              <w:bidi w:val="0"/>
              <w:snapToGrid/>
              <w:spacing w:line="500" w:lineRule="exact"/>
              <w:ind w:left="0" w:leftChars="0" w:firstLine="0" w:firstLineChars="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报价×（1-</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zh-CN"/>
              </w:rPr>
              <w:t>%）</w:t>
            </w:r>
          </w:p>
        </w:tc>
      </w:tr>
    </w:tbl>
    <w:p w14:paraId="79E18048">
      <w:pPr>
        <w:spacing w:line="500" w:lineRule="exact"/>
        <w:ind w:firstLine="480"/>
        <w:rPr>
          <w:rFonts w:hint="eastAsia" w:ascii="宋体" w:hAnsi="宋体" w:eastAsia="宋体" w:cs="宋体"/>
          <w:sz w:val="24"/>
          <w:szCs w:val="24"/>
          <w:lang w:val="zh-CN"/>
        </w:rPr>
      </w:pPr>
      <w:r>
        <w:rPr>
          <w:rFonts w:hint="eastAsia" w:ascii="宋体" w:hAnsi="宋体" w:eastAsia="宋体" w:cs="宋体"/>
          <w:color w:val="auto"/>
          <w:sz w:val="24"/>
          <w:szCs w:val="24"/>
          <w:lang w:val="en-US" w:eastAsia="zh-CN"/>
        </w:rPr>
        <w:t>3.2.5.1</w:t>
      </w:r>
      <w:r>
        <w:rPr>
          <w:rFonts w:hint="eastAsia" w:ascii="宋体" w:hAnsi="宋体" w:eastAsia="宋体" w:cs="宋体"/>
          <w:color w:val="auto"/>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19号</w:t>
      </w:r>
      <w:r>
        <w:rPr>
          <w:rFonts w:hint="eastAsia" w:ascii="宋体" w:hAnsi="宋体" w:eastAsia="宋体" w:cs="宋体"/>
          <w:color w:val="auto"/>
          <w:sz w:val="24"/>
          <w:szCs w:val="24"/>
          <w:lang w:val="zh-CN"/>
        </w:rPr>
        <w:t>）、信阳市财政局关于进一步加大政府采购支持中小企业力度的通知（信财购【</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8号</w:t>
      </w:r>
      <w:r>
        <w:rPr>
          <w:rFonts w:hint="eastAsia" w:ascii="宋体" w:hAnsi="宋体" w:eastAsia="宋体" w:cs="宋体"/>
          <w:color w:val="auto"/>
          <w:sz w:val="24"/>
          <w:szCs w:val="24"/>
          <w:lang w:val="zh-CN"/>
        </w:rPr>
        <w:t>）及息县财政局关于进一步加大政府采购支持中小企业力度的通知（息财购【</w:t>
      </w:r>
      <w:r>
        <w:rPr>
          <w:rFonts w:hint="eastAsia" w:ascii="宋体" w:hAnsi="宋体" w:eastAsia="宋体" w:cs="宋体"/>
          <w:color w:val="auto"/>
          <w:sz w:val="24"/>
          <w:szCs w:val="24"/>
          <w:lang w:val="en-US" w:eastAsia="zh-CN"/>
        </w:rPr>
        <w:t>2022</w:t>
      </w: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2号</w:t>
      </w:r>
      <w:r>
        <w:rPr>
          <w:rFonts w:hint="eastAsia" w:ascii="宋体" w:hAnsi="宋体" w:eastAsia="宋体" w:cs="宋体"/>
          <w:color w:val="auto"/>
          <w:sz w:val="24"/>
          <w:szCs w:val="24"/>
          <w:lang w:val="zh-CN"/>
        </w:rPr>
        <w:t>）</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14:paraId="0D41D41A">
      <w:pPr>
        <w:spacing w:line="500" w:lineRule="exact"/>
        <w:ind w:firstLine="48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2.5.2</w:t>
      </w:r>
      <w:r>
        <w:rPr>
          <w:rFonts w:hint="eastAsia" w:ascii="宋体" w:hAnsi="宋体" w:eastAsia="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eastAsia="宋体" w:cs="宋体"/>
          <w:sz w:val="24"/>
          <w:szCs w:val="24"/>
          <w:lang w:eastAsia="zh-CN"/>
        </w:rPr>
        <w:t>20%</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14:paraId="36A15FD7">
      <w:pPr>
        <w:spacing w:line="500" w:lineRule="exact"/>
        <w:ind w:firstLine="48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2.5.3</w:t>
      </w:r>
      <w:r>
        <w:rPr>
          <w:rFonts w:hint="eastAsia" w:ascii="宋体" w:hAnsi="宋体" w:eastAsia="宋体" w:cs="宋体"/>
          <w:sz w:val="24"/>
          <w:szCs w:val="24"/>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w:t>
      </w:r>
      <w:r>
        <w:rPr>
          <w:rFonts w:hint="eastAsia" w:ascii="宋体" w:hAnsi="宋体" w:eastAsia="宋体" w:cs="宋体"/>
          <w:sz w:val="24"/>
          <w:szCs w:val="24"/>
          <w:lang w:eastAsia="zh-CN"/>
        </w:rPr>
        <w:t>响应</w:t>
      </w:r>
      <w:r>
        <w:rPr>
          <w:rFonts w:hint="eastAsia" w:ascii="宋体" w:hAnsi="宋体" w:eastAsia="宋体" w:cs="宋体"/>
          <w:sz w:val="24"/>
          <w:szCs w:val="24"/>
        </w:rPr>
        <w:t>文件格式)，并对声明的真实性负责。</w:t>
      </w:r>
    </w:p>
    <w:p w14:paraId="25B45777">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476" w:name="_Toc9694"/>
      <w:bookmarkStart w:id="477" w:name="_Toc25823"/>
      <w:r>
        <w:rPr>
          <w:rFonts w:hint="eastAsia" w:ascii="宋体" w:hAnsi="宋体" w:eastAsia="宋体" w:cs="宋体"/>
          <w:b/>
          <w:bCs/>
          <w:color w:val="auto"/>
          <w:sz w:val="24"/>
          <w:szCs w:val="24"/>
        </w:rPr>
        <w:t>3.3 磋商有效期</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5A0837E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在供应商须知前附表规定的磋商有效期内，供应商不得要求撤销或修改其响应文件。</w:t>
      </w:r>
    </w:p>
    <w:p w14:paraId="72E7149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70E1C1AB">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478" w:name="_Toc144974518"/>
      <w:bookmarkStart w:id="479" w:name="_Toc22634"/>
      <w:bookmarkStart w:id="480" w:name="_Toc7057"/>
      <w:bookmarkStart w:id="481" w:name="_Toc10370"/>
      <w:bookmarkStart w:id="482" w:name="_Toc30697"/>
      <w:bookmarkStart w:id="483" w:name="_Toc490667847"/>
      <w:bookmarkStart w:id="484" w:name="_Toc318450694"/>
      <w:bookmarkStart w:id="485" w:name="_Toc7973"/>
      <w:bookmarkStart w:id="486" w:name="_Toc8406"/>
      <w:bookmarkStart w:id="487" w:name="_Toc2505"/>
      <w:bookmarkStart w:id="488" w:name="_Toc455080127"/>
      <w:bookmarkStart w:id="489" w:name="_Toc4165"/>
      <w:bookmarkStart w:id="490" w:name="_Toc455867787"/>
      <w:bookmarkStart w:id="491" w:name="_Toc466298110"/>
      <w:bookmarkStart w:id="492" w:name="_Toc152042326"/>
      <w:bookmarkStart w:id="493" w:name="_Toc152045550"/>
      <w:bookmarkStart w:id="494" w:name="_Toc7618"/>
      <w:bookmarkStart w:id="495" w:name="_Toc9771"/>
      <w:bookmarkStart w:id="496" w:name="_Toc6451"/>
      <w:bookmarkStart w:id="497" w:name="_Toc13921"/>
      <w:r>
        <w:rPr>
          <w:rFonts w:hint="eastAsia" w:ascii="宋体" w:hAnsi="宋体" w:eastAsia="宋体" w:cs="宋体"/>
          <w:b/>
          <w:bCs/>
          <w:color w:val="auto"/>
          <w:sz w:val="24"/>
          <w:szCs w:val="24"/>
        </w:rPr>
        <w:t>3.4 磋商保证金</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Start w:id="498" w:name="_Toc318450695"/>
      <w:bookmarkStart w:id="499" w:name="_Toc152042328"/>
      <w:bookmarkStart w:id="500" w:name="_Toc152045552"/>
      <w:bookmarkStart w:id="501" w:name="_Toc144974520"/>
      <w:r>
        <w:rPr>
          <w:rFonts w:hint="eastAsia" w:ascii="宋体" w:hAnsi="宋体" w:eastAsia="宋体" w:cs="宋体"/>
          <w:b/>
          <w:bCs/>
          <w:color w:val="auto"/>
          <w:sz w:val="24"/>
          <w:szCs w:val="24"/>
          <w:lang w:eastAsia="zh-CN"/>
        </w:rPr>
        <w:t>：无。</w:t>
      </w:r>
      <w:bookmarkEnd w:id="495"/>
      <w:bookmarkEnd w:id="496"/>
      <w:bookmarkEnd w:id="497"/>
    </w:p>
    <w:p w14:paraId="489ECD52">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02" w:name="_Toc2794"/>
      <w:bookmarkStart w:id="503" w:name="_Toc15547"/>
      <w:bookmarkStart w:id="504" w:name="_Toc22527"/>
      <w:bookmarkStart w:id="505" w:name="_Toc16747"/>
      <w:bookmarkStart w:id="506" w:name="_Toc548"/>
      <w:bookmarkStart w:id="507" w:name="_Toc455867788"/>
      <w:bookmarkStart w:id="508" w:name="_Toc455080128"/>
      <w:bookmarkStart w:id="509" w:name="_Toc22384"/>
      <w:bookmarkStart w:id="510" w:name="_Toc20328"/>
      <w:bookmarkStart w:id="511" w:name="_Toc11077"/>
      <w:bookmarkStart w:id="512" w:name="_Toc13680"/>
      <w:bookmarkStart w:id="513" w:name="_Toc490667848"/>
      <w:bookmarkStart w:id="514" w:name="_Toc466298111"/>
      <w:bookmarkStart w:id="515" w:name="_Toc5200"/>
      <w:bookmarkStart w:id="516" w:name="_Toc27579"/>
      <w:bookmarkStart w:id="517" w:name="_Toc17153"/>
      <w:r>
        <w:rPr>
          <w:rFonts w:hint="eastAsia" w:ascii="宋体" w:hAnsi="宋体" w:eastAsia="宋体" w:cs="宋体"/>
          <w:b/>
          <w:bCs/>
          <w:color w:val="auto"/>
          <w:sz w:val="24"/>
          <w:szCs w:val="24"/>
        </w:rPr>
        <w:t>3.5资格审查资料</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50D1FB42">
      <w:pPr>
        <w:pStyle w:val="34"/>
        <w:pageBreakBefore w:val="0"/>
        <w:kinsoku/>
        <w:wordWrap/>
        <w:overflowPunct/>
        <w:topLinePunct w:val="0"/>
        <w:bidi w:val="0"/>
        <w:snapToGrid/>
        <w:spacing w:before="0" w:beforeLines="0" w:after="0" w:afterLines="0" w:line="500" w:lineRule="exact"/>
        <w:ind w:firstLine="360" w:firstLineChars="150"/>
        <w:textAlignment w:val="auto"/>
        <w:outlineLvl w:val="0"/>
        <w:rPr>
          <w:rFonts w:hint="eastAsia" w:ascii="宋体" w:hAnsi="宋体" w:eastAsia="宋体" w:cs="宋体"/>
          <w:color w:val="auto"/>
          <w:kern w:val="2"/>
          <w:sz w:val="24"/>
          <w:szCs w:val="24"/>
          <w:lang w:val="en-US" w:eastAsia="zh-CN"/>
        </w:rPr>
      </w:pPr>
      <w:bookmarkStart w:id="518" w:name="_Toc1398"/>
      <w:bookmarkStart w:id="519" w:name="_Toc4586"/>
      <w:bookmarkStart w:id="520" w:name="_Toc11313"/>
      <w:bookmarkStart w:id="521" w:name="_Toc318450696"/>
      <w:bookmarkStart w:id="522" w:name="_Toc144974521"/>
      <w:bookmarkStart w:id="523" w:name="_Toc455080129"/>
      <w:bookmarkStart w:id="524" w:name="_Toc30442"/>
      <w:bookmarkStart w:id="525" w:name="_Toc9015"/>
      <w:bookmarkStart w:id="526" w:name="_Toc466298112"/>
      <w:bookmarkStart w:id="527" w:name="_Toc1228"/>
      <w:bookmarkStart w:id="528" w:name="_Toc3286"/>
      <w:bookmarkStart w:id="529" w:name="_Toc455867789"/>
      <w:bookmarkStart w:id="530" w:name="_Toc26258"/>
      <w:bookmarkStart w:id="531" w:name="_Toc19724"/>
      <w:bookmarkStart w:id="532" w:name="_Toc490667849"/>
      <w:bookmarkStart w:id="533" w:name="_Toc18915"/>
      <w:bookmarkStart w:id="534" w:name="_Toc152045553"/>
      <w:bookmarkStart w:id="535" w:name="_Toc11694"/>
      <w:bookmarkStart w:id="536" w:name="_Toc5132"/>
      <w:bookmarkStart w:id="537" w:name="_Toc152042329"/>
      <w:r>
        <w:rPr>
          <w:rFonts w:hint="eastAsia" w:ascii="宋体" w:hAnsi="宋体" w:eastAsia="宋体" w:cs="宋体"/>
          <w:color w:val="auto"/>
          <w:kern w:val="2"/>
          <w:sz w:val="24"/>
          <w:szCs w:val="24"/>
          <w:lang w:val="en-US" w:eastAsia="zh-CN"/>
        </w:rPr>
        <w:t>按照第二章供应商须知表“供应商须知前附表”1.5.1要求，提供其他相关材料。</w:t>
      </w:r>
      <w:bookmarkEnd w:id="518"/>
      <w:bookmarkEnd w:id="519"/>
      <w:bookmarkEnd w:id="520"/>
    </w:p>
    <w:p w14:paraId="102682B8">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38" w:name="_Toc24859"/>
      <w:bookmarkStart w:id="539" w:name="_Toc18996"/>
      <w:bookmarkStart w:id="540" w:name="_Toc13912"/>
      <w:r>
        <w:rPr>
          <w:rFonts w:hint="eastAsia" w:ascii="宋体" w:hAnsi="宋体" w:eastAsia="宋体" w:cs="宋体"/>
          <w:b/>
          <w:bCs/>
          <w:color w:val="auto"/>
          <w:sz w:val="24"/>
          <w:szCs w:val="24"/>
        </w:rPr>
        <w:t>3.6 备选方案</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0AA39384">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除供应商须知前附表另有规定外，供应商不得递交备选磋商方案。</w:t>
      </w:r>
    </w:p>
    <w:p w14:paraId="57122833">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41" w:name="_Toc466298113"/>
      <w:bookmarkStart w:id="542" w:name="_Toc7966"/>
      <w:bookmarkStart w:id="543" w:name="_Toc5516"/>
      <w:bookmarkStart w:id="544" w:name="_Toc144974522"/>
      <w:bookmarkStart w:id="545" w:name="_Toc17697"/>
      <w:bookmarkStart w:id="546" w:name="_Toc490667850"/>
      <w:bookmarkStart w:id="547" w:name="_Toc6109"/>
      <w:bookmarkStart w:id="548" w:name="_Toc318450697"/>
      <w:bookmarkStart w:id="549" w:name="_Toc152045554"/>
      <w:bookmarkStart w:id="550" w:name="_Toc455080130"/>
      <w:bookmarkStart w:id="551" w:name="_Toc7626"/>
      <w:bookmarkStart w:id="552" w:name="_Toc18912"/>
      <w:bookmarkStart w:id="553" w:name="_Toc6323"/>
      <w:bookmarkStart w:id="554" w:name="_Toc152042330"/>
      <w:bookmarkStart w:id="555" w:name="_Toc455867790"/>
      <w:bookmarkStart w:id="556" w:name="_Toc25620"/>
      <w:bookmarkStart w:id="557" w:name="_Toc12275"/>
      <w:bookmarkStart w:id="558" w:name="_Toc28656"/>
      <w:bookmarkStart w:id="559" w:name="_Toc12541"/>
      <w:bookmarkStart w:id="560" w:name="_Toc6700"/>
      <w:r>
        <w:rPr>
          <w:rFonts w:hint="eastAsia" w:ascii="宋体" w:hAnsi="宋体" w:eastAsia="宋体" w:cs="宋体"/>
          <w:b/>
          <w:bCs/>
          <w:color w:val="auto"/>
          <w:sz w:val="24"/>
          <w:szCs w:val="24"/>
        </w:rPr>
        <w:t>3.7 响应文件的编制</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31659AB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561" w:name="_Toc152042331"/>
      <w:bookmarkStart w:id="562" w:name="_Toc144974523"/>
      <w:bookmarkStart w:id="563" w:name="_Toc455080131"/>
      <w:bookmarkStart w:id="564" w:name="_Toc152045555"/>
      <w:r>
        <w:rPr>
          <w:rFonts w:hint="eastAsia" w:ascii="宋体" w:hAnsi="宋体" w:eastAsia="宋体" w:cs="宋体"/>
          <w:color w:val="auto"/>
          <w:sz w:val="24"/>
          <w:szCs w:val="24"/>
        </w:rPr>
        <w:t>3.7.1响应文件应按</w:t>
      </w:r>
      <w:r>
        <w:rPr>
          <w:rFonts w:hint="eastAsia" w:ascii="宋体" w:hAnsi="宋体" w:eastAsia="宋体" w:cs="宋体"/>
          <w:color w:val="auto"/>
          <w:sz w:val="24"/>
          <w:szCs w:val="24"/>
          <w:lang w:eastAsia="zh-CN"/>
        </w:rPr>
        <w:t>第六章</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”进行编写，如有必要，可以增加附页，作为响应文件的组成部分。其中，</w:t>
      </w:r>
      <w:r>
        <w:rPr>
          <w:rFonts w:hint="eastAsia" w:ascii="宋体" w:hAnsi="宋体" w:eastAsia="宋体" w:cs="宋体"/>
          <w:color w:val="auto"/>
          <w:sz w:val="24"/>
          <w:szCs w:val="24"/>
          <w:lang w:eastAsia="zh-CN"/>
        </w:rPr>
        <w:t>响应函</w:t>
      </w:r>
      <w:r>
        <w:rPr>
          <w:rFonts w:hint="eastAsia" w:ascii="宋体" w:hAnsi="宋体" w:eastAsia="宋体" w:cs="宋体"/>
          <w:color w:val="auto"/>
          <w:sz w:val="24"/>
          <w:szCs w:val="24"/>
        </w:rPr>
        <w:t>附录在满足</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实质性要求的基础上，可以提出比</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要求更有利于采购人的承诺。</w:t>
      </w:r>
    </w:p>
    <w:p w14:paraId="099A641E">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3.7.2 响应文件应当对</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有关</w:t>
      </w:r>
      <w:r>
        <w:rPr>
          <w:rFonts w:hint="eastAsia" w:ascii="宋体" w:hAnsi="宋体" w:eastAsia="宋体" w:cs="宋体"/>
          <w:color w:val="auto"/>
          <w:sz w:val="24"/>
          <w:szCs w:val="24"/>
          <w:lang w:eastAsia="zh-CN"/>
        </w:rPr>
        <w:t>服务期限</w:t>
      </w:r>
      <w:r>
        <w:rPr>
          <w:rFonts w:hint="eastAsia" w:ascii="宋体" w:hAnsi="宋体" w:eastAsia="宋体" w:cs="宋体"/>
          <w:color w:val="auto"/>
          <w:sz w:val="24"/>
          <w:szCs w:val="24"/>
        </w:rPr>
        <w:t>、磋商有效期、质量要求、</w:t>
      </w:r>
      <w:r>
        <w:rPr>
          <w:rFonts w:hint="eastAsia" w:ascii="宋体" w:hAnsi="宋体" w:eastAsia="宋体" w:cs="宋体"/>
          <w:color w:val="auto"/>
          <w:sz w:val="24"/>
          <w:szCs w:val="24"/>
          <w:lang w:eastAsia="zh-CN"/>
        </w:rPr>
        <w:t>磋商内容</w:t>
      </w:r>
      <w:r>
        <w:rPr>
          <w:rFonts w:hint="eastAsia" w:ascii="宋体" w:hAnsi="宋体" w:eastAsia="宋体" w:cs="宋体"/>
          <w:color w:val="auto"/>
          <w:sz w:val="24"/>
          <w:szCs w:val="24"/>
        </w:rPr>
        <w:t>作出响应。</w:t>
      </w:r>
    </w:p>
    <w:p w14:paraId="3372E1DD">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7.3</w:t>
      </w:r>
      <w:r>
        <w:rPr>
          <w:rFonts w:hint="eastAsia" w:ascii="宋体" w:hAnsi="宋体" w:eastAsia="宋体" w:cs="宋体"/>
          <w:color w:val="auto"/>
          <w:sz w:val="24"/>
          <w:szCs w:val="24"/>
        </w:rPr>
        <w:t>供应商应按照招标文件的要求，规范、明确、准时的提交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文件。供应商对所提供的全部资料的合法性、真实性做出响应承诺，格式自拟，否则投标将被否决。</w:t>
      </w:r>
      <w:r>
        <w:rPr>
          <w:rFonts w:hint="eastAsia" w:ascii="宋体" w:hAnsi="宋体" w:eastAsia="宋体" w:cs="宋体"/>
          <w:color w:val="auto"/>
          <w:sz w:val="24"/>
          <w:szCs w:val="24"/>
          <w:lang w:val="en-US" w:eastAsia="zh-CN"/>
        </w:rPr>
        <w:t xml:space="preserve">  </w:t>
      </w:r>
    </w:p>
    <w:p w14:paraId="0B09DFEC">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响应文件应使用信阳市公共资源交易系统投标文件制作专用工具软件编制，</w:t>
      </w:r>
      <w:r>
        <w:rPr>
          <w:rFonts w:hint="eastAsia" w:ascii="宋体" w:hAnsi="宋体" w:eastAsia="宋体" w:cs="宋体"/>
          <w:color w:val="auto"/>
          <w:sz w:val="24"/>
          <w:szCs w:val="24"/>
          <w:lang w:eastAsia="zh-CN"/>
        </w:rPr>
        <w:t>竞争性磋商响应文件格式</w:t>
      </w:r>
      <w:r>
        <w:rPr>
          <w:rFonts w:hint="eastAsia" w:ascii="宋体" w:hAnsi="宋体" w:eastAsia="宋体" w:cs="宋体"/>
          <w:color w:val="auto"/>
          <w:sz w:val="24"/>
          <w:szCs w:val="24"/>
        </w:rPr>
        <w:t>为“*.XYTF”。电子响应文件签字或盖章的具体要求见供应商须知前附表。）供应商须在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递交截止时间前制作并提交。</w:t>
      </w:r>
    </w:p>
    <w:p w14:paraId="084DD930">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3.7.</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响应文件份数见供应商须知前附表。</w:t>
      </w:r>
    </w:p>
    <w:p w14:paraId="0ECAF0F4">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565" w:name="_Toc19433"/>
    </w:p>
    <w:p w14:paraId="7D4EA084">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566" w:name="_Toc17752"/>
      <w:r>
        <w:rPr>
          <w:rFonts w:hint="eastAsia" w:ascii="宋体" w:hAnsi="宋体" w:eastAsia="宋体" w:cs="宋体"/>
          <w:b/>
          <w:bCs/>
          <w:color w:val="auto"/>
          <w:sz w:val="24"/>
          <w:szCs w:val="24"/>
        </w:rPr>
        <w:t xml:space="preserve">4. </w:t>
      </w:r>
      <w:bookmarkEnd w:id="561"/>
      <w:bookmarkEnd w:id="562"/>
      <w:bookmarkEnd w:id="563"/>
      <w:bookmarkEnd w:id="564"/>
      <w:r>
        <w:rPr>
          <w:rFonts w:hint="eastAsia" w:ascii="宋体" w:hAnsi="宋体" w:eastAsia="宋体" w:cs="宋体"/>
          <w:b/>
          <w:bCs/>
          <w:color w:val="auto"/>
          <w:sz w:val="24"/>
          <w:szCs w:val="24"/>
        </w:rPr>
        <w:t>磋商</w:t>
      </w:r>
      <w:bookmarkEnd w:id="565"/>
      <w:bookmarkEnd w:id="566"/>
    </w:p>
    <w:p w14:paraId="59009243">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eastAsia="zh-CN"/>
        </w:rPr>
      </w:pPr>
      <w:bookmarkStart w:id="567" w:name="_Toc26550"/>
      <w:bookmarkStart w:id="568" w:name="_Toc26583"/>
      <w:bookmarkStart w:id="569" w:name="_Toc18820"/>
      <w:bookmarkStart w:id="570" w:name="_Toc22961"/>
      <w:bookmarkStart w:id="571" w:name="_Toc16783"/>
      <w:bookmarkStart w:id="572" w:name="_Toc455867792"/>
      <w:bookmarkStart w:id="573" w:name="_Toc16344"/>
      <w:bookmarkStart w:id="574" w:name="_Toc318450699"/>
      <w:bookmarkStart w:id="575" w:name="_Toc144974524"/>
      <w:bookmarkStart w:id="576" w:name="_Toc16962"/>
      <w:bookmarkStart w:id="577" w:name="_Toc455080132"/>
      <w:bookmarkStart w:id="578" w:name="_Toc31492"/>
      <w:bookmarkStart w:id="579" w:name="_Toc466298115"/>
      <w:bookmarkStart w:id="580" w:name="_Toc490667852"/>
      <w:bookmarkStart w:id="581" w:name="_Toc11243"/>
      <w:bookmarkStart w:id="582" w:name="_Toc152045556"/>
      <w:bookmarkStart w:id="583" w:name="_Toc152042332"/>
      <w:bookmarkStart w:id="584" w:name="_Toc24554"/>
      <w:bookmarkStart w:id="585" w:name="_Toc15161"/>
      <w:bookmarkStart w:id="586" w:name="_Toc21145"/>
      <w:r>
        <w:rPr>
          <w:rFonts w:hint="eastAsia" w:ascii="宋体" w:hAnsi="宋体" w:eastAsia="宋体" w:cs="宋体"/>
          <w:b/>
          <w:bCs/>
          <w:color w:val="auto"/>
          <w:sz w:val="24"/>
          <w:szCs w:val="24"/>
        </w:rPr>
        <w:t>4.1 响应文件的</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Pr>
          <w:rFonts w:hint="eastAsia" w:ascii="宋体" w:hAnsi="宋体" w:eastAsia="宋体" w:cs="宋体"/>
          <w:b/>
          <w:bCs/>
          <w:color w:val="auto"/>
          <w:sz w:val="24"/>
          <w:szCs w:val="24"/>
          <w:lang w:eastAsia="zh-CN"/>
        </w:rPr>
        <w:t>上传</w:t>
      </w:r>
      <w:bookmarkEnd w:id="584"/>
      <w:bookmarkEnd w:id="585"/>
      <w:bookmarkEnd w:id="586"/>
    </w:p>
    <w:p w14:paraId="765D1145">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4.1.1网上上传的电子响应文件应使用供应商数字证书认证并加密。</w:t>
      </w:r>
    </w:p>
    <w:p w14:paraId="1100E0F4">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587" w:name="_Toc152042333"/>
      <w:bookmarkStart w:id="588" w:name="_Toc4767"/>
      <w:bookmarkStart w:id="589" w:name="_Toc27420"/>
      <w:bookmarkStart w:id="590" w:name="_Toc462"/>
      <w:bookmarkStart w:id="591" w:name="_Toc144974525"/>
      <w:bookmarkStart w:id="592" w:name="_Toc466298116"/>
      <w:bookmarkStart w:id="593" w:name="_Toc21897"/>
      <w:bookmarkStart w:id="594" w:name="_Toc7663"/>
      <w:bookmarkStart w:id="595" w:name="_Toc20259"/>
      <w:bookmarkStart w:id="596" w:name="_Toc152045557"/>
      <w:bookmarkStart w:id="597" w:name="_Toc8754"/>
      <w:bookmarkStart w:id="598" w:name="_Toc27132"/>
      <w:bookmarkStart w:id="599" w:name="_Toc21072"/>
      <w:bookmarkStart w:id="600" w:name="_Toc31952"/>
      <w:bookmarkStart w:id="601" w:name="_Toc455867793"/>
      <w:bookmarkStart w:id="602" w:name="_Toc16832"/>
      <w:bookmarkStart w:id="603" w:name="_Toc490667853"/>
      <w:bookmarkStart w:id="604" w:name="_Toc318450700"/>
      <w:bookmarkStart w:id="605" w:name="_Toc28272"/>
      <w:bookmarkStart w:id="606" w:name="_Toc455080133"/>
      <w:r>
        <w:rPr>
          <w:rFonts w:hint="eastAsia" w:ascii="宋体" w:hAnsi="宋体" w:eastAsia="宋体" w:cs="宋体"/>
          <w:b/>
          <w:bCs/>
          <w:color w:val="auto"/>
          <w:sz w:val="24"/>
          <w:szCs w:val="24"/>
        </w:rPr>
        <w:t>4.2 响应文件的递交</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94FA29D">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highlight w:val="white"/>
        </w:rPr>
      </w:pPr>
      <w:bookmarkStart w:id="607" w:name="_Toc152042334"/>
      <w:bookmarkStart w:id="608" w:name="_Toc19951"/>
      <w:bookmarkStart w:id="609" w:name="_Toc2952"/>
      <w:bookmarkStart w:id="610" w:name="_Toc318450701"/>
      <w:bookmarkStart w:id="611" w:name="_Toc11817"/>
      <w:bookmarkStart w:id="612" w:name="_Toc455080134"/>
      <w:bookmarkStart w:id="613" w:name="_Toc466298117"/>
      <w:bookmarkStart w:id="614" w:name="_Toc26684"/>
      <w:bookmarkStart w:id="615" w:name="_Toc21890"/>
      <w:bookmarkStart w:id="616" w:name="_Toc152045558"/>
      <w:bookmarkStart w:id="617" w:name="_Toc20281"/>
      <w:bookmarkStart w:id="618" w:name="_Toc5102"/>
      <w:bookmarkStart w:id="619" w:name="_Toc490667854"/>
      <w:bookmarkStart w:id="620" w:name="_Toc144974526"/>
      <w:bookmarkStart w:id="621" w:name="_Toc17161"/>
      <w:bookmarkStart w:id="622" w:name="_Toc455867794"/>
      <w:bookmarkStart w:id="623" w:name="_Toc30860"/>
      <w:r>
        <w:rPr>
          <w:rFonts w:hint="eastAsia" w:ascii="宋体" w:hAnsi="宋体" w:eastAsia="宋体" w:cs="宋体"/>
          <w:color w:val="auto"/>
          <w:sz w:val="24"/>
          <w:szCs w:val="24"/>
          <w:highlight w:val="white"/>
        </w:rPr>
        <w:t>4.2.1电子响应文件的递交</w:t>
      </w:r>
    </w:p>
    <w:p w14:paraId="38CD374F">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highlight w:val="white"/>
        </w:rPr>
      </w:pPr>
      <w:r>
        <w:rPr>
          <w:rFonts w:hint="eastAsia" w:ascii="宋体" w:hAnsi="宋体" w:eastAsia="宋体" w:cs="宋体"/>
          <w:color w:val="auto"/>
          <w:sz w:val="24"/>
          <w:szCs w:val="24"/>
          <w:highlight w:val="white"/>
        </w:rPr>
        <w:t>各供应商应在</w:t>
      </w:r>
      <w:r>
        <w:rPr>
          <w:rFonts w:hint="eastAsia" w:ascii="宋体" w:hAnsi="宋体" w:eastAsia="宋体" w:cs="宋体"/>
          <w:color w:val="auto"/>
          <w:sz w:val="24"/>
          <w:szCs w:val="24"/>
          <w:highlight w:val="white"/>
          <w:lang w:eastAsia="zh-CN"/>
        </w:rPr>
        <w:t>响应文件提交截止时间前</w:t>
      </w:r>
      <w:r>
        <w:rPr>
          <w:rFonts w:hint="eastAsia" w:ascii="宋体" w:hAnsi="宋体" w:eastAsia="宋体" w:cs="宋体"/>
          <w:color w:val="auto"/>
          <w:sz w:val="24"/>
          <w:szCs w:val="24"/>
          <w:highlight w:val="white"/>
        </w:rPr>
        <w:t>上传加密的电子响应文件（*.XYTF）到会员系统的指定位置。上传的电子响应文件应使用</w:t>
      </w:r>
      <w:r>
        <w:rPr>
          <w:rFonts w:hint="eastAsia" w:ascii="宋体" w:hAnsi="宋体" w:eastAsia="宋体" w:cs="宋体"/>
          <w:color w:val="auto"/>
          <w:sz w:val="24"/>
          <w:szCs w:val="24"/>
          <w:highlight w:val="white"/>
          <w:lang w:eastAsia="zh-CN"/>
        </w:rPr>
        <w:t>供应商</w:t>
      </w:r>
      <w:r>
        <w:rPr>
          <w:rFonts w:hint="eastAsia" w:ascii="宋体" w:hAnsi="宋体" w:eastAsia="宋体" w:cs="宋体"/>
          <w:color w:val="auto"/>
          <w:sz w:val="24"/>
          <w:szCs w:val="24"/>
          <w:highlight w:val="white"/>
        </w:rPr>
        <w:t>CA数字证书认证并加密。上传时必须得到交易系统“上传成功”的确认回复后方为上传成功。请供应商在上传前务必认真检查上传响应文件是否完整、正确。</w:t>
      </w:r>
    </w:p>
    <w:p w14:paraId="063AE0C4">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24" w:name="_Toc1790"/>
      <w:bookmarkStart w:id="625" w:name="_Toc13257"/>
      <w:bookmarkStart w:id="626" w:name="_Toc27477"/>
      <w:r>
        <w:rPr>
          <w:rFonts w:hint="eastAsia" w:ascii="宋体" w:hAnsi="宋体" w:eastAsia="宋体" w:cs="宋体"/>
          <w:b/>
          <w:bCs/>
          <w:color w:val="auto"/>
          <w:sz w:val="24"/>
          <w:szCs w:val="24"/>
        </w:rPr>
        <w:t>4.3 响应文件的修改与撤回</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6CA1450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627" w:name="_Toc152042335"/>
      <w:bookmarkStart w:id="628" w:name="_Toc152045559"/>
      <w:bookmarkStart w:id="629" w:name="_Toc144974527"/>
      <w:bookmarkStart w:id="630" w:name="_Toc455080135"/>
      <w:r>
        <w:rPr>
          <w:rFonts w:hint="eastAsia" w:ascii="宋体" w:hAnsi="宋体" w:eastAsia="宋体" w:cs="宋体"/>
          <w:color w:val="auto"/>
          <w:sz w:val="24"/>
          <w:szCs w:val="24"/>
        </w:rPr>
        <w:t>4.3.1 在第一章“</w:t>
      </w:r>
      <w:r>
        <w:rPr>
          <w:rFonts w:hint="eastAsia" w:ascii="宋体" w:hAnsi="宋体" w:eastAsia="宋体" w:cs="宋体"/>
          <w:color w:val="auto"/>
          <w:sz w:val="24"/>
          <w:szCs w:val="24"/>
          <w:lang w:eastAsia="zh-CN"/>
        </w:rPr>
        <w:t>竞争性磋商公告</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响应文件提交</w:t>
      </w:r>
      <w:r>
        <w:rPr>
          <w:rFonts w:hint="eastAsia" w:ascii="宋体" w:hAnsi="宋体" w:eastAsia="宋体" w:cs="宋体"/>
          <w:color w:val="auto"/>
          <w:sz w:val="24"/>
          <w:szCs w:val="24"/>
        </w:rPr>
        <w:t>截止时间前，供应商可以多次修改或撤回已递交的响应文件，最终响应文件以</w:t>
      </w:r>
      <w:r>
        <w:rPr>
          <w:rFonts w:hint="eastAsia" w:ascii="宋体" w:hAnsi="宋体" w:eastAsia="宋体" w:cs="宋体"/>
          <w:color w:val="auto"/>
          <w:sz w:val="24"/>
          <w:szCs w:val="24"/>
          <w:lang w:eastAsia="zh-CN"/>
        </w:rPr>
        <w:t>响应文件提交截止时间前</w:t>
      </w:r>
      <w:r>
        <w:rPr>
          <w:rFonts w:hint="eastAsia" w:ascii="宋体" w:hAnsi="宋体" w:eastAsia="宋体" w:cs="宋体"/>
          <w:color w:val="auto"/>
          <w:sz w:val="24"/>
          <w:szCs w:val="24"/>
        </w:rPr>
        <w:t>完成上传至信阳市公共资源交易中心交易系统最后一份响应文件为准。</w:t>
      </w:r>
    </w:p>
    <w:p w14:paraId="4B18330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4.3.2修改的响应文件应按照本章第3.7条、第4.2条规定进行编制和递交。</w:t>
      </w:r>
    </w:p>
    <w:bookmarkEnd w:id="627"/>
    <w:bookmarkEnd w:id="628"/>
    <w:bookmarkEnd w:id="629"/>
    <w:p w14:paraId="34CACE18">
      <w:pPr>
        <w:pageBreakBefore w:val="0"/>
        <w:kinsoku/>
        <w:wordWrap/>
        <w:overflowPunct/>
        <w:topLinePunct w:val="0"/>
        <w:bidi w:val="0"/>
        <w:snapToGrid/>
        <w:spacing w:line="500" w:lineRule="exact"/>
        <w:textAlignment w:val="auto"/>
        <w:outlineLvl w:val="1"/>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31" w:name="_Toc14969"/>
    </w:p>
    <w:p w14:paraId="60556E3D">
      <w:pPr>
        <w:pageBreakBefore w:val="0"/>
        <w:kinsoku/>
        <w:wordWrap/>
        <w:overflowPunct/>
        <w:topLinePunct w:val="0"/>
        <w:bidi w:val="0"/>
        <w:snapToGrid/>
        <w:spacing w:line="500" w:lineRule="exact"/>
        <w:jc w:val="center"/>
        <w:textAlignment w:val="auto"/>
        <w:outlineLvl w:val="1"/>
        <w:rPr>
          <w:rFonts w:hint="eastAsia" w:ascii="宋体" w:hAnsi="宋体" w:eastAsia="宋体" w:cs="宋体"/>
          <w:b/>
          <w:bCs/>
          <w:color w:val="auto"/>
          <w:sz w:val="24"/>
          <w:szCs w:val="24"/>
        </w:rPr>
      </w:pPr>
      <w:bookmarkStart w:id="632" w:name="_Toc11086"/>
      <w:r>
        <w:rPr>
          <w:rFonts w:hint="eastAsia" w:ascii="宋体" w:hAnsi="宋体" w:eastAsia="宋体" w:cs="宋体"/>
          <w:b/>
          <w:bCs/>
          <w:color w:val="auto"/>
          <w:sz w:val="24"/>
          <w:szCs w:val="24"/>
        </w:rPr>
        <w:t>5.磋商开始</w:t>
      </w:r>
      <w:bookmarkEnd w:id="630"/>
      <w:bookmarkEnd w:id="631"/>
      <w:bookmarkEnd w:id="632"/>
      <w:bookmarkStart w:id="633" w:name="_Toc490667856"/>
      <w:bookmarkStart w:id="634" w:name="_Toc152042336"/>
      <w:bookmarkStart w:id="635" w:name="_Toc20333"/>
      <w:bookmarkStart w:id="636" w:name="_Toc26426"/>
      <w:bookmarkStart w:id="637" w:name="_Toc6763"/>
      <w:bookmarkStart w:id="638" w:name="_Toc152045560"/>
      <w:bookmarkStart w:id="639" w:name="_Toc25533"/>
      <w:bookmarkStart w:id="640" w:name="_Toc144974528"/>
      <w:bookmarkStart w:id="641" w:name="_Toc318450703"/>
      <w:bookmarkStart w:id="642" w:name="_Toc20660"/>
      <w:bookmarkStart w:id="643" w:name="_Toc14"/>
      <w:bookmarkStart w:id="644" w:name="_Toc9969"/>
      <w:bookmarkStart w:id="645" w:name="_Toc16040"/>
      <w:bookmarkStart w:id="646" w:name="_Toc455867796"/>
      <w:bookmarkStart w:id="647" w:name="_Toc455080136"/>
      <w:bookmarkStart w:id="648" w:name="_Toc466298119"/>
      <w:bookmarkStart w:id="649" w:name="_Toc25809"/>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14:paraId="050605CA">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rPr>
      </w:pPr>
      <w:bookmarkStart w:id="650" w:name="_Toc30074"/>
      <w:bookmarkStart w:id="651" w:name="_Toc455080137"/>
      <w:bookmarkStart w:id="652" w:name="_Toc747"/>
      <w:bookmarkStart w:id="653" w:name="_Toc9328"/>
      <w:bookmarkStart w:id="654" w:name="_Toc152042337"/>
      <w:bookmarkStart w:id="655" w:name="_Toc30792"/>
      <w:bookmarkStart w:id="656" w:name="_Toc318450704"/>
      <w:bookmarkStart w:id="657" w:name="_Toc3865"/>
      <w:bookmarkStart w:id="658" w:name="_Toc152045561"/>
      <w:bookmarkStart w:id="659" w:name="_Toc466298120"/>
      <w:bookmarkStart w:id="660" w:name="_Toc30965"/>
      <w:bookmarkStart w:id="661" w:name="_Toc455867797"/>
      <w:bookmarkStart w:id="662" w:name="_Toc144974529"/>
      <w:bookmarkStart w:id="663" w:name="_Toc490667857"/>
      <w:bookmarkStart w:id="664" w:name="_Toc17491"/>
      <w:bookmarkStart w:id="665" w:name="_Toc11148"/>
      <w:bookmarkStart w:id="666" w:name="_Toc18582"/>
      <w:bookmarkStart w:id="667" w:name="_Toc25911"/>
      <w:r>
        <w:rPr>
          <w:rFonts w:hint="eastAsia" w:ascii="宋体" w:hAnsi="宋体" w:eastAsia="宋体" w:cs="宋体"/>
          <w:b/>
          <w:bCs/>
          <w:color w:val="auto"/>
          <w:sz w:val="24"/>
          <w:szCs w:val="24"/>
        </w:rPr>
        <w:t>5.1 磋商时间和地点</w:t>
      </w:r>
    </w:p>
    <w:p w14:paraId="5ABD4BEA">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5.1.1 采购人在本章规定的投标截止时间（</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rPr>
        <w:t>时间）和</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须知前附表规定的地点开标。</w:t>
      </w:r>
    </w:p>
    <w:p w14:paraId="7419A62C">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 xml:space="preserve">5.1.2 </w:t>
      </w:r>
      <w:r>
        <w:rPr>
          <w:rFonts w:hint="eastAsia" w:ascii="宋体" w:hAnsi="宋体" w:eastAsia="宋体" w:cs="宋体"/>
          <w:b w:val="0"/>
          <w:bCs w:val="0"/>
          <w:color w:val="auto"/>
          <w:sz w:val="24"/>
          <w:szCs w:val="24"/>
          <w:lang w:val="en-US" w:eastAsia="zh-CN"/>
        </w:rPr>
        <w:t xml:space="preserve">本项目采用“不见面开标”交易方式，不见面开标大厅网址为 </w:t>
      </w:r>
      <w:r>
        <w:rPr>
          <w:rFonts w:hint="eastAsia" w:ascii="宋体" w:hAnsi="宋体" w:eastAsia="宋体" w:cs="宋体"/>
          <w:b w:val="0"/>
          <w:bCs w:val="0"/>
          <w:color w:val="auto"/>
          <w:sz w:val="24"/>
          <w:szCs w:val="24"/>
          <w:lang w:val="en-US" w:eastAsia="zh-CN"/>
        </w:rPr>
        <w:fldChar w:fldCharType="begin"/>
      </w:r>
      <w:r>
        <w:rPr>
          <w:rFonts w:hint="eastAsia" w:ascii="宋体" w:hAnsi="宋体" w:eastAsia="宋体" w:cs="宋体"/>
          <w:b w:val="0"/>
          <w:bCs w:val="0"/>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val="0"/>
          <w:bCs w:val="0"/>
          <w:color w:val="auto"/>
          <w:sz w:val="24"/>
          <w:szCs w:val="24"/>
          <w:lang w:val="en-US" w:eastAsia="zh-CN"/>
        </w:rPr>
        <w:fldChar w:fldCharType="separate"/>
      </w:r>
      <w:r>
        <w:rPr>
          <w:rFonts w:hint="eastAsia" w:ascii="宋体" w:hAnsi="宋体" w:eastAsia="宋体" w:cs="宋体"/>
          <w:b w:val="0"/>
          <w:bCs w:val="0"/>
          <w:color w:val="auto"/>
          <w:sz w:val="24"/>
          <w:szCs w:val="24"/>
          <w:lang w:val="en-US" w:eastAsia="zh-CN"/>
        </w:rPr>
        <w:t>http://https://ggzyjy.xinyang.gov.cn，供应商无需寄送和递交</w:t>
      </w:r>
      <w:r>
        <w:rPr>
          <w:rFonts w:hint="eastAsia" w:ascii="宋体" w:hAnsi="宋体" w:eastAsia="宋体" w:cs="宋体"/>
          <w:b w:val="0"/>
          <w:bCs w:val="0"/>
          <w:color w:val="auto"/>
          <w:sz w:val="24"/>
          <w:szCs w:val="24"/>
        </w:rPr>
        <w:t>非加密的电子</w:t>
      </w:r>
      <w:r>
        <w:rPr>
          <w:rFonts w:hint="eastAsia" w:ascii="宋体" w:hAnsi="宋体" w:eastAsia="宋体" w:cs="宋体"/>
          <w:b w:val="0"/>
          <w:bCs w:val="0"/>
          <w:color w:val="auto"/>
          <w:sz w:val="24"/>
          <w:szCs w:val="24"/>
          <w:lang w:eastAsia="zh-CN"/>
        </w:rPr>
        <w:t>响应文件，</w:t>
      </w:r>
      <w:r>
        <w:rPr>
          <w:rFonts w:hint="eastAsia" w:ascii="宋体" w:hAnsi="宋体" w:eastAsia="宋体" w:cs="宋体"/>
          <w:b w:val="0"/>
          <w:bCs w:val="0"/>
          <w:color w:val="auto"/>
          <w:sz w:val="24"/>
          <w:szCs w:val="24"/>
          <w:lang w:val="en-US" w:eastAsia="zh-CN"/>
        </w:rPr>
        <w:t>无需到现场参加开标会议，无需到达现场提交原件资料。</w:t>
      </w:r>
      <w:r>
        <w:rPr>
          <w:rFonts w:hint="eastAsia" w:ascii="宋体" w:hAnsi="宋体" w:eastAsia="宋体" w:cs="宋体"/>
          <w:b w:val="0"/>
          <w:bCs w:val="0"/>
          <w:color w:val="auto"/>
          <w:sz w:val="24"/>
          <w:szCs w:val="24"/>
          <w:lang w:val="en-US" w:eastAsia="zh-CN"/>
        </w:rPr>
        <w:fldChar w:fldCharType="end"/>
      </w:r>
    </w:p>
    <w:p w14:paraId="47FB62B8">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供应商应当在响应文件提交截止时间前，使用供应商CA数字证书登录不见面开标大厅，在线签到并准时参加开标活动，并在规定时间内完成响应文件解密、答疑澄清等。</w:t>
      </w:r>
    </w:p>
    <w:p w14:paraId="01B54161">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1CB62880">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不见面开标服务的具体事宜，请查阅信阳市公共资源交易中心网站首页—下载中心—信阳市不见面开标大厅系统操作手册。</w:t>
      </w:r>
    </w:p>
    <w:p w14:paraId="7E01406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开标</w:t>
      </w:r>
      <w:r>
        <w:rPr>
          <w:rFonts w:hint="eastAsia" w:ascii="宋体" w:hAnsi="宋体" w:eastAsia="宋体" w:cs="宋体"/>
          <w:b w:val="0"/>
          <w:bCs w:val="0"/>
          <w:color w:val="auto"/>
          <w:sz w:val="24"/>
          <w:szCs w:val="24"/>
          <w:lang w:eastAsia="zh-CN"/>
        </w:rPr>
        <w:t>过程中</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如有异议，须</w:t>
      </w:r>
      <w:r>
        <w:rPr>
          <w:rFonts w:hint="eastAsia" w:ascii="宋体" w:hAnsi="宋体" w:eastAsia="宋体" w:cs="宋体"/>
          <w:b w:val="0"/>
          <w:bCs w:val="0"/>
          <w:color w:val="auto"/>
          <w:sz w:val="24"/>
          <w:szCs w:val="24"/>
          <w:lang w:eastAsia="zh-CN"/>
        </w:rPr>
        <w:t>在开标结束前</w:t>
      </w:r>
      <w:r>
        <w:rPr>
          <w:rFonts w:hint="eastAsia" w:ascii="宋体" w:hAnsi="宋体" w:eastAsia="宋体" w:cs="宋体"/>
          <w:b w:val="0"/>
          <w:bCs w:val="0"/>
          <w:color w:val="auto"/>
          <w:sz w:val="24"/>
          <w:szCs w:val="24"/>
        </w:rPr>
        <w:t>通过系统提出，否则视同</w:t>
      </w:r>
      <w:r>
        <w:rPr>
          <w:rFonts w:hint="eastAsia" w:ascii="宋体" w:hAnsi="宋体" w:eastAsia="宋体" w:cs="宋体"/>
          <w:b w:val="0"/>
          <w:bCs w:val="0"/>
          <w:color w:val="auto"/>
          <w:sz w:val="24"/>
          <w:szCs w:val="24"/>
          <w:lang w:eastAsia="zh-CN"/>
        </w:rPr>
        <w:t>认可</w:t>
      </w:r>
      <w:r>
        <w:rPr>
          <w:rFonts w:hint="eastAsia" w:ascii="宋体" w:hAnsi="宋体" w:eastAsia="宋体" w:cs="宋体"/>
          <w:b w:val="0"/>
          <w:bCs w:val="0"/>
          <w:color w:val="auto"/>
          <w:sz w:val="24"/>
          <w:szCs w:val="24"/>
        </w:rPr>
        <w:t>开标记录</w:t>
      </w:r>
      <w:r>
        <w:rPr>
          <w:rFonts w:hint="eastAsia" w:ascii="宋体" w:hAnsi="宋体" w:eastAsia="宋体" w:cs="宋体"/>
          <w:b w:val="0"/>
          <w:bCs w:val="0"/>
          <w:color w:val="auto"/>
          <w:sz w:val="24"/>
          <w:szCs w:val="24"/>
          <w:lang w:eastAsia="zh-CN"/>
        </w:rPr>
        <w:t>。开标结束后，</w:t>
      </w:r>
      <w:r>
        <w:rPr>
          <w:rFonts w:hint="eastAsia" w:ascii="宋体" w:hAnsi="宋体" w:eastAsia="宋体" w:cs="宋体"/>
          <w:b w:val="0"/>
          <w:bCs w:val="0"/>
          <w:color w:val="auto"/>
          <w:sz w:val="24"/>
          <w:szCs w:val="24"/>
        </w:rPr>
        <w:t>对开标记录</w:t>
      </w:r>
      <w:r>
        <w:rPr>
          <w:rFonts w:hint="eastAsia" w:ascii="宋体" w:hAnsi="宋体" w:eastAsia="宋体" w:cs="宋体"/>
          <w:b w:val="0"/>
          <w:bCs w:val="0"/>
          <w:color w:val="auto"/>
          <w:sz w:val="24"/>
          <w:szCs w:val="24"/>
          <w:lang w:eastAsia="zh-CN"/>
        </w:rPr>
        <w:t>的</w:t>
      </w:r>
      <w:r>
        <w:rPr>
          <w:rFonts w:hint="eastAsia" w:ascii="宋体" w:hAnsi="宋体" w:eastAsia="宋体" w:cs="宋体"/>
          <w:b w:val="0"/>
          <w:bCs w:val="0"/>
          <w:color w:val="auto"/>
          <w:sz w:val="24"/>
          <w:szCs w:val="24"/>
        </w:rPr>
        <w:t>任何异议</w:t>
      </w:r>
      <w:r>
        <w:rPr>
          <w:rFonts w:hint="eastAsia" w:ascii="宋体" w:hAnsi="宋体" w:eastAsia="宋体" w:cs="宋体"/>
          <w:b w:val="0"/>
          <w:bCs w:val="0"/>
          <w:color w:val="auto"/>
          <w:sz w:val="24"/>
          <w:szCs w:val="24"/>
          <w:lang w:eastAsia="zh-CN"/>
        </w:rPr>
        <w:t>不再接受</w:t>
      </w:r>
      <w:r>
        <w:rPr>
          <w:rFonts w:hint="eastAsia" w:ascii="宋体" w:hAnsi="宋体" w:eastAsia="宋体" w:cs="宋体"/>
          <w:b w:val="0"/>
          <w:bCs w:val="0"/>
          <w:color w:val="auto"/>
          <w:sz w:val="24"/>
          <w:szCs w:val="24"/>
        </w:rPr>
        <w:t xml:space="preserve">。 </w:t>
      </w:r>
    </w:p>
    <w:p w14:paraId="6499A491">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68" w:name="_Toc98"/>
      <w:bookmarkStart w:id="669" w:name="_Toc7224"/>
      <w:r>
        <w:rPr>
          <w:rFonts w:hint="eastAsia" w:ascii="宋体" w:hAnsi="宋体" w:eastAsia="宋体" w:cs="宋体"/>
          <w:b/>
          <w:bCs/>
          <w:color w:val="auto"/>
          <w:sz w:val="24"/>
          <w:szCs w:val="24"/>
        </w:rPr>
        <w:t>5.2 磋商程序</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7A0E945E">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val="en-US" w:eastAsia="zh-CN"/>
        </w:rPr>
      </w:pPr>
      <w:bookmarkStart w:id="670" w:name="_Toc23409"/>
      <w:bookmarkStart w:id="671" w:name="_Toc20931"/>
      <w:bookmarkStart w:id="672" w:name="_Toc30403"/>
      <w:r>
        <w:rPr>
          <w:rFonts w:hint="eastAsia" w:ascii="宋体" w:hAnsi="宋体" w:eastAsia="宋体" w:cs="宋体"/>
          <w:color w:val="auto"/>
          <w:sz w:val="24"/>
          <w:szCs w:val="24"/>
          <w:lang w:val="en-US" w:eastAsia="zh-CN"/>
        </w:rPr>
        <w:t>5.2.1磋商小组对竞争性磋商文件进行熟悉确认。</w:t>
      </w:r>
      <w:bookmarkEnd w:id="670"/>
      <w:bookmarkEnd w:id="671"/>
      <w:bookmarkEnd w:id="672"/>
    </w:p>
    <w:p w14:paraId="241395C6">
      <w:pPr>
        <w:pageBreakBefore w:val="0"/>
        <w:kinsoku/>
        <w:wordWrap/>
        <w:overflowPunct/>
        <w:topLinePunct w:val="0"/>
        <w:bidi w:val="0"/>
        <w:snapToGrid/>
        <w:spacing w:line="500" w:lineRule="exact"/>
        <w:ind w:firstLine="540" w:firstLineChars="225"/>
        <w:textAlignment w:val="auto"/>
        <w:rPr>
          <w:rFonts w:hint="eastAsia" w:ascii="宋体" w:hAnsi="宋体" w:eastAsia="宋体" w:cs="宋体"/>
          <w:color w:val="auto"/>
          <w:sz w:val="24"/>
          <w:szCs w:val="24"/>
        </w:rPr>
      </w:pPr>
      <w:bookmarkStart w:id="673" w:name="_Toc152042338"/>
      <w:bookmarkStart w:id="674" w:name="_Toc144974530"/>
      <w:bookmarkStart w:id="675" w:name="_Toc152045562"/>
      <w:r>
        <w:rPr>
          <w:rFonts w:hint="eastAsia" w:ascii="宋体" w:hAnsi="宋体" w:eastAsia="宋体" w:cs="宋体"/>
          <w:color w:val="auto"/>
          <w:sz w:val="24"/>
          <w:szCs w:val="24"/>
        </w:rPr>
        <w:t>5.2.2磋商小组推选组长，讨论、通过磋商工作流程和磋商要点。</w:t>
      </w:r>
    </w:p>
    <w:p w14:paraId="62A99FB5">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资格评审审查：采购人依据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w:t>
      </w:r>
      <w:r>
        <w:rPr>
          <w:rFonts w:hint="eastAsia" w:ascii="宋体" w:hAnsi="宋体" w:eastAsia="宋体" w:cs="宋体"/>
          <w:color w:val="auto"/>
          <w:sz w:val="24"/>
          <w:szCs w:val="24"/>
          <w:lang w:eastAsia="zh-CN"/>
        </w:rPr>
        <w:t>对</w:t>
      </w:r>
      <w:r>
        <w:rPr>
          <w:rFonts w:hint="eastAsia" w:ascii="宋体" w:hAnsi="宋体" w:eastAsia="宋体" w:cs="宋体"/>
          <w:color w:val="auto"/>
          <w:sz w:val="24"/>
          <w:szCs w:val="24"/>
        </w:rPr>
        <w:t>供应商进行审查，以确定磋商供应商是否具备参与磋商的资格。根据磋商文件资格条件要求提供相关证明材料的扫描件加盖投标供应商企业</w:t>
      </w: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章及法</w:t>
      </w:r>
      <w:r>
        <w:rPr>
          <w:rFonts w:hint="eastAsia" w:ascii="宋体" w:hAnsi="宋体" w:eastAsia="宋体" w:cs="宋体"/>
          <w:color w:val="auto"/>
          <w:sz w:val="24"/>
          <w:szCs w:val="24"/>
          <w:lang w:eastAsia="zh-CN"/>
        </w:rPr>
        <w:t>定代表</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电子</w:t>
      </w:r>
      <w:r>
        <w:rPr>
          <w:rFonts w:hint="eastAsia" w:ascii="宋体" w:hAnsi="宋体" w:eastAsia="宋体" w:cs="宋体"/>
          <w:color w:val="auto"/>
          <w:sz w:val="24"/>
          <w:szCs w:val="24"/>
        </w:rPr>
        <w:t>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未按要求提供的</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文件无效。</w:t>
      </w:r>
    </w:p>
    <w:p w14:paraId="6B5FEB8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符合性</w:t>
      </w:r>
      <w:r>
        <w:rPr>
          <w:rFonts w:hint="eastAsia" w:ascii="宋体" w:hAnsi="宋体" w:eastAsia="宋体" w:cs="宋体"/>
          <w:color w:val="auto"/>
          <w:sz w:val="24"/>
          <w:szCs w:val="24"/>
        </w:rPr>
        <w:t>评审审查：磋商开始后，磋商小组依据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规定，对通过资格评审的供应商进行审查，以确定磋商供应商是否具备参与磋商的资格。</w:t>
      </w:r>
    </w:p>
    <w:p w14:paraId="13490DC2">
      <w:pPr>
        <w:pageBreakBefore w:val="0"/>
        <w:kinsoku/>
        <w:wordWrap/>
        <w:overflowPunct/>
        <w:topLinePunct w:val="0"/>
        <w:bidi w:val="0"/>
        <w:snapToGrid/>
        <w:spacing w:line="500" w:lineRule="exact"/>
        <w:ind w:firstLine="540" w:firstLineChars="22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磋商小组对通过资格性和符合性审查的响应文件进行评估，确定与各竞标人磋商的具体内容。</w:t>
      </w:r>
    </w:p>
    <w:p w14:paraId="76545D5E">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5.2.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磋商过程中，磋商小组可以根据磋商情况实质性变动招标需求中的技术、服务要求以及合同草案条款，但不得变动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中的其他内容。实质性变动的内容需经采购人(业主)代表确认。并以书面形式通知所有参加磋商的供应商，该变动是</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的有效组成部分。供应商应当按照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23DF3AB3">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磋商小组对符合招标需求的供应商进行两轮报价；供应商只有通过资格评审</w:t>
      </w:r>
      <w:r>
        <w:rPr>
          <w:rFonts w:hint="eastAsia" w:ascii="宋体" w:hAnsi="宋体" w:eastAsia="宋体" w:cs="宋体"/>
          <w:color w:val="auto"/>
          <w:sz w:val="24"/>
          <w:szCs w:val="24"/>
          <w:lang w:eastAsia="zh-CN"/>
        </w:rPr>
        <w:t>及符合性</w:t>
      </w:r>
      <w:r>
        <w:rPr>
          <w:rFonts w:hint="eastAsia" w:ascii="宋体" w:hAnsi="宋体" w:eastAsia="宋体" w:cs="宋体"/>
          <w:color w:val="auto"/>
          <w:sz w:val="24"/>
          <w:szCs w:val="24"/>
        </w:rPr>
        <w:t>评审后方可进入下一轮报价，在规定的时间内同时提交报价，最终报价不得超过响应文件中报价。</w:t>
      </w:r>
    </w:p>
    <w:p w14:paraId="466D38D2">
      <w:pPr>
        <w:pageBreakBefore w:val="0"/>
        <w:tabs>
          <w:tab w:val="left" w:pos="0"/>
          <w:tab w:val="left" w:pos="1050"/>
        </w:tabs>
        <w:kinsoku/>
        <w:wordWrap/>
        <w:overflowPunct/>
        <w:topLinePunct w:val="0"/>
        <w:bidi w:val="0"/>
        <w:snapToGrid/>
        <w:spacing w:line="500" w:lineRule="exact"/>
        <w:ind w:firstLine="419" w:firstLineChars="174"/>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注：</w:t>
      </w:r>
      <w:r>
        <w:rPr>
          <w:rFonts w:hint="eastAsia" w:ascii="宋体" w:hAnsi="宋体" w:eastAsia="宋体" w:cs="宋体"/>
          <w:b/>
          <w:bCs/>
          <w:color w:val="auto"/>
          <w:sz w:val="24"/>
          <w:szCs w:val="24"/>
          <w:lang w:val="en-US" w:eastAsia="zh-CN"/>
        </w:rPr>
        <w:t>因供应商原因（如供应商准备不到位、电脑网络问题等），</w:t>
      </w:r>
      <w:r>
        <w:rPr>
          <w:rFonts w:hint="eastAsia" w:ascii="宋体" w:hAnsi="宋体" w:eastAsia="宋体" w:cs="宋体"/>
          <w:b/>
          <w:bCs/>
          <w:color w:val="auto"/>
          <w:sz w:val="24"/>
          <w:szCs w:val="24"/>
          <w:highlight w:val="none"/>
          <w:lang w:eastAsia="zh-CN"/>
        </w:rPr>
        <w:t>未在规定时间内进行二次报价的，第一次报价即为其</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p>
    <w:p w14:paraId="6AE6392E">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经磋商确定最终招标需求，由磋商小组采用综合评分法对通过初步评审的供应商的响应文件进行综合评分。</w:t>
      </w:r>
    </w:p>
    <w:p w14:paraId="1B660078">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676" w:name="_Toc455080138"/>
      <w:bookmarkStart w:id="677" w:name="_Toc14039"/>
    </w:p>
    <w:p w14:paraId="60698A15">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678" w:name="_Toc21457"/>
      <w:r>
        <w:rPr>
          <w:rFonts w:hint="eastAsia" w:ascii="宋体" w:hAnsi="宋体" w:eastAsia="宋体" w:cs="宋体"/>
          <w:b/>
          <w:bCs/>
          <w:color w:val="auto"/>
          <w:sz w:val="24"/>
          <w:szCs w:val="24"/>
        </w:rPr>
        <w:t xml:space="preserve">6. </w:t>
      </w:r>
      <w:bookmarkEnd w:id="673"/>
      <w:bookmarkEnd w:id="674"/>
      <w:bookmarkEnd w:id="675"/>
      <w:r>
        <w:rPr>
          <w:rFonts w:hint="eastAsia" w:ascii="宋体" w:hAnsi="宋体" w:eastAsia="宋体" w:cs="宋体"/>
          <w:b/>
          <w:bCs/>
          <w:color w:val="auto"/>
          <w:sz w:val="24"/>
          <w:szCs w:val="24"/>
        </w:rPr>
        <w:t>磋商</w:t>
      </w:r>
      <w:bookmarkEnd w:id="676"/>
      <w:r>
        <w:rPr>
          <w:rFonts w:hint="eastAsia" w:ascii="宋体" w:hAnsi="宋体" w:eastAsia="宋体" w:cs="宋体"/>
          <w:b/>
          <w:bCs/>
          <w:color w:val="auto"/>
          <w:sz w:val="24"/>
          <w:szCs w:val="24"/>
        </w:rPr>
        <w:t>小组</w:t>
      </w:r>
      <w:bookmarkEnd w:id="677"/>
      <w:bookmarkEnd w:id="678"/>
    </w:p>
    <w:p w14:paraId="7138EA12">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79" w:name="_Toc22250"/>
      <w:bookmarkStart w:id="680" w:name="_Toc318450706"/>
      <w:bookmarkStart w:id="681" w:name="_Toc26098"/>
      <w:bookmarkStart w:id="682" w:name="_Toc144974531"/>
      <w:bookmarkStart w:id="683" w:name="_Toc152042339"/>
      <w:bookmarkStart w:id="684" w:name="_Toc152045563"/>
      <w:bookmarkStart w:id="685" w:name="_Toc9808"/>
      <w:bookmarkStart w:id="686" w:name="_Toc455867799"/>
      <w:bookmarkStart w:id="687" w:name="_Toc17591"/>
      <w:bookmarkStart w:id="688" w:name="_Toc8725"/>
      <w:bookmarkStart w:id="689" w:name="_Toc1546"/>
      <w:bookmarkStart w:id="690" w:name="_Toc8157"/>
      <w:bookmarkStart w:id="691" w:name="_Toc1574"/>
      <w:bookmarkStart w:id="692" w:name="_Toc17775"/>
      <w:bookmarkStart w:id="693" w:name="_Toc18985"/>
      <w:bookmarkStart w:id="694" w:name="_Toc490667859"/>
      <w:bookmarkStart w:id="695" w:name="_Toc455080139"/>
      <w:bookmarkStart w:id="696" w:name="_Toc466298122"/>
      <w:bookmarkStart w:id="697" w:name="_Toc23138"/>
      <w:bookmarkStart w:id="698" w:name="_Toc13978"/>
      <w:r>
        <w:rPr>
          <w:rFonts w:hint="eastAsia" w:ascii="宋体" w:hAnsi="宋体" w:eastAsia="宋体" w:cs="宋体"/>
          <w:b/>
          <w:bCs/>
          <w:color w:val="auto"/>
          <w:sz w:val="24"/>
          <w:szCs w:val="24"/>
        </w:rPr>
        <w:t>6.1</w:t>
      </w:r>
      <w:bookmarkEnd w:id="679"/>
      <w:bookmarkEnd w:id="680"/>
      <w:bookmarkEnd w:id="681"/>
      <w:bookmarkEnd w:id="682"/>
      <w:bookmarkEnd w:id="683"/>
      <w:bookmarkEnd w:id="684"/>
      <w:bookmarkEnd w:id="685"/>
      <w:r>
        <w:rPr>
          <w:rFonts w:hint="eastAsia" w:ascii="宋体" w:hAnsi="宋体" w:eastAsia="宋体" w:cs="宋体"/>
          <w:b/>
          <w:bCs/>
          <w:color w:val="auto"/>
          <w:sz w:val="24"/>
          <w:szCs w:val="24"/>
        </w:rPr>
        <w:t>磋商小组</w:t>
      </w:r>
      <w:bookmarkEnd w:id="686"/>
      <w:bookmarkEnd w:id="687"/>
      <w:bookmarkEnd w:id="688"/>
      <w:bookmarkEnd w:id="689"/>
      <w:bookmarkEnd w:id="690"/>
      <w:bookmarkEnd w:id="691"/>
      <w:bookmarkEnd w:id="692"/>
      <w:bookmarkEnd w:id="693"/>
      <w:bookmarkEnd w:id="694"/>
      <w:bookmarkEnd w:id="695"/>
      <w:bookmarkEnd w:id="696"/>
      <w:bookmarkEnd w:id="697"/>
      <w:bookmarkEnd w:id="698"/>
    </w:p>
    <w:p w14:paraId="39177760">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6C21FA68">
      <w:pPr>
        <w:pStyle w:val="34"/>
        <w:pageBreakBefore w:val="0"/>
        <w:tabs>
          <w:tab w:val="left" w:pos="2620"/>
        </w:tabs>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699" w:name="_Toc27035"/>
      <w:bookmarkStart w:id="700" w:name="_Toc25721"/>
      <w:bookmarkStart w:id="701" w:name="_Toc4435"/>
      <w:bookmarkStart w:id="702" w:name="_Toc22143"/>
      <w:bookmarkStart w:id="703" w:name="_Toc490667860"/>
      <w:bookmarkStart w:id="704" w:name="_Toc9532"/>
      <w:bookmarkStart w:id="705" w:name="_Toc7286"/>
      <w:bookmarkStart w:id="706" w:name="_Toc8248"/>
      <w:bookmarkStart w:id="707" w:name="_Toc455867800"/>
      <w:bookmarkStart w:id="708" w:name="_Toc466298123"/>
      <w:bookmarkStart w:id="709" w:name="_Toc318450707"/>
      <w:bookmarkStart w:id="710" w:name="_Toc21102"/>
      <w:bookmarkStart w:id="711" w:name="_Toc13368"/>
      <w:bookmarkStart w:id="712" w:name="_Toc455080140"/>
      <w:bookmarkStart w:id="713" w:name="_Toc32658"/>
      <w:bookmarkStart w:id="714" w:name="_Toc16354"/>
      <w:bookmarkStart w:id="715" w:name="_Toc152042340"/>
      <w:bookmarkStart w:id="716" w:name="_Toc144974532"/>
      <w:bookmarkStart w:id="717" w:name="_Toc8240"/>
      <w:bookmarkStart w:id="718" w:name="_Toc152045564"/>
      <w:r>
        <w:rPr>
          <w:rFonts w:hint="eastAsia" w:ascii="宋体" w:hAnsi="宋体" w:eastAsia="宋体" w:cs="宋体"/>
          <w:b/>
          <w:bCs/>
          <w:color w:val="auto"/>
          <w:sz w:val="24"/>
          <w:szCs w:val="24"/>
        </w:rPr>
        <w:t>6.2 磋商原则</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112B9465">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磋商活动遵循公平、公正、科学和择优的原则。</w:t>
      </w:r>
    </w:p>
    <w:p w14:paraId="7ED27994">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719" w:name="_Toc318450708"/>
      <w:bookmarkStart w:id="720" w:name="_Toc144974533"/>
      <w:bookmarkStart w:id="721" w:name="_Toc15595"/>
      <w:bookmarkStart w:id="722" w:name="_Toc152045565"/>
      <w:bookmarkStart w:id="723" w:name="_Toc16725"/>
      <w:bookmarkStart w:id="724" w:name="_Toc8705"/>
      <w:bookmarkStart w:id="725" w:name="_Toc152042341"/>
      <w:bookmarkStart w:id="726" w:name="_Toc24358"/>
      <w:bookmarkStart w:id="727" w:name="_Toc18756"/>
      <w:bookmarkStart w:id="728" w:name="_Toc490667861"/>
      <w:bookmarkStart w:id="729" w:name="_Toc309"/>
      <w:bookmarkStart w:id="730" w:name="_Toc455080141"/>
      <w:bookmarkStart w:id="731" w:name="_Toc4438"/>
      <w:bookmarkStart w:id="732" w:name="_Toc3606"/>
      <w:bookmarkStart w:id="733" w:name="_Toc466298124"/>
      <w:bookmarkStart w:id="734" w:name="_Toc27036"/>
      <w:bookmarkStart w:id="735" w:name="_Toc7890"/>
      <w:bookmarkStart w:id="736" w:name="_Toc20062"/>
      <w:bookmarkStart w:id="737" w:name="_Toc455867801"/>
      <w:bookmarkStart w:id="738" w:name="_Toc28734"/>
      <w:r>
        <w:rPr>
          <w:rFonts w:hint="eastAsia" w:ascii="宋体" w:hAnsi="宋体" w:eastAsia="宋体" w:cs="宋体"/>
          <w:b/>
          <w:bCs/>
          <w:color w:val="auto"/>
          <w:sz w:val="24"/>
          <w:szCs w:val="24"/>
        </w:rPr>
        <w:t xml:space="preserve">6.3 </w:t>
      </w:r>
      <w:bookmarkEnd w:id="719"/>
      <w:bookmarkEnd w:id="720"/>
      <w:bookmarkEnd w:id="721"/>
      <w:bookmarkEnd w:id="722"/>
      <w:bookmarkEnd w:id="723"/>
      <w:bookmarkEnd w:id="724"/>
      <w:bookmarkEnd w:id="725"/>
      <w:r>
        <w:rPr>
          <w:rFonts w:hint="eastAsia" w:ascii="宋体" w:hAnsi="宋体" w:eastAsia="宋体" w:cs="宋体"/>
          <w:b/>
          <w:bCs/>
          <w:color w:val="auto"/>
          <w:sz w:val="24"/>
          <w:szCs w:val="24"/>
        </w:rPr>
        <w:t>磋商</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25A030AC">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磋商小组按照第三章“评审办法”规定的方法、评审因素、标准和程序对响应文件进行评审。第三章“评审办法”没有规定的方法、评审因素和标准，不作为评标依据。</w:t>
      </w:r>
    </w:p>
    <w:p w14:paraId="7FDD7BCD">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739" w:name="_Toc9522"/>
      <w:bookmarkStart w:id="740" w:name="_Toc152042342"/>
      <w:bookmarkStart w:id="741" w:name="_Toc455080142"/>
      <w:bookmarkStart w:id="742" w:name="_Toc144974534"/>
      <w:bookmarkStart w:id="743" w:name="_Toc152045566"/>
    </w:p>
    <w:p w14:paraId="3ABEBFA0">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744" w:name="_Toc17150"/>
      <w:r>
        <w:rPr>
          <w:rFonts w:hint="eastAsia" w:ascii="宋体" w:hAnsi="宋体" w:eastAsia="宋体" w:cs="宋体"/>
          <w:b/>
          <w:bCs/>
          <w:color w:val="auto"/>
          <w:sz w:val="24"/>
          <w:szCs w:val="24"/>
        </w:rPr>
        <w:t>7. 合同授予</w:t>
      </w:r>
      <w:bookmarkEnd w:id="739"/>
      <w:bookmarkEnd w:id="740"/>
      <w:bookmarkEnd w:id="741"/>
      <w:bookmarkEnd w:id="742"/>
      <w:bookmarkEnd w:id="743"/>
      <w:bookmarkEnd w:id="744"/>
    </w:p>
    <w:p w14:paraId="07108541">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45" w:name="_Toc318450710"/>
      <w:bookmarkStart w:id="746" w:name="_Toc23103"/>
      <w:bookmarkStart w:id="747" w:name="_Toc14528"/>
      <w:bookmarkStart w:id="748" w:name="_Toc29664"/>
      <w:bookmarkStart w:id="749" w:name="_Toc20777"/>
      <w:bookmarkStart w:id="750" w:name="_Toc490667863"/>
      <w:bookmarkStart w:id="751" w:name="_Toc455080143"/>
      <w:bookmarkStart w:id="752" w:name="_Toc7358"/>
      <w:bookmarkStart w:id="753" w:name="_Toc466298126"/>
      <w:bookmarkStart w:id="754" w:name="_Toc22461"/>
      <w:bookmarkStart w:id="755" w:name="_Toc28919"/>
      <w:bookmarkStart w:id="756" w:name="_Toc28229"/>
      <w:bookmarkStart w:id="757" w:name="_Toc29686"/>
      <w:bookmarkStart w:id="758" w:name="_Toc152042343"/>
      <w:bookmarkStart w:id="759" w:name="_Toc25316"/>
      <w:bookmarkStart w:id="760" w:name="_Toc455867803"/>
      <w:bookmarkStart w:id="761" w:name="_Toc152045567"/>
      <w:bookmarkStart w:id="762" w:name="_Toc144974535"/>
      <w:bookmarkStart w:id="763" w:name="_Toc17660"/>
      <w:bookmarkStart w:id="764" w:name="_Toc11409"/>
      <w:r>
        <w:rPr>
          <w:rFonts w:hint="eastAsia" w:ascii="宋体" w:hAnsi="宋体" w:eastAsia="宋体" w:cs="宋体"/>
          <w:b/>
          <w:bCs/>
          <w:color w:val="auto"/>
          <w:sz w:val="24"/>
          <w:szCs w:val="24"/>
        </w:rPr>
        <w:t>7.1 定标方式</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3B2F861">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765" w:name="_Toc144974536"/>
      <w:bookmarkStart w:id="766" w:name="_Toc7066"/>
      <w:bookmarkStart w:id="767" w:name="_Toc10868"/>
      <w:bookmarkStart w:id="768" w:name="_Toc152045568"/>
      <w:bookmarkStart w:id="769" w:name="_Toc28254"/>
      <w:bookmarkStart w:id="770" w:name="_Toc318450711"/>
      <w:bookmarkStart w:id="771" w:name="_Toc152042344"/>
      <w:r>
        <w:rPr>
          <w:rFonts w:hint="eastAsia" w:ascii="宋体" w:hAnsi="宋体" w:eastAsia="宋体" w:cs="宋体"/>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要求提交履约保证金，或者被查实存在影响成交结果的违法行为等情形，不符合成交条件的，采购人可以按照磋商小组提出的成交候选人名单排序依次确定其他成交候选人为成交人，也可以重新磋商。</w:t>
      </w:r>
    </w:p>
    <w:p w14:paraId="5DBE0111">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772" w:name="_Toc9775"/>
      <w:bookmarkStart w:id="773" w:name="_Toc16163"/>
      <w:bookmarkStart w:id="774" w:name="_Toc31654"/>
      <w:bookmarkStart w:id="775" w:name="_Toc5668"/>
      <w:bookmarkStart w:id="776" w:name="_Toc15825"/>
      <w:bookmarkStart w:id="777" w:name="_Toc9897"/>
      <w:bookmarkStart w:id="778" w:name="_Toc28177"/>
      <w:bookmarkStart w:id="779" w:name="_Toc490667864"/>
      <w:bookmarkStart w:id="780" w:name="_Toc455080144"/>
      <w:bookmarkStart w:id="781" w:name="_Toc466298127"/>
      <w:bookmarkStart w:id="782" w:name="_Toc5428"/>
      <w:bookmarkStart w:id="783" w:name="_Toc29772"/>
      <w:bookmarkStart w:id="784" w:name="_Toc455867804"/>
      <w:r>
        <w:rPr>
          <w:rFonts w:hint="eastAsia" w:ascii="宋体" w:hAnsi="宋体" w:eastAsia="宋体" w:cs="宋体"/>
          <w:b/>
          <w:bCs/>
          <w:color w:val="auto"/>
          <w:sz w:val="24"/>
          <w:szCs w:val="24"/>
        </w:rPr>
        <w:t>7.2 成交通知</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09B94E58">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在本章第3.3.1款规定的磋商有效期内，采购人以书面形式向成交人发出成交通知书，同时将成交结果通知未成交的供应商。</w:t>
      </w:r>
    </w:p>
    <w:p w14:paraId="44A6402F">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7.3 履约保证金</w:t>
      </w:r>
    </w:p>
    <w:p w14:paraId="5DACADD7">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lang w:val="en-US" w:eastAsia="zh-CN"/>
        </w:rPr>
      </w:pPr>
      <w:bookmarkStart w:id="785" w:name="_Toc13002"/>
      <w:bookmarkStart w:id="786" w:name="_Toc26058"/>
      <w:bookmarkStart w:id="787" w:name="_Toc144974538"/>
      <w:bookmarkStart w:id="788" w:name="_Toc8886"/>
      <w:bookmarkStart w:id="789" w:name="_Toc152045570"/>
      <w:bookmarkStart w:id="790" w:name="_Toc152042346"/>
      <w:bookmarkStart w:id="791" w:name="_Toc13147"/>
      <w:bookmarkStart w:id="792" w:name="_Toc318450712"/>
      <w:bookmarkStart w:id="793" w:name="_Toc26655"/>
      <w:bookmarkStart w:id="794" w:name="_Toc26760"/>
      <w:bookmarkStart w:id="795" w:name="_Toc10082"/>
      <w:bookmarkStart w:id="796" w:name="_Toc15458"/>
      <w:bookmarkStart w:id="797" w:name="_Toc466298128"/>
      <w:bookmarkStart w:id="798" w:name="_Toc12663"/>
      <w:bookmarkStart w:id="799" w:name="_Toc455867805"/>
      <w:bookmarkStart w:id="800" w:name="_Toc21271"/>
      <w:bookmarkStart w:id="801" w:name="_Toc455080145"/>
      <w:bookmarkStart w:id="802" w:name="_Toc24026"/>
      <w:bookmarkStart w:id="803" w:name="_Toc26915"/>
      <w:bookmarkStart w:id="804" w:name="_Toc490667865"/>
      <w:r>
        <w:rPr>
          <w:rFonts w:hint="eastAsia" w:ascii="宋体" w:hAnsi="宋体" w:eastAsia="宋体" w:cs="宋体"/>
          <w:b/>
          <w:bCs/>
          <w:color w:val="auto"/>
          <w:sz w:val="24"/>
          <w:szCs w:val="24"/>
          <w:lang w:val="en-US" w:eastAsia="zh-CN"/>
        </w:rPr>
        <w:t>免收履约保证金</w:t>
      </w:r>
      <w:bookmarkEnd w:id="785"/>
      <w:bookmarkEnd w:id="786"/>
    </w:p>
    <w:p w14:paraId="21ECDE8C">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805" w:name="_Toc2451"/>
      <w:bookmarkStart w:id="806" w:name="_Toc17236"/>
      <w:r>
        <w:rPr>
          <w:rFonts w:hint="eastAsia" w:ascii="宋体" w:hAnsi="宋体" w:eastAsia="宋体" w:cs="宋体"/>
          <w:b/>
          <w:bCs/>
          <w:color w:val="auto"/>
          <w:sz w:val="24"/>
          <w:szCs w:val="24"/>
        </w:rPr>
        <w:t>7.</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 xml:space="preserve"> 签订合同</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4C42F725">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.1采购人和成交人应当自成交通知书发出之日起</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天内，根据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 xml:space="preserve">和成交人的响应文件订立书面合同。成交人无正当理由拒签合同的，采购人取消其成交资格，其磋商保证金不予退还；给采购人造成的损失超过磋商保证金数额的，成交人还应当对超过部分予以赔偿。 </w:t>
      </w:r>
    </w:p>
    <w:p w14:paraId="2453CD3C">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.2 发出成交通知书后，采购人无正当理由拒签合同的，采购人向成交人退还磋商保证金；给成交人造成损失的，还应当赔偿损失。 </w:t>
      </w:r>
      <w:bookmarkStart w:id="807" w:name="_Toc152042350"/>
      <w:bookmarkStart w:id="808" w:name="_Toc152045574"/>
      <w:bookmarkStart w:id="809" w:name="_Toc144974542"/>
    </w:p>
    <w:p w14:paraId="5AAB1711">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10" w:name="_Toc16866"/>
      <w:bookmarkStart w:id="811" w:name="_Toc455080146"/>
    </w:p>
    <w:p w14:paraId="54A252C7">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812" w:name="_Toc13693"/>
      <w:r>
        <w:rPr>
          <w:rFonts w:hint="eastAsia" w:ascii="宋体" w:hAnsi="宋体" w:eastAsia="宋体" w:cs="宋体"/>
          <w:b/>
          <w:bCs/>
          <w:color w:val="auto"/>
          <w:sz w:val="24"/>
          <w:szCs w:val="24"/>
        </w:rPr>
        <w:t>8.重新招标</w:t>
      </w:r>
      <w:bookmarkEnd w:id="810"/>
      <w:bookmarkEnd w:id="811"/>
      <w:bookmarkEnd w:id="812"/>
    </w:p>
    <w:p w14:paraId="2DF0F042">
      <w:pPr>
        <w:pageBreakBefore w:val="0"/>
        <w:kinsoku/>
        <w:wordWrap/>
        <w:overflowPunct/>
        <w:topLinePunct w:val="0"/>
        <w:bidi w:val="0"/>
        <w:snapToGrid/>
        <w:spacing w:line="500" w:lineRule="exact"/>
        <w:textAlignment w:val="auto"/>
        <w:rPr>
          <w:rFonts w:hint="eastAsia" w:ascii="宋体" w:hAnsi="宋体" w:eastAsia="宋体" w:cs="宋体"/>
          <w:b/>
          <w:bCs/>
          <w:color w:val="auto"/>
          <w:sz w:val="24"/>
          <w:szCs w:val="24"/>
        </w:rPr>
      </w:pPr>
      <w:bookmarkStart w:id="813" w:name="_Toc16556"/>
    </w:p>
    <w:p w14:paraId="6D96BFE4">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8.1 重新招标</w:t>
      </w:r>
      <w:bookmarkEnd w:id="813"/>
    </w:p>
    <w:p w14:paraId="3A259450">
      <w:pPr>
        <w:pageBreakBefore w:val="0"/>
        <w:kinsoku/>
        <w:wordWrap/>
        <w:overflowPunct/>
        <w:topLinePunct w:val="0"/>
        <w:bidi w:val="0"/>
        <w:snapToGrid/>
        <w:spacing w:line="500" w:lineRule="exact"/>
        <w:ind w:firstLine="480"/>
        <w:textAlignment w:val="auto"/>
        <w:rPr>
          <w:rFonts w:hint="eastAsia" w:ascii="宋体" w:hAnsi="宋体" w:eastAsia="宋体" w:cs="宋体"/>
          <w:color w:val="auto"/>
          <w:sz w:val="24"/>
          <w:szCs w:val="24"/>
        </w:rPr>
      </w:pPr>
      <w:bookmarkStart w:id="814" w:name="_Toc9985"/>
      <w:r>
        <w:rPr>
          <w:rFonts w:hint="eastAsia" w:ascii="宋体" w:hAnsi="宋体" w:eastAsia="宋体" w:cs="宋体"/>
          <w:color w:val="auto"/>
          <w:sz w:val="24"/>
          <w:szCs w:val="24"/>
        </w:rPr>
        <w:t>有下列情形之一的，采购人将重新招标：</w:t>
      </w:r>
      <w:bookmarkEnd w:id="814"/>
    </w:p>
    <w:p w14:paraId="159E3557">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bookmarkStart w:id="815" w:name="_Toc25063"/>
      <w:r>
        <w:rPr>
          <w:rFonts w:hint="eastAsia" w:ascii="宋体" w:hAnsi="宋体" w:eastAsia="宋体" w:cs="宋体"/>
          <w:color w:val="auto"/>
          <w:sz w:val="24"/>
          <w:szCs w:val="24"/>
        </w:rPr>
        <w:t xml:space="preserve">   （1）提交响应文件截止时间止，供应商少于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bookmarkEnd w:id="815"/>
      <w:r>
        <w:rPr>
          <w:rFonts w:hint="eastAsia" w:ascii="宋体" w:hAnsi="宋体" w:eastAsia="宋体" w:cs="宋体"/>
          <w:color w:val="auto"/>
          <w:sz w:val="24"/>
          <w:szCs w:val="24"/>
        </w:rPr>
        <w:t xml:space="preserve"> </w:t>
      </w:r>
    </w:p>
    <w:p w14:paraId="19CAE922">
      <w:pPr>
        <w:pageBreakBefore w:val="0"/>
        <w:kinsoku/>
        <w:wordWrap/>
        <w:overflowPunct/>
        <w:topLinePunct w:val="0"/>
        <w:bidi w:val="0"/>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bookmarkStart w:id="816" w:name="_Toc17911"/>
      <w:r>
        <w:rPr>
          <w:rFonts w:hint="eastAsia" w:ascii="宋体" w:hAnsi="宋体" w:eastAsia="宋体" w:cs="宋体"/>
          <w:color w:val="auto"/>
          <w:sz w:val="24"/>
          <w:szCs w:val="24"/>
        </w:rPr>
        <w:t>（2）经磋商小组评审后否决所有响应文件的。</w:t>
      </w:r>
      <w:bookmarkEnd w:id="816"/>
    </w:p>
    <w:p w14:paraId="5EBA45A6">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817" w:name="_Toc9996"/>
      <w:bookmarkStart w:id="818" w:name="_Toc455080147"/>
    </w:p>
    <w:p w14:paraId="3DD2004C">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819" w:name="_Toc6440"/>
      <w:r>
        <w:rPr>
          <w:rFonts w:hint="eastAsia" w:ascii="宋体" w:hAnsi="宋体" w:eastAsia="宋体" w:cs="宋体"/>
          <w:b/>
          <w:bCs/>
          <w:color w:val="auto"/>
          <w:sz w:val="24"/>
          <w:szCs w:val="24"/>
        </w:rPr>
        <w:t>9.纪律和监督</w:t>
      </w:r>
      <w:bookmarkEnd w:id="807"/>
      <w:bookmarkEnd w:id="808"/>
      <w:bookmarkEnd w:id="809"/>
      <w:bookmarkEnd w:id="817"/>
      <w:bookmarkEnd w:id="818"/>
      <w:bookmarkEnd w:id="819"/>
    </w:p>
    <w:p w14:paraId="4D083525">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820" w:name="_Toc144974543"/>
      <w:bookmarkStart w:id="821" w:name="_Toc13970"/>
      <w:bookmarkStart w:id="822" w:name="_Toc20009"/>
      <w:bookmarkStart w:id="823" w:name="_Toc1282"/>
      <w:bookmarkStart w:id="824" w:name="_Toc29300"/>
      <w:bookmarkStart w:id="825" w:name="_Toc6319"/>
      <w:bookmarkStart w:id="826" w:name="_Toc19159"/>
      <w:bookmarkStart w:id="827" w:name="_Toc455080148"/>
      <w:bookmarkStart w:id="828" w:name="_Toc269"/>
      <w:bookmarkStart w:id="829" w:name="_Toc152045575"/>
      <w:bookmarkStart w:id="830" w:name="_Toc697"/>
      <w:bookmarkStart w:id="831" w:name="_Toc152042351"/>
      <w:bookmarkStart w:id="832" w:name="_Toc12992"/>
      <w:bookmarkStart w:id="833" w:name="_Toc27836"/>
      <w:bookmarkStart w:id="834" w:name="_Toc15769"/>
      <w:bookmarkStart w:id="835" w:name="_Toc466298131"/>
      <w:bookmarkStart w:id="836" w:name="_Toc318450714"/>
      <w:bookmarkStart w:id="837" w:name="_Toc455867808"/>
      <w:bookmarkStart w:id="838" w:name="_Toc15592"/>
      <w:bookmarkStart w:id="839" w:name="_Toc490667868"/>
    </w:p>
    <w:p w14:paraId="130C97C7">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9.1 对</w:t>
      </w:r>
      <w:r>
        <w:rPr>
          <w:rFonts w:hint="eastAsia" w:ascii="宋体" w:hAnsi="宋体" w:eastAsia="宋体" w:cs="宋体"/>
          <w:b/>
          <w:bCs/>
          <w:color w:val="auto"/>
          <w:sz w:val="24"/>
          <w:szCs w:val="24"/>
          <w:lang w:eastAsia="zh-CN"/>
        </w:rPr>
        <w:t>采购人</w:t>
      </w:r>
      <w:r>
        <w:rPr>
          <w:rFonts w:hint="eastAsia" w:ascii="宋体" w:hAnsi="宋体" w:eastAsia="宋体" w:cs="宋体"/>
          <w:b/>
          <w:bCs/>
          <w:color w:val="auto"/>
          <w:sz w:val="24"/>
          <w:szCs w:val="24"/>
        </w:rPr>
        <w:t>的纪律要求</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42A5509B">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采购人不得泄漏磋商活动中应当保密的情况和资料，不得与供应商串通损害国家利益、社会公共利益或者他人合法权益。</w:t>
      </w:r>
    </w:p>
    <w:p w14:paraId="22E03130">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840" w:name="_Toc455867809"/>
      <w:bookmarkStart w:id="841" w:name="_Toc3089"/>
      <w:bookmarkStart w:id="842" w:name="_Toc455080149"/>
      <w:bookmarkStart w:id="843" w:name="_Toc144974544"/>
      <w:bookmarkStart w:id="844" w:name="_Toc27698"/>
      <w:bookmarkStart w:id="845" w:name="_Toc7572"/>
      <w:bookmarkStart w:id="846" w:name="_Toc490667869"/>
      <w:bookmarkStart w:id="847" w:name="_Toc18204"/>
      <w:bookmarkStart w:id="848" w:name="_Toc19167"/>
      <w:bookmarkStart w:id="849" w:name="_Toc466298132"/>
      <w:bookmarkStart w:id="850" w:name="_Toc21646"/>
      <w:bookmarkStart w:id="851" w:name="_Toc1743"/>
      <w:bookmarkStart w:id="852" w:name="_Toc20261"/>
      <w:bookmarkStart w:id="853" w:name="_Toc17040"/>
      <w:bookmarkStart w:id="854" w:name="_Toc18604"/>
      <w:bookmarkStart w:id="855" w:name="_Toc3020"/>
      <w:bookmarkStart w:id="856" w:name="_Toc318450715"/>
      <w:bookmarkStart w:id="857" w:name="_Toc16171"/>
      <w:bookmarkStart w:id="858" w:name="_Toc152042352"/>
      <w:bookmarkStart w:id="859" w:name="_Toc152045576"/>
      <w:r>
        <w:rPr>
          <w:rFonts w:hint="eastAsia" w:ascii="宋体" w:hAnsi="宋体" w:eastAsia="宋体" w:cs="宋体"/>
          <w:b/>
          <w:bCs/>
          <w:color w:val="auto"/>
          <w:sz w:val="24"/>
          <w:szCs w:val="24"/>
        </w:rPr>
        <w:t>9.2 对供应商的纪律要求</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64823DC9">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供应商不得相互串通或者与采购人串通，不得向采购人或者磋商小组行贿谋取成交，不得以他人名义或者以其他方式弄虚作假骗取成交；供应商不得以任何方式干扰、影响评审工作。</w:t>
      </w:r>
    </w:p>
    <w:p w14:paraId="41B5F2E5">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860" w:name="_Toc152045577"/>
      <w:bookmarkStart w:id="861" w:name="_Toc25241"/>
      <w:bookmarkStart w:id="862" w:name="_Toc30334"/>
      <w:bookmarkStart w:id="863" w:name="_Toc152042353"/>
      <w:bookmarkStart w:id="864" w:name="_Toc7439"/>
      <w:bookmarkStart w:id="865" w:name="_Toc318450716"/>
      <w:bookmarkStart w:id="866" w:name="_Toc28813"/>
      <w:bookmarkStart w:id="867" w:name="_Toc12177"/>
      <w:bookmarkStart w:id="868" w:name="_Toc7107"/>
      <w:bookmarkStart w:id="869" w:name="_Toc455867810"/>
      <w:bookmarkStart w:id="870" w:name="_Toc25211"/>
      <w:bookmarkStart w:id="871" w:name="_Toc490667870"/>
      <w:bookmarkStart w:id="872" w:name="_Toc144974545"/>
      <w:bookmarkStart w:id="873" w:name="_Toc17086"/>
      <w:bookmarkStart w:id="874" w:name="_Toc466298133"/>
      <w:bookmarkStart w:id="875" w:name="_Toc31001"/>
      <w:bookmarkStart w:id="876" w:name="_Toc455080150"/>
      <w:bookmarkStart w:id="877" w:name="_Toc19965"/>
      <w:bookmarkStart w:id="878" w:name="_Toc30153"/>
      <w:bookmarkStart w:id="879" w:name="_Toc32320"/>
      <w:r>
        <w:rPr>
          <w:rFonts w:hint="eastAsia" w:ascii="宋体" w:hAnsi="宋体" w:eastAsia="宋体" w:cs="宋体"/>
          <w:b/>
          <w:bCs/>
          <w:color w:val="auto"/>
          <w:sz w:val="24"/>
          <w:szCs w:val="24"/>
        </w:rPr>
        <w:t>9.3 对磋商小组成员的纪律要求</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14:paraId="3FD889B9">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77A8B022">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color w:val="auto"/>
          <w:sz w:val="24"/>
          <w:szCs w:val="24"/>
        </w:rPr>
      </w:pPr>
      <w:bookmarkStart w:id="880" w:name="_Toc318450717"/>
      <w:bookmarkStart w:id="881" w:name="_Toc466298134"/>
      <w:bookmarkStart w:id="882" w:name="_Toc235"/>
      <w:bookmarkStart w:id="883" w:name="_Toc30691"/>
      <w:bookmarkStart w:id="884" w:name="_Toc23717"/>
      <w:bookmarkStart w:id="885" w:name="_Toc455080151"/>
      <w:bookmarkStart w:id="886" w:name="_Toc490667871"/>
      <w:bookmarkStart w:id="887" w:name="_Toc20546"/>
      <w:bookmarkStart w:id="888" w:name="_Toc7368"/>
      <w:bookmarkStart w:id="889" w:name="_Toc31979"/>
      <w:bookmarkStart w:id="890" w:name="_Toc152042354"/>
      <w:bookmarkStart w:id="891" w:name="_Toc27559"/>
      <w:bookmarkStart w:id="892" w:name="_Toc1295"/>
      <w:bookmarkStart w:id="893" w:name="_Toc24"/>
      <w:bookmarkStart w:id="894" w:name="_Toc152045578"/>
      <w:bookmarkStart w:id="895" w:name="_Toc455867811"/>
      <w:bookmarkStart w:id="896" w:name="_Toc9063"/>
      <w:bookmarkStart w:id="897" w:name="_Toc19485"/>
      <w:bookmarkStart w:id="898" w:name="_Toc26462"/>
      <w:bookmarkStart w:id="899" w:name="_Toc144974546"/>
      <w:r>
        <w:rPr>
          <w:rFonts w:hint="eastAsia" w:ascii="宋体" w:hAnsi="宋体" w:eastAsia="宋体" w:cs="宋体"/>
          <w:b/>
          <w:bCs/>
          <w:color w:val="auto"/>
          <w:sz w:val="24"/>
          <w:szCs w:val="24"/>
        </w:rPr>
        <w:t>9.4 对与评标活动有关的工作人员的纪律要求</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3BAA747">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bookmarkStart w:id="900" w:name="_Toc152042355"/>
      <w:r>
        <w:rPr>
          <w:rFonts w:hint="eastAsia" w:ascii="宋体" w:hAnsi="宋体" w:eastAsia="宋体" w:cs="宋体"/>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900"/>
    </w:p>
    <w:p w14:paraId="042228F0">
      <w:pPr>
        <w:pStyle w:val="34"/>
        <w:pageBreakBefore w:val="0"/>
        <w:kinsoku/>
        <w:wordWrap/>
        <w:overflowPunct/>
        <w:topLinePunct w:val="0"/>
        <w:bidi w:val="0"/>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01" w:name="_Toc14727"/>
      <w:bookmarkStart w:id="902" w:name="_Toc455867812"/>
      <w:bookmarkStart w:id="903" w:name="_Toc152045579"/>
      <w:bookmarkStart w:id="904" w:name="_Toc455080152"/>
      <w:bookmarkStart w:id="905" w:name="_Toc318450718"/>
      <w:bookmarkStart w:id="906" w:name="_Toc31010"/>
      <w:bookmarkStart w:id="907" w:name="_Toc1820"/>
      <w:bookmarkStart w:id="908" w:name="_Toc17735"/>
      <w:bookmarkStart w:id="909" w:name="_Toc152042356"/>
      <w:bookmarkStart w:id="910" w:name="_Toc5504"/>
      <w:bookmarkStart w:id="911" w:name="_Toc8074"/>
      <w:bookmarkStart w:id="912" w:name="_Toc25751"/>
      <w:bookmarkStart w:id="913" w:name="_Toc3617"/>
      <w:bookmarkStart w:id="914" w:name="_Toc6199"/>
      <w:bookmarkStart w:id="915" w:name="_Toc3303"/>
      <w:bookmarkStart w:id="916" w:name="_Toc32675"/>
      <w:bookmarkStart w:id="917" w:name="_Toc490667872"/>
      <w:bookmarkStart w:id="918" w:name="_Toc466298135"/>
      <w:bookmarkStart w:id="919" w:name="_Toc18060"/>
      <w:r>
        <w:rPr>
          <w:rFonts w:hint="eastAsia" w:ascii="宋体" w:hAnsi="宋体" w:eastAsia="宋体" w:cs="宋体"/>
          <w:b/>
          <w:bCs/>
          <w:color w:val="auto"/>
          <w:sz w:val="24"/>
          <w:szCs w:val="24"/>
        </w:rPr>
        <w:t>9.5 投诉</w:t>
      </w:r>
      <w:bookmarkEnd w:id="899"/>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p w14:paraId="3C2386DF">
      <w:pPr>
        <w:pageBreakBefore w:val="0"/>
        <w:kinsoku/>
        <w:wordWrap/>
        <w:overflowPunct/>
        <w:topLinePunct w:val="0"/>
        <w:bidi w:val="0"/>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供应商和其他利害关系人认为本次磋商活动违反法律、法规和规章规定的，有权向有关行政监督部门投诉。</w:t>
      </w:r>
    </w:p>
    <w:p w14:paraId="240F8270">
      <w:pPr>
        <w:pStyle w:val="31"/>
        <w:pageBreakBefore w:val="0"/>
        <w:kinsoku/>
        <w:wordWrap/>
        <w:overflowPunct/>
        <w:topLinePunct w:val="0"/>
        <w:bidi w:val="0"/>
        <w:snapToGrid/>
        <w:spacing w:before="0" w:beforeLines="0" w:after="0" w:afterLines="0" w:line="500" w:lineRule="exact"/>
        <w:textAlignment w:val="auto"/>
        <w:rPr>
          <w:rFonts w:hint="eastAsia" w:ascii="宋体" w:hAnsi="宋体" w:eastAsia="宋体" w:cs="宋体"/>
          <w:b/>
          <w:bCs/>
          <w:color w:val="auto"/>
          <w:sz w:val="24"/>
          <w:szCs w:val="24"/>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920" w:name="_Toc455080153"/>
      <w:bookmarkStart w:id="921" w:name="_Toc14221"/>
      <w:bookmarkStart w:id="922" w:name="_Toc144974547"/>
      <w:bookmarkStart w:id="923" w:name="_Toc152042357"/>
      <w:bookmarkStart w:id="924" w:name="_Toc152045580"/>
    </w:p>
    <w:p w14:paraId="690D8361">
      <w:pPr>
        <w:pStyle w:val="31"/>
        <w:pageBreakBefore w:val="0"/>
        <w:kinsoku/>
        <w:wordWrap/>
        <w:overflowPunct/>
        <w:topLinePunct w:val="0"/>
        <w:bidi w:val="0"/>
        <w:snapToGrid/>
        <w:spacing w:before="0" w:beforeLines="0" w:after="0" w:afterLines="0" w:line="500" w:lineRule="exact"/>
        <w:jc w:val="center"/>
        <w:textAlignment w:val="auto"/>
        <w:rPr>
          <w:rFonts w:hint="eastAsia" w:ascii="宋体" w:hAnsi="宋体" w:eastAsia="宋体" w:cs="宋体"/>
          <w:b/>
          <w:bCs/>
          <w:color w:val="auto"/>
          <w:sz w:val="24"/>
          <w:szCs w:val="24"/>
        </w:rPr>
      </w:pPr>
      <w:bookmarkStart w:id="925" w:name="_Toc27064"/>
      <w:r>
        <w:rPr>
          <w:rFonts w:hint="eastAsia" w:ascii="宋体" w:hAnsi="宋体" w:eastAsia="宋体" w:cs="宋体"/>
          <w:b/>
          <w:bCs/>
          <w:color w:val="auto"/>
          <w:sz w:val="24"/>
          <w:szCs w:val="24"/>
        </w:rPr>
        <w:t>10. 需要补充的其他内容</w:t>
      </w:r>
      <w:bookmarkEnd w:id="920"/>
      <w:bookmarkEnd w:id="921"/>
      <w:bookmarkEnd w:id="922"/>
      <w:bookmarkEnd w:id="923"/>
      <w:bookmarkEnd w:id="924"/>
      <w:bookmarkEnd w:id="925"/>
    </w:p>
    <w:p w14:paraId="099A6BA3">
      <w:pPr>
        <w:outlineLvl w:val="0"/>
        <w:rPr>
          <w:rFonts w:hint="eastAsia" w:ascii="宋体" w:hAnsi="宋体" w:cs="宋体"/>
          <w:b/>
          <w:color w:val="auto"/>
          <w:kern w:val="44"/>
          <w:sz w:val="28"/>
          <w:szCs w:val="28"/>
        </w:rPr>
      </w:pPr>
      <w:bookmarkStart w:id="926" w:name="_Toc455867814"/>
      <w:bookmarkStart w:id="927" w:name="_Toc455080154"/>
      <w:bookmarkStart w:id="928" w:name="_Toc466298137"/>
      <w:bookmarkStart w:id="929" w:name="_Toc144974565"/>
      <w:bookmarkStart w:id="930" w:name="_Toc152045598"/>
      <w:bookmarkStart w:id="931" w:name="_Toc152042375"/>
    </w:p>
    <w:p w14:paraId="32D8C93D">
      <w:pPr>
        <w:jc w:val="both"/>
        <w:outlineLvl w:val="0"/>
        <w:rPr>
          <w:rFonts w:hint="eastAsia" w:ascii="宋体" w:hAnsi="宋体" w:cs="宋体"/>
          <w:b w:val="0"/>
          <w:bCs/>
          <w:color w:val="auto"/>
          <w:kern w:val="44"/>
          <w:sz w:val="24"/>
          <w:szCs w:val="24"/>
        </w:rPr>
      </w:pPr>
      <w:bookmarkStart w:id="932" w:name="_Toc28866"/>
      <w:bookmarkStart w:id="933" w:name="_Toc6192"/>
      <w:r>
        <w:rPr>
          <w:rFonts w:hint="eastAsia" w:ascii="宋体" w:hAnsi="宋体" w:cs="宋体"/>
          <w:b w:val="0"/>
          <w:bCs/>
          <w:color w:val="auto"/>
          <w:kern w:val="44"/>
          <w:sz w:val="24"/>
          <w:szCs w:val="24"/>
        </w:rPr>
        <w:t>需要补充的其他内容：见供应商须知前附表。</w:t>
      </w:r>
      <w:bookmarkEnd w:id="932"/>
      <w:r>
        <w:rPr>
          <w:rFonts w:hint="eastAsia" w:ascii="宋体" w:hAnsi="宋体" w:cs="宋体"/>
          <w:b w:val="0"/>
          <w:bCs/>
          <w:color w:val="auto"/>
          <w:kern w:val="44"/>
          <w:sz w:val="24"/>
          <w:szCs w:val="24"/>
        </w:rPr>
        <w:t xml:space="preserve"> </w:t>
      </w:r>
    </w:p>
    <w:p w14:paraId="73C0D141">
      <w:pPr>
        <w:pStyle w:val="2"/>
        <w:rPr>
          <w:rFonts w:hint="eastAsia" w:ascii="宋体" w:hAnsi="宋体" w:cs="宋体"/>
          <w:b/>
          <w:color w:val="auto"/>
          <w:kern w:val="44"/>
          <w:sz w:val="32"/>
          <w:szCs w:val="32"/>
        </w:rPr>
      </w:pPr>
    </w:p>
    <w:p w14:paraId="639341F2">
      <w:pPr>
        <w:pStyle w:val="4"/>
        <w:rPr>
          <w:rFonts w:hint="eastAsia" w:ascii="宋体" w:hAnsi="宋体" w:cs="宋体"/>
          <w:b/>
          <w:color w:val="auto"/>
          <w:kern w:val="44"/>
          <w:sz w:val="32"/>
          <w:szCs w:val="32"/>
        </w:rPr>
      </w:pPr>
    </w:p>
    <w:p w14:paraId="4F86F7E3">
      <w:pPr>
        <w:rPr>
          <w:rFonts w:hint="eastAsia"/>
        </w:rPr>
      </w:pPr>
    </w:p>
    <w:p w14:paraId="16134A7F">
      <w:pPr>
        <w:jc w:val="center"/>
        <w:outlineLvl w:val="0"/>
        <w:rPr>
          <w:rFonts w:hint="eastAsia" w:ascii="宋体" w:hAnsi="宋体" w:cs="宋体"/>
          <w:b/>
          <w:color w:val="auto"/>
          <w:kern w:val="44"/>
          <w:sz w:val="32"/>
          <w:szCs w:val="32"/>
        </w:rPr>
        <w:sectPr>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1ABA8B80">
      <w:pPr>
        <w:jc w:val="center"/>
        <w:outlineLvl w:val="0"/>
        <w:rPr>
          <w:rFonts w:hint="eastAsia" w:ascii="宋体" w:hAnsi="宋体" w:cs="宋体"/>
          <w:bCs/>
          <w:color w:val="auto"/>
          <w:sz w:val="32"/>
          <w:szCs w:val="32"/>
        </w:rPr>
      </w:pPr>
      <w:bookmarkStart w:id="934" w:name="_Toc30658"/>
      <w:r>
        <w:rPr>
          <w:rFonts w:hint="eastAsia" w:ascii="宋体" w:hAnsi="宋体" w:cs="宋体"/>
          <w:b/>
          <w:color w:val="auto"/>
          <w:kern w:val="44"/>
          <w:sz w:val="32"/>
          <w:szCs w:val="32"/>
        </w:rPr>
        <w:t>第三章  评审办法（综合评分法）</w:t>
      </w:r>
      <w:bookmarkEnd w:id="926"/>
      <w:bookmarkEnd w:id="927"/>
      <w:bookmarkEnd w:id="928"/>
      <w:bookmarkEnd w:id="933"/>
      <w:bookmarkEnd w:id="934"/>
    </w:p>
    <w:bookmarkEnd w:id="929"/>
    <w:bookmarkEnd w:id="930"/>
    <w:bookmarkEnd w:id="931"/>
    <w:p w14:paraId="003E8876">
      <w:pPr>
        <w:jc w:val="center"/>
        <w:outlineLvl w:val="1"/>
        <w:rPr>
          <w:rFonts w:hint="eastAsia" w:ascii="宋体" w:hAnsi="宋体"/>
          <w:color w:val="auto"/>
          <w:sz w:val="24"/>
        </w:rPr>
      </w:pPr>
      <w:bookmarkStart w:id="935" w:name="_Toc281405527"/>
      <w:bookmarkStart w:id="936" w:name="_Toc455867816"/>
      <w:bookmarkStart w:id="937" w:name="_Toc26044"/>
      <w:bookmarkStart w:id="938" w:name="_Toc27806"/>
      <w:bookmarkStart w:id="939" w:name="_Toc152042376"/>
      <w:bookmarkStart w:id="940" w:name="_Toc455080156"/>
      <w:bookmarkStart w:id="941" w:name="_Toc9630"/>
      <w:bookmarkStart w:id="942" w:name="_Toc144974566"/>
      <w:bookmarkStart w:id="943" w:name="_Toc152045599"/>
      <w:bookmarkStart w:id="944" w:name="_Toc318450721"/>
      <w:bookmarkStart w:id="945" w:name="_Toc466298139"/>
      <w:bookmarkStart w:id="946" w:name="_Toc28069"/>
      <w:r>
        <w:rPr>
          <w:rFonts w:hint="eastAsia" w:ascii="宋体" w:hAnsi="宋体"/>
          <w:color w:val="auto"/>
          <w:sz w:val="24"/>
        </w:rPr>
        <w:t>评审办法前附表</w:t>
      </w:r>
      <w:bookmarkEnd w:id="935"/>
      <w:bookmarkEnd w:id="936"/>
      <w:bookmarkEnd w:id="937"/>
      <w:bookmarkEnd w:id="938"/>
      <w:bookmarkEnd w:id="939"/>
      <w:bookmarkEnd w:id="940"/>
      <w:bookmarkEnd w:id="941"/>
      <w:bookmarkEnd w:id="942"/>
      <w:bookmarkEnd w:id="943"/>
      <w:bookmarkEnd w:id="944"/>
      <w:bookmarkEnd w:id="945"/>
      <w:bookmarkEnd w:id="946"/>
    </w:p>
    <w:tbl>
      <w:tblPr>
        <w:tblStyle w:val="23"/>
        <w:tblW w:w="10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6"/>
        <w:gridCol w:w="1305"/>
        <w:gridCol w:w="2137"/>
        <w:gridCol w:w="5959"/>
      </w:tblGrid>
      <w:tr w14:paraId="60BC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156B4590">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3D4706A">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评审因素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78EADF1">
            <w:pPr>
              <w:spacing w:line="460" w:lineRule="exact"/>
              <w:jc w:val="center"/>
              <w:rPr>
                <w:rFonts w:hint="eastAsia" w:ascii="宋体" w:hAnsi="宋体" w:eastAsia="宋体" w:cs="宋体"/>
                <w:b/>
                <w:bCs w:val="0"/>
                <w:sz w:val="24"/>
                <w:szCs w:val="24"/>
              </w:rPr>
            </w:pPr>
            <w:r>
              <w:rPr>
                <w:rFonts w:hint="eastAsia" w:ascii="宋体" w:hAnsi="宋体" w:eastAsia="宋体" w:cs="宋体"/>
                <w:b/>
                <w:bCs w:val="0"/>
                <w:sz w:val="24"/>
                <w:szCs w:val="24"/>
              </w:rPr>
              <w:t>评审标准</w:t>
            </w:r>
          </w:p>
        </w:tc>
      </w:tr>
      <w:tr w14:paraId="7D74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6C9615B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2.1.1</w:t>
            </w:r>
          </w:p>
        </w:tc>
        <w:tc>
          <w:tcPr>
            <w:tcW w:w="1305" w:type="dxa"/>
            <w:vMerge w:val="restart"/>
            <w:tcBorders>
              <w:top w:val="single" w:color="000000" w:sz="4" w:space="0"/>
              <w:left w:val="single" w:color="auto" w:sz="4" w:space="0"/>
              <w:right w:val="single" w:color="000000" w:sz="4" w:space="0"/>
            </w:tcBorders>
            <w:noWrap w:val="0"/>
            <w:vAlign w:val="center"/>
          </w:tcPr>
          <w:p w14:paraId="2CA81D1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资格</w:t>
            </w:r>
          </w:p>
          <w:p w14:paraId="52DE727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sz w:val="24"/>
                <w:szCs w:val="24"/>
              </w:rPr>
              <w:t>评审标准</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0E89C17">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3B8E6D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143B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1FB6C23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7C126D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1A31C3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14:paraId="039F9FF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b/>
                <w:bCs/>
                <w:color w:val="auto"/>
                <w:sz w:val="24"/>
                <w:szCs w:val="24"/>
                <w:lang w:val="zh-CN"/>
              </w:rPr>
              <w:t>（专门面向中小企业适用）</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F537AC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070E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146" w:type="dxa"/>
            <w:vMerge w:val="continue"/>
            <w:tcBorders>
              <w:left w:val="single" w:color="000000" w:sz="4" w:space="0"/>
              <w:right w:val="single" w:color="auto" w:sz="4" w:space="0"/>
            </w:tcBorders>
            <w:noWrap w:val="0"/>
            <w:vAlign w:val="center"/>
          </w:tcPr>
          <w:p w14:paraId="19131B5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093639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1FCA7BD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p w14:paraId="5BA8EC5C">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（如有）</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3CC5193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589C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00E26D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3D759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92D51B5">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BF579A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kern w:val="2"/>
                <w:sz w:val="24"/>
                <w:szCs w:val="24"/>
                <w:lang w:val="en-US" w:eastAsia="zh-CN" w:bidi="ar-SA"/>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14:paraId="0DE0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2DA81CF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617072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E42E19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kern w:val="0"/>
                <w:sz w:val="24"/>
                <w:szCs w:val="24"/>
                <w:lang w:val="en-US" w:eastAsia="zh-CN"/>
              </w:rPr>
              <w:t>标书雷同性分析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2137628">
            <w:pPr>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kern w:val="2"/>
                <w:sz w:val="24"/>
                <w:szCs w:val="24"/>
                <w:lang w:val="en-US" w:eastAsia="zh-CN" w:bidi="ar-SA"/>
              </w:rPr>
            </w:pPr>
            <w:r>
              <w:rPr>
                <w:rFonts w:hint="eastAsia" w:ascii="宋体" w:hAnsi="宋体" w:eastAsia="宋体" w:cs="宋体"/>
                <w:b/>
                <w:bCs/>
                <w:sz w:val="24"/>
                <w:szCs w:val="24"/>
                <w:lang w:val="en-US" w:eastAsia="zh-CN"/>
              </w:rPr>
              <w:t>文件制作机器码、文件创建标识码有相同的按废标处理。</w:t>
            </w:r>
          </w:p>
        </w:tc>
      </w:tr>
      <w:tr w14:paraId="248B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142DEF1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45A8DA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8096" w:type="dxa"/>
            <w:gridSpan w:val="2"/>
            <w:tcBorders>
              <w:top w:val="single" w:color="000000" w:sz="4" w:space="0"/>
              <w:left w:val="single" w:color="000000" w:sz="4" w:space="0"/>
              <w:bottom w:val="single" w:color="000000" w:sz="4" w:space="0"/>
              <w:right w:val="single" w:color="000000" w:sz="4" w:space="0"/>
            </w:tcBorders>
            <w:noWrap w:val="0"/>
            <w:vAlign w:val="center"/>
          </w:tcPr>
          <w:p w14:paraId="7694395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注：</w:t>
            </w:r>
            <w:r>
              <w:rPr>
                <w:rFonts w:hint="eastAsia" w:ascii="宋体" w:hAnsi="宋体" w:eastAsia="宋体" w:cs="宋体"/>
                <w:b/>
                <w:sz w:val="24"/>
                <w:szCs w:val="24"/>
                <w:lang w:eastAsia="zh-CN"/>
              </w:rPr>
              <w:t>响应</w:t>
            </w:r>
            <w:r>
              <w:rPr>
                <w:rFonts w:hint="eastAsia" w:ascii="宋体" w:hAnsi="宋体" w:eastAsia="宋体" w:cs="宋体"/>
                <w:b/>
                <w:sz w:val="24"/>
                <w:szCs w:val="24"/>
              </w:rPr>
              <w:t>文件中附原件扫描件，资料不全或不合格者视为未通过资格审查</w:t>
            </w:r>
          </w:p>
        </w:tc>
      </w:tr>
      <w:tr w14:paraId="131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146" w:type="dxa"/>
            <w:vMerge w:val="restart"/>
            <w:tcBorders>
              <w:top w:val="single" w:color="000000" w:sz="4" w:space="0"/>
              <w:left w:val="single" w:color="000000" w:sz="4" w:space="0"/>
              <w:right w:val="single" w:color="auto" w:sz="4" w:space="0"/>
            </w:tcBorders>
            <w:noWrap w:val="0"/>
            <w:vAlign w:val="center"/>
          </w:tcPr>
          <w:p w14:paraId="69E9906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2.1.2</w:t>
            </w:r>
          </w:p>
          <w:p w14:paraId="293938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restart"/>
            <w:tcBorders>
              <w:top w:val="single" w:color="000000" w:sz="4" w:space="0"/>
              <w:left w:val="single" w:color="auto" w:sz="4" w:space="0"/>
              <w:right w:val="single" w:color="000000" w:sz="4" w:space="0"/>
            </w:tcBorders>
            <w:noWrap w:val="0"/>
            <w:vAlign w:val="center"/>
          </w:tcPr>
          <w:p w14:paraId="7B8806E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符合性</w:t>
            </w:r>
          </w:p>
          <w:p w14:paraId="5C64C8E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评审标准</w:t>
            </w:r>
          </w:p>
          <w:p w14:paraId="12761B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p w14:paraId="3D98C7EC">
            <w:pPr>
              <w:keepNext w:val="0"/>
              <w:keepLines w:val="0"/>
              <w:pageBreakBefore w:val="0"/>
              <w:widowControl w:val="0"/>
              <w:kinsoku/>
              <w:wordWrap/>
              <w:overflowPunct/>
              <w:topLinePunct w:val="0"/>
              <w:autoSpaceDE/>
              <w:autoSpaceDN/>
              <w:bidi w:val="0"/>
              <w:adjustRightInd/>
              <w:snapToGrid/>
              <w:spacing w:line="500" w:lineRule="exact"/>
              <w:ind w:left="0" w:leftChars="0" w:firstLine="241" w:firstLineChars="100"/>
              <w:jc w:val="both"/>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746E9B3">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名称</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7051606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与营业执照一致</w:t>
            </w:r>
          </w:p>
        </w:tc>
      </w:tr>
      <w:tr w14:paraId="095F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1146" w:type="dxa"/>
            <w:vMerge w:val="continue"/>
            <w:tcBorders>
              <w:left w:val="single" w:color="000000" w:sz="4" w:space="0"/>
              <w:right w:val="single" w:color="auto" w:sz="4" w:space="0"/>
            </w:tcBorders>
            <w:noWrap w:val="0"/>
            <w:vAlign w:val="center"/>
          </w:tcPr>
          <w:p w14:paraId="52E2B92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9AA57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4FF1E0F">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响应内容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490258A">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14:paraId="40C8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1146" w:type="dxa"/>
            <w:vMerge w:val="continue"/>
            <w:tcBorders>
              <w:left w:val="single" w:color="000000" w:sz="4" w:space="0"/>
              <w:right w:val="single" w:color="auto" w:sz="4" w:space="0"/>
            </w:tcBorders>
            <w:noWrap w:val="0"/>
            <w:vAlign w:val="center"/>
          </w:tcPr>
          <w:p w14:paraId="6BF2345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2A4408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3F787A8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文件签字盖章</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70D212B">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14:paraId="31A4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1146" w:type="dxa"/>
            <w:vMerge w:val="continue"/>
            <w:tcBorders>
              <w:left w:val="single" w:color="000000" w:sz="4" w:space="0"/>
              <w:right w:val="single" w:color="auto" w:sz="4" w:space="0"/>
            </w:tcBorders>
            <w:noWrap w:val="0"/>
            <w:vAlign w:val="center"/>
          </w:tcPr>
          <w:p w14:paraId="41C2CF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1FD5C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1B263F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质量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67F5A23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1.4.2</w:t>
            </w:r>
            <w:r>
              <w:rPr>
                <w:rFonts w:hint="eastAsia" w:ascii="宋体" w:hAnsi="宋体" w:eastAsia="宋体" w:cs="宋体"/>
                <w:color w:val="000000"/>
                <w:sz w:val="24"/>
                <w:szCs w:val="24"/>
              </w:rPr>
              <w:t>项规定</w:t>
            </w:r>
          </w:p>
        </w:tc>
      </w:tr>
      <w:tr w14:paraId="1C80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46" w:type="dxa"/>
            <w:vMerge w:val="continue"/>
            <w:tcBorders>
              <w:left w:val="single" w:color="000000" w:sz="4" w:space="0"/>
              <w:right w:val="single" w:color="auto" w:sz="4" w:space="0"/>
            </w:tcBorders>
            <w:noWrap w:val="0"/>
            <w:vAlign w:val="center"/>
          </w:tcPr>
          <w:p w14:paraId="5DB659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6C5F3C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35A943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服务期限</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245E08E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1.4.3</w:t>
            </w:r>
            <w:r>
              <w:rPr>
                <w:rFonts w:hint="eastAsia" w:ascii="宋体" w:hAnsi="宋体" w:eastAsia="宋体" w:cs="宋体"/>
                <w:color w:val="000000"/>
                <w:sz w:val="24"/>
                <w:szCs w:val="24"/>
              </w:rPr>
              <w:t>项规定</w:t>
            </w:r>
          </w:p>
        </w:tc>
      </w:tr>
      <w:tr w14:paraId="4DB9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1146" w:type="dxa"/>
            <w:vMerge w:val="continue"/>
            <w:tcBorders>
              <w:left w:val="single" w:color="000000" w:sz="4" w:space="0"/>
              <w:right w:val="single" w:color="auto" w:sz="4" w:space="0"/>
            </w:tcBorders>
            <w:noWrap w:val="0"/>
            <w:vAlign w:val="center"/>
          </w:tcPr>
          <w:p w14:paraId="6B60E1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right w:val="single" w:color="000000" w:sz="4" w:space="0"/>
            </w:tcBorders>
            <w:noWrap w:val="0"/>
            <w:vAlign w:val="center"/>
          </w:tcPr>
          <w:p w14:paraId="32EE3BD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7CE49EB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付款方式</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4FA61EBE">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1.4.5</w:t>
            </w:r>
            <w:r>
              <w:rPr>
                <w:rFonts w:hint="eastAsia" w:ascii="宋体" w:hAnsi="宋体" w:eastAsia="宋体" w:cs="宋体"/>
                <w:color w:val="000000"/>
                <w:sz w:val="24"/>
                <w:szCs w:val="24"/>
              </w:rPr>
              <w:t>项规定</w:t>
            </w:r>
          </w:p>
        </w:tc>
      </w:tr>
      <w:tr w14:paraId="56B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36C9B3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133EDC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5BE83C96">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磋商</w:t>
            </w:r>
            <w:r>
              <w:rPr>
                <w:rFonts w:hint="eastAsia" w:ascii="宋体" w:hAnsi="宋体" w:eastAsia="宋体" w:cs="宋体"/>
                <w:color w:val="000000"/>
                <w:sz w:val="24"/>
                <w:szCs w:val="24"/>
              </w:rPr>
              <w:t>有效期</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5FB436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3.3.1</w:t>
            </w:r>
            <w:r>
              <w:rPr>
                <w:rFonts w:hint="eastAsia" w:ascii="宋体" w:hAnsi="宋体" w:eastAsia="宋体" w:cs="宋体"/>
                <w:color w:val="000000"/>
                <w:sz w:val="24"/>
                <w:szCs w:val="24"/>
              </w:rPr>
              <w:t>项规定</w:t>
            </w:r>
          </w:p>
        </w:tc>
      </w:tr>
      <w:tr w14:paraId="39EA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6CFB91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55E83F7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4D51BA5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报价唯一</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589FA01">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只有一个有效报价</w:t>
            </w:r>
          </w:p>
        </w:tc>
      </w:tr>
      <w:tr w14:paraId="7C15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56AA20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2BD6340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9F3D079">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1A7C1BA4">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报价</w:t>
            </w:r>
            <w:r>
              <w:rPr>
                <w:rFonts w:hint="eastAsia" w:ascii="宋体" w:hAnsi="宋体" w:eastAsia="宋体" w:cs="宋体"/>
                <w:color w:val="000000"/>
                <w:sz w:val="24"/>
                <w:szCs w:val="24"/>
                <w:lang w:eastAsia="zh-CN"/>
              </w:rPr>
              <w:t>均</w:t>
            </w:r>
            <w:r>
              <w:rPr>
                <w:rFonts w:hint="eastAsia" w:ascii="宋体" w:hAnsi="宋体" w:eastAsia="宋体" w:cs="宋体"/>
                <w:color w:val="000000"/>
                <w:sz w:val="24"/>
                <w:szCs w:val="24"/>
              </w:rPr>
              <w:t>不超过</w:t>
            </w:r>
            <w:r>
              <w:rPr>
                <w:rFonts w:hint="eastAsia" w:ascii="宋体" w:hAnsi="宋体" w:eastAsia="宋体" w:cs="宋体"/>
                <w:color w:val="000000"/>
                <w:sz w:val="24"/>
                <w:szCs w:val="24"/>
                <w:lang w:eastAsia="zh-CN"/>
              </w:rPr>
              <w:t>采购预算价</w:t>
            </w:r>
          </w:p>
        </w:tc>
      </w:tr>
      <w:tr w14:paraId="1946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146" w:type="dxa"/>
            <w:vMerge w:val="continue"/>
            <w:tcBorders>
              <w:left w:val="single" w:color="000000" w:sz="4" w:space="0"/>
              <w:bottom w:val="single" w:color="000000" w:sz="4" w:space="0"/>
              <w:right w:val="single" w:color="auto" w:sz="4" w:space="0"/>
            </w:tcBorders>
            <w:noWrap w:val="0"/>
            <w:vAlign w:val="center"/>
          </w:tcPr>
          <w:p w14:paraId="7514ED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1305" w:type="dxa"/>
            <w:vMerge w:val="continue"/>
            <w:tcBorders>
              <w:left w:val="single" w:color="auto" w:sz="4" w:space="0"/>
              <w:bottom w:val="single" w:color="000000" w:sz="4" w:space="0"/>
              <w:right w:val="single" w:color="000000" w:sz="4" w:space="0"/>
            </w:tcBorders>
            <w:noWrap w:val="0"/>
            <w:vAlign w:val="center"/>
          </w:tcPr>
          <w:p w14:paraId="016B2C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6EA2DD8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其他要求</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3DF7DE8">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符合</w:t>
            </w:r>
            <w:r>
              <w:rPr>
                <w:rFonts w:hint="eastAsia" w:ascii="宋体" w:hAnsi="宋体" w:eastAsia="宋体" w:cs="宋体"/>
                <w:color w:val="000000"/>
                <w:sz w:val="24"/>
                <w:szCs w:val="24"/>
                <w:lang w:eastAsia="zh-CN"/>
              </w:rPr>
              <w:t>磋商文件</w:t>
            </w:r>
            <w:r>
              <w:rPr>
                <w:rFonts w:hint="eastAsia" w:ascii="宋体" w:hAnsi="宋体" w:eastAsia="宋体" w:cs="宋体"/>
                <w:color w:val="000000"/>
                <w:sz w:val="24"/>
                <w:szCs w:val="24"/>
              </w:rPr>
              <w:t>规定</w:t>
            </w:r>
          </w:p>
        </w:tc>
      </w:tr>
      <w:tr w14:paraId="2A3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3E7C93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005A4E5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条款内容</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58AE9F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编列内容</w:t>
            </w:r>
          </w:p>
        </w:tc>
      </w:tr>
      <w:tr w14:paraId="470C8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0" w:hRule="atLeast"/>
          <w:jc w:val="center"/>
        </w:trPr>
        <w:tc>
          <w:tcPr>
            <w:tcW w:w="2451" w:type="dxa"/>
            <w:gridSpan w:val="2"/>
            <w:tcBorders>
              <w:top w:val="single" w:color="000000" w:sz="4" w:space="0"/>
              <w:left w:val="single" w:color="000000" w:sz="4" w:space="0"/>
              <w:bottom w:val="single" w:color="000000" w:sz="4" w:space="0"/>
              <w:right w:val="single" w:color="000000" w:sz="4" w:space="0"/>
            </w:tcBorders>
            <w:noWrap w:val="0"/>
            <w:vAlign w:val="center"/>
          </w:tcPr>
          <w:p w14:paraId="08CD8EB1">
            <w:pPr>
              <w:keepNext w:val="0"/>
              <w:keepLines w:val="0"/>
              <w:pageBreakBefore w:val="0"/>
              <w:widowControl w:val="0"/>
              <w:kinsoku/>
              <w:wordWrap/>
              <w:overflowPunct/>
              <w:topLinePunct w:val="0"/>
              <w:autoSpaceDE/>
              <w:autoSpaceDN/>
              <w:bidi w:val="0"/>
              <w:adjustRightInd/>
              <w:snapToGrid/>
              <w:spacing w:line="500" w:lineRule="exact"/>
              <w:ind w:firstLine="964" w:firstLineChars="400"/>
              <w:jc w:val="both"/>
              <w:textAlignment w:val="auto"/>
              <w:rPr>
                <w:rFonts w:hint="eastAsia" w:ascii="宋体" w:hAnsi="宋体" w:eastAsia="宋体" w:cs="宋体"/>
                <w:b/>
                <w:sz w:val="24"/>
                <w:szCs w:val="24"/>
              </w:rPr>
            </w:pPr>
            <w:r>
              <w:rPr>
                <w:rFonts w:hint="eastAsia" w:ascii="宋体" w:hAnsi="宋体" w:eastAsia="宋体" w:cs="宋体"/>
                <w:b/>
                <w:sz w:val="24"/>
                <w:szCs w:val="24"/>
              </w:rPr>
              <w:t>2.2.1</w:t>
            </w:r>
          </w:p>
        </w:tc>
        <w:tc>
          <w:tcPr>
            <w:tcW w:w="2137" w:type="dxa"/>
            <w:tcBorders>
              <w:top w:val="single" w:color="000000" w:sz="4" w:space="0"/>
              <w:left w:val="single" w:color="000000" w:sz="4" w:space="0"/>
              <w:bottom w:val="single" w:color="000000" w:sz="4" w:space="0"/>
              <w:right w:val="single" w:color="000000" w:sz="4" w:space="0"/>
            </w:tcBorders>
            <w:noWrap w:val="0"/>
            <w:vAlign w:val="center"/>
          </w:tcPr>
          <w:p w14:paraId="239924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p w14:paraId="086CE6C5">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both"/>
              <w:textAlignment w:val="auto"/>
              <w:rPr>
                <w:rFonts w:hint="eastAsia" w:ascii="宋体" w:hAnsi="宋体" w:eastAsia="宋体" w:cs="宋体"/>
                <w:b/>
                <w:sz w:val="24"/>
                <w:szCs w:val="24"/>
              </w:rPr>
            </w:pPr>
            <w:r>
              <w:rPr>
                <w:rFonts w:hint="eastAsia" w:ascii="宋体" w:hAnsi="宋体" w:eastAsia="宋体" w:cs="宋体"/>
                <w:color w:val="000000"/>
                <w:sz w:val="24"/>
                <w:szCs w:val="24"/>
              </w:rPr>
              <w:t>（总分100分）</w:t>
            </w:r>
          </w:p>
        </w:tc>
        <w:tc>
          <w:tcPr>
            <w:tcW w:w="5959" w:type="dxa"/>
            <w:tcBorders>
              <w:top w:val="single" w:color="000000" w:sz="4" w:space="0"/>
              <w:left w:val="single" w:color="000000" w:sz="4" w:space="0"/>
              <w:bottom w:val="single" w:color="000000" w:sz="4" w:space="0"/>
              <w:right w:val="single" w:color="000000" w:sz="4" w:space="0"/>
            </w:tcBorders>
            <w:noWrap w:val="0"/>
            <w:vAlign w:val="center"/>
          </w:tcPr>
          <w:p w14:paraId="0F8EE77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商务</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20  </w:t>
            </w:r>
            <w:r>
              <w:rPr>
                <w:rFonts w:hint="eastAsia" w:ascii="宋体" w:hAnsi="宋体" w:eastAsia="宋体" w:cs="宋体"/>
                <w:color w:val="000000"/>
                <w:sz w:val="24"/>
                <w:szCs w:val="24"/>
              </w:rPr>
              <w:t>分</w:t>
            </w:r>
          </w:p>
          <w:p w14:paraId="0564775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技术</w:t>
            </w:r>
            <w:r>
              <w:rPr>
                <w:rFonts w:hint="eastAsia" w:ascii="宋体" w:hAnsi="宋体" w:eastAsia="宋体" w:cs="宋体"/>
                <w:color w:val="000000"/>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30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14:paraId="5BCD6D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sz w:val="24"/>
                <w:szCs w:val="24"/>
              </w:rPr>
            </w:pPr>
            <w:r>
              <w:rPr>
                <w:rFonts w:hint="eastAsia" w:ascii="宋体" w:hAnsi="宋体" w:eastAsia="宋体" w:cs="宋体"/>
                <w:sz w:val="24"/>
                <w:szCs w:val="24"/>
              </w:rPr>
              <w:t>综合</w:t>
            </w:r>
            <w:r>
              <w:rPr>
                <w:rFonts w:hint="eastAsia" w:ascii="宋体" w:hAnsi="宋体" w:eastAsia="宋体" w:cs="宋体"/>
                <w:sz w:val="24"/>
                <w:szCs w:val="24"/>
                <w:lang w:eastAsia="zh-CN"/>
              </w:rPr>
              <w:t>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50</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分</w:t>
            </w:r>
          </w:p>
        </w:tc>
      </w:tr>
      <w:tr w14:paraId="13A8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2451" w:type="dxa"/>
            <w:gridSpan w:val="2"/>
            <w:tcBorders>
              <w:top w:val="single" w:color="000000" w:sz="4" w:space="0"/>
              <w:left w:val="single" w:color="000000" w:sz="4" w:space="0"/>
              <w:bottom w:val="single" w:color="000000" w:sz="4" w:space="0"/>
              <w:right w:val="single" w:color="auto" w:sz="4" w:space="0"/>
            </w:tcBorders>
            <w:noWrap w:val="0"/>
            <w:vAlign w:val="center"/>
          </w:tcPr>
          <w:p w14:paraId="4497603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条款号</w:t>
            </w:r>
          </w:p>
        </w:tc>
        <w:tc>
          <w:tcPr>
            <w:tcW w:w="2137" w:type="dxa"/>
            <w:tcBorders>
              <w:top w:val="single" w:color="000000" w:sz="4" w:space="0"/>
              <w:left w:val="single" w:color="auto" w:sz="4" w:space="0"/>
              <w:bottom w:val="single" w:color="000000" w:sz="4" w:space="0"/>
              <w:right w:val="single" w:color="auto" w:sz="4" w:space="0"/>
            </w:tcBorders>
            <w:noWrap w:val="0"/>
            <w:vAlign w:val="center"/>
          </w:tcPr>
          <w:p w14:paraId="70A3549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rPr>
              <w:t>评分因素</w:t>
            </w:r>
          </w:p>
        </w:tc>
        <w:tc>
          <w:tcPr>
            <w:tcW w:w="5959" w:type="dxa"/>
            <w:tcBorders>
              <w:top w:val="single" w:color="000000" w:sz="4" w:space="0"/>
              <w:left w:val="single" w:color="auto" w:sz="4" w:space="0"/>
              <w:bottom w:val="single" w:color="000000" w:sz="4" w:space="0"/>
              <w:right w:val="single" w:color="000000" w:sz="4" w:space="0"/>
            </w:tcBorders>
            <w:noWrap w:val="0"/>
            <w:vAlign w:val="center"/>
          </w:tcPr>
          <w:p w14:paraId="2494350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评审标准</w:t>
            </w:r>
          </w:p>
        </w:tc>
      </w:tr>
      <w:tr w14:paraId="17D6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9" w:hRule="atLeast"/>
          <w:jc w:val="center"/>
        </w:trPr>
        <w:tc>
          <w:tcPr>
            <w:tcW w:w="1146" w:type="dxa"/>
            <w:tcBorders>
              <w:top w:val="single" w:color="000000" w:sz="4" w:space="0"/>
              <w:left w:val="single" w:color="000000" w:sz="4" w:space="0"/>
              <w:right w:val="single" w:color="000000" w:sz="4" w:space="0"/>
            </w:tcBorders>
            <w:noWrap w:val="0"/>
            <w:vAlign w:val="center"/>
          </w:tcPr>
          <w:p w14:paraId="3235968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44370AE5">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w:t>
            </w:r>
          </w:p>
          <w:p w14:paraId="4CBF9B8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p>
        </w:tc>
        <w:tc>
          <w:tcPr>
            <w:tcW w:w="1305" w:type="dxa"/>
            <w:tcBorders>
              <w:top w:val="single" w:color="000000" w:sz="4" w:space="0"/>
              <w:left w:val="single" w:color="000000" w:sz="4" w:space="0"/>
              <w:right w:val="single" w:color="auto" w:sz="4" w:space="0"/>
            </w:tcBorders>
            <w:noWrap w:val="0"/>
            <w:vAlign w:val="center"/>
          </w:tcPr>
          <w:p w14:paraId="5EC9D59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商务标</w:t>
            </w:r>
          </w:p>
          <w:p w14:paraId="4095530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5C21213D">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792EC25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磋商报价</w:t>
            </w:r>
          </w:p>
          <w:p w14:paraId="4782F5E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1A13EAD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价格分统一采用低价优先法计算，即满足磋商文件要求且最后报价最低的供应商的价格为磋商基准价，其价格分为满分。其他供应商的价格分统一按照下列公式计算：</w:t>
            </w:r>
          </w:p>
          <w:p w14:paraId="1E73BCD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磋商报价得分=（磋商基准价/最后磋商报价）×20</w:t>
            </w:r>
          </w:p>
          <w:p w14:paraId="10E06F1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项目评审过程中，不得去掉最后报价中的最高报价和最低报价。</w:t>
            </w:r>
          </w:p>
          <w:p w14:paraId="2C98D04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价格分计算保留小数点后二位；</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超过磋商最高限价的磋商报价采购人不予接受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rPr>
              <w:t>按无效响应处理。</w:t>
            </w:r>
          </w:p>
          <w:p w14:paraId="48CCAF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ascii="宋体" w:hAnsi="宋体" w:eastAsia="宋体" w:cs="宋体"/>
                <w:b/>
                <w:bCs/>
                <w:sz w:val="24"/>
                <w:szCs w:val="24"/>
                <w:highlight w:val="none"/>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rFonts w:hint="eastAsia" w:ascii="宋体" w:hAnsi="宋体" w:eastAsia="宋体" w:cs="宋体"/>
                <w:color w:val="auto"/>
                <w:sz w:val="24"/>
                <w:szCs w:val="24"/>
                <w:lang w:eastAsia="zh-CN"/>
              </w:rPr>
              <w:t>磋商小组</w:t>
            </w:r>
            <w:r>
              <w:rPr>
                <w:rFonts w:hint="eastAsia" w:ascii="宋体" w:hAnsi="宋体" w:eastAsia="宋体" w:cs="宋体"/>
                <w:color w:val="auto"/>
                <w:sz w:val="24"/>
                <w:szCs w:val="24"/>
              </w:rPr>
              <w:t>应当将其作为无效投标处理。</w:t>
            </w:r>
          </w:p>
        </w:tc>
      </w:tr>
      <w:tr w14:paraId="084E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4CCDD0A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2.2.2</w:t>
            </w:r>
          </w:p>
          <w:p w14:paraId="6BB1F1B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p>
        </w:tc>
        <w:tc>
          <w:tcPr>
            <w:tcW w:w="1305" w:type="dxa"/>
            <w:vMerge w:val="restart"/>
            <w:tcBorders>
              <w:top w:val="single" w:color="000000" w:sz="4" w:space="0"/>
              <w:left w:val="single" w:color="000000" w:sz="4" w:space="0"/>
              <w:right w:val="single" w:color="auto" w:sz="4" w:space="0"/>
            </w:tcBorders>
            <w:noWrap w:val="0"/>
            <w:vAlign w:val="center"/>
          </w:tcPr>
          <w:p w14:paraId="0C66B9B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技术标</w:t>
            </w:r>
          </w:p>
          <w:p w14:paraId="2C853BC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评分标准</w:t>
            </w:r>
          </w:p>
          <w:p w14:paraId="0E991E50">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2137" w:type="dxa"/>
            <w:tcBorders>
              <w:top w:val="single" w:color="000000" w:sz="4" w:space="0"/>
              <w:left w:val="single" w:color="auto" w:sz="4" w:space="0"/>
              <w:bottom w:val="single" w:color="auto" w:sz="4" w:space="0"/>
              <w:right w:val="single" w:color="auto" w:sz="4" w:space="0"/>
            </w:tcBorders>
            <w:noWrap w:val="0"/>
            <w:vAlign w:val="center"/>
          </w:tcPr>
          <w:p w14:paraId="0FA0D3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服务内容</w:t>
            </w:r>
          </w:p>
          <w:p w14:paraId="3439107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响应程度</w:t>
            </w:r>
          </w:p>
          <w:p w14:paraId="77216B5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noWrap w:val="0"/>
            <w:vAlign w:val="center"/>
          </w:tcPr>
          <w:p w14:paraId="04B5B6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highlight w:val="none"/>
                <w:lang w:val="en-US" w:eastAsia="zh-CN"/>
              </w:rPr>
            </w:pPr>
            <w:r>
              <w:rPr>
                <w:rFonts w:hint="eastAsia" w:ascii="宋体" w:hAnsi="宋体" w:cs="宋体"/>
                <w:bCs/>
                <w:color w:val="auto"/>
                <w:kern w:val="2"/>
                <w:sz w:val="24"/>
                <w:szCs w:val="24"/>
                <w:highlight w:val="none"/>
                <w:lang w:val="en-US" w:eastAsia="zh-CN" w:bidi="ar-SA"/>
              </w:rPr>
              <w:t>根据供应商对“第五章 采购需求”中服务内容的响应，完全满足的得10分；每有一项负偏差的扣2分；扣完为止。</w:t>
            </w:r>
          </w:p>
        </w:tc>
      </w:tr>
      <w:tr w14:paraId="519F1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BB86807">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p>
        </w:tc>
        <w:tc>
          <w:tcPr>
            <w:tcW w:w="1305" w:type="dxa"/>
            <w:vMerge w:val="continue"/>
            <w:tcBorders>
              <w:left w:val="single" w:color="000000" w:sz="4" w:space="0"/>
              <w:right w:val="single" w:color="auto" w:sz="4" w:space="0"/>
            </w:tcBorders>
            <w:noWrap w:val="0"/>
            <w:vAlign w:val="center"/>
          </w:tcPr>
          <w:p w14:paraId="695037FA">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30A43A5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ascii="宋体" w:hAnsi="宋体" w:eastAsia="宋体" w:cs="宋体"/>
                <w:sz w:val="24"/>
                <w:szCs w:val="24"/>
              </w:rPr>
              <w:t>对</w:t>
            </w:r>
            <w:r>
              <w:rPr>
                <w:rFonts w:hint="eastAsia" w:ascii="宋体" w:hAnsi="宋体" w:eastAsia="宋体" w:cs="宋体"/>
                <w:sz w:val="24"/>
                <w:szCs w:val="24"/>
                <w:lang w:eastAsia="zh-CN"/>
              </w:rPr>
              <w:t>本项目的理解和总体设计思路</w:t>
            </w:r>
          </w:p>
          <w:p w14:paraId="026BD64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Theme="minorHAnsi" w:hAnsiTheme="minorHAnsi" w:eastAsiaTheme="minorEastAsia" w:cstheme="minorBidi"/>
                <w:kern w:val="2"/>
                <w:sz w:val="21"/>
                <w:szCs w:val="22"/>
                <w:lang w:val="en-US" w:eastAsia="zh-CN" w:bidi="ar-SA"/>
              </w:rPr>
            </w:pPr>
            <w:r>
              <w:rPr>
                <w:rFonts w:ascii="宋体" w:hAnsi="宋体" w:eastAsia="宋体" w:cs="宋体"/>
                <w:sz w:val="24"/>
                <w:szCs w:val="24"/>
              </w:rPr>
              <w:t>（</w:t>
            </w:r>
            <w:r>
              <w:rPr>
                <w:rFonts w:hint="eastAsia" w:ascii="宋体" w:hAnsi="宋体" w:eastAsia="宋体" w:cs="宋体"/>
                <w:sz w:val="24"/>
                <w:szCs w:val="24"/>
                <w:lang w:val="en-US" w:eastAsia="zh-CN"/>
              </w:rPr>
              <w:t>5</w:t>
            </w:r>
            <w:r>
              <w:rPr>
                <w:rFonts w:ascii="宋体" w:hAnsi="宋体" w:eastAsia="宋体" w:cs="宋体"/>
                <w:sz w:val="24"/>
                <w:szCs w:val="24"/>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79D96410">
            <w:pPr>
              <w:keepNext w:val="0"/>
              <w:keepLines w:val="0"/>
              <w:pageBreakBefore w:val="0"/>
              <w:widowControl w:val="0"/>
              <w:numPr>
                <w:ilvl w:val="0"/>
                <w:numId w:val="1"/>
              </w:numPr>
              <w:kinsoku/>
              <w:wordWrap/>
              <w:overflowPunct/>
              <w:topLinePunct w:val="0"/>
              <w:bidi w:val="0"/>
              <w:adjustRightInd/>
              <w:snapToGrid/>
              <w:spacing w:line="5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磋商小组根据供应商针对本项目的理解和总体设计思路的解读</w:t>
            </w:r>
            <w:r>
              <w:rPr>
                <w:rFonts w:hint="eastAsia" w:ascii="宋体" w:hAnsi="宋体" w:eastAsia="宋体" w:cs="宋体"/>
                <w:color w:val="000000"/>
                <w:kern w:val="2"/>
                <w:sz w:val="24"/>
                <w:szCs w:val="24"/>
                <w:highlight w:val="none"/>
                <w:lang w:val="en-US" w:eastAsia="zh-CN" w:bidi="ar-SA"/>
              </w:rPr>
              <w:t>进行综合打分：</w:t>
            </w:r>
          </w:p>
          <w:p w14:paraId="205FA40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eastAsia="宋体" w:cs="宋体"/>
                <w:b w:val="0"/>
                <w:bCs w:val="0"/>
                <w:color w:val="auto"/>
                <w:sz w:val="24"/>
                <w:highlight w:val="none"/>
              </w:rPr>
              <w:t>①</w:t>
            </w:r>
            <w:r>
              <w:rPr>
                <w:rFonts w:ascii="宋体" w:hAnsi="宋体" w:eastAsia="宋体" w:cs="宋体"/>
                <w:sz w:val="24"/>
                <w:szCs w:val="24"/>
              </w:rPr>
              <w:t>解读全面、描述清晰完整、匹配本项目采购</w:t>
            </w:r>
            <w:r>
              <w:rPr>
                <w:rFonts w:hint="eastAsia" w:ascii="宋体" w:hAnsi="宋体" w:eastAsia="宋体" w:cs="宋体"/>
                <w:sz w:val="24"/>
                <w:szCs w:val="24"/>
                <w:lang w:eastAsia="zh-CN"/>
              </w:rPr>
              <w:t>需求</w:t>
            </w:r>
            <w:r>
              <w:rPr>
                <w:rFonts w:ascii="宋体" w:hAnsi="宋体" w:eastAsia="宋体" w:cs="宋体"/>
                <w:sz w:val="24"/>
                <w:szCs w:val="24"/>
              </w:rPr>
              <w:t>，能最大限度满足保障项目实施的，得</w:t>
            </w:r>
            <w:r>
              <w:rPr>
                <w:rFonts w:hint="eastAsia" w:ascii="宋体" w:hAnsi="宋体" w:eastAsia="宋体" w:cs="宋体"/>
                <w:sz w:val="24"/>
                <w:szCs w:val="24"/>
                <w:lang w:val="en-US" w:eastAsia="zh-CN"/>
              </w:rPr>
              <w:t>5</w:t>
            </w:r>
            <w:r>
              <w:rPr>
                <w:rFonts w:ascii="宋体" w:hAnsi="宋体" w:eastAsia="宋体" w:cs="宋体"/>
                <w:sz w:val="24"/>
                <w:szCs w:val="24"/>
              </w:rPr>
              <w:t xml:space="preserve">分； </w:t>
            </w:r>
          </w:p>
          <w:p w14:paraId="4D1D85D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eastAsia="宋体" w:cs="宋体"/>
                <w:b w:val="0"/>
                <w:bCs w:val="0"/>
                <w:color w:val="auto"/>
                <w:sz w:val="24"/>
                <w:highlight w:val="none"/>
              </w:rPr>
              <w:t>②</w:t>
            </w:r>
            <w:r>
              <w:rPr>
                <w:rFonts w:ascii="宋体" w:hAnsi="宋体" w:eastAsia="宋体" w:cs="宋体"/>
                <w:sz w:val="24"/>
                <w:szCs w:val="24"/>
              </w:rPr>
              <w:t>解读基本全面、描述相对完整、匹配本项目采购</w:t>
            </w:r>
            <w:r>
              <w:rPr>
                <w:rFonts w:hint="eastAsia" w:ascii="宋体" w:hAnsi="宋体" w:eastAsia="宋体" w:cs="宋体"/>
                <w:sz w:val="24"/>
                <w:szCs w:val="24"/>
                <w:lang w:eastAsia="zh-CN"/>
              </w:rPr>
              <w:t>需</w:t>
            </w:r>
            <w:r>
              <w:rPr>
                <w:rFonts w:ascii="宋体" w:hAnsi="宋体" w:eastAsia="宋体" w:cs="宋体"/>
                <w:sz w:val="24"/>
                <w:szCs w:val="24"/>
              </w:rPr>
              <w:t>求，基本保障项目实施，得</w:t>
            </w:r>
            <w:r>
              <w:rPr>
                <w:rFonts w:hint="eastAsia" w:ascii="宋体" w:hAnsi="宋体" w:eastAsia="宋体" w:cs="宋体"/>
                <w:sz w:val="24"/>
                <w:szCs w:val="24"/>
                <w:lang w:val="en-US" w:eastAsia="zh-CN"/>
              </w:rPr>
              <w:t>2</w:t>
            </w:r>
            <w:r>
              <w:rPr>
                <w:rFonts w:ascii="宋体" w:hAnsi="宋体" w:eastAsia="宋体" w:cs="宋体"/>
                <w:sz w:val="24"/>
                <w:szCs w:val="24"/>
              </w:rPr>
              <w:t xml:space="preserve">分； </w:t>
            </w:r>
          </w:p>
          <w:p w14:paraId="0C8DF5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ascii="宋体" w:hAnsi="宋体" w:eastAsia="宋体" w:cs="宋体"/>
                <w:sz w:val="24"/>
                <w:szCs w:val="24"/>
              </w:rPr>
            </w:pPr>
            <w:r>
              <w:rPr>
                <w:rFonts w:hint="eastAsia" w:ascii="宋体" w:hAnsi="宋体" w:eastAsia="宋体" w:cs="宋体"/>
                <w:b w:val="0"/>
                <w:bCs w:val="0"/>
                <w:color w:val="auto"/>
                <w:sz w:val="24"/>
                <w:highlight w:val="none"/>
              </w:rPr>
              <w:t>③</w:t>
            </w:r>
            <w:r>
              <w:rPr>
                <w:rFonts w:ascii="宋体" w:hAnsi="宋体" w:eastAsia="宋体" w:cs="宋体"/>
                <w:sz w:val="24"/>
                <w:szCs w:val="24"/>
              </w:rPr>
              <w:t>解读不全面、描述不完整，得</w:t>
            </w:r>
            <w:r>
              <w:rPr>
                <w:rFonts w:hint="eastAsia" w:ascii="宋体" w:hAnsi="宋体" w:eastAsia="宋体" w:cs="宋体"/>
                <w:sz w:val="24"/>
                <w:szCs w:val="24"/>
                <w:lang w:val="en-US" w:eastAsia="zh-CN"/>
              </w:rPr>
              <w:t>1</w:t>
            </w:r>
            <w:r>
              <w:rPr>
                <w:rFonts w:ascii="宋体" w:hAnsi="宋体" w:eastAsia="宋体" w:cs="宋体"/>
                <w:sz w:val="24"/>
                <w:szCs w:val="24"/>
              </w:rPr>
              <w:t>分；</w:t>
            </w:r>
          </w:p>
          <w:p w14:paraId="7A5DC3C3">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4E28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2E447F7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p>
        </w:tc>
        <w:tc>
          <w:tcPr>
            <w:tcW w:w="1305" w:type="dxa"/>
            <w:vMerge w:val="continue"/>
            <w:tcBorders>
              <w:left w:val="single" w:color="000000" w:sz="4" w:space="0"/>
              <w:right w:val="single" w:color="auto" w:sz="4" w:space="0"/>
            </w:tcBorders>
            <w:noWrap w:val="0"/>
            <w:vAlign w:val="center"/>
          </w:tcPr>
          <w:p w14:paraId="48D7264B">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56635C9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项目规划方案</w:t>
            </w:r>
          </w:p>
          <w:p w14:paraId="7A2AF9F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60055060">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（2）磋商小组根据供应商针对本项目的规划方案进行评审：</w:t>
            </w:r>
          </w:p>
          <w:p w14:paraId="59E7703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详细、具体、可行，具有可操作性，得5分； </w:t>
            </w:r>
          </w:p>
          <w:p w14:paraId="4B29F13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基本合理但不全面，具有一定可操作性，得2分； </w:t>
            </w:r>
          </w:p>
          <w:p w14:paraId="78A2538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方案</w:t>
            </w:r>
            <w:r>
              <w:rPr>
                <w:rFonts w:hint="eastAsia" w:ascii="宋体" w:hAnsi="宋体" w:eastAsia="宋体" w:cs="宋体"/>
                <w:sz w:val="24"/>
                <w:szCs w:val="24"/>
                <w:lang w:val="en-US" w:eastAsia="zh-CN"/>
              </w:rPr>
              <w:t xml:space="preserve">不够全面，操作性不强，得1 分； </w:t>
            </w:r>
          </w:p>
          <w:p w14:paraId="368D6BCA">
            <w:pPr>
              <w:keepNext w:val="0"/>
              <w:keepLines w:val="0"/>
              <w:pageBreakBefore w:val="0"/>
              <w:widowControl w:val="0"/>
              <w:numPr>
                <w:ilvl w:val="0"/>
                <w:numId w:val="0"/>
              </w:numPr>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2333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62EAB193">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p>
        </w:tc>
        <w:tc>
          <w:tcPr>
            <w:tcW w:w="1305" w:type="dxa"/>
            <w:vMerge w:val="continue"/>
            <w:tcBorders>
              <w:left w:val="single" w:color="000000" w:sz="4" w:space="0"/>
              <w:right w:val="single" w:color="auto" w:sz="4" w:space="0"/>
            </w:tcBorders>
            <w:noWrap w:val="0"/>
            <w:vAlign w:val="center"/>
          </w:tcPr>
          <w:p w14:paraId="0B61EEC3">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39A899E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保障措施</w:t>
            </w:r>
          </w:p>
          <w:p w14:paraId="11C5696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Times New Roman"/>
                <w:kern w:val="0"/>
                <w:sz w:val="24"/>
                <w:szCs w:val="22"/>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4D4A1DE4">
            <w:pPr>
              <w:keepNext w:val="0"/>
              <w:keepLines w:val="0"/>
              <w:pageBreakBefore w:val="0"/>
              <w:widowControl w:val="0"/>
              <w:numPr>
                <w:ilvl w:val="0"/>
                <w:numId w:val="0"/>
              </w:numPr>
              <w:kinsoku/>
              <w:wordWrap/>
              <w:overflowPunct/>
              <w:topLinePunct w:val="0"/>
              <w:autoSpaceDE/>
              <w:autoSpaceDN/>
              <w:bidi w:val="0"/>
              <w:snapToGrid/>
              <w:spacing w:line="500" w:lineRule="exact"/>
              <w:textAlignment w:val="auto"/>
              <w:outlineLvl w:val="9"/>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（3）磋商小组根据供应商针对本项目的保障措施（包含质量保障措施、进度保障措施、后续服务保障措施等）进行评审：</w:t>
            </w:r>
          </w:p>
          <w:p w14:paraId="7068511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①</w:t>
            </w:r>
            <w:r>
              <w:rPr>
                <w:rFonts w:hint="eastAsia" w:ascii="宋体" w:hAnsi="宋体" w:cs="宋体"/>
                <w:color w:val="auto"/>
                <w:kern w:val="2"/>
                <w:sz w:val="24"/>
                <w:szCs w:val="24"/>
                <w:highlight w:val="none"/>
                <w:lang w:val="en-US" w:eastAsia="zh-CN" w:bidi="ar-SA"/>
              </w:rPr>
              <w:t>保障措施</w:t>
            </w:r>
            <w:r>
              <w:rPr>
                <w:rFonts w:hint="eastAsia" w:ascii="宋体" w:hAnsi="宋体" w:eastAsia="宋体" w:cs="宋体"/>
                <w:sz w:val="24"/>
                <w:szCs w:val="24"/>
                <w:lang w:val="en-US" w:eastAsia="zh-CN"/>
              </w:rPr>
              <w:t xml:space="preserve">详细、具体、可行，具有可操作性，得5分； </w:t>
            </w:r>
          </w:p>
          <w:p w14:paraId="6335335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②</w:t>
            </w:r>
            <w:r>
              <w:rPr>
                <w:rFonts w:hint="eastAsia" w:ascii="宋体" w:hAnsi="宋体" w:cs="宋体"/>
                <w:color w:val="auto"/>
                <w:kern w:val="2"/>
                <w:sz w:val="24"/>
                <w:szCs w:val="24"/>
                <w:highlight w:val="none"/>
                <w:lang w:val="en-US" w:eastAsia="zh-CN" w:bidi="ar-SA"/>
              </w:rPr>
              <w:t>保障措施</w:t>
            </w:r>
            <w:r>
              <w:rPr>
                <w:rFonts w:hint="eastAsia" w:ascii="宋体" w:hAnsi="宋体" w:eastAsia="宋体" w:cs="宋体"/>
                <w:sz w:val="24"/>
                <w:szCs w:val="24"/>
                <w:lang w:val="en-US" w:eastAsia="zh-CN"/>
              </w:rPr>
              <w:t xml:space="preserve">基本合理但不全面，具有一定可操作性，得2分； </w:t>
            </w:r>
          </w:p>
          <w:p w14:paraId="0284EFC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宋体" w:hAnsi="宋体" w:eastAsia="宋体" w:cs="宋体"/>
                <w:sz w:val="24"/>
                <w:szCs w:val="24"/>
              </w:rPr>
            </w:pPr>
            <w:r>
              <w:rPr>
                <w:rFonts w:hint="eastAsia" w:ascii="宋体" w:hAnsi="宋体" w:eastAsia="宋体" w:cs="宋体"/>
                <w:b w:val="0"/>
                <w:bCs w:val="0"/>
                <w:color w:val="auto"/>
                <w:sz w:val="24"/>
                <w:highlight w:val="none"/>
              </w:rPr>
              <w:t>③</w:t>
            </w:r>
            <w:r>
              <w:rPr>
                <w:rFonts w:hint="eastAsia" w:ascii="宋体" w:hAnsi="宋体" w:cs="宋体"/>
                <w:color w:val="auto"/>
                <w:kern w:val="2"/>
                <w:sz w:val="24"/>
                <w:szCs w:val="24"/>
                <w:highlight w:val="none"/>
                <w:lang w:val="en-US" w:eastAsia="zh-CN" w:bidi="ar-SA"/>
              </w:rPr>
              <w:t>保障措施</w:t>
            </w:r>
            <w:r>
              <w:rPr>
                <w:rFonts w:hint="eastAsia" w:ascii="宋体" w:hAnsi="宋体" w:eastAsia="宋体" w:cs="宋体"/>
                <w:sz w:val="24"/>
                <w:szCs w:val="24"/>
                <w:lang w:val="en-US" w:eastAsia="zh-CN"/>
              </w:rPr>
              <w:t xml:space="preserve">不够全面，操作性不强，得1 分； </w:t>
            </w:r>
          </w:p>
          <w:p w14:paraId="017D7A37">
            <w:pPr>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outlineLvl w:val="9"/>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val="0"/>
                <w:bCs w:val="0"/>
                <w:color w:val="auto"/>
                <w:sz w:val="24"/>
                <w:highlight w:val="none"/>
              </w:rPr>
              <w:t>④</w:t>
            </w:r>
            <w:r>
              <w:rPr>
                <w:rFonts w:hint="eastAsia" w:ascii="宋体" w:hAnsi="宋体" w:eastAsia="宋体" w:cs="宋体"/>
                <w:sz w:val="24"/>
                <w:szCs w:val="24"/>
                <w:lang w:val="en-US" w:eastAsia="zh-CN"/>
              </w:rPr>
              <w:t>未提供方案，得0分。</w:t>
            </w:r>
          </w:p>
        </w:tc>
      </w:tr>
      <w:tr w14:paraId="5CE8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70DF0E0B">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color w:val="auto"/>
                <w:sz w:val="24"/>
                <w:szCs w:val="24"/>
              </w:rPr>
            </w:pPr>
          </w:p>
        </w:tc>
        <w:tc>
          <w:tcPr>
            <w:tcW w:w="1305" w:type="dxa"/>
            <w:vMerge w:val="continue"/>
            <w:tcBorders>
              <w:left w:val="single" w:color="000000" w:sz="4" w:space="0"/>
              <w:right w:val="single" w:color="auto" w:sz="4" w:space="0"/>
            </w:tcBorders>
            <w:noWrap w:val="0"/>
            <w:vAlign w:val="center"/>
          </w:tcPr>
          <w:p w14:paraId="63D60D04">
            <w:pPr>
              <w:keepNext w:val="0"/>
              <w:keepLines w:val="0"/>
              <w:pageBreakBefore w:val="0"/>
              <w:widowControl w:val="0"/>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sz w:val="24"/>
                <w:szCs w:val="24"/>
                <w:highlight w:val="none"/>
              </w:rPr>
            </w:pPr>
          </w:p>
        </w:tc>
        <w:tc>
          <w:tcPr>
            <w:tcW w:w="2137" w:type="dxa"/>
            <w:tcBorders>
              <w:top w:val="single" w:color="000000" w:sz="4" w:space="0"/>
              <w:left w:val="single" w:color="auto" w:sz="4" w:space="0"/>
              <w:bottom w:val="single" w:color="auto" w:sz="4" w:space="0"/>
              <w:right w:val="single" w:color="auto" w:sz="4" w:space="0"/>
            </w:tcBorders>
            <w:shd w:val="clear" w:color="auto" w:fill="auto"/>
            <w:noWrap w:val="0"/>
            <w:vAlign w:val="center"/>
          </w:tcPr>
          <w:p w14:paraId="45B3AF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iCs/>
                <w:color w:val="000000"/>
                <w:sz w:val="24"/>
                <w:szCs w:val="24"/>
                <w:highlight w:val="none"/>
                <w:lang w:eastAsia="zh-CN"/>
              </w:rPr>
            </w:pPr>
            <w:r>
              <w:rPr>
                <w:rFonts w:hint="eastAsia" w:ascii="宋体" w:hAnsi="宋体" w:cs="宋体"/>
                <w:sz w:val="24"/>
                <w:highlight w:val="none"/>
              </w:rPr>
              <w:t>项目实施难点、关键过程分析及</w:t>
            </w:r>
            <w:r>
              <w:rPr>
                <w:rFonts w:hint="eastAsia" w:ascii="宋体" w:hAnsi="宋体"/>
                <w:iCs/>
                <w:color w:val="000000"/>
                <w:sz w:val="24"/>
                <w:szCs w:val="24"/>
                <w:highlight w:val="none"/>
                <w:lang w:eastAsia="zh-CN"/>
              </w:rPr>
              <w:t>合理化建议</w:t>
            </w:r>
          </w:p>
          <w:p w14:paraId="54298E68">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w:t>
            </w:r>
            <w:r>
              <w:rPr>
                <w:rFonts w:hint="eastAsia" w:ascii="宋体" w:hAnsi="宋体" w:cs="宋体"/>
                <w:sz w:val="24"/>
                <w:highlight w:val="none"/>
                <w:lang w:val="en-US" w:eastAsia="zh-CN"/>
              </w:rPr>
              <w:t>5</w:t>
            </w:r>
            <w:r>
              <w:rPr>
                <w:rFonts w:hint="eastAsia" w:ascii="宋体" w:hAnsi="宋体" w:cs="宋体"/>
                <w:sz w:val="24"/>
                <w:highlight w:val="none"/>
              </w:rPr>
              <w:t>分）</w:t>
            </w:r>
          </w:p>
        </w:tc>
        <w:tc>
          <w:tcPr>
            <w:tcW w:w="5959"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300FB28B">
            <w:pPr>
              <w:spacing w:line="500" w:lineRule="exact"/>
              <w:ind w:firstLine="0" w:firstLineChars="0"/>
              <w:rPr>
                <w:rFonts w:ascii="宋体" w:hAnsi="宋体" w:eastAsia="宋体" w:cs="宋体"/>
                <w:sz w:val="24"/>
                <w:szCs w:val="24"/>
              </w:rPr>
            </w:pPr>
            <w:r>
              <w:rPr>
                <w:rFonts w:hint="eastAsia" w:ascii="宋体" w:hAnsi="宋体" w:cs="宋体"/>
                <w:color w:val="auto"/>
                <w:kern w:val="2"/>
                <w:sz w:val="24"/>
                <w:szCs w:val="24"/>
                <w:highlight w:val="none"/>
                <w:lang w:val="en-US" w:eastAsia="zh-CN" w:bidi="ar-SA"/>
              </w:rPr>
              <w:t>（4）磋商小组根据供应商针对本项目的</w:t>
            </w:r>
            <w:r>
              <w:rPr>
                <w:rFonts w:hint="eastAsia" w:ascii="宋体" w:hAnsi="宋体" w:cs="宋体"/>
                <w:sz w:val="24"/>
                <w:highlight w:val="none"/>
                <w:lang w:eastAsia="zh-CN"/>
              </w:rPr>
              <w:t>对</w:t>
            </w:r>
            <w:r>
              <w:rPr>
                <w:rFonts w:hint="eastAsia" w:ascii="宋体" w:hAnsi="宋体" w:cs="宋体"/>
                <w:sz w:val="24"/>
                <w:highlight w:val="none"/>
              </w:rPr>
              <w:t>项目实施难点、关键过程分析及</w:t>
            </w:r>
            <w:r>
              <w:rPr>
                <w:rFonts w:hint="eastAsia" w:ascii="宋体" w:hAnsi="宋体"/>
                <w:iCs/>
                <w:color w:val="000000"/>
                <w:sz w:val="24"/>
                <w:szCs w:val="24"/>
                <w:highlight w:val="none"/>
                <w:lang w:eastAsia="zh-CN"/>
              </w:rPr>
              <w:t>合理化建议</w:t>
            </w:r>
            <w:r>
              <w:rPr>
                <w:rFonts w:hint="eastAsia" w:ascii="宋体" w:hAnsi="宋体" w:eastAsia="宋体" w:cs="宋体"/>
                <w:sz w:val="24"/>
                <w:szCs w:val="24"/>
              </w:rPr>
              <w:t>进行评审：</w:t>
            </w:r>
          </w:p>
          <w:p w14:paraId="08C2AFA6">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①</w:t>
            </w:r>
            <w:r>
              <w:rPr>
                <w:rFonts w:hint="eastAsia" w:ascii="宋体" w:hAnsi="宋体" w:eastAsia="宋体" w:cs="宋体"/>
                <w:sz w:val="24"/>
                <w:lang w:eastAsia="zh-CN"/>
              </w:rPr>
              <w:t>方案分析</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w:t>
            </w:r>
            <w:r>
              <w:rPr>
                <w:rFonts w:hint="eastAsia" w:ascii="宋体" w:hAnsi="宋体" w:cs="宋体"/>
                <w:sz w:val="24"/>
                <w:highlight w:val="none"/>
              </w:rPr>
              <w:t>可行且具体的得</w:t>
            </w:r>
            <w:r>
              <w:rPr>
                <w:rFonts w:hint="eastAsia" w:ascii="宋体" w:hAnsi="宋体" w:cs="宋体"/>
                <w:sz w:val="24"/>
                <w:highlight w:val="none"/>
                <w:lang w:val="en-US" w:eastAsia="zh-CN"/>
              </w:rPr>
              <w:t>5</w:t>
            </w:r>
            <w:r>
              <w:rPr>
                <w:rFonts w:hint="eastAsia" w:ascii="宋体" w:hAnsi="宋体" w:cs="宋体"/>
                <w:sz w:val="24"/>
                <w:highlight w:val="none"/>
              </w:rPr>
              <w:t>分</w:t>
            </w:r>
            <w:r>
              <w:rPr>
                <w:rFonts w:hint="eastAsia" w:ascii="宋体" w:hAnsi="宋体" w:cs="宋体"/>
                <w:sz w:val="24"/>
                <w:highlight w:val="none"/>
                <w:lang w:eastAsia="zh-CN"/>
              </w:rPr>
              <w:t>；</w:t>
            </w:r>
          </w:p>
          <w:p w14:paraId="3789EBE9">
            <w:pPr>
              <w:spacing w:line="500" w:lineRule="exact"/>
              <w:ind w:firstLine="0" w:firstLineChars="0"/>
              <w:rPr>
                <w:rFonts w:hint="eastAsia" w:ascii="宋体" w:hAnsi="宋体" w:cs="宋体"/>
                <w:sz w:val="24"/>
                <w:highlight w:val="none"/>
                <w:lang w:eastAsia="zh-CN"/>
              </w:rPr>
            </w:pPr>
            <w:r>
              <w:rPr>
                <w:rFonts w:hint="eastAsia" w:ascii="宋体" w:hAnsi="宋体" w:eastAsia="宋体" w:cs="宋体"/>
                <w:sz w:val="24"/>
              </w:rPr>
              <w:t>②</w:t>
            </w:r>
            <w:r>
              <w:rPr>
                <w:rFonts w:hint="eastAsia" w:ascii="宋体" w:hAnsi="宋体" w:eastAsia="宋体" w:cs="宋体"/>
                <w:sz w:val="24"/>
                <w:lang w:eastAsia="zh-CN"/>
              </w:rPr>
              <w:t>方案分析较</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合理化建议较</w:t>
            </w:r>
            <w:r>
              <w:rPr>
                <w:rFonts w:hint="eastAsia" w:ascii="宋体" w:hAnsi="宋体" w:cs="宋体"/>
                <w:sz w:val="24"/>
                <w:highlight w:val="none"/>
              </w:rPr>
              <w:t>可行且具体的得</w:t>
            </w:r>
            <w:r>
              <w:rPr>
                <w:rFonts w:hint="eastAsia" w:ascii="宋体" w:hAnsi="宋体" w:cs="宋体"/>
                <w:sz w:val="24"/>
                <w:highlight w:val="none"/>
                <w:lang w:val="en-US" w:eastAsia="zh-CN"/>
              </w:rPr>
              <w:t>2</w:t>
            </w:r>
            <w:r>
              <w:rPr>
                <w:rFonts w:hint="eastAsia" w:ascii="宋体" w:hAnsi="宋体" w:cs="宋体"/>
                <w:sz w:val="24"/>
                <w:highlight w:val="none"/>
              </w:rPr>
              <w:t>分</w:t>
            </w:r>
            <w:r>
              <w:rPr>
                <w:rFonts w:hint="eastAsia" w:ascii="宋体" w:hAnsi="宋体" w:cs="宋体"/>
                <w:sz w:val="24"/>
                <w:highlight w:val="none"/>
                <w:lang w:eastAsia="zh-CN"/>
              </w:rPr>
              <w:t>；</w:t>
            </w:r>
          </w:p>
          <w:p w14:paraId="7AE2EC66">
            <w:pPr>
              <w:spacing w:line="500" w:lineRule="exact"/>
              <w:ind w:firstLine="0" w:firstLineChars="0"/>
              <w:rPr>
                <w:rFonts w:hint="eastAsia" w:ascii="宋体" w:hAnsi="宋体" w:eastAsia="宋体" w:cs="宋体"/>
                <w:sz w:val="24"/>
                <w:highlight w:val="none"/>
                <w:lang w:eastAsia="zh-CN"/>
              </w:rPr>
            </w:pPr>
            <w:r>
              <w:rPr>
                <w:rFonts w:hint="eastAsia" w:ascii="宋体" w:hAnsi="宋体" w:eastAsia="宋体" w:cs="宋体"/>
                <w:sz w:val="24"/>
              </w:rPr>
              <w:t>③</w:t>
            </w:r>
            <w:r>
              <w:rPr>
                <w:rFonts w:hint="eastAsia" w:ascii="宋体" w:hAnsi="宋体" w:eastAsia="宋体" w:cs="宋体"/>
                <w:sz w:val="24"/>
                <w:lang w:eastAsia="zh-CN"/>
              </w:rPr>
              <w:t>方案分析一般</w:t>
            </w:r>
            <w:r>
              <w:rPr>
                <w:rFonts w:hint="eastAsia" w:ascii="宋体" w:hAnsi="宋体" w:eastAsia="宋体" w:cs="宋体"/>
                <w:sz w:val="24"/>
                <w:highlight w:val="none"/>
                <w:lang w:eastAsia="zh-CN"/>
              </w:rPr>
              <w:t>清晰</w:t>
            </w:r>
            <w:r>
              <w:rPr>
                <w:rFonts w:hint="eastAsia" w:ascii="宋体" w:hAnsi="宋体" w:cs="宋体"/>
                <w:sz w:val="24"/>
                <w:highlight w:val="none"/>
                <w:lang w:eastAsia="zh-CN"/>
              </w:rPr>
              <w:t>合理、详尽，</w:t>
            </w:r>
            <w:r>
              <w:rPr>
                <w:rFonts w:hint="eastAsia" w:ascii="宋体" w:hAnsi="宋体"/>
                <w:iCs/>
                <w:color w:val="000000"/>
                <w:sz w:val="24"/>
                <w:szCs w:val="24"/>
                <w:highlight w:val="none"/>
                <w:lang w:eastAsia="zh-CN"/>
              </w:rPr>
              <w:t>合理化建议一般</w:t>
            </w:r>
            <w:r>
              <w:rPr>
                <w:rFonts w:hint="eastAsia" w:ascii="宋体" w:hAnsi="宋体" w:cs="宋体"/>
                <w:sz w:val="24"/>
                <w:highlight w:val="none"/>
              </w:rPr>
              <w:t>可行且具体的得</w:t>
            </w:r>
            <w:r>
              <w:rPr>
                <w:rFonts w:hint="eastAsia" w:ascii="宋体" w:hAnsi="宋体" w:cs="宋体"/>
                <w:sz w:val="24"/>
                <w:highlight w:val="none"/>
                <w:lang w:val="en-US" w:eastAsia="zh-CN"/>
              </w:rPr>
              <w:t>1</w:t>
            </w:r>
            <w:r>
              <w:rPr>
                <w:rFonts w:hint="eastAsia" w:ascii="宋体" w:hAnsi="宋体" w:cs="宋体"/>
                <w:sz w:val="24"/>
                <w:highlight w:val="none"/>
              </w:rPr>
              <w:t>分</w:t>
            </w:r>
            <w:r>
              <w:rPr>
                <w:rFonts w:hint="eastAsia" w:ascii="宋体" w:hAnsi="宋体" w:cs="宋体"/>
                <w:sz w:val="24"/>
                <w:highlight w:val="none"/>
                <w:lang w:eastAsia="zh-CN"/>
              </w:rPr>
              <w:t>；</w:t>
            </w:r>
          </w:p>
          <w:p w14:paraId="00B5CC0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sz w:val="24"/>
              </w:rPr>
              <w:t>④</w:t>
            </w:r>
            <w:r>
              <w:rPr>
                <w:rFonts w:hint="eastAsia" w:ascii="宋体" w:hAnsi="宋体" w:eastAsia="宋体" w:cs="宋体"/>
                <w:sz w:val="24"/>
                <w:szCs w:val="24"/>
              </w:rPr>
              <w:t>未提供方案，得0分。</w:t>
            </w:r>
          </w:p>
        </w:tc>
      </w:tr>
      <w:tr w14:paraId="79EF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1146" w:type="dxa"/>
            <w:vMerge w:val="restart"/>
            <w:tcBorders>
              <w:top w:val="single" w:color="000000" w:sz="4" w:space="0"/>
              <w:left w:val="single" w:color="000000" w:sz="4" w:space="0"/>
              <w:right w:val="single" w:color="000000" w:sz="4" w:space="0"/>
            </w:tcBorders>
            <w:noWrap w:val="0"/>
            <w:vAlign w:val="center"/>
          </w:tcPr>
          <w:p w14:paraId="5B0D9B28">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2.2.2</w:t>
            </w:r>
          </w:p>
          <w:p w14:paraId="7B06384F">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p>
          <w:p w14:paraId="243490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b/>
                <w:bCs/>
                <w:sz w:val="24"/>
                <w:szCs w:val="24"/>
              </w:rPr>
            </w:pPr>
          </w:p>
        </w:tc>
        <w:tc>
          <w:tcPr>
            <w:tcW w:w="1305" w:type="dxa"/>
            <w:vMerge w:val="restart"/>
            <w:tcBorders>
              <w:top w:val="single" w:color="000000" w:sz="4" w:space="0"/>
              <w:left w:val="single" w:color="000000" w:sz="4" w:space="0"/>
              <w:right w:val="single" w:color="auto" w:sz="4" w:space="0"/>
            </w:tcBorders>
            <w:noWrap w:val="0"/>
            <w:vAlign w:val="center"/>
          </w:tcPr>
          <w:p w14:paraId="3752C9B1">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综合标</w:t>
            </w:r>
          </w:p>
          <w:p w14:paraId="5103E94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0FE3F3C1">
            <w:pPr>
              <w:keepNext w:val="0"/>
              <w:keepLines w:val="0"/>
              <w:pageBreakBefore w:val="0"/>
              <w:widowControl w:val="0"/>
              <w:tabs>
                <w:tab w:val="left" w:pos="-191"/>
              </w:tabs>
              <w:kinsoku/>
              <w:wordWrap/>
              <w:overflowPunct/>
              <w:topLinePunct w:val="0"/>
              <w:autoSpaceDE/>
              <w:autoSpaceDN/>
              <w:bidi w:val="0"/>
              <w:adjustRightInd/>
              <w:snapToGrid/>
              <w:spacing w:line="500" w:lineRule="exact"/>
              <w:ind w:left="0" w:leftChars="0" w:firstLine="240" w:firstLineChars="1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50</w:t>
            </w:r>
            <w:r>
              <w:rPr>
                <w:rFonts w:hint="eastAsia" w:ascii="宋体" w:hAnsi="宋体" w:eastAsia="宋体" w:cs="宋体"/>
                <w:color w:val="auto"/>
                <w:sz w:val="24"/>
                <w:szCs w:val="24"/>
              </w:rPr>
              <w:t>分）</w:t>
            </w: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D116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企业业绩</w:t>
            </w:r>
          </w:p>
          <w:p w14:paraId="0AE9650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（15分）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49514">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自2021年1月1日以来，供应商每提供一份类似业绩的得3分,最多得15分；</w:t>
            </w:r>
          </w:p>
          <w:p w14:paraId="50800F61">
            <w:pPr>
              <w:spacing w:line="500" w:lineRule="exact"/>
              <w:ind w:left="0" w:leftChars="0" w:firstLine="0" w:firstLineChars="0"/>
              <w:rPr>
                <w:rFonts w:hint="eastAsia" w:ascii="宋体" w:hAnsi="宋体" w:cs="宋体" w:eastAsiaTheme="minorEastAsia"/>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14:paraId="149F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CF98CC1">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0D0AC82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A2F8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项目负责人业绩</w:t>
            </w:r>
          </w:p>
          <w:p w14:paraId="2254A97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（16分）</w:t>
            </w:r>
          </w:p>
          <w:p w14:paraId="30600CA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注：项目负责人业绩和企业业绩不能为同一个业绩</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2D300">
            <w:pPr>
              <w:spacing w:line="500" w:lineRule="exact"/>
              <w:ind w:left="0" w:leftChars="0" w:firstLine="0" w:firstLineChars="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自2021年1月1日以来，供应商拟派项目负责人每提供一份类似业绩的得4分,最多得16分；</w:t>
            </w:r>
          </w:p>
          <w:p w14:paraId="3A29C27A">
            <w:pPr>
              <w:spacing w:line="500" w:lineRule="exact"/>
              <w:ind w:left="0" w:leftChars="0" w:firstLine="0" w:firstLineChars="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提供合同协议书原件扫描件，以合同协议书实际签订时间为准，</w:t>
            </w:r>
          </w:p>
        </w:tc>
      </w:tr>
      <w:tr w14:paraId="425E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38434AA0">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2981FC17">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39C023">
            <w:pPr>
              <w:spacing w:line="500" w:lineRule="exact"/>
              <w:jc w:val="both"/>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认证证书</w:t>
            </w:r>
          </w:p>
          <w:p w14:paraId="50C2DAE7">
            <w:pPr>
              <w:spacing w:line="50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002D93">
            <w:pPr>
              <w:spacing w:line="500" w:lineRule="exact"/>
              <w:ind w:left="0" w:leftChars="0" w:firstLine="0" w:firstLineChars="0"/>
              <w:jc w:val="left"/>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供应商具有有效合格的质量管理体系认证、环境管理体系认证、职业健康安全管理体系认证，每项得2分，共6分；</w:t>
            </w:r>
          </w:p>
          <w:p w14:paraId="677AC8DF">
            <w:pPr>
              <w:spacing w:line="500" w:lineRule="exact"/>
              <w:ind w:left="0" w:leftChars="0" w:firstLine="0" w:firstLineChars="0"/>
              <w:jc w:val="left"/>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w:t>
            </w:r>
            <w:r>
              <w:rPr>
                <w:rFonts w:hint="eastAsia" w:ascii="宋体" w:hAnsi="宋体" w:cs="宋体"/>
                <w:b/>
                <w:bCs/>
                <w:color w:val="auto"/>
                <w:kern w:val="2"/>
                <w:sz w:val="24"/>
                <w:szCs w:val="24"/>
                <w:highlight w:val="none"/>
                <w:lang w:val="en-US" w:eastAsia="zh-CN" w:bidi="ar-SA"/>
              </w:rPr>
              <w:t>提供相关证明原件扫描件及加盖单位公章的“全国认证认可信息公共服务平台”查询截图</w:t>
            </w:r>
          </w:p>
        </w:tc>
      </w:tr>
      <w:tr w14:paraId="0A6B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jc w:val="center"/>
        </w:trPr>
        <w:tc>
          <w:tcPr>
            <w:tcW w:w="1146" w:type="dxa"/>
            <w:vMerge w:val="continue"/>
            <w:tcBorders>
              <w:left w:val="single" w:color="000000" w:sz="4" w:space="0"/>
              <w:right w:val="single" w:color="000000" w:sz="4" w:space="0"/>
            </w:tcBorders>
            <w:noWrap w:val="0"/>
            <w:vAlign w:val="center"/>
          </w:tcPr>
          <w:p w14:paraId="1721711D">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lang w:val="en-US" w:eastAsia="zh-CN"/>
              </w:rPr>
            </w:pPr>
          </w:p>
        </w:tc>
        <w:tc>
          <w:tcPr>
            <w:tcW w:w="1305" w:type="dxa"/>
            <w:vMerge w:val="continue"/>
            <w:tcBorders>
              <w:left w:val="single" w:color="000000" w:sz="4" w:space="0"/>
              <w:right w:val="single" w:color="auto" w:sz="4" w:space="0"/>
            </w:tcBorders>
            <w:noWrap w:val="0"/>
            <w:vAlign w:val="center"/>
          </w:tcPr>
          <w:p w14:paraId="49237283">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color w:val="auto"/>
                <w:lang w:val="en-US" w:eastAsia="zh-CN"/>
              </w:rPr>
            </w:pPr>
          </w:p>
        </w:tc>
        <w:tc>
          <w:tcPr>
            <w:tcW w:w="21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DD2B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p w14:paraId="5F89CBB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（13分）</w:t>
            </w:r>
          </w:p>
        </w:tc>
        <w:tc>
          <w:tcPr>
            <w:tcW w:w="59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0AF47D">
            <w:pPr>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拟投入本项目其他人员（除项目负责人外）具有相关专业(</w:t>
            </w:r>
            <w:r>
              <w:rPr>
                <w:rFonts w:hint="eastAsia" w:ascii="宋体" w:hAnsi="宋体"/>
                <w:color w:val="auto"/>
                <w:sz w:val="24"/>
              </w:rPr>
              <w:t>规划、建筑、结构、桥梁、地质、道路、景观、电气、暖通、给排水等专业</w:t>
            </w:r>
            <w:r>
              <w:rPr>
                <w:rFonts w:hint="eastAsia" w:ascii="宋体" w:hAnsi="宋体" w:eastAsia="宋体" w:cs="宋体"/>
                <w:color w:val="auto"/>
                <w:kern w:val="2"/>
                <w:sz w:val="24"/>
                <w:szCs w:val="24"/>
                <w:highlight w:val="none"/>
                <w:lang w:val="en-US" w:eastAsia="zh-CN" w:bidi="ar-SA"/>
              </w:rPr>
              <w:t>)，每有一个</w:t>
            </w:r>
            <w:r>
              <w:rPr>
                <w:rFonts w:hint="eastAsia" w:ascii="宋体" w:hAnsi="宋体" w:eastAsia="宋体" w:cs="宋体"/>
                <w:i w:val="0"/>
                <w:iCs w:val="0"/>
                <w:color w:val="auto"/>
                <w:kern w:val="0"/>
                <w:sz w:val="24"/>
                <w:szCs w:val="24"/>
                <w:highlight w:val="none"/>
                <w:u w:val="none"/>
                <w:lang w:val="en-US" w:eastAsia="zh-CN" w:bidi="ar"/>
              </w:rPr>
              <w:t>高级及以上技术职称</w:t>
            </w:r>
            <w:r>
              <w:rPr>
                <w:rFonts w:hint="eastAsia" w:ascii="宋体" w:hAnsi="宋体" w:eastAsia="宋体" w:cs="宋体"/>
                <w:color w:val="auto"/>
                <w:kern w:val="2"/>
                <w:sz w:val="24"/>
                <w:szCs w:val="24"/>
                <w:highlight w:val="none"/>
                <w:lang w:val="en-US" w:eastAsia="zh-CN" w:bidi="ar-SA"/>
              </w:rPr>
              <w:t>的得2分，每有一个</w:t>
            </w:r>
            <w:r>
              <w:rPr>
                <w:rFonts w:hint="eastAsia" w:ascii="宋体" w:hAnsi="宋体" w:eastAsia="宋体" w:cs="宋体"/>
                <w:i w:val="0"/>
                <w:iCs w:val="0"/>
                <w:color w:val="auto"/>
                <w:kern w:val="0"/>
                <w:sz w:val="24"/>
                <w:szCs w:val="24"/>
                <w:highlight w:val="none"/>
                <w:u w:val="none"/>
                <w:lang w:val="en-US" w:eastAsia="zh-CN" w:bidi="ar"/>
              </w:rPr>
              <w:t>中级技术职称</w:t>
            </w:r>
            <w:r>
              <w:rPr>
                <w:rFonts w:hint="eastAsia" w:ascii="宋体" w:hAnsi="宋体" w:eastAsia="宋体" w:cs="宋体"/>
                <w:color w:val="auto"/>
                <w:kern w:val="2"/>
                <w:sz w:val="24"/>
                <w:szCs w:val="24"/>
                <w:highlight w:val="none"/>
                <w:lang w:val="en-US" w:eastAsia="zh-CN" w:bidi="ar-SA"/>
              </w:rPr>
              <w:t>的得1分，本项最多得13分；</w:t>
            </w:r>
          </w:p>
          <w:p w14:paraId="6902FC87">
            <w:pPr>
              <w:spacing w:line="50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注：提供人员相关证明材料原件扫描件及公司至投标截止时间止近6月内任意一个月社保缴纳证明或退休证明</w:t>
            </w:r>
          </w:p>
        </w:tc>
      </w:tr>
    </w:tbl>
    <w:p w14:paraId="06CC7268">
      <w:pPr>
        <w:pStyle w:val="2"/>
        <w:rPr>
          <w:rFonts w:hint="eastAsia"/>
        </w:rPr>
      </w:pPr>
    </w:p>
    <w:p w14:paraId="24ADB6BC">
      <w:pPr>
        <w:rPr>
          <w:color w:val="auto"/>
        </w:rPr>
        <w:sectPr>
          <w:footerReference r:id="rId8" w:type="default"/>
          <w:pgSz w:w="11905" w:h="16838"/>
          <w:pgMar w:top="1213" w:right="1236" w:bottom="1270" w:left="1236" w:header="34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bookmarkStart w:id="947" w:name="_Toc318450722"/>
      <w:bookmarkStart w:id="948" w:name="_Toc144974567"/>
      <w:bookmarkStart w:id="949" w:name="_Toc31578"/>
      <w:bookmarkStart w:id="950" w:name="_Toc152042377"/>
      <w:bookmarkStart w:id="951" w:name="_Toc152045600"/>
      <w:bookmarkStart w:id="952" w:name="_Toc281405528"/>
    </w:p>
    <w:p w14:paraId="4814A7B7">
      <w:pPr>
        <w:pageBreakBefore w:val="0"/>
        <w:widowControl w:val="0"/>
        <w:numPr>
          <w:ilvl w:val="0"/>
          <w:numId w:val="2"/>
        </w:numPr>
        <w:kinsoku/>
        <w:wordWrap/>
        <w:overflowPunct/>
        <w:topLinePunct w:val="0"/>
        <w:autoSpaceDE/>
        <w:autoSpaceDN/>
        <w:bidi w:val="0"/>
        <w:adjustRightInd/>
        <w:snapToGrid/>
        <w:spacing w:line="500" w:lineRule="exact"/>
        <w:textAlignment w:val="auto"/>
        <w:outlineLvl w:val="1"/>
        <w:rPr>
          <w:rFonts w:hint="eastAsia" w:ascii="宋体" w:hAnsi="宋体" w:eastAsia="宋体" w:cs="宋体"/>
          <w:b/>
          <w:bCs/>
          <w:color w:val="auto"/>
          <w:sz w:val="24"/>
          <w:szCs w:val="24"/>
        </w:rPr>
      </w:pPr>
      <w:bookmarkStart w:id="953" w:name="_Toc19942"/>
      <w:bookmarkStart w:id="954" w:name="_Toc20676"/>
      <w:r>
        <w:rPr>
          <w:rFonts w:hint="eastAsia" w:ascii="宋体" w:hAnsi="宋体" w:eastAsia="宋体" w:cs="宋体"/>
          <w:b/>
          <w:bCs/>
          <w:color w:val="auto"/>
          <w:sz w:val="24"/>
          <w:szCs w:val="24"/>
        </w:rPr>
        <w:t>评审方法</w:t>
      </w:r>
      <w:bookmarkEnd w:id="947"/>
      <w:bookmarkEnd w:id="948"/>
      <w:bookmarkEnd w:id="949"/>
      <w:bookmarkEnd w:id="950"/>
      <w:bookmarkEnd w:id="951"/>
      <w:bookmarkEnd w:id="952"/>
      <w:bookmarkEnd w:id="953"/>
      <w:bookmarkEnd w:id="954"/>
    </w:p>
    <w:p w14:paraId="56E89B4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bidi="en-US"/>
        </w:rPr>
      </w:pPr>
      <w:r>
        <w:rPr>
          <w:rFonts w:hint="eastAsia" w:ascii="宋体" w:hAnsi="宋体" w:eastAsia="宋体" w:cs="宋体"/>
          <w:color w:val="auto"/>
          <w:sz w:val="24"/>
          <w:szCs w:val="24"/>
          <w:lang w:val="en-US" w:eastAsia="zh-CN" w:bidi="en-US"/>
        </w:rPr>
        <w:t>1.1</w:t>
      </w:r>
      <w:r>
        <w:rPr>
          <w:rFonts w:hint="eastAsia" w:ascii="宋体" w:hAnsi="宋体" w:eastAsia="宋体" w:cs="宋体"/>
          <w:color w:val="auto"/>
          <w:sz w:val="24"/>
          <w:szCs w:val="24"/>
          <w:lang w:bidi="en-US"/>
        </w:rPr>
        <w:t>本次评审采用综合评分法。</w:t>
      </w:r>
    </w:p>
    <w:p w14:paraId="239F75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lang w:bidi="en-US"/>
        </w:rPr>
        <w:t>磋商小组对满足</w:t>
      </w:r>
      <w:r>
        <w:rPr>
          <w:rFonts w:hint="eastAsia" w:ascii="宋体" w:hAnsi="宋体" w:eastAsia="宋体" w:cs="宋体"/>
          <w:color w:val="auto"/>
          <w:sz w:val="24"/>
          <w:szCs w:val="24"/>
          <w:lang w:eastAsia="zh-CN" w:bidi="en-US"/>
        </w:rPr>
        <w:t>竞争性磋商文件</w:t>
      </w:r>
      <w:r>
        <w:rPr>
          <w:rFonts w:hint="eastAsia" w:ascii="宋体" w:hAnsi="宋体" w:eastAsia="宋体" w:cs="宋体"/>
          <w:color w:val="auto"/>
          <w:sz w:val="24"/>
          <w:szCs w:val="24"/>
          <w:lang w:bidi="en-US"/>
        </w:rPr>
        <w:t>实质性要求的响应文件</w:t>
      </w:r>
      <w:r>
        <w:rPr>
          <w:rFonts w:hint="eastAsia" w:ascii="宋体" w:hAnsi="宋体" w:eastAsia="宋体" w:cs="宋体"/>
          <w:color w:val="auto"/>
          <w:sz w:val="24"/>
          <w:szCs w:val="24"/>
        </w:rPr>
        <w:t>，按照本章规定的评分标准进行打分，并按得分由高到低顺序推荐成交候选人，</w:t>
      </w:r>
      <w:r>
        <w:rPr>
          <w:rFonts w:hint="eastAsia" w:ascii="宋体" w:hAnsi="宋体" w:eastAsia="宋体" w:cs="宋体"/>
          <w:color w:val="auto"/>
          <w:kern w:val="0"/>
          <w:sz w:val="24"/>
          <w:szCs w:val="24"/>
        </w:rPr>
        <w:t>综合评分相等时，以报价得分高的优先；报价得分也相等的，由采购人自行确定。</w:t>
      </w:r>
      <w:bookmarkStart w:id="955" w:name="_Toc20837"/>
      <w:bookmarkStart w:id="956" w:name="_Toc26131"/>
      <w:bookmarkStart w:id="957" w:name="_Toc29362"/>
      <w:bookmarkStart w:id="958" w:name="_Toc152042378"/>
      <w:bookmarkStart w:id="959" w:name="_Toc6612"/>
      <w:bookmarkStart w:id="960" w:name="_Toc466298140"/>
      <w:bookmarkStart w:id="961" w:name="_Toc318450723"/>
      <w:bookmarkStart w:id="962" w:name="_Toc152045601"/>
      <w:bookmarkStart w:id="963" w:name="_Toc144974568"/>
      <w:bookmarkStart w:id="964" w:name="_Toc490667876"/>
      <w:bookmarkStart w:id="965" w:name="_Toc455867817"/>
      <w:bookmarkStart w:id="966" w:name="_Toc455080157"/>
      <w:bookmarkStart w:id="967" w:name="_Toc24936"/>
      <w:bookmarkStart w:id="968" w:name="_Toc281405529"/>
    </w:p>
    <w:p w14:paraId="6AFD4410">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8"/>
          <w:lang w:val="en-US" w:eastAsia="zh-CN"/>
        </w:rPr>
      </w:pPr>
      <w:r>
        <w:rPr>
          <w:rFonts w:hint="eastAsia" w:ascii="宋体" w:hAnsi="宋体" w:eastAsia="宋体" w:cs="宋体"/>
          <w:color w:val="auto"/>
          <w:kern w:val="0"/>
          <w:sz w:val="24"/>
          <w:szCs w:val="24"/>
          <w:lang w:val="en-US" w:eastAsia="zh-CN"/>
        </w:rPr>
        <w:t>1.2</w:t>
      </w:r>
      <w:r>
        <w:rPr>
          <w:rFonts w:hint="eastAsia" w:ascii="宋体" w:hAnsi="宋体" w:eastAsia="宋体" w:cs="宋体"/>
          <w:color w:val="000000"/>
          <w:sz w:val="24"/>
          <w:szCs w:val="24"/>
        </w:rPr>
        <w:t>经评标委员会初步评审后有效投标不足3个的，评标委员会应予废标。</w:t>
      </w:r>
    </w:p>
    <w:p w14:paraId="3987F44D">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评审标准</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Start w:id="969" w:name="_Toc318450724"/>
      <w:bookmarkStart w:id="970" w:name="_Toc19934"/>
      <w:bookmarkStart w:id="971" w:name="_Toc11223"/>
      <w:bookmarkStart w:id="972" w:name="_Toc6711"/>
      <w:bookmarkStart w:id="973" w:name="_Toc144974569"/>
      <w:bookmarkStart w:id="974" w:name="_Toc25637"/>
      <w:bookmarkStart w:id="975" w:name="_Toc21120"/>
      <w:bookmarkStart w:id="976" w:name="_Toc455867818"/>
      <w:bookmarkStart w:id="977" w:name="_Toc152042379"/>
      <w:bookmarkStart w:id="978" w:name="_Toc466298141"/>
      <w:bookmarkStart w:id="979" w:name="_Toc31037"/>
      <w:bookmarkStart w:id="980" w:name="_Toc2867"/>
      <w:bookmarkStart w:id="981" w:name="_Toc455080158"/>
      <w:bookmarkStart w:id="982" w:name="_Toc15813"/>
      <w:bookmarkStart w:id="983" w:name="_Toc152045602"/>
      <w:bookmarkStart w:id="984" w:name="_Toc281405530"/>
      <w:bookmarkStart w:id="985" w:name="_Toc490667877"/>
      <w:bookmarkStart w:id="986" w:name="_Toc24558"/>
    </w:p>
    <w:p w14:paraId="21529D6C">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2.1 初步评审标准</w:t>
      </w:r>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1E68E7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资格检查评审标准：见评审办法前附表。</w:t>
      </w:r>
    </w:p>
    <w:p w14:paraId="4F9138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符合</w:t>
      </w:r>
      <w:r>
        <w:rPr>
          <w:rFonts w:hint="eastAsia" w:ascii="宋体" w:hAnsi="宋体" w:eastAsia="宋体" w:cs="宋体"/>
          <w:color w:val="auto"/>
          <w:sz w:val="24"/>
          <w:szCs w:val="24"/>
        </w:rPr>
        <w:t>性检查评审标准：见评审办法前附表。</w:t>
      </w:r>
    </w:p>
    <w:p w14:paraId="694284BD">
      <w:pPr>
        <w:pStyle w:val="34"/>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987" w:name="_Toc455080159"/>
      <w:bookmarkStart w:id="988" w:name="_Toc7284"/>
      <w:bookmarkStart w:id="989" w:name="_Toc490667878"/>
      <w:bookmarkStart w:id="990" w:name="_Toc26179"/>
      <w:bookmarkStart w:id="991" w:name="_Toc12013"/>
      <w:bookmarkStart w:id="992" w:name="_Toc21970"/>
      <w:bookmarkStart w:id="993" w:name="_Toc4136"/>
      <w:bookmarkStart w:id="994" w:name="_Toc466298142"/>
      <w:bookmarkStart w:id="995" w:name="_Toc25492"/>
      <w:bookmarkStart w:id="996" w:name="_Toc318450725"/>
      <w:bookmarkStart w:id="997" w:name="_Toc152045603"/>
      <w:bookmarkStart w:id="998" w:name="_Toc24825"/>
      <w:bookmarkStart w:id="999" w:name="_Toc22439"/>
      <w:bookmarkStart w:id="1000" w:name="_Toc455867819"/>
      <w:bookmarkStart w:id="1001" w:name="_Toc144974570"/>
      <w:bookmarkStart w:id="1002" w:name="_Toc30189"/>
      <w:bookmarkStart w:id="1003" w:name="_Toc152042380"/>
      <w:bookmarkStart w:id="1004" w:name="_Toc30479"/>
      <w:bookmarkStart w:id="1005" w:name="_Toc281405531"/>
      <w:bookmarkStart w:id="1006" w:name="_Toc11061"/>
      <w:r>
        <w:rPr>
          <w:rFonts w:hint="eastAsia" w:ascii="宋体" w:hAnsi="宋体" w:eastAsia="宋体" w:cs="宋体"/>
          <w:b/>
          <w:bCs/>
          <w:color w:val="auto"/>
          <w:sz w:val="24"/>
          <w:szCs w:val="24"/>
        </w:rPr>
        <w:t>2.2 分值构成与评分标准</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0794088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（1）商务标：见评审办法前附表；</w:t>
      </w:r>
    </w:p>
    <w:p w14:paraId="15D638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（2）技术标：见评审办法前附表；</w:t>
      </w:r>
    </w:p>
    <w:p w14:paraId="7818E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（3）综合标：见评审办法前附表。</w:t>
      </w:r>
    </w:p>
    <w:p w14:paraId="732F8FEE">
      <w:pPr>
        <w:pStyle w:val="31"/>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b/>
          <w:bCs/>
          <w:color w:val="auto"/>
          <w:sz w:val="24"/>
          <w:szCs w:val="24"/>
        </w:rPr>
      </w:pPr>
      <w:bookmarkStart w:id="1007" w:name="_Toc26113"/>
      <w:bookmarkStart w:id="1008" w:name="_Toc490667879"/>
      <w:bookmarkStart w:id="1009" w:name="_Toc466298143"/>
      <w:bookmarkStart w:id="1010" w:name="_Toc455080160"/>
      <w:bookmarkStart w:id="1011" w:name="_Toc5270"/>
      <w:bookmarkStart w:id="1012" w:name="_Toc29297"/>
      <w:bookmarkStart w:id="1013" w:name="_Toc318450726"/>
      <w:bookmarkStart w:id="1014" w:name="_Toc17308"/>
      <w:bookmarkStart w:id="1015" w:name="_Toc18127"/>
      <w:bookmarkStart w:id="1016" w:name="_Toc32314"/>
      <w:bookmarkStart w:id="1017" w:name="_Toc281405532"/>
      <w:bookmarkStart w:id="1018" w:name="_Toc16479"/>
      <w:bookmarkStart w:id="1019" w:name="_Toc455867820"/>
      <w:r>
        <w:rPr>
          <w:rFonts w:hint="eastAsia" w:ascii="宋体" w:hAnsi="宋体" w:eastAsia="宋体" w:cs="宋体"/>
          <w:b/>
          <w:bCs/>
          <w:color w:val="auto"/>
          <w:sz w:val="24"/>
          <w:szCs w:val="24"/>
        </w:rPr>
        <w:t>3. 评审程序</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52C0C10F">
      <w:pPr>
        <w:pStyle w:val="34"/>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020" w:name="_Toc490667880"/>
      <w:bookmarkStart w:id="1021" w:name="_Toc466298144"/>
      <w:bookmarkStart w:id="1022" w:name="_Toc281405533"/>
      <w:bookmarkStart w:id="1023" w:name="_Toc22972"/>
      <w:bookmarkStart w:id="1024" w:name="_Toc5427"/>
      <w:bookmarkStart w:id="1025" w:name="_Toc25798"/>
      <w:bookmarkStart w:id="1026" w:name="_Toc29614"/>
      <w:bookmarkStart w:id="1027" w:name="_Toc318450727"/>
      <w:bookmarkStart w:id="1028" w:name="_Toc29092"/>
      <w:bookmarkStart w:id="1029" w:name="_Toc18886"/>
      <w:bookmarkStart w:id="1030" w:name="_Toc30986"/>
      <w:bookmarkStart w:id="1031" w:name="_Toc9433"/>
      <w:bookmarkStart w:id="1032" w:name="_Toc7272"/>
      <w:bookmarkStart w:id="1033" w:name="_Toc14633"/>
      <w:bookmarkStart w:id="1034" w:name="_Toc455080161"/>
      <w:bookmarkStart w:id="1035" w:name="_Toc455867821"/>
      <w:bookmarkStart w:id="1036" w:name="_Toc2410"/>
      <w:bookmarkStart w:id="1037" w:name="_Toc16892"/>
      <w:r>
        <w:rPr>
          <w:rFonts w:hint="eastAsia" w:ascii="宋体" w:hAnsi="宋体" w:eastAsia="宋体" w:cs="宋体"/>
          <w:b/>
          <w:bCs/>
          <w:color w:val="auto"/>
          <w:sz w:val="24"/>
          <w:szCs w:val="24"/>
        </w:rPr>
        <w:t>3.1 初步评审</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05CC6B6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bCs/>
          <w:color w:val="000000"/>
          <w:sz w:val="24"/>
          <w:szCs w:val="24"/>
        </w:rPr>
      </w:pPr>
      <w:bookmarkStart w:id="1038" w:name="_Toc490667881"/>
      <w:bookmarkStart w:id="1039" w:name="_Toc10692"/>
      <w:bookmarkStart w:id="1040" w:name="_Toc26280"/>
      <w:bookmarkStart w:id="1041" w:name="_Toc21032"/>
      <w:bookmarkStart w:id="1042" w:name="_Toc12406"/>
      <w:bookmarkStart w:id="1043" w:name="_Toc466298145"/>
      <w:bookmarkStart w:id="1044" w:name="_Toc455867822"/>
      <w:bookmarkStart w:id="1045" w:name="_Toc281405534"/>
      <w:bookmarkStart w:id="1046" w:name="_Toc318450728"/>
      <w:bookmarkStart w:id="1047" w:name="_Toc455080162"/>
      <w:bookmarkStart w:id="1048" w:name="_Toc16964"/>
      <w:bookmarkStart w:id="1049" w:name="_Toc13386"/>
      <w:bookmarkStart w:id="1050" w:name="_Toc21570"/>
      <w:bookmarkStart w:id="1051" w:name="_Toc22101"/>
      <w:bookmarkStart w:id="1052" w:name="_Toc7121"/>
      <w:bookmarkStart w:id="1053" w:name="_Toc26049"/>
      <w:r>
        <w:rPr>
          <w:rFonts w:hint="eastAsia" w:ascii="宋体" w:hAnsi="宋体" w:eastAsia="宋体" w:cs="宋体"/>
          <w:color w:val="000000"/>
          <w:sz w:val="24"/>
          <w:szCs w:val="24"/>
        </w:rPr>
        <w:t>3.1.1只有通过资格审查的</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才能进入</w:t>
      </w:r>
      <w:r>
        <w:rPr>
          <w:rFonts w:hint="eastAsia" w:ascii="宋体" w:hAnsi="宋体" w:eastAsia="宋体" w:cs="宋体"/>
          <w:color w:val="000000"/>
          <w:sz w:val="24"/>
          <w:szCs w:val="24"/>
          <w:lang w:eastAsia="zh-CN"/>
        </w:rPr>
        <w:t>符合性评审</w:t>
      </w:r>
      <w:r>
        <w:rPr>
          <w:rFonts w:hint="eastAsia" w:ascii="宋体" w:hAnsi="宋体" w:eastAsia="宋体" w:cs="宋体"/>
          <w:color w:val="000000"/>
          <w:sz w:val="24"/>
          <w:szCs w:val="24"/>
        </w:rPr>
        <w:t>。评标委员会依据</w:t>
      </w: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规定的内容和标准对</w:t>
      </w:r>
      <w:r>
        <w:rPr>
          <w:rFonts w:hint="eastAsia" w:ascii="宋体" w:hAnsi="宋体" w:eastAsia="宋体" w:cs="宋体"/>
          <w:color w:val="000000"/>
          <w:sz w:val="24"/>
          <w:szCs w:val="24"/>
          <w:lang w:eastAsia="zh-CN"/>
        </w:rPr>
        <w:t>响应</w:t>
      </w:r>
      <w:r>
        <w:rPr>
          <w:rFonts w:hint="eastAsia" w:ascii="宋体" w:hAnsi="宋体" w:eastAsia="宋体" w:cs="宋体"/>
          <w:color w:val="000000"/>
          <w:sz w:val="24"/>
          <w:szCs w:val="24"/>
        </w:rPr>
        <w:t>文件进行</w:t>
      </w:r>
      <w:r>
        <w:rPr>
          <w:rFonts w:hint="eastAsia" w:ascii="宋体" w:hAnsi="宋体" w:eastAsia="宋体" w:cs="宋体"/>
          <w:color w:val="000000"/>
          <w:sz w:val="24"/>
          <w:szCs w:val="24"/>
          <w:lang w:eastAsia="zh-CN"/>
        </w:rPr>
        <w:t>符合性审查</w:t>
      </w:r>
      <w:r>
        <w:rPr>
          <w:rFonts w:hint="eastAsia" w:ascii="宋体" w:hAnsi="宋体" w:eastAsia="宋体" w:cs="宋体"/>
          <w:color w:val="000000"/>
          <w:sz w:val="24"/>
          <w:szCs w:val="24"/>
        </w:rPr>
        <w:t>。</w:t>
      </w:r>
      <w:r>
        <w:rPr>
          <w:rFonts w:hint="eastAsia" w:ascii="宋体" w:hAnsi="宋体" w:eastAsia="宋体" w:cs="宋体"/>
          <w:b/>
          <w:bCs/>
          <w:color w:val="000000"/>
          <w:sz w:val="24"/>
          <w:szCs w:val="24"/>
        </w:rPr>
        <w:t>有一项不符合评审标准的，其投标做无效</w:t>
      </w:r>
      <w:r>
        <w:rPr>
          <w:rFonts w:hint="eastAsia" w:ascii="宋体" w:hAnsi="宋体" w:eastAsia="宋体" w:cs="宋体"/>
          <w:b/>
          <w:bCs/>
          <w:color w:val="000000"/>
          <w:sz w:val="24"/>
          <w:szCs w:val="24"/>
          <w:lang w:eastAsia="zh-CN"/>
        </w:rPr>
        <w:t>投标</w:t>
      </w:r>
      <w:r>
        <w:rPr>
          <w:rFonts w:hint="eastAsia" w:ascii="宋体" w:hAnsi="宋体" w:eastAsia="宋体" w:cs="宋体"/>
          <w:b/>
          <w:bCs/>
          <w:color w:val="000000"/>
          <w:sz w:val="24"/>
          <w:szCs w:val="24"/>
        </w:rPr>
        <w:t>处理，不得进入详细评审。</w:t>
      </w:r>
    </w:p>
    <w:p w14:paraId="0E27C8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 供应商有以下情形之一的，其响应文件作无效处理：</w:t>
      </w:r>
    </w:p>
    <w:p w14:paraId="109FF00D">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）串通或弄虚作假或有其他违法行为的；</w:t>
      </w:r>
    </w:p>
    <w:p w14:paraId="50522C74">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）不按磋商小组要求澄清、说明或补正的；</w:t>
      </w:r>
    </w:p>
    <w:p w14:paraId="4AFF36B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）未按规定格式填写、内容不全或关键字迹模糊、无法辨认的；</w:t>
      </w:r>
    </w:p>
    <w:p w14:paraId="4F6BF429">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）响应文件附有采购人不能接受的条件；</w:t>
      </w:r>
    </w:p>
    <w:p w14:paraId="1F0174A6">
      <w:pPr>
        <w:pageBreakBefore w:val="0"/>
        <w:widowControl w:val="0"/>
        <w:kinsoku/>
        <w:wordWrap/>
        <w:overflowPunct/>
        <w:topLinePunct w:val="0"/>
        <w:autoSpaceDE/>
        <w:autoSpaceDN/>
        <w:bidi w:val="0"/>
        <w:adjustRightInd/>
        <w:snapToGrid/>
        <w:spacing w:line="500" w:lineRule="exact"/>
        <w:ind w:left="0" w:leftChars="0" w:firstLine="1058" w:firstLineChars="44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）不符合</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规定的其他实质性要求。</w:t>
      </w:r>
    </w:p>
    <w:p w14:paraId="5693A8BF">
      <w:pPr>
        <w:pStyle w:val="34"/>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054" w:name="_Toc1098"/>
      <w:bookmarkStart w:id="1055" w:name="_Toc9462"/>
      <w:r>
        <w:rPr>
          <w:rFonts w:hint="eastAsia" w:ascii="宋体" w:hAnsi="宋体" w:eastAsia="宋体" w:cs="宋体"/>
          <w:b/>
          <w:bCs/>
          <w:color w:val="auto"/>
          <w:sz w:val="24"/>
          <w:szCs w:val="24"/>
        </w:rPr>
        <w:t>3.2 详细评审</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p>
    <w:p w14:paraId="21A968B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 磋商小组按本章第2.2款规定的量化因素和分值进行打分，并计算出综合评分得分。</w:t>
      </w:r>
    </w:p>
    <w:p w14:paraId="7BCE6CB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 评分分值计算保留小数点后两位，小数点后第三位“四舍五入”。</w:t>
      </w:r>
    </w:p>
    <w:p w14:paraId="5A2676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3.2.3供应商的最终得分以全部小组成员打分的算术平均值为准，作为该供应商的最终得分。</w:t>
      </w:r>
    </w:p>
    <w:p w14:paraId="6EAEAD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3.2.4在磋商过程中，凡遇到</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中无界定或界定不清、前后不一致使磋商小组意见有分歧且又难以协商一致的问题，均由磋商小组予以表决，获半数以上同意的即为通过，未获半数同意的即为否决。</w:t>
      </w:r>
    </w:p>
    <w:p w14:paraId="54BCB78F">
      <w:pPr>
        <w:pStyle w:val="34"/>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b/>
          <w:bCs/>
          <w:color w:val="auto"/>
          <w:sz w:val="24"/>
          <w:szCs w:val="24"/>
        </w:rPr>
      </w:pPr>
      <w:bookmarkStart w:id="1056" w:name="_Toc331"/>
      <w:bookmarkStart w:id="1057" w:name="_Toc8813"/>
      <w:bookmarkStart w:id="1058" w:name="_Toc23825"/>
      <w:bookmarkStart w:id="1059" w:name="_Toc466298146"/>
      <w:bookmarkStart w:id="1060" w:name="_Toc28633"/>
      <w:bookmarkStart w:id="1061" w:name="_Toc13980"/>
      <w:bookmarkStart w:id="1062" w:name="_Toc24862"/>
      <w:bookmarkStart w:id="1063" w:name="_Toc318450729"/>
      <w:bookmarkStart w:id="1064" w:name="_Toc10153"/>
      <w:bookmarkStart w:id="1065" w:name="_Toc2657"/>
      <w:bookmarkStart w:id="1066" w:name="_Toc455867823"/>
      <w:bookmarkStart w:id="1067" w:name="_Toc281405535"/>
      <w:bookmarkStart w:id="1068" w:name="_Toc22084"/>
      <w:bookmarkStart w:id="1069" w:name="_Toc455080163"/>
      <w:bookmarkStart w:id="1070" w:name="_Toc490667882"/>
      <w:bookmarkStart w:id="1071" w:name="_Toc12374"/>
      <w:bookmarkStart w:id="1072" w:name="_Toc11958"/>
      <w:bookmarkStart w:id="1073" w:name="_Toc8342"/>
      <w:r>
        <w:rPr>
          <w:rFonts w:hint="eastAsia" w:ascii="宋体" w:hAnsi="宋体" w:eastAsia="宋体" w:cs="宋体"/>
          <w:b/>
          <w:bCs/>
          <w:color w:val="auto"/>
          <w:sz w:val="24"/>
          <w:szCs w:val="24"/>
        </w:rPr>
        <w:t>3.3 响应文件的澄清和补正</w:t>
      </w:r>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4D8D1C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3.3.1在磋商过程中，磋商小组可以书面形式要求供应商对所提交的响应文件中不明确的内容进行书面澄清或说明，或者对细微偏离进行补正。磋商小组不接受供应商主动提出的澄清、说明或补正。</w:t>
      </w:r>
    </w:p>
    <w:p w14:paraId="79A5042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3.3.2 澄清、说明和补正不得超出响应文件的范围或者改变响应文件的实质性内容（算术性错误修正的除外）。供应商的书面澄清、说明和补正属于响应文件的组成部分。</w:t>
      </w:r>
    </w:p>
    <w:p w14:paraId="0A0BF46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3.3.3 磋商小组对供应商提交的澄清、说明或补正有疑问的，可以要求供应商进一步澄清、说明或补正，直至满足磋商小组的要求。</w:t>
      </w:r>
    </w:p>
    <w:p w14:paraId="3D18C168">
      <w:pPr>
        <w:pStyle w:val="34"/>
        <w:pageBreakBefore w:val="0"/>
        <w:widowControl w:val="0"/>
        <w:kinsoku/>
        <w:wordWrap/>
        <w:overflowPunct/>
        <w:topLinePunct w:val="0"/>
        <w:autoSpaceDE/>
        <w:autoSpaceDN/>
        <w:bidi w:val="0"/>
        <w:adjustRightInd/>
        <w:snapToGrid/>
        <w:spacing w:before="0" w:beforeLines="0" w:after="0" w:afterLines="0" w:line="500" w:lineRule="exact"/>
        <w:textAlignment w:val="auto"/>
        <w:outlineLvl w:val="0"/>
        <w:rPr>
          <w:rFonts w:hint="eastAsia" w:ascii="宋体" w:hAnsi="宋体" w:eastAsia="宋体" w:cs="宋体"/>
          <w:color w:val="auto"/>
          <w:sz w:val="24"/>
          <w:szCs w:val="24"/>
        </w:rPr>
      </w:pPr>
      <w:bookmarkStart w:id="1074" w:name="_Toc466298147"/>
      <w:bookmarkStart w:id="1075" w:name="_Toc13305"/>
      <w:bookmarkStart w:id="1076" w:name="_Toc19453"/>
      <w:bookmarkStart w:id="1077" w:name="_Toc13842"/>
      <w:bookmarkStart w:id="1078" w:name="_Toc455867824"/>
      <w:bookmarkStart w:id="1079" w:name="_Toc26894"/>
      <w:bookmarkStart w:id="1080" w:name="_Toc490667883"/>
      <w:bookmarkStart w:id="1081" w:name="_Toc22049"/>
      <w:bookmarkStart w:id="1082" w:name="_Toc32183"/>
      <w:bookmarkStart w:id="1083" w:name="_Toc5903"/>
      <w:bookmarkStart w:id="1084" w:name="_Toc455080164"/>
      <w:bookmarkStart w:id="1085" w:name="_Toc30053"/>
      <w:bookmarkStart w:id="1086" w:name="_Toc22682"/>
      <w:bookmarkStart w:id="1087" w:name="_Toc22986"/>
      <w:bookmarkStart w:id="1088" w:name="_Toc281405536"/>
      <w:bookmarkStart w:id="1089" w:name="_Toc318450730"/>
      <w:bookmarkStart w:id="1090" w:name="_Toc1857"/>
      <w:bookmarkStart w:id="1091" w:name="_Toc19938"/>
      <w:r>
        <w:rPr>
          <w:rFonts w:hint="eastAsia" w:ascii="宋体" w:hAnsi="宋体" w:eastAsia="宋体" w:cs="宋体"/>
          <w:color w:val="auto"/>
          <w:sz w:val="24"/>
          <w:szCs w:val="24"/>
        </w:rPr>
        <w:t>3.4 评审结果</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p w14:paraId="2AFCC0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3.4.1除第二章“供应商须知”前附表授权直接确定成交人外，磋商小组按照得分由高到低的顺序推荐成交候选人。</w:t>
      </w:r>
    </w:p>
    <w:p w14:paraId="4894922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3.4.2 磋商小组完成评审后，应当向采购人提交书面评审报告。</w:t>
      </w:r>
    </w:p>
    <w:p w14:paraId="6C43C2A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bookmarkStart w:id="1092" w:name="_Toc14024"/>
      <w:bookmarkStart w:id="1093" w:name="_Toc152045609"/>
      <w:bookmarkStart w:id="1094" w:name="_Toc152042387"/>
      <w:bookmarkStart w:id="1095" w:name="_Toc144974577"/>
      <w:r>
        <w:rPr>
          <w:rFonts w:hint="eastAsia" w:ascii="宋体" w:hAnsi="宋体" w:eastAsia="宋体" w:cs="宋体"/>
          <w:color w:val="auto"/>
          <w:sz w:val="24"/>
          <w:szCs w:val="24"/>
        </w:rPr>
        <w:t>3.4.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评标结果同时在</w:t>
      </w:r>
      <w:r>
        <w:rPr>
          <w:rFonts w:hint="eastAsia" w:ascii="宋体" w:hAnsi="宋体" w:eastAsia="宋体" w:cs="宋体"/>
          <w:color w:val="auto"/>
          <w:sz w:val="24"/>
          <w:szCs w:val="24"/>
          <w:lang w:val="en-US" w:eastAsia="zh-CN"/>
        </w:rPr>
        <w:t>《中国招标投标公共服务平台》、《河南省政府采购网》、《全国公共资源交易平台（河南省·息县）》</w:t>
      </w:r>
      <w:r>
        <w:rPr>
          <w:rFonts w:hint="eastAsia" w:ascii="宋体" w:hAnsi="宋体" w:eastAsia="宋体" w:cs="宋体"/>
          <w:color w:val="auto"/>
          <w:sz w:val="24"/>
          <w:szCs w:val="24"/>
        </w:rPr>
        <w:t>公示。</w:t>
      </w:r>
    </w:p>
    <w:p w14:paraId="590523F4">
      <w:pPr>
        <w:rPr>
          <w:rFonts w:hint="eastAsia" w:ascii="宋体" w:hAnsi="宋体" w:cs="宋体"/>
          <w:bCs/>
          <w:color w:val="auto"/>
          <w:sz w:val="28"/>
          <w:szCs w:val="28"/>
        </w:rPr>
      </w:pPr>
    </w:p>
    <w:p w14:paraId="4A41242A">
      <w:pPr>
        <w:pStyle w:val="2"/>
        <w:rPr>
          <w:rFonts w:hint="eastAsia" w:ascii="宋体" w:hAnsi="宋体" w:cs="宋体"/>
          <w:bCs/>
          <w:color w:val="auto"/>
          <w:sz w:val="28"/>
          <w:szCs w:val="28"/>
        </w:rPr>
      </w:pPr>
    </w:p>
    <w:p w14:paraId="1E71B683">
      <w:pPr>
        <w:pStyle w:val="4"/>
        <w:tabs>
          <w:tab w:val="left" w:pos="945"/>
          <w:tab w:val="left" w:pos="1155"/>
        </w:tabs>
        <w:rPr>
          <w:rFonts w:hint="eastAsia" w:ascii="宋体" w:hAnsi="宋体" w:cs="宋体"/>
          <w:bCs/>
          <w:color w:val="auto"/>
          <w:sz w:val="28"/>
          <w:szCs w:val="28"/>
        </w:rPr>
      </w:pPr>
    </w:p>
    <w:p w14:paraId="279CB869">
      <w:pPr>
        <w:rPr>
          <w:rFonts w:hint="eastAsia" w:ascii="宋体" w:hAnsi="宋体" w:cs="宋体"/>
          <w:bCs/>
          <w:color w:val="auto"/>
          <w:sz w:val="28"/>
          <w:szCs w:val="28"/>
        </w:rPr>
      </w:pPr>
    </w:p>
    <w:p w14:paraId="5616F6A2">
      <w:pPr>
        <w:pStyle w:val="4"/>
        <w:tabs>
          <w:tab w:val="left" w:pos="945"/>
          <w:tab w:val="left" w:pos="1155"/>
        </w:tabs>
        <w:rPr>
          <w:rFonts w:hint="eastAsia" w:ascii="宋体" w:hAnsi="宋体" w:cs="宋体"/>
          <w:bCs/>
          <w:color w:val="auto"/>
          <w:sz w:val="28"/>
          <w:szCs w:val="28"/>
        </w:rPr>
      </w:pPr>
    </w:p>
    <w:p w14:paraId="10805760">
      <w:pPr>
        <w:pStyle w:val="8"/>
        <w:pageBreakBefore w:val="0"/>
        <w:numPr>
          <w:ilvl w:val="0"/>
          <w:numId w:val="0"/>
        </w:numPr>
        <w:kinsoku/>
        <w:wordWrap/>
        <w:overflowPunct/>
        <w:topLinePunct w:val="0"/>
        <w:bidi w:val="0"/>
        <w:spacing w:line="400" w:lineRule="exact"/>
        <w:ind w:left="459" w:leftChars="0"/>
        <w:rPr>
          <w:rFonts w:hint="eastAsia" w:ascii="宋体" w:hAnsi="宋体" w:eastAsia="宋体" w:cs="宋体"/>
          <w:color w:val="000000"/>
          <w:sz w:val="24"/>
          <w:szCs w:val="24"/>
        </w:rPr>
      </w:pPr>
      <w:bookmarkStart w:id="1096" w:name="_Toc27173"/>
      <w:bookmarkStart w:id="1097" w:name="_Toc31487"/>
      <w:r>
        <w:rPr>
          <w:rFonts w:hint="eastAsia" w:ascii="宋体" w:hAnsi="宋体" w:eastAsia="宋体" w:cs="宋体"/>
          <w:color w:val="000000"/>
          <w:sz w:val="24"/>
          <w:szCs w:val="24"/>
        </w:rPr>
        <w:t>附件：废标条件</w:t>
      </w:r>
      <w:bookmarkEnd w:id="1096"/>
      <w:bookmarkEnd w:id="1097"/>
    </w:p>
    <w:p w14:paraId="7E56D463">
      <w:pPr>
        <w:pageBreakBefore w:val="0"/>
        <w:kinsoku/>
        <w:wordWrap/>
        <w:overflowPunct/>
        <w:topLinePunct w:val="0"/>
        <w:bidi w:val="0"/>
        <w:spacing w:line="480" w:lineRule="auto"/>
        <w:ind w:firstLine="482" w:firstLineChars="20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废标条件</w:t>
      </w:r>
    </w:p>
    <w:p w14:paraId="7745E696">
      <w:pPr>
        <w:pageBreakBefore w:val="0"/>
        <w:kinsoku/>
        <w:wordWrap/>
        <w:overflowPunct/>
        <w:topLinePunct w:val="0"/>
        <w:bidi w:val="0"/>
        <w:spacing w:line="480" w:lineRule="auto"/>
        <w:ind w:firstLine="482" w:firstLineChars="200"/>
        <w:rPr>
          <w:rFonts w:hint="eastAsia" w:ascii="宋体" w:hAnsi="宋体" w:eastAsia="宋体" w:cs="宋体"/>
          <w:b/>
          <w:color w:val="000000"/>
          <w:sz w:val="24"/>
          <w:szCs w:val="24"/>
        </w:rPr>
      </w:pPr>
    </w:p>
    <w:p w14:paraId="01BDA146">
      <w:pPr>
        <w:pageBreakBefore w:val="0"/>
        <w:kinsoku/>
        <w:wordWrap/>
        <w:overflowPunct/>
        <w:topLinePunct w:val="0"/>
        <w:bidi w:val="0"/>
        <w:spacing w:line="360" w:lineRule="auto"/>
        <w:ind w:firstLine="723" w:firstLineChars="300"/>
        <w:rPr>
          <w:rFonts w:hint="eastAsia"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w:t>
      </w:r>
      <w:r>
        <w:rPr>
          <w:rFonts w:hint="eastAsia" w:ascii="宋体" w:hAnsi="宋体" w:eastAsia="宋体" w:cs="宋体"/>
          <w:b/>
          <w:color w:val="000000"/>
          <w:sz w:val="24"/>
          <w:szCs w:val="24"/>
          <w:lang w:eastAsia="zh-CN"/>
        </w:rPr>
        <w:t>供应商</w:t>
      </w:r>
      <w:r>
        <w:rPr>
          <w:rFonts w:hint="eastAsia" w:ascii="宋体" w:hAnsi="宋体" w:eastAsia="宋体" w:cs="宋体"/>
          <w:b/>
          <w:color w:val="000000"/>
          <w:sz w:val="24"/>
          <w:szCs w:val="24"/>
        </w:rPr>
        <w:t>须知”和本章正文部分所规定的废标条件的总结和补充，如果出现相互矛盾的情况，以第二章“</w:t>
      </w:r>
      <w:r>
        <w:rPr>
          <w:rFonts w:hint="eastAsia" w:ascii="宋体" w:hAnsi="宋体" w:eastAsia="宋体" w:cs="宋体"/>
          <w:b/>
          <w:color w:val="000000"/>
          <w:sz w:val="24"/>
          <w:szCs w:val="24"/>
          <w:lang w:eastAsia="zh-CN"/>
        </w:rPr>
        <w:t>供应商</w:t>
      </w:r>
      <w:r>
        <w:rPr>
          <w:rFonts w:hint="eastAsia" w:ascii="宋体" w:hAnsi="宋体" w:eastAsia="宋体" w:cs="宋体"/>
          <w:b/>
          <w:color w:val="000000"/>
          <w:sz w:val="24"/>
          <w:szCs w:val="24"/>
        </w:rPr>
        <w:t>须知”和本章正文部分的规定为准。</w:t>
      </w:r>
    </w:p>
    <w:p w14:paraId="6EC41E4A">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1.未通过第三章评标办法</w:t>
      </w:r>
      <w:r>
        <w:rPr>
          <w:rFonts w:hint="eastAsia" w:ascii="宋体" w:hAnsi="宋体" w:eastAsia="宋体" w:cs="宋体"/>
          <w:b/>
          <w:color w:val="000000"/>
          <w:sz w:val="24"/>
          <w:szCs w:val="24"/>
          <w:lang w:eastAsia="zh-CN"/>
        </w:rPr>
        <w:t>资格评审、符合性评审的</w:t>
      </w:r>
      <w:r>
        <w:rPr>
          <w:rFonts w:hint="eastAsia" w:ascii="宋体" w:hAnsi="宋体" w:eastAsia="宋体" w:cs="宋体"/>
          <w:b/>
          <w:color w:val="000000"/>
          <w:sz w:val="24"/>
          <w:szCs w:val="24"/>
        </w:rPr>
        <w:t xml:space="preserve">； </w:t>
      </w:r>
    </w:p>
    <w:p w14:paraId="5F0AEB26">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 xml:space="preserve">  </w:t>
      </w: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.不按</w:t>
      </w:r>
      <w:r>
        <w:rPr>
          <w:rFonts w:hint="eastAsia" w:ascii="宋体" w:hAnsi="宋体" w:eastAsia="宋体" w:cs="宋体"/>
          <w:b/>
          <w:color w:val="000000"/>
          <w:sz w:val="24"/>
          <w:szCs w:val="24"/>
          <w:lang w:eastAsia="zh-CN"/>
        </w:rPr>
        <w:t>磋商小组</w:t>
      </w:r>
      <w:r>
        <w:rPr>
          <w:rFonts w:hint="eastAsia" w:ascii="宋体" w:hAnsi="宋体" w:eastAsia="宋体" w:cs="宋体"/>
          <w:b/>
          <w:color w:val="000000"/>
          <w:sz w:val="24"/>
          <w:szCs w:val="24"/>
        </w:rPr>
        <w:t>要求澄清、说明或补正的；</w:t>
      </w:r>
    </w:p>
    <w:p w14:paraId="4A3879B4">
      <w:pPr>
        <w:pageBreakBefore w:val="0"/>
        <w:kinsoku/>
        <w:wordWrap/>
        <w:overflowPunct/>
        <w:topLinePunct w:val="0"/>
        <w:bidi w:val="0"/>
        <w:spacing w:line="360" w:lineRule="auto"/>
        <w:ind w:left="0" w:leftChars="0" w:firstLine="219" w:firstLineChars="91"/>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w:t>
      </w:r>
      <w:r>
        <w:rPr>
          <w:rFonts w:hint="eastAsia" w:ascii="宋体" w:hAnsi="宋体" w:eastAsia="宋体" w:cs="宋体"/>
          <w:b/>
          <w:color w:val="000000"/>
          <w:sz w:val="24"/>
          <w:szCs w:val="24"/>
          <w:lang w:val="en-US" w:eastAsia="zh-CN"/>
        </w:rPr>
        <w:t>3</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eastAsia="zh-CN"/>
        </w:rPr>
        <w:t>磋商</w:t>
      </w:r>
      <w:r>
        <w:rPr>
          <w:rFonts w:hint="eastAsia" w:ascii="宋体" w:hAnsi="宋体" w:eastAsia="宋体" w:cs="宋体"/>
          <w:b/>
          <w:color w:val="000000"/>
          <w:sz w:val="24"/>
          <w:szCs w:val="24"/>
        </w:rPr>
        <w:t>报价有算术性错误，</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不接受修正价格的；</w:t>
      </w:r>
    </w:p>
    <w:p w14:paraId="7D139B60">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4</w:t>
      </w:r>
      <w:r>
        <w:rPr>
          <w:rFonts w:hint="eastAsia" w:ascii="宋体" w:hAnsi="宋体" w:eastAsia="宋体" w:cs="宋体"/>
          <w:b/>
          <w:color w:val="000000"/>
          <w:sz w:val="24"/>
          <w:szCs w:val="24"/>
        </w:rPr>
        <w:t>.以他人的名义投标、以行贿手段谋取中标或者以其他弄虚作假方式投标的；</w:t>
      </w:r>
    </w:p>
    <w:p w14:paraId="08382E53">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.属于串（围）标行为的；</w:t>
      </w:r>
    </w:p>
    <w:p w14:paraId="589DD623">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.评标委员会认定</w:t>
      </w:r>
      <w:r>
        <w:rPr>
          <w:rFonts w:hint="eastAsia" w:ascii="宋体" w:hAnsi="宋体" w:eastAsia="宋体" w:cs="宋体"/>
          <w:b/>
          <w:color w:val="000000"/>
          <w:sz w:val="24"/>
          <w:szCs w:val="24"/>
          <w:lang w:eastAsia="zh-CN"/>
        </w:rPr>
        <w:t>投标供应商</w:t>
      </w:r>
      <w:r>
        <w:rPr>
          <w:rFonts w:hint="eastAsia" w:ascii="宋体" w:hAnsi="宋体" w:eastAsia="宋体" w:cs="宋体"/>
          <w:b/>
          <w:color w:val="000000"/>
          <w:sz w:val="24"/>
          <w:szCs w:val="24"/>
        </w:rPr>
        <w:t>以低于成本报价竞标的；</w:t>
      </w:r>
    </w:p>
    <w:p w14:paraId="4C650EA1">
      <w:pPr>
        <w:pageBreakBefore w:val="0"/>
        <w:kinsoku/>
        <w:wordWrap/>
        <w:overflowPunct/>
        <w:topLinePunct w:val="0"/>
        <w:bidi w:val="0"/>
        <w:spacing w:line="360" w:lineRule="auto"/>
        <w:ind w:left="0" w:leftChars="0" w:firstLine="699" w:firstLineChars="29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7.</w:t>
      </w:r>
      <w:r>
        <w:rPr>
          <w:rFonts w:hint="eastAsia" w:ascii="宋体" w:hAnsi="宋体" w:eastAsia="宋体" w:cs="宋体"/>
          <w:b/>
          <w:color w:val="000000"/>
          <w:sz w:val="24"/>
          <w:szCs w:val="24"/>
        </w:rPr>
        <w:t>明显不符合技术规格、技术标准的要求；</w:t>
      </w:r>
    </w:p>
    <w:p w14:paraId="4E531E88">
      <w:pPr>
        <w:pageBreakBefore w:val="0"/>
        <w:kinsoku/>
        <w:wordWrap/>
        <w:overflowPunct/>
        <w:topLinePunct w:val="0"/>
        <w:bidi w:val="0"/>
        <w:spacing w:line="360" w:lineRule="auto"/>
        <w:ind w:left="0" w:leftChars="0" w:firstLine="460" w:firstLineChars="191"/>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 xml:space="preserve">  8.文件制作机器码、文件创建标识码有相同的；</w:t>
      </w:r>
    </w:p>
    <w:p w14:paraId="22413905">
      <w:pPr>
        <w:spacing w:line="360" w:lineRule="auto"/>
        <w:ind w:left="0" w:leftChars="0" w:firstLine="699" w:firstLineChars="290"/>
        <w:rPr>
          <w:rFonts w:hint="eastAsia" w:ascii="宋体" w:hAnsi="宋体" w:cs="宋体"/>
          <w:bCs/>
          <w:color w:val="auto"/>
          <w:sz w:val="24"/>
          <w:szCs w:val="24"/>
        </w:rPr>
      </w:pPr>
      <w:r>
        <w:rPr>
          <w:rFonts w:hint="eastAsia" w:ascii="宋体" w:hAnsi="宋体" w:eastAsia="宋体" w:cs="宋体"/>
          <w:b/>
          <w:color w:val="000000"/>
          <w:sz w:val="24"/>
          <w:szCs w:val="24"/>
          <w:lang w:val="en-US" w:eastAsia="zh-CN"/>
        </w:rPr>
        <w:t>9.</w:t>
      </w:r>
      <w:r>
        <w:rPr>
          <w:rFonts w:hint="eastAsia" w:ascii="宋体" w:hAnsi="宋体" w:eastAsia="宋体" w:cs="宋体"/>
          <w:b/>
          <w:color w:val="000000"/>
          <w:sz w:val="24"/>
          <w:szCs w:val="24"/>
        </w:rPr>
        <w:t>不符合</w:t>
      </w:r>
      <w:r>
        <w:rPr>
          <w:rFonts w:hint="eastAsia" w:ascii="宋体" w:hAnsi="宋体" w:eastAsia="宋体" w:cs="宋体"/>
          <w:b/>
          <w:color w:val="000000"/>
          <w:sz w:val="24"/>
          <w:szCs w:val="24"/>
          <w:lang w:eastAsia="zh-CN"/>
        </w:rPr>
        <w:t>竞争性磋商</w:t>
      </w:r>
      <w:r>
        <w:rPr>
          <w:rFonts w:hint="eastAsia" w:ascii="宋体" w:hAnsi="宋体" w:eastAsia="宋体" w:cs="宋体"/>
          <w:b/>
          <w:color w:val="000000"/>
          <w:sz w:val="24"/>
          <w:szCs w:val="24"/>
        </w:rPr>
        <w:t>文件规定的其他实质性要求及相关法律、法规或规章规定可以废标的其他情形。</w:t>
      </w:r>
    </w:p>
    <w:p w14:paraId="48466236">
      <w:pPr>
        <w:pStyle w:val="2"/>
        <w:rPr>
          <w:rFonts w:hint="eastAsia" w:ascii="宋体" w:hAnsi="宋体" w:cs="宋体"/>
          <w:bCs/>
          <w:color w:val="auto"/>
          <w:sz w:val="28"/>
          <w:szCs w:val="28"/>
        </w:rPr>
      </w:pPr>
    </w:p>
    <w:p w14:paraId="3DCEAEC8">
      <w:pPr>
        <w:pStyle w:val="4"/>
        <w:tabs>
          <w:tab w:val="left" w:pos="945"/>
          <w:tab w:val="left" w:pos="1155"/>
        </w:tabs>
        <w:rPr>
          <w:rFonts w:hint="eastAsia" w:ascii="宋体" w:hAnsi="宋体" w:cs="宋体"/>
          <w:bCs/>
          <w:color w:val="auto"/>
          <w:sz w:val="28"/>
          <w:szCs w:val="28"/>
        </w:rPr>
      </w:pPr>
    </w:p>
    <w:p w14:paraId="2048774D">
      <w:pPr>
        <w:rPr>
          <w:rFonts w:hint="eastAsia" w:ascii="宋体" w:hAnsi="宋体" w:cs="宋体"/>
          <w:bCs/>
          <w:color w:val="auto"/>
          <w:sz w:val="28"/>
          <w:szCs w:val="28"/>
        </w:rPr>
      </w:pPr>
    </w:p>
    <w:p w14:paraId="2879B004">
      <w:pPr>
        <w:pStyle w:val="2"/>
        <w:rPr>
          <w:rFonts w:hint="eastAsia" w:ascii="宋体" w:hAnsi="宋体" w:cs="宋体"/>
          <w:bCs/>
          <w:color w:val="auto"/>
          <w:sz w:val="28"/>
          <w:szCs w:val="28"/>
        </w:rPr>
      </w:pPr>
    </w:p>
    <w:p w14:paraId="00400AEB">
      <w:pPr>
        <w:pStyle w:val="4"/>
        <w:tabs>
          <w:tab w:val="left" w:pos="945"/>
          <w:tab w:val="left" w:pos="1155"/>
        </w:tabs>
        <w:rPr>
          <w:rFonts w:hint="eastAsia" w:ascii="宋体" w:hAnsi="宋体" w:cs="宋体"/>
          <w:bCs/>
          <w:color w:val="auto"/>
          <w:sz w:val="28"/>
          <w:szCs w:val="28"/>
        </w:rPr>
      </w:pPr>
    </w:p>
    <w:p w14:paraId="7942CD01">
      <w:pPr>
        <w:rPr>
          <w:rFonts w:hint="eastAsia" w:ascii="宋体" w:hAnsi="宋体" w:cs="宋体"/>
          <w:bCs/>
          <w:color w:val="auto"/>
          <w:sz w:val="28"/>
          <w:szCs w:val="28"/>
        </w:rPr>
      </w:pPr>
    </w:p>
    <w:p w14:paraId="6ED36808">
      <w:pPr>
        <w:pStyle w:val="2"/>
        <w:rPr>
          <w:rFonts w:hint="eastAsia" w:ascii="宋体" w:hAnsi="宋体" w:cs="宋体"/>
          <w:bCs/>
          <w:color w:val="auto"/>
          <w:sz w:val="28"/>
          <w:szCs w:val="28"/>
        </w:rPr>
      </w:pPr>
    </w:p>
    <w:p w14:paraId="50D330CE">
      <w:pPr>
        <w:pStyle w:val="4"/>
        <w:rPr>
          <w:rFonts w:hint="eastAsia" w:ascii="宋体" w:hAnsi="宋体" w:cs="宋体"/>
          <w:bCs/>
          <w:color w:val="auto"/>
          <w:sz w:val="28"/>
          <w:szCs w:val="28"/>
        </w:rPr>
      </w:pPr>
    </w:p>
    <w:p w14:paraId="5CEB8ADE">
      <w:pPr>
        <w:rPr>
          <w:rFonts w:hint="eastAsia"/>
        </w:rPr>
      </w:pPr>
    </w:p>
    <w:bookmarkEnd w:id="1092"/>
    <w:bookmarkEnd w:id="1093"/>
    <w:bookmarkEnd w:id="1094"/>
    <w:bookmarkEnd w:id="1095"/>
    <w:p w14:paraId="4D2B7E33">
      <w:pPr>
        <w:spacing w:line="400" w:lineRule="exact"/>
        <w:jc w:val="center"/>
        <w:outlineLvl w:val="0"/>
        <w:rPr>
          <w:rFonts w:hint="eastAsia" w:ascii="宋体" w:hAnsi="宋体" w:cs="宋体"/>
          <w:b/>
          <w:bCs/>
          <w:color w:val="auto"/>
          <w:sz w:val="32"/>
          <w:szCs w:val="32"/>
        </w:rPr>
      </w:pPr>
      <w:bookmarkStart w:id="1098" w:name="_Toc14158"/>
      <w:bookmarkStart w:id="1099" w:name="_Toc152042575"/>
      <w:bookmarkStart w:id="1100" w:name="_Toc152045786"/>
      <w:bookmarkStart w:id="1101" w:name="_Toc144974855"/>
    </w:p>
    <w:p w14:paraId="34307888">
      <w:pPr>
        <w:spacing w:line="400" w:lineRule="exact"/>
        <w:jc w:val="center"/>
        <w:outlineLvl w:val="0"/>
        <w:rPr>
          <w:rFonts w:hint="eastAsia" w:ascii="宋体" w:hAnsi="宋体" w:cs="宋体"/>
          <w:b/>
          <w:bCs/>
          <w:color w:val="auto"/>
          <w:sz w:val="32"/>
          <w:szCs w:val="32"/>
        </w:rPr>
      </w:pPr>
      <w:bookmarkStart w:id="1102" w:name="_Toc11597"/>
      <w:r>
        <w:rPr>
          <w:rFonts w:hint="eastAsia" w:ascii="宋体" w:hAnsi="宋体" w:cs="宋体"/>
          <w:b/>
          <w:bCs/>
          <w:color w:val="auto"/>
          <w:sz w:val="32"/>
          <w:szCs w:val="32"/>
        </w:rPr>
        <w:t xml:space="preserve">第四章  </w:t>
      </w:r>
      <w:r>
        <w:rPr>
          <w:rFonts w:hint="eastAsia" w:ascii="宋体" w:hAnsi="宋体" w:cs="宋体"/>
          <w:b/>
          <w:color w:val="auto"/>
          <w:sz w:val="32"/>
          <w:szCs w:val="32"/>
        </w:rPr>
        <w:t>河南省政府采购合同（</w:t>
      </w:r>
      <w:r>
        <w:rPr>
          <w:rFonts w:hint="eastAsia" w:ascii="宋体" w:hAnsi="宋体" w:cs="宋体"/>
          <w:b/>
          <w:color w:val="auto"/>
          <w:sz w:val="32"/>
          <w:szCs w:val="32"/>
          <w:lang w:eastAsia="zh-CN"/>
        </w:rPr>
        <w:t>参考文本</w:t>
      </w:r>
      <w:r>
        <w:rPr>
          <w:rFonts w:hint="eastAsia" w:ascii="宋体" w:hAnsi="宋体" w:cs="宋体"/>
          <w:b/>
          <w:color w:val="auto"/>
          <w:sz w:val="32"/>
          <w:szCs w:val="32"/>
        </w:rPr>
        <w:t>）</w:t>
      </w:r>
      <w:bookmarkEnd w:id="1102"/>
    </w:p>
    <w:p w14:paraId="32A6FB9F">
      <w:pPr>
        <w:spacing w:line="400" w:lineRule="exact"/>
        <w:ind w:firstLine="450" w:firstLineChars="150"/>
        <w:rPr>
          <w:rFonts w:hint="eastAsia" w:ascii="宋体" w:hAnsi="宋体" w:cs="宋体"/>
          <w:color w:val="auto"/>
          <w:sz w:val="30"/>
          <w:szCs w:val="30"/>
        </w:rPr>
      </w:pPr>
    </w:p>
    <w:p w14:paraId="0B3BF9F9">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14:paraId="5C115667">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14:paraId="432A6CE9">
      <w:pPr>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w:t>
      </w:r>
    </w:p>
    <w:p w14:paraId="7C22C1B1">
      <w:pPr>
        <w:spacing w:line="480" w:lineRule="auto"/>
        <w:jc w:val="center"/>
        <w:rPr>
          <w:rFonts w:hint="eastAsia" w:ascii="宋体" w:hAnsi="宋体" w:eastAsia="宋体" w:cs="宋体"/>
          <w:b/>
          <w:sz w:val="28"/>
          <w:szCs w:val="28"/>
        </w:rPr>
      </w:pPr>
    </w:p>
    <w:p w14:paraId="2191161E">
      <w:pPr>
        <w:spacing w:line="480" w:lineRule="auto"/>
        <w:jc w:val="center"/>
        <w:rPr>
          <w:rFonts w:hint="eastAsia" w:ascii="宋体" w:hAnsi="宋体" w:eastAsia="宋体" w:cs="宋体"/>
          <w:b/>
          <w:sz w:val="44"/>
          <w:szCs w:val="44"/>
        </w:rPr>
      </w:pPr>
    </w:p>
    <w:p w14:paraId="2C2175F7">
      <w:pPr>
        <w:spacing w:line="480" w:lineRule="auto"/>
        <w:jc w:val="center"/>
        <w:rPr>
          <w:rFonts w:hint="eastAsia" w:ascii="宋体" w:hAnsi="宋体" w:eastAsia="宋体" w:cs="宋体"/>
          <w:b/>
          <w:sz w:val="44"/>
          <w:szCs w:val="44"/>
        </w:rPr>
      </w:pPr>
      <w:r>
        <w:rPr>
          <w:rFonts w:hint="eastAsia" w:ascii="宋体" w:hAnsi="宋体" w:eastAsia="宋体" w:cs="宋体"/>
          <w:b/>
          <w:sz w:val="44"/>
          <w:szCs w:val="44"/>
        </w:rPr>
        <w:t>政府采购合同参考范本</w:t>
      </w:r>
    </w:p>
    <w:p w14:paraId="2A625B09">
      <w:pPr>
        <w:spacing w:line="480" w:lineRule="auto"/>
        <w:jc w:val="center"/>
        <w:rPr>
          <w:rFonts w:hint="eastAsia" w:ascii="宋体" w:hAnsi="宋体" w:eastAsia="宋体" w:cs="宋体"/>
          <w:b/>
          <w:sz w:val="36"/>
          <w:szCs w:val="32"/>
        </w:rPr>
      </w:pPr>
      <w:r>
        <w:rPr>
          <w:rFonts w:hint="eastAsia" w:ascii="宋体" w:hAnsi="宋体" w:eastAsia="宋体" w:cs="宋体"/>
          <w:b/>
          <w:sz w:val="36"/>
          <w:szCs w:val="32"/>
        </w:rPr>
        <w:t>（服务类）</w:t>
      </w:r>
    </w:p>
    <w:p w14:paraId="27661FF5">
      <w:pPr>
        <w:pStyle w:val="35"/>
        <w:ind w:firstLine="0"/>
        <w:rPr>
          <w:rFonts w:hint="eastAsia" w:ascii="宋体" w:hAnsi="宋体" w:eastAsia="宋体" w:cs="宋体"/>
          <w:szCs w:val="24"/>
        </w:rPr>
      </w:pPr>
    </w:p>
    <w:p w14:paraId="25328E73">
      <w:pPr>
        <w:pStyle w:val="35"/>
        <w:ind w:firstLine="0"/>
        <w:rPr>
          <w:rFonts w:hint="eastAsia" w:ascii="宋体" w:hAnsi="宋体" w:eastAsia="宋体" w:cs="宋体"/>
          <w:szCs w:val="24"/>
        </w:rPr>
      </w:pPr>
    </w:p>
    <w:p w14:paraId="1273A1AD">
      <w:pPr>
        <w:pStyle w:val="35"/>
        <w:ind w:firstLine="0"/>
        <w:rPr>
          <w:rFonts w:hint="eastAsia" w:ascii="宋体" w:hAnsi="宋体" w:eastAsia="宋体" w:cs="宋体"/>
          <w:szCs w:val="24"/>
        </w:rPr>
      </w:pPr>
    </w:p>
    <w:p w14:paraId="34180FFC">
      <w:pPr>
        <w:pStyle w:val="35"/>
        <w:ind w:firstLine="0"/>
        <w:rPr>
          <w:rFonts w:hint="eastAsia" w:ascii="宋体" w:hAnsi="宋体" w:eastAsia="宋体" w:cs="宋体"/>
          <w:szCs w:val="24"/>
        </w:rPr>
      </w:pPr>
    </w:p>
    <w:p w14:paraId="42AA0BF9">
      <w:pPr>
        <w:pStyle w:val="35"/>
        <w:ind w:firstLine="0"/>
        <w:rPr>
          <w:rFonts w:hint="eastAsia" w:ascii="宋体" w:hAnsi="宋体" w:eastAsia="宋体" w:cs="宋体"/>
          <w:szCs w:val="24"/>
        </w:rPr>
      </w:pPr>
    </w:p>
    <w:p w14:paraId="628EFB7F">
      <w:pPr>
        <w:spacing w:before="120" w:line="22" w:lineRule="atLeast"/>
        <w:rPr>
          <w:rFonts w:hint="eastAsia" w:ascii="宋体" w:hAnsi="宋体" w:eastAsia="宋体" w:cs="宋体"/>
          <w:sz w:val="24"/>
        </w:rPr>
      </w:pPr>
    </w:p>
    <w:p w14:paraId="545D827A">
      <w:pPr>
        <w:spacing w:before="120" w:line="22" w:lineRule="atLeast"/>
        <w:ind w:firstLine="960" w:firstLineChars="40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7D59BC1E">
      <w:pPr>
        <w:pStyle w:val="36"/>
        <w:spacing w:before="120" w:line="22" w:lineRule="atLeast"/>
        <w:rPr>
          <w:rFonts w:hint="eastAsia" w:ascii="宋体" w:hAnsi="宋体" w:eastAsia="宋体" w:cs="宋体"/>
          <w:szCs w:val="24"/>
        </w:rPr>
      </w:pPr>
    </w:p>
    <w:p w14:paraId="120C8DB9">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206C0068">
      <w:pPr>
        <w:spacing w:before="120" w:line="22" w:lineRule="atLeast"/>
        <w:rPr>
          <w:rFonts w:hint="eastAsia" w:ascii="宋体" w:hAnsi="宋体" w:eastAsia="宋体" w:cs="宋体"/>
          <w:sz w:val="24"/>
        </w:rPr>
      </w:pPr>
    </w:p>
    <w:p w14:paraId="0F526B28">
      <w:pPr>
        <w:spacing w:before="120" w:line="22" w:lineRule="atLeast"/>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55F31CE">
      <w:pPr>
        <w:autoSpaceDE w:val="0"/>
        <w:autoSpaceDN w:val="0"/>
        <w:adjustRightInd w:val="0"/>
        <w:spacing w:line="600" w:lineRule="exact"/>
        <w:ind w:firstLine="640"/>
        <w:jc w:val="center"/>
        <w:rPr>
          <w:rFonts w:hint="eastAsia" w:ascii="宋体" w:hAnsi="宋体" w:eastAsia="宋体" w:cs="宋体"/>
          <w:sz w:val="24"/>
        </w:rPr>
        <w:sectPr>
          <w:headerReference r:id="rId9" w:type="default"/>
          <w:footerReference r:id="rId10" w:type="default"/>
          <w:pgSz w:w="11907" w:h="16840"/>
          <w:pgMar w:top="1474" w:right="1814" w:bottom="1474" w:left="1814" w:header="851" w:footer="851" w:gutter="0"/>
          <w:pgNumType w:fmt="decimal"/>
          <w:cols w:space="720" w:num="1"/>
          <w:docGrid w:linePitch="462" w:charSpace="0"/>
        </w:sectPr>
      </w:pPr>
    </w:p>
    <w:p w14:paraId="52292F23">
      <w:pPr>
        <w:pStyle w:val="35"/>
        <w:ind w:firstLine="0"/>
        <w:jc w:val="center"/>
        <w:rPr>
          <w:rFonts w:hint="eastAsia" w:ascii="宋体" w:hAnsi="宋体" w:eastAsia="宋体" w:cs="宋体"/>
          <w:b/>
          <w:szCs w:val="24"/>
        </w:rPr>
      </w:pPr>
      <w:r>
        <w:rPr>
          <w:rFonts w:hint="eastAsia" w:ascii="宋体" w:hAnsi="宋体" w:eastAsia="宋体" w:cs="宋体"/>
          <w:b/>
          <w:szCs w:val="24"/>
        </w:rPr>
        <w:t>第一部分 合同书</w:t>
      </w:r>
    </w:p>
    <w:p w14:paraId="2D9F8FBD">
      <w:pPr>
        <w:spacing w:before="120" w:line="22" w:lineRule="atLeast"/>
        <w:ind w:left="0" w:leftChars="0" w:firstLine="0" w:firstLineChars="0"/>
        <w:rPr>
          <w:rFonts w:hint="eastAsia" w:ascii="楷体" w:hAnsi="楷体" w:eastAsia="楷体"/>
          <w:sz w:val="24"/>
        </w:rPr>
      </w:pPr>
    </w:p>
    <w:p w14:paraId="19C9BC4E">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 xml:space="preserve">                                       </w:t>
      </w:r>
    </w:p>
    <w:p w14:paraId="3E2C0C81">
      <w:pPr>
        <w:spacing w:before="120" w:line="22" w:lineRule="atLeast"/>
        <w:ind w:left="0" w:leftChars="0" w:firstLine="0" w:firstLineChars="0"/>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w:t>
      </w:r>
    </w:p>
    <w:p w14:paraId="53E0DBA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u w:val="none"/>
          <w:lang w:val="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r>
        <w:rPr>
          <w:rFonts w:hint="eastAsia" w:ascii="宋体" w:hAnsi="宋体" w:eastAsia="宋体" w:cs="宋体"/>
          <w:sz w:val="24"/>
          <w:szCs w:val="24"/>
        </w:rPr>
        <w:t>，</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以</w:t>
      </w:r>
      <w:r>
        <w:rPr>
          <w:rFonts w:hint="eastAsia" w:ascii="宋体" w:hAnsi="宋体" w:eastAsia="宋体" w:cs="宋体"/>
          <w:sz w:val="24"/>
          <w:szCs w:val="24"/>
          <w:u w:val="single"/>
        </w:rPr>
        <w:t xml:space="preserve">   （政府采购方式）  </w:t>
      </w:r>
      <w:r>
        <w:rPr>
          <w:rFonts w:hint="eastAsia" w:ascii="宋体" w:hAnsi="宋体" w:eastAsia="宋体" w:cs="宋体"/>
          <w:sz w:val="24"/>
          <w:szCs w:val="24"/>
        </w:rPr>
        <w:t>对</w:t>
      </w:r>
      <w:r>
        <w:rPr>
          <w:rFonts w:hint="eastAsia" w:ascii="宋体" w:hAnsi="宋体" w:eastAsia="宋体" w:cs="宋体"/>
          <w:sz w:val="24"/>
          <w:szCs w:val="24"/>
          <w:u w:val="single"/>
        </w:rPr>
        <w:t xml:space="preserve">   （同前页项目名称）   </w:t>
      </w:r>
      <w:r>
        <w:rPr>
          <w:rFonts w:hint="eastAsia" w:ascii="宋体" w:hAnsi="宋体" w:eastAsia="宋体" w:cs="宋体"/>
          <w:sz w:val="24"/>
          <w:szCs w:val="24"/>
        </w:rPr>
        <w:t>项目进行了采购。经</w:t>
      </w:r>
      <w:r>
        <w:rPr>
          <w:rFonts w:hint="eastAsia" w:ascii="宋体" w:hAnsi="宋体" w:eastAsia="宋体" w:cs="宋体"/>
          <w:sz w:val="24"/>
          <w:szCs w:val="24"/>
          <w:u w:val="single"/>
        </w:rPr>
        <w:t xml:space="preserve">   （相关评定主体名称）   </w:t>
      </w:r>
      <w:r>
        <w:rPr>
          <w:rFonts w:hint="eastAsia" w:ascii="宋体" w:hAnsi="宋体" w:eastAsia="宋体" w:cs="宋体"/>
          <w:sz w:val="24"/>
          <w:szCs w:val="24"/>
        </w:rPr>
        <w:t>评定，</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rPr>
        <w:t>为该项目中标供应商。现于中标通知书发出之日起三十日内，按照采购文件确定的事项签订本合同。</w:t>
      </w:r>
    </w:p>
    <w:p w14:paraId="4765A6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根据《中华人民共和国合同法》、《中华人民共和国政府采购法》等相关法律法规之规定，按照平等、自愿、公平和诚实信用的原则，经</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lang w:val="zh-CN"/>
        </w:rPr>
        <w:t>(以下简称：甲方)和</w:t>
      </w:r>
      <w:r>
        <w:rPr>
          <w:rFonts w:hint="eastAsia" w:ascii="宋体" w:hAnsi="宋体" w:eastAsia="宋体" w:cs="宋体"/>
          <w:sz w:val="24"/>
          <w:szCs w:val="24"/>
          <w:u w:val="single"/>
        </w:rPr>
        <w:t xml:space="preserve">   （中标供应商名称）   </w:t>
      </w:r>
      <w:r>
        <w:rPr>
          <w:rFonts w:hint="eastAsia" w:ascii="宋体" w:hAnsi="宋体" w:eastAsia="宋体" w:cs="宋体"/>
          <w:sz w:val="24"/>
          <w:szCs w:val="24"/>
          <w:lang w:val="zh-CN"/>
        </w:rPr>
        <w:t>(以下简称：乙方)协商一致，约定以下合同</w:t>
      </w:r>
      <w:r>
        <w:rPr>
          <w:rFonts w:hint="eastAsia" w:ascii="宋体" w:hAnsi="宋体" w:eastAsia="宋体" w:cs="宋体"/>
          <w:sz w:val="24"/>
          <w:szCs w:val="24"/>
        </w:rPr>
        <w:t>条款，以兹共同遵守、全面履行。</w:t>
      </w:r>
    </w:p>
    <w:p w14:paraId="3169DEB4">
      <w:pPr>
        <w:spacing w:line="560" w:lineRule="exact"/>
        <w:ind w:firstLine="482" w:firstLineChars="200"/>
        <w:outlineLvl w:val="0"/>
        <w:rPr>
          <w:rFonts w:hint="eastAsia" w:ascii="宋体" w:hAnsi="宋体" w:eastAsia="宋体" w:cs="宋体"/>
          <w:sz w:val="24"/>
          <w:szCs w:val="24"/>
        </w:rPr>
      </w:pPr>
      <w:bookmarkStart w:id="1103" w:name="_Toc20421"/>
      <w:bookmarkStart w:id="1104" w:name="_Toc11759"/>
      <w:bookmarkStart w:id="1105" w:name="_Toc30217"/>
      <w:bookmarkStart w:id="1106" w:name="_Toc28855"/>
      <w:bookmarkStart w:id="1107" w:name="_Toc6377"/>
      <w:bookmarkStart w:id="1108" w:name="_Toc24723"/>
      <w:bookmarkStart w:id="1109" w:name="_Toc19273"/>
      <w:bookmarkStart w:id="1110" w:name="_Toc8575"/>
      <w:bookmarkStart w:id="1111" w:name="_Toc22967"/>
      <w:bookmarkStart w:id="1112" w:name="_Toc15367"/>
      <w:r>
        <w:rPr>
          <w:rFonts w:hint="eastAsia" w:ascii="宋体" w:hAnsi="宋体" w:eastAsia="宋体" w:cs="宋体"/>
          <w:b/>
          <w:sz w:val="24"/>
          <w:szCs w:val="24"/>
        </w:rPr>
        <w:t>1.1 合同组成部分</w:t>
      </w:r>
      <w:bookmarkEnd w:id="1103"/>
      <w:bookmarkEnd w:id="1104"/>
      <w:bookmarkEnd w:id="1105"/>
      <w:bookmarkEnd w:id="1106"/>
      <w:bookmarkEnd w:id="1107"/>
      <w:bookmarkEnd w:id="1108"/>
      <w:bookmarkEnd w:id="1109"/>
      <w:bookmarkEnd w:id="1110"/>
      <w:bookmarkEnd w:id="1111"/>
      <w:bookmarkEnd w:id="1112"/>
    </w:p>
    <w:p w14:paraId="00DA5B2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29700D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本合同及其补充合同、变更协议；</w:t>
      </w:r>
    </w:p>
    <w:p w14:paraId="6C16A30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中标通知书；</w:t>
      </w:r>
    </w:p>
    <w:p w14:paraId="7677433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投标文件（含澄清或者说明文件）；</w:t>
      </w:r>
    </w:p>
    <w:p w14:paraId="60E205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招标文件（含澄清或者修改文件）；</w:t>
      </w:r>
    </w:p>
    <w:p w14:paraId="2B50B73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1.1.5 其他相关采购文件。</w:t>
      </w:r>
    </w:p>
    <w:p w14:paraId="1D965A68">
      <w:pPr>
        <w:spacing w:line="560" w:lineRule="exact"/>
        <w:ind w:firstLine="482" w:firstLineChars="200"/>
        <w:outlineLvl w:val="0"/>
        <w:rPr>
          <w:rFonts w:hint="eastAsia" w:ascii="宋体" w:hAnsi="宋体" w:eastAsia="宋体" w:cs="宋体"/>
          <w:b/>
          <w:sz w:val="24"/>
          <w:szCs w:val="24"/>
        </w:rPr>
      </w:pPr>
      <w:bookmarkStart w:id="1113" w:name="_Toc6773"/>
      <w:bookmarkStart w:id="1114" w:name="_Toc27701"/>
      <w:bookmarkStart w:id="1115" w:name="_Toc22185"/>
      <w:bookmarkStart w:id="1116" w:name="_Toc18585"/>
      <w:bookmarkStart w:id="1117" w:name="_Toc6311"/>
      <w:bookmarkStart w:id="1118" w:name="_Toc20647"/>
      <w:bookmarkStart w:id="1119" w:name="_Toc32724"/>
      <w:bookmarkStart w:id="1120" w:name="_Toc2918"/>
      <w:bookmarkStart w:id="1121" w:name="_Toc29654"/>
      <w:bookmarkStart w:id="1122" w:name="_Toc15524"/>
      <w:r>
        <w:rPr>
          <w:rFonts w:hint="eastAsia" w:ascii="宋体" w:hAnsi="宋体" w:eastAsia="宋体" w:cs="宋体"/>
          <w:b/>
          <w:sz w:val="24"/>
          <w:szCs w:val="24"/>
        </w:rPr>
        <w:t>1.2 标的</w:t>
      </w:r>
      <w:bookmarkEnd w:id="1113"/>
      <w:bookmarkEnd w:id="1114"/>
      <w:bookmarkEnd w:id="1115"/>
      <w:bookmarkEnd w:id="1116"/>
      <w:bookmarkEnd w:id="1117"/>
      <w:bookmarkEnd w:id="1118"/>
      <w:bookmarkEnd w:id="1119"/>
      <w:bookmarkEnd w:id="1120"/>
      <w:bookmarkEnd w:id="1121"/>
      <w:bookmarkEnd w:id="1122"/>
    </w:p>
    <w:p w14:paraId="3E2B8B36">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1.2.1 标的名称：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23A8AE0">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1.2.2 标的数量：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6B2829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1.2.3 标的质量：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B52A489">
      <w:pPr>
        <w:spacing w:line="560" w:lineRule="exact"/>
        <w:ind w:firstLine="482" w:firstLineChars="200"/>
        <w:outlineLvl w:val="0"/>
        <w:rPr>
          <w:rFonts w:hint="eastAsia" w:ascii="宋体" w:hAnsi="宋体" w:eastAsia="宋体" w:cs="宋体"/>
          <w:b/>
          <w:sz w:val="24"/>
          <w:szCs w:val="24"/>
        </w:rPr>
      </w:pPr>
      <w:bookmarkStart w:id="1123" w:name="_Toc22657"/>
      <w:bookmarkStart w:id="1124" w:name="_Toc4929"/>
      <w:bookmarkStart w:id="1125" w:name="_Toc6213"/>
      <w:bookmarkStart w:id="1126" w:name="_Toc30004"/>
      <w:bookmarkStart w:id="1127" w:name="_Toc21124"/>
      <w:bookmarkStart w:id="1128" w:name="_Toc13918"/>
      <w:bookmarkStart w:id="1129" w:name="_Toc14990"/>
      <w:bookmarkStart w:id="1130" w:name="_Toc1825"/>
      <w:bookmarkStart w:id="1131" w:name="_Toc5635"/>
      <w:bookmarkStart w:id="1132" w:name="_Toc1386"/>
      <w:r>
        <w:rPr>
          <w:rFonts w:hint="eastAsia" w:ascii="宋体" w:hAnsi="宋体" w:eastAsia="宋体" w:cs="宋体"/>
          <w:b/>
          <w:sz w:val="24"/>
          <w:szCs w:val="24"/>
        </w:rPr>
        <w:t>1.3 价款</w:t>
      </w:r>
      <w:bookmarkEnd w:id="1123"/>
      <w:bookmarkEnd w:id="1124"/>
      <w:bookmarkEnd w:id="1125"/>
      <w:bookmarkEnd w:id="1126"/>
      <w:bookmarkEnd w:id="1127"/>
      <w:bookmarkEnd w:id="1128"/>
      <w:bookmarkEnd w:id="1129"/>
      <w:bookmarkEnd w:id="1130"/>
      <w:bookmarkEnd w:id="1131"/>
      <w:bookmarkEnd w:id="1132"/>
    </w:p>
    <w:p w14:paraId="0F40DE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本合同总价为：￥</w:t>
      </w:r>
      <w:r>
        <w:rPr>
          <w:rFonts w:hint="eastAsia" w:ascii="宋体" w:hAnsi="宋体" w:eastAsia="宋体" w:cs="宋体"/>
          <w:sz w:val="24"/>
          <w:szCs w:val="24"/>
          <w:u w:val="single"/>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331018BA">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15C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BB421CA">
            <w:pPr>
              <w:pStyle w:val="37"/>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序号</w:t>
            </w:r>
          </w:p>
        </w:tc>
        <w:tc>
          <w:tcPr>
            <w:tcW w:w="3402" w:type="dxa"/>
            <w:noWrap w:val="0"/>
            <w:vAlign w:val="center"/>
          </w:tcPr>
          <w:p w14:paraId="454BAA19">
            <w:pPr>
              <w:pStyle w:val="37"/>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分项名称</w:t>
            </w:r>
          </w:p>
        </w:tc>
        <w:tc>
          <w:tcPr>
            <w:tcW w:w="2552" w:type="dxa"/>
            <w:noWrap w:val="0"/>
            <w:vAlign w:val="center"/>
          </w:tcPr>
          <w:p w14:paraId="7B306400">
            <w:pPr>
              <w:pStyle w:val="37"/>
              <w:spacing w:line="56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分项价格</w:t>
            </w:r>
          </w:p>
        </w:tc>
      </w:tr>
      <w:tr w14:paraId="11C7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171DF30">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7A2194C5">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0969BE2B">
            <w:pPr>
              <w:pStyle w:val="37"/>
              <w:spacing w:line="560" w:lineRule="exact"/>
              <w:ind w:firstLine="200"/>
              <w:jc w:val="center"/>
              <w:rPr>
                <w:rFonts w:hint="eastAsia" w:ascii="宋体" w:hAnsi="宋体" w:eastAsia="宋体" w:cs="宋体"/>
                <w:color w:val="000000"/>
                <w:kern w:val="2"/>
                <w:sz w:val="24"/>
                <w:szCs w:val="24"/>
                <w:lang w:val="en-US" w:eastAsia="zh-CN"/>
              </w:rPr>
            </w:pPr>
          </w:p>
        </w:tc>
      </w:tr>
      <w:tr w14:paraId="7D5E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3645D6E2">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50D574FC">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68C03752">
            <w:pPr>
              <w:pStyle w:val="37"/>
              <w:spacing w:line="560" w:lineRule="exact"/>
              <w:ind w:firstLine="200"/>
              <w:jc w:val="center"/>
              <w:rPr>
                <w:rFonts w:hint="eastAsia" w:ascii="宋体" w:hAnsi="宋体" w:eastAsia="宋体" w:cs="宋体"/>
                <w:color w:val="000000"/>
                <w:kern w:val="2"/>
                <w:sz w:val="24"/>
                <w:szCs w:val="24"/>
                <w:lang w:val="en-US" w:eastAsia="zh-CN"/>
              </w:rPr>
            </w:pPr>
          </w:p>
        </w:tc>
      </w:tr>
      <w:tr w14:paraId="6E0A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27BF42A9">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7261B3B1">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11411023">
            <w:pPr>
              <w:pStyle w:val="37"/>
              <w:spacing w:line="560" w:lineRule="exact"/>
              <w:ind w:firstLine="200"/>
              <w:jc w:val="center"/>
              <w:rPr>
                <w:rFonts w:hint="eastAsia" w:ascii="宋体" w:hAnsi="宋体" w:eastAsia="宋体" w:cs="宋体"/>
                <w:color w:val="000000"/>
                <w:kern w:val="2"/>
                <w:sz w:val="24"/>
                <w:szCs w:val="24"/>
                <w:lang w:val="en-US" w:eastAsia="zh-CN"/>
              </w:rPr>
            </w:pPr>
          </w:p>
        </w:tc>
      </w:tr>
      <w:tr w14:paraId="7EDB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C1D3740">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3402" w:type="dxa"/>
            <w:noWrap w:val="0"/>
            <w:vAlign w:val="center"/>
          </w:tcPr>
          <w:p w14:paraId="4C7D994A">
            <w:pPr>
              <w:pStyle w:val="37"/>
              <w:spacing w:line="560" w:lineRule="exact"/>
              <w:ind w:firstLine="200"/>
              <w:jc w:val="center"/>
              <w:rPr>
                <w:rFonts w:hint="eastAsia" w:ascii="宋体" w:hAnsi="宋体" w:eastAsia="宋体" w:cs="宋体"/>
                <w:color w:val="000000"/>
                <w:kern w:val="2"/>
                <w:sz w:val="24"/>
                <w:szCs w:val="24"/>
                <w:lang w:val="en-US" w:eastAsia="zh-CN"/>
              </w:rPr>
            </w:pPr>
          </w:p>
        </w:tc>
        <w:tc>
          <w:tcPr>
            <w:tcW w:w="2552" w:type="dxa"/>
            <w:noWrap w:val="0"/>
            <w:vAlign w:val="center"/>
          </w:tcPr>
          <w:p w14:paraId="632FF40C">
            <w:pPr>
              <w:pStyle w:val="37"/>
              <w:spacing w:line="560" w:lineRule="exact"/>
              <w:ind w:firstLine="200"/>
              <w:jc w:val="center"/>
              <w:rPr>
                <w:rFonts w:hint="eastAsia" w:ascii="宋体" w:hAnsi="宋体" w:eastAsia="宋体" w:cs="宋体"/>
                <w:color w:val="000000"/>
                <w:kern w:val="2"/>
                <w:sz w:val="24"/>
                <w:szCs w:val="24"/>
                <w:lang w:val="en-US" w:eastAsia="zh-CN"/>
              </w:rPr>
            </w:pPr>
          </w:p>
        </w:tc>
      </w:tr>
      <w:tr w14:paraId="07EC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55BFA6AF">
            <w:pPr>
              <w:pStyle w:val="37"/>
              <w:spacing w:line="560" w:lineRule="exact"/>
              <w:ind w:firstLine="200"/>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总价</w:t>
            </w:r>
          </w:p>
        </w:tc>
        <w:tc>
          <w:tcPr>
            <w:tcW w:w="2552" w:type="dxa"/>
            <w:noWrap w:val="0"/>
            <w:vAlign w:val="center"/>
          </w:tcPr>
          <w:p w14:paraId="2A5A0B49">
            <w:pPr>
              <w:pStyle w:val="37"/>
              <w:spacing w:line="560" w:lineRule="exact"/>
              <w:ind w:firstLine="200"/>
              <w:jc w:val="center"/>
              <w:rPr>
                <w:rFonts w:hint="eastAsia" w:ascii="宋体" w:hAnsi="宋体" w:eastAsia="宋体" w:cs="宋体"/>
                <w:color w:val="000000"/>
                <w:kern w:val="2"/>
                <w:sz w:val="24"/>
                <w:szCs w:val="24"/>
                <w:lang w:val="en-US" w:eastAsia="zh-CN"/>
              </w:rPr>
            </w:pPr>
          </w:p>
        </w:tc>
      </w:tr>
    </w:tbl>
    <w:p w14:paraId="558C7E95">
      <w:pPr>
        <w:spacing w:line="560" w:lineRule="exact"/>
        <w:ind w:firstLine="482" w:firstLineChars="200"/>
        <w:outlineLvl w:val="0"/>
        <w:rPr>
          <w:rFonts w:hint="eastAsia" w:ascii="宋体" w:hAnsi="宋体" w:eastAsia="宋体" w:cs="宋体"/>
          <w:b/>
          <w:sz w:val="24"/>
          <w:szCs w:val="24"/>
        </w:rPr>
      </w:pPr>
      <w:bookmarkStart w:id="1133" w:name="_Toc17191"/>
      <w:bookmarkStart w:id="1134" w:name="_Toc26916"/>
      <w:bookmarkStart w:id="1135" w:name="_Toc12469"/>
      <w:bookmarkStart w:id="1136" w:name="_Toc30158"/>
      <w:bookmarkStart w:id="1137" w:name="_Toc14993"/>
      <w:bookmarkStart w:id="1138" w:name="_Toc32541"/>
      <w:bookmarkStart w:id="1139" w:name="_Toc30506"/>
      <w:bookmarkStart w:id="1140" w:name="_Toc18456"/>
      <w:bookmarkStart w:id="1141" w:name="_Toc28062"/>
      <w:r>
        <w:rPr>
          <w:rFonts w:hint="eastAsia" w:ascii="宋体" w:hAnsi="宋体" w:eastAsia="宋体" w:cs="宋体"/>
          <w:b/>
          <w:sz w:val="24"/>
          <w:szCs w:val="24"/>
        </w:rPr>
        <w:t>1.4 付款方式和发票开具方式</w:t>
      </w:r>
      <w:bookmarkEnd w:id="1133"/>
      <w:bookmarkEnd w:id="1134"/>
      <w:bookmarkEnd w:id="1135"/>
      <w:bookmarkEnd w:id="1136"/>
      <w:bookmarkEnd w:id="1137"/>
      <w:bookmarkEnd w:id="1138"/>
      <w:bookmarkEnd w:id="1139"/>
      <w:bookmarkEnd w:id="1140"/>
      <w:bookmarkEnd w:id="1141"/>
    </w:p>
    <w:p w14:paraId="5BFDA87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1.4.1付款方式：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FF647C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 发票开具方式：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5F19A6B">
      <w:pPr>
        <w:spacing w:line="560" w:lineRule="exact"/>
        <w:ind w:firstLine="482" w:firstLineChars="200"/>
        <w:outlineLvl w:val="0"/>
        <w:rPr>
          <w:rFonts w:hint="eastAsia" w:ascii="宋体" w:hAnsi="宋体" w:eastAsia="宋体" w:cs="宋体"/>
          <w:b/>
          <w:sz w:val="24"/>
          <w:szCs w:val="24"/>
        </w:rPr>
      </w:pPr>
      <w:bookmarkStart w:id="1142" w:name="_Toc12482"/>
      <w:bookmarkStart w:id="1143" w:name="_Toc31421"/>
      <w:bookmarkStart w:id="1144" w:name="_Toc21213"/>
      <w:bookmarkStart w:id="1145" w:name="_Toc28063"/>
      <w:bookmarkStart w:id="1146" w:name="_Toc18878"/>
      <w:bookmarkStart w:id="1147" w:name="_Toc3625"/>
      <w:bookmarkStart w:id="1148" w:name="_Toc8772"/>
      <w:bookmarkStart w:id="1149" w:name="_Toc4760"/>
      <w:bookmarkStart w:id="1150" w:name="_Toc11108"/>
      <w:bookmarkStart w:id="1151" w:name="_Toc4422"/>
      <w:r>
        <w:rPr>
          <w:rFonts w:hint="eastAsia" w:ascii="宋体" w:hAnsi="宋体" w:eastAsia="宋体" w:cs="宋体"/>
          <w:b/>
          <w:sz w:val="24"/>
          <w:szCs w:val="24"/>
        </w:rPr>
        <w:t>1.5 履行期限、地点和方式</w:t>
      </w:r>
      <w:bookmarkEnd w:id="1142"/>
      <w:bookmarkEnd w:id="1143"/>
      <w:bookmarkEnd w:id="1144"/>
      <w:bookmarkEnd w:id="1145"/>
      <w:bookmarkEnd w:id="1146"/>
      <w:bookmarkEnd w:id="1147"/>
      <w:bookmarkEnd w:id="1148"/>
      <w:bookmarkEnd w:id="1149"/>
      <w:bookmarkEnd w:id="1150"/>
      <w:bookmarkEnd w:id="1151"/>
    </w:p>
    <w:p w14:paraId="7AB51B3D">
      <w:pPr>
        <w:spacing w:line="56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1.5.1 履行期限：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6DD97E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 履行地点：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DB5C2C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 履行方式：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7226893">
      <w:pPr>
        <w:spacing w:line="560" w:lineRule="exact"/>
        <w:ind w:firstLine="482" w:firstLineChars="200"/>
        <w:outlineLvl w:val="0"/>
        <w:rPr>
          <w:rFonts w:hint="eastAsia" w:ascii="宋体" w:hAnsi="宋体" w:eastAsia="宋体" w:cs="宋体"/>
          <w:sz w:val="24"/>
          <w:szCs w:val="24"/>
          <w:u w:val="single"/>
        </w:rPr>
      </w:pPr>
      <w:bookmarkStart w:id="1152" w:name="_Toc14030"/>
      <w:bookmarkStart w:id="1153" w:name="_Toc3079"/>
      <w:bookmarkStart w:id="1154" w:name="_Toc15746"/>
      <w:bookmarkStart w:id="1155" w:name="_Toc5698"/>
      <w:bookmarkStart w:id="1156" w:name="_Toc2375"/>
      <w:bookmarkStart w:id="1157" w:name="_Toc8076"/>
      <w:bookmarkStart w:id="1158" w:name="_Toc24662"/>
      <w:bookmarkStart w:id="1159" w:name="_Toc8586"/>
      <w:bookmarkStart w:id="1160" w:name="_Toc14751"/>
      <w:bookmarkStart w:id="1161" w:name="_Toc4800"/>
      <w:r>
        <w:rPr>
          <w:rFonts w:hint="eastAsia" w:ascii="宋体" w:hAnsi="宋体" w:eastAsia="宋体" w:cs="宋体"/>
          <w:b/>
          <w:sz w:val="24"/>
          <w:szCs w:val="24"/>
        </w:rPr>
        <w:t>1.6 违约责任</w:t>
      </w:r>
      <w:bookmarkEnd w:id="1152"/>
      <w:bookmarkEnd w:id="1153"/>
      <w:bookmarkEnd w:id="1154"/>
      <w:bookmarkEnd w:id="1155"/>
      <w:bookmarkEnd w:id="1156"/>
      <w:bookmarkEnd w:id="1157"/>
      <w:bookmarkEnd w:id="1158"/>
      <w:bookmarkEnd w:id="1159"/>
      <w:bookmarkEnd w:id="1160"/>
      <w:bookmarkEnd w:id="1161"/>
    </w:p>
    <w:p w14:paraId="053B0FE0">
      <w:pPr>
        <w:spacing w:line="560" w:lineRule="exact"/>
        <w:ind w:firstLine="480" w:firstLineChars="200"/>
        <w:rPr>
          <w:rFonts w:hint="eastAsia" w:ascii="宋体" w:hAnsi="宋体" w:eastAsia="宋体" w:cs="宋体"/>
          <w:sz w:val="24"/>
          <w:szCs w:val="24"/>
        </w:rPr>
      </w:pPr>
      <w:bookmarkStart w:id="1162" w:name="_Toc32454"/>
      <w:bookmarkStart w:id="1163" w:name="_Toc26807"/>
      <w:bookmarkStart w:id="1164" w:name="_Toc30329"/>
      <w:bookmarkStart w:id="1165" w:name="_Toc9497"/>
      <w:bookmarkStart w:id="1166" w:name="_Toc18683"/>
      <w:r>
        <w:rPr>
          <w:rFonts w:hint="eastAsia" w:ascii="宋体" w:hAnsi="宋体" w:eastAsia="宋体" w:cs="宋体"/>
          <w:sz w:val="24"/>
          <w:szCs w:val="24"/>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%；迟延交付货物的违约金计算数额达到前述最高限额之日起，甲方有权在要求乙方支付违约金的同时，书面通知乙方解除本合同；</w:t>
      </w:r>
    </w:p>
    <w:p w14:paraId="18AF3EE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u w:val="single"/>
        </w:rPr>
        <w:t xml:space="preserve">    </w:t>
      </w:r>
      <w:r>
        <w:rPr>
          <w:rFonts w:hint="eastAsia" w:ascii="宋体" w:hAnsi="宋体" w:eastAsia="宋体" w:cs="宋体"/>
          <w:sz w:val="24"/>
          <w:szCs w:val="24"/>
        </w:rPr>
        <w:t>%计算，最高限额为本合同总价的</w:t>
      </w:r>
      <w:r>
        <w:rPr>
          <w:rFonts w:hint="eastAsia" w:ascii="宋体" w:hAnsi="宋体" w:eastAsia="宋体" w:cs="宋体"/>
          <w:sz w:val="24"/>
          <w:szCs w:val="24"/>
          <w:u w:val="single"/>
        </w:rPr>
        <w:t xml:space="preserve">     </w:t>
      </w:r>
      <w:r>
        <w:rPr>
          <w:rFonts w:hint="eastAsia" w:ascii="宋体" w:hAnsi="宋体" w:eastAsia="宋体" w:cs="宋体"/>
          <w:sz w:val="24"/>
          <w:szCs w:val="24"/>
        </w:rPr>
        <w:t>%；迟延付款的违约金计算数额达到前述最高限额之日起，乙方有权在要求甲方支付违约金的同时，书面通知甲方解除本合同；</w:t>
      </w:r>
    </w:p>
    <w:p w14:paraId="5A468E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A7017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8D4D6E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CEC78E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14:paraId="7DF12EFB">
      <w:pPr>
        <w:spacing w:line="560" w:lineRule="exact"/>
        <w:ind w:firstLine="482" w:firstLineChars="200"/>
        <w:outlineLvl w:val="0"/>
        <w:rPr>
          <w:rFonts w:hint="eastAsia" w:ascii="宋体" w:hAnsi="宋体" w:eastAsia="宋体" w:cs="宋体"/>
          <w:b/>
          <w:sz w:val="24"/>
          <w:szCs w:val="24"/>
        </w:rPr>
      </w:pPr>
      <w:bookmarkStart w:id="1167" w:name="_Toc21807"/>
      <w:bookmarkStart w:id="1168" w:name="_Toc28830"/>
      <w:bookmarkStart w:id="1169" w:name="_Toc26031"/>
      <w:bookmarkStart w:id="1170" w:name="_Toc27363"/>
      <w:bookmarkStart w:id="1171" w:name="_Toc29062"/>
      <w:r>
        <w:rPr>
          <w:rFonts w:hint="eastAsia" w:ascii="宋体" w:hAnsi="宋体" w:eastAsia="宋体" w:cs="宋体"/>
          <w:b/>
          <w:sz w:val="24"/>
          <w:szCs w:val="24"/>
        </w:rPr>
        <w:t>1.7 合同争议的解决</w:t>
      </w:r>
      <w:bookmarkEnd w:id="1162"/>
      <w:bookmarkEnd w:id="1163"/>
      <w:bookmarkEnd w:id="1164"/>
      <w:bookmarkEnd w:id="1165"/>
      <w:bookmarkEnd w:id="1166"/>
      <w:bookmarkEnd w:id="1167"/>
      <w:bookmarkEnd w:id="1168"/>
      <w:bookmarkEnd w:id="1169"/>
      <w:bookmarkEnd w:id="1170"/>
      <w:bookmarkEnd w:id="1171"/>
    </w:p>
    <w:p w14:paraId="11404DA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w:t>
      </w:r>
    </w:p>
    <w:p w14:paraId="1E2E9FA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将争议提交</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仲裁委员会依申请仲裁时其现行有效的仲裁规则裁决；</w:t>
      </w:r>
    </w:p>
    <w:p w14:paraId="7E4F07A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1.7.2 向</w:t>
      </w:r>
      <w:r>
        <w:rPr>
          <w:rFonts w:hint="eastAsia" w:ascii="宋体" w:hAnsi="宋体" w:eastAsia="宋体" w:cs="宋体"/>
          <w:sz w:val="24"/>
          <w:szCs w:val="24"/>
          <w:u w:val="single"/>
        </w:rPr>
        <w:t xml:space="preserve">   （被告住所地、合同履行地、合同签订地、原告住所地、标的物所在地等与争议有实际联系的地点中选出的人民法院名称）    </w:t>
      </w:r>
      <w:r>
        <w:rPr>
          <w:rFonts w:hint="eastAsia" w:ascii="宋体" w:hAnsi="宋体" w:eastAsia="宋体" w:cs="宋体"/>
          <w:sz w:val="24"/>
          <w:szCs w:val="24"/>
        </w:rPr>
        <w:t>人民法院起诉。</w:t>
      </w:r>
    </w:p>
    <w:p w14:paraId="6BA9DDD8">
      <w:pPr>
        <w:spacing w:line="560" w:lineRule="exact"/>
        <w:ind w:firstLine="482" w:firstLineChars="200"/>
        <w:outlineLvl w:val="0"/>
        <w:rPr>
          <w:rFonts w:hint="eastAsia" w:ascii="宋体" w:hAnsi="宋体" w:eastAsia="宋体" w:cs="宋体"/>
          <w:b/>
          <w:sz w:val="24"/>
          <w:szCs w:val="24"/>
        </w:rPr>
      </w:pPr>
      <w:bookmarkStart w:id="1172" w:name="_Toc31865"/>
      <w:bookmarkStart w:id="1173" w:name="_Toc23437"/>
      <w:bookmarkStart w:id="1174" w:name="_Toc23784"/>
      <w:bookmarkStart w:id="1175" w:name="_Toc16567"/>
      <w:bookmarkStart w:id="1176" w:name="_Toc16417"/>
      <w:bookmarkStart w:id="1177" w:name="_Toc26227"/>
      <w:bookmarkStart w:id="1178" w:name="_Toc22645"/>
      <w:bookmarkStart w:id="1179" w:name="_Toc15827"/>
      <w:bookmarkStart w:id="1180" w:name="_Toc5611"/>
      <w:bookmarkStart w:id="1181" w:name="_Toc12273"/>
      <w:r>
        <w:rPr>
          <w:rFonts w:hint="eastAsia" w:ascii="宋体" w:hAnsi="宋体" w:eastAsia="宋体" w:cs="宋体"/>
          <w:b/>
          <w:sz w:val="24"/>
          <w:szCs w:val="24"/>
        </w:rPr>
        <w:t>1.8 合同生效</w:t>
      </w:r>
      <w:bookmarkEnd w:id="1172"/>
      <w:bookmarkEnd w:id="1173"/>
      <w:bookmarkEnd w:id="1174"/>
      <w:bookmarkEnd w:id="1175"/>
      <w:bookmarkEnd w:id="1176"/>
      <w:bookmarkEnd w:id="1177"/>
      <w:bookmarkEnd w:id="1178"/>
      <w:bookmarkEnd w:id="1179"/>
      <w:bookmarkEnd w:id="1180"/>
      <w:bookmarkEnd w:id="1181"/>
    </w:p>
    <w:p w14:paraId="2310FA50">
      <w:pPr>
        <w:spacing w:line="56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本合同自双方当事人盖章或者签字时生效。</w:t>
      </w:r>
    </w:p>
    <w:p w14:paraId="1D6C4082">
      <w:pPr>
        <w:autoSpaceDE w:val="0"/>
        <w:autoSpaceDN w:val="0"/>
        <w:adjustRightInd w:val="0"/>
        <w:spacing w:line="560" w:lineRule="exact"/>
        <w:rPr>
          <w:rFonts w:hint="eastAsia" w:ascii="宋体" w:hAnsi="宋体" w:eastAsia="宋体" w:cs="宋体"/>
          <w:sz w:val="24"/>
          <w:szCs w:val="24"/>
          <w:lang w:val="zh-CN"/>
        </w:rPr>
      </w:pPr>
    </w:p>
    <w:p w14:paraId="6E42431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b/>
          <w:sz w:val="24"/>
          <w:szCs w:val="24"/>
          <w:lang w:val="zh-CN"/>
        </w:rPr>
        <w:t>甲方</w:t>
      </w:r>
      <w:r>
        <w:rPr>
          <w:rFonts w:hint="eastAsia" w:ascii="宋体" w:hAnsi="宋体" w:eastAsia="宋体" w:cs="宋体"/>
          <w:sz w:val="24"/>
          <w:szCs w:val="24"/>
          <w:lang w:val="zh-CN"/>
        </w:rPr>
        <w:t xml:space="preserve">：                             </w:t>
      </w:r>
      <w:r>
        <w:rPr>
          <w:rFonts w:hint="eastAsia" w:ascii="宋体" w:hAnsi="宋体" w:eastAsia="宋体" w:cs="宋体"/>
          <w:b/>
          <w:sz w:val="24"/>
          <w:szCs w:val="24"/>
          <w:lang w:val="zh-CN"/>
        </w:rPr>
        <w:t xml:space="preserve">      乙方</w:t>
      </w:r>
      <w:r>
        <w:rPr>
          <w:rFonts w:hint="eastAsia" w:ascii="宋体" w:hAnsi="宋体" w:eastAsia="宋体" w:cs="宋体"/>
          <w:sz w:val="24"/>
          <w:szCs w:val="24"/>
          <w:lang w:val="zh-CN"/>
        </w:rPr>
        <w:t>：</w:t>
      </w:r>
    </w:p>
    <w:p w14:paraId="0D31A3F7">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统一社会信用代码：                        统一社会信用代码或身份证号码：</w:t>
      </w:r>
    </w:p>
    <w:p w14:paraId="04F4B1EF">
      <w:pPr>
        <w:autoSpaceDE w:val="0"/>
        <w:autoSpaceDN w:val="0"/>
        <w:adjustRightInd w:val="0"/>
        <w:spacing w:line="560" w:lineRule="exact"/>
        <w:rPr>
          <w:rFonts w:hint="eastAsia" w:ascii="宋体" w:hAnsi="宋体" w:eastAsia="宋体" w:cs="宋体"/>
          <w:sz w:val="24"/>
          <w:szCs w:val="24"/>
          <w:lang w:val="zh-CN"/>
        </w:rPr>
      </w:pPr>
    </w:p>
    <w:p w14:paraId="70B74B87">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住所：                                   住所：</w:t>
      </w:r>
    </w:p>
    <w:p w14:paraId="3E70ABBF">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法定代表人或                             法定代表人</w:t>
      </w:r>
    </w:p>
    <w:p w14:paraId="11BE2AD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授权代表（签字）：                        或授权代表（签字）: </w:t>
      </w:r>
    </w:p>
    <w:p w14:paraId="49841706">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联系人：                                 联系人：</w:t>
      </w:r>
    </w:p>
    <w:p w14:paraId="6ADF701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约定送达地址：                           约定送达地址：</w:t>
      </w:r>
    </w:p>
    <w:p w14:paraId="73656029">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邮政编码：                               邮政编码：</w:t>
      </w:r>
    </w:p>
    <w:p w14:paraId="41040054">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 xml:space="preserve">电话:                                    电话: </w:t>
      </w:r>
    </w:p>
    <w:p w14:paraId="5F48B14D">
      <w:pPr>
        <w:autoSpaceDE w:val="0"/>
        <w:autoSpaceDN w:val="0"/>
        <w:adjustRightInd w:val="0"/>
        <w:spacing w:line="560" w:lineRule="exact"/>
        <w:rPr>
          <w:rFonts w:hint="eastAsia" w:ascii="宋体" w:hAnsi="宋体" w:eastAsia="宋体" w:cs="宋体"/>
          <w:sz w:val="24"/>
          <w:szCs w:val="24"/>
          <w:lang w:val="zh-CN"/>
        </w:rPr>
      </w:pPr>
      <w:r>
        <w:rPr>
          <w:rFonts w:hint="eastAsia" w:ascii="宋体" w:hAnsi="宋体" w:eastAsia="宋体" w:cs="宋体"/>
          <w:sz w:val="24"/>
          <w:szCs w:val="24"/>
          <w:lang w:val="zh-CN"/>
        </w:rPr>
        <w:t>传真:                                    传真:</w:t>
      </w:r>
    </w:p>
    <w:p w14:paraId="317FFCBE">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lang w:val="zh-CN"/>
        </w:rPr>
        <w:t>电子邮箱：                               电子邮箱：</w:t>
      </w:r>
    </w:p>
    <w:p w14:paraId="5838B1E5">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开户银行： </w:t>
      </w:r>
    </w:p>
    <w:p w14:paraId="1BC385FC">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开户名称：                               开户名称： </w:t>
      </w:r>
    </w:p>
    <w:p w14:paraId="49FDFC71">
      <w:pPr>
        <w:autoSpaceDE w:val="0"/>
        <w:autoSpaceDN w:val="0"/>
        <w:adjustRightInd w:val="0"/>
        <w:spacing w:line="560" w:lineRule="exact"/>
        <w:rPr>
          <w:rFonts w:hint="eastAsia" w:ascii="宋体" w:hAnsi="宋体" w:eastAsia="宋体" w:cs="宋体"/>
          <w:sz w:val="24"/>
          <w:szCs w:val="24"/>
        </w:rPr>
      </w:pPr>
      <w:r>
        <w:rPr>
          <w:rFonts w:hint="eastAsia" w:ascii="宋体" w:hAnsi="宋体" w:eastAsia="宋体" w:cs="宋体"/>
          <w:sz w:val="24"/>
          <w:szCs w:val="24"/>
        </w:rPr>
        <w:t>开户账号：</w:t>
      </w:r>
      <w:r>
        <w:rPr>
          <w:rFonts w:hint="eastAsia" w:ascii="宋体" w:hAnsi="宋体" w:eastAsia="宋体" w:cs="宋体"/>
          <w:sz w:val="24"/>
          <w:szCs w:val="24"/>
          <w:lang w:val="zh-CN"/>
        </w:rPr>
        <w:t xml:space="preserve">                               </w:t>
      </w:r>
      <w:r>
        <w:rPr>
          <w:rFonts w:hint="eastAsia" w:ascii="宋体" w:hAnsi="宋体" w:eastAsia="宋体" w:cs="宋体"/>
          <w:sz w:val="24"/>
          <w:szCs w:val="24"/>
        </w:rPr>
        <w:t>开户账号：</w:t>
      </w:r>
    </w:p>
    <w:p w14:paraId="1A6922CA">
      <w:pPr>
        <w:widowControl/>
        <w:spacing w:line="560" w:lineRule="exact"/>
        <w:jc w:val="left"/>
        <w:rPr>
          <w:rFonts w:hint="eastAsia" w:ascii="宋体" w:hAnsi="宋体" w:eastAsia="宋体" w:cs="宋体"/>
          <w:b/>
          <w:sz w:val="24"/>
          <w:szCs w:val="24"/>
        </w:rPr>
      </w:pPr>
      <w:bookmarkStart w:id="1182" w:name="_Toc331685783"/>
    </w:p>
    <w:p w14:paraId="4420E353">
      <w:pPr>
        <w:widowControl/>
        <w:spacing w:line="560" w:lineRule="exact"/>
        <w:jc w:val="left"/>
        <w:rPr>
          <w:rFonts w:hint="eastAsia" w:ascii="宋体" w:hAnsi="宋体" w:eastAsia="宋体" w:cs="宋体"/>
          <w:b/>
          <w:sz w:val="24"/>
          <w:szCs w:val="24"/>
        </w:rPr>
      </w:pPr>
    </w:p>
    <w:p w14:paraId="0EF83CFD">
      <w:pPr>
        <w:widowControl/>
        <w:spacing w:line="560" w:lineRule="exact"/>
        <w:jc w:val="left"/>
        <w:rPr>
          <w:rFonts w:hint="eastAsia" w:ascii="宋体" w:hAnsi="宋体" w:eastAsia="宋体" w:cs="宋体"/>
          <w:b/>
          <w:kern w:val="0"/>
          <w:sz w:val="24"/>
          <w:szCs w:val="24"/>
        </w:rPr>
      </w:pPr>
    </w:p>
    <w:p w14:paraId="3E94F202">
      <w:pPr>
        <w:widowControl/>
        <w:spacing w:line="560" w:lineRule="exact"/>
        <w:jc w:val="left"/>
        <w:rPr>
          <w:rFonts w:hint="eastAsia" w:ascii="宋体" w:hAnsi="宋体" w:eastAsia="宋体" w:cs="宋体"/>
          <w:b/>
          <w:kern w:val="0"/>
          <w:sz w:val="24"/>
          <w:szCs w:val="24"/>
        </w:rPr>
      </w:pPr>
    </w:p>
    <w:p w14:paraId="75747B2D">
      <w:pPr>
        <w:pStyle w:val="35"/>
        <w:spacing w:line="560" w:lineRule="exact"/>
        <w:ind w:firstLine="200"/>
        <w:jc w:val="center"/>
        <w:rPr>
          <w:rFonts w:hint="eastAsia" w:ascii="宋体" w:hAnsi="宋体" w:eastAsia="宋体" w:cs="宋体"/>
          <w:b/>
          <w:sz w:val="24"/>
          <w:szCs w:val="24"/>
        </w:rPr>
      </w:pPr>
      <w:r>
        <w:rPr>
          <w:rFonts w:hint="eastAsia" w:ascii="宋体" w:hAnsi="宋体" w:eastAsia="宋体" w:cs="宋体"/>
          <w:b/>
          <w:sz w:val="24"/>
          <w:szCs w:val="24"/>
        </w:rPr>
        <w:t>第二部分 合同一般条款</w:t>
      </w:r>
      <w:bookmarkEnd w:id="1182"/>
    </w:p>
    <w:p w14:paraId="0B689284">
      <w:pPr>
        <w:spacing w:line="560" w:lineRule="exact"/>
        <w:ind w:firstLine="482" w:firstLineChars="200"/>
        <w:outlineLvl w:val="0"/>
        <w:rPr>
          <w:rFonts w:hint="eastAsia" w:ascii="宋体" w:hAnsi="宋体" w:eastAsia="宋体" w:cs="宋体"/>
          <w:b/>
          <w:sz w:val="24"/>
          <w:szCs w:val="24"/>
        </w:rPr>
      </w:pPr>
      <w:bookmarkStart w:id="1183" w:name="_Toc25079"/>
      <w:bookmarkStart w:id="1184" w:name="_Toc259093669"/>
      <w:bookmarkStart w:id="1185" w:name="_Toc27798"/>
      <w:bookmarkStart w:id="1186" w:name="_Toc20846"/>
      <w:bookmarkStart w:id="1187" w:name="_Ref467379195"/>
      <w:bookmarkStart w:id="1188" w:name="_Ref467378499"/>
      <w:bookmarkStart w:id="1189" w:name="_Ref467378463"/>
      <w:bookmarkStart w:id="1190" w:name="_Ref467378404"/>
      <w:bookmarkStart w:id="1191" w:name="_Toc487900349"/>
      <w:bookmarkStart w:id="1192" w:name="_Ref467379094"/>
      <w:bookmarkStart w:id="1193" w:name="_Toc17953"/>
      <w:bookmarkStart w:id="1194" w:name="_Toc1346"/>
      <w:bookmarkStart w:id="1195" w:name="_Toc5228"/>
      <w:bookmarkStart w:id="1196" w:name="_Ref467379205"/>
      <w:bookmarkStart w:id="1197" w:name="_Toc31297"/>
      <w:bookmarkStart w:id="1198" w:name="_Ref467379225"/>
      <w:bookmarkStart w:id="1199" w:name="_Ref467379214"/>
      <w:bookmarkStart w:id="1200" w:name="_Ref467379109"/>
      <w:bookmarkStart w:id="1201" w:name="_Toc19680"/>
      <w:bookmarkStart w:id="1202" w:name="_Toc14021"/>
      <w:bookmarkStart w:id="1203" w:name="_Toc31392"/>
      <w:bookmarkStart w:id="1204" w:name="_Toc279701240"/>
      <w:bookmarkStart w:id="1205" w:name="_Ref467379101"/>
      <w:r>
        <w:rPr>
          <w:rFonts w:hint="eastAsia" w:ascii="宋体" w:hAnsi="宋体" w:eastAsia="宋体" w:cs="宋体"/>
          <w:b/>
          <w:sz w:val="24"/>
          <w:szCs w:val="24"/>
        </w:rPr>
        <w:t>2.1 定义</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14:paraId="1280CA5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本合同中的下列词语应按以下内容进行解释：</w:t>
      </w:r>
    </w:p>
    <w:p w14:paraId="393B43E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“合同”系指采购人和中标供应商签订的载明双方当事人所达成的协议，并包括所有的附件、附录和构成合同的其他文件。</w:t>
      </w:r>
    </w:p>
    <w:p w14:paraId="5078B3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“合同价”系指根据合同约定，中标供应商在完全履行合同义务后，采购人应支付给中标供应商的价格。</w:t>
      </w:r>
    </w:p>
    <w:p w14:paraId="5E2F80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“服务”系指中标供应商根据合同约定应向采购人履行的除货物和工程以外的其他政府采购对象，包括采购人自身需要的服务和向社会公众提供的公共服务。</w:t>
      </w:r>
    </w:p>
    <w:p w14:paraId="47A89CB1">
      <w:pPr>
        <w:spacing w:line="560" w:lineRule="exact"/>
        <w:ind w:firstLine="480" w:firstLineChars="200"/>
        <w:rPr>
          <w:rFonts w:hint="eastAsia" w:ascii="宋体" w:hAnsi="宋体" w:eastAsia="宋体" w:cs="宋体"/>
          <w:sz w:val="24"/>
          <w:szCs w:val="24"/>
        </w:rPr>
      </w:pPr>
      <w:bookmarkStart w:id="1206" w:name="_Ref467378840"/>
      <w:r>
        <w:rPr>
          <w:rFonts w:hint="eastAsia" w:ascii="宋体" w:hAnsi="宋体" w:eastAsia="宋体" w:cs="宋体"/>
          <w:sz w:val="24"/>
          <w:szCs w:val="24"/>
        </w:rPr>
        <w:t>2.1.4 “甲方”系指与中标供应商签署合同的采购人</w:t>
      </w:r>
      <w:bookmarkEnd w:id="1206"/>
      <w:r>
        <w:rPr>
          <w:rFonts w:hint="eastAsia" w:ascii="宋体" w:hAnsi="宋体" w:eastAsia="宋体" w:cs="宋体"/>
          <w:sz w:val="24"/>
          <w:szCs w:val="24"/>
        </w:rPr>
        <w:t>；采购人委托采购代理机构代表其与乙方签订合同的，采购人的授权委托书作为合同附件。</w:t>
      </w:r>
    </w:p>
    <w:p w14:paraId="1CEDD8F7">
      <w:pPr>
        <w:spacing w:line="560" w:lineRule="exact"/>
        <w:ind w:firstLine="480" w:firstLineChars="200"/>
        <w:rPr>
          <w:rFonts w:hint="eastAsia" w:ascii="宋体" w:hAnsi="宋体" w:eastAsia="宋体" w:cs="宋体"/>
          <w:sz w:val="24"/>
          <w:szCs w:val="24"/>
        </w:rPr>
      </w:pPr>
      <w:bookmarkStart w:id="1207" w:name="_Ref467379400"/>
      <w:r>
        <w:rPr>
          <w:rFonts w:hint="eastAsia" w:ascii="宋体" w:hAnsi="宋体" w:eastAsia="宋体" w:cs="宋体"/>
          <w:sz w:val="24"/>
          <w:szCs w:val="24"/>
        </w:rPr>
        <w:t>2.1.5 “乙方”系指根据合同约定提供服务的中标供应商</w:t>
      </w:r>
      <w:bookmarkEnd w:id="1207"/>
      <w:r>
        <w:rPr>
          <w:rFonts w:hint="eastAsia" w:ascii="宋体" w:hAnsi="宋体" w:eastAsia="宋体" w:cs="宋体"/>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40C10CF">
      <w:pPr>
        <w:spacing w:line="560" w:lineRule="exact"/>
        <w:ind w:firstLine="480" w:firstLineChars="200"/>
        <w:rPr>
          <w:rFonts w:hint="eastAsia" w:ascii="宋体" w:hAnsi="宋体" w:eastAsia="宋体" w:cs="宋体"/>
          <w:sz w:val="24"/>
          <w:szCs w:val="24"/>
        </w:rPr>
      </w:pPr>
      <w:bookmarkStart w:id="1208" w:name="_Ref467379436"/>
      <w:r>
        <w:rPr>
          <w:rFonts w:hint="eastAsia" w:ascii="宋体" w:hAnsi="宋体" w:eastAsia="宋体" w:cs="宋体"/>
          <w:sz w:val="24"/>
          <w:szCs w:val="24"/>
        </w:rPr>
        <w:t>2.1.6 “现场”系指合同约定提供服务的地点。</w:t>
      </w:r>
      <w:bookmarkEnd w:id="1208"/>
    </w:p>
    <w:p w14:paraId="64912726">
      <w:pPr>
        <w:spacing w:line="560" w:lineRule="exact"/>
        <w:ind w:firstLine="482" w:firstLineChars="200"/>
        <w:outlineLvl w:val="0"/>
        <w:rPr>
          <w:rFonts w:hint="eastAsia" w:ascii="宋体" w:hAnsi="宋体" w:eastAsia="宋体" w:cs="宋体"/>
          <w:b/>
          <w:sz w:val="24"/>
          <w:szCs w:val="24"/>
        </w:rPr>
      </w:pPr>
      <w:bookmarkStart w:id="1209" w:name="_Toc30032"/>
      <w:bookmarkStart w:id="1210" w:name="_Toc279701241"/>
      <w:bookmarkStart w:id="1211" w:name="_Toc3769"/>
      <w:bookmarkStart w:id="1212" w:name="_Toc30998"/>
      <w:bookmarkStart w:id="1213" w:name="_Toc19539"/>
      <w:bookmarkStart w:id="1214" w:name="_Toc7473"/>
      <w:bookmarkStart w:id="1215" w:name="_Toc23289"/>
      <w:bookmarkStart w:id="1216" w:name="_Toc16752"/>
      <w:bookmarkStart w:id="1217" w:name="_Toc25747"/>
      <w:bookmarkStart w:id="1218" w:name="_Toc31402"/>
      <w:bookmarkStart w:id="1219" w:name="_Toc21986"/>
      <w:bookmarkStart w:id="1220" w:name="_Toc487900350"/>
      <w:bookmarkStart w:id="1221" w:name="_Toc259093670"/>
      <w:r>
        <w:rPr>
          <w:rFonts w:hint="eastAsia" w:ascii="宋体" w:hAnsi="宋体" w:eastAsia="宋体" w:cs="宋体"/>
          <w:b/>
          <w:sz w:val="24"/>
          <w:szCs w:val="24"/>
        </w:rPr>
        <w:t>2.2 技术规范</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14:paraId="16A5740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4C92DBB">
      <w:pPr>
        <w:spacing w:line="560" w:lineRule="exact"/>
        <w:ind w:firstLine="482" w:firstLineChars="200"/>
        <w:outlineLvl w:val="0"/>
        <w:rPr>
          <w:rFonts w:hint="eastAsia" w:ascii="宋体" w:hAnsi="宋体" w:eastAsia="宋体" w:cs="宋体"/>
          <w:b/>
          <w:sz w:val="24"/>
          <w:szCs w:val="24"/>
        </w:rPr>
      </w:pPr>
      <w:bookmarkStart w:id="1222" w:name="_Toc14743"/>
      <w:bookmarkStart w:id="1223" w:name="_Toc4133"/>
      <w:bookmarkStart w:id="1224" w:name="_Toc12412"/>
      <w:bookmarkStart w:id="1225" w:name="_Toc487900351"/>
      <w:bookmarkStart w:id="1226" w:name="_Toc26767"/>
      <w:bookmarkStart w:id="1227" w:name="_Toc22927"/>
      <w:bookmarkStart w:id="1228" w:name="_Toc13673"/>
      <w:bookmarkStart w:id="1229" w:name="_Toc279701242"/>
      <w:bookmarkStart w:id="1230" w:name="_Toc9161"/>
      <w:bookmarkStart w:id="1231" w:name="_Toc12220"/>
      <w:bookmarkStart w:id="1232" w:name="_Toc28918"/>
      <w:bookmarkStart w:id="1233" w:name="_Toc27945"/>
      <w:bookmarkStart w:id="1234" w:name="_Toc259093671"/>
      <w:r>
        <w:rPr>
          <w:rFonts w:hint="eastAsia" w:ascii="宋体" w:hAnsi="宋体" w:eastAsia="宋体" w:cs="宋体"/>
          <w:b/>
          <w:sz w:val="24"/>
          <w:szCs w:val="24"/>
        </w:rPr>
        <w:t>2.3 知识产权</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4A105D9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1CC734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 合同涉及技术成果的归属和收益的分成办法的，详见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1BFF89DF">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2.4 履约检查和问题反馈</w:t>
      </w:r>
    </w:p>
    <w:p w14:paraId="4CC1D331">
      <w:pPr>
        <w:spacing w:line="560" w:lineRule="exact"/>
        <w:ind w:firstLine="480" w:firstLineChars="200"/>
        <w:rPr>
          <w:rFonts w:hint="eastAsia" w:ascii="宋体" w:hAnsi="宋体" w:eastAsia="宋体" w:cs="宋体"/>
          <w:sz w:val="24"/>
          <w:szCs w:val="24"/>
        </w:rPr>
      </w:pPr>
      <w:bookmarkStart w:id="1235" w:name="_Ref467379657"/>
      <w:r>
        <w:rPr>
          <w:rFonts w:hint="eastAsia" w:ascii="宋体" w:hAnsi="宋体" w:eastAsia="宋体" w:cs="宋体"/>
          <w:sz w:val="24"/>
          <w:szCs w:val="24"/>
        </w:rPr>
        <w:t>2.4.1</w:t>
      </w:r>
      <w:bookmarkEnd w:id="1235"/>
      <w:bookmarkStart w:id="1236" w:name="_Toc186431854"/>
      <w:bookmarkStart w:id="1237" w:name="_Toc279701247"/>
      <w:bookmarkStart w:id="1238" w:name="_Toc487900357"/>
      <w:bookmarkStart w:id="1239" w:name="_Toc259093676"/>
      <w:bookmarkStart w:id="1240" w:name="_Ref467379807"/>
      <w:bookmarkStart w:id="1241" w:name="_Ref467379793"/>
      <w:r>
        <w:rPr>
          <w:rFonts w:hint="eastAsia" w:ascii="宋体" w:hAnsi="宋体" w:eastAsia="宋体" w:cs="宋体"/>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6C24078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 合同履行期间，甲方有权将履行过程中出现的问题反馈给乙方，双方当事人应以书面形式约定需要完善和改进的内容</w:t>
      </w:r>
      <w:bookmarkEnd w:id="1236"/>
      <w:bookmarkStart w:id="1242" w:name="_Toc186431855"/>
      <w:r>
        <w:rPr>
          <w:rFonts w:hint="eastAsia" w:ascii="宋体" w:hAnsi="宋体" w:eastAsia="宋体" w:cs="宋体"/>
          <w:sz w:val="24"/>
          <w:szCs w:val="24"/>
        </w:rPr>
        <w:t>。</w:t>
      </w:r>
    </w:p>
    <w:bookmarkEnd w:id="1242"/>
    <w:p w14:paraId="3BA8578E">
      <w:pPr>
        <w:spacing w:line="560" w:lineRule="exact"/>
        <w:ind w:firstLine="482" w:firstLineChars="200"/>
        <w:outlineLvl w:val="0"/>
        <w:rPr>
          <w:rFonts w:hint="eastAsia" w:ascii="宋体" w:hAnsi="宋体" w:eastAsia="宋体" w:cs="宋体"/>
          <w:b/>
          <w:sz w:val="24"/>
          <w:szCs w:val="24"/>
        </w:rPr>
      </w:pPr>
      <w:bookmarkStart w:id="1243" w:name="_Toc19359"/>
      <w:bookmarkStart w:id="1244" w:name="_Toc22011"/>
      <w:bookmarkStart w:id="1245" w:name="_Toc17432"/>
      <w:bookmarkStart w:id="1246" w:name="_Toc17638"/>
      <w:bookmarkStart w:id="1247" w:name="_Toc31233"/>
      <w:bookmarkStart w:id="1248" w:name="_Toc12535"/>
      <w:bookmarkStart w:id="1249" w:name="_Toc15447"/>
      <w:bookmarkStart w:id="1250" w:name="_Toc3"/>
      <w:bookmarkStart w:id="1251" w:name="_Toc32670"/>
      <w:bookmarkStart w:id="1252" w:name="_Toc26555"/>
      <w:r>
        <w:rPr>
          <w:rFonts w:hint="eastAsia" w:ascii="宋体" w:hAnsi="宋体" w:eastAsia="宋体" w:cs="宋体"/>
          <w:b/>
          <w:sz w:val="24"/>
          <w:szCs w:val="24"/>
        </w:rPr>
        <w:t>2.5 结算方式和付款条件</w:t>
      </w:r>
      <w:bookmarkEnd w:id="1237"/>
      <w:bookmarkEnd w:id="1238"/>
      <w:bookmarkEnd w:id="1239"/>
      <w:bookmarkEnd w:id="1240"/>
      <w:bookmarkEnd w:id="1241"/>
      <w:bookmarkEnd w:id="1243"/>
      <w:bookmarkEnd w:id="1244"/>
      <w:bookmarkEnd w:id="1245"/>
      <w:bookmarkEnd w:id="1246"/>
      <w:bookmarkEnd w:id="1247"/>
      <w:bookmarkEnd w:id="1248"/>
      <w:bookmarkEnd w:id="1249"/>
      <w:bookmarkEnd w:id="1250"/>
      <w:bookmarkEnd w:id="1251"/>
      <w:bookmarkEnd w:id="1252"/>
    </w:p>
    <w:p w14:paraId="75B9083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详见</w:t>
      </w:r>
      <w:r>
        <w:rPr>
          <w:rFonts w:hint="eastAsia" w:ascii="宋体" w:hAnsi="宋体" w:eastAsia="宋体" w:cs="宋体"/>
          <w:b/>
          <w:i/>
          <w:sz w:val="24"/>
          <w:szCs w:val="24"/>
          <w:u w:val="single"/>
        </w:rPr>
        <w:t>合同专用条款</w:t>
      </w:r>
      <w:r>
        <w:rPr>
          <w:rFonts w:hint="eastAsia" w:ascii="宋体" w:hAnsi="宋体" w:eastAsia="宋体" w:cs="宋体"/>
          <w:sz w:val="24"/>
          <w:szCs w:val="24"/>
        </w:rPr>
        <w:t>。</w:t>
      </w:r>
    </w:p>
    <w:p w14:paraId="5A141E4A">
      <w:pPr>
        <w:spacing w:line="560" w:lineRule="exact"/>
        <w:ind w:firstLine="482" w:firstLineChars="200"/>
        <w:outlineLvl w:val="0"/>
        <w:rPr>
          <w:rFonts w:hint="eastAsia" w:ascii="宋体" w:hAnsi="宋体" w:eastAsia="宋体" w:cs="宋体"/>
          <w:b/>
          <w:sz w:val="24"/>
          <w:szCs w:val="24"/>
        </w:rPr>
      </w:pPr>
      <w:bookmarkStart w:id="1253" w:name="_Toc279701248"/>
      <w:bookmarkStart w:id="1254" w:name="_Ref467379852"/>
      <w:bookmarkStart w:id="1255" w:name="_Ref467379923"/>
      <w:bookmarkStart w:id="1256" w:name="_Ref467379863"/>
      <w:bookmarkStart w:id="1257" w:name="_Toc487900358"/>
      <w:bookmarkStart w:id="1258" w:name="_Toc259093677"/>
      <w:bookmarkStart w:id="1259" w:name="_Toc13467"/>
      <w:bookmarkStart w:id="1260" w:name="_Toc18990"/>
      <w:bookmarkStart w:id="1261" w:name="_Toc8990"/>
      <w:bookmarkStart w:id="1262" w:name="_Toc24604"/>
      <w:bookmarkStart w:id="1263" w:name="_Toc32682"/>
      <w:bookmarkStart w:id="1264" w:name="_Toc13154"/>
      <w:bookmarkStart w:id="1265" w:name="_Toc10557"/>
      <w:r>
        <w:rPr>
          <w:rFonts w:hint="eastAsia" w:ascii="宋体" w:hAnsi="宋体" w:eastAsia="宋体" w:cs="宋体"/>
          <w:b/>
          <w:sz w:val="24"/>
          <w:szCs w:val="24"/>
        </w:rPr>
        <w:t>2.6 技术资料</w:t>
      </w:r>
      <w:bookmarkEnd w:id="1253"/>
      <w:bookmarkEnd w:id="1254"/>
      <w:bookmarkEnd w:id="1255"/>
      <w:bookmarkEnd w:id="1256"/>
      <w:bookmarkEnd w:id="1257"/>
      <w:bookmarkEnd w:id="1258"/>
      <w:r>
        <w:rPr>
          <w:rFonts w:hint="eastAsia" w:ascii="宋体" w:hAnsi="宋体" w:eastAsia="宋体" w:cs="宋体"/>
          <w:b/>
          <w:sz w:val="24"/>
          <w:szCs w:val="24"/>
        </w:rPr>
        <w:t>和保密义务</w:t>
      </w:r>
      <w:bookmarkEnd w:id="1259"/>
      <w:bookmarkEnd w:id="1260"/>
      <w:bookmarkEnd w:id="1261"/>
      <w:bookmarkEnd w:id="1262"/>
      <w:bookmarkEnd w:id="1263"/>
      <w:bookmarkEnd w:id="1264"/>
      <w:bookmarkEnd w:id="1265"/>
    </w:p>
    <w:p w14:paraId="052C072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2.6.1 乙方有权依据合同约定和项目需要，向甲方了解有关情况，调阅有关资料等，甲方应予积极配合；</w:t>
      </w:r>
    </w:p>
    <w:p w14:paraId="5D07B64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2.6.2 乙方有义务妥善保管和保护由甲方提供的前款信息和资料等；</w:t>
      </w:r>
    </w:p>
    <w:p w14:paraId="2F4E512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5ADB35F">
      <w:pPr>
        <w:spacing w:line="560" w:lineRule="exact"/>
        <w:ind w:firstLine="482" w:firstLineChars="200"/>
        <w:outlineLvl w:val="0"/>
        <w:rPr>
          <w:rFonts w:hint="eastAsia" w:ascii="宋体" w:hAnsi="宋体" w:eastAsia="宋体" w:cs="宋体"/>
          <w:b/>
          <w:sz w:val="24"/>
          <w:szCs w:val="24"/>
        </w:rPr>
      </w:pPr>
      <w:bookmarkStart w:id="1266" w:name="_Toc12200"/>
      <w:bookmarkStart w:id="1267" w:name="_Toc1447"/>
      <w:bookmarkStart w:id="1268" w:name="_Toc19069"/>
      <w:bookmarkStart w:id="1269" w:name="_Toc29124"/>
      <w:bookmarkStart w:id="1270" w:name="_Toc21740"/>
      <w:bookmarkStart w:id="1271" w:name="_Toc26945"/>
      <w:bookmarkStart w:id="1272" w:name="_Toc259093681"/>
      <w:bookmarkStart w:id="1273" w:name="_Toc487900362"/>
      <w:bookmarkStart w:id="1274" w:name="_Toc279701252"/>
      <w:r>
        <w:rPr>
          <w:rFonts w:hint="eastAsia" w:ascii="宋体" w:hAnsi="宋体" w:eastAsia="宋体" w:cs="宋体"/>
          <w:b/>
          <w:sz w:val="24"/>
          <w:szCs w:val="24"/>
        </w:rPr>
        <w:t>2.7 质量保证</w:t>
      </w:r>
      <w:bookmarkEnd w:id="1266"/>
      <w:bookmarkEnd w:id="1267"/>
      <w:bookmarkEnd w:id="1268"/>
      <w:bookmarkEnd w:id="1269"/>
      <w:bookmarkEnd w:id="1270"/>
      <w:bookmarkEnd w:id="1271"/>
    </w:p>
    <w:p w14:paraId="1F54470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2.7.1 乙方应建立和完善履行合同的内部质量保证体系，并提供相关内部规章制度给甲方，以便甲方进行监督检查；</w:t>
      </w:r>
    </w:p>
    <w:p w14:paraId="5202A59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2.7.2 乙方应保证履行合同的人员数量和素质、软件和硬件设备的配置、场地、环境和设施等满足全面履行合同的要求，并应接受甲方的监督检查。</w:t>
      </w:r>
    </w:p>
    <w:p w14:paraId="14184CA7">
      <w:pPr>
        <w:spacing w:line="560" w:lineRule="exact"/>
        <w:ind w:firstLine="482" w:firstLineChars="200"/>
        <w:outlineLvl w:val="0"/>
        <w:rPr>
          <w:rFonts w:hint="eastAsia" w:ascii="宋体" w:hAnsi="宋体" w:eastAsia="宋体" w:cs="宋体"/>
          <w:b/>
          <w:sz w:val="24"/>
          <w:szCs w:val="24"/>
        </w:rPr>
      </w:pPr>
      <w:bookmarkStart w:id="1275" w:name="_Toc9728"/>
      <w:bookmarkStart w:id="1276" w:name="_Toc709"/>
      <w:bookmarkStart w:id="1277" w:name="_Toc22267"/>
      <w:bookmarkStart w:id="1278" w:name="_Toc24190"/>
      <w:bookmarkStart w:id="1279" w:name="_Toc5058"/>
      <w:bookmarkStart w:id="1280" w:name="_Toc17639"/>
      <w:r>
        <w:rPr>
          <w:rFonts w:hint="eastAsia" w:ascii="宋体" w:hAnsi="宋体" w:eastAsia="宋体" w:cs="宋体"/>
          <w:b/>
          <w:sz w:val="24"/>
          <w:szCs w:val="24"/>
        </w:rPr>
        <w:t>2.8 延迟</w:t>
      </w:r>
      <w:bookmarkEnd w:id="1272"/>
      <w:bookmarkEnd w:id="1273"/>
      <w:bookmarkEnd w:id="1274"/>
      <w:r>
        <w:rPr>
          <w:rFonts w:hint="eastAsia" w:ascii="宋体" w:hAnsi="宋体" w:eastAsia="宋体" w:cs="宋体"/>
          <w:b/>
          <w:sz w:val="24"/>
          <w:szCs w:val="24"/>
        </w:rPr>
        <w:t>履行</w:t>
      </w:r>
      <w:bookmarkEnd w:id="1275"/>
      <w:bookmarkEnd w:id="1276"/>
      <w:bookmarkEnd w:id="1277"/>
      <w:bookmarkEnd w:id="1278"/>
      <w:bookmarkEnd w:id="1279"/>
      <w:bookmarkEnd w:id="1280"/>
    </w:p>
    <w:p w14:paraId="509D9C2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D02507A">
      <w:pPr>
        <w:spacing w:line="560" w:lineRule="exact"/>
        <w:ind w:firstLine="482" w:firstLineChars="200"/>
        <w:outlineLvl w:val="0"/>
        <w:rPr>
          <w:rFonts w:hint="eastAsia" w:ascii="宋体" w:hAnsi="宋体" w:eastAsia="宋体" w:cs="宋体"/>
          <w:b/>
          <w:sz w:val="24"/>
          <w:szCs w:val="24"/>
        </w:rPr>
      </w:pPr>
      <w:bookmarkStart w:id="1281" w:name="_Toc15837"/>
      <w:bookmarkStart w:id="1282" w:name="_Toc16201"/>
      <w:bookmarkStart w:id="1283" w:name="_Toc16734"/>
      <w:bookmarkStart w:id="1284" w:name="_Toc21355"/>
      <w:bookmarkStart w:id="1285" w:name="_Toc31443"/>
      <w:bookmarkStart w:id="1286" w:name="_Toc10611"/>
      <w:bookmarkStart w:id="1287" w:name="_Ref467378121"/>
      <w:bookmarkStart w:id="1288" w:name="_Toc279701254"/>
      <w:bookmarkStart w:id="1289" w:name="_Toc487900364"/>
      <w:bookmarkStart w:id="1290" w:name="_Toc259093683"/>
      <w:r>
        <w:rPr>
          <w:rFonts w:hint="eastAsia" w:ascii="宋体" w:hAnsi="宋体" w:eastAsia="宋体" w:cs="宋体"/>
          <w:b/>
          <w:sz w:val="24"/>
          <w:szCs w:val="24"/>
        </w:rPr>
        <w:t>2.9 合同变更</w:t>
      </w:r>
      <w:bookmarkEnd w:id="1281"/>
      <w:bookmarkEnd w:id="1282"/>
      <w:bookmarkEnd w:id="1283"/>
      <w:bookmarkEnd w:id="1284"/>
      <w:bookmarkEnd w:id="1285"/>
      <w:bookmarkEnd w:id="1286"/>
    </w:p>
    <w:p w14:paraId="2523288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14:paraId="65977F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2.9.2 合同继续履行将损害国家利益和社会公共利益的，双方当事人应当以书面形式变更合同。有过错的一方应当承担赔偿责任，双方当事人都有过错的，各自承担相应的责任。</w:t>
      </w:r>
      <w:bookmarkStart w:id="1291" w:name="_Toc487900369"/>
      <w:bookmarkStart w:id="1292" w:name="_Toc259093688"/>
      <w:bookmarkStart w:id="1293" w:name="_Toc279701259"/>
    </w:p>
    <w:p w14:paraId="07F8D6C9">
      <w:pPr>
        <w:spacing w:line="560" w:lineRule="exact"/>
        <w:ind w:firstLine="482" w:firstLineChars="200"/>
        <w:outlineLvl w:val="0"/>
        <w:rPr>
          <w:rFonts w:hint="eastAsia" w:ascii="宋体" w:hAnsi="宋体" w:eastAsia="宋体" w:cs="宋体"/>
          <w:b/>
          <w:sz w:val="24"/>
          <w:szCs w:val="24"/>
        </w:rPr>
      </w:pPr>
      <w:bookmarkStart w:id="1294" w:name="_Toc23368"/>
      <w:bookmarkStart w:id="1295" w:name="_Toc42"/>
      <w:bookmarkStart w:id="1296" w:name="_Toc8630"/>
      <w:bookmarkStart w:id="1297" w:name="_Toc5676"/>
      <w:bookmarkStart w:id="1298" w:name="_Toc11531"/>
      <w:bookmarkStart w:id="1299" w:name="_Toc26689"/>
      <w:bookmarkStart w:id="1300" w:name="_Toc10663"/>
      <w:bookmarkStart w:id="1301" w:name="_Toc21830"/>
      <w:bookmarkStart w:id="1302" w:name="_Toc7075"/>
      <w:bookmarkStart w:id="1303" w:name="_Toc29906"/>
      <w:r>
        <w:rPr>
          <w:rFonts w:hint="eastAsia" w:ascii="宋体" w:hAnsi="宋体" w:eastAsia="宋体" w:cs="宋体"/>
          <w:b/>
          <w:sz w:val="24"/>
          <w:szCs w:val="24"/>
        </w:rPr>
        <w:t>2.10 合同转让</w:t>
      </w:r>
      <w:bookmarkEnd w:id="1291"/>
      <w:bookmarkEnd w:id="1292"/>
      <w:bookmarkEnd w:id="1293"/>
      <w:r>
        <w:rPr>
          <w:rFonts w:hint="eastAsia" w:ascii="宋体" w:hAnsi="宋体" w:eastAsia="宋体" w:cs="宋体"/>
          <w:b/>
          <w:sz w:val="24"/>
          <w:szCs w:val="24"/>
        </w:rPr>
        <w:t>和分包</w:t>
      </w:r>
      <w:bookmarkEnd w:id="1294"/>
      <w:bookmarkEnd w:id="1295"/>
      <w:bookmarkEnd w:id="1296"/>
      <w:bookmarkEnd w:id="1297"/>
      <w:bookmarkEnd w:id="1298"/>
      <w:bookmarkEnd w:id="1299"/>
      <w:bookmarkEnd w:id="1300"/>
      <w:bookmarkEnd w:id="1301"/>
      <w:bookmarkEnd w:id="1302"/>
      <w:bookmarkEnd w:id="1303"/>
    </w:p>
    <w:p w14:paraId="1091CA3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C5E3703">
      <w:pPr>
        <w:spacing w:line="560" w:lineRule="exact"/>
        <w:ind w:firstLine="482" w:firstLineChars="200"/>
        <w:outlineLvl w:val="0"/>
        <w:rPr>
          <w:rFonts w:hint="eastAsia" w:ascii="宋体" w:hAnsi="宋体" w:eastAsia="宋体" w:cs="宋体"/>
          <w:b/>
          <w:sz w:val="24"/>
          <w:szCs w:val="24"/>
        </w:rPr>
      </w:pPr>
      <w:bookmarkStart w:id="1304" w:name="_Toc8004"/>
      <w:bookmarkStart w:id="1305" w:name="_Toc5714"/>
      <w:bookmarkStart w:id="1306" w:name="_Toc19886"/>
      <w:bookmarkStart w:id="1307" w:name="_Toc4720"/>
      <w:bookmarkStart w:id="1308" w:name="_Toc17896"/>
      <w:bookmarkStart w:id="1309" w:name="_Toc25571"/>
      <w:bookmarkStart w:id="1310" w:name="_Toc14371"/>
      <w:bookmarkStart w:id="1311" w:name="_Toc26633"/>
      <w:bookmarkStart w:id="1312" w:name="_Toc13172"/>
      <w:bookmarkStart w:id="1313" w:name="_Toc32494"/>
      <w:r>
        <w:rPr>
          <w:rFonts w:hint="eastAsia" w:ascii="宋体" w:hAnsi="宋体" w:eastAsia="宋体" w:cs="宋体"/>
          <w:b/>
          <w:sz w:val="24"/>
          <w:szCs w:val="24"/>
        </w:rPr>
        <w:t>2.11 不可抗力</w:t>
      </w:r>
      <w:bookmarkEnd w:id="1304"/>
      <w:bookmarkEnd w:id="1305"/>
      <w:bookmarkEnd w:id="1306"/>
      <w:bookmarkEnd w:id="1307"/>
      <w:bookmarkEnd w:id="1308"/>
      <w:bookmarkEnd w:id="1309"/>
      <w:bookmarkEnd w:id="1310"/>
      <w:bookmarkEnd w:id="1311"/>
      <w:bookmarkEnd w:id="1312"/>
      <w:bookmarkEnd w:id="1313"/>
    </w:p>
    <w:p w14:paraId="5937505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2.11.1如果任何一方遭遇法律规定的不可抗力，致使合同履行受阻时，履行合同的期限应予延长，延长的期限应相当于不可抗力所影响的时间；</w:t>
      </w:r>
    </w:p>
    <w:p w14:paraId="793374A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2.11.2 因不可抗力致使不能实现合同目的的，当事人可以解除合同；</w:t>
      </w:r>
    </w:p>
    <w:p w14:paraId="168AA92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2.11.3 因不可抗力致使合同有变更必要的，双方当事人应在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约定时间内以书面形式变更合同；</w:t>
      </w:r>
    </w:p>
    <w:p w14:paraId="759A6A1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2.11.4受不可抗力影响的一方在不可抗力发生后，应在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约定时间内以书面形式通知对方当事人，并在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约定时间内，将有关部门出具的证明文件送达对方当事人。</w:t>
      </w:r>
    </w:p>
    <w:p w14:paraId="27C2301F">
      <w:pPr>
        <w:spacing w:line="560" w:lineRule="exact"/>
        <w:ind w:firstLine="482" w:firstLineChars="200"/>
        <w:outlineLvl w:val="0"/>
        <w:rPr>
          <w:rFonts w:hint="eastAsia" w:ascii="宋体" w:hAnsi="宋体" w:eastAsia="宋体" w:cs="宋体"/>
          <w:b/>
          <w:sz w:val="24"/>
          <w:szCs w:val="24"/>
        </w:rPr>
      </w:pPr>
      <w:bookmarkStart w:id="1314" w:name="_Toc3659"/>
      <w:bookmarkStart w:id="1315" w:name="_Toc487900365"/>
      <w:bookmarkStart w:id="1316" w:name="_Toc28108"/>
      <w:bookmarkStart w:id="1317" w:name="_Toc259093684"/>
      <w:bookmarkStart w:id="1318" w:name="_Toc23854"/>
      <w:bookmarkStart w:id="1319" w:name="_Toc24465"/>
      <w:bookmarkStart w:id="1320" w:name="_Toc22135"/>
      <w:bookmarkStart w:id="1321" w:name="_Toc25783"/>
      <w:bookmarkStart w:id="1322" w:name="_Toc30294"/>
      <w:bookmarkStart w:id="1323" w:name="_Toc26219"/>
      <w:bookmarkStart w:id="1324" w:name="_Toc3638"/>
      <w:bookmarkStart w:id="1325" w:name="_Toc279701255"/>
      <w:bookmarkStart w:id="1326" w:name="_Toc14115"/>
      <w:r>
        <w:rPr>
          <w:rFonts w:hint="eastAsia" w:ascii="宋体" w:hAnsi="宋体" w:eastAsia="宋体" w:cs="宋体"/>
          <w:b/>
          <w:sz w:val="24"/>
          <w:szCs w:val="24"/>
        </w:rPr>
        <w:t>2.12 税费</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57AFDB8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与合同有关的一切税费，均按照中华人民共和国法律的相关规定缴纳。</w:t>
      </w:r>
    </w:p>
    <w:p w14:paraId="013D7232">
      <w:pPr>
        <w:spacing w:line="560" w:lineRule="exact"/>
        <w:ind w:firstLine="482" w:firstLineChars="200"/>
        <w:outlineLvl w:val="0"/>
        <w:rPr>
          <w:rFonts w:hint="eastAsia" w:ascii="宋体" w:hAnsi="宋体" w:eastAsia="宋体" w:cs="宋体"/>
          <w:b/>
          <w:sz w:val="24"/>
          <w:szCs w:val="24"/>
        </w:rPr>
      </w:pPr>
      <w:bookmarkStart w:id="1327" w:name="_Toc23741"/>
      <w:bookmarkStart w:id="1328" w:name="_Toc23998"/>
      <w:bookmarkStart w:id="1329" w:name="_Toc24512"/>
      <w:bookmarkStart w:id="1330" w:name="_Toc14814"/>
      <w:bookmarkStart w:id="1331" w:name="_Toc7315"/>
      <w:bookmarkStart w:id="1332" w:name="_Toc9678"/>
      <w:bookmarkStart w:id="1333" w:name="_Toc26883"/>
      <w:bookmarkStart w:id="1334" w:name="_Toc259093687"/>
      <w:bookmarkStart w:id="1335" w:name="_Toc25525"/>
      <w:bookmarkStart w:id="1336" w:name="_Toc20398"/>
      <w:bookmarkStart w:id="1337" w:name="_Toc30105"/>
      <w:bookmarkStart w:id="1338" w:name="_Toc279701258"/>
      <w:bookmarkStart w:id="1339" w:name="_Toc487900368"/>
      <w:r>
        <w:rPr>
          <w:rFonts w:hint="eastAsia" w:ascii="宋体" w:hAnsi="宋体" w:eastAsia="宋体" w:cs="宋体"/>
          <w:b/>
          <w:sz w:val="24"/>
          <w:szCs w:val="24"/>
        </w:rPr>
        <w:t>2.13 乙方破产</w:t>
      </w:r>
      <w:bookmarkEnd w:id="1327"/>
      <w:bookmarkEnd w:id="1328"/>
      <w:bookmarkEnd w:id="1329"/>
      <w:bookmarkEnd w:id="1330"/>
      <w:bookmarkEnd w:id="1331"/>
      <w:bookmarkEnd w:id="1332"/>
      <w:bookmarkEnd w:id="1333"/>
      <w:bookmarkEnd w:id="1334"/>
      <w:bookmarkEnd w:id="1335"/>
      <w:bookmarkEnd w:id="1336"/>
      <w:bookmarkEnd w:id="1337"/>
      <w:bookmarkEnd w:id="1338"/>
      <w:bookmarkEnd w:id="1339"/>
    </w:p>
    <w:p w14:paraId="1DC0EFF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2BF568A">
      <w:pPr>
        <w:spacing w:line="560" w:lineRule="exact"/>
        <w:ind w:firstLine="482" w:firstLineChars="200"/>
        <w:outlineLvl w:val="0"/>
        <w:rPr>
          <w:rFonts w:hint="eastAsia" w:ascii="宋体" w:hAnsi="宋体" w:eastAsia="宋体" w:cs="宋体"/>
          <w:b/>
          <w:sz w:val="24"/>
          <w:szCs w:val="24"/>
        </w:rPr>
      </w:pPr>
      <w:bookmarkStart w:id="1340" w:name="_Toc10101"/>
      <w:bookmarkStart w:id="1341" w:name="_Toc23323"/>
      <w:bookmarkStart w:id="1342" w:name="_Toc1123"/>
      <w:bookmarkStart w:id="1343" w:name="_Toc24725"/>
      <w:bookmarkStart w:id="1344" w:name="_Toc26471"/>
      <w:bookmarkStart w:id="1345" w:name="_Toc32431"/>
      <w:bookmarkStart w:id="1346" w:name="_Toc2016"/>
      <w:bookmarkStart w:id="1347" w:name="_Toc25067"/>
      <w:r>
        <w:rPr>
          <w:rFonts w:hint="eastAsia" w:ascii="宋体" w:hAnsi="宋体" w:eastAsia="宋体" w:cs="宋体"/>
          <w:b/>
          <w:sz w:val="24"/>
          <w:szCs w:val="24"/>
        </w:rPr>
        <w:t>2.14 合同中止、终止</w:t>
      </w:r>
      <w:bookmarkEnd w:id="1340"/>
      <w:bookmarkEnd w:id="1341"/>
      <w:bookmarkEnd w:id="1342"/>
      <w:bookmarkEnd w:id="1343"/>
      <w:bookmarkEnd w:id="1344"/>
      <w:bookmarkEnd w:id="1345"/>
      <w:bookmarkEnd w:id="1346"/>
      <w:bookmarkEnd w:id="1347"/>
    </w:p>
    <w:p w14:paraId="5672987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2.14.1 双方当事人不得擅自中止或者终止合同；</w:t>
      </w:r>
    </w:p>
    <w:p w14:paraId="6E1DAA6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2.14.2合同继续履行将损害国家利益和社会公共利益的，双方当事人应当中止或者终止合同。有过错的一方应当承担赔偿责任，双方当事人都有过错的，各自承担相应的责任。</w:t>
      </w:r>
    </w:p>
    <w:p w14:paraId="065A9868">
      <w:pPr>
        <w:spacing w:line="560" w:lineRule="exact"/>
        <w:ind w:firstLine="482" w:firstLineChars="200"/>
        <w:outlineLvl w:val="0"/>
        <w:rPr>
          <w:rFonts w:hint="eastAsia" w:ascii="宋体" w:hAnsi="宋体" w:eastAsia="宋体" w:cs="宋体"/>
          <w:b/>
          <w:sz w:val="24"/>
          <w:szCs w:val="24"/>
        </w:rPr>
      </w:pPr>
      <w:bookmarkStart w:id="1348" w:name="_Toc17363"/>
      <w:bookmarkStart w:id="1349" w:name="_Toc7756"/>
      <w:bookmarkStart w:id="1350" w:name="_Toc10354"/>
      <w:bookmarkStart w:id="1351" w:name="_Toc1969"/>
      <w:bookmarkStart w:id="1352" w:name="_Toc14525"/>
      <w:bookmarkStart w:id="1353" w:name="_Toc4029"/>
      <w:bookmarkStart w:id="1354" w:name="_Toc23177"/>
      <w:bookmarkStart w:id="1355" w:name="_Toc6285"/>
      <w:r>
        <w:rPr>
          <w:rFonts w:hint="eastAsia" w:ascii="宋体" w:hAnsi="宋体" w:eastAsia="宋体" w:cs="宋体"/>
          <w:b/>
          <w:sz w:val="24"/>
          <w:szCs w:val="24"/>
        </w:rPr>
        <w:t>2.15 检验和验收</w:t>
      </w:r>
      <w:bookmarkEnd w:id="1348"/>
      <w:bookmarkEnd w:id="1349"/>
      <w:bookmarkEnd w:id="1350"/>
      <w:bookmarkEnd w:id="1351"/>
      <w:bookmarkEnd w:id="1352"/>
      <w:bookmarkEnd w:id="1353"/>
      <w:bookmarkEnd w:id="1354"/>
      <w:bookmarkEnd w:id="1355"/>
    </w:p>
    <w:p w14:paraId="521CB2CC">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2.15.1 乙方按照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的约定，定期提交服务报告，甲方按照</w:t>
      </w:r>
      <w:r>
        <w:rPr>
          <w:rFonts w:hint="eastAsia" w:ascii="宋体" w:hAnsi="宋体" w:eastAsia="宋体" w:cs="宋体"/>
          <w:b/>
          <w:i/>
          <w:sz w:val="24"/>
          <w:szCs w:val="24"/>
          <w:u w:val="single"/>
        </w:rPr>
        <w:t>合同专用条款</w:t>
      </w:r>
      <w:r>
        <w:rPr>
          <w:rFonts w:hint="eastAsia" w:ascii="宋体" w:hAnsi="宋体" w:eastAsia="宋体" w:cs="宋体"/>
          <w:sz w:val="24"/>
          <w:szCs w:val="24"/>
        </w:rPr>
        <w:t>的约定进行定期验收；</w:t>
      </w:r>
    </w:p>
    <w:p w14:paraId="4EF015A4">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3174A8E">
      <w:pPr>
        <w:tabs>
          <w:tab w:val="left" w:pos="360"/>
          <w:tab w:val="left" w:pos="540"/>
          <w:tab w:val="left" w:pos="1080"/>
        </w:tabs>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2.15.3 检验和验收标准、程序等具体内容以及前述验收书的效力详见</w:t>
      </w:r>
      <w:r>
        <w:rPr>
          <w:rFonts w:hint="eastAsia" w:ascii="宋体" w:hAnsi="宋体" w:eastAsia="宋体" w:cs="宋体"/>
          <w:b/>
          <w:i/>
          <w:sz w:val="24"/>
          <w:szCs w:val="24"/>
          <w:u w:val="single"/>
        </w:rPr>
        <w:t>合同专用条款</w:t>
      </w:r>
      <w:r>
        <w:rPr>
          <w:rFonts w:hint="eastAsia" w:ascii="宋体" w:hAnsi="宋体" w:eastAsia="宋体" w:cs="宋体"/>
          <w:i/>
          <w:sz w:val="24"/>
          <w:szCs w:val="24"/>
        </w:rPr>
        <w:t>。</w:t>
      </w:r>
    </w:p>
    <w:bookmarkEnd w:id="1287"/>
    <w:bookmarkEnd w:id="1288"/>
    <w:bookmarkEnd w:id="1289"/>
    <w:bookmarkEnd w:id="1290"/>
    <w:p w14:paraId="182A31BD">
      <w:pPr>
        <w:spacing w:line="560" w:lineRule="exact"/>
        <w:ind w:firstLine="482" w:firstLineChars="200"/>
        <w:outlineLvl w:val="0"/>
        <w:rPr>
          <w:rFonts w:hint="eastAsia" w:ascii="宋体" w:hAnsi="宋体" w:eastAsia="宋体" w:cs="宋体"/>
          <w:b/>
          <w:sz w:val="24"/>
          <w:szCs w:val="24"/>
        </w:rPr>
      </w:pPr>
      <w:bookmarkStart w:id="1356" w:name="_Toc259093690"/>
      <w:bookmarkStart w:id="1357" w:name="_Toc279701261"/>
      <w:bookmarkStart w:id="1358" w:name="_Toc487900371"/>
      <w:bookmarkStart w:id="1359" w:name="_Toc28291"/>
      <w:bookmarkStart w:id="1360" w:name="_Toc11667"/>
      <w:bookmarkStart w:id="1361" w:name="_Toc21710"/>
      <w:bookmarkStart w:id="1362" w:name="_Toc12666"/>
      <w:bookmarkStart w:id="1363" w:name="_Toc2372"/>
      <w:bookmarkStart w:id="1364" w:name="_Toc21947"/>
      <w:bookmarkStart w:id="1365" w:name="_Toc2308"/>
      <w:bookmarkStart w:id="1366" w:name="_Toc31892"/>
      <w:bookmarkStart w:id="1367" w:name="_Toc25198"/>
      <w:r>
        <w:rPr>
          <w:rFonts w:hint="eastAsia" w:ascii="宋体" w:hAnsi="宋体" w:eastAsia="宋体" w:cs="宋体"/>
          <w:b/>
          <w:sz w:val="24"/>
          <w:szCs w:val="24"/>
        </w:rPr>
        <w:t>2.16 通知</w:t>
      </w:r>
      <w:bookmarkEnd w:id="1356"/>
      <w:bookmarkEnd w:id="1357"/>
      <w:bookmarkEnd w:id="1358"/>
      <w:r>
        <w:rPr>
          <w:rFonts w:hint="eastAsia" w:ascii="宋体" w:hAnsi="宋体" w:eastAsia="宋体" w:cs="宋体"/>
          <w:b/>
          <w:sz w:val="24"/>
          <w:szCs w:val="24"/>
        </w:rPr>
        <w:t>和送达</w:t>
      </w:r>
      <w:bookmarkEnd w:id="1359"/>
      <w:bookmarkEnd w:id="1360"/>
      <w:bookmarkEnd w:id="1361"/>
      <w:bookmarkEnd w:id="1362"/>
      <w:bookmarkEnd w:id="1363"/>
      <w:bookmarkEnd w:id="1364"/>
      <w:bookmarkEnd w:id="1365"/>
      <w:bookmarkEnd w:id="1366"/>
      <w:bookmarkEnd w:id="1367"/>
    </w:p>
    <w:p w14:paraId="0BC6120D">
      <w:pPr>
        <w:spacing w:line="560" w:lineRule="exact"/>
        <w:ind w:firstLine="480" w:firstLineChars="200"/>
        <w:rPr>
          <w:rFonts w:hint="eastAsia" w:ascii="宋体" w:hAnsi="宋体" w:eastAsia="宋体" w:cs="宋体"/>
          <w:sz w:val="24"/>
          <w:szCs w:val="24"/>
        </w:rPr>
      </w:pPr>
      <w:bookmarkStart w:id="1368" w:name="_Toc7073"/>
      <w:bookmarkStart w:id="1369" w:name="_Toc29220"/>
      <w:bookmarkStart w:id="1370" w:name="_Toc487900372"/>
      <w:bookmarkStart w:id="1371" w:name="_Toc279701262"/>
      <w:bookmarkStart w:id="1372" w:name="_Toc259093691"/>
      <w:r>
        <w:rPr>
          <w:rFonts w:hint="eastAsia" w:ascii="宋体" w:hAnsi="宋体" w:eastAsia="宋体" w:cs="宋体"/>
          <w:sz w:val="24"/>
          <w:szCs w:val="24"/>
        </w:rPr>
        <w:t>2.16.1 任何一方因履行合同而以合同第一部分尾部所列明的</w:t>
      </w:r>
      <w:r>
        <w:rPr>
          <w:rFonts w:hint="eastAsia" w:ascii="宋体" w:hAnsi="宋体" w:eastAsia="宋体" w:cs="宋体"/>
          <w:sz w:val="24"/>
          <w:szCs w:val="24"/>
          <w:u w:val="single"/>
        </w:rPr>
        <w:t xml:space="preserve">          </w:t>
      </w:r>
      <w:r>
        <w:rPr>
          <w:rFonts w:hint="eastAsia" w:ascii="宋体" w:hAnsi="宋体" w:eastAsia="宋体" w:cs="宋体"/>
          <w:sz w:val="24"/>
          <w:szCs w:val="24"/>
        </w:rPr>
        <w:t>发出的所有通知、文件、材料，均视为已向对方当事人送达；任何一方变更上述送达方式或者地址的，应于</w:t>
      </w:r>
      <w:r>
        <w:rPr>
          <w:rFonts w:hint="eastAsia" w:ascii="宋体" w:hAnsi="宋体" w:eastAsia="宋体" w:cs="宋体"/>
          <w:sz w:val="24"/>
          <w:szCs w:val="24"/>
          <w:u w:val="single"/>
        </w:rPr>
        <w:t xml:space="preserve">   </w:t>
      </w:r>
      <w:r>
        <w:rPr>
          <w:rFonts w:hint="eastAsia" w:ascii="宋体" w:hAnsi="宋体" w:eastAsia="宋体" w:cs="宋体"/>
          <w:sz w:val="24"/>
          <w:szCs w:val="24"/>
        </w:rPr>
        <w:t>个工作日内书面通知对方当事人，在对方当事人收到有关变更通知之前，变更前的约定送达方式或者地址仍视为有效。</w:t>
      </w:r>
      <w:bookmarkEnd w:id="1368"/>
      <w:bookmarkEnd w:id="1369"/>
    </w:p>
    <w:p w14:paraId="018C4E70">
      <w:pPr>
        <w:spacing w:line="560" w:lineRule="exact"/>
        <w:ind w:firstLine="480" w:firstLineChars="200"/>
        <w:rPr>
          <w:rFonts w:hint="eastAsia" w:ascii="宋体" w:hAnsi="宋体" w:eastAsia="宋体" w:cs="宋体"/>
          <w:sz w:val="24"/>
          <w:szCs w:val="24"/>
        </w:rPr>
      </w:pPr>
      <w:bookmarkStart w:id="1373" w:name="_Toc18401"/>
      <w:bookmarkStart w:id="1374" w:name="_Toc27674"/>
      <w:r>
        <w:rPr>
          <w:rFonts w:hint="eastAsia" w:ascii="宋体" w:hAnsi="宋体" w:eastAsia="宋体" w:cs="宋体"/>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73"/>
      <w:bookmarkEnd w:id="1374"/>
    </w:p>
    <w:bookmarkEnd w:id="1370"/>
    <w:bookmarkEnd w:id="1371"/>
    <w:bookmarkEnd w:id="1372"/>
    <w:p w14:paraId="21FD704F">
      <w:pPr>
        <w:spacing w:line="560" w:lineRule="exact"/>
        <w:ind w:firstLine="482" w:firstLineChars="200"/>
        <w:outlineLvl w:val="0"/>
        <w:rPr>
          <w:rFonts w:hint="eastAsia" w:ascii="宋体" w:hAnsi="宋体" w:eastAsia="宋体" w:cs="宋体"/>
          <w:b/>
          <w:sz w:val="24"/>
          <w:szCs w:val="24"/>
        </w:rPr>
      </w:pPr>
      <w:bookmarkStart w:id="1375" w:name="_Toc5063"/>
      <w:bookmarkStart w:id="1376" w:name="_Toc259093692"/>
      <w:bookmarkStart w:id="1377" w:name="_Toc26014"/>
      <w:bookmarkStart w:id="1378" w:name="_Toc279701263"/>
      <w:bookmarkStart w:id="1379" w:name="_Toc487900373"/>
      <w:bookmarkStart w:id="1380" w:name="_Toc14232"/>
      <w:bookmarkStart w:id="1381" w:name="_Toc24943"/>
      <w:bookmarkStart w:id="1382" w:name="_Toc12254"/>
      <w:bookmarkStart w:id="1383" w:name="_Toc14037"/>
      <w:bookmarkStart w:id="1384" w:name="_Toc28906"/>
      <w:bookmarkStart w:id="1385" w:name="_Toc1929"/>
      <w:bookmarkStart w:id="1386" w:name="_Toc20808"/>
      <w:r>
        <w:rPr>
          <w:rFonts w:hint="eastAsia" w:ascii="宋体" w:hAnsi="宋体" w:eastAsia="宋体" w:cs="宋体"/>
          <w:b/>
          <w:sz w:val="24"/>
          <w:szCs w:val="24"/>
        </w:rPr>
        <w:t>2.17 合同使用的文字和适用的法律</w:t>
      </w:r>
      <w:bookmarkEnd w:id="1375"/>
      <w:bookmarkEnd w:id="1376"/>
      <w:bookmarkEnd w:id="1377"/>
      <w:bookmarkEnd w:id="1378"/>
      <w:bookmarkEnd w:id="1379"/>
      <w:bookmarkEnd w:id="1380"/>
      <w:bookmarkEnd w:id="1381"/>
      <w:bookmarkEnd w:id="1382"/>
      <w:bookmarkEnd w:id="1383"/>
      <w:bookmarkEnd w:id="1384"/>
      <w:bookmarkEnd w:id="1385"/>
      <w:bookmarkEnd w:id="1386"/>
    </w:p>
    <w:p w14:paraId="2D80F6D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2.17.1 合同使用汉语书就、变更和解释；</w:t>
      </w:r>
    </w:p>
    <w:p w14:paraId="0CE34F9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2.17.2 合同适用中华人民共和国法律。</w:t>
      </w:r>
    </w:p>
    <w:p w14:paraId="6B0911AF">
      <w:pPr>
        <w:spacing w:line="560" w:lineRule="exact"/>
        <w:ind w:firstLine="482" w:firstLineChars="200"/>
        <w:outlineLvl w:val="0"/>
        <w:rPr>
          <w:rFonts w:hint="eastAsia" w:ascii="宋体" w:hAnsi="宋体" w:eastAsia="宋体" w:cs="宋体"/>
          <w:b/>
          <w:sz w:val="24"/>
          <w:szCs w:val="24"/>
        </w:rPr>
      </w:pPr>
      <w:bookmarkStart w:id="1387" w:name="_Toc27127"/>
      <w:bookmarkStart w:id="1388" w:name="_Toc1492"/>
      <w:bookmarkStart w:id="1389" w:name="_Toc31003"/>
      <w:bookmarkStart w:id="1390" w:name="_Toc28232"/>
      <w:bookmarkStart w:id="1391" w:name="_Toc279701264"/>
      <w:bookmarkStart w:id="1392" w:name="_Toc21507"/>
      <w:bookmarkStart w:id="1393" w:name="_Toc259093693"/>
      <w:bookmarkStart w:id="1394" w:name="_Toc1493"/>
      <w:bookmarkStart w:id="1395" w:name="_Toc27403"/>
      <w:bookmarkStart w:id="1396" w:name="_Toc27158"/>
      <w:bookmarkStart w:id="1397" w:name="_Toc22266"/>
      <w:bookmarkStart w:id="1398" w:name="_Toc30096"/>
      <w:bookmarkStart w:id="1399" w:name="_Toc487900374"/>
      <w:r>
        <w:rPr>
          <w:rFonts w:hint="eastAsia" w:ascii="宋体" w:hAnsi="宋体" w:eastAsia="宋体" w:cs="宋体"/>
          <w:b/>
          <w:sz w:val="24"/>
          <w:szCs w:val="24"/>
        </w:rPr>
        <w:t>2.18 履约保证金</w:t>
      </w:r>
      <w:bookmarkEnd w:id="1387"/>
      <w:bookmarkEnd w:id="1388"/>
      <w:bookmarkEnd w:id="1389"/>
      <w:bookmarkEnd w:id="1390"/>
      <w:bookmarkEnd w:id="1391"/>
      <w:bookmarkEnd w:id="1392"/>
      <w:bookmarkEnd w:id="1393"/>
      <w:bookmarkEnd w:id="1394"/>
      <w:bookmarkEnd w:id="1395"/>
      <w:bookmarkEnd w:id="1396"/>
      <w:bookmarkEnd w:id="1397"/>
      <w:bookmarkEnd w:id="1398"/>
    </w:p>
    <w:p w14:paraId="28A9284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2.18.1 采购文件要求乙方提交履约保证金的，乙方应按</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约定的方式，以支票、汇票、本票或者金融机构、担保机构出具的保函等非现金形式，提交不超过合同价10%的履约保证金；</w:t>
      </w:r>
    </w:p>
    <w:p w14:paraId="1D1247C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2.18.2 履约保证金在</w:t>
      </w:r>
      <w:r>
        <w:rPr>
          <w:rFonts w:hint="eastAsia" w:ascii="宋体" w:hAnsi="宋体" w:eastAsia="宋体" w:cs="宋体"/>
          <w:b/>
          <w:i/>
          <w:sz w:val="24"/>
          <w:szCs w:val="24"/>
          <w:u w:val="single"/>
        </w:rPr>
        <w:t>合同专用条款</w:t>
      </w:r>
      <w:r>
        <w:rPr>
          <w:rFonts w:hint="eastAsia" w:ascii="宋体" w:hAnsi="宋体" w:eastAsia="宋体" w:cs="宋体"/>
          <w:sz w:val="24"/>
          <w:szCs w:val="24"/>
        </w:rPr>
        <w:t>约定期间内不予退还或者应完全有效，前述约定期间届满之日起</w:t>
      </w:r>
      <w:r>
        <w:rPr>
          <w:rFonts w:hint="eastAsia" w:ascii="宋体" w:hAnsi="宋体" w:eastAsia="宋体" w:cs="宋体"/>
          <w:sz w:val="24"/>
          <w:szCs w:val="24"/>
          <w:u w:val="single"/>
        </w:rPr>
        <w:t xml:space="preserve">  2  </w:t>
      </w:r>
      <w:r>
        <w:rPr>
          <w:rFonts w:hint="eastAsia" w:ascii="宋体" w:hAnsi="宋体" w:eastAsia="宋体" w:cs="宋体"/>
          <w:sz w:val="24"/>
          <w:szCs w:val="24"/>
        </w:rPr>
        <w:t>个工作日内，甲方应将履约保证金退还乙方；</w:t>
      </w:r>
    </w:p>
    <w:p w14:paraId="4C8C67B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399"/>
    <w:p w14:paraId="7018F073">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2.19 合同份数</w:t>
      </w:r>
    </w:p>
    <w:p w14:paraId="26328AB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合同份数按</w:t>
      </w:r>
      <w:r>
        <w:rPr>
          <w:rFonts w:hint="eastAsia" w:ascii="宋体" w:hAnsi="宋体" w:eastAsia="宋体" w:cs="宋体"/>
          <w:b/>
          <w:i/>
          <w:sz w:val="24"/>
          <w:szCs w:val="24"/>
          <w:u w:val="single"/>
        </w:rPr>
        <w:t>合同专用条款</w:t>
      </w:r>
      <w:r>
        <w:rPr>
          <w:rFonts w:hint="eastAsia" w:ascii="宋体" w:hAnsi="宋体" w:eastAsia="宋体" w:cs="宋体"/>
          <w:sz w:val="24"/>
          <w:szCs w:val="24"/>
        </w:rPr>
        <w:t>规定，每份均具有同等法律效力。</w:t>
      </w:r>
    </w:p>
    <w:p w14:paraId="24B89057">
      <w:pPr>
        <w:pStyle w:val="35"/>
        <w:spacing w:line="560" w:lineRule="exact"/>
        <w:ind w:firstLine="0"/>
        <w:jc w:val="center"/>
        <w:rPr>
          <w:rFonts w:hint="eastAsia" w:ascii="宋体" w:hAnsi="宋体" w:eastAsia="宋体" w:cs="宋体"/>
          <w:b/>
          <w:szCs w:val="24"/>
        </w:rPr>
      </w:pPr>
      <w:r>
        <w:rPr>
          <w:rFonts w:ascii="楷体" w:hAnsi="楷体" w:eastAsia="楷体"/>
          <w:szCs w:val="24"/>
        </w:rPr>
        <w:br w:type="page"/>
      </w:r>
      <w:bookmarkStart w:id="1400" w:name="_Toc331685784"/>
      <w:r>
        <w:rPr>
          <w:rFonts w:hint="eastAsia" w:ascii="宋体" w:hAnsi="宋体" w:eastAsia="宋体" w:cs="宋体"/>
          <w:b/>
          <w:szCs w:val="24"/>
        </w:rPr>
        <w:t>第三部分  合同专用条款</w:t>
      </w:r>
      <w:bookmarkEnd w:id="1400"/>
    </w:p>
    <w:p w14:paraId="3A003F14">
      <w:pPr>
        <w:spacing w:line="560" w:lineRule="exact"/>
        <w:ind w:firstLine="480" w:firstLineChars="200"/>
        <w:rPr>
          <w:rFonts w:hint="eastAsia" w:ascii="宋体" w:hAnsi="宋体" w:eastAsia="宋体" w:cs="宋体"/>
          <w:sz w:val="24"/>
        </w:rPr>
      </w:pPr>
      <w:r>
        <w:rPr>
          <w:rFonts w:hint="eastAsia" w:ascii="宋体" w:hAnsi="宋体" w:eastAsia="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26"/>
        <w:gridCol w:w="7477"/>
      </w:tblGrid>
      <w:tr w14:paraId="5B2C3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426" w:type="dxa"/>
            <w:tcBorders>
              <w:left w:val="single" w:color="auto" w:sz="4" w:space="0"/>
            </w:tcBorders>
            <w:noWrap w:val="0"/>
            <w:vAlign w:val="center"/>
          </w:tcPr>
          <w:p w14:paraId="0FB96E15">
            <w:pPr>
              <w:spacing w:line="560" w:lineRule="exact"/>
              <w:jc w:val="center"/>
              <w:rPr>
                <w:rFonts w:ascii="楷体" w:hAnsi="楷体" w:eastAsia="楷体"/>
                <w:b/>
                <w:sz w:val="24"/>
              </w:rPr>
            </w:pPr>
            <w:r>
              <w:rPr>
                <w:rFonts w:ascii="楷体" w:hAnsi="楷体" w:eastAsia="楷体"/>
                <w:b/>
                <w:sz w:val="24"/>
              </w:rPr>
              <w:t>条款号</w:t>
            </w:r>
          </w:p>
        </w:tc>
        <w:tc>
          <w:tcPr>
            <w:tcW w:w="7477" w:type="dxa"/>
            <w:noWrap w:val="0"/>
            <w:vAlign w:val="center"/>
          </w:tcPr>
          <w:p w14:paraId="0716889E">
            <w:pPr>
              <w:spacing w:line="560" w:lineRule="exact"/>
              <w:jc w:val="center"/>
              <w:rPr>
                <w:rFonts w:ascii="楷体" w:hAnsi="楷体" w:eastAsia="楷体"/>
                <w:b/>
                <w:sz w:val="24"/>
              </w:rPr>
            </w:pPr>
            <w:r>
              <w:rPr>
                <w:rFonts w:ascii="楷体" w:hAnsi="楷体" w:eastAsia="楷体"/>
                <w:b/>
                <w:sz w:val="24"/>
              </w:rPr>
              <w:t>约定内容</w:t>
            </w:r>
          </w:p>
        </w:tc>
      </w:tr>
      <w:tr w14:paraId="0B4D8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426" w:type="dxa"/>
            <w:tcBorders>
              <w:left w:val="single" w:color="auto" w:sz="4" w:space="0"/>
            </w:tcBorders>
            <w:noWrap w:val="0"/>
            <w:vAlign w:val="center"/>
          </w:tcPr>
          <w:p w14:paraId="5362E8C0">
            <w:pPr>
              <w:spacing w:line="560" w:lineRule="exact"/>
              <w:rPr>
                <w:rFonts w:ascii="楷体" w:hAnsi="楷体" w:eastAsia="楷体"/>
                <w:sz w:val="24"/>
              </w:rPr>
            </w:pPr>
          </w:p>
        </w:tc>
        <w:tc>
          <w:tcPr>
            <w:tcW w:w="7477" w:type="dxa"/>
            <w:noWrap w:val="0"/>
            <w:vAlign w:val="center"/>
          </w:tcPr>
          <w:p w14:paraId="59EF88DA">
            <w:pPr>
              <w:spacing w:line="560" w:lineRule="exact"/>
              <w:rPr>
                <w:rFonts w:ascii="楷体" w:hAnsi="楷体" w:eastAsia="楷体"/>
                <w:sz w:val="24"/>
              </w:rPr>
            </w:pPr>
          </w:p>
        </w:tc>
      </w:tr>
      <w:tr w14:paraId="04477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0265BBC4">
            <w:pPr>
              <w:spacing w:line="560" w:lineRule="exact"/>
              <w:rPr>
                <w:rFonts w:ascii="楷体" w:hAnsi="楷体" w:eastAsia="楷体"/>
                <w:sz w:val="24"/>
              </w:rPr>
            </w:pPr>
          </w:p>
        </w:tc>
        <w:tc>
          <w:tcPr>
            <w:tcW w:w="7477" w:type="dxa"/>
            <w:noWrap w:val="0"/>
            <w:vAlign w:val="center"/>
          </w:tcPr>
          <w:p w14:paraId="5300DFD7">
            <w:pPr>
              <w:spacing w:line="560" w:lineRule="exact"/>
              <w:rPr>
                <w:rFonts w:ascii="楷体" w:hAnsi="楷体" w:eastAsia="楷体"/>
                <w:sz w:val="24"/>
              </w:rPr>
            </w:pPr>
          </w:p>
        </w:tc>
      </w:tr>
      <w:tr w14:paraId="41D4E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B4ADA05">
            <w:pPr>
              <w:spacing w:line="560" w:lineRule="exact"/>
              <w:rPr>
                <w:rFonts w:ascii="楷体" w:hAnsi="楷体" w:eastAsia="楷体"/>
                <w:sz w:val="24"/>
              </w:rPr>
            </w:pPr>
          </w:p>
        </w:tc>
        <w:tc>
          <w:tcPr>
            <w:tcW w:w="7477" w:type="dxa"/>
            <w:noWrap w:val="0"/>
            <w:vAlign w:val="center"/>
          </w:tcPr>
          <w:p w14:paraId="435A8D20">
            <w:pPr>
              <w:spacing w:line="560" w:lineRule="exact"/>
              <w:rPr>
                <w:rFonts w:ascii="楷体" w:hAnsi="楷体" w:eastAsia="楷体"/>
                <w:sz w:val="24"/>
              </w:rPr>
            </w:pPr>
          </w:p>
        </w:tc>
      </w:tr>
      <w:tr w14:paraId="2C9472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64C02422">
            <w:pPr>
              <w:spacing w:line="560" w:lineRule="exact"/>
              <w:rPr>
                <w:rFonts w:ascii="楷体" w:hAnsi="楷体" w:eastAsia="楷体"/>
                <w:sz w:val="24"/>
              </w:rPr>
            </w:pPr>
          </w:p>
        </w:tc>
        <w:tc>
          <w:tcPr>
            <w:tcW w:w="7477" w:type="dxa"/>
            <w:noWrap w:val="0"/>
            <w:vAlign w:val="center"/>
          </w:tcPr>
          <w:p w14:paraId="05A17252">
            <w:pPr>
              <w:spacing w:line="560" w:lineRule="exact"/>
              <w:rPr>
                <w:rFonts w:ascii="楷体" w:hAnsi="楷体" w:eastAsia="楷体"/>
                <w:sz w:val="24"/>
              </w:rPr>
            </w:pPr>
          </w:p>
        </w:tc>
      </w:tr>
      <w:tr w14:paraId="04584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72E685CF">
            <w:pPr>
              <w:spacing w:line="560" w:lineRule="exact"/>
              <w:rPr>
                <w:rFonts w:ascii="楷体" w:hAnsi="楷体" w:eastAsia="楷体"/>
                <w:sz w:val="24"/>
              </w:rPr>
            </w:pPr>
          </w:p>
        </w:tc>
        <w:tc>
          <w:tcPr>
            <w:tcW w:w="7477" w:type="dxa"/>
            <w:noWrap w:val="0"/>
            <w:vAlign w:val="center"/>
          </w:tcPr>
          <w:p w14:paraId="151477DE">
            <w:pPr>
              <w:spacing w:line="560" w:lineRule="exact"/>
              <w:rPr>
                <w:rFonts w:ascii="楷体" w:hAnsi="楷体" w:eastAsia="楷体"/>
                <w:sz w:val="24"/>
                <w:u w:val="single"/>
              </w:rPr>
            </w:pPr>
          </w:p>
        </w:tc>
      </w:tr>
      <w:tr w14:paraId="40F04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2DBCCD84">
            <w:pPr>
              <w:spacing w:line="560" w:lineRule="exact"/>
              <w:rPr>
                <w:rFonts w:ascii="楷体" w:hAnsi="楷体" w:eastAsia="楷体"/>
                <w:sz w:val="24"/>
              </w:rPr>
            </w:pPr>
          </w:p>
        </w:tc>
        <w:tc>
          <w:tcPr>
            <w:tcW w:w="7477" w:type="dxa"/>
            <w:noWrap w:val="0"/>
            <w:vAlign w:val="center"/>
          </w:tcPr>
          <w:p w14:paraId="337ED0D0">
            <w:pPr>
              <w:spacing w:line="560" w:lineRule="exact"/>
              <w:rPr>
                <w:rFonts w:ascii="楷体" w:hAnsi="楷体" w:eastAsia="楷体"/>
                <w:sz w:val="24"/>
              </w:rPr>
            </w:pPr>
          </w:p>
        </w:tc>
      </w:tr>
      <w:tr w14:paraId="7B73B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426" w:type="dxa"/>
            <w:tcBorders>
              <w:left w:val="single" w:color="auto" w:sz="4" w:space="0"/>
            </w:tcBorders>
            <w:noWrap w:val="0"/>
            <w:vAlign w:val="center"/>
          </w:tcPr>
          <w:p w14:paraId="15EC1B76">
            <w:pPr>
              <w:spacing w:line="560" w:lineRule="exact"/>
              <w:rPr>
                <w:rFonts w:ascii="楷体" w:hAnsi="楷体" w:eastAsia="楷体"/>
                <w:sz w:val="24"/>
              </w:rPr>
            </w:pPr>
          </w:p>
        </w:tc>
        <w:tc>
          <w:tcPr>
            <w:tcW w:w="7477" w:type="dxa"/>
            <w:noWrap w:val="0"/>
            <w:vAlign w:val="center"/>
          </w:tcPr>
          <w:p w14:paraId="39C07693">
            <w:pPr>
              <w:spacing w:line="560" w:lineRule="exact"/>
              <w:rPr>
                <w:rFonts w:ascii="楷体" w:hAnsi="楷体" w:eastAsia="楷体"/>
                <w:sz w:val="24"/>
                <w:u w:val="single"/>
              </w:rPr>
            </w:pPr>
          </w:p>
        </w:tc>
      </w:tr>
      <w:tr w14:paraId="3D30D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5ADC54A1">
            <w:pPr>
              <w:spacing w:line="560" w:lineRule="exact"/>
              <w:rPr>
                <w:rFonts w:ascii="楷体" w:hAnsi="楷体" w:eastAsia="楷体"/>
                <w:sz w:val="24"/>
              </w:rPr>
            </w:pPr>
          </w:p>
        </w:tc>
        <w:tc>
          <w:tcPr>
            <w:tcW w:w="7477" w:type="dxa"/>
            <w:noWrap w:val="0"/>
            <w:vAlign w:val="center"/>
          </w:tcPr>
          <w:p w14:paraId="3930DE8D">
            <w:pPr>
              <w:spacing w:line="560" w:lineRule="exact"/>
              <w:rPr>
                <w:rFonts w:ascii="楷体" w:hAnsi="楷体" w:eastAsia="楷体"/>
                <w:sz w:val="24"/>
              </w:rPr>
            </w:pPr>
          </w:p>
        </w:tc>
      </w:tr>
      <w:tr w14:paraId="77898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1B6E0AA0">
            <w:pPr>
              <w:spacing w:line="560" w:lineRule="exact"/>
              <w:rPr>
                <w:rFonts w:ascii="楷体" w:hAnsi="楷体" w:eastAsia="楷体"/>
                <w:sz w:val="24"/>
              </w:rPr>
            </w:pPr>
          </w:p>
        </w:tc>
        <w:tc>
          <w:tcPr>
            <w:tcW w:w="7477" w:type="dxa"/>
            <w:noWrap w:val="0"/>
            <w:vAlign w:val="center"/>
          </w:tcPr>
          <w:p w14:paraId="05E9CB1F">
            <w:pPr>
              <w:spacing w:line="560" w:lineRule="exact"/>
              <w:rPr>
                <w:rFonts w:ascii="楷体" w:hAnsi="楷体" w:eastAsia="楷体"/>
                <w:sz w:val="24"/>
              </w:rPr>
            </w:pPr>
          </w:p>
        </w:tc>
      </w:tr>
      <w:tr w14:paraId="46E0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left w:val="single" w:color="auto" w:sz="4" w:space="0"/>
            </w:tcBorders>
            <w:noWrap w:val="0"/>
            <w:vAlign w:val="center"/>
          </w:tcPr>
          <w:p w14:paraId="4142FA4B">
            <w:pPr>
              <w:spacing w:line="560" w:lineRule="exact"/>
              <w:rPr>
                <w:rFonts w:ascii="楷体" w:hAnsi="楷体" w:eastAsia="楷体"/>
                <w:sz w:val="24"/>
              </w:rPr>
            </w:pPr>
          </w:p>
        </w:tc>
        <w:tc>
          <w:tcPr>
            <w:tcW w:w="7477" w:type="dxa"/>
            <w:noWrap w:val="0"/>
            <w:vAlign w:val="center"/>
          </w:tcPr>
          <w:p w14:paraId="020AE052">
            <w:pPr>
              <w:spacing w:line="560" w:lineRule="exact"/>
              <w:rPr>
                <w:rFonts w:ascii="楷体" w:hAnsi="楷体" w:eastAsia="楷体"/>
                <w:sz w:val="24"/>
              </w:rPr>
            </w:pPr>
          </w:p>
        </w:tc>
      </w:tr>
      <w:tr w14:paraId="15B65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436E8020">
            <w:pPr>
              <w:spacing w:line="560" w:lineRule="exact"/>
              <w:rPr>
                <w:rFonts w:ascii="楷体" w:hAnsi="楷体" w:eastAsia="楷体"/>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183D8230">
            <w:pPr>
              <w:spacing w:line="560" w:lineRule="exact"/>
              <w:rPr>
                <w:rFonts w:ascii="楷体" w:hAnsi="楷体" w:eastAsia="楷体"/>
                <w:sz w:val="24"/>
              </w:rPr>
            </w:pPr>
          </w:p>
        </w:tc>
      </w:tr>
      <w:tr w14:paraId="6660C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426" w:type="dxa"/>
            <w:tcBorders>
              <w:top w:val="single" w:color="auto" w:sz="6" w:space="0"/>
              <w:left w:val="single" w:color="auto" w:sz="4" w:space="0"/>
              <w:bottom w:val="single" w:color="auto" w:sz="6" w:space="0"/>
              <w:right w:val="single" w:color="auto" w:sz="6" w:space="0"/>
            </w:tcBorders>
            <w:noWrap w:val="0"/>
            <w:vAlign w:val="center"/>
          </w:tcPr>
          <w:p w14:paraId="7AE47D6A">
            <w:pPr>
              <w:spacing w:line="560" w:lineRule="exact"/>
              <w:rPr>
                <w:rFonts w:ascii="楷体" w:hAnsi="楷体" w:eastAsia="楷体"/>
                <w:sz w:val="24"/>
              </w:rPr>
            </w:pPr>
          </w:p>
        </w:tc>
        <w:tc>
          <w:tcPr>
            <w:tcW w:w="7477" w:type="dxa"/>
            <w:tcBorders>
              <w:top w:val="single" w:color="auto" w:sz="6" w:space="0"/>
              <w:left w:val="single" w:color="auto" w:sz="6" w:space="0"/>
              <w:bottom w:val="single" w:color="auto" w:sz="6" w:space="0"/>
              <w:right w:val="single" w:color="auto" w:sz="6" w:space="0"/>
            </w:tcBorders>
            <w:noWrap w:val="0"/>
            <w:vAlign w:val="center"/>
          </w:tcPr>
          <w:p w14:paraId="616C20A0">
            <w:pPr>
              <w:spacing w:line="560" w:lineRule="exact"/>
              <w:rPr>
                <w:rFonts w:ascii="楷体" w:hAnsi="楷体" w:eastAsia="楷体"/>
                <w:sz w:val="24"/>
              </w:rPr>
            </w:pPr>
          </w:p>
        </w:tc>
      </w:tr>
    </w:tbl>
    <w:p w14:paraId="6668D1F7">
      <w:pPr>
        <w:pStyle w:val="4"/>
        <w:numPr>
          <w:ilvl w:val="0"/>
          <w:numId w:val="0"/>
        </w:numPr>
        <w:jc w:val="left"/>
        <w:rPr>
          <w:rFonts w:hint="eastAsia" w:ascii="宋体" w:hAnsi="宋体" w:eastAsia="宋体" w:cs="宋体"/>
          <w:b/>
          <w:bCs/>
          <w:color w:val="FF0000"/>
          <w:sz w:val="21"/>
          <w:szCs w:val="21"/>
          <w:lang w:val="en-US" w:eastAsia="zh-CN"/>
        </w:rPr>
      </w:pPr>
    </w:p>
    <w:p w14:paraId="25BBFA4C">
      <w:pPr>
        <w:shd w:val="clear" w:color="auto" w:fill="FFFFFF"/>
        <w:bidi w:val="0"/>
        <w:snapToGrid w:val="0"/>
        <w:spacing w:line="440" w:lineRule="exact"/>
        <w:ind w:left="0" w:leftChars="0" w:firstLine="0" w:firstLineChars="0"/>
        <w:rPr>
          <w:rFonts w:hint="eastAsia" w:ascii="宋体" w:hAnsi="宋体" w:cs="宋体"/>
          <w:color w:val="000000"/>
          <w:sz w:val="24"/>
        </w:rPr>
      </w:pPr>
    </w:p>
    <w:p w14:paraId="257953D5">
      <w:pPr>
        <w:pStyle w:val="3"/>
        <w:bidi w:val="0"/>
        <w:rPr>
          <w:rFonts w:hint="eastAsia"/>
          <w:color w:val="000000"/>
        </w:rPr>
        <w:sectPr>
          <w:pgSz w:w="11905" w:h="16838"/>
          <w:pgMar w:top="1440" w:right="1463" w:bottom="1440" w:left="1463" w:header="850" w:footer="850" w:gutter="0"/>
          <w:pgBorders>
            <w:top w:val="none" w:sz="0" w:space="0"/>
            <w:left w:val="none" w:sz="0" w:space="0"/>
            <w:bottom w:val="none" w:sz="0" w:space="0"/>
            <w:right w:val="none" w:sz="0" w:space="0"/>
          </w:pgBorders>
          <w:pgNumType w:fmt="decimal"/>
          <w:cols w:space="720" w:num="1"/>
          <w:rtlGutter w:val="0"/>
          <w:docGrid w:type="lines" w:linePitch="411" w:charSpace="0"/>
        </w:sectPr>
      </w:pPr>
    </w:p>
    <w:p w14:paraId="6FFDE5A2">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14:paraId="24269A02">
      <w:pPr>
        <w:rPr>
          <w:rFonts w:hint="default" w:ascii="Calibri" w:hAnsi="Calibri" w:eastAsia="仿宋" w:cs="Calibri"/>
          <w:color w:val="auto"/>
          <w:sz w:val="21"/>
          <w:szCs w:val="21"/>
        </w:rPr>
      </w:pPr>
    </w:p>
    <w:p w14:paraId="620F56CE">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14:paraId="23C262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14:paraId="6AAB18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E63612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14:paraId="61D4A28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26"/>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14:paraId="3E79CDEA">
      <w:pPr>
        <w:pStyle w:val="33"/>
        <w:rPr>
          <w:rFonts w:hint="eastAsia"/>
        </w:rPr>
      </w:pPr>
    </w:p>
    <w:p w14:paraId="5F94717E">
      <w:pPr>
        <w:pStyle w:val="33"/>
        <w:rPr>
          <w:rFonts w:hint="eastAsia"/>
        </w:rPr>
      </w:pPr>
    </w:p>
    <w:p w14:paraId="2C1BF162">
      <w:pPr>
        <w:pStyle w:val="21"/>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14:paraId="3655BD9B">
      <w:pPr>
        <w:pStyle w:val="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14:paraId="43BEB13E">
      <w:pPr>
        <w:pStyle w:val="4"/>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14:paraId="3F99D422">
      <w:pPr>
        <w:pStyle w:val="6"/>
        <w:numPr>
          <w:ilvl w:val="0"/>
          <w:numId w:val="0"/>
        </w:numPr>
        <w:spacing w:before="120" w:beforeLines="0" w:after="120" w:afterLines="0" w:line="400" w:lineRule="exact"/>
        <w:ind w:leftChars="0" w:firstLine="1405" w:firstLineChars="500"/>
        <w:jc w:val="both"/>
        <w:rPr>
          <w:rFonts w:hint="eastAsia" w:ascii="宋体" w:hAnsi="宋体" w:cs="宋体"/>
          <w:color w:val="auto"/>
          <w:sz w:val="28"/>
          <w:szCs w:val="28"/>
          <w:lang w:val="en-US" w:eastAsia="zh-CN"/>
        </w:rPr>
      </w:pPr>
    </w:p>
    <w:p w14:paraId="3B4BBAC3">
      <w:pPr>
        <w:rPr>
          <w:rFonts w:hint="eastAsia" w:ascii="宋体" w:hAnsi="宋体" w:cs="宋体"/>
          <w:color w:val="auto"/>
          <w:sz w:val="28"/>
          <w:szCs w:val="28"/>
          <w:lang w:val="en-US" w:eastAsia="zh-CN"/>
        </w:rPr>
      </w:pPr>
    </w:p>
    <w:p w14:paraId="3A343B05">
      <w:pPr>
        <w:pStyle w:val="2"/>
        <w:rPr>
          <w:rFonts w:hint="eastAsia" w:ascii="宋体" w:hAnsi="宋体" w:cs="宋体"/>
          <w:color w:val="auto"/>
          <w:sz w:val="28"/>
          <w:szCs w:val="28"/>
          <w:lang w:val="en-US" w:eastAsia="zh-CN"/>
        </w:rPr>
      </w:pPr>
    </w:p>
    <w:p w14:paraId="114B70C3">
      <w:pPr>
        <w:pStyle w:val="4"/>
        <w:rPr>
          <w:rFonts w:hint="eastAsia" w:ascii="宋体" w:hAnsi="宋体" w:cs="宋体"/>
          <w:color w:val="auto"/>
          <w:sz w:val="28"/>
          <w:szCs w:val="28"/>
          <w:lang w:val="en-US" w:eastAsia="zh-CN"/>
        </w:rPr>
      </w:pPr>
    </w:p>
    <w:p w14:paraId="4188A797">
      <w:pPr>
        <w:rPr>
          <w:rFonts w:hint="eastAsia"/>
          <w:lang w:val="en-US" w:eastAsia="zh-CN"/>
        </w:rPr>
      </w:pPr>
    </w:p>
    <w:bookmarkEnd w:id="1098"/>
    <w:p w14:paraId="2649BB3D">
      <w:pPr>
        <w:pStyle w:val="22"/>
        <w:numPr>
          <w:ilvl w:val="0"/>
          <w:numId w:val="3"/>
        </w:numPr>
        <w:spacing w:line="400" w:lineRule="exact"/>
        <w:ind w:firstLine="643"/>
        <w:outlineLvl w:val="0"/>
        <w:rPr>
          <w:rFonts w:hint="eastAsia" w:ascii="宋体" w:hAnsi="宋体" w:eastAsia="宋体" w:cs="宋体"/>
          <w:color w:val="000000"/>
          <w:highlight w:val="none"/>
        </w:rPr>
      </w:pPr>
      <w:bookmarkStart w:id="1401" w:name="_Toc21122"/>
      <w:bookmarkStart w:id="1402" w:name="_Toc31498"/>
      <w:r>
        <w:rPr>
          <w:rFonts w:hint="eastAsia" w:ascii="宋体" w:hAnsi="宋体" w:eastAsia="宋体" w:cs="宋体"/>
          <w:color w:val="000000"/>
          <w:highlight w:val="none"/>
        </w:rPr>
        <w:t>采购需求</w:t>
      </w:r>
      <w:bookmarkEnd w:id="1401"/>
      <w:bookmarkEnd w:id="1402"/>
    </w:p>
    <w:bookmarkEnd w:id="1099"/>
    <w:bookmarkEnd w:id="1100"/>
    <w:bookmarkEnd w:id="1101"/>
    <w:p w14:paraId="421969A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27D9EE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（一）高铁站区概念性城市设计</w:t>
      </w:r>
    </w:p>
    <w:p w14:paraId="7DF5331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新国土空间规划体制下，通过编制相关高铁站前区概念性城市设计方案，为下一步广场方案设计提供参考借鉴。同时，通过站前区概念性城市设计的编制，对站前区控制建设用地性质，使用强度和空间环境进行引导，保证站区合理有序开发。研究内容包括站区功能定位、开发策略及目标、城市设计总图、高度及色彩控制、建筑控制、街区控制等，合理建议及安排站区实施等内容。</w:t>
      </w:r>
    </w:p>
    <w:p w14:paraId="597E7E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（二）站前广场概念性方案研究</w:t>
      </w:r>
    </w:p>
    <w:p w14:paraId="134914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对建设条件分析、站前广场规模论证分析，结合铁路线路及息县南站铁路站场段设计方案，确保站前广场及周边地块在功能、竖向、 给排水等各方面与铁路设计做好衔接。对包括广场及广场内部建筑、道路、 绿化等的空间布局和竖向规划进行研究分析，完成总平面设计及相关分析等。</w:t>
      </w:r>
    </w:p>
    <w:p w14:paraId="7A06BB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（三）涉铁通道专题研究</w:t>
      </w:r>
    </w:p>
    <w:p w14:paraId="25B80B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结合铁路规划桥梁、涵洞等相关设计数据，通过对现状、规划道路与铁路的关系进行梳理，整理出县域涉铁通道条数，并对相关道路线位及竖向进行规划调整，以满足道路涉铁要求，并形成专题研究报告内容。</w:t>
      </w:r>
    </w:p>
    <w:p w14:paraId="27230DEE">
      <w:pPr>
        <w:rPr>
          <w:rFonts w:hint="eastAsia" w:ascii="宋体" w:hAnsi="宋体" w:cs="宋体"/>
          <w:bCs w:val="0"/>
          <w:color w:val="auto"/>
          <w:sz w:val="28"/>
          <w:szCs w:val="28"/>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p>
    <w:p w14:paraId="2C345774">
      <w:pPr>
        <w:pStyle w:val="22"/>
        <w:spacing w:line="400" w:lineRule="exact"/>
        <w:ind w:firstLine="643"/>
        <w:outlineLvl w:val="0"/>
        <w:rPr>
          <w:rFonts w:hint="eastAsia" w:ascii="宋体" w:hAnsi="宋体" w:eastAsia="宋体" w:cs="宋体"/>
          <w:color w:val="000000"/>
          <w:highlight w:val="none"/>
          <w:lang w:eastAsia="zh-CN"/>
        </w:rPr>
      </w:pPr>
      <w:bookmarkStart w:id="1403" w:name="_Toc21882"/>
      <w:r>
        <w:rPr>
          <w:rFonts w:hint="eastAsia" w:ascii="宋体" w:hAnsi="宋体" w:eastAsia="宋体" w:cs="宋体"/>
          <w:color w:val="000000"/>
          <w:highlight w:val="none"/>
        </w:rPr>
        <w:t xml:space="preserve">第六章  </w:t>
      </w:r>
      <w:r>
        <w:rPr>
          <w:rFonts w:hint="eastAsia" w:ascii="宋体" w:hAnsi="宋体" w:eastAsia="宋体" w:cs="宋体"/>
          <w:color w:val="000000"/>
          <w:highlight w:val="none"/>
          <w:lang w:eastAsia="zh-CN"/>
        </w:rPr>
        <w:t>竞争性磋商响应文件格式</w:t>
      </w:r>
      <w:bookmarkEnd w:id="1403"/>
    </w:p>
    <w:p w14:paraId="6AA500FE">
      <w:pPr>
        <w:spacing w:line="400" w:lineRule="exact"/>
        <w:rPr>
          <w:rFonts w:hint="eastAsia" w:ascii="宋体" w:hAnsi="宋体" w:cs="宋体"/>
          <w:color w:val="auto"/>
        </w:rPr>
      </w:pPr>
    </w:p>
    <w:p w14:paraId="601BA421">
      <w:pPr>
        <w:spacing w:line="440" w:lineRule="exact"/>
        <w:jc w:val="right"/>
        <w:rPr>
          <w:rFonts w:hint="eastAsia" w:ascii="宋体" w:hAnsi="宋体" w:cs="宋体"/>
          <w:color w:val="auto"/>
          <w:sz w:val="24"/>
          <w:bdr w:val="single" w:color="auto" w:sz="4" w:space="0"/>
        </w:rPr>
      </w:pPr>
    </w:p>
    <w:p w14:paraId="16787549">
      <w:pPr>
        <w:spacing w:line="440" w:lineRule="exact"/>
        <w:rPr>
          <w:rFonts w:hint="eastAsia" w:ascii="宋体" w:hAnsi="宋体" w:cs="宋体"/>
          <w:color w:val="auto"/>
          <w:sz w:val="24"/>
        </w:rPr>
      </w:pPr>
    </w:p>
    <w:p w14:paraId="6E1E7F8F">
      <w:pPr>
        <w:jc w:val="center"/>
        <w:rPr>
          <w:rFonts w:hint="eastAsia" w:ascii="宋体" w:hAnsi="宋体" w:eastAsia="宋体" w:cs="宋体"/>
          <w:b/>
          <w:bCs/>
          <w:color w:val="auto"/>
          <w:sz w:val="30"/>
          <w:szCs w:val="30"/>
          <w:lang w:eastAsia="zh-CN"/>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p>
    <w:p w14:paraId="021F04ED">
      <w:pPr>
        <w:jc w:val="center"/>
        <w:rPr>
          <w:rFonts w:hint="eastAsia" w:ascii="宋体" w:hAnsi="宋体" w:cs="宋体"/>
          <w:color w:val="auto"/>
          <w:sz w:val="28"/>
          <w:szCs w:val="28"/>
        </w:rPr>
      </w:pPr>
    </w:p>
    <w:p w14:paraId="6DD0516B">
      <w:pPr>
        <w:jc w:val="center"/>
        <w:rPr>
          <w:rFonts w:hint="eastAsia" w:ascii="宋体" w:hAnsi="宋体" w:cs="宋体"/>
          <w:color w:val="auto"/>
          <w:sz w:val="28"/>
          <w:szCs w:val="28"/>
        </w:rPr>
      </w:pPr>
    </w:p>
    <w:p w14:paraId="303D8635">
      <w:pPr>
        <w:spacing w:line="720" w:lineRule="auto"/>
        <w:jc w:val="center"/>
        <w:rPr>
          <w:rFonts w:hint="eastAsia" w:ascii="宋体" w:hAnsi="宋体" w:cs="宋体"/>
          <w:b/>
          <w:bCs/>
          <w:color w:val="auto"/>
          <w:sz w:val="72"/>
          <w:szCs w:val="84"/>
        </w:rPr>
      </w:pPr>
    </w:p>
    <w:p w14:paraId="1F03F503">
      <w:pPr>
        <w:spacing w:line="720" w:lineRule="auto"/>
        <w:jc w:val="center"/>
        <w:rPr>
          <w:rFonts w:hint="eastAsia" w:ascii="宋体" w:hAnsi="宋体" w:cs="宋体"/>
          <w:b/>
          <w:bCs/>
          <w:color w:val="auto"/>
          <w:sz w:val="72"/>
          <w:szCs w:val="84"/>
        </w:rPr>
      </w:pPr>
    </w:p>
    <w:p w14:paraId="7610DC6F">
      <w:pPr>
        <w:spacing w:line="720" w:lineRule="auto"/>
        <w:jc w:val="center"/>
        <w:rPr>
          <w:rFonts w:hint="eastAsia" w:ascii="宋体" w:hAnsi="宋体" w:cs="宋体"/>
          <w:color w:val="auto"/>
          <w:sz w:val="72"/>
          <w:szCs w:val="84"/>
        </w:rPr>
      </w:pPr>
      <w:r>
        <w:rPr>
          <w:rFonts w:hint="eastAsia" w:ascii="宋体" w:hAnsi="宋体" w:cs="宋体"/>
          <w:b/>
          <w:bCs/>
          <w:color w:val="auto"/>
          <w:sz w:val="72"/>
          <w:szCs w:val="84"/>
        </w:rPr>
        <w:t>响 应 文 件</w:t>
      </w:r>
    </w:p>
    <w:p w14:paraId="2F96899D">
      <w:pPr>
        <w:spacing w:line="400" w:lineRule="exact"/>
        <w:rPr>
          <w:rFonts w:hint="eastAsia" w:ascii="宋体" w:hAnsi="宋体" w:cs="宋体"/>
          <w:color w:val="auto"/>
          <w:sz w:val="28"/>
          <w:szCs w:val="28"/>
        </w:rPr>
      </w:pPr>
    </w:p>
    <w:p w14:paraId="31B1F7D6">
      <w:pPr>
        <w:spacing w:line="400" w:lineRule="exact"/>
        <w:rPr>
          <w:rFonts w:hint="eastAsia" w:ascii="宋体" w:hAnsi="宋体" w:cs="宋体"/>
          <w:color w:val="auto"/>
          <w:sz w:val="28"/>
          <w:szCs w:val="28"/>
        </w:rPr>
      </w:pPr>
    </w:p>
    <w:p w14:paraId="7EA9ADEE">
      <w:pPr>
        <w:spacing w:line="400" w:lineRule="exact"/>
        <w:rPr>
          <w:rFonts w:hint="eastAsia" w:ascii="宋体" w:hAnsi="宋体" w:cs="宋体"/>
          <w:color w:val="auto"/>
          <w:sz w:val="28"/>
          <w:szCs w:val="28"/>
        </w:rPr>
      </w:pPr>
    </w:p>
    <w:p w14:paraId="4AC8EFA1">
      <w:pPr>
        <w:spacing w:line="400" w:lineRule="exact"/>
        <w:rPr>
          <w:rFonts w:hint="eastAsia" w:ascii="宋体" w:hAnsi="宋体" w:cs="宋体"/>
          <w:color w:val="auto"/>
          <w:sz w:val="28"/>
          <w:szCs w:val="28"/>
        </w:rPr>
      </w:pPr>
    </w:p>
    <w:p w14:paraId="47ACA122">
      <w:pPr>
        <w:spacing w:line="400" w:lineRule="exact"/>
        <w:rPr>
          <w:rFonts w:hint="eastAsia" w:ascii="宋体" w:hAnsi="宋体" w:cs="宋体"/>
          <w:color w:val="auto"/>
          <w:sz w:val="28"/>
          <w:szCs w:val="28"/>
        </w:rPr>
      </w:pPr>
    </w:p>
    <w:p w14:paraId="13F75533">
      <w:pPr>
        <w:spacing w:line="400" w:lineRule="exact"/>
        <w:rPr>
          <w:rFonts w:hint="eastAsia" w:ascii="宋体" w:hAnsi="宋体" w:cs="宋体"/>
          <w:color w:val="auto"/>
          <w:sz w:val="28"/>
          <w:szCs w:val="28"/>
        </w:rPr>
      </w:pPr>
    </w:p>
    <w:p w14:paraId="21247F4D">
      <w:pPr>
        <w:spacing w:line="400" w:lineRule="exact"/>
        <w:rPr>
          <w:rFonts w:hint="eastAsia" w:ascii="宋体" w:hAnsi="宋体" w:cs="宋体"/>
          <w:color w:val="auto"/>
          <w:sz w:val="28"/>
          <w:szCs w:val="28"/>
        </w:rPr>
      </w:pPr>
    </w:p>
    <w:p w14:paraId="0DA40D93">
      <w:pPr>
        <w:spacing w:line="400" w:lineRule="exact"/>
        <w:rPr>
          <w:rFonts w:hint="eastAsia" w:ascii="宋体" w:hAnsi="宋体" w:cs="宋体"/>
          <w:color w:val="auto"/>
          <w:sz w:val="28"/>
          <w:szCs w:val="28"/>
        </w:rPr>
      </w:pPr>
    </w:p>
    <w:p w14:paraId="41BD5517">
      <w:pPr>
        <w:spacing w:line="400" w:lineRule="exact"/>
        <w:rPr>
          <w:rFonts w:hint="eastAsia" w:ascii="宋体" w:hAnsi="宋体" w:cs="宋体"/>
          <w:color w:val="auto"/>
          <w:sz w:val="28"/>
          <w:szCs w:val="28"/>
        </w:rPr>
      </w:pPr>
    </w:p>
    <w:p w14:paraId="7E077995">
      <w:pPr>
        <w:spacing w:line="480" w:lineRule="auto"/>
        <w:jc w:val="center"/>
        <w:rPr>
          <w:rFonts w:hint="eastAsia" w:ascii="宋体" w:hAnsi="宋体" w:cs="宋体"/>
          <w:color w:val="auto"/>
          <w:sz w:val="24"/>
        </w:rPr>
      </w:pPr>
      <w:r>
        <w:rPr>
          <w:rFonts w:hint="eastAsia" w:ascii="宋体" w:hAnsi="宋体" w:cs="宋体"/>
          <w:color w:val="auto"/>
          <w:sz w:val="24"/>
          <w:lang w:eastAsia="zh-CN"/>
        </w:rPr>
        <w:t>投标</w:t>
      </w: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 （单位电子签章）</w:t>
      </w:r>
    </w:p>
    <w:p w14:paraId="25D745D7">
      <w:pPr>
        <w:spacing w:line="480" w:lineRule="auto"/>
        <w:jc w:val="center"/>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（电子签名或盖章）</w:t>
      </w:r>
    </w:p>
    <w:p w14:paraId="1644E140">
      <w:pPr>
        <w:spacing w:line="480" w:lineRule="auto"/>
        <w:jc w:val="center"/>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4495E65">
      <w:pPr>
        <w:spacing w:line="400" w:lineRule="exact"/>
        <w:rPr>
          <w:rFonts w:hint="eastAsia" w:ascii="宋体" w:hAnsi="宋体" w:cs="宋体"/>
          <w:color w:val="auto"/>
          <w:sz w:val="22"/>
          <w:szCs w:val="28"/>
        </w:rPr>
      </w:pPr>
    </w:p>
    <w:p w14:paraId="0A329CEF">
      <w:pPr>
        <w:pStyle w:val="31"/>
        <w:jc w:val="center"/>
        <w:rPr>
          <w:rFonts w:hint="eastAsia" w:ascii="宋体" w:hAnsi="宋体" w:eastAsia="宋体"/>
          <w:color w:val="auto"/>
          <w:sz w:val="32"/>
          <w:szCs w:val="32"/>
        </w:rPr>
      </w:pPr>
      <w:bookmarkStart w:id="1404" w:name="_Toc152042576"/>
      <w:bookmarkStart w:id="1405" w:name="_Toc152045787"/>
      <w:bookmarkStart w:id="1406" w:name="_Toc466298157"/>
      <w:bookmarkStart w:id="1407" w:name="_Toc20198"/>
      <w:bookmarkStart w:id="1408" w:name="_Toc9509"/>
      <w:bookmarkStart w:id="1409" w:name="_Toc8978"/>
      <w:bookmarkStart w:id="1410" w:name="_Toc144974856"/>
      <w:bookmarkStart w:id="1411" w:name="_Toc788"/>
      <w:r>
        <w:rPr>
          <w:rFonts w:hint="eastAsia" w:ascii="宋体" w:hAnsi="宋体" w:eastAsia="宋体"/>
          <w:color w:val="auto"/>
          <w:sz w:val="32"/>
          <w:szCs w:val="32"/>
        </w:rPr>
        <w:t>目    录</w:t>
      </w:r>
      <w:bookmarkEnd w:id="1404"/>
      <w:bookmarkEnd w:id="1405"/>
      <w:bookmarkEnd w:id="1406"/>
      <w:bookmarkEnd w:id="1407"/>
      <w:bookmarkEnd w:id="1408"/>
      <w:bookmarkEnd w:id="1409"/>
      <w:bookmarkEnd w:id="1410"/>
      <w:bookmarkEnd w:id="1411"/>
    </w:p>
    <w:p w14:paraId="3AD4BA7D">
      <w:pPr>
        <w:spacing w:line="540" w:lineRule="exact"/>
        <w:rPr>
          <w:rFonts w:hint="eastAsia" w:ascii="宋体" w:hAnsi="宋体" w:cs="宋体"/>
          <w:color w:val="auto"/>
          <w:sz w:val="24"/>
          <w:szCs w:val="32"/>
        </w:rPr>
      </w:pPr>
    </w:p>
    <w:p w14:paraId="54C9CCF1">
      <w:pPr>
        <w:spacing w:line="360" w:lineRule="auto"/>
        <w:rPr>
          <w:rFonts w:hint="eastAsia" w:ascii="宋体" w:hAnsi="宋体" w:cs="宋体"/>
          <w:color w:val="auto"/>
          <w:sz w:val="24"/>
          <w:szCs w:val="28"/>
        </w:rPr>
      </w:pPr>
      <w:r>
        <w:rPr>
          <w:rFonts w:hint="eastAsia" w:ascii="宋体" w:hAnsi="宋体" w:cs="宋体"/>
          <w:color w:val="auto"/>
          <w:sz w:val="24"/>
          <w:szCs w:val="28"/>
        </w:rPr>
        <w:t>一、响应函及响应函附录</w:t>
      </w:r>
    </w:p>
    <w:p w14:paraId="1087BD2A">
      <w:pPr>
        <w:spacing w:line="360" w:lineRule="auto"/>
        <w:rPr>
          <w:rFonts w:hint="eastAsia" w:ascii="宋体" w:hAnsi="宋体" w:cs="宋体"/>
          <w:color w:val="auto"/>
          <w:sz w:val="24"/>
          <w:szCs w:val="28"/>
        </w:rPr>
      </w:pPr>
      <w:r>
        <w:rPr>
          <w:rFonts w:hint="eastAsia" w:ascii="宋体" w:hAnsi="宋体" w:cs="宋体"/>
          <w:color w:val="auto"/>
          <w:sz w:val="24"/>
          <w:szCs w:val="28"/>
        </w:rPr>
        <w:t>二、法定代表</w:t>
      </w:r>
      <w:r>
        <w:rPr>
          <w:rFonts w:hint="eastAsia" w:ascii="宋体" w:hAnsi="宋体" w:cs="宋体"/>
          <w:color w:val="auto"/>
          <w:sz w:val="24"/>
          <w:szCs w:val="28"/>
          <w:lang w:eastAsia="zh-CN"/>
        </w:rPr>
        <w:t>人</w:t>
      </w:r>
      <w:r>
        <w:rPr>
          <w:rFonts w:hint="eastAsia" w:ascii="宋体" w:hAnsi="宋体" w:cs="宋体"/>
          <w:color w:val="auto"/>
          <w:sz w:val="24"/>
          <w:szCs w:val="28"/>
        </w:rPr>
        <w:t>身份证明</w:t>
      </w:r>
      <w:r>
        <w:rPr>
          <w:rFonts w:hint="eastAsia" w:ascii="宋体" w:hAnsi="宋体" w:cs="宋体"/>
          <w:color w:val="auto"/>
          <w:sz w:val="24"/>
          <w:szCs w:val="28"/>
        </w:rPr>
        <w:tab/>
      </w:r>
    </w:p>
    <w:p w14:paraId="1CB477C1">
      <w:pPr>
        <w:spacing w:line="360" w:lineRule="auto"/>
        <w:rPr>
          <w:rFonts w:hint="eastAsia" w:ascii="宋体" w:hAnsi="宋体" w:cs="宋体"/>
          <w:color w:val="auto"/>
          <w:sz w:val="24"/>
          <w:szCs w:val="28"/>
        </w:rPr>
      </w:pPr>
      <w:r>
        <w:rPr>
          <w:rFonts w:hint="eastAsia" w:ascii="宋体" w:hAnsi="宋体" w:cs="宋体"/>
          <w:color w:val="auto"/>
          <w:sz w:val="24"/>
          <w:szCs w:val="28"/>
        </w:rPr>
        <w:t>三、授权委托书</w:t>
      </w:r>
      <w:r>
        <w:rPr>
          <w:rFonts w:hint="eastAsia" w:ascii="宋体" w:hAnsi="宋体" w:cs="宋体"/>
          <w:color w:val="auto"/>
          <w:sz w:val="24"/>
          <w:szCs w:val="28"/>
        </w:rPr>
        <w:tab/>
      </w:r>
    </w:p>
    <w:p w14:paraId="3A4E6694">
      <w:pPr>
        <w:spacing w:line="360" w:lineRule="auto"/>
        <w:rPr>
          <w:rFonts w:hint="eastAsia" w:ascii="宋体" w:hAnsi="宋体" w:cs="宋体"/>
          <w:color w:val="auto"/>
          <w:sz w:val="24"/>
          <w:szCs w:val="28"/>
        </w:rPr>
      </w:pPr>
      <w:r>
        <w:rPr>
          <w:rFonts w:hint="eastAsia" w:ascii="宋体" w:hAnsi="宋体" w:cs="宋体"/>
          <w:color w:val="auto"/>
          <w:sz w:val="24"/>
          <w:szCs w:val="28"/>
        </w:rPr>
        <w:t>四、商务及技术偏差表</w:t>
      </w:r>
    </w:p>
    <w:p w14:paraId="75942267">
      <w:pPr>
        <w:spacing w:line="360" w:lineRule="auto"/>
        <w:rPr>
          <w:rFonts w:hint="eastAsia" w:ascii="宋体" w:hAnsi="宋体" w:cs="宋体"/>
          <w:color w:val="auto"/>
          <w:sz w:val="24"/>
          <w:szCs w:val="28"/>
        </w:rPr>
      </w:pPr>
      <w:r>
        <w:rPr>
          <w:rFonts w:hint="eastAsia" w:ascii="宋体" w:hAnsi="宋体" w:cs="宋体"/>
          <w:color w:val="auto"/>
          <w:sz w:val="24"/>
          <w:szCs w:val="28"/>
        </w:rPr>
        <w:t>五、资格审查资料</w:t>
      </w:r>
      <w:r>
        <w:rPr>
          <w:rFonts w:hint="eastAsia" w:ascii="宋体" w:hAnsi="宋体" w:cs="宋体"/>
          <w:color w:val="auto"/>
          <w:sz w:val="24"/>
          <w:szCs w:val="28"/>
        </w:rPr>
        <w:tab/>
      </w:r>
    </w:p>
    <w:p w14:paraId="170AA8C4">
      <w:pPr>
        <w:spacing w:line="360" w:lineRule="auto"/>
        <w:rPr>
          <w:rFonts w:hint="eastAsia" w:ascii="宋体" w:hAnsi="宋体" w:cs="宋体"/>
          <w:color w:val="auto"/>
          <w:sz w:val="24"/>
          <w:szCs w:val="28"/>
        </w:rPr>
      </w:pPr>
      <w:r>
        <w:rPr>
          <w:rFonts w:hint="eastAsia" w:ascii="宋体" w:hAnsi="宋体" w:cs="宋体"/>
          <w:color w:val="auto"/>
          <w:sz w:val="24"/>
          <w:szCs w:val="28"/>
        </w:rPr>
        <w:t>六、中小企业声明函（服务类）</w:t>
      </w:r>
    </w:p>
    <w:p w14:paraId="228569DB">
      <w:pPr>
        <w:spacing w:line="360" w:lineRule="auto"/>
        <w:rPr>
          <w:rFonts w:hint="eastAsia" w:ascii="宋体" w:hAnsi="宋体" w:cs="宋体"/>
          <w:color w:val="auto"/>
          <w:sz w:val="24"/>
          <w:szCs w:val="28"/>
        </w:rPr>
      </w:pPr>
      <w:r>
        <w:rPr>
          <w:rFonts w:hint="eastAsia" w:ascii="宋体" w:hAnsi="宋体" w:cs="宋体"/>
          <w:color w:val="auto"/>
          <w:sz w:val="24"/>
          <w:szCs w:val="28"/>
        </w:rPr>
        <w:t>七、残疾人福利性单位声明函</w:t>
      </w:r>
      <w:r>
        <w:rPr>
          <w:rFonts w:hint="eastAsia" w:ascii="宋体" w:hAnsi="宋体" w:cs="宋体"/>
          <w:color w:val="auto"/>
          <w:sz w:val="24"/>
          <w:szCs w:val="28"/>
        </w:rPr>
        <w:tab/>
      </w:r>
    </w:p>
    <w:p w14:paraId="44A769B3">
      <w:pPr>
        <w:spacing w:line="360" w:lineRule="auto"/>
        <w:rPr>
          <w:rFonts w:hint="eastAsia" w:ascii="宋体" w:hAnsi="宋体" w:cs="宋体"/>
          <w:color w:val="auto"/>
          <w:sz w:val="24"/>
          <w:szCs w:val="28"/>
        </w:rPr>
      </w:pPr>
      <w:r>
        <w:rPr>
          <w:rFonts w:hint="eastAsia" w:ascii="宋体" w:hAnsi="宋体" w:cs="宋体"/>
          <w:color w:val="auto"/>
          <w:sz w:val="24"/>
          <w:szCs w:val="28"/>
        </w:rPr>
        <w:t>八、监狱企业证明文件（如有）</w:t>
      </w:r>
    </w:p>
    <w:p w14:paraId="26BA2CB3">
      <w:pPr>
        <w:spacing w:line="360" w:lineRule="auto"/>
        <w:rPr>
          <w:rFonts w:hint="eastAsia" w:ascii="宋体" w:hAnsi="宋体" w:cs="宋体"/>
          <w:color w:val="auto"/>
          <w:sz w:val="24"/>
          <w:szCs w:val="28"/>
        </w:rPr>
      </w:pPr>
      <w:r>
        <w:rPr>
          <w:rFonts w:hint="eastAsia" w:ascii="宋体" w:hAnsi="宋体" w:cs="宋体"/>
          <w:color w:val="auto"/>
          <w:sz w:val="24"/>
          <w:szCs w:val="28"/>
        </w:rPr>
        <w:t>九、反商业贿赂承诺书</w:t>
      </w:r>
    </w:p>
    <w:p w14:paraId="6EF3AF3E">
      <w:pPr>
        <w:spacing w:line="360" w:lineRule="auto"/>
        <w:rPr>
          <w:rFonts w:hint="eastAsia" w:ascii="宋体" w:hAnsi="宋体" w:cs="宋体"/>
          <w:color w:val="auto"/>
          <w:sz w:val="24"/>
          <w:szCs w:val="28"/>
        </w:rPr>
      </w:pPr>
      <w:r>
        <w:rPr>
          <w:rFonts w:hint="eastAsia" w:ascii="宋体" w:hAnsi="宋体" w:cs="宋体"/>
          <w:color w:val="auto"/>
          <w:sz w:val="24"/>
          <w:szCs w:val="28"/>
        </w:rPr>
        <w:t>十、其他材料</w:t>
      </w:r>
      <w:r>
        <w:rPr>
          <w:rFonts w:hint="eastAsia" w:ascii="宋体" w:hAnsi="宋体" w:cs="宋体"/>
          <w:color w:val="auto"/>
          <w:sz w:val="24"/>
          <w:szCs w:val="28"/>
        </w:rPr>
        <w:tab/>
      </w:r>
    </w:p>
    <w:p w14:paraId="6B5C9D1E">
      <w:pPr>
        <w:spacing w:line="540" w:lineRule="exact"/>
        <w:rPr>
          <w:rFonts w:hint="eastAsia" w:ascii="宋体" w:hAnsi="宋体" w:cs="宋体"/>
          <w:color w:val="auto"/>
        </w:rPr>
      </w:pPr>
    </w:p>
    <w:p w14:paraId="2A33E040">
      <w:pPr>
        <w:spacing w:line="540" w:lineRule="exact"/>
        <w:rPr>
          <w:rFonts w:hint="eastAsia" w:ascii="宋体" w:hAnsi="宋体" w:cs="宋体"/>
          <w:color w:val="auto"/>
        </w:rPr>
      </w:pPr>
    </w:p>
    <w:p w14:paraId="02A18A1E">
      <w:pPr>
        <w:spacing w:line="540" w:lineRule="exact"/>
        <w:rPr>
          <w:rFonts w:hint="eastAsia" w:ascii="宋体" w:hAnsi="宋体" w:cs="宋体"/>
          <w:color w:val="auto"/>
        </w:rPr>
      </w:pPr>
    </w:p>
    <w:p w14:paraId="6BC0826F">
      <w:pPr>
        <w:pStyle w:val="2"/>
        <w:rPr>
          <w:rFonts w:hint="eastAsia"/>
        </w:rPr>
      </w:pPr>
    </w:p>
    <w:p w14:paraId="3ABD236E">
      <w:pPr>
        <w:pStyle w:val="4"/>
        <w:rPr>
          <w:rFonts w:hint="eastAsia"/>
        </w:rPr>
      </w:pPr>
    </w:p>
    <w:p w14:paraId="64AF62F2">
      <w:pPr>
        <w:rPr>
          <w:rFonts w:hint="eastAsia"/>
        </w:rPr>
      </w:pPr>
    </w:p>
    <w:p w14:paraId="46A80957">
      <w:pPr>
        <w:pStyle w:val="2"/>
        <w:rPr>
          <w:rFonts w:hint="eastAsia"/>
        </w:rPr>
      </w:pPr>
    </w:p>
    <w:p w14:paraId="13FCF9D5">
      <w:pPr>
        <w:pStyle w:val="4"/>
        <w:rPr>
          <w:rFonts w:hint="eastAsia"/>
        </w:rPr>
      </w:pPr>
    </w:p>
    <w:p w14:paraId="63B36FDA">
      <w:pPr>
        <w:rPr>
          <w:rFonts w:hint="eastAsia"/>
        </w:rPr>
      </w:pPr>
    </w:p>
    <w:p w14:paraId="52C6A475">
      <w:pPr>
        <w:pStyle w:val="2"/>
        <w:rPr>
          <w:rFonts w:hint="eastAsia"/>
        </w:rPr>
      </w:pPr>
    </w:p>
    <w:p w14:paraId="2940D475">
      <w:pPr>
        <w:pStyle w:val="4"/>
        <w:rPr>
          <w:rFonts w:hint="eastAsia"/>
        </w:rPr>
      </w:pPr>
    </w:p>
    <w:p w14:paraId="538ACB94">
      <w:pPr>
        <w:pStyle w:val="31"/>
        <w:numPr>
          <w:ilvl w:val="0"/>
          <w:numId w:val="4"/>
        </w:numPr>
        <w:spacing w:line="360" w:lineRule="auto"/>
        <w:jc w:val="center"/>
        <w:outlineLvl w:val="1"/>
        <w:rPr>
          <w:rFonts w:hint="eastAsia" w:ascii="宋体" w:hAnsi="宋体" w:eastAsia="宋体"/>
          <w:b/>
          <w:color w:val="auto"/>
          <w:szCs w:val="28"/>
        </w:rPr>
      </w:pPr>
      <w:bookmarkStart w:id="1412" w:name="_Toc152045788"/>
      <w:bookmarkStart w:id="1413" w:name="_Toc152042577"/>
      <w:bookmarkStart w:id="1414" w:name="_Toc144974857"/>
      <w:bookmarkStart w:id="1415" w:name="_Toc466298158"/>
      <w:bookmarkStart w:id="1416" w:name="_Toc23074"/>
      <w:bookmarkStart w:id="1417" w:name="_Toc9911"/>
      <w:bookmarkStart w:id="1418" w:name="_Toc8095"/>
      <w:r>
        <w:rPr>
          <w:rFonts w:hint="eastAsia" w:ascii="宋体" w:hAnsi="宋体" w:eastAsia="宋体"/>
          <w:b/>
          <w:color w:val="auto"/>
          <w:szCs w:val="28"/>
          <w:lang w:eastAsia="zh-CN"/>
        </w:rPr>
        <w:t>响应函</w:t>
      </w:r>
      <w:r>
        <w:rPr>
          <w:rFonts w:hint="eastAsia" w:ascii="宋体" w:hAnsi="宋体" w:eastAsia="宋体"/>
          <w:b/>
          <w:color w:val="auto"/>
          <w:szCs w:val="28"/>
        </w:rPr>
        <w:t>及</w:t>
      </w:r>
      <w:bookmarkEnd w:id="1412"/>
      <w:bookmarkEnd w:id="1413"/>
      <w:bookmarkEnd w:id="1414"/>
      <w:r>
        <w:rPr>
          <w:rFonts w:hint="eastAsia" w:ascii="宋体" w:hAnsi="宋体" w:eastAsia="宋体"/>
          <w:b/>
          <w:color w:val="auto"/>
          <w:szCs w:val="28"/>
          <w:lang w:eastAsia="zh-CN"/>
        </w:rPr>
        <w:t>响应函</w:t>
      </w:r>
      <w:r>
        <w:rPr>
          <w:rFonts w:hint="eastAsia" w:ascii="宋体" w:hAnsi="宋体" w:eastAsia="宋体"/>
          <w:b/>
          <w:color w:val="auto"/>
          <w:szCs w:val="28"/>
        </w:rPr>
        <w:t>附录</w:t>
      </w:r>
      <w:bookmarkEnd w:id="1415"/>
      <w:bookmarkEnd w:id="1416"/>
      <w:bookmarkEnd w:id="1417"/>
      <w:bookmarkEnd w:id="1418"/>
    </w:p>
    <w:p w14:paraId="53B70952">
      <w:pPr>
        <w:pStyle w:val="34"/>
        <w:numPr>
          <w:ilvl w:val="0"/>
          <w:numId w:val="5"/>
        </w:numPr>
        <w:spacing w:line="360" w:lineRule="auto"/>
        <w:jc w:val="center"/>
        <w:outlineLvl w:val="0"/>
        <w:rPr>
          <w:rFonts w:hint="eastAsia" w:ascii="宋体" w:hAnsi="宋体" w:eastAsia="宋体"/>
          <w:b/>
          <w:color w:val="auto"/>
          <w:szCs w:val="23"/>
        </w:rPr>
      </w:pPr>
      <w:bookmarkStart w:id="1419" w:name="_Toc22691"/>
      <w:bookmarkStart w:id="1420" w:name="_Toc19555"/>
      <w:r>
        <w:rPr>
          <w:rFonts w:hint="eastAsia" w:ascii="宋体" w:hAnsi="宋体" w:eastAsia="宋体"/>
          <w:b/>
          <w:color w:val="auto"/>
          <w:szCs w:val="23"/>
          <w:lang w:eastAsia="zh-CN"/>
        </w:rPr>
        <w:t>响应函</w:t>
      </w:r>
      <w:bookmarkEnd w:id="1419"/>
      <w:bookmarkEnd w:id="1420"/>
    </w:p>
    <w:p w14:paraId="1ACAA0FD">
      <w:pPr>
        <w:pStyle w:val="12"/>
        <w:spacing w:line="360" w:lineRule="auto"/>
        <w:ind w:left="112" w:leftChars="0" w:hanging="112" w:hangingChars="47"/>
        <w:rPr>
          <w:rFonts w:hint="eastAsia" w:ascii="宋体" w:hAnsi="宋体" w:eastAsia="宋体" w:cs="宋体"/>
          <w:color w:val="auto"/>
          <w:sz w:val="24"/>
          <w:szCs w:val="24"/>
        </w:rPr>
      </w:pPr>
      <w:bookmarkStart w:id="1421" w:name="_Toc447888814"/>
      <w:bookmarkStart w:id="1422" w:name="_Toc466298160"/>
      <w:bookmarkStart w:id="1423" w:name="_Toc19056"/>
      <w:bookmarkStart w:id="1424" w:name="_Toc490667893"/>
      <w:r>
        <w:rPr>
          <w:rFonts w:hint="eastAsia" w:ascii="宋体" w:hAnsi="宋体" w:eastAsia="宋体" w:cs="宋体"/>
          <w:color w:val="auto"/>
          <w:sz w:val="24"/>
          <w:szCs w:val="24"/>
        </w:rPr>
        <w:t>致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（采购人）</w:t>
      </w:r>
    </w:p>
    <w:p w14:paraId="2FF67F7F">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1．根据已收到的</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，遵照《中华人民共和国政府采购法》等有关规定，经考察和认真研究本项目</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及其它有关文件后，愿以人民币（大写</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）的磋商总报价作为第一次磋商报价，按合同约定实施和完成本项目，并承担其任何质量缺陷等问题所造成的任何损失。</w:t>
      </w:r>
    </w:p>
    <w:p w14:paraId="3224485F">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2．我方已详细检查全部</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包括澄清文件、补充通知（如有的话）及有关附件，并完全理解我方必须放弃提出含糊不清或误解的权力，愿按照</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中的条款和要求按最后一次的报价做为最后报价。</w:t>
      </w:r>
    </w:p>
    <w:p w14:paraId="0B120D58">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3．我方在此承诺，我方若能成交，保证在服务期限内，全面履行</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中规定的职责和义务。</w:t>
      </w:r>
    </w:p>
    <w:p w14:paraId="5508C240">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4．如果我方成交，我方保证按合同条款中规定的内容执行；我方保证质量达到国家及行业现行标准规范规定的合格要求，并按</w:t>
      </w:r>
      <w:r>
        <w:rPr>
          <w:rFonts w:hint="eastAsia" w:ascii="宋体" w:hAnsi="宋体" w:eastAsia="宋体" w:cs="宋体"/>
          <w:color w:val="auto"/>
          <w:sz w:val="24"/>
          <w:szCs w:val="24"/>
          <w:lang w:eastAsia="zh-CN"/>
        </w:rPr>
        <w:t>竞争性磋商文件</w:t>
      </w:r>
      <w:r>
        <w:rPr>
          <w:rFonts w:hint="eastAsia" w:ascii="宋体" w:hAnsi="宋体" w:eastAsia="宋体" w:cs="宋体"/>
          <w:color w:val="auto"/>
          <w:sz w:val="24"/>
          <w:szCs w:val="24"/>
        </w:rPr>
        <w:t>和有关规定提交一切资料。</w:t>
      </w:r>
    </w:p>
    <w:p w14:paraId="402A805E">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5．如果我方成交，我方将按照采购人规定提交履约保证金。</w:t>
      </w:r>
    </w:p>
    <w:p w14:paraId="6A025CB5">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6．我方同意从响应文件递交截止日期起</w:t>
      </w:r>
      <w:r>
        <w:rPr>
          <w:rFonts w:hint="eastAsia" w:ascii="宋体" w:hAnsi="宋体" w:eastAsia="宋体" w:cs="宋体"/>
          <w:color w:val="auto"/>
          <w:sz w:val="24"/>
          <w:szCs w:val="24"/>
          <w:u w:val="single"/>
        </w:rPr>
        <w:t xml:space="preserve">  60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日历天内保持</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有效，在此有效期内，我方将严格遵守</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的承诺，本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对我方具有约束力，并可随时被接受成交。</w:t>
      </w:r>
    </w:p>
    <w:p w14:paraId="02D93E79">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7．除</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所提交的资料外，我方同意随时接受贵方的检查、询问，并根据磋商需要补充贵方要求提交的资料。</w:t>
      </w:r>
    </w:p>
    <w:p w14:paraId="3F9E56EC">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8．如果我方成交后，我方没有任何正当理由而拒签合同，同时我方愿意补偿该项工作因我方延误所造成的经济损失。</w:t>
      </w:r>
    </w:p>
    <w:p w14:paraId="5D508537">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9．我方愿接受合同条款中规定的合同价款计算和调整方式。</w:t>
      </w:r>
    </w:p>
    <w:p w14:paraId="097A904C">
      <w:pPr>
        <w:pStyle w:val="12"/>
        <w:spacing w:line="360" w:lineRule="auto"/>
        <w:ind w:left="1"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10．除非另外达成协议并生效，贵方的成交通知书和本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将成为约束我方的合同文件组成部分。</w:t>
      </w:r>
    </w:p>
    <w:p w14:paraId="493FD685">
      <w:pPr>
        <w:pStyle w:val="12"/>
        <w:spacing w:line="420" w:lineRule="exact"/>
        <w:ind w:left="1" w:leftChars="0" w:firstLine="420" w:firstLineChars="200"/>
        <w:rPr>
          <w:rFonts w:hint="eastAsia" w:ascii="宋体" w:hAnsi="宋体"/>
          <w:color w:val="auto"/>
          <w:szCs w:val="21"/>
        </w:rPr>
      </w:pPr>
    </w:p>
    <w:p w14:paraId="508A97D6">
      <w:pPr>
        <w:pStyle w:val="12"/>
        <w:spacing w:line="420" w:lineRule="exact"/>
        <w:ind w:left="1" w:leftChars="0" w:firstLine="420" w:firstLineChars="200"/>
        <w:rPr>
          <w:rFonts w:hint="eastAsia" w:ascii="宋体" w:hAnsi="宋体"/>
          <w:color w:val="auto"/>
          <w:szCs w:val="21"/>
        </w:rPr>
      </w:pPr>
    </w:p>
    <w:p w14:paraId="0A01267D">
      <w:pPr>
        <w:pStyle w:val="12"/>
        <w:spacing w:line="420" w:lineRule="exact"/>
        <w:ind w:left="1" w:leftChars="0" w:firstLine="420" w:firstLineChars="200"/>
        <w:rPr>
          <w:rFonts w:hint="eastAsia" w:ascii="宋体" w:hAnsi="宋体"/>
          <w:color w:val="auto"/>
          <w:szCs w:val="21"/>
        </w:rPr>
      </w:pPr>
    </w:p>
    <w:p w14:paraId="7823ED71">
      <w:pPr>
        <w:pStyle w:val="12"/>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lang w:eastAsia="zh-CN"/>
        </w:rPr>
        <w:t>投标</w:t>
      </w:r>
      <w:r>
        <w:rPr>
          <w:rFonts w:hint="eastAsia" w:ascii="宋体" w:hAnsi="宋体"/>
          <w:color w:val="auto"/>
          <w:sz w:val="24"/>
          <w:szCs w:val="24"/>
        </w:rPr>
        <w:t>供应商：</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s="宋体"/>
          <w:color w:val="auto"/>
          <w:sz w:val="24"/>
          <w:szCs w:val="24"/>
        </w:rPr>
        <w:t>单位电子签章</w:t>
      </w:r>
      <w:r>
        <w:rPr>
          <w:rFonts w:hint="eastAsia" w:ascii="宋体" w:hAnsi="宋体"/>
          <w:color w:val="auto"/>
          <w:sz w:val="24"/>
          <w:szCs w:val="24"/>
        </w:rPr>
        <w:t>）</w:t>
      </w:r>
    </w:p>
    <w:p w14:paraId="35156CBB">
      <w:pPr>
        <w:pStyle w:val="12"/>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rPr>
        <w:t>法定代表人：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rPr>
        <w:t>（电子签名或盖章）</w:t>
      </w:r>
    </w:p>
    <w:p w14:paraId="5420C481">
      <w:pPr>
        <w:pStyle w:val="12"/>
        <w:spacing w:line="360" w:lineRule="auto"/>
        <w:ind w:left="1" w:leftChars="0" w:firstLine="480" w:firstLineChars="200"/>
        <w:rPr>
          <w:rFonts w:hint="eastAsia" w:ascii="宋体" w:hAnsi="宋体"/>
          <w:color w:val="auto"/>
          <w:sz w:val="24"/>
          <w:szCs w:val="24"/>
        </w:rPr>
      </w:pPr>
      <w:r>
        <w:rPr>
          <w:rFonts w:hint="eastAsia" w:ascii="宋体" w:hAnsi="宋体"/>
          <w:color w:val="auto"/>
          <w:sz w:val="24"/>
          <w:szCs w:val="24"/>
        </w:rPr>
        <w:t>委托代理人：</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sz w:val="24"/>
          <w:szCs w:val="24"/>
          <w:lang w:eastAsia="zh-CN"/>
        </w:rPr>
        <w:t>签字</w:t>
      </w:r>
      <w:r>
        <w:rPr>
          <w:rFonts w:hint="eastAsia" w:ascii="宋体" w:hAnsi="宋体"/>
          <w:color w:val="auto"/>
          <w:sz w:val="24"/>
          <w:szCs w:val="24"/>
        </w:rPr>
        <w:t>或盖章）</w:t>
      </w:r>
    </w:p>
    <w:p w14:paraId="4AC277B3">
      <w:pPr>
        <w:spacing w:line="360" w:lineRule="auto"/>
        <w:rPr>
          <w:rFonts w:hint="eastAsia" w:ascii="宋体" w:hAnsi="宋体" w:eastAsia="宋体" w:cs="宋体"/>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color w:val="auto"/>
          <w:sz w:val="24"/>
          <w:szCs w:val="24"/>
        </w:rPr>
        <w:t>日</w:t>
      </w:r>
      <w:r>
        <w:rPr>
          <w:rFonts w:hint="eastAsia" w:ascii="宋体" w:hAnsi="宋体"/>
          <w:color w:val="auto"/>
          <w:sz w:val="24"/>
          <w:szCs w:val="24"/>
          <w:lang w:val="en-US" w:eastAsia="zh-CN"/>
        </w:rPr>
        <w:t xml:space="preserve">      </w:t>
      </w:r>
      <w:r>
        <w:rPr>
          <w:rFonts w:hint="eastAsia" w:ascii="宋体" w:hAnsi="宋体"/>
          <w:color w:val="auto"/>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602BD9B">
      <w:pPr>
        <w:pStyle w:val="7"/>
        <w:numPr>
          <w:ilvl w:val="1"/>
          <w:numId w:val="0"/>
        </w:numPr>
        <w:jc w:val="center"/>
        <w:rPr>
          <w:rFonts w:hint="eastAsia" w:ascii="宋体" w:hAnsi="宋体" w:eastAsia="宋体"/>
          <w:color w:val="auto"/>
          <w:sz w:val="28"/>
          <w:szCs w:val="28"/>
        </w:rPr>
      </w:pPr>
      <w:bookmarkStart w:id="1425" w:name="_Toc11398"/>
      <w:bookmarkStart w:id="1426" w:name="_Toc2666"/>
      <w:bookmarkStart w:id="1427" w:name="_Toc28910"/>
      <w:r>
        <w:rPr>
          <w:rFonts w:hint="eastAsia" w:ascii="宋体" w:hAnsi="宋体" w:eastAsia="宋体"/>
          <w:color w:val="auto"/>
          <w:sz w:val="28"/>
          <w:szCs w:val="28"/>
        </w:rPr>
        <w:t>（二）</w:t>
      </w:r>
      <w:bookmarkEnd w:id="1421"/>
      <w:bookmarkEnd w:id="1422"/>
      <w:r>
        <w:rPr>
          <w:rFonts w:hint="eastAsia" w:ascii="宋体" w:hAnsi="宋体" w:eastAsia="宋体"/>
          <w:color w:val="auto"/>
          <w:sz w:val="28"/>
          <w:szCs w:val="28"/>
          <w:lang w:eastAsia="zh-CN"/>
        </w:rPr>
        <w:t>响应函</w:t>
      </w:r>
      <w:r>
        <w:rPr>
          <w:rFonts w:hint="eastAsia" w:ascii="宋体" w:hAnsi="宋体" w:eastAsia="宋体"/>
          <w:color w:val="auto"/>
          <w:sz w:val="28"/>
          <w:szCs w:val="28"/>
        </w:rPr>
        <w:t>附录</w:t>
      </w:r>
      <w:bookmarkEnd w:id="1423"/>
      <w:bookmarkEnd w:id="1424"/>
      <w:bookmarkEnd w:id="1425"/>
      <w:bookmarkEnd w:id="1426"/>
      <w:bookmarkEnd w:id="1427"/>
    </w:p>
    <w:tbl>
      <w:tblPr>
        <w:tblStyle w:val="23"/>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3043"/>
        <w:gridCol w:w="4302"/>
      </w:tblGrid>
      <w:tr w14:paraId="1AE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7D12B90C">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项目名称</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7DCAC5E5">
            <w:pPr>
              <w:rPr>
                <w:rFonts w:hint="eastAsia" w:ascii="宋体" w:hAnsi="宋体" w:eastAsia="宋体" w:cs="宋体"/>
                <w:color w:val="auto"/>
                <w:sz w:val="24"/>
                <w:szCs w:val="24"/>
              </w:rPr>
            </w:pPr>
          </w:p>
        </w:tc>
      </w:tr>
      <w:tr w14:paraId="02F8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2285DF54">
            <w:pPr>
              <w:ind w:left="0" w:lef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供应商</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35BAF052">
            <w:pPr>
              <w:rPr>
                <w:rFonts w:hint="eastAsia" w:ascii="宋体" w:hAnsi="宋体" w:eastAsia="宋体" w:cs="宋体"/>
                <w:color w:val="auto"/>
                <w:sz w:val="24"/>
                <w:szCs w:val="24"/>
              </w:rPr>
            </w:pPr>
          </w:p>
        </w:tc>
      </w:tr>
      <w:tr w14:paraId="1BAF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874" w:type="dxa"/>
            <w:vMerge w:val="restart"/>
            <w:tcBorders>
              <w:top w:val="single" w:color="auto" w:sz="4" w:space="0"/>
              <w:left w:val="single" w:color="auto" w:sz="4" w:space="0"/>
              <w:right w:val="single" w:color="auto" w:sz="4" w:space="0"/>
            </w:tcBorders>
            <w:noWrap w:val="0"/>
            <w:vAlign w:val="center"/>
          </w:tcPr>
          <w:p w14:paraId="3090BCD0">
            <w:pPr>
              <w:spacing w:line="360" w:lineRule="exact"/>
              <w:ind w:left="0" w:leftChars="0" w:firstLine="0" w:firstLineChars="0"/>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响应报价（元）</w:t>
            </w:r>
          </w:p>
        </w:tc>
        <w:tc>
          <w:tcPr>
            <w:tcW w:w="3043" w:type="dxa"/>
            <w:tcBorders>
              <w:top w:val="single" w:color="auto" w:sz="4" w:space="0"/>
              <w:left w:val="single" w:color="auto" w:sz="4" w:space="0"/>
              <w:bottom w:val="single" w:color="auto" w:sz="4" w:space="0"/>
              <w:right w:val="single" w:color="auto" w:sz="4" w:space="0"/>
            </w:tcBorders>
            <w:noWrap w:val="0"/>
            <w:vAlign w:val="center"/>
          </w:tcPr>
          <w:p w14:paraId="5107B05A">
            <w:pPr>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（大写）</w:t>
            </w:r>
          </w:p>
        </w:tc>
        <w:tc>
          <w:tcPr>
            <w:tcW w:w="4302" w:type="dxa"/>
            <w:tcBorders>
              <w:top w:val="single" w:color="auto" w:sz="4" w:space="0"/>
              <w:left w:val="single" w:color="auto" w:sz="4" w:space="0"/>
              <w:bottom w:val="single" w:color="auto" w:sz="4" w:space="0"/>
              <w:right w:val="single" w:color="auto" w:sz="4" w:space="0"/>
            </w:tcBorders>
            <w:noWrap w:val="0"/>
            <w:vAlign w:val="center"/>
          </w:tcPr>
          <w:p w14:paraId="739D3C4A">
            <w:pPr>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r>
      <w:tr w14:paraId="7ECF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874" w:type="dxa"/>
            <w:vMerge w:val="continue"/>
            <w:tcBorders>
              <w:left w:val="single" w:color="auto" w:sz="4" w:space="0"/>
              <w:bottom w:val="single" w:color="auto" w:sz="4" w:space="0"/>
              <w:right w:val="single" w:color="auto" w:sz="4" w:space="0"/>
            </w:tcBorders>
            <w:noWrap w:val="0"/>
            <w:vAlign w:val="center"/>
          </w:tcPr>
          <w:p w14:paraId="326749A3">
            <w:pPr>
              <w:spacing w:line="360" w:lineRule="exact"/>
              <w:jc w:val="center"/>
              <w:rPr>
                <w:rFonts w:hint="eastAsia" w:ascii="宋体" w:hAnsi="宋体" w:eastAsia="宋体" w:cs="宋体"/>
                <w:color w:val="auto"/>
                <w:sz w:val="24"/>
                <w:szCs w:val="24"/>
              </w:rPr>
            </w:pP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2DB440FE">
            <w:pPr>
              <w:ind w:left="0" w:leftChars="0" w:firstLine="0" w:firstLineChars="0"/>
              <w:rPr>
                <w:rFonts w:hint="eastAsia" w:ascii="宋体" w:hAnsi="宋体" w:eastAsia="宋体" w:cs="宋体"/>
                <w:color w:val="auto"/>
                <w:sz w:val="24"/>
                <w:szCs w:val="24"/>
              </w:rPr>
            </w:pPr>
            <w:r>
              <w:rPr>
                <w:rFonts w:hint="eastAsia" w:ascii="宋体" w:hAnsi="宋体" w:eastAsia="宋体" w:cs="宋体"/>
                <w:b/>
                <w:bCs/>
                <w:color w:val="auto"/>
                <w:sz w:val="24"/>
                <w:szCs w:val="24"/>
              </w:rPr>
              <w:t>（供应商应在此填列第一次报价，但以供应商最后一次的磋商报价为成交价）</w:t>
            </w:r>
          </w:p>
        </w:tc>
      </w:tr>
      <w:tr w14:paraId="260A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4F00A553">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质量</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6DFFB9EB">
            <w:pPr>
              <w:jc w:val="center"/>
              <w:rPr>
                <w:rFonts w:hint="eastAsia" w:ascii="宋体" w:hAnsi="宋体" w:eastAsia="宋体" w:cs="宋体"/>
                <w:color w:val="auto"/>
                <w:sz w:val="24"/>
                <w:szCs w:val="24"/>
              </w:rPr>
            </w:pPr>
          </w:p>
        </w:tc>
      </w:tr>
      <w:tr w14:paraId="0E1C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32D5934A">
            <w:pPr>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服务期限</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7DDCB200">
            <w:pPr>
              <w:jc w:val="center"/>
              <w:rPr>
                <w:rFonts w:hint="eastAsia" w:ascii="宋体" w:hAnsi="宋体" w:eastAsia="宋体" w:cs="宋体"/>
                <w:color w:val="auto"/>
                <w:sz w:val="24"/>
                <w:szCs w:val="24"/>
                <w:lang w:val="en-US"/>
              </w:rPr>
            </w:pPr>
          </w:p>
        </w:tc>
      </w:tr>
      <w:tr w14:paraId="0E9A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7E278CED">
            <w:pPr>
              <w:ind w:left="0" w:leftChars="0"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448BD955">
            <w:pPr>
              <w:jc w:val="center"/>
              <w:rPr>
                <w:rFonts w:hint="eastAsia" w:ascii="宋体" w:hAnsi="宋体" w:eastAsia="宋体" w:cs="宋体"/>
                <w:color w:val="auto"/>
                <w:sz w:val="24"/>
                <w:szCs w:val="24"/>
              </w:rPr>
            </w:pPr>
          </w:p>
        </w:tc>
      </w:tr>
      <w:tr w14:paraId="431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874" w:type="dxa"/>
            <w:tcBorders>
              <w:top w:val="single" w:color="auto" w:sz="4" w:space="0"/>
              <w:left w:val="single" w:color="auto" w:sz="4" w:space="0"/>
              <w:bottom w:val="single" w:color="auto" w:sz="4" w:space="0"/>
              <w:right w:val="single" w:color="auto" w:sz="4" w:space="0"/>
            </w:tcBorders>
            <w:noWrap w:val="0"/>
            <w:vAlign w:val="center"/>
          </w:tcPr>
          <w:p w14:paraId="724086F2">
            <w:pPr>
              <w:spacing w:line="400" w:lineRule="exact"/>
              <w:jc w:val="center"/>
              <w:rPr>
                <w:rFonts w:hint="eastAsia" w:ascii="宋体" w:hAnsi="宋体" w:eastAsia="宋体" w:cs="宋体"/>
                <w:color w:val="0000FF"/>
                <w:kern w:val="2"/>
                <w:sz w:val="24"/>
                <w:szCs w:val="24"/>
                <w:lang w:val="en-US" w:eastAsia="zh-CN" w:bidi="ar-SA"/>
              </w:rPr>
            </w:pPr>
            <w:r>
              <w:rPr>
                <w:rFonts w:hint="eastAsia" w:ascii="宋体" w:hAnsi="宋体" w:eastAsia="宋体" w:cs="宋体"/>
                <w:color w:val="auto"/>
                <w:sz w:val="24"/>
                <w:szCs w:val="24"/>
                <w:lang w:eastAsia="zh-CN"/>
              </w:rPr>
              <w:t>备注</w:t>
            </w:r>
          </w:p>
        </w:tc>
        <w:tc>
          <w:tcPr>
            <w:tcW w:w="7345" w:type="dxa"/>
            <w:gridSpan w:val="2"/>
            <w:tcBorders>
              <w:top w:val="single" w:color="auto" w:sz="4" w:space="0"/>
              <w:left w:val="single" w:color="auto" w:sz="4" w:space="0"/>
              <w:bottom w:val="single" w:color="auto" w:sz="4" w:space="0"/>
              <w:right w:val="single" w:color="auto" w:sz="4" w:space="0"/>
            </w:tcBorders>
            <w:noWrap w:val="0"/>
            <w:vAlign w:val="center"/>
          </w:tcPr>
          <w:p w14:paraId="3DFABF0F">
            <w:pPr>
              <w:pStyle w:val="39"/>
              <w:widowControl w:val="0"/>
              <w:autoSpaceDE w:val="0"/>
              <w:autoSpaceDN w:val="0"/>
              <w:spacing w:before="0" w:after="0" w:line="400" w:lineRule="exact"/>
              <w:jc w:val="center"/>
              <w:rPr>
                <w:rFonts w:hint="eastAsia" w:ascii="宋体" w:hAnsi="宋体" w:eastAsia="宋体" w:cs="宋体"/>
                <w:color w:val="0000FF"/>
                <w:sz w:val="24"/>
                <w:szCs w:val="24"/>
                <w:lang w:val="ru-RU" w:eastAsia="zh-CN" w:bidi="ar-SA"/>
              </w:rPr>
            </w:pPr>
          </w:p>
        </w:tc>
      </w:tr>
    </w:tbl>
    <w:p w14:paraId="644D934B">
      <w:pPr>
        <w:rPr>
          <w:rFonts w:hint="eastAsia" w:ascii="宋体" w:hAnsi="宋体"/>
          <w:color w:val="auto"/>
          <w:szCs w:val="21"/>
        </w:rPr>
      </w:pPr>
    </w:p>
    <w:p w14:paraId="0A1997F6">
      <w:pPr>
        <w:spacing w:line="360" w:lineRule="auto"/>
        <w:ind w:firstLine="2940" w:firstLineChars="1225"/>
        <w:rPr>
          <w:rFonts w:ascii="宋体" w:hAnsi="宋体" w:eastAsia="宋体" w:cs="宋体"/>
          <w:color w:val="000000"/>
          <w:sz w:val="24"/>
          <w:szCs w:val="24"/>
        </w:rPr>
      </w:pPr>
      <w:bookmarkStart w:id="1428" w:name="_Toc152042580"/>
      <w:bookmarkStart w:id="1429" w:name="_Toc152045791"/>
      <w:bookmarkStart w:id="1430" w:name="_Toc287367268"/>
      <w:bookmarkStart w:id="1431" w:name="_Toc144974860"/>
      <w:bookmarkStart w:id="1432" w:name="_Toc2481"/>
      <w:bookmarkStart w:id="1433" w:name="_Toc31033"/>
      <w:bookmarkStart w:id="1434" w:name="_Toc466298161"/>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5FF78B09">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48CC90DD">
      <w:pPr>
        <w:spacing w:line="360" w:lineRule="auto"/>
        <w:ind w:firstLine="5100" w:firstLineChars="2125"/>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45B8D6FD">
      <w:pPr>
        <w:spacing w:line="360" w:lineRule="auto"/>
        <w:ind w:firstLine="5100" w:firstLineChars="2125"/>
        <w:rPr>
          <w:rFonts w:hint="eastAsia" w:ascii="宋体" w:hAnsi="宋体" w:eastAsia="宋体" w:cs="宋体"/>
          <w:color w:val="000000"/>
          <w:sz w:val="24"/>
          <w:szCs w:val="24"/>
        </w:rPr>
      </w:pPr>
    </w:p>
    <w:p w14:paraId="0E13A3A3">
      <w:pPr>
        <w:spacing w:line="360" w:lineRule="auto"/>
        <w:ind w:firstLine="5100" w:firstLineChars="2125"/>
        <w:rPr>
          <w:rFonts w:hint="eastAsia" w:ascii="宋体" w:hAnsi="宋体" w:eastAsia="宋体" w:cs="宋体"/>
          <w:color w:val="000000"/>
          <w:sz w:val="24"/>
          <w:szCs w:val="24"/>
        </w:rPr>
        <w:sectPr>
          <w:headerReference r:id="rId11" w:type="default"/>
          <w:footerReference r:id="rId12" w:type="default"/>
          <w:pgSz w:w="11905" w:h="16838"/>
          <w:pgMar w:top="1440" w:right="1463" w:bottom="1440" w:left="1463" w:header="850" w:footer="850" w:gutter="0"/>
          <w:pgNumType w:fmt="decimal"/>
          <w:cols w:space="720" w:num="1"/>
          <w:docGrid w:type="lines" w:linePitch="411" w:charSpace="0"/>
        </w:sectPr>
      </w:pPr>
    </w:p>
    <w:p w14:paraId="0E3509A1">
      <w:pPr>
        <w:pStyle w:val="31"/>
        <w:jc w:val="center"/>
        <w:outlineLvl w:val="1"/>
        <w:rPr>
          <w:rFonts w:hint="eastAsia" w:ascii="宋体" w:hAnsi="宋体"/>
          <w:b/>
          <w:color w:val="auto"/>
          <w:szCs w:val="28"/>
        </w:rPr>
      </w:pPr>
      <w:bookmarkStart w:id="1435" w:name="_Toc30887"/>
      <w:r>
        <w:rPr>
          <w:rFonts w:hint="eastAsia" w:ascii="宋体" w:hAnsi="宋体" w:eastAsia="宋体"/>
          <w:b/>
          <w:color w:val="auto"/>
          <w:szCs w:val="28"/>
        </w:rPr>
        <w:t>二、</w:t>
      </w:r>
      <w:bookmarkEnd w:id="1428"/>
      <w:bookmarkEnd w:id="1429"/>
      <w:bookmarkEnd w:id="1430"/>
      <w:bookmarkEnd w:id="1431"/>
      <w:r>
        <w:rPr>
          <w:rFonts w:hint="eastAsia" w:ascii="宋体" w:hAnsi="宋体" w:eastAsia="宋体"/>
          <w:b/>
          <w:color w:val="auto"/>
          <w:szCs w:val="28"/>
        </w:rPr>
        <w:t>法定代表</w:t>
      </w:r>
      <w:r>
        <w:rPr>
          <w:rFonts w:hint="eastAsia" w:ascii="宋体" w:hAnsi="宋体" w:eastAsia="宋体"/>
          <w:b/>
          <w:color w:val="auto"/>
          <w:szCs w:val="28"/>
          <w:lang w:eastAsia="zh-CN"/>
        </w:rPr>
        <w:t>人</w:t>
      </w:r>
      <w:r>
        <w:rPr>
          <w:rFonts w:hint="eastAsia" w:ascii="宋体" w:hAnsi="宋体" w:eastAsia="宋体"/>
          <w:b/>
          <w:color w:val="auto"/>
          <w:szCs w:val="28"/>
        </w:rPr>
        <w:t>身份证明</w:t>
      </w:r>
      <w:bookmarkEnd w:id="1432"/>
      <w:bookmarkEnd w:id="1433"/>
      <w:bookmarkEnd w:id="1434"/>
      <w:bookmarkEnd w:id="1435"/>
    </w:p>
    <w:p w14:paraId="7D420279">
      <w:pPr>
        <w:spacing w:line="440" w:lineRule="exact"/>
        <w:jc w:val="center"/>
        <w:rPr>
          <w:rFonts w:hint="eastAsia" w:ascii="宋体" w:hAnsi="宋体" w:cs="宋体"/>
          <w:color w:val="auto"/>
          <w:szCs w:val="21"/>
        </w:rPr>
      </w:pPr>
    </w:p>
    <w:p w14:paraId="70E9D310">
      <w:pPr>
        <w:spacing w:line="360" w:lineRule="auto"/>
        <w:rPr>
          <w:rFonts w:hint="eastAsia" w:ascii="宋体" w:hAnsi="宋体" w:cs="宋体"/>
          <w:color w:val="auto"/>
          <w:sz w:val="24"/>
          <w:szCs w:val="24"/>
        </w:rPr>
      </w:pPr>
      <w:r>
        <w:rPr>
          <w:rFonts w:hint="eastAsia" w:ascii="宋体" w:hAnsi="宋体" w:cs="宋体"/>
          <w:color w:val="auto"/>
          <w:sz w:val="24"/>
          <w:szCs w:val="24"/>
          <w:lang w:eastAsia="zh-CN"/>
        </w:rPr>
        <w:t>投标</w:t>
      </w:r>
      <w:r>
        <w:rPr>
          <w:rFonts w:hint="eastAsia" w:ascii="宋体" w:hAnsi="宋体" w:cs="宋体"/>
          <w:color w:val="auto"/>
          <w:sz w:val="24"/>
          <w:szCs w:val="24"/>
        </w:rPr>
        <w:t>供应商名称：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3D3FC457">
      <w:pPr>
        <w:spacing w:line="360" w:lineRule="auto"/>
        <w:rPr>
          <w:rFonts w:hint="eastAsia"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5D7276D5">
      <w:pPr>
        <w:spacing w:line="360" w:lineRule="auto"/>
        <w:rPr>
          <w:rFonts w:hint="eastAsia"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xml:space="preserve">                                   </w:t>
      </w:r>
    </w:p>
    <w:p w14:paraId="10705F48">
      <w:pPr>
        <w:spacing w:line="360" w:lineRule="auto"/>
        <w:rPr>
          <w:rFonts w:hint="eastAsia"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日</w:t>
      </w:r>
    </w:p>
    <w:p w14:paraId="3D82FE68">
      <w:pPr>
        <w:spacing w:line="360" w:lineRule="auto"/>
        <w:rPr>
          <w:rFonts w:hint="eastAsia"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xml:space="preserve">                               </w:t>
      </w:r>
    </w:p>
    <w:p w14:paraId="05383B65">
      <w:pPr>
        <w:spacing w:line="360" w:lineRule="auto"/>
        <w:rPr>
          <w:rFonts w:hint="eastAsia"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性别：</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年龄：</w:t>
      </w:r>
      <w:r>
        <w:rPr>
          <w:rFonts w:hint="eastAsia" w:ascii="宋体" w:hAnsi="宋体" w:cs="宋体"/>
          <w:color w:val="auto"/>
          <w:sz w:val="24"/>
          <w:szCs w:val="24"/>
          <w:u w:val="single"/>
        </w:rPr>
        <w:t xml:space="preserve">        </w:t>
      </w:r>
      <w:r>
        <w:rPr>
          <w:rFonts w:hint="eastAsia" w:ascii="宋体" w:hAnsi="宋体" w:cs="宋体"/>
          <w:color w:val="auto"/>
          <w:sz w:val="24"/>
          <w:szCs w:val="24"/>
        </w:rPr>
        <w:t>职务：</w:t>
      </w:r>
      <w:r>
        <w:rPr>
          <w:rFonts w:hint="eastAsia" w:ascii="宋体" w:hAnsi="宋体" w:cs="宋体"/>
          <w:color w:val="auto"/>
          <w:sz w:val="24"/>
          <w:szCs w:val="24"/>
          <w:u w:val="single"/>
        </w:rPr>
        <w:t xml:space="preserve">        </w:t>
      </w:r>
    </w:p>
    <w:p w14:paraId="50E02BEA">
      <w:pPr>
        <w:spacing w:line="360" w:lineRule="auto"/>
        <w:rPr>
          <w:rFonts w:hint="eastAsia"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（供应商名称）的法定代表人。</w:t>
      </w:r>
    </w:p>
    <w:p w14:paraId="49126736">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特此证明。</w:t>
      </w:r>
    </w:p>
    <w:p w14:paraId="6C65759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14:paraId="299765F6">
      <w:pPr>
        <w:spacing w:line="360" w:lineRule="auto"/>
        <w:rPr>
          <w:rFonts w:hint="eastAsia" w:ascii="宋体" w:hAnsi="宋体" w:cs="宋体"/>
          <w:color w:val="auto"/>
          <w:sz w:val="24"/>
          <w:szCs w:val="24"/>
        </w:rPr>
      </w:pPr>
    </w:p>
    <w:p w14:paraId="25586B9C">
      <w:pPr>
        <w:spacing w:line="440" w:lineRule="exact"/>
        <w:rPr>
          <w:rFonts w:hint="eastAsia" w:ascii="宋体" w:hAnsi="宋体" w:cs="宋体"/>
          <w:color w:val="auto"/>
          <w:szCs w:val="21"/>
        </w:rPr>
      </w:pPr>
    </w:p>
    <w:p w14:paraId="7558C9DF">
      <w:pPr>
        <w:spacing w:line="440" w:lineRule="exact"/>
        <w:jc w:val="right"/>
        <w:rPr>
          <w:rFonts w:hint="eastAsia" w:ascii="宋体" w:hAnsi="宋体" w:cs="宋体"/>
          <w:color w:val="auto"/>
          <w:sz w:val="24"/>
          <w:szCs w:val="24"/>
        </w:rPr>
      </w:pPr>
      <w:r>
        <w:rPr>
          <w:rFonts w:hint="eastAsia" w:ascii="宋体" w:hAnsi="宋体" w:cs="宋体"/>
          <w:color w:val="auto"/>
          <w:szCs w:val="21"/>
        </w:rPr>
        <w:t xml:space="preserve">                          </w:t>
      </w: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（单位电子签章）</w:t>
      </w:r>
    </w:p>
    <w:p w14:paraId="69443D86">
      <w:pPr>
        <w:spacing w:line="440" w:lineRule="exact"/>
        <w:jc w:val="right"/>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日 </w:t>
      </w:r>
    </w:p>
    <w:p w14:paraId="266C9BD7">
      <w:pPr>
        <w:spacing w:line="440" w:lineRule="exact"/>
        <w:rPr>
          <w:rFonts w:hint="eastAsia" w:ascii="宋体" w:hAnsi="宋体" w:cs="宋体"/>
          <w:color w:val="auto"/>
          <w:szCs w:val="21"/>
        </w:rPr>
      </w:pPr>
    </w:p>
    <w:p w14:paraId="3BEB8F47">
      <w:pPr>
        <w:spacing w:line="440" w:lineRule="exact"/>
        <w:rPr>
          <w:rFonts w:hint="eastAsia" w:ascii="宋体" w:hAnsi="宋体" w:cs="宋体"/>
          <w:color w:val="auto"/>
          <w:szCs w:val="21"/>
        </w:rPr>
      </w:pPr>
    </w:p>
    <w:p w14:paraId="3847DFA5">
      <w:pPr>
        <w:spacing w:line="440" w:lineRule="exact"/>
        <w:rPr>
          <w:rFonts w:hint="eastAsia" w:ascii="宋体" w:hAnsi="宋体" w:cs="宋体"/>
          <w:color w:val="auto"/>
          <w:szCs w:val="21"/>
        </w:rPr>
      </w:pPr>
    </w:p>
    <w:p w14:paraId="28649149">
      <w:pPr>
        <w:spacing w:line="440" w:lineRule="exact"/>
        <w:rPr>
          <w:rFonts w:hint="eastAsia" w:ascii="宋体" w:hAnsi="宋体" w:cs="宋体"/>
          <w:color w:val="auto"/>
          <w:szCs w:val="21"/>
        </w:rPr>
      </w:pPr>
    </w:p>
    <w:p w14:paraId="6E7A32F4">
      <w:pPr>
        <w:pStyle w:val="7"/>
        <w:numPr>
          <w:ilvl w:val="1"/>
          <w:numId w:val="0"/>
        </w:numPr>
        <w:jc w:val="center"/>
        <w:rPr>
          <w:rFonts w:hint="eastAsia" w:ascii="Times New Roman" w:hAnsi="Times New Roman" w:eastAsia="宋体"/>
          <w:color w:val="auto"/>
          <w:sz w:val="28"/>
          <w:lang w:eastAsia="zh-CN"/>
        </w:rPr>
        <w:sectPr>
          <w:pgSz w:w="11905" w:h="16838"/>
          <w:pgMar w:top="1440" w:right="1463" w:bottom="1440" w:left="1463" w:header="850" w:footer="850" w:gutter="0"/>
          <w:pgNumType w:fmt="decimal"/>
          <w:cols w:space="720" w:num="1"/>
          <w:docGrid w:type="lines" w:linePitch="411" w:charSpace="0"/>
        </w:sectPr>
      </w:pPr>
      <w:bookmarkStart w:id="1436" w:name="_Toc26203"/>
      <w:bookmarkStart w:id="1437" w:name="_Toc318989765"/>
      <w:bookmarkStart w:id="1438" w:name="_Toc466298162"/>
      <w:bookmarkStart w:id="1439" w:name="_Toc4123"/>
      <w:bookmarkStart w:id="1440" w:name="_Toc441791190"/>
      <w:bookmarkStart w:id="1441" w:name="_Toc202941490"/>
    </w:p>
    <w:p w14:paraId="327BCC68">
      <w:pPr>
        <w:pStyle w:val="7"/>
        <w:numPr>
          <w:ilvl w:val="1"/>
          <w:numId w:val="0"/>
        </w:numPr>
        <w:jc w:val="center"/>
        <w:outlineLvl w:val="1"/>
        <w:rPr>
          <w:rFonts w:ascii="Times New Roman" w:hAnsi="Times New Roman" w:eastAsia="宋体"/>
          <w:color w:val="auto"/>
          <w:sz w:val="28"/>
        </w:rPr>
      </w:pPr>
      <w:bookmarkStart w:id="1442" w:name="_Toc16617"/>
      <w:r>
        <w:rPr>
          <w:rFonts w:hint="eastAsia" w:ascii="Times New Roman" w:hAnsi="Times New Roman" w:eastAsia="宋体"/>
          <w:color w:val="auto"/>
          <w:sz w:val="28"/>
          <w:lang w:eastAsia="zh-CN"/>
        </w:rPr>
        <w:t>三</w:t>
      </w:r>
      <w:r>
        <w:rPr>
          <w:rFonts w:ascii="Times New Roman" w:hAnsi="Times New Roman" w:eastAsia="宋体"/>
          <w:color w:val="auto"/>
          <w:sz w:val="28"/>
        </w:rPr>
        <w:t>、授权委托书</w:t>
      </w:r>
      <w:bookmarkEnd w:id="1436"/>
      <w:bookmarkEnd w:id="1437"/>
      <w:bookmarkEnd w:id="1438"/>
      <w:bookmarkEnd w:id="1439"/>
      <w:bookmarkEnd w:id="1440"/>
      <w:bookmarkEnd w:id="1441"/>
      <w:bookmarkEnd w:id="1442"/>
    </w:p>
    <w:p w14:paraId="42D3F432">
      <w:pPr>
        <w:topLinePunct/>
        <w:spacing w:line="440" w:lineRule="exact"/>
        <w:ind w:firstLine="420" w:firstLineChars="200"/>
        <w:rPr>
          <w:rFonts w:hint="eastAsia" w:ascii="宋体" w:hAnsi="宋体" w:cs="宋体"/>
          <w:color w:val="auto"/>
          <w:szCs w:val="21"/>
        </w:rPr>
      </w:pPr>
    </w:p>
    <w:p w14:paraId="0033A752">
      <w:pPr>
        <w:topLinePunct/>
        <w:spacing w:line="440" w:lineRule="exact"/>
        <w:ind w:firstLine="420" w:firstLineChars="200"/>
        <w:rPr>
          <w:rFonts w:hint="eastAsia" w:ascii="宋体" w:hAnsi="宋体" w:cs="宋体"/>
          <w:color w:val="auto"/>
          <w:szCs w:val="21"/>
        </w:rPr>
      </w:pPr>
    </w:p>
    <w:p w14:paraId="47189A80">
      <w:pPr>
        <w:topLinePunct/>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本人</w:t>
      </w:r>
      <w:r>
        <w:rPr>
          <w:rFonts w:hint="eastAsia" w:ascii="宋体" w:hAnsi="宋体" w:cs="宋体"/>
          <w:color w:val="auto"/>
          <w:sz w:val="24"/>
          <w:szCs w:val="24"/>
          <w:u w:val="single"/>
        </w:rPr>
        <w:t xml:space="preserve">       </w:t>
      </w:r>
      <w:r>
        <w:rPr>
          <w:rFonts w:hint="eastAsia" w:ascii="宋体" w:hAnsi="宋体" w:cs="宋体"/>
          <w:color w:val="auto"/>
          <w:sz w:val="24"/>
          <w:szCs w:val="24"/>
        </w:rPr>
        <w:t>（姓名）系</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（供应商名称）的法定代表人，现委托</w:t>
      </w:r>
      <w:r>
        <w:rPr>
          <w:rFonts w:hint="eastAsia" w:ascii="宋体" w:hAnsi="宋体" w:cs="宋体"/>
          <w:color w:val="auto"/>
          <w:sz w:val="24"/>
          <w:szCs w:val="24"/>
          <w:u w:val="single"/>
        </w:rPr>
        <w:t xml:space="preserve">        </w:t>
      </w:r>
      <w:r>
        <w:rPr>
          <w:rFonts w:hint="eastAsia" w:ascii="宋体" w:hAnsi="宋体" w:cs="宋体"/>
          <w:color w:val="auto"/>
          <w:sz w:val="24"/>
          <w:szCs w:val="24"/>
        </w:rPr>
        <w:t>（姓名）为我方代理人。代理人根据授权，以我方名义签署、澄清、说明、补正、递交、撤回、修改</w:t>
      </w:r>
      <w:r>
        <w:rPr>
          <w:rFonts w:hint="eastAsia" w:ascii="宋体" w:hAnsi="宋体" w:cs="宋体"/>
          <w:color w:val="auto"/>
          <w:sz w:val="24"/>
          <w:szCs w:val="24"/>
          <w:u w:val="single"/>
        </w:rPr>
        <w:t xml:space="preserve">           </w:t>
      </w:r>
      <w:r>
        <w:rPr>
          <w:rFonts w:hint="eastAsia" w:ascii="宋体" w:hAnsi="宋体" w:cs="宋体"/>
          <w:color w:val="auto"/>
          <w:sz w:val="24"/>
          <w:szCs w:val="24"/>
        </w:rPr>
        <w:t>（项目名称）响应文件、签订合同和处理有关事宜，其法律后果由我方承担。</w:t>
      </w:r>
    </w:p>
    <w:p w14:paraId="5639A4C6">
      <w:pPr>
        <w:spacing w:line="360" w:lineRule="auto"/>
        <w:rPr>
          <w:rFonts w:hint="eastAsia" w:ascii="宋体" w:hAnsi="宋体" w:cs="宋体"/>
          <w:color w:val="auto"/>
          <w:sz w:val="24"/>
          <w:szCs w:val="24"/>
        </w:rPr>
      </w:pPr>
      <w:r>
        <w:rPr>
          <w:rFonts w:hint="eastAsia" w:ascii="宋体" w:hAnsi="宋体" w:cs="宋体"/>
          <w:color w:val="auto"/>
          <w:sz w:val="24"/>
          <w:szCs w:val="24"/>
        </w:rPr>
        <w:t>委托期限：</w:t>
      </w:r>
      <w:r>
        <w:rPr>
          <w:rFonts w:hint="eastAsia" w:ascii="宋体" w:hAnsi="宋体" w:cs="宋体"/>
          <w:color w:val="auto"/>
          <w:sz w:val="24"/>
          <w:szCs w:val="28"/>
        </w:rPr>
        <w:t>自本委托书签署之日起至</w:t>
      </w:r>
      <w:r>
        <w:rPr>
          <w:rFonts w:hint="eastAsia" w:ascii="宋体" w:hAnsi="宋体" w:cs="宋体"/>
          <w:color w:val="auto"/>
          <w:sz w:val="24"/>
          <w:szCs w:val="28"/>
          <w:lang w:eastAsia="zh-CN"/>
        </w:rPr>
        <w:t>磋商</w:t>
      </w:r>
      <w:r>
        <w:rPr>
          <w:rFonts w:hint="eastAsia" w:ascii="宋体" w:hAnsi="宋体" w:cs="宋体"/>
          <w:color w:val="auto"/>
          <w:sz w:val="24"/>
          <w:szCs w:val="28"/>
        </w:rPr>
        <w:t>有效期期满。</w:t>
      </w:r>
    </w:p>
    <w:p w14:paraId="7D6FA1E1">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代理人无转委托权。</w:t>
      </w:r>
    </w:p>
    <w:p w14:paraId="02525195">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附：委托代理人身份证复印件</w:t>
      </w:r>
    </w:p>
    <w:p w14:paraId="420F6B75">
      <w:pPr>
        <w:spacing w:line="440" w:lineRule="exact"/>
        <w:rPr>
          <w:rFonts w:hint="eastAsia" w:ascii="宋体" w:hAnsi="宋体" w:cs="宋体"/>
          <w:color w:val="auto"/>
          <w:szCs w:val="21"/>
        </w:rPr>
      </w:pPr>
    </w:p>
    <w:p w14:paraId="2CE2A2CE">
      <w:pPr>
        <w:spacing w:line="440" w:lineRule="exact"/>
        <w:rPr>
          <w:rFonts w:hint="eastAsia" w:ascii="宋体" w:hAnsi="宋体" w:cs="宋体"/>
          <w:color w:val="auto"/>
          <w:szCs w:val="21"/>
        </w:rPr>
      </w:pPr>
    </w:p>
    <w:p w14:paraId="65371835">
      <w:pPr>
        <w:spacing w:line="440" w:lineRule="exact"/>
        <w:rPr>
          <w:rFonts w:hint="eastAsia" w:ascii="宋体" w:hAnsi="宋体" w:cs="宋体"/>
          <w:color w:val="auto"/>
          <w:szCs w:val="21"/>
        </w:rPr>
      </w:pPr>
    </w:p>
    <w:p w14:paraId="6ABFF01A">
      <w:pPr>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 w:val="24"/>
          <w:szCs w:val="24"/>
          <w:lang w:eastAsia="zh-CN"/>
        </w:rPr>
        <w:t>投标</w:t>
      </w: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（单位电子签章）</w:t>
      </w:r>
    </w:p>
    <w:p w14:paraId="57E4AE5E">
      <w:pPr>
        <w:tabs>
          <w:tab w:val="left" w:pos="3570"/>
        </w:tabs>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法定代表人：</w:t>
      </w:r>
      <w:r>
        <w:rPr>
          <w:rFonts w:hint="eastAsia" w:ascii="宋体" w:hAnsi="宋体" w:cs="宋体"/>
          <w:color w:val="auto"/>
          <w:sz w:val="24"/>
          <w:szCs w:val="24"/>
          <w:u w:val="single"/>
        </w:rPr>
        <w:t xml:space="preserve">                        </w:t>
      </w:r>
      <w:r>
        <w:rPr>
          <w:rFonts w:hint="eastAsia" w:ascii="宋体" w:hAnsi="宋体" w:cs="宋体"/>
          <w:color w:val="auto"/>
          <w:sz w:val="24"/>
          <w:szCs w:val="24"/>
        </w:rPr>
        <w:t>（电子签名或盖章）</w:t>
      </w:r>
    </w:p>
    <w:p w14:paraId="41864858">
      <w:pPr>
        <w:tabs>
          <w:tab w:val="left" w:pos="3570"/>
        </w:tabs>
        <w:spacing w:line="360" w:lineRule="auto"/>
        <w:ind w:left="0" w:leftChars="0" w:firstLine="2160" w:firstLineChars="900"/>
        <w:rPr>
          <w:rFonts w:hint="eastAsia"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14:paraId="36F4FC8B">
      <w:pPr>
        <w:spacing w:line="360" w:lineRule="auto"/>
        <w:ind w:left="0" w:leftChars="0" w:firstLine="0" w:firstLineChars="0"/>
        <w:jc w:val="center"/>
        <w:rPr>
          <w:rFonts w:hint="eastAsia" w:ascii="宋体" w:hAnsi="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w:t>
      </w:r>
      <w:r>
        <w:rPr>
          <w:rFonts w:hint="eastAsia" w:ascii="宋体" w:hAnsi="宋体" w:cs="宋体"/>
          <w:color w:val="auto"/>
          <w:sz w:val="24"/>
          <w:szCs w:val="24"/>
          <w:lang w:eastAsia="zh-CN"/>
        </w:rPr>
        <w:t>签字</w:t>
      </w:r>
      <w:r>
        <w:rPr>
          <w:rFonts w:hint="eastAsia" w:ascii="宋体" w:hAnsi="宋体" w:cs="宋体"/>
          <w:color w:val="auto"/>
          <w:sz w:val="24"/>
          <w:szCs w:val="24"/>
        </w:rPr>
        <w:t>或盖章）</w:t>
      </w:r>
    </w:p>
    <w:p w14:paraId="01E75C07">
      <w:pPr>
        <w:spacing w:line="360" w:lineRule="auto"/>
        <w:ind w:left="0" w:leftChars="0" w:firstLine="2160" w:firstLineChars="900"/>
        <w:rPr>
          <w:rFonts w:hint="eastAsia"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xml:space="preserve">                                  </w:t>
      </w:r>
    </w:p>
    <w:p w14:paraId="510E8791">
      <w:pPr>
        <w:spacing w:line="360" w:lineRule="auto"/>
        <w:jc w:val="right"/>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rPr>
        <w:t>日</w:t>
      </w:r>
    </w:p>
    <w:p w14:paraId="6653B9FF">
      <w:pPr>
        <w:spacing w:line="440" w:lineRule="exact"/>
        <w:rPr>
          <w:rFonts w:hint="eastAsia" w:ascii="宋体" w:hAnsi="宋体" w:cs="宋体"/>
          <w:color w:val="auto"/>
          <w:szCs w:val="21"/>
        </w:rPr>
      </w:pPr>
    </w:p>
    <w:p w14:paraId="69E0FF91">
      <w:pPr>
        <w:pStyle w:val="3"/>
        <w:rPr>
          <w:rFonts w:hint="eastAsia"/>
          <w:color w:val="auto"/>
        </w:rPr>
      </w:pPr>
    </w:p>
    <w:p w14:paraId="605FC886">
      <w:pPr>
        <w:pStyle w:val="20"/>
        <w:rPr>
          <w:rFonts w:hint="eastAsia"/>
          <w:color w:val="auto"/>
        </w:rPr>
      </w:pPr>
    </w:p>
    <w:p w14:paraId="7920086B">
      <w:pPr>
        <w:pStyle w:val="3"/>
        <w:rPr>
          <w:rFonts w:hint="eastAsia"/>
          <w:color w:val="auto"/>
        </w:rPr>
      </w:pPr>
    </w:p>
    <w:p w14:paraId="04A7371F">
      <w:pPr>
        <w:pStyle w:val="20"/>
        <w:rPr>
          <w:rFonts w:hint="eastAsia"/>
          <w:color w:val="auto"/>
        </w:rPr>
      </w:pPr>
    </w:p>
    <w:p w14:paraId="78C9F6FA">
      <w:pPr>
        <w:pStyle w:val="3"/>
        <w:rPr>
          <w:rFonts w:hint="eastAsia"/>
        </w:rPr>
      </w:pPr>
    </w:p>
    <w:p w14:paraId="07A4E8AF">
      <w:pPr>
        <w:pStyle w:val="3"/>
        <w:rPr>
          <w:rFonts w:hint="eastAsia"/>
        </w:rPr>
      </w:pPr>
    </w:p>
    <w:p w14:paraId="38B3CF4B">
      <w:pPr>
        <w:pStyle w:val="2"/>
        <w:ind w:firstLine="540" w:firstLineChars="192"/>
        <w:jc w:val="center"/>
        <w:outlineLvl w:val="1"/>
        <w:rPr>
          <w:rFonts w:ascii="宋体" w:hAnsi="宋体" w:eastAsia="宋体" w:cs="宋体"/>
          <w:b/>
          <w:color w:val="000000"/>
          <w:sz w:val="28"/>
          <w:szCs w:val="28"/>
        </w:rPr>
      </w:pPr>
      <w:bookmarkStart w:id="1443" w:name="_Toc19302"/>
      <w:bookmarkStart w:id="1444" w:name="_Toc19003"/>
      <w:bookmarkStart w:id="1445" w:name="_Toc5437"/>
      <w:bookmarkStart w:id="1446" w:name="_Toc475624458"/>
      <w:r>
        <w:rPr>
          <w:rFonts w:hint="eastAsia" w:ascii="宋体" w:hAnsi="宋体" w:eastAsia="宋体" w:cs="宋体"/>
          <w:b/>
          <w:color w:val="000000"/>
          <w:sz w:val="28"/>
          <w:szCs w:val="28"/>
          <w:lang w:eastAsia="zh-CN"/>
        </w:rPr>
        <w:t>四</w:t>
      </w:r>
      <w:r>
        <w:rPr>
          <w:rFonts w:hint="eastAsia" w:ascii="宋体" w:hAnsi="宋体" w:eastAsia="宋体" w:cs="宋体"/>
          <w:b/>
          <w:color w:val="000000"/>
          <w:sz w:val="28"/>
          <w:szCs w:val="28"/>
        </w:rPr>
        <w:t>、商务及技术偏差表</w:t>
      </w:r>
      <w:bookmarkEnd w:id="1443"/>
      <w:bookmarkEnd w:id="1444"/>
    </w:p>
    <w:p w14:paraId="38425F40">
      <w:pPr>
        <w:pStyle w:val="2"/>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3"/>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517"/>
        <w:gridCol w:w="2517"/>
        <w:gridCol w:w="1416"/>
      </w:tblGrid>
      <w:tr w14:paraId="2F733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14:paraId="31C2C887">
            <w:pPr>
              <w:pStyle w:val="40"/>
              <w:spacing w:line="500" w:lineRule="exact"/>
              <w:ind w:right="223" w:firstLine="0" w:firstLineChars="0"/>
              <w:jc w:val="center"/>
              <w:rPr>
                <w:rFonts w:hint="default"/>
                <w:bCs/>
                <w:sz w:val="24"/>
                <w:szCs w:val="24"/>
              </w:rPr>
            </w:pPr>
            <w:r>
              <w:rPr>
                <w:rFonts w:cs="宋体"/>
                <w:bCs/>
                <w:sz w:val="24"/>
                <w:szCs w:val="24"/>
              </w:rPr>
              <w:t xml:space="preserve"> 序号</w:t>
            </w:r>
          </w:p>
        </w:tc>
        <w:tc>
          <w:tcPr>
            <w:tcW w:w="1688" w:type="dxa"/>
            <w:vAlign w:val="center"/>
          </w:tcPr>
          <w:p w14:paraId="6EF6DC83">
            <w:pPr>
              <w:pStyle w:val="40"/>
              <w:spacing w:line="500" w:lineRule="exact"/>
              <w:ind w:firstLine="0" w:firstLineChars="0"/>
              <w:jc w:val="center"/>
              <w:rPr>
                <w:rFonts w:hint="default"/>
                <w:bCs/>
                <w:sz w:val="24"/>
                <w:szCs w:val="24"/>
              </w:rPr>
            </w:pPr>
            <w:r>
              <w:rPr>
                <w:rFonts w:cs="宋体"/>
                <w:bCs/>
                <w:sz w:val="24"/>
                <w:szCs w:val="24"/>
              </w:rPr>
              <w:t>项目内容</w:t>
            </w:r>
          </w:p>
        </w:tc>
        <w:tc>
          <w:tcPr>
            <w:tcW w:w="2517" w:type="dxa"/>
            <w:vAlign w:val="center"/>
          </w:tcPr>
          <w:p w14:paraId="5A8ED6F9">
            <w:pPr>
              <w:pStyle w:val="40"/>
              <w:spacing w:line="500" w:lineRule="exact"/>
              <w:ind w:firstLine="0" w:firstLineChars="0"/>
              <w:jc w:val="center"/>
              <w:rPr>
                <w:rFonts w:hint="default"/>
                <w:bCs/>
                <w:sz w:val="24"/>
                <w:szCs w:val="24"/>
              </w:rPr>
            </w:pPr>
            <w:r>
              <w:rPr>
                <w:rFonts w:cs="宋体"/>
                <w:bCs/>
                <w:sz w:val="24"/>
                <w:szCs w:val="24"/>
              </w:rPr>
              <w:t>招标文件要求</w:t>
            </w:r>
          </w:p>
        </w:tc>
        <w:tc>
          <w:tcPr>
            <w:tcW w:w="2517" w:type="dxa"/>
            <w:vAlign w:val="center"/>
          </w:tcPr>
          <w:p w14:paraId="0291ACA9">
            <w:pPr>
              <w:pStyle w:val="40"/>
              <w:spacing w:line="500" w:lineRule="exact"/>
              <w:ind w:firstLine="720" w:firstLineChars="300"/>
              <w:jc w:val="both"/>
              <w:rPr>
                <w:rFonts w:hint="default"/>
                <w:bCs/>
                <w:sz w:val="24"/>
                <w:szCs w:val="24"/>
              </w:rPr>
            </w:pPr>
            <w:r>
              <w:rPr>
                <w:rFonts w:hint="eastAsia" w:cs="宋体"/>
                <w:bCs/>
                <w:sz w:val="24"/>
                <w:szCs w:val="24"/>
                <w:lang w:eastAsia="zh-CN"/>
              </w:rPr>
              <w:t>响应</w:t>
            </w:r>
            <w:r>
              <w:rPr>
                <w:rFonts w:cs="宋体"/>
                <w:bCs/>
                <w:sz w:val="24"/>
                <w:szCs w:val="24"/>
              </w:rPr>
              <w:t>文件响应</w:t>
            </w:r>
          </w:p>
        </w:tc>
        <w:tc>
          <w:tcPr>
            <w:tcW w:w="1416" w:type="dxa"/>
            <w:vAlign w:val="center"/>
          </w:tcPr>
          <w:p w14:paraId="38B294D6">
            <w:pPr>
              <w:pStyle w:val="40"/>
              <w:spacing w:line="500" w:lineRule="exact"/>
              <w:ind w:firstLine="240" w:firstLineChars="100"/>
              <w:jc w:val="both"/>
              <w:rPr>
                <w:rFonts w:hint="default"/>
                <w:bCs/>
                <w:sz w:val="24"/>
                <w:szCs w:val="24"/>
              </w:rPr>
            </w:pPr>
            <w:r>
              <w:rPr>
                <w:rFonts w:cs="宋体"/>
                <w:bCs/>
                <w:sz w:val="24"/>
                <w:szCs w:val="24"/>
              </w:rPr>
              <w:t>偏差结论</w:t>
            </w:r>
          </w:p>
        </w:tc>
      </w:tr>
      <w:tr w14:paraId="055FB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0EBB3CF1">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14:paraId="2D629173">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lang w:eastAsia="zh-CN"/>
              </w:rPr>
              <w:t>磋商</w:t>
            </w:r>
            <w:r>
              <w:rPr>
                <w:rFonts w:hint="eastAsia" w:ascii="宋体" w:hAnsi="宋体" w:eastAsia="宋体" w:cs="宋体"/>
                <w:bCs/>
                <w:sz w:val="24"/>
                <w:szCs w:val="24"/>
              </w:rPr>
              <w:t>内容</w:t>
            </w:r>
          </w:p>
        </w:tc>
        <w:tc>
          <w:tcPr>
            <w:tcW w:w="2517" w:type="dxa"/>
            <w:vAlign w:val="center"/>
          </w:tcPr>
          <w:p w14:paraId="6106F2A8">
            <w:pPr>
              <w:spacing w:line="500" w:lineRule="exact"/>
              <w:ind w:firstLine="480"/>
              <w:jc w:val="center"/>
              <w:rPr>
                <w:rFonts w:ascii="宋体" w:hAnsi="宋体" w:eastAsia="宋体" w:cs="宋体"/>
                <w:bCs/>
                <w:sz w:val="24"/>
                <w:szCs w:val="24"/>
              </w:rPr>
            </w:pPr>
          </w:p>
        </w:tc>
        <w:tc>
          <w:tcPr>
            <w:tcW w:w="2517" w:type="dxa"/>
            <w:vAlign w:val="center"/>
          </w:tcPr>
          <w:p w14:paraId="3EF73B0E">
            <w:pPr>
              <w:spacing w:line="500" w:lineRule="exact"/>
              <w:ind w:firstLine="480"/>
              <w:jc w:val="center"/>
              <w:rPr>
                <w:rFonts w:ascii="宋体" w:hAnsi="宋体" w:eastAsia="宋体" w:cs="宋体"/>
                <w:bCs/>
                <w:sz w:val="24"/>
                <w:szCs w:val="24"/>
              </w:rPr>
            </w:pPr>
          </w:p>
        </w:tc>
        <w:tc>
          <w:tcPr>
            <w:tcW w:w="1416" w:type="dxa"/>
            <w:vAlign w:val="center"/>
          </w:tcPr>
          <w:p w14:paraId="23DE86FE">
            <w:pPr>
              <w:spacing w:line="500" w:lineRule="exact"/>
              <w:ind w:firstLine="480"/>
              <w:jc w:val="center"/>
              <w:rPr>
                <w:rFonts w:ascii="宋体" w:hAnsi="宋体" w:eastAsia="宋体" w:cs="宋体"/>
                <w:bCs/>
                <w:sz w:val="24"/>
                <w:szCs w:val="24"/>
              </w:rPr>
            </w:pPr>
          </w:p>
        </w:tc>
      </w:tr>
      <w:tr w14:paraId="4B483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7DAB56C">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14:paraId="1B279B18">
            <w:pPr>
              <w:spacing w:line="500" w:lineRule="exact"/>
              <w:ind w:firstLine="0" w:firstLineChars="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服务期限</w:t>
            </w:r>
          </w:p>
        </w:tc>
        <w:tc>
          <w:tcPr>
            <w:tcW w:w="2517" w:type="dxa"/>
            <w:vAlign w:val="center"/>
          </w:tcPr>
          <w:p w14:paraId="22C59940">
            <w:pPr>
              <w:spacing w:line="500" w:lineRule="exact"/>
              <w:ind w:firstLine="480"/>
              <w:jc w:val="center"/>
              <w:rPr>
                <w:rFonts w:ascii="宋体" w:hAnsi="宋体" w:eastAsia="宋体" w:cs="宋体"/>
                <w:bCs/>
                <w:sz w:val="24"/>
                <w:szCs w:val="24"/>
              </w:rPr>
            </w:pPr>
          </w:p>
        </w:tc>
        <w:tc>
          <w:tcPr>
            <w:tcW w:w="2517" w:type="dxa"/>
            <w:vAlign w:val="center"/>
          </w:tcPr>
          <w:p w14:paraId="689DFD6B">
            <w:pPr>
              <w:spacing w:line="500" w:lineRule="exact"/>
              <w:ind w:firstLine="480"/>
              <w:jc w:val="center"/>
              <w:rPr>
                <w:rFonts w:ascii="宋体" w:hAnsi="宋体" w:eastAsia="宋体" w:cs="宋体"/>
                <w:bCs/>
                <w:sz w:val="24"/>
                <w:szCs w:val="24"/>
              </w:rPr>
            </w:pPr>
          </w:p>
        </w:tc>
        <w:tc>
          <w:tcPr>
            <w:tcW w:w="1416" w:type="dxa"/>
            <w:vAlign w:val="center"/>
          </w:tcPr>
          <w:p w14:paraId="4208B511">
            <w:pPr>
              <w:spacing w:line="500" w:lineRule="exact"/>
              <w:ind w:firstLine="480"/>
              <w:jc w:val="center"/>
              <w:rPr>
                <w:rFonts w:ascii="宋体" w:hAnsi="宋体" w:eastAsia="宋体" w:cs="宋体"/>
                <w:bCs/>
                <w:sz w:val="24"/>
                <w:szCs w:val="24"/>
              </w:rPr>
            </w:pPr>
          </w:p>
        </w:tc>
      </w:tr>
      <w:tr w14:paraId="3280D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5BDD1F07">
            <w:pPr>
              <w:spacing w:line="500" w:lineRule="exact"/>
              <w:ind w:firstLine="480"/>
              <w:rPr>
                <w:rFonts w:hint="eastAsia" w:ascii="宋体" w:hAnsi="宋体" w:eastAsia="宋体" w:cs="宋体"/>
                <w:bCs/>
                <w:sz w:val="24"/>
                <w:szCs w:val="24"/>
                <w:lang w:eastAsia="zh-CN"/>
              </w:rPr>
            </w:pPr>
            <w:r>
              <w:rPr>
                <w:rFonts w:hint="eastAsia" w:ascii="宋体" w:hAnsi="宋体" w:eastAsia="宋体"/>
                <w:color w:val="000000"/>
                <w:sz w:val="24"/>
                <w:szCs w:val="24"/>
                <w:lang w:val="en-US" w:eastAsia="zh-CN"/>
              </w:rPr>
              <w:t>3</w:t>
            </w:r>
          </w:p>
        </w:tc>
        <w:tc>
          <w:tcPr>
            <w:tcW w:w="1688" w:type="dxa"/>
            <w:vAlign w:val="center"/>
          </w:tcPr>
          <w:p w14:paraId="6B4149C4">
            <w:pPr>
              <w:spacing w:line="500" w:lineRule="exact"/>
              <w:ind w:firstLine="0" w:firstLineChars="0"/>
              <w:jc w:val="center"/>
              <w:rPr>
                <w:rFonts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磋商</w:t>
            </w:r>
            <w:r>
              <w:rPr>
                <w:rFonts w:hint="eastAsia" w:ascii="宋体" w:hAnsi="宋体" w:eastAsia="宋体" w:cs="宋体"/>
                <w:bCs/>
                <w:sz w:val="24"/>
                <w:szCs w:val="24"/>
              </w:rPr>
              <w:t>有效期</w:t>
            </w:r>
          </w:p>
        </w:tc>
        <w:tc>
          <w:tcPr>
            <w:tcW w:w="2517" w:type="dxa"/>
            <w:vAlign w:val="center"/>
          </w:tcPr>
          <w:p w14:paraId="4995A81B">
            <w:pPr>
              <w:spacing w:line="500" w:lineRule="exact"/>
              <w:ind w:firstLine="480"/>
              <w:jc w:val="center"/>
              <w:rPr>
                <w:rFonts w:ascii="宋体" w:hAnsi="宋体" w:eastAsia="宋体" w:cs="宋体"/>
                <w:bCs/>
                <w:sz w:val="24"/>
                <w:szCs w:val="24"/>
              </w:rPr>
            </w:pPr>
          </w:p>
        </w:tc>
        <w:tc>
          <w:tcPr>
            <w:tcW w:w="2517" w:type="dxa"/>
            <w:vAlign w:val="center"/>
          </w:tcPr>
          <w:p w14:paraId="4B30A723">
            <w:pPr>
              <w:spacing w:line="500" w:lineRule="exact"/>
              <w:ind w:firstLine="480"/>
              <w:jc w:val="center"/>
              <w:rPr>
                <w:rFonts w:ascii="宋体" w:hAnsi="宋体" w:eastAsia="宋体" w:cs="宋体"/>
                <w:bCs/>
                <w:sz w:val="24"/>
                <w:szCs w:val="24"/>
              </w:rPr>
            </w:pPr>
          </w:p>
        </w:tc>
        <w:tc>
          <w:tcPr>
            <w:tcW w:w="1416" w:type="dxa"/>
            <w:vAlign w:val="center"/>
          </w:tcPr>
          <w:p w14:paraId="2A98999B">
            <w:pPr>
              <w:spacing w:line="500" w:lineRule="exact"/>
              <w:ind w:firstLine="480"/>
              <w:jc w:val="center"/>
              <w:rPr>
                <w:rFonts w:ascii="宋体" w:hAnsi="宋体" w:eastAsia="宋体" w:cs="宋体"/>
                <w:bCs/>
                <w:sz w:val="24"/>
                <w:szCs w:val="24"/>
              </w:rPr>
            </w:pPr>
          </w:p>
        </w:tc>
      </w:tr>
      <w:tr w14:paraId="71CA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14:paraId="0A6CD48D">
            <w:pPr>
              <w:spacing w:line="500" w:lineRule="exact"/>
              <w:ind w:firstLine="480"/>
              <w:rPr>
                <w:rFonts w:hint="eastAsia" w:ascii="宋体" w:hAnsi="宋体" w:eastAsia="宋体" w:cs="宋体"/>
                <w:bCs/>
                <w:sz w:val="24"/>
                <w:szCs w:val="24"/>
                <w:lang w:eastAsia="zh-CN"/>
              </w:rPr>
            </w:pPr>
            <w:r>
              <w:rPr>
                <w:rFonts w:hint="eastAsia" w:ascii="宋体" w:hAnsi="宋体" w:eastAsia="宋体"/>
                <w:color w:val="000000"/>
                <w:sz w:val="24"/>
                <w:szCs w:val="24"/>
                <w:lang w:val="en-US" w:eastAsia="zh-CN"/>
              </w:rPr>
              <w:t>4</w:t>
            </w:r>
          </w:p>
        </w:tc>
        <w:tc>
          <w:tcPr>
            <w:tcW w:w="1688" w:type="dxa"/>
            <w:vAlign w:val="center"/>
          </w:tcPr>
          <w:p w14:paraId="26349C3B">
            <w:pPr>
              <w:spacing w:line="500" w:lineRule="exact"/>
              <w:ind w:left="0" w:leftChars="0" w:firstLine="240" w:firstLineChars="100"/>
              <w:rPr>
                <w:rFonts w:ascii="宋体" w:hAnsi="宋体" w:eastAsia="宋体" w:cs="宋体"/>
                <w:bCs/>
                <w:kern w:val="2"/>
                <w:sz w:val="24"/>
                <w:szCs w:val="24"/>
                <w:lang w:val="en-US" w:eastAsia="zh-CN" w:bidi="ar-SA"/>
              </w:rPr>
            </w:pPr>
            <w:r>
              <w:rPr>
                <w:rFonts w:hint="eastAsia" w:ascii="宋体" w:hAnsi="宋体" w:eastAsia="宋体" w:cs="宋体"/>
                <w:bCs/>
                <w:sz w:val="24"/>
                <w:szCs w:val="24"/>
              </w:rPr>
              <w:t>付款方式</w:t>
            </w:r>
          </w:p>
        </w:tc>
        <w:tc>
          <w:tcPr>
            <w:tcW w:w="2517" w:type="dxa"/>
            <w:vAlign w:val="center"/>
          </w:tcPr>
          <w:p w14:paraId="108F73FC">
            <w:pPr>
              <w:spacing w:line="500" w:lineRule="exact"/>
              <w:ind w:firstLine="480"/>
              <w:jc w:val="center"/>
              <w:rPr>
                <w:rFonts w:ascii="宋体" w:hAnsi="宋体" w:eastAsia="宋体" w:cs="宋体"/>
                <w:bCs/>
                <w:sz w:val="24"/>
                <w:szCs w:val="24"/>
              </w:rPr>
            </w:pPr>
          </w:p>
        </w:tc>
        <w:tc>
          <w:tcPr>
            <w:tcW w:w="2517" w:type="dxa"/>
            <w:vAlign w:val="center"/>
          </w:tcPr>
          <w:p w14:paraId="381605C2">
            <w:pPr>
              <w:spacing w:line="500" w:lineRule="exact"/>
              <w:ind w:firstLine="480"/>
              <w:jc w:val="center"/>
              <w:rPr>
                <w:rFonts w:ascii="宋体" w:hAnsi="宋体" w:eastAsia="宋体" w:cs="宋体"/>
                <w:bCs/>
                <w:sz w:val="24"/>
                <w:szCs w:val="24"/>
              </w:rPr>
            </w:pPr>
          </w:p>
        </w:tc>
        <w:tc>
          <w:tcPr>
            <w:tcW w:w="1416" w:type="dxa"/>
            <w:vAlign w:val="center"/>
          </w:tcPr>
          <w:p w14:paraId="352349A5">
            <w:pPr>
              <w:spacing w:line="500" w:lineRule="exact"/>
              <w:ind w:firstLine="480"/>
              <w:jc w:val="center"/>
              <w:rPr>
                <w:rFonts w:ascii="宋体" w:hAnsi="宋体" w:eastAsia="宋体" w:cs="宋体"/>
                <w:bCs/>
                <w:sz w:val="24"/>
                <w:szCs w:val="24"/>
              </w:rPr>
            </w:pPr>
          </w:p>
        </w:tc>
      </w:tr>
      <w:tr w14:paraId="1BD79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14:paraId="40B2EE27">
            <w:pPr>
              <w:spacing w:line="500" w:lineRule="exact"/>
              <w:ind w:firstLine="480"/>
              <w:rPr>
                <w:rFonts w:hint="eastAsia" w:ascii="宋体" w:hAnsi="宋体" w:eastAsia="宋体" w:cs="宋体"/>
                <w:bCs/>
                <w:i/>
                <w:sz w:val="24"/>
                <w:szCs w:val="24"/>
                <w:lang w:eastAsia="zh-CN"/>
              </w:rPr>
            </w:pPr>
            <w:r>
              <w:rPr>
                <w:rFonts w:hint="eastAsia" w:ascii="宋体" w:hAnsi="宋体" w:eastAsia="宋体"/>
                <w:color w:val="000000"/>
                <w:sz w:val="24"/>
                <w:szCs w:val="24"/>
                <w:lang w:val="en-US" w:eastAsia="zh-CN"/>
              </w:rPr>
              <w:t>5</w:t>
            </w:r>
          </w:p>
        </w:tc>
        <w:tc>
          <w:tcPr>
            <w:tcW w:w="1688" w:type="dxa"/>
            <w:vAlign w:val="center"/>
          </w:tcPr>
          <w:p w14:paraId="0EBD1B16">
            <w:pPr>
              <w:spacing w:line="500" w:lineRule="exact"/>
              <w:ind w:left="0" w:leftChars="0" w:firstLine="240" w:firstLineChars="100"/>
              <w:rPr>
                <w:rFonts w:ascii="宋体" w:hAnsi="宋体" w:eastAsia="宋体" w:cs="宋体"/>
                <w:bCs/>
                <w:kern w:val="2"/>
                <w:sz w:val="24"/>
                <w:szCs w:val="24"/>
                <w:lang w:val="en-US" w:eastAsia="zh-CN" w:bidi="ar-SA"/>
              </w:rPr>
            </w:pPr>
            <w:r>
              <w:rPr>
                <w:rFonts w:hint="eastAsia" w:ascii="宋体" w:hAnsi="宋体" w:eastAsia="宋体" w:cs="宋体"/>
                <w:bCs/>
                <w:sz w:val="24"/>
                <w:szCs w:val="24"/>
              </w:rPr>
              <w:t>质量要求</w:t>
            </w:r>
          </w:p>
        </w:tc>
        <w:tc>
          <w:tcPr>
            <w:tcW w:w="2517" w:type="dxa"/>
            <w:vAlign w:val="center"/>
          </w:tcPr>
          <w:p w14:paraId="12E44116">
            <w:pPr>
              <w:spacing w:line="500" w:lineRule="exact"/>
              <w:ind w:firstLine="480"/>
              <w:jc w:val="center"/>
              <w:rPr>
                <w:rFonts w:ascii="宋体" w:hAnsi="宋体" w:eastAsia="宋体" w:cs="宋体"/>
                <w:bCs/>
                <w:sz w:val="24"/>
                <w:szCs w:val="24"/>
              </w:rPr>
            </w:pPr>
          </w:p>
        </w:tc>
        <w:tc>
          <w:tcPr>
            <w:tcW w:w="2517" w:type="dxa"/>
            <w:vAlign w:val="center"/>
          </w:tcPr>
          <w:p w14:paraId="6D6E6779">
            <w:pPr>
              <w:spacing w:line="500" w:lineRule="exact"/>
              <w:ind w:firstLine="480"/>
              <w:jc w:val="center"/>
              <w:rPr>
                <w:rFonts w:ascii="宋体" w:hAnsi="宋体" w:eastAsia="宋体" w:cs="宋体"/>
                <w:bCs/>
                <w:sz w:val="24"/>
                <w:szCs w:val="24"/>
              </w:rPr>
            </w:pPr>
          </w:p>
        </w:tc>
        <w:tc>
          <w:tcPr>
            <w:tcW w:w="1416" w:type="dxa"/>
            <w:vAlign w:val="center"/>
          </w:tcPr>
          <w:p w14:paraId="1B7D5F46">
            <w:pPr>
              <w:spacing w:line="500" w:lineRule="exact"/>
              <w:ind w:firstLine="480"/>
              <w:jc w:val="center"/>
              <w:rPr>
                <w:rFonts w:ascii="宋体" w:hAnsi="宋体" w:eastAsia="宋体" w:cs="宋体"/>
                <w:bCs/>
                <w:sz w:val="24"/>
                <w:szCs w:val="24"/>
              </w:rPr>
            </w:pPr>
          </w:p>
        </w:tc>
      </w:tr>
      <w:tr w14:paraId="206E9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12B91D65">
            <w:pPr>
              <w:spacing w:line="500" w:lineRule="exact"/>
              <w:ind w:firstLine="480"/>
              <w:rPr>
                <w:rFonts w:hint="eastAsia" w:ascii="宋体" w:hAnsi="宋体" w:eastAsiaTheme="minorEastAsia"/>
                <w:color w:val="000000"/>
                <w:sz w:val="24"/>
                <w:szCs w:val="28"/>
                <w:lang w:eastAsia="zh-CN"/>
              </w:rPr>
            </w:pPr>
            <w:r>
              <w:rPr>
                <w:rFonts w:hint="eastAsia" w:ascii="宋体" w:hAnsi="宋体"/>
                <w:color w:val="000000"/>
                <w:sz w:val="24"/>
                <w:szCs w:val="28"/>
                <w:lang w:val="en-US" w:eastAsia="zh-CN"/>
              </w:rPr>
              <w:t>6</w:t>
            </w:r>
          </w:p>
        </w:tc>
        <w:tc>
          <w:tcPr>
            <w:tcW w:w="1688" w:type="dxa"/>
            <w:vAlign w:val="center"/>
          </w:tcPr>
          <w:p w14:paraId="301DD412">
            <w:pPr>
              <w:spacing w:line="500" w:lineRule="exact"/>
              <w:ind w:firstLine="480"/>
              <w:rPr>
                <w:rFonts w:ascii="宋体" w:hAnsi="宋体" w:eastAsia="宋体" w:cs="宋体"/>
                <w:bCs/>
                <w:sz w:val="24"/>
                <w:szCs w:val="24"/>
              </w:rPr>
            </w:pPr>
          </w:p>
        </w:tc>
        <w:tc>
          <w:tcPr>
            <w:tcW w:w="2517" w:type="dxa"/>
            <w:vAlign w:val="center"/>
          </w:tcPr>
          <w:p w14:paraId="1B14215F">
            <w:pPr>
              <w:spacing w:line="500" w:lineRule="exact"/>
              <w:ind w:firstLine="480"/>
              <w:jc w:val="center"/>
              <w:rPr>
                <w:rFonts w:ascii="宋体" w:hAnsi="宋体" w:eastAsia="宋体" w:cs="宋体"/>
                <w:bCs/>
                <w:sz w:val="24"/>
                <w:szCs w:val="24"/>
              </w:rPr>
            </w:pPr>
          </w:p>
        </w:tc>
        <w:tc>
          <w:tcPr>
            <w:tcW w:w="2517" w:type="dxa"/>
            <w:vAlign w:val="center"/>
          </w:tcPr>
          <w:p w14:paraId="4F652345">
            <w:pPr>
              <w:spacing w:line="500" w:lineRule="exact"/>
              <w:ind w:firstLine="480"/>
              <w:jc w:val="center"/>
              <w:rPr>
                <w:rFonts w:ascii="宋体" w:hAnsi="宋体" w:eastAsia="宋体" w:cs="宋体"/>
                <w:bCs/>
                <w:sz w:val="24"/>
                <w:szCs w:val="24"/>
              </w:rPr>
            </w:pPr>
          </w:p>
        </w:tc>
        <w:tc>
          <w:tcPr>
            <w:tcW w:w="1416" w:type="dxa"/>
            <w:vAlign w:val="center"/>
          </w:tcPr>
          <w:p w14:paraId="649FE20C">
            <w:pPr>
              <w:spacing w:line="500" w:lineRule="exact"/>
              <w:ind w:firstLine="480"/>
              <w:jc w:val="center"/>
              <w:rPr>
                <w:rFonts w:ascii="宋体" w:hAnsi="宋体" w:eastAsia="宋体" w:cs="宋体"/>
                <w:bCs/>
                <w:sz w:val="24"/>
                <w:szCs w:val="24"/>
              </w:rPr>
            </w:pPr>
          </w:p>
        </w:tc>
      </w:tr>
      <w:tr w14:paraId="5D57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14:paraId="6821B5A9">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14:paraId="3ACBFAC4">
            <w:pPr>
              <w:spacing w:line="500" w:lineRule="exact"/>
              <w:ind w:firstLine="480"/>
              <w:jc w:val="center"/>
              <w:rPr>
                <w:rFonts w:ascii="宋体" w:hAnsi="宋体" w:eastAsia="宋体" w:cs="宋体"/>
                <w:bCs/>
                <w:sz w:val="24"/>
                <w:szCs w:val="24"/>
              </w:rPr>
            </w:pPr>
          </w:p>
        </w:tc>
        <w:tc>
          <w:tcPr>
            <w:tcW w:w="2517" w:type="dxa"/>
            <w:vAlign w:val="center"/>
          </w:tcPr>
          <w:p w14:paraId="22BDA7FA">
            <w:pPr>
              <w:spacing w:line="500" w:lineRule="exact"/>
              <w:ind w:firstLine="480"/>
              <w:jc w:val="center"/>
              <w:rPr>
                <w:rFonts w:ascii="宋体" w:hAnsi="宋体" w:eastAsia="宋体" w:cs="宋体"/>
                <w:bCs/>
                <w:sz w:val="24"/>
                <w:szCs w:val="24"/>
              </w:rPr>
            </w:pPr>
          </w:p>
        </w:tc>
        <w:tc>
          <w:tcPr>
            <w:tcW w:w="2517" w:type="dxa"/>
            <w:vAlign w:val="center"/>
          </w:tcPr>
          <w:p w14:paraId="45EFB5DF">
            <w:pPr>
              <w:spacing w:line="500" w:lineRule="exact"/>
              <w:ind w:firstLine="480"/>
              <w:jc w:val="center"/>
              <w:rPr>
                <w:rFonts w:ascii="宋体" w:hAnsi="宋体" w:eastAsia="宋体" w:cs="宋体"/>
                <w:bCs/>
                <w:sz w:val="24"/>
                <w:szCs w:val="24"/>
              </w:rPr>
            </w:pPr>
          </w:p>
        </w:tc>
        <w:tc>
          <w:tcPr>
            <w:tcW w:w="1416" w:type="dxa"/>
            <w:vAlign w:val="center"/>
          </w:tcPr>
          <w:p w14:paraId="63DF4215">
            <w:pPr>
              <w:spacing w:line="500" w:lineRule="exact"/>
              <w:ind w:firstLine="480"/>
              <w:jc w:val="center"/>
              <w:rPr>
                <w:rFonts w:ascii="宋体" w:hAnsi="宋体" w:eastAsia="宋体" w:cs="宋体"/>
                <w:bCs/>
                <w:sz w:val="24"/>
                <w:szCs w:val="24"/>
              </w:rPr>
            </w:pPr>
          </w:p>
        </w:tc>
      </w:tr>
    </w:tbl>
    <w:p w14:paraId="65F6B830">
      <w:pPr>
        <w:spacing w:line="360" w:lineRule="auto"/>
        <w:ind w:firstLine="480"/>
        <w:rPr>
          <w:rFonts w:ascii="宋体" w:hAnsi="宋体" w:cs="宋体"/>
          <w:sz w:val="24"/>
          <w:szCs w:val="24"/>
        </w:rPr>
      </w:pPr>
    </w:p>
    <w:p w14:paraId="626554B3">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14:paraId="41E3EA58">
      <w:pPr>
        <w:pStyle w:val="4"/>
      </w:pPr>
    </w:p>
    <w:p w14:paraId="28E391B4">
      <w:pPr>
        <w:spacing w:line="360" w:lineRule="auto"/>
        <w:ind w:firstLine="1680" w:firstLineChars="700"/>
        <w:rPr>
          <w:rFonts w:hint="eastAsia" w:ascii="宋体" w:hAnsi="宋体" w:eastAsia="宋体" w:cs="宋体"/>
          <w:color w:val="000000"/>
          <w:sz w:val="24"/>
          <w:szCs w:val="24"/>
        </w:rPr>
      </w:pPr>
    </w:p>
    <w:p w14:paraId="3F7EA565">
      <w:pPr>
        <w:spacing w:line="360" w:lineRule="auto"/>
        <w:ind w:firstLine="1680" w:firstLineChars="700"/>
        <w:rPr>
          <w:rFonts w:hint="eastAsia" w:ascii="宋体" w:hAnsi="宋体" w:eastAsia="宋体" w:cs="宋体"/>
          <w:color w:val="000000"/>
          <w:sz w:val="24"/>
          <w:szCs w:val="24"/>
        </w:rPr>
      </w:pPr>
    </w:p>
    <w:p w14:paraId="227EBC0D">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65CDC4B6">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724F3630">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5141E56F">
      <w:pPr>
        <w:pStyle w:val="2"/>
        <w:ind w:firstLine="403" w:firstLineChars="192"/>
        <w:jc w:val="center"/>
        <w:rPr>
          <w:rFonts w:ascii="宋体" w:hAnsi="宋体" w:eastAsia="宋体" w:cs="宋体"/>
          <w:color w:val="000000"/>
          <w:szCs w:val="21"/>
        </w:rPr>
      </w:pPr>
    </w:p>
    <w:p w14:paraId="570A14CA">
      <w:pPr>
        <w:pStyle w:val="4"/>
        <w:rPr>
          <w:rFonts w:ascii="宋体" w:hAnsi="宋体" w:eastAsia="宋体" w:cs="宋体"/>
          <w:color w:val="000000"/>
          <w:szCs w:val="21"/>
        </w:rPr>
      </w:pPr>
    </w:p>
    <w:p w14:paraId="58E8A16F">
      <w:pPr>
        <w:rPr>
          <w:rFonts w:ascii="宋体" w:hAnsi="宋体" w:eastAsia="宋体" w:cs="宋体"/>
          <w:color w:val="000000"/>
          <w:szCs w:val="21"/>
        </w:rPr>
      </w:pPr>
    </w:p>
    <w:p w14:paraId="4F6A26C1">
      <w:pPr>
        <w:pStyle w:val="2"/>
        <w:rPr>
          <w:rFonts w:ascii="宋体" w:hAnsi="宋体" w:eastAsia="宋体" w:cs="宋体"/>
          <w:color w:val="000000"/>
          <w:szCs w:val="21"/>
        </w:rPr>
      </w:pPr>
    </w:p>
    <w:p w14:paraId="3282B7DE">
      <w:pPr>
        <w:pStyle w:val="2"/>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r>
        <w:rPr>
          <w:rFonts w:hint="eastAsia" w:ascii="宋体" w:hAnsi="宋体" w:eastAsia="宋体" w:cs="宋体"/>
          <w:b/>
          <w:bCs/>
          <w:color w:val="000000"/>
          <w:sz w:val="24"/>
          <w:szCs w:val="24"/>
        </w:rPr>
        <w:br w:type="textWrapping"/>
      </w:r>
    </w:p>
    <w:tbl>
      <w:tblPr>
        <w:tblStyle w:val="23"/>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14:paraId="09F4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14:paraId="66625074">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14:paraId="39698D0F">
            <w:pPr>
              <w:ind w:firstLine="240" w:firstLineChars="100"/>
              <w:rPr>
                <w:rFonts w:ascii="宋体" w:hAnsi="宋体" w:eastAsia="宋体" w:cs="宋体"/>
                <w:sz w:val="24"/>
                <w:szCs w:val="24"/>
              </w:rPr>
            </w:pPr>
            <w:r>
              <w:rPr>
                <w:rFonts w:hint="eastAsia" w:ascii="宋体" w:hAnsi="宋体" w:eastAsia="宋体" w:cs="宋体"/>
                <w:sz w:val="24"/>
                <w:szCs w:val="24"/>
                <w:lang w:eastAsia="zh-CN"/>
              </w:rPr>
              <w:t>服务内容</w:t>
            </w:r>
          </w:p>
        </w:tc>
        <w:tc>
          <w:tcPr>
            <w:tcW w:w="3782" w:type="dxa"/>
            <w:gridSpan w:val="2"/>
            <w:tcBorders>
              <w:top w:val="single" w:color="auto" w:sz="4" w:space="0"/>
              <w:left w:val="single" w:color="auto" w:sz="4" w:space="0"/>
              <w:bottom w:val="single" w:color="auto" w:sz="4" w:space="0"/>
              <w:right w:val="single" w:color="auto" w:sz="4" w:space="0"/>
            </w:tcBorders>
            <w:vAlign w:val="center"/>
          </w:tcPr>
          <w:p w14:paraId="37673551">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14:paraId="22C9921C">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14:paraId="4F40FFAB">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14:paraId="12EEA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14:paraId="3683D935">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14:paraId="270D2875">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14:paraId="2E9D1A77">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磋商</w:t>
            </w:r>
            <w:r>
              <w:rPr>
                <w:rFonts w:hint="eastAsia" w:ascii="宋体" w:hAnsi="宋体" w:eastAsia="宋体" w:cs="宋体"/>
                <w:sz w:val="24"/>
                <w:szCs w:val="24"/>
              </w:rPr>
              <w:t>文件要求</w:t>
            </w:r>
          </w:p>
        </w:tc>
        <w:tc>
          <w:tcPr>
            <w:tcW w:w="1891" w:type="dxa"/>
            <w:tcBorders>
              <w:top w:val="single" w:color="auto" w:sz="4" w:space="0"/>
              <w:left w:val="single" w:color="auto" w:sz="4" w:space="0"/>
              <w:bottom w:val="single" w:color="auto" w:sz="4" w:space="0"/>
              <w:right w:val="single" w:color="auto" w:sz="4" w:space="0"/>
            </w:tcBorders>
            <w:vAlign w:val="center"/>
          </w:tcPr>
          <w:p w14:paraId="3FFF2A92">
            <w:pPr>
              <w:ind w:firstLine="0" w:firstLineChars="0"/>
              <w:jc w:val="center"/>
              <w:rPr>
                <w:rFonts w:ascii="宋体" w:hAnsi="宋体" w:eastAsia="宋体" w:cs="宋体"/>
                <w:sz w:val="24"/>
                <w:szCs w:val="24"/>
              </w:rPr>
            </w:pPr>
            <w:r>
              <w:rPr>
                <w:rFonts w:hint="eastAsia" w:ascii="宋体" w:hAnsi="宋体" w:eastAsia="宋体" w:cs="宋体"/>
                <w:sz w:val="24"/>
                <w:szCs w:val="24"/>
                <w:lang w:eastAsia="zh-CN"/>
              </w:rPr>
              <w:t>响应</w:t>
            </w:r>
            <w:r>
              <w:rPr>
                <w:rFonts w:hint="eastAsia" w:ascii="宋体" w:hAnsi="宋体" w:eastAsia="宋体" w:cs="宋体"/>
                <w:sz w:val="24"/>
                <w:szCs w:val="24"/>
              </w:rPr>
              <w:t>文件响应</w:t>
            </w:r>
          </w:p>
        </w:tc>
        <w:tc>
          <w:tcPr>
            <w:tcW w:w="1333" w:type="dxa"/>
            <w:vMerge w:val="continue"/>
            <w:tcBorders>
              <w:left w:val="single" w:color="auto" w:sz="4" w:space="0"/>
              <w:bottom w:val="single" w:color="auto" w:sz="4" w:space="0"/>
              <w:right w:val="single" w:color="auto" w:sz="4" w:space="0"/>
            </w:tcBorders>
            <w:vAlign w:val="center"/>
          </w:tcPr>
          <w:p w14:paraId="299C9C0B">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14:paraId="08B4AF3C">
            <w:pPr>
              <w:ind w:firstLine="480"/>
              <w:jc w:val="center"/>
              <w:rPr>
                <w:rFonts w:ascii="宋体" w:hAnsi="宋体" w:eastAsia="宋体" w:cs="宋体"/>
                <w:sz w:val="24"/>
                <w:szCs w:val="24"/>
              </w:rPr>
            </w:pPr>
          </w:p>
        </w:tc>
      </w:tr>
      <w:tr w14:paraId="026ADC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EC8A84A">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14:paraId="75C88965">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736ADF6">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4819768">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7A12D6B">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122D938">
            <w:pPr>
              <w:ind w:firstLine="480"/>
              <w:rPr>
                <w:rFonts w:ascii="宋体" w:hAnsi="宋体" w:eastAsia="宋体" w:cs="宋体"/>
                <w:sz w:val="24"/>
                <w:szCs w:val="24"/>
              </w:rPr>
            </w:pPr>
          </w:p>
        </w:tc>
      </w:tr>
      <w:tr w14:paraId="7A87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1BCA11">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14:paraId="6A9D75BE">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912C0B2">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3ED2490">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CD224DC">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017269BD">
            <w:pPr>
              <w:ind w:firstLine="480"/>
              <w:rPr>
                <w:rFonts w:ascii="宋体" w:hAnsi="宋体" w:eastAsia="宋体" w:cs="宋体"/>
                <w:sz w:val="24"/>
                <w:szCs w:val="24"/>
              </w:rPr>
            </w:pPr>
          </w:p>
        </w:tc>
      </w:tr>
      <w:tr w14:paraId="12F2F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6E7CA9B">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14:paraId="2F95634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617B501B">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3394112">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9813292">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3D4A5FB3">
            <w:pPr>
              <w:ind w:firstLine="480"/>
              <w:rPr>
                <w:rFonts w:ascii="宋体" w:hAnsi="宋体" w:eastAsia="宋体" w:cs="宋体"/>
                <w:sz w:val="24"/>
                <w:szCs w:val="24"/>
              </w:rPr>
            </w:pPr>
          </w:p>
        </w:tc>
      </w:tr>
      <w:tr w14:paraId="5D879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484BB92E">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14:paraId="338906D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0C0DB0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167AB288">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5B2E2766">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5F7EE160">
            <w:pPr>
              <w:ind w:firstLine="480"/>
              <w:rPr>
                <w:rFonts w:ascii="宋体" w:hAnsi="宋体" w:eastAsia="宋体" w:cs="宋体"/>
                <w:sz w:val="24"/>
                <w:szCs w:val="24"/>
              </w:rPr>
            </w:pPr>
          </w:p>
        </w:tc>
      </w:tr>
      <w:tr w14:paraId="0C13D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DDC6E3D">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14:paraId="1B74944D">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0D286AC2">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799FC001">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237911FC">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751F758C">
            <w:pPr>
              <w:ind w:firstLine="480"/>
              <w:rPr>
                <w:rFonts w:ascii="宋体" w:hAnsi="宋体" w:eastAsia="宋体" w:cs="宋体"/>
                <w:sz w:val="24"/>
                <w:szCs w:val="24"/>
              </w:rPr>
            </w:pPr>
          </w:p>
        </w:tc>
      </w:tr>
      <w:tr w14:paraId="3C0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14:paraId="3BF50AA5">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14:paraId="07186377">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5A2241F">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5EEAFDFD">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9277C50">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6AFBFD5E">
            <w:pPr>
              <w:ind w:firstLine="480"/>
              <w:rPr>
                <w:rFonts w:ascii="宋体" w:hAnsi="宋体" w:eastAsia="宋体" w:cs="宋体"/>
                <w:sz w:val="24"/>
                <w:szCs w:val="24"/>
              </w:rPr>
            </w:pPr>
          </w:p>
        </w:tc>
      </w:tr>
      <w:tr w14:paraId="53F34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14:paraId="45499DEC">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14:paraId="2F8EC9D3">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4E349901">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14:paraId="3A6212B3">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14:paraId="726E0977">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14:paraId="28870312">
            <w:pPr>
              <w:ind w:firstLine="480"/>
              <w:rPr>
                <w:rFonts w:ascii="宋体" w:hAnsi="宋体" w:eastAsia="宋体" w:cs="宋体"/>
                <w:sz w:val="24"/>
                <w:szCs w:val="24"/>
              </w:rPr>
            </w:pPr>
          </w:p>
        </w:tc>
      </w:tr>
    </w:tbl>
    <w:p w14:paraId="74B49A1F">
      <w:pPr>
        <w:tabs>
          <w:tab w:val="left" w:pos="926"/>
          <w:tab w:val="left" w:pos="4335"/>
          <w:tab w:val="left" w:pos="7227"/>
        </w:tabs>
        <w:spacing w:line="400" w:lineRule="exact"/>
        <w:ind w:firstLine="420"/>
        <w:jc w:val="left"/>
        <w:rPr>
          <w:rFonts w:ascii="宋体" w:hAnsi="宋体" w:eastAsia="宋体" w:cs="宋体"/>
          <w:color w:val="000000"/>
          <w:szCs w:val="21"/>
        </w:rPr>
      </w:pPr>
    </w:p>
    <w:p w14:paraId="21D1381B">
      <w:pPr>
        <w:spacing w:line="360" w:lineRule="auto"/>
        <w:ind w:firstLine="0" w:firstLineChars="0"/>
        <w:rPr>
          <w:rFonts w:ascii="宋体" w:hAnsi="宋体" w:cs="宋体"/>
          <w:sz w:val="24"/>
          <w:szCs w:val="24"/>
        </w:rPr>
      </w:pPr>
      <w:r>
        <w:rPr>
          <w:rFonts w:hint="eastAsia" w:ascii="宋体" w:hAnsi="宋体" w:cs="宋体"/>
          <w:sz w:val="24"/>
          <w:szCs w:val="24"/>
        </w:rPr>
        <w:t>注：</w:t>
      </w:r>
    </w:p>
    <w:p w14:paraId="4B3676BA">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投标供应商应按招标文件中的采购需求如实填写</w:t>
      </w:r>
      <w:r>
        <w:rPr>
          <w:rFonts w:hint="eastAsia" w:ascii="宋体" w:hAnsi="宋体" w:cs="宋体"/>
          <w:sz w:val="24"/>
          <w:szCs w:val="24"/>
          <w:highlight w:val="none"/>
          <w:lang w:eastAsia="zh-CN"/>
        </w:rPr>
        <w:t>本表</w:t>
      </w:r>
      <w:r>
        <w:rPr>
          <w:rFonts w:hint="eastAsia" w:ascii="宋体" w:hAnsi="宋体" w:cs="宋体"/>
          <w:sz w:val="24"/>
          <w:szCs w:val="24"/>
          <w:highlight w:val="none"/>
        </w:rPr>
        <w:t>，“偏</w:t>
      </w:r>
      <w:r>
        <w:rPr>
          <w:rFonts w:hint="eastAsia" w:ascii="宋体" w:hAnsi="宋体" w:cs="宋体"/>
          <w:sz w:val="24"/>
          <w:szCs w:val="24"/>
          <w:highlight w:val="none"/>
          <w:lang w:eastAsia="zh-CN"/>
        </w:rPr>
        <w:t>差</w:t>
      </w:r>
      <w:r>
        <w:rPr>
          <w:rFonts w:hint="eastAsia" w:ascii="宋体" w:hAnsi="宋体" w:cs="宋体"/>
          <w:sz w:val="24"/>
          <w:szCs w:val="24"/>
          <w:highlight w:val="none"/>
        </w:rPr>
        <w:t>描述”栏中，若偏</w:t>
      </w:r>
      <w:r>
        <w:rPr>
          <w:rFonts w:hint="eastAsia" w:ascii="宋体" w:hAnsi="宋体" w:cs="宋体"/>
          <w:sz w:val="24"/>
          <w:szCs w:val="24"/>
          <w:highlight w:val="none"/>
          <w:lang w:eastAsia="zh-CN"/>
        </w:rPr>
        <w:t>差</w:t>
      </w:r>
      <w:r>
        <w:rPr>
          <w:rFonts w:hint="eastAsia" w:ascii="宋体" w:hAnsi="宋体" w:cs="宋体"/>
          <w:sz w:val="24"/>
          <w:szCs w:val="24"/>
          <w:highlight w:val="none"/>
        </w:rPr>
        <w:t>，详细注明所</w:t>
      </w:r>
      <w:r>
        <w:rPr>
          <w:rFonts w:hint="eastAsia" w:ascii="宋体" w:hAnsi="宋体" w:cs="宋体"/>
          <w:sz w:val="24"/>
          <w:szCs w:val="24"/>
          <w:highlight w:val="none"/>
          <w:lang w:eastAsia="zh-CN"/>
        </w:rPr>
        <w:t>响应内容</w:t>
      </w:r>
      <w:r>
        <w:rPr>
          <w:rFonts w:hint="eastAsia" w:ascii="宋体" w:hAnsi="宋体" w:cs="宋体"/>
          <w:sz w:val="24"/>
          <w:szCs w:val="24"/>
          <w:highlight w:val="none"/>
        </w:rPr>
        <w:t>与</w:t>
      </w:r>
      <w:r>
        <w:rPr>
          <w:rFonts w:hint="eastAsia" w:ascii="宋体" w:hAnsi="宋体" w:cs="宋体"/>
          <w:sz w:val="24"/>
          <w:szCs w:val="24"/>
          <w:highlight w:val="none"/>
          <w:lang w:eastAsia="zh-CN"/>
        </w:rPr>
        <w:t>招标</w:t>
      </w:r>
      <w:r>
        <w:rPr>
          <w:rFonts w:hint="eastAsia" w:ascii="宋体" w:hAnsi="宋体" w:cs="宋体"/>
          <w:sz w:val="24"/>
          <w:szCs w:val="24"/>
          <w:highlight w:val="none"/>
        </w:rPr>
        <w:t>文件要求有何不同，若不偏</w:t>
      </w:r>
      <w:r>
        <w:rPr>
          <w:rFonts w:hint="eastAsia" w:ascii="宋体" w:hAnsi="宋体" w:cs="宋体"/>
          <w:sz w:val="24"/>
          <w:szCs w:val="24"/>
          <w:highlight w:val="none"/>
          <w:lang w:eastAsia="zh-CN"/>
        </w:rPr>
        <w:t>差</w:t>
      </w:r>
      <w:r>
        <w:rPr>
          <w:rFonts w:hint="eastAsia" w:ascii="宋体" w:hAnsi="宋体" w:cs="宋体"/>
          <w:sz w:val="24"/>
          <w:szCs w:val="24"/>
          <w:highlight w:val="none"/>
        </w:rPr>
        <w:t>，须注明“响应招标文件要求”；并在“</w:t>
      </w:r>
      <w:r>
        <w:rPr>
          <w:rFonts w:hint="eastAsia" w:ascii="宋体" w:hAnsi="宋体" w:cs="宋体"/>
          <w:sz w:val="24"/>
          <w:szCs w:val="24"/>
          <w:highlight w:val="none"/>
          <w:lang w:eastAsia="zh-CN"/>
        </w:rPr>
        <w:t>偏差</w:t>
      </w:r>
      <w:r>
        <w:rPr>
          <w:rFonts w:hint="eastAsia" w:ascii="宋体" w:hAnsi="宋体" w:cs="宋体"/>
          <w:sz w:val="24"/>
          <w:szCs w:val="24"/>
          <w:highlight w:val="none"/>
        </w:rPr>
        <w:t>结论”栏中描述为“正偏</w:t>
      </w:r>
      <w:r>
        <w:rPr>
          <w:rFonts w:hint="eastAsia" w:ascii="宋体" w:hAnsi="宋体" w:cs="宋体"/>
          <w:sz w:val="24"/>
          <w:szCs w:val="24"/>
          <w:highlight w:val="none"/>
          <w:lang w:eastAsia="zh-CN"/>
        </w:rPr>
        <w:t>差</w:t>
      </w:r>
      <w:r>
        <w:rPr>
          <w:rFonts w:hint="eastAsia" w:ascii="宋体" w:hAnsi="宋体" w:cs="宋体"/>
          <w:sz w:val="24"/>
          <w:szCs w:val="24"/>
          <w:highlight w:val="none"/>
        </w:rPr>
        <w:t>或负偏</w:t>
      </w:r>
      <w:r>
        <w:rPr>
          <w:rFonts w:hint="eastAsia" w:ascii="宋体" w:hAnsi="宋体" w:cs="宋体"/>
          <w:sz w:val="24"/>
          <w:szCs w:val="24"/>
          <w:highlight w:val="none"/>
          <w:lang w:eastAsia="zh-CN"/>
        </w:rPr>
        <w:t>差</w:t>
      </w:r>
      <w:r>
        <w:rPr>
          <w:rFonts w:hint="eastAsia" w:ascii="宋体" w:hAnsi="宋体" w:cs="宋体"/>
          <w:sz w:val="24"/>
          <w:szCs w:val="24"/>
          <w:highlight w:val="none"/>
        </w:rPr>
        <w:t>或无偏</w:t>
      </w:r>
      <w:r>
        <w:rPr>
          <w:rFonts w:hint="eastAsia" w:ascii="宋体" w:hAnsi="宋体" w:cs="宋体"/>
          <w:sz w:val="24"/>
          <w:szCs w:val="24"/>
          <w:highlight w:val="none"/>
          <w:lang w:eastAsia="zh-CN"/>
        </w:rPr>
        <w:t>差</w:t>
      </w:r>
      <w:r>
        <w:rPr>
          <w:rFonts w:hint="eastAsia" w:ascii="宋体" w:hAnsi="宋体" w:cs="宋体"/>
          <w:sz w:val="24"/>
          <w:szCs w:val="24"/>
          <w:highlight w:val="none"/>
        </w:rPr>
        <w:t>”。</w:t>
      </w:r>
    </w:p>
    <w:p w14:paraId="7D96B985">
      <w:pPr>
        <w:spacing w:line="360" w:lineRule="auto"/>
        <w:ind w:firstLine="241" w:firstLineChars="100"/>
        <w:rPr>
          <w:rFonts w:hint="eastAsia" w:eastAsia="宋体" w:cs="宋体"/>
          <w:b/>
          <w:color w:val="000000"/>
          <w:sz w:val="24"/>
          <w:szCs w:val="24"/>
        </w:rPr>
      </w:pPr>
    </w:p>
    <w:p w14:paraId="35DA162A">
      <w:pPr>
        <w:spacing w:line="360" w:lineRule="auto"/>
        <w:ind w:firstLine="240" w:firstLineChars="100"/>
        <w:rPr>
          <w:rFonts w:ascii="宋体" w:hAnsi="宋体" w:eastAsia="宋体" w:cs="宋体"/>
          <w:b w:val="0"/>
          <w:bCs/>
          <w:color w:val="000000"/>
          <w:sz w:val="24"/>
          <w:szCs w:val="24"/>
        </w:rPr>
      </w:pP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保证：</w:t>
      </w:r>
    </w:p>
    <w:p w14:paraId="00996478">
      <w:pPr>
        <w:spacing w:line="360" w:lineRule="auto"/>
        <w:ind w:firstLine="482"/>
        <w:rPr>
          <w:rFonts w:eastAsia="宋体" w:cs="宋体"/>
          <w:b w:val="0"/>
          <w:bCs/>
          <w:color w:val="000000"/>
          <w:sz w:val="24"/>
          <w:szCs w:val="24"/>
        </w:rPr>
      </w:pPr>
      <w:r>
        <w:rPr>
          <w:rFonts w:hint="eastAsia" w:ascii="宋体" w:hAnsi="宋体" w:eastAsia="宋体" w:cs="宋体"/>
          <w:b w:val="0"/>
          <w:bCs/>
          <w:color w:val="000000"/>
          <w:sz w:val="24"/>
          <w:szCs w:val="24"/>
        </w:rPr>
        <w:t>除商务和技术偏差表列出的偏差外，</w:t>
      </w:r>
      <w:r>
        <w:rPr>
          <w:rFonts w:hint="eastAsia" w:eastAsia="宋体" w:cs="宋体"/>
          <w:b w:val="0"/>
          <w:bCs/>
          <w:color w:val="000000"/>
          <w:sz w:val="24"/>
          <w:szCs w:val="24"/>
        </w:rPr>
        <w:t>投标供应商</w:t>
      </w:r>
      <w:r>
        <w:rPr>
          <w:rFonts w:hint="eastAsia" w:ascii="宋体" w:hAnsi="宋体" w:eastAsia="宋体" w:cs="宋体"/>
          <w:b w:val="0"/>
          <w:bCs/>
          <w:color w:val="000000"/>
          <w:sz w:val="24"/>
          <w:szCs w:val="24"/>
        </w:rPr>
        <w:t>响应</w:t>
      </w:r>
      <w:r>
        <w:rPr>
          <w:rFonts w:hint="eastAsia" w:ascii="宋体" w:hAnsi="宋体" w:eastAsia="宋体" w:cs="宋体"/>
          <w:b w:val="0"/>
          <w:bCs/>
          <w:color w:val="000000"/>
          <w:sz w:val="24"/>
          <w:szCs w:val="24"/>
          <w:lang w:eastAsia="zh-CN"/>
        </w:rPr>
        <w:t>磋商</w:t>
      </w:r>
      <w:r>
        <w:rPr>
          <w:rFonts w:hint="eastAsia" w:ascii="宋体" w:hAnsi="宋体" w:eastAsia="宋体" w:cs="宋体"/>
          <w:b w:val="0"/>
          <w:bCs/>
          <w:color w:val="000000"/>
          <w:sz w:val="24"/>
          <w:szCs w:val="24"/>
        </w:rPr>
        <w:t>文件的全部要求</w:t>
      </w:r>
      <w:r>
        <w:rPr>
          <w:rFonts w:hint="eastAsia" w:eastAsia="宋体" w:cs="宋体"/>
          <w:b w:val="0"/>
          <w:bCs/>
          <w:color w:val="000000"/>
          <w:sz w:val="24"/>
          <w:szCs w:val="24"/>
        </w:rPr>
        <w:t>。投标供应商须在投标文件中提供相关承诺，格式自拟，否则投标将被否决。</w:t>
      </w:r>
    </w:p>
    <w:p w14:paraId="641843AC">
      <w:pPr>
        <w:pStyle w:val="33"/>
        <w:ind w:firstLine="420"/>
      </w:pPr>
    </w:p>
    <w:p w14:paraId="272A7AB2">
      <w:pPr>
        <w:pStyle w:val="33"/>
        <w:ind w:firstLine="420"/>
      </w:pPr>
    </w:p>
    <w:p w14:paraId="7E9DE2C5">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24EB9D92">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0CFF50C6">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C0F0181">
      <w:pPr>
        <w:pStyle w:val="2"/>
        <w:spacing w:line="400" w:lineRule="exact"/>
        <w:ind w:firstLine="281"/>
        <w:jc w:val="center"/>
        <w:outlineLvl w:val="1"/>
        <w:rPr>
          <w:rFonts w:ascii="宋体" w:hAnsi="宋体" w:eastAsia="宋体" w:cs="宋体"/>
          <w:b/>
          <w:color w:val="000000"/>
          <w:sz w:val="28"/>
          <w:szCs w:val="28"/>
        </w:rPr>
      </w:pPr>
      <w:r>
        <w:rPr>
          <w:color w:val="auto"/>
        </w:rPr>
        <w:br w:type="page"/>
      </w:r>
      <w:bookmarkStart w:id="1447" w:name="_Toc28051"/>
      <w:bookmarkStart w:id="1448" w:name="_Toc30207"/>
      <w:bookmarkStart w:id="1449" w:name="_Toc11835"/>
      <w:r>
        <w:rPr>
          <w:rFonts w:hint="eastAsia" w:ascii="宋体" w:hAnsi="宋体" w:eastAsia="宋体" w:cs="宋体"/>
          <w:b/>
          <w:color w:val="000000"/>
          <w:sz w:val="28"/>
          <w:szCs w:val="28"/>
          <w:lang w:eastAsia="zh-CN"/>
        </w:rPr>
        <w:t>五</w:t>
      </w:r>
      <w:r>
        <w:rPr>
          <w:rFonts w:hint="eastAsia" w:ascii="宋体" w:hAnsi="宋体" w:eastAsia="宋体" w:cs="宋体"/>
          <w:b/>
          <w:color w:val="000000"/>
          <w:sz w:val="28"/>
          <w:szCs w:val="28"/>
        </w:rPr>
        <w:t>、 资格审查资料</w:t>
      </w:r>
      <w:bookmarkEnd w:id="1447"/>
      <w:bookmarkEnd w:id="1448"/>
    </w:p>
    <w:p w14:paraId="2E490094">
      <w:pPr>
        <w:pStyle w:val="2"/>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3"/>
        <w:tblW w:w="929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1025"/>
        <w:gridCol w:w="1234"/>
        <w:gridCol w:w="1412"/>
        <w:gridCol w:w="1302"/>
        <w:gridCol w:w="855"/>
        <w:gridCol w:w="1365"/>
      </w:tblGrid>
      <w:tr w14:paraId="447C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106" w:type="dxa"/>
          </w:tcPr>
          <w:p w14:paraId="569DEBEC">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193" w:type="dxa"/>
            <w:gridSpan w:val="6"/>
          </w:tcPr>
          <w:p w14:paraId="3932773A">
            <w:pPr>
              <w:spacing w:line="400" w:lineRule="exact"/>
              <w:ind w:firstLine="480"/>
              <w:rPr>
                <w:rFonts w:ascii="宋体" w:hAnsi="宋体" w:eastAsia="宋体" w:cs="宋体"/>
                <w:color w:val="000000"/>
                <w:sz w:val="24"/>
                <w:szCs w:val="24"/>
              </w:rPr>
            </w:pPr>
          </w:p>
        </w:tc>
      </w:tr>
      <w:tr w14:paraId="5F5E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5E248D72">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71" w:type="dxa"/>
            <w:gridSpan w:val="3"/>
          </w:tcPr>
          <w:p w14:paraId="5DF808DD">
            <w:pPr>
              <w:spacing w:line="400" w:lineRule="exact"/>
              <w:ind w:firstLine="480"/>
              <w:jc w:val="center"/>
              <w:rPr>
                <w:rFonts w:ascii="宋体" w:hAnsi="宋体" w:eastAsia="宋体" w:cs="宋体"/>
                <w:color w:val="000000"/>
                <w:sz w:val="24"/>
                <w:szCs w:val="24"/>
              </w:rPr>
            </w:pPr>
          </w:p>
        </w:tc>
        <w:tc>
          <w:tcPr>
            <w:tcW w:w="1302" w:type="dxa"/>
          </w:tcPr>
          <w:p w14:paraId="78C9A09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220" w:type="dxa"/>
            <w:gridSpan w:val="2"/>
          </w:tcPr>
          <w:p w14:paraId="47EAED77">
            <w:pPr>
              <w:spacing w:line="400" w:lineRule="exact"/>
              <w:ind w:firstLine="480"/>
              <w:jc w:val="center"/>
              <w:rPr>
                <w:rFonts w:ascii="宋体" w:hAnsi="宋体" w:eastAsia="宋体" w:cs="宋体"/>
                <w:color w:val="000000"/>
                <w:sz w:val="24"/>
                <w:szCs w:val="24"/>
              </w:rPr>
            </w:pPr>
          </w:p>
        </w:tc>
      </w:tr>
      <w:tr w14:paraId="5EB4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06" w:type="dxa"/>
          </w:tcPr>
          <w:p w14:paraId="6E2CC6D6">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71" w:type="dxa"/>
            <w:gridSpan w:val="3"/>
          </w:tcPr>
          <w:p w14:paraId="37DB0BEA">
            <w:pPr>
              <w:spacing w:line="400" w:lineRule="exact"/>
              <w:ind w:firstLine="480"/>
              <w:jc w:val="center"/>
              <w:rPr>
                <w:rFonts w:ascii="宋体" w:hAnsi="宋体" w:eastAsia="宋体" w:cs="宋体"/>
                <w:color w:val="000000"/>
                <w:sz w:val="24"/>
                <w:szCs w:val="24"/>
              </w:rPr>
            </w:pPr>
          </w:p>
        </w:tc>
        <w:tc>
          <w:tcPr>
            <w:tcW w:w="1302" w:type="dxa"/>
          </w:tcPr>
          <w:p w14:paraId="193DC651">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220" w:type="dxa"/>
            <w:gridSpan w:val="2"/>
          </w:tcPr>
          <w:p w14:paraId="00C187B1">
            <w:pPr>
              <w:spacing w:line="400" w:lineRule="exact"/>
              <w:ind w:firstLine="480"/>
              <w:jc w:val="center"/>
              <w:rPr>
                <w:rFonts w:ascii="宋体" w:hAnsi="宋体" w:eastAsia="宋体" w:cs="宋体"/>
                <w:color w:val="000000"/>
                <w:sz w:val="24"/>
                <w:szCs w:val="24"/>
              </w:rPr>
            </w:pPr>
          </w:p>
        </w:tc>
      </w:tr>
      <w:tr w14:paraId="2B0B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06" w:type="dxa"/>
            <w:vMerge w:val="restart"/>
            <w:vAlign w:val="center"/>
          </w:tcPr>
          <w:p w14:paraId="7BA9BFB1">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25" w:type="dxa"/>
          </w:tcPr>
          <w:p w14:paraId="2754DFFB">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646" w:type="dxa"/>
            <w:gridSpan w:val="2"/>
          </w:tcPr>
          <w:p w14:paraId="2A14F67F">
            <w:pPr>
              <w:spacing w:line="400" w:lineRule="exact"/>
              <w:ind w:firstLine="480"/>
              <w:jc w:val="center"/>
              <w:rPr>
                <w:rFonts w:ascii="宋体" w:hAnsi="宋体" w:eastAsia="宋体" w:cs="宋体"/>
                <w:color w:val="000000"/>
                <w:sz w:val="24"/>
                <w:szCs w:val="24"/>
              </w:rPr>
            </w:pPr>
          </w:p>
        </w:tc>
        <w:tc>
          <w:tcPr>
            <w:tcW w:w="1302" w:type="dxa"/>
          </w:tcPr>
          <w:p w14:paraId="6C1E393D">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220" w:type="dxa"/>
            <w:gridSpan w:val="2"/>
          </w:tcPr>
          <w:p w14:paraId="4EB5F486">
            <w:pPr>
              <w:spacing w:line="400" w:lineRule="exact"/>
              <w:ind w:firstLine="480"/>
              <w:jc w:val="center"/>
              <w:rPr>
                <w:rFonts w:ascii="宋体" w:hAnsi="宋体" w:eastAsia="宋体" w:cs="宋体"/>
                <w:color w:val="000000"/>
                <w:sz w:val="24"/>
                <w:szCs w:val="24"/>
              </w:rPr>
            </w:pPr>
          </w:p>
        </w:tc>
      </w:tr>
      <w:tr w14:paraId="7244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06" w:type="dxa"/>
            <w:vMerge w:val="continue"/>
          </w:tcPr>
          <w:p w14:paraId="313DBD61">
            <w:pPr>
              <w:spacing w:line="400" w:lineRule="exact"/>
              <w:ind w:firstLine="480"/>
              <w:rPr>
                <w:rFonts w:ascii="宋体" w:hAnsi="宋体" w:eastAsia="宋体" w:cs="宋体"/>
                <w:color w:val="000000"/>
                <w:sz w:val="24"/>
                <w:szCs w:val="24"/>
              </w:rPr>
            </w:pPr>
          </w:p>
        </w:tc>
        <w:tc>
          <w:tcPr>
            <w:tcW w:w="1025" w:type="dxa"/>
          </w:tcPr>
          <w:p w14:paraId="6ED8608F">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646" w:type="dxa"/>
            <w:gridSpan w:val="2"/>
          </w:tcPr>
          <w:p w14:paraId="32743C08">
            <w:pPr>
              <w:spacing w:line="400" w:lineRule="exact"/>
              <w:ind w:firstLine="480"/>
              <w:jc w:val="center"/>
              <w:rPr>
                <w:rFonts w:ascii="宋体" w:hAnsi="宋体" w:eastAsia="宋体" w:cs="宋体"/>
                <w:color w:val="000000"/>
                <w:sz w:val="24"/>
                <w:szCs w:val="24"/>
              </w:rPr>
            </w:pPr>
          </w:p>
        </w:tc>
        <w:tc>
          <w:tcPr>
            <w:tcW w:w="1302" w:type="dxa"/>
          </w:tcPr>
          <w:p w14:paraId="2B385073">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220" w:type="dxa"/>
            <w:gridSpan w:val="2"/>
          </w:tcPr>
          <w:p w14:paraId="12B2FBA4">
            <w:pPr>
              <w:spacing w:line="400" w:lineRule="exact"/>
              <w:ind w:firstLine="480"/>
              <w:jc w:val="center"/>
              <w:rPr>
                <w:rFonts w:ascii="宋体" w:hAnsi="宋体" w:eastAsia="宋体" w:cs="宋体"/>
                <w:color w:val="000000"/>
                <w:sz w:val="24"/>
                <w:szCs w:val="24"/>
              </w:rPr>
            </w:pPr>
          </w:p>
        </w:tc>
      </w:tr>
      <w:tr w14:paraId="7028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06" w:type="dxa"/>
          </w:tcPr>
          <w:p w14:paraId="59BF7743">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25" w:type="dxa"/>
          </w:tcPr>
          <w:p w14:paraId="7E8E269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34" w:type="dxa"/>
          </w:tcPr>
          <w:p w14:paraId="22DDFD47">
            <w:pPr>
              <w:spacing w:line="400" w:lineRule="exact"/>
              <w:ind w:firstLine="480"/>
              <w:jc w:val="center"/>
              <w:rPr>
                <w:rFonts w:ascii="宋体" w:hAnsi="宋体" w:eastAsia="宋体" w:cs="宋体"/>
                <w:color w:val="000000"/>
                <w:sz w:val="24"/>
                <w:szCs w:val="24"/>
              </w:rPr>
            </w:pPr>
          </w:p>
        </w:tc>
        <w:tc>
          <w:tcPr>
            <w:tcW w:w="1412" w:type="dxa"/>
          </w:tcPr>
          <w:p w14:paraId="6F9B2E31">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302" w:type="dxa"/>
          </w:tcPr>
          <w:p w14:paraId="34D9A1C9">
            <w:pPr>
              <w:spacing w:line="400" w:lineRule="exact"/>
              <w:ind w:firstLine="480"/>
              <w:jc w:val="center"/>
              <w:rPr>
                <w:rFonts w:ascii="宋体" w:hAnsi="宋体" w:eastAsia="宋体" w:cs="宋体"/>
                <w:color w:val="000000"/>
                <w:sz w:val="24"/>
                <w:szCs w:val="24"/>
              </w:rPr>
            </w:pPr>
          </w:p>
        </w:tc>
        <w:tc>
          <w:tcPr>
            <w:tcW w:w="855" w:type="dxa"/>
          </w:tcPr>
          <w:p w14:paraId="0C979714">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65" w:type="dxa"/>
          </w:tcPr>
          <w:p w14:paraId="5094AD2F">
            <w:pPr>
              <w:spacing w:line="400" w:lineRule="exact"/>
              <w:ind w:firstLine="480"/>
              <w:rPr>
                <w:rFonts w:ascii="宋体" w:hAnsi="宋体" w:eastAsia="宋体" w:cs="宋体"/>
                <w:color w:val="000000"/>
                <w:sz w:val="24"/>
                <w:szCs w:val="24"/>
              </w:rPr>
            </w:pPr>
          </w:p>
        </w:tc>
      </w:tr>
      <w:tr w14:paraId="3925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6F27F4E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1983750E">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193" w:type="dxa"/>
            <w:gridSpan w:val="6"/>
          </w:tcPr>
          <w:p w14:paraId="6B5919F6">
            <w:pPr>
              <w:spacing w:line="400" w:lineRule="exact"/>
              <w:ind w:firstLine="480"/>
              <w:rPr>
                <w:rFonts w:ascii="宋体" w:hAnsi="宋体" w:eastAsia="宋体" w:cs="宋体"/>
                <w:color w:val="000000"/>
                <w:sz w:val="24"/>
                <w:szCs w:val="24"/>
              </w:rPr>
            </w:pPr>
          </w:p>
        </w:tc>
      </w:tr>
      <w:tr w14:paraId="11E9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06" w:type="dxa"/>
            <w:vAlign w:val="center"/>
          </w:tcPr>
          <w:p w14:paraId="2EDFFB90">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14:paraId="4BA165B5">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193" w:type="dxa"/>
            <w:gridSpan w:val="6"/>
          </w:tcPr>
          <w:p w14:paraId="0D2CF75B">
            <w:pPr>
              <w:spacing w:line="400" w:lineRule="exact"/>
              <w:ind w:firstLine="480"/>
              <w:rPr>
                <w:rFonts w:ascii="宋体" w:hAnsi="宋体" w:eastAsia="宋体" w:cs="宋体"/>
                <w:color w:val="000000"/>
                <w:sz w:val="24"/>
                <w:szCs w:val="24"/>
              </w:rPr>
            </w:pPr>
          </w:p>
        </w:tc>
      </w:tr>
      <w:tr w14:paraId="790A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2106" w:type="dxa"/>
          </w:tcPr>
          <w:p w14:paraId="051083AD">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193" w:type="dxa"/>
            <w:gridSpan w:val="6"/>
          </w:tcPr>
          <w:p w14:paraId="63B84DDA">
            <w:pPr>
              <w:spacing w:line="400" w:lineRule="exact"/>
              <w:ind w:firstLine="480"/>
              <w:rPr>
                <w:rFonts w:ascii="宋体" w:hAnsi="宋体" w:eastAsia="宋体" w:cs="宋体"/>
                <w:color w:val="000000"/>
                <w:sz w:val="24"/>
                <w:szCs w:val="24"/>
              </w:rPr>
            </w:pPr>
          </w:p>
        </w:tc>
      </w:tr>
      <w:tr w14:paraId="3966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408D0FBA">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w:t>
            </w:r>
          </w:p>
        </w:tc>
        <w:tc>
          <w:tcPr>
            <w:tcW w:w="7193" w:type="dxa"/>
            <w:gridSpan w:val="6"/>
          </w:tcPr>
          <w:p w14:paraId="1BF288A7">
            <w:pPr>
              <w:spacing w:line="400" w:lineRule="exact"/>
              <w:ind w:firstLine="480"/>
              <w:rPr>
                <w:rFonts w:ascii="宋体" w:hAnsi="宋体" w:eastAsia="宋体" w:cs="宋体"/>
                <w:color w:val="000000"/>
                <w:sz w:val="24"/>
                <w:szCs w:val="24"/>
              </w:rPr>
            </w:pPr>
          </w:p>
        </w:tc>
      </w:tr>
      <w:tr w14:paraId="1071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06" w:type="dxa"/>
            <w:vAlign w:val="center"/>
          </w:tcPr>
          <w:p w14:paraId="6ACE311F">
            <w:pPr>
              <w:spacing w:line="400" w:lineRule="exact"/>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c>
          <w:tcPr>
            <w:tcW w:w="7193" w:type="dxa"/>
            <w:gridSpan w:val="6"/>
          </w:tcPr>
          <w:p w14:paraId="0CF49790">
            <w:pPr>
              <w:spacing w:line="400" w:lineRule="exact"/>
              <w:ind w:firstLine="480"/>
              <w:rPr>
                <w:rFonts w:ascii="宋体" w:hAnsi="宋体" w:eastAsia="宋体" w:cs="宋体"/>
                <w:color w:val="000000"/>
                <w:sz w:val="24"/>
                <w:szCs w:val="24"/>
              </w:rPr>
            </w:pPr>
          </w:p>
        </w:tc>
      </w:tr>
    </w:tbl>
    <w:p w14:paraId="5FB99FBD">
      <w:pPr>
        <w:spacing w:line="400" w:lineRule="exact"/>
        <w:ind w:firstLine="420"/>
        <w:rPr>
          <w:rFonts w:ascii="宋体" w:hAnsi="宋体" w:eastAsia="宋体" w:cs="宋体"/>
          <w:color w:val="000000"/>
          <w:szCs w:val="21"/>
        </w:rPr>
      </w:pPr>
    </w:p>
    <w:p w14:paraId="0244D839">
      <w:pPr>
        <w:pStyle w:val="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w:t>
      </w:r>
      <w:r>
        <w:rPr>
          <w:rFonts w:hint="eastAsia" w:ascii="宋体" w:hAnsi="宋体" w:eastAsia="宋体" w:cs="宋体"/>
          <w:b w:val="0"/>
          <w:bCs w:val="0"/>
          <w:color w:val="000000"/>
          <w:sz w:val="24"/>
          <w:szCs w:val="24"/>
          <w:lang w:eastAsia="zh-CN"/>
        </w:rPr>
        <w:t>供应商</w:t>
      </w:r>
      <w:r>
        <w:rPr>
          <w:rFonts w:hint="eastAsia" w:ascii="宋体" w:hAnsi="宋体" w:eastAsia="宋体" w:cs="宋体"/>
          <w:b w:val="0"/>
          <w:bCs w:val="0"/>
          <w:color w:val="000000"/>
          <w:sz w:val="24"/>
          <w:szCs w:val="24"/>
        </w:rPr>
        <w:t>应根据</w:t>
      </w:r>
      <w:r>
        <w:rPr>
          <w:rFonts w:hint="eastAsia" w:ascii="宋体" w:hAnsi="宋体" w:eastAsia="宋体" w:cs="宋体"/>
          <w:b w:val="0"/>
          <w:bCs w:val="0"/>
          <w:color w:val="000000"/>
          <w:sz w:val="24"/>
          <w:szCs w:val="24"/>
          <w:lang w:eastAsia="zh-CN"/>
        </w:rPr>
        <w:t>投标供应商</w:t>
      </w:r>
      <w:r>
        <w:rPr>
          <w:rFonts w:hint="eastAsia" w:ascii="宋体" w:hAnsi="宋体" w:eastAsia="宋体" w:cs="宋体"/>
          <w:b w:val="0"/>
          <w:bCs w:val="0"/>
          <w:color w:val="000000"/>
          <w:sz w:val="24"/>
          <w:szCs w:val="24"/>
        </w:rPr>
        <w:t>须知“</w:t>
      </w:r>
      <w:r>
        <w:rPr>
          <w:rFonts w:hint="eastAsia" w:ascii="宋体" w:hAnsi="宋体" w:eastAsia="宋体" w:cs="宋体"/>
          <w:b w:val="0"/>
          <w:bCs w:val="0"/>
          <w:color w:val="000000"/>
          <w:sz w:val="24"/>
          <w:szCs w:val="24"/>
          <w:lang w:eastAsia="zh-CN"/>
        </w:rPr>
        <w:t>投标供应商</w:t>
      </w:r>
      <w:r>
        <w:rPr>
          <w:rFonts w:hint="eastAsia" w:ascii="宋体" w:hAnsi="宋体" w:eastAsia="宋体" w:cs="宋体"/>
          <w:b w:val="0"/>
          <w:bCs w:val="0"/>
          <w:color w:val="000000"/>
          <w:sz w:val="24"/>
          <w:szCs w:val="24"/>
        </w:rPr>
        <w:t>资格要求”在本表后附供应商信用承诺函。</w:t>
      </w:r>
    </w:p>
    <w:p w14:paraId="3CC65146">
      <w:pPr>
        <w:pStyle w:val="2"/>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14:paraId="7F2A011E">
      <w:pPr>
        <w:jc w:val="center"/>
        <w:rPr>
          <w:rFonts w:hint="eastAsia" w:ascii="Times New Roman" w:hAnsi="Times New Roman" w:eastAsia="宋体"/>
          <w:b/>
          <w:bCs/>
          <w:color w:val="auto"/>
          <w:sz w:val="28"/>
          <w:lang w:val="en-US" w:eastAsia="zh-CN"/>
        </w:rPr>
      </w:pPr>
      <w:r>
        <w:rPr>
          <w:rFonts w:hint="eastAsia" w:ascii="Times New Roman" w:hAnsi="Times New Roman" w:eastAsia="宋体"/>
          <w:b/>
          <w:bCs/>
          <w:color w:val="auto"/>
          <w:sz w:val="28"/>
          <w:lang w:val="en-US" w:eastAsia="zh-CN"/>
        </w:rPr>
        <w:t>.</w:t>
      </w:r>
    </w:p>
    <w:bookmarkEnd w:id="1445"/>
    <w:bookmarkEnd w:id="1446"/>
    <w:bookmarkEnd w:id="1449"/>
    <w:p w14:paraId="4322957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bCs/>
          <w:kern w:val="0"/>
          <w:sz w:val="24"/>
          <w:szCs w:val="24"/>
          <w:lang w:val="en-US" w:eastAsia="zh-CN" w:bidi="ar"/>
        </w:rPr>
      </w:pPr>
      <w:bookmarkStart w:id="1450" w:name="_Toc456185720"/>
      <w:r>
        <w:rPr>
          <w:rFonts w:hint="eastAsia" w:ascii="宋体" w:hAnsi="宋体" w:eastAsia="宋体" w:cs="宋体"/>
          <w:b/>
          <w:bCs/>
          <w:kern w:val="0"/>
          <w:sz w:val="24"/>
          <w:szCs w:val="24"/>
          <w:lang w:val="en-US" w:eastAsia="zh-CN" w:bidi="ar"/>
        </w:rPr>
        <w:t>附件：</w:t>
      </w:r>
    </w:p>
    <w:p w14:paraId="1C8915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kern w:val="0"/>
          <w:sz w:val="24"/>
          <w:szCs w:val="24"/>
          <w:lang w:val="en-US" w:eastAsia="zh-CN" w:bidi="ar"/>
        </w:rPr>
      </w:pPr>
      <w:r>
        <w:rPr>
          <w:rFonts w:hint="eastAsia" w:ascii="宋体" w:hAnsi="宋体" w:eastAsia="宋体" w:cs="宋体"/>
          <w:b/>
          <w:bCs/>
          <w:kern w:val="0"/>
          <w:sz w:val="24"/>
          <w:szCs w:val="24"/>
          <w:lang w:val="en-US" w:eastAsia="zh-CN" w:bidi="ar"/>
        </w:rPr>
        <w:t>息县政府采购供应商信用承诺函</w:t>
      </w:r>
    </w:p>
    <w:p w14:paraId="3044532C">
      <w:pPr>
        <w:keepNext w:val="0"/>
        <w:keepLines w:val="0"/>
        <w:pageBreakBefore w:val="0"/>
        <w:widowControl/>
        <w:suppressLineNumbers w:val="0"/>
        <w:kinsoku/>
        <w:wordWrap/>
        <w:overflowPunct/>
        <w:topLinePunct w:val="0"/>
        <w:autoSpaceDE/>
        <w:autoSpaceDN/>
        <w:bidi w:val="0"/>
        <w:adjustRightInd/>
        <w:snapToGrid/>
        <w:spacing w:line="400" w:lineRule="exact"/>
        <w:ind w:left="0" w:firstLine="480" w:firstLineChars="200"/>
        <w:jc w:val="left"/>
        <w:textAlignment w:val="auto"/>
        <w:rPr>
          <w:rFonts w:hint="eastAsia" w:ascii="宋体" w:hAnsi="宋体" w:eastAsia="宋体" w:cs="宋体"/>
          <w:kern w:val="0"/>
          <w:sz w:val="24"/>
          <w:szCs w:val="24"/>
          <w:lang w:val="en-US" w:eastAsia="zh-CN" w:bidi="ar"/>
        </w:rPr>
      </w:pPr>
    </w:p>
    <w:p w14:paraId="1A6A25B7">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none"/>
          <w:lang w:val="en-US" w:eastAsia="zh-CN" w:bidi="ar"/>
        </w:rPr>
      </w:pPr>
      <w:r>
        <w:rPr>
          <w:rFonts w:hint="eastAsia" w:ascii="宋体" w:hAnsi="宋体" w:eastAsia="宋体" w:cs="宋体"/>
          <w:kern w:val="0"/>
          <w:sz w:val="24"/>
          <w:szCs w:val="24"/>
          <w:u w:val="none"/>
          <w:lang w:val="en-US" w:eastAsia="zh-CN" w:bidi="ar"/>
        </w:rPr>
        <w:t>致：</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u w:val="none"/>
          <w:lang w:val="en-US" w:eastAsia="zh-CN" w:bidi="ar"/>
        </w:rPr>
        <w:t xml:space="preserve">（采购人或采购代理机构）   </w:t>
      </w:r>
    </w:p>
    <w:p w14:paraId="417BCEEB">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单位名称（自然人姓名）</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6AF286D9">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统一社会信用代码（身份证号码）</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478850F2">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法定代表人（负责人）</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32BE3B1C">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u w:val="single"/>
          <w:lang w:val="en-US" w:eastAsia="zh-CN" w:bidi="ar"/>
        </w:rPr>
      </w:pPr>
      <w:r>
        <w:rPr>
          <w:rFonts w:hint="eastAsia" w:ascii="宋体" w:hAnsi="宋体" w:eastAsia="宋体" w:cs="宋体"/>
          <w:kern w:val="0"/>
          <w:sz w:val="24"/>
          <w:szCs w:val="24"/>
          <w:lang w:val="en-US" w:eastAsia="zh-CN" w:bidi="ar"/>
        </w:rPr>
        <w:t>联系地址和电话</w:t>
      </w:r>
      <w:r>
        <w:rPr>
          <w:rFonts w:hint="eastAsia" w:ascii="宋体" w:hAnsi="宋体" w:eastAsia="宋体" w:cs="宋体"/>
          <w:kern w:val="0"/>
          <w:sz w:val="24"/>
          <w:szCs w:val="24"/>
          <w:u w:val="none"/>
          <w:lang w:val="en-US" w:eastAsia="zh-CN" w:bidi="ar"/>
        </w:rPr>
        <w:t>：</w:t>
      </w:r>
      <w:r>
        <w:rPr>
          <w:rFonts w:hint="eastAsia" w:ascii="宋体" w:hAnsi="宋体" w:eastAsia="宋体" w:cs="宋体"/>
          <w:kern w:val="0"/>
          <w:sz w:val="24"/>
          <w:szCs w:val="24"/>
          <w:u w:val="single"/>
          <w:lang w:val="en-US" w:eastAsia="zh-CN" w:bidi="ar"/>
        </w:rPr>
        <w:t xml:space="preserve">                  </w:t>
      </w:r>
    </w:p>
    <w:p w14:paraId="5382BD2F">
      <w:pPr>
        <w:pStyle w:val="2"/>
        <w:rPr>
          <w:rFonts w:hint="default"/>
          <w:lang w:val="en-US" w:eastAsia="zh-CN"/>
        </w:rPr>
      </w:pPr>
    </w:p>
    <w:p w14:paraId="5F3CBFD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为维护公平、公正、公开的政府采购市场秩序，树立诚实守信的政府采购供应商形象，我单位（本人）自愿作出以下承诺：</w:t>
      </w:r>
    </w:p>
    <w:p w14:paraId="1697F6E2">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045D00DE">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具有独立承担民事责任的能力；</w:t>
      </w:r>
    </w:p>
    <w:p w14:paraId="293416B4">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具有良好的商业信誉和健全的财务会计制度； </w:t>
      </w:r>
    </w:p>
    <w:p w14:paraId="29CF3F5E">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具有履行合同所必需的设备和专业技术能力；</w:t>
      </w:r>
    </w:p>
    <w:p w14:paraId="722392BF">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有依法缴纳税收和社会保障资金的良好记录； </w:t>
      </w:r>
    </w:p>
    <w:p w14:paraId="5CC2CE80">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参加政府采购活动前三年内，在经营活动中没有重大违法记录； </w:t>
      </w:r>
    </w:p>
    <w:p w14:paraId="574561AD">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未被列入经营异常名录或者严重违法失信名单、失信被执行人、重大税收违法案件当事人名单、政府采购严重违法失信行为记录名单；</w:t>
      </w:r>
    </w:p>
    <w:p w14:paraId="783D146D">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未被相关监管部门作出行政处罚且尚在处罚有效期内； </w:t>
      </w:r>
    </w:p>
    <w:p w14:paraId="29A5F278">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未曾做出虚假采购承诺； </w:t>
      </w:r>
    </w:p>
    <w:p w14:paraId="2DC5CDD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leftChars="0" w:firstLine="840" w:firstLineChars="35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（九）符合法律、行政法规规定的其他条件。</w:t>
      </w:r>
    </w:p>
    <w:p w14:paraId="51015191">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4C1D3F82">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kern w:val="0"/>
          <w:sz w:val="21"/>
          <w:szCs w:val="21"/>
          <w:lang w:val="en-US" w:eastAsia="zh-CN" w:bidi="ar"/>
        </w:rPr>
      </w:pPr>
    </w:p>
    <w:p w14:paraId="4E12984D">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10A62689">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0B9A63BC">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135D389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p>
    <w:p w14:paraId="7C5BA61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firstLine="210" w:firstLineChars="100"/>
        <w:jc w:val="left"/>
        <w:textAlignment w:val="auto"/>
        <w:rPr>
          <w:rFonts w:hint="eastAsia" w:ascii="宋体" w:hAnsi="宋体" w:eastAsia="宋体" w:cs="宋体"/>
          <w:kern w:val="0"/>
          <w:sz w:val="21"/>
          <w:szCs w:val="21"/>
          <w:lang w:val="en-US" w:eastAsia="zh-CN" w:bidi="ar"/>
        </w:rPr>
      </w:pPr>
    </w:p>
    <w:p w14:paraId="0D776F5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240" w:firstLineChars="1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注：</w:t>
      </w:r>
    </w:p>
    <w:p w14:paraId="2370360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720" w:firstLineChars="30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1、供应商须在响应文件中按此模板提供承诺函，未提供视为未实质性响应招标文件要求，按无效投标处理。</w:t>
      </w:r>
    </w:p>
    <w:p w14:paraId="2255CC1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2、供应商的法定代表人或者授权代表的签字或盖章应真实、有效，如由授权代表签字或盖章的，应提供“法定代表人授权书”。</w:t>
      </w:r>
    </w:p>
    <w:p w14:paraId="3B2B1AA3">
      <w:pPr>
        <w:spacing w:before="312" w:beforeLines="100" w:after="156" w:afterLines="50"/>
        <w:rPr>
          <w:rFonts w:hint="eastAsia" w:ascii="宋体" w:hAnsi="宋体"/>
          <w:b/>
          <w:color w:val="auto"/>
          <w:szCs w:val="21"/>
        </w:rPr>
      </w:pPr>
    </w:p>
    <w:bookmarkEnd w:id="1450"/>
    <w:p w14:paraId="347A9745">
      <w:pPr>
        <w:bidi w:val="0"/>
        <w:spacing w:line="360" w:lineRule="auto"/>
        <w:jc w:val="center"/>
        <w:rPr>
          <w:rFonts w:hint="eastAsia" w:ascii="宋体" w:hAnsi="宋体" w:eastAsia="宋体" w:cs="宋体"/>
          <w:b/>
          <w:bCs/>
          <w:color w:val="000000"/>
          <w:sz w:val="28"/>
          <w:szCs w:val="28"/>
          <w:lang w:eastAsia="zh-CN"/>
        </w:rPr>
      </w:pPr>
    </w:p>
    <w:p w14:paraId="364D2BEF">
      <w:pPr>
        <w:bidi w:val="0"/>
        <w:spacing w:line="360" w:lineRule="auto"/>
        <w:jc w:val="center"/>
        <w:rPr>
          <w:rFonts w:hint="eastAsia" w:ascii="宋体" w:hAnsi="宋体" w:eastAsia="宋体" w:cs="宋体"/>
          <w:b/>
          <w:bCs/>
          <w:color w:val="000000"/>
          <w:sz w:val="28"/>
          <w:szCs w:val="28"/>
          <w:lang w:eastAsia="zh-CN"/>
        </w:rPr>
      </w:pPr>
    </w:p>
    <w:p w14:paraId="37909BE3">
      <w:pPr>
        <w:bidi w:val="0"/>
        <w:spacing w:line="360" w:lineRule="auto"/>
        <w:jc w:val="center"/>
        <w:rPr>
          <w:rFonts w:hint="eastAsia" w:ascii="宋体" w:hAnsi="宋体" w:eastAsia="宋体" w:cs="宋体"/>
          <w:b/>
          <w:bCs/>
          <w:color w:val="000000"/>
          <w:sz w:val="28"/>
          <w:szCs w:val="28"/>
          <w:lang w:eastAsia="zh-CN"/>
        </w:rPr>
      </w:pPr>
    </w:p>
    <w:p w14:paraId="5EFE7348">
      <w:pPr>
        <w:bidi w:val="0"/>
        <w:spacing w:line="360" w:lineRule="auto"/>
        <w:jc w:val="center"/>
        <w:rPr>
          <w:rFonts w:hint="eastAsia" w:ascii="宋体" w:hAnsi="宋体" w:eastAsia="宋体" w:cs="宋体"/>
          <w:b/>
          <w:bCs/>
          <w:color w:val="000000"/>
          <w:sz w:val="28"/>
          <w:szCs w:val="28"/>
          <w:lang w:eastAsia="zh-CN"/>
        </w:rPr>
      </w:pPr>
    </w:p>
    <w:p w14:paraId="38445F3B">
      <w:pPr>
        <w:bidi w:val="0"/>
        <w:spacing w:line="360" w:lineRule="auto"/>
        <w:jc w:val="center"/>
        <w:rPr>
          <w:rFonts w:hint="eastAsia" w:ascii="宋体" w:hAnsi="宋体" w:eastAsia="宋体" w:cs="宋体"/>
          <w:b/>
          <w:bCs/>
          <w:color w:val="000000"/>
          <w:sz w:val="28"/>
          <w:szCs w:val="28"/>
          <w:lang w:eastAsia="zh-CN"/>
        </w:rPr>
      </w:pPr>
    </w:p>
    <w:p w14:paraId="60E61B9D">
      <w:pPr>
        <w:bidi w:val="0"/>
        <w:spacing w:line="360" w:lineRule="auto"/>
        <w:jc w:val="center"/>
        <w:rPr>
          <w:rFonts w:hint="eastAsia" w:ascii="宋体" w:hAnsi="宋体" w:eastAsia="宋体" w:cs="宋体"/>
          <w:b/>
          <w:bCs/>
          <w:color w:val="000000"/>
          <w:sz w:val="28"/>
          <w:szCs w:val="28"/>
          <w:lang w:eastAsia="zh-CN"/>
        </w:rPr>
      </w:pPr>
    </w:p>
    <w:p w14:paraId="026742EF">
      <w:pPr>
        <w:bidi w:val="0"/>
        <w:spacing w:line="360" w:lineRule="auto"/>
        <w:jc w:val="center"/>
        <w:rPr>
          <w:rFonts w:hint="eastAsia" w:ascii="宋体" w:hAnsi="宋体" w:eastAsia="宋体" w:cs="宋体"/>
          <w:b/>
          <w:bCs/>
          <w:color w:val="000000"/>
          <w:sz w:val="28"/>
          <w:szCs w:val="28"/>
          <w:lang w:eastAsia="zh-CN"/>
        </w:rPr>
      </w:pPr>
    </w:p>
    <w:p w14:paraId="669DE0A8">
      <w:pPr>
        <w:bidi w:val="0"/>
        <w:spacing w:line="360" w:lineRule="auto"/>
        <w:jc w:val="center"/>
        <w:rPr>
          <w:rFonts w:hint="eastAsia" w:ascii="宋体" w:hAnsi="宋体" w:eastAsia="宋体" w:cs="宋体"/>
          <w:b/>
          <w:bCs/>
          <w:color w:val="000000"/>
          <w:sz w:val="28"/>
          <w:szCs w:val="28"/>
          <w:lang w:eastAsia="zh-CN"/>
        </w:rPr>
      </w:pPr>
    </w:p>
    <w:p w14:paraId="5FEC5598">
      <w:pPr>
        <w:bidi w:val="0"/>
        <w:spacing w:line="360" w:lineRule="auto"/>
        <w:jc w:val="center"/>
        <w:rPr>
          <w:rFonts w:hint="eastAsia" w:ascii="宋体" w:hAnsi="宋体" w:eastAsia="宋体" w:cs="宋体"/>
          <w:b/>
          <w:bCs/>
          <w:color w:val="000000"/>
          <w:sz w:val="28"/>
          <w:szCs w:val="28"/>
          <w:lang w:eastAsia="zh-CN"/>
        </w:rPr>
      </w:pPr>
    </w:p>
    <w:p w14:paraId="35581314">
      <w:pPr>
        <w:bidi w:val="0"/>
        <w:spacing w:line="360" w:lineRule="auto"/>
        <w:jc w:val="center"/>
        <w:rPr>
          <w:rFonts w:hint="eastAsia" w:ascii="宋体" w:hAnsi="宋体" w:eastAsia="宋体" w:cs="宋体"/>
          <w:b/>
          <w:bCs/>
          <w:color w:val="000000"/>
          <w:sz w:val="28"/>
          <w:szCs w:val="28"/>
          <w:lang w:eastAsia="zh-CN"/>
        </w:rPr>
      </w:pPr>
    </w:p>
    <w:p w14:paraId="38344041">
      <w:pPr>
        <w:bidi w:val="0"/>
        <w:spacing w:line="360" w:lineRule="auto"/>
        <w:jc w:val="center"/>
        <w:outlineLvl w:val="1"/>
        <w:rPr>
          <w:rFonts w:hint="eastAsia" w:ascii="宋体" w:hAnsi="宋体" w:eastAsia="宋体" w:cs="宋体"/>
          <w:color w:val="000000"/>
          <w:sz w:val="21"/>
          <w:szCs w:val="21"/>
          <w:lang w:eastAsia="zh-CN"/>
        </w:rPr>
      </w:pPr>
      <w:bookmarkStart w:id="1451" w:name="_Toc10361"/>
      <w:bookmarkStart w:id="1452" w:name="_Toc29899"/>
      <w:bookmarkStart w:id="1453" w:name="_Toc16337"/>
      <w:bookmarkStart w:id="1454" w:name="_Toc525210052"/>
      <w:r>
        <w:rPr>
          <w:rFonts w:hint="eastAsia" w:ascii="宋体" w:hAnsi="宋体" w:eastAsia="宋体" w:cs="宋体"/>
          <w:b/>
          <w:bCs/>
          <w:color w:val="000000"/>
          <w:sz w:val="28"/>
          <w:szCs w:val="28"/>
          <w:lang w:eastAsia="zh-CN"/>
        </w:rPr>
        <w:t>六、中小企业声明函（服务类）</w:t>
      </w:r>
      <w:bookmarkEnd w:id="1451"/>
      <w:bookmarkEnd w:id="1452"/>
      <w:bookmarkEnd w:id="1453"/>
    </w:p>
    <w:p w14:paraId="224DB349">
      <w:pPr>
        <w:pStyle w:val="2"/>
        <w:bidi w:val="0"/>
        <w:ind w:left="0" w:leftChars="0" w:firstLine="0" w:firstLineChars="0"/>
        <w:rPr>
          <w:rFonts w:hint="eastAsia" w:ascii="宋体" w:hAnsi="宋体" w:eastAsia="宋体" w:cs="宋体"/>
          <w:color w:val="000000"/>
          <w:sz w:val="21"/>
          <w:szCs w:val="21"/>
          <w:lang w:val="en-US" w:eastAsia="zh-CN"/>
        </w:rPr>
      </w:pPr>
    </w:p>
    <w:p w14:paraId="085266CD">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服务全部由符合政策要求的中小企业承接</w:t>
      </w:r>
      <w:r>
        <w:rPr>
          <w:rFonts w:hint="eastAsia" w:ascii="宋体" w:hAnsi="宋体" w:eastAsia="宋体" w:cs="宋体"/>
          <w:sz w:val="24"/>
          <w:szCs w:val="24"/>
        </w:rPr>
        <w:t>。相关企业（含联合体中的中小企业、签订分包意向协议的中小企业）的具体情况如下：</w:t>
      </w:r>
    </w:p>
    <w:p w14:paraId="65988162">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14:paraId="5E6C7CD7">
      <w:pPr>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302F93F9">
      <w:pPr>
        <w:keepNext w:val="0"/>
        <w:keepLines w:val="0"/>
        <w:pageBreakBefore w:val="0"/>
        <w:widowControl w:val="0"/>
        <w:numPr>
          <w:ilvl w:val="0"/>
          <w:numId w:val="8"/>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（采购文件中明确的所属行业）；承接企业为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14:paraId="40862A6E">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14:paraId="1A2DB611">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14:paraId="4EF4D3A8">
      <w:pPr>
        <w:pStyle w:val="3"/>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42980EAA">
      <w:pPr>
        <w:pStyle w:val="20"/>
        <w:rPr>
          <w:rFonts w:hint="eastAsia" w:ascii="宋体" w:hAnsi="宋体" w:eastAsia="宋体" w:cs="宋体"/>
          <w:sz w:val="24"/>
          <w:szCs w:val="24"/>
        </w:rPr>
      </w:pPr>
    </w:p>
    <w:p w14:paraId="3407D131">
      <w:pPr>
        <w:pStyle w:val="3"/>
        <w:rPr>
          <w:rFonts w:hint="eastAsia"/>
        </w:rPr>
      </w:pPr>
    </w:p>
    <w:p w14:paraId="0FF56BA2">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14:paraId="69600E68">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14:paraId="6D544BFC">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7BFE0A29">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4BB9E923">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761CB151">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10A58544">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14:paraId="3FE3A038">
      <w:pPr>
        <w:pStyle w:val="38"/>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14:paraId="1E297FAE">
      <w:pPr>
        <w:pStyle w:val="38"/>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14:paraId="346D105D">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14:paraId="754FF00B">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14:paraId="4BED081F">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14:paraId="0D759A4C">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14:paraId="50B770FD">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14:paraId="1AB9802D">
      <w:pPr>
        <w:pStyle w:val="9"/>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14:paraId="0E54E829">
      <w:pPr>
        <w:pStyle w:val="9"/>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sectPr>
          <w:pgSz w:w="11906" w:h="16838"/>
          <w:pgMar w:top="1440" w:right="1800" w:bottom="1440" w:left="1800" w:header="851" w:footer="992" w:gutter="0"/>
          <w:pgNumType w:fmt="decimal"/>
          <w:cols w:space="425" w:num="1"/>
          <w:docGrid w:type="lines" w:linePitch="312" w:charSpace="0"/>
        </w:sectPr>
      </w:pPr>
      <w:bookmarkStart w:id="1455" w:name="_Toc1903"/>
      <w:bookmarkStart w:id="1456" w:name="_Toc13396"/>
      <w:bookmarkStart w:id="1457" w:name="_Toc13297"/>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1455"/>
      <w:bookmarkEnd w:id="1456"/>
      <w:bookmarkEnd w:id="1457"/>
    </w:p>
    <w:p w14:paraId="75661FFF">
      <w:pPr>
        <w:pStyle w:val="18"/>
        <w:ind w:firstLine="0" w:firstLineChars="0"/>
        <w:rPr>
          <w:rFonts w:ascii="宋体" w:hAnsi="宋体" w:eastAsia="宋体" w:cs="宋体"/>
          <w:b/>
          <w:bCs/>
          <w:color w:val="000000"/>
          <w:sz w:val="24"/>
          <w:szCs w:val="24"/>
        </w:rPr>
      </w:pPr>
      <w:bookmarkStart w:id="1458" w:name="_Toc26041"/>
      <w:r>
        <w:rPr>
          <w:rFonts w:hint="eastAsia" w:ascii="宋体" w:hAnsi="宋体" w:eastAsia="宋体" w:cs="宋体"/>
          <w:b/>
          <w:bCs/>
          <w:color w:val="000000"/>
          <w:sz w:val="24"/>
          <w:szCs w:val="24"/>
        </w:rPr>
        <w:t>附表：</w:t>
      </w:r>
    </w:p>
    <w:p w14:paraId="5DF71229">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3"/>
        <w:tblW w:w="10496" w:type="dxa"/>
        <w:jc w:val="center"/>
        <w:tblLayout w:type="fixed"/>
        <w:tblCellMar>
          <w:top w:w="0" w:type="dxa"/>
          <w:left w:w="108" w:type="dxa"/>
          <w:bottom w:w="0" w:type="dxa"/>
          <w:right w:w="108" w:type="dxa"/>
        </w:tblCellMar>
      </w:tblPr>
      <w:tblGrid>
        <w:gridCol w:w="2088"/>
        <w:gridCol w:w="1515"/>
        <w:gridCol w:w="717"/>
        <w:gridCol w:w="1320"/>
        <w:gridCol w:w="1950"/>
        <w:gridCol w:w="1650"/>
        <w:gridCol w:w="1256"/>
      </w:tblGrid>
      <w:tr w14:paraId="5DC2025A">
        <w:tblPrEx>
          <w:tblCellMar>
            <w:top w:w="0" w:type="dxa"/>
            <w:left w:w="108" w:type="dxa"/>
            <w:bottom w:w="0" w:type="dxa"/>
            <w:right w:w="108" w:type="dxa"/>
          </w:tblCellMar>
        </w:tblPrEx>
        <w:trPr>
          <w:trHeight w:val="635" w:hRule="exact"/>
          <w:jc w:val="center"/>
        </w:trPr>
        <w:tc>
          <w:tcPr>
            <w:tcW w:w="2088" w:type="dxa"/>
            <w:tcBorders>
              <w:top w:val="single" w:color="auto" w:sz="4" w:space="0"/>
              <w:left w:val="single" w:color="auto" w:sz="4" w:space="0"/>
              <w:bottom w:val="single" w:color="auto" w:sz="4" w:space="0"/>
              <w:right w:val="single" w:color="auto" w:sz="4" w:space="0"/>
            </w:tcBorders>
            <w:vAlign w:val="center"/>
          </w:tcPr>
          <w:p w14:paraId="1008416D">
            <w:pPr>
              <w:widowControl/>
              <w:spacing w:line="240" w:lineRule="exact"/>
              <w:ind w:firstLine="0" w:firstLineChars="0"/>
              <w:jc w:val="center"/>
              <w:rPr>
                <w:rFonts w:ascii="宋体" w:hAnsi="宋体" w:eastAsia="宋体" w:cs="宋体"/>
                <w:b/>
                <w:bCs/>
                <w:color w:val="000000"/>
                <w:kern w:val="0"/>
                <w:sz w:val="24"/>
                <w:szCs w:val="32"/>
              </w:rPr>
            </w:pPr>
            <w:r>
              <w:rPr>
                <w:rFonts w:hint="eastAsia" w:ascii="宋体" w:hAnsi="宋体" w:eastAsia="宋体" w:cs="宋体"/>
                <w:b/>
                <w:bCs/>
                <w:color w:val="000000"/>
                <w:kern w:val="0"/>
                <w:sz w:val="24"/>
                <w:szCs w:val="32"/>
              </w:rPr>
              <w:t>行业名称</w:t>
            </w:r>
          </w:p>
        </w:tc>
        <w:tc>
          <w:tcPr>
            <w:tcW w:w="1515" w:type="dxa"/>
            <w:tcBorders>
              <w:top w:val="single" w:color="auto" w:sz="4" w:space="0"/>
              <w:left w:val="nil"/>
              <w:bottom w:val="single" w:color="auto" w:sz="4" w:space="0"/>
              <w:right w:val="single" w:color="auto" w:sz="4" w:space="0"/>
            </w:tcBorders>
            <w:vAlign w:val="center"/>
          </w:tcPr>
          <w:p w14:paraId="5DDE125A">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指标名称</w:t>
            </w:r>
          </w:p>
        </w:tc>
        <w:tc>
          <w:tcPr>
            <w:tcW w:w="717" w:type="dxa"/>
            <w:tcBorders>
              <w:top w:val="single" w:color="auto" w:sz="4" w:space="0"/>
              <w:left w:val="nil"/>
              <w:bottom w:val="single" w:color="auto" w:sz="4" w:space="0"/>
              <w:right w:val="single" w:color="auto" w:sz="4" w:space="0"/>
            </w:tcBorders>
            <w:vAlign w:val="center"/>
          </w:tcPr>
          <w:p w14:paraId="3271E6CD">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计量</w:t>
            </w:r>
            <w:r>
              <w:rPr>
                <w:rFonts w:hint="eastAsia" w:ascii="宋体" w:hAnsi="宋体" w:eastAsia="宋体" w:cs="宋体"/>
                <w:b/>
                <w:bCs/>
                <w:color w:val="000000"/>
                <w:kern w:val="0"/>
                <w:sz w:val="24"/>
                <w:szCs w:val="24"/>
              </w:rPr>
              <w:br w:type="textWrapping"/>
            </w:r>
            <w:r>
              <w:rPr>
                <w:rFonts w:hint="eastAsia" w:ascii="宋体" w:hAnsi="宋体" w:eastAsia="宋体" w:cs="宋体"/>
                <w:b/>
                <w:bCs/>
                <w:color w:val="000000"/>
                <w:kern w:val="0"/>
                <w:sz w:val="24"/>
                <w:szCs w:val="24"/>
              </w:rPr>
              <w:t>单位</w:t>
            </w:r>
          </w:p>
        </w:tc>
        <w:tc>
          <w:tcPr>
            <w:tcW w:w="1320" w:type="dxa"/>
            <w:tcBorders>
              <w:top w:val="single" w:color="auto" w:sz="4" w:space="0"/>
              <w:left w:val="nil"/>
              <w:bottom w:val="single" w:color="auto" w:sz="4" w:space="0"/>
              <w:right w:val="single" w:color="auto" w:sz="4" w:space="0"/>
            </w:tcBorders>
            <w:vAlign w:val="center"/>
          </w:tcPr>
          <w:p w14:paraId="4DD2BDFF">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大型</w:t>
            </w:r>
          </w:p>
        </w:tc>
        <w:tc>
          <w:tcPr>
            <w:tcW w:w="1950" w:type="dxa"/>
            <w:tcBorders>
              <w:top w:val="single" w:color="auto" w:sz="4" w:space="0"/>
              <w:left w:val="nil"/>
              <w:bottom w:val="single" w:color="auto" w:sz="4" w:space="0"/>
              <w:right w:val="single" w:color="auto" w:sz="4" w:space="0"/>
            </w:tcBorders>
            <w:vAlign w:val="center"/>
          </w:tcPr>
          <w:p w14:paraId="370A449A">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中型</w:t>
            </w:r>
          </w:p>
        </w:tc>
        <w:tc>
          <w:tcPr>
            <w:tcW w:w="1650" w:type="dxa"/>
            <w:tcBorders>
              <w:top w:val="single" w:color="auto" w:sz="4" w:space="0"/>
              <w:left w:val="nil"/>
              <w:bottom w:val="single" w:color="auto" w:sz="4" w:space="0"/>
              <w:right w:val="single" w:color="auto" w:sz="4" w:space="0"/>
            </w:tcBorders>
            <w:vAlign w:val="center"/>
          </w:tcPr>
          <w:p w14:paraId="01C44506">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小型</w:t>
            </w:r>
          </w:p>
        </w:tc>
        <w:tc>
          <w:tcPr>
            <w:tcW w:w="1256" w:type="dxa"/>
            <w:tcBorders>
              <w:top w:val="single" w:color="auto" w:sz="4" w:space="0"/>
              <w:left w:val="nil"/>
              <w:bottom w:val="single" w:color="auto" w:sz="4" w:space="0"/>
              <w:right w:val="single" w:color="auto" w:sz="4" w:space="0"/>
            </w:tcBorders>
            <w:vAlign w:val="center"/>
          </w:tcPr>
          <w:p w14:paraId="05BA6102">
            <w:pPr>
              <w:widowControl/>
              <w:spacing w:line="240" w:lineRule="auto"/>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微型</w:t>
            </w:r>
          </w:p>
        </w:tc>
      </w:tr>
      <w:tr w14:paraId="64E4E845">
        <w:tblPrEx>
          <w:tblCellMar>
            <w:top w:w="0" w:type="dxa"/>
            <w:left w:w="108" w:type="dxa"/>
            <w:bottom w:w="0" w:type="dxa"/>
            <w:right w:w="108" w:type="dxa"/>
          </w:tblCellMar>
        </w:tblPrEx>
        <w:trPr>
          <w:trHeight w:val="405" w:hRule="exact"/>
          <w:jc w:val="center"/>
        </w:trPr>
        <w:tc>
          <w:tcPr>
            <w:tcW w:w="2088" w:type="dxa"/>
            <w:tcBorders>
              <w:top w:val="nil"/>
              <w:left w:val="single" w:color="auto" w:sz="4" w:space="0"/>
              <w:bottom w:val="single" w:color="auto" w:sz="4" w:space="0"/>
              <w:right w:val="single" w:color="auto" w:sz="4" w:space="0"/>
            </w:tcBorders>
            <w:vAlign w:val="center"/>
          </w:tcPr>
          <w:p w14:paraId="74C4A6B0">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农、林、牧、渔业</w:t>
            </w:r>
          </w:p>
        </w:tc>
        <w:tc>
          <w:tcPr>
            <w:tcW w:w="1515" w:type="dxa"/>
            <w:tcBorders>
              <w:top w:val="nil"/>
              <w:left w:val="nil"/>
              <w:bottom w:val="single" w:color="auto" w:sz="4" w:space="0"/>
              <w:right w:val="single" w:color="auto" w:sz="4" w:space="0"/>
            </w:tcBorders>
            <w:vAlign w:val="center"/>
          </w:tcPr>
          <w:p w14:paraId="65182CE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234007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705FA2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75D62C4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6AA6228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50≤Y＜500</w:t>
            </w:r>
          </w:p>
        </w:tc>
        <w:tc>
          <w:tcPr>
            <w:tcW w:w="1256" w:type="dxa"/>
            <w:tcBorders>
              <w:top w:val="nil"/>
              <w:left w:val="nil"/>
              <w:bottom w:val="single" w:color="auto" w:sz="4" w:space="0"/>
              <w:right w:val="single" w:color="auto" w:sz="4" w:space="0"/>
            </w:tcBorders>
            <w:vAlign w:val="center"/>
          </w:tcPr>
          <w:p w14:paraId="48D610B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w:t>
            </w:r>
          </w:p>
        </w:tc>
      </w:tr>
      <w:tr w14:paraId="6A7861F6">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F119F8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工业 *</w:t>
            </w:r>
          </w:p>
        </w:tc>
        <w:tc>
          <w:tcPr>
            <w:tcW w:w="1515" w:type="dxa"/>
            <w:tcBorders>
              <w:top w:val="nil"/>
              <w:left w:val="nil"/>
              <w:bottom w:val="nil"/>
              <w:right w:val="single" w:color="auto" w:sz="4" w:space="0"/>
            </w:tcBorders>
            <w:vAlign w:val="center"/>
          </w:tcPr>
          <w:p w14:paraId="488A60A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584C946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72F769C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14:paraId="747F1EE4">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14:paraId="3D77842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14:paraId="341B40A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14:paraId="725F859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A7E8BC0">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7C140429">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5A7AE7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0DAB6C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7278DF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2000≤Y＜40000</w:t>
            </w:r>
          </w:p>
        </w:tc>
        <w:tc>
          <w:tcPr>
            <w:tcW w:w="1650" w:type="dxa"/>
            <w:tcBorders>
              <w:top w:val="nil"/>
              <w:left w:val="nil"/>
              <w:bottom w:val="single" w:color="auto" w:sz="4" w:space="0"/>
              <w:right w:val="single" w:color="auto" w:sz="4" w:space="0"/>
            </w:tcBorders>
            <w:vAlign w:val="center"/>
          </w:tcPr>
          <w:p w14:paraId="2707A04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300≤Y＜2000</w:t>
            </w:r>
          </w:p>
        </w:tc>
        <w:tc>
          <w:tcPr>
            <w:tcW w:w="1256" w:type="dxa"/>
            <w:tcBorders>
              <w:top w:val="nil"/>
              <w:left w:val="nil"/>
              <w:bottom w:val="single" w:color="auto" w:sz="4" w:space="0"/>
              <w:right w:val="single" w:color="auto" w:sz="4" w:space="0"/>
            </w:tcBorders>
            <w:vAlign w:val="center"/>
          </w:tcPr>
          <w:p w14:paraId="29E38654">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w:t>
            </w:r>
          </w:p>
        </w:tc>
      </w:tr>
      <w:tr w14:paraId="4410140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386B9DD">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建筑业</w:t>
            </w:r>
          </w:p>
        </w:tc>
        <w:tc>
          <w:tcPr>
            <w:tcW w:w="1515" w:type="dxa"/>
            <w:tcBorders>
              <w:top w:val="nil"/>
              <w:left w:val="nil"/>
              <w:bottom w:val="nil"/>
              <w:right w:val="single" w:color="auto" w:sz="4" w:space="0"/>
            </w:tcBorders>
            <w:vAlign w:val="center"/>
          </w:tcPr>
          <w:p w14:paraId="0FF6666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nil"/>
              <w:right w:val="single" w:color="auto" w:sz="4" w:space="0"/>
            </w:tcBorders>
            <w:vAlign w:val="center"/>
          </w:tcPr>
          <w:p w14:paraId="30D166C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nil"/>
              <w:right w:val="single" w:color="auto" w:sz="4" w:space="0"/>
            </w:tcBorders>
            <w:vAlign w:val="center"/>
          </w:tcPr>
          <w:p w14:paraId="0750FCA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Y≥80000</w:t>
            </w:r>
          </w:p>
        </w:tc>
        <w:tc>
          <w:tcPr>
            <w:tcW w:w="1950" w:type="dxa"/>
            <w:tcBorders>
              <w:top w:val="nil"/>
              <w:left w:val="nil"/>
              <w:bottom w:val="nil"/>
              <w:right w:val="single" w:color="auto" w:sz="4" w:space="0"/>
            </w:tcBorders>
            <w:vAlign w:val="center"/>
          </w:tcPr>
          <w:p w14:paraId="4D69103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6000≤Y＜80000</w:t>
            </w:r>
          </w:p>
        </w:tc>
        <w:tc>
          <w:tcPr>
            <w:tcW w:w="1650" w:type="dxa"/>
            <w:tcBorders>
              <w:top w:val="nil"/>
              <w:left w:val="nil"/>
              <w:bottom w:val="nil"/>
              <w:right w:val="single" w:color="auto" w:sz="4" w:space="0"/>
            </w:tcBorders>
            <w:vAlign w:val="center"/>
          </w:tcPr>
          <w:p w14:paraId="6BE22E7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300≤Y＜6000</w:t>
            </w:r>
          </w:p>
        </w:tc>
        <w:tc>
          <w:tcPr>
            <w:tcW w:w="1256" w:type="dxa"/>
            <w:tcBorders>
              <w:top w:val="nil"/>
              <w:left w:val="nil"/>
              <w:bottom w:val="nil"/>
              <w:right w:val="single" w:color="auto" w:sz="4" w:space="0"/>
            </w:tcBorders>
            <w:vAlign w:val="center"/>
          </w:tcPr>
          <w:p w14:paraId="439BD1D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w:t>
            </w:r>
          </w:p>
        </w:tc>
      </w:tr>
      <w:tr w14:paraId="48137A51">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79276940">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5B2B0B59">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A0C507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D46F32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Z≥80000</w:t>
            </w:r>
          </w:p>
        </w:tc>
        <w:tc>
          <w:tcPr>
            <w:tcW w:w="1950" w:type="dxa"/>
            <w:tcBorders>
              <w:top w:val="nil"/>
              <w:left w:val="nil"/>
              <w:bottom w:val="single" w:color="auto" w:sz="4" w:space="0"/>
              <w:right w:val="single" w:color="auto" w:sz="4" w:space="0"/>
            </w:tcBorders>
            <w:vAlign w:val="center"/>
          </w:tcPr>
          <w:p w14:paraId="79C1213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5000≤Z＜80000</w:t>
            </w:r>
          </w:p>
        </w:tc>
        <w:tc>
          <w:tcPr>
            <w:tcW w:w="1650" w:type="dxa"/>
            <w:tcBorders>
              <w:top w:val="nil"/>
              <w:left w:val="nil"/>
              <w:bottom w:val="single" w:color="auto" w:sz="4" w:space="0"/>
              <w:right w:val="single" w:color="auto" w:sz="4" w:space="0"/>
            </w:tcBorders>
            <w:vAlign w:val="center"/>
          </w:tcPr>
          <w:p w14:paraId="7FABD0C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300≤Z＜5000</w:t>
            </w:r>
          </w:p>
        </w:tc>
        <w:tc>
          <w:tcPr>
            <w:tcW w:w="1256" w:type="dxa"/>
            <w:tcBorders>
              <w:top w:val="nil"/>
              <w:left w:val="nil"/>
              <w:bottom w:val="single" w:color="auto" w:sz="4" w:space="0"/>
              <w:right w:val="single" w:color="auto" w:sz="4" w:space="0"/>
            </w:tcBorders>
            <w:vAlign w:val="center"/>
          </w:tcPr>
          <w:p w14:paraId="4BCCB32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Z＜300</w:t>
            </w:r>
          </w:p>
        </w:tc>
      </w:tr>
      <w:tr w14:paraId="6366803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9836DC">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批发业</w:t>
            </w:r>
          </w:p>
        </w:tc>
        <w:tc>
          <w:tcPr>
            <w:tcW w:w="1515" w:type="dxa"/>
            <w:tcBorders>
              <w:top w:val="nil"/>
              <w:left w:val="nil"/>
              <w:bottom w:val="nil"/>
              <w:right w:val="single" w:color="auto" w:sz="4" w:space="0"/>
            </w:tcBorders>
            <w:vAlign w:val="center"/>
          </w:tcPr>
          <w:p w14:paraId="7A95DCE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24B2229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1866CFE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w:t>
            </w:r>
          </w:p>
        </w:tc>
        <w:tc>
          <w:tcPr>
            <w:tcW w:w="1950" w:type="dxa"/>
            <w:tcBorders>
              <w:top w:val="nil"/>
              <w:left w:val="nil"/>
              <w:bottom w:val="nil"/>
              <w:right w:val="single" w:color="auto" w:sz="4" w:space="0"/>
            </w:tcBorders>
            <w:vAlign w:val="center"/>
          </w:tcPr>
          <w:p w14:paraId="7D29550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20≤X＜200</w:t>
            </w:r>
          </w:p>
        </w:tc>
        <w:tc>
          <w:tcPr>
            <w:tcW w:w="1650" w:type="dxa"/>
            <w:tcBorders>
              <w:top w:val="nil"/>
              <w:left w:val="nil"/>
              <w:bottom w:val="nil"/>
              <w:right w:val="single" w:color="auto" w:sz="4" w:space="0"/>
            </w:tcBorders>
            <w:vAlign w:val="center"/>
          </w:tcPr>
          <w:p w14:paraId="36042EF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5≤X＜20</w:t>
            </w:r>
          </w:p>
        </w:tc>
        <w:tc>
          <w:tcPr>
            <w:tcW w:w="1256" w:type="dxa"/>
            <w:tcBorders>
              <w:top w:val="nil"/>
              <w:left w:val="nil"/>
              <w:bottom w:val="nil"/>
              <w:right w:val="single" w:color="auto" w:sz="4" w:space="0"/>
            </w:tcBorders>
            <w:vAlign w:val="center"/>
          </w:tcPr>
          <w:p w14:paraId="03819C5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X＜5</w:t>
            </w:r>
          </w:p>
        </w:tc>
      </w:tr>
      <w:tr w14:paraId="7C5F2430">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34F997D">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59A60704">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3F67BA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72937D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Y≥40000</w:t>
            </w:r>
          </w:p>
        </w:tc>
        <w:tc>
          <w:tcPr>
            <w:tcW w:w="1950" w:type="dxa"/>
            <w:tcBorders>
              <w:top w:val="nil"/>
              <w:left w:val="nil"/>
              <w:bottom w:val="single" w:color="auto" w:sz="4" w:space="0"/>
              <w:right w:val="single" w:color="auto" w:sz="4" w:space="0"/>
            </w:tcBorders>
            <w:vAlign w:val="center"/>
          </w:tcPr>
          <w:p w14:paraId="486F9F5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5000≤Y＜40000</w:t>
            </w:r>
          </w:p>
        </w:tc>
        <w:tc>
          <w:tcPr>
            <w:tcW w:w="1650" w:type="dxa"/>
            <w:tcBorders>
              <w:top w:val="nil"/>
              <w:left w:val="nil"/>
              <w:bottom w:val="single" w:color="auto" w:sz="4" w:space="0"/>
              <w:right w:val="single" w:color="auto" w:sz="4" w:space="0"/>
            </w:tcBorders>
            <w:vAlign w:val="center"/>
          </w:tcPr>
          <w:p w14:paraId="3CCB27B7">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1000≤Y＜5000</w:t>
            </w:r>
          </w:p>
        </w:tc>
        <w:tc>
          <w:tcPr>
            <w:tcW w:w="1256" w:type="dxa"/>
            <w:tcBorders>
              <w:top w:val="nil"/>
              <w:left w:val="nil"/>
              <w:bottom w:val="single" w:color="auto" w:sz="4" w:space="0"/>
              <w:right w:val="single" w:color="auto" w:sz="4" w:space="0"/>
            </w:tcBorders>
            <w:vAlign w:val="center"/>
          </w:tcPr>
          <w:p w14:paraId="45F0D76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w:t>
            </w:r>
          </w:p>
        </w:tc>
      </w:tr>
      <w:tr w14:paraId="075440C5">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1E63B272">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零售业</w:t>
            </w:r>
          </w:p>
        </w:tc>
        <w:tc>
          <w:tcPr>
            <w:tcW w:w="1515" w:type="dxa"/>
            <w:tcBorders>
              <w:top w:val="nil"/>
              <w:left w:val="nil"/>
              <w:bottom w:val="nil"/>
              <w:right w:val="single" w:color="auto" w:sz="4" w:space="0"/>
            </w:tcBorders>
            <w:vAlign w:val="center"/>
          </w:tcPr>
          <w:p w14:paraId="29FF759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1D5C596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226C5BC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14:paraId="679B2BE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50≤X＜300</w:t>
            </w:r>
          </w:p>
        </w:tc>
        <w:tc>
          <w:tcPr>
            <w:tcW w:w="1650" w:type="dxa"/>
            <w:tcBorders>
              <w:top w:val="nil"/>
              <w:left w:val="nil"/>
              <w:bottom w:val="nil"/>
              <w:right w:val="single" w:color="auto" w:sz="4" w:space="0"/>
            </w:tcBorders>
            <w:vAlign w:val="center"/>
          </w:tcPr>
          <w:p w14:paraId="13F91B4C">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10≤X＜50</w:t>
            </w:r>
          </w:p>
        </w:tc>
        <w:tc>
          <w:tcPr>
            <w:tcW w:w="1256" w:type="dxa"/>
            <w:tcBorders>
              <w:top w:val="nil"/>
              <w:left w:val="nil"/>
              <w:bottom w:val="nil"/>
              <w:right w:val="single" w:color="auto" w:sz="4" w:space="0"/>
            </w:tcBorders>
            <w:vAlign w:val="center"/>
          </w:tcPr>
          <w:p w14:paraId="265F9C5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3A11978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77AF9BD">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34E43C96">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EFFD274">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1885ABF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w:t>
            </w:r>
          </w:p>
        </w:tc>
        <w:tc>
          <w:tcPr>
            <w:tcW w:w="1950" w:type="dxa"/>
            <w:tcBorders>
              <w:top w:val="nil"/>
              <w:left w:val="nil"/>
              <w:bottom w:val="single" w:color="auto" w:sz="4" w:space="0"/>
              <w:right w:val="single" w:color="auto" w:sz="4" w:space="0"/>
            </w:tcBorders>
            <w:vAlign w:val="center"/>
          </w:tcPr>
          <w:p w14:paraId="62950C7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500≤Y＜20000</w:t>
            </w:r>
          </w:p>
        </w:tc>
        <w:tc>
          <w:tcPr>
            <w:tcW w:w="1650" w:type="dxa"/>
            <w:tcBorders>
              <w:top w:val="nil"/>
              <w:left w:val="nil"/>
              <w:bottom w:val="single" w:color="auto" w:sz="4" w:space="0"/>
              <w:right w:val="single" w:color="auto" w:sz="4" w:space="0"/>
            </w:tcBorders>
            <w:vAlign w:val="center"/>
          </w:tcPr>
          <w:p w14:paraId="240EFF54">
            <w:pPr>
              <w:widowControl/>
              <w:spacing w:line="240" w:lineRule="auto"/>
              <w:ind w:left="-1" w:leftChars="-1" w:hanging="1"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100≤Y＜500</w:t>
            </w:r>
          </w:p>
        </w:tc>
        <w:tc>
          <w:tcPr>
            <w:tcW w:w="1256" w:type="dxa"/>
            <w:tcBorders>
              <w:top w:val="nil"/>
              <w:left w:val="nil"/>
              <w:bottom w:val="single" w:color="auto" w:sz="4" w:space="0"/>
              <w:right w:val="single" w:color="auto" w:sz="4" w:space="0"/>
            </w:tcBorders>
            <w:vAlign w:val="center"/>
          </w:tcPr>
          <w:p w14:paraId="16598B7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7FB7EB1A">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526FAB3A">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交通运输业 *</w:t>
            </w:r>
          </w:p>
        </w:tc>
        <w:tc>
          <w:tcPr>
            <w:tcW w:w="1515" w:type="dxa"/>
            <w:tcBorders>
              <w:top w:val="nil"/>
              <w:left w:val="nil"/>
              <w:bottom w:val="nil"/>
              <w:right w:val="single" w:color="auto" w:sz="4" w:space="0"/>
            </w:tcBorders>
            <w:vAlign w:val="center"/>
          </w:tcPr>
          <w:p w14:paraId="11CBE7F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27D4D6D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6309E8E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14:paraId="21EF3FC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14:paraId="5925921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14:paraId="1B7BDBF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14:paraId="0050A929">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3C5DA60D">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4EAFF2CD">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3C425C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98CA8B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E1C52E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3000≤Y＜30000</w:t>
            </w:r>
          </w:p>
        </w:tc>
        <w:tc>
          <w:tcPr>
            <w:tcW w:w="1650" w:type="dxa"/>
            <w:tcBorders>
              <w:top w:val="nil"/>
              <w:left w:val="nil"/>
              <w:bottom w:val="single" w:color="auto" w:sz="4" w:space="0"/>
              <w:right w:val="single" w:color="auto" w:sz="4" w:space="0"/>
            </w:tcBorders>
            <w:vAlign w:val="center"/>
          </w:tcPr>
          <w:p w14:paraId="1D6E3FD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200≤Y＜3000</w:t>
            </w:r>
          </w:p>
        </w:tc>
        <w:tc>
          <w:tcPr>
            <w:tcW w:w="1256" w:type="dxa"/>
            <w:tcBorders>
              <w:top w:val="nil"/>
              <w:left w:val="nil"/>
              <w:bottom w:val="single" w:color="auto" w:sz="4" w:space="0"/>
              <w:right w:val="single" w:color="auto" w:sz="4" w:space="0"/>
            </w:tcBorders>
            <w:vAlign w:val="center"/>
          </w:tcPr>
          <w:p w14:paraId="68426BA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w:t>
            </w:r>
          </w:p>
        </w:tc>
      </w:tr>
      <w:tr w14:paraId="450D9C98">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22302B8D">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仓储业*</w:t>
            </w:r>
          </w:p>
        </w:tc>
        <w:tc>
          <w:tcPr>
            <w:tcW w:w="1515" w:type="dxa"/>
            <w:tcBorders>
              <w:top w:val="nil"/>
              <w:left w:val="nil"/>
              <w:bottom w:val="nil"/>
              <w:right w:val="single" w:color="auto" w:sz="4" w:space="0"/>
            </w:tcBorders>
            <w:vAlign w:val="center"/>
          </w:tcPr>
          <w:p w14:paraId="2EC24E4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6593F44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4DA95D2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w:t>
            </w:r>
          </w:p>
        </w:tc>
        <w:tc>
          <w:tcPr>
            <w:tcW w:w="1950" w:type="dxa"/>
            <w:tcBorders>
              <w:top w:val="nil"/>
              <w:left w:val="nil"/>
              <w:bottom w:val="nil"/>
              <w:right w:val="single" w:color="auto" w:sz="4" w:space="0"/>
            </w:tcBorders>
            <w:vAlign w:val="center"/>
          </w:tcPr>
          <w:p w14:paraId="48B0BDC0">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100≤X＜200</w:t>
            </w:r>
          </w:p>
        </w:tc>
        <w:tc>
          <w:tcPr>
            <w:tcW w:w="1650" w:type="dxa"/>
            <w:tcBorders>
              <w:top w:val="nil"/>
              <w:left w:val="nil"/>
              <w:bottom w:val="nil"/>
              <w:right w:val="single" w:color="auto" w:sz="4" w:space="0"/>
            </w:tcBorders>
            <w:vAlign w:val="center"/>
          </w:tcPr>
          <w:p w14:paraId="75DE987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20≤X＜100</w:t>
            </w:r>
          </w:p>
        </w:tc>
        <w:tc>
          <w:tcPr>
            <w:tcW w:w="1256" w:type="dxa"/>
            <w:tcBorders>
              <w:top w:val="nil"/>
              <w:left w:val="nil"/>
              <w:bottom w:val="nil"/>
              <w:right w:val="single" w:color="auto" w:sz="4" w:space="0"/>
            </w:tcBorders>
            <w:vAlign w:val="center"/>
          </w:tcPr>
          <w:p w14:paraId="5DD87F8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14:paraId="41B4892E">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D9804FA">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5679DAC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7185383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548804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7619FEF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1000≤Y＜30000</w:t>
            </w:r>
          </w:p>
        </w:tc>
        <w:tc>
          <w:tcPr>
            <w:tcW w:w="1650" w:type="dxa"/>
            <w:tcBorders>
              <w:top w:val="nil"/>
              <w:left w:val="nil"/>
              <w:bottom w:val="single" w:color="auto" w:sz="4" w:space="0"/>
              <w:right w:val="single" w:color="auto" w:sz="4" w:space="0"/>
            </w:tcBorders>
            <w:vAlign w:val="center"/>
          </w:tcPr>
          <w:p w14:paraId="36FAC45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3AF27C7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0EF8001B">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7DE835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邮政业</w:t>
            </w:r>
          </w:p>
        </w:tc>
        <w:tc>
          <w:tcPr>
            <w:tcW w:w="1515" w:type="dxa"/>
            <w:tcBorders>
              <w:top w:val="nil"/>
              <w:left w:val="nil"/>
              <w:bottom w:val="nil"/>
              <w:right w:val="single" w:color="auto" w:sz="4" w:space="0"/>
            </w:tcBorders>
            <w:vAlign w:val="center"/>
          </w:tcPr>
          <w:p w14:paraId="65B3705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46CCE76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72D6616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14:paraId="2FABE8D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14:paraId="1ADF9DE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20≤X＜300</w:t>
            </w:r>
          </w:p>
        </w:tc>
        <w:tc>
          <w:tcPr>
            <w:tcW w:w="1256" w:type="dxa"/>
            <w:tcBorders>
              <w:top w:val="nil"/>
              <w:left w:val="nil"/>
              <w:bottom w:val="nil"/>
              <w:right w:val="single" w:color="auto" w:sz="4" w:space="0"/>
            </w:tcBorders>
            <w:vAlign w:val="center"/>
          </w:tcPr>
          <w:p w14:paraId="3FBE0B6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w:t>
            </w:r>
          </w:p>
        </w:tc>
      </w:tr>
      <w:tr w14:paraId="62819A3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6044F71">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1A082C19">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6C7C18D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26142A2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Y≥30000</w:t>
            </w:r>
          </w:p>
        </w:tc>
        <w:tc>
          <w:tcPr>
            <w:tcW w:w="1950" w:type="dxa"/>
            <w:tcBorders>
              <w:top w:val="nil"/>
              <w:left w:val="nil"/>
              <w:bottom w:val="single" w:color="auto" w:sz="4" w:space="0"/>
              <w:right w:val="single" w:color="auto" w:sz="4" w:space="0"/>
            </w:tcBorders>
            <w:vAlign w:val="center"/>
          </w:tcPr>
          <w:p w14:paraId="0EDE1F8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2000≤Y＜30000</w:t>
            </w:r>
          </w:p>
        </w:tc>
        <w:tc>
          <w:tcPr>
            <w:tcW w:w="1650" w:type="dxa"/>
            <w:tcBorders>
              <w:top w:val="nil"/>
              <w:left w:val="nil"/>
              <w:bottom w:val="single" w:color="auto" w:sz="4" w:space="0"/>
              <w:right w:val="single" w:color="auto" w:sz="4" w:space="0"/>
            </w:tcBorders>
            <w:vAlign w:val="center"/>
          </w:tcPr>
          <w:p w14:paraId="57F5944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7F84D49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6AEAC31C">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2F87A8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住宿业</w:t>
            </w:r>
          </w:p>
        </w:tc>
        <w:tc>
          <w:tcPr>
            <w:tcW w:w="1515" w:type="dxa"/>
            <w:tcBorders>
              <w:top w:val="nil"/>
              <w:left w:val="nil"/>
              <w:bottom w:val="nil"/>
              <w:right w:val="single" w:color="auto" w:sz="4" w:space="0"/>
            </w:tcBorders>
            <w:vAlign w:val="center"/>
          </w:tcPr>
          <w:p w14:paraId="5157B3A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5F848A0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219BB39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14:paraId="1F6B2416">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14:paraId="687EEFA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14:paraId="6F4B687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5B6DC82D">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7D11B40">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1611A2B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0E5A4E4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41EA4F8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377417A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3EE7139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034A022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4DD145F4">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C1C820B">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餐饮业</w:t>
            </w:r>
          </w:p>
        </w:tc>
        <w:tc>
          <w:tcPr>
            <w:tcW w:w="1515" w:type="dxa"/>
            <w:tcBorders>
              <w:top w:val="nil"/>
              <w:left w:val="nil"/>
              <w:bottom w:val="nil"/>
              <w:right w:val="single" w:color="auto" w:sz="4" w:space="0"/>
            </w:tcBorders>
            <w:vAlign w:val="center"/>
          </w:tcPr>
          <w:p w14:paraId="0FF1804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6F00CB0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1DBDECD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14:paraId="57ADFC3F">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14:paraId="66A2FE3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14:paraId="66B37A7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5362FAB5">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154D2BC">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0789EF20">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515BB5A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B873B6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1C50530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2000≤Y＜10000</w:t>
            </w:r>
          </w:p>
        </w:tc>
        <w:tc>
          <w:tcPr>
            <w:tcW w:w="1650" w:type="dxa"/>
            <w:tcBorders>
              <w:top w:val="nil"/>
              <w:left w:val="nil"/>
              <w:bottom w:val="single" w:color="auto" w:sz="4" w:space="0"/>
              <w:right w:val="single" w:color="auto" w:sz="4" w:space="0"/>
            </w:tcBorders>
            <w:vAlign w:val="center"/>
          </w:tcPr>
          <w:p w14:paraId="52BED67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100≤Y＜2000</w:t>
            </w:r>
          </w:p>
        </w:tc>
        <w:tc>
          <w:tcPr>
            <w:tcW w:w="1256" w:type="dxa"/>
            <w:tcBorders>
              <w:top w:val="nil"/>
              <w:left w:val="nil"/>
              <w:bottom w:val="single" w:color="auto" w:sz="4" w:space="0"/>
              <w:right w:val="single" w:color="auto" w:sz="4" w:space="0"/>
            </w:tcBorders>
            <w:vAlign w:val="center"/>
          </w:tcPr>
          <w:p w14:paraId="654FE3E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2011373E">
        <w:tblPrEx>
          <w:tblCellMar>
            <w:top w:w="0" w:type="dxa"/>
            <w:left w:w="108" w:type="dxa"/>
            <w:bottom w:w="0" w:type="dxa"/>
            <w:right w:w="108" w:type="dxa"/>
          </w:tblCellMar>
        </w:tblPrEx>
        <w:trPr>
          <w:trHeight w:val="405"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6804DA72">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信息传输业 *</w:t>
            </w:r>
          </w:p>
        </w:tc>
        <w:tc>
          <w:tcPr>
            <w:tcW w:w="1515" w:type="dxa"/>
            <w:tcBorders>
              <w:top w:val="nil"/>
              <w:left w:val="nil"/>
              <w:bottom w:val="nil"/>
              <w:right w:val="single" w:color="auto" w:sz="4" w:space="0"/>
            </w:tcBorders>
            <w:vAlign w:val="center"/>
          </w:tcPr>
          <w:p w14:paraId="087F8EF4">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1E77704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3FB7250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X≥2000</w:t>
            </w:r>
          </w:p>
        </w:tc>
        <w:tc>
          <w:tcPr>
            <w:tcW w:w="1950" w:type="dxa"/>
            <w:tcBorders>
              <w:top w:val="nil"/>
              <w:left w:val="nil"/>
              <w:bottom w:val="nil"/>
              <w:right w:val="single" w:color="auto" w:sz="4" w:space="0"/>
            </w:tcBorders>
            <w:vAlign w:val="center"/>
          </w:tcPr>
          <w:p w14:paraId="598412D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100≤X＜2000</w:t>
            </w:r>
          </w:p>
        </w:tc>
        <w:tc>
          <w:tcPr>
            <w:tcW w:w="1650" w:type="dxa"/>
            <w:tcBorders>
              <w:top w:val="nil"/>
              <w:left w:val="nil"/>
              <w:bottom w:val="nil"/>
              <w:right w:val="single" w:color="auto" w:sz="4" w:space="0"/>
            </w:tcBorders>
            <w:vAlign w:val="center"/>
          </w:tcPr>
          <w:p w14:paraId="14EA059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14:paraId="7FCFD48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404CC0EA">
        <w:tblPrEx>
          <w:tblCellMar>
            <w:top w:w="0" w:type="dxa"/>
            <w:left w:w="108" w:type="dxa"/>
            <w:bottom w:w="0" w:type="dxa"/>
            <w:right w:w="108" w:type="dxa"/>
          </w:tblCellMar>
        </w:tblPrEx>
        <w:trPr>
          <w:trHeight w:val="405"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10FC3F15">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3139399E">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336B516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23303E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Y≥100000</w:t>
            </w:r>
          </w:p>
        </w:tc>
        <w:tc>
          <w:tcPr>
            <w:tcW w:w="1950" w:type="dxa"/>
            <w:tcBorders>
              <w:top w:val="nil"/>
              <w:left w:val="nil"/>
              <w:bottom w:val="single" w:color="auto" w:sz="4" w:space="0"/>
              <w:right w:val="single" w:color="auto" w:sz="4" w:space="0"/>
            </w:tcBorders>
            <w:vAlign w:val="center"/>
          </w:tcPr>
          <w:p w14:paraId="167BBF0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1000≤Y＜100000</w:t>
            </w:r>
          </w:p>
        </w:tc>
        <w:tc>
          <w:tcPr>
            <w:tcW w:w="1650" w:type="dxa"/>
            <w:tcBorders>
              <w:top w:val="nil"/>
              <w:left w:val="nil"/>
              <w:bottom w:val="single" w:color="auto" w:sz="4" w:space="0"/>
              <w:right w:val="single" w:color="auto" w:sz="4" w:space="0"/>
            </w:tcBorders>
            <w:vAlign w:val="center"/>
          </w:tcPr>
          <w:p w14:paraId="106EB42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single" w:color="auto" w:sz="4" w:space="0"/>
              <w:right w:val="single" w:color="auto" w:sz="4" w:space="0"/>
            </w:tcBorders>
            <w:vAlign w:val="center"/>
          </w:tcPr>
          <w:p w14:paraId="2B56F59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464BE254">
        <w:tblPrEx>
          <w:tblCellMar>
            <w:top w:w="0" w:type="dxa"/>
            <w:left w:w="108" w:type="dxa"/>
            <w:bottom w:w="0" w:type="dxa"/>
            <w:right w:w="108" w:type="dxa"/>
          </w:tblCellMar>
        </w:tblPrEx>
        <w:trPr>
          <w:trHeight w:val="347" w:hRule="exact"/>
          <w:jc w:val="center"/>
        </w:trPr>
        <w:tc>
          <w:tcPr>
            <w:tcW w:w="2088" w:type="dxa"/>
            <w:vMerge w:val="restart"/>
            <w:tcBorders>
              <w:top w:val="single" w:color="auto" w:sz="4" w:space="0"/>
              <w:left w:val="single" w:color="auto" w:sz="4" w:space="0"/>
              <w:bottom w:val="single" w:color="auto" w:sz="4" w:space="0"/>
              <w:right w:val="single" w:color="auto" w:sz="4" w:space="0"/>
            </w:tcBorders>
            <w:vAlign w:val="center"/>
          </w:tcPr>
          <w:p w14:paraId="6F281EA3">
            <w:pPr>
              <w:widowControl/>
              <w:spacing w:line="240" w:lineRule="exact"/>
              <w:ind w:firstLine="0" w:firstLineChars="0"/>
              <w:jc w:val="center"/>
              <w:rPr>
                <w:rFonts w:ascii="宋体" w:hAnsi="宋体" w:eastAsia="宋体" w:cs="宋体"/>
                <w:color w:val="000000"/>
                <w:spacing w:val="-12"/>
                <w:kern w:val="0"/>
                <w:sz w:val="22"/>
                <w:szCs w:val="22"/>
              </w:rPr>
            </w:pPr>
            <w:r>
              <w:rPr>
                <w:rFonts w:hint="eastAsia" w:ascii="宋体" w:hAnsi="宋体" w:eastAsia="宋体" w:cs="宋体"/>
                <w:color w:val="000000"/>
                <w:spacing w:val="-12"/>
                <w:kern w:val="0"/>
                <w:sz w:val="22"/>
                <w:szCs w:val="22"/>
              </w:rPr>
              <w:t>软件和信息技术服</w:t>
            </w:r>
            <w:r>
              <w:rPr>
                <w:rFonts w:hint="eastAsia" w:ascii="宋体" w:hAnsi="宋体" w:eastAsia="宋体" w:cs="宋体"/>
                <w:color w:val="000000"/>
                <w:kern w:val="0"/>
                <w:sz w:val="22"/>
                <w:szCs w:val="22"/>
              </w:rPr>
              <w:t>务业</w:t>
            </w:r>
          </w:p>
        </w:tc>
        <w:tc>
          <w:tcPr>
            <w:tcW w:w="1515" w:type="dxa"/>
            <w:tcBorders>
              <w:top w:val="nil"/>
              <w:left w:val="nil"/>
              <w:bottom w:val="nil"/>
              <w:right w:val="single" w:color="auto" w:sz="4" w:space="0"/>
            </w:tcBorders>
            <w:vAlign w:val="center"/>
          </w:tcPr>
          <w:p w14:paraId="2D010D7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12C3FB1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0EBAF66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14:paraId="0ED11044">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14:paraId="5C36874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14:paraId="4DB7FFD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043BF42F">
        <w:tblPrEx>
          <w:tblCellMar>
            <w:top w:w="0" w:type="dxa"/>
            <w:left w:w="108" w:type="dxa"/>
            <w:bottom w:w="0" w:type="dxa"/>
            <w:right w:w="108" w:type="dxa"/>
          </w:tblCellMar>
        </w:tblPrEx>
        <w:trPr>
          <w:trHeight w:val="347" w:hRule="exact"/>
          <w:jc w:val="center"/>
        </w:trPr>
        <w:tc>
          <w:tcPr>
            <w:tcW w:w="2088" w:type="dxa"/>
            <w:vMerge w:val="continue"/>
            <w:tcBorders>
              <w:top w:val="single" w:color="auto" w:sz="4" w:space="0"/>
              <w:left w:val="single" w:color="auto" w:sz="4" w:space="0"/>
              <w:bottom w:val="single" w:color="auto" w:sz="4" w:space="0"/>
              <w:right w:val="single" w:color="auto" w:sz="4" w:space="0"/>
            </w:tcBorders>
            <w:vAlign w:val="center"/>
          </w:tcPr>
          <w:p w14:paraId="33AC3F3C">
            <w:pPr>
              <w:widowControl/>
              <w:spacing w:line="240" w:lineRule="auto"/>
              <w:ind w:firstLine="0" w:firstLineChars="0"/>
              <w:jc w:val="center"/>
              <w:rPr>
                <w:rFonts w:ascii="宋体" w:hAnsi="宋体" w:eastAsia="宋体" w:cs="宋体"/>
                <w:color w:val="000000"/>
                <w:spacing w:val="-12"/>
                <w:kern w:val="0"/>
                <w:sz w:val="22"/>
                <w:szCs w:val="22"/>
              </w:rPr>
            </w:pPr>
          </w:p>
        </w:tc>
        <w:tc>
          <w:tcPr>
            <w:tcW w:w="1515" w:type="dxa"/>
            <w:tcBorders>
              <w:top w:val="nil"/>
              <w:left w:val="nil"/>
              <w:bottom w:val="single" w:color="auto" w:sz="4" w:space="0"/>
              <w:right w:val="single" w:color="auto" w:sz="4" w:space="0"/>
            </w:tcBorders>
            <w:vAlign w:val="center"/>
          </w:tcPr>
          <w:p w14:paraId="568EFF1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4762636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5E596B9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Y≥10000</w:t>
            </w:r>
          </w:p>
        </w:tc>
        <w:tc>
          <w:tcPr>
            <w:tcW w:w="1950" w:type="dxa"/>
            <w:tcBorders>
              <w:top w:val="nil"/>
              <w:left w:val="nil"/>
              <w:bottom w:val="single" w:color="auto" w:sz="4" w:space="0"/>
              <w:right w:val="single" w:color="auto" w:sz="4" w:space="0"/>
            </w:tcBorders>
            <w:vAlign w:val="center"/>
          </w:tcPr>
          <w:p w14:paraId="5263F36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1000≤Y＜10000</w:t>
            </w:r>
          </w:p>
        </w:tc>
        <w:tc>
          <w:tcPr>
            <w:tcW w:w="1650" w:type="dxa"/>
            <w:tcBorders>
              <w:top w:val="nil"/>
              <w:left w:val="nil"/>
              <w:bottom w:val="single" w:color="auto" w:sz="4" w:space="0"/>
              <w:right w:val="single" w:color="auto" w:sz="4" w:space="0"/>
            </w:tcBorders>
            <w:vAlign w:val="center"/>
          </w:tcPr>
          <w:p w14:paraId="1ADC058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50≤Y＜1000</w:t>
            </w:r>
          </w:p>
        </w:tc>
        <w:tc>
          <w:tcPr>
            <w:tcW w:w="1256" w:type="dxa"/>
            <w:tcBorders>
              <w:top w:val="nil"/>
              <w:left w:val="nil"/>
              <w:bottom w:val="single" w:color="auto" w:sz="4" w:space="0"/>
              <w:right w:val="single" w:color="auto" w:sz="4" w:space="0"/>
            </w:tcBorders>
            <w:vAlign w:val="center"/>
          </w:tcPr>
          <w:p w14:paraId="752F42DF">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w:t>
            </w:r>
          </w:p>
        </w:tc>
      </w:tr>
      <w:tr w14:paraId="61A87295">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012F911C">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房地产开发经营</w:t>
            </w:r>
          </w:p>
        </w:tc>
        <w:tc>
          <w:tcPr>
            <w:tcW w:w="1515" w:type="dxa"/>
            <w:tcBorders>
              <w:top w:val="nil"/>
              <w:left w:val="nil"/>
              <w:bottom w:val="nil"/>
              <w:right w:val="single" w:color="auto" w:sz="4" w:space="0"/>
            </w:tcBorders>
            <w:vAlign w:val="center"/>
          </w:tcPr>
          <w:p w14:paraId="0A869EA4">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nil"/>
              <w:right w:val="single" w:color="auto" w:sz="4" w:space="0"/>
            </w:tcBorders>
            <w:vAlign w:val="center"/>
          </w:tcPr>
          <w:p w14:paraId="6FAF963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nil"/>
              <w:right w:val="single" w:color="auto" w:sz="4" w:space="0"/>
            </w:tcBorders>
            <w:vAlign w:val="center"/>
          </w:tcPr>
          <w:p w14:paraId="7734B79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Y≥200000</w:t>
            </w:r>
          </w:p>
        </w:tc>
        <w:tc>
          <w:tcPr>
            <w:tcW w:w="1950" w:type="dxa"/>
            <w:tcBorders>
              <w:top w:val="nil"/>
              <w:left w:val="nil"/>
              <w:bottom w:val="nil"/>
              <w:right w:val="single" w:color="auto" w:sz="4" w:space="0"/>
            </w:tcBorders>
            <w:vAlign w:val="center"/>
          </w:tcPr>
          <w:p w14:paraId="4F2971D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1000≤Y＜200000</w:t>
            </w:r>
          </w:p>
        </w:tc>
        <w:tc>
          <w:tcPr>
            <w:tcW w:w="1650" w:type="dxa"/>
            <w:tcBorders>
              <w:top w:val="nil"/>
              <w:left w:val="nil"/>
              <w:bottom w:val="nil"/>
              <w:right w:val="single" w:color="auto" w:sz="4" w:space="0"/>
            </w:tcBorders>
            <w:vAlign w:val="center"/>
          </w:tcPr>
          <w:p w14:paraId="0F32035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100≤Y＜1000</w:t>
            </w:r>
          </w:p>
        </w:tc>
        <w:tc>
          <w:tcPr>
            <w:tcW w:w="1256" w:type="dxa"/>
            <w:tcBorders>
              <w:top w:val="nil"/>
              <w:left w:val="nil"/>
              <w:bottom w:val="nil"/>
              <w:right w:val="single" w:color="auto" w:sz="4" w:space="0"/>
            </w:tcBorders>
            <w:vAlign w:val="center"/>
          </w:tcPr>
          <w:p w14:paraId="04B05A1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Y＜100</w:t>
            </w:r>
          </w:p>
        </w:tc>
      </w:tr>
      <w:tr w14:paraId="4946C0CE">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46239D59">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2C13C645">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550FF98D">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94A73C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Z≥10000</w:t>
            </w:r>
          </w:p>
        </w:tc>
        <w:tc>
          <w:tcPr>
            <w:tcW w:w="1950" w:type="dxa"/>
            <w:tcBorders>
              <w:top w:val="nil"/>
              <w:left w:val="nil"/>
              <w:bottom w:val="single" w:color="auto" w:sz="4" w:space="0"/>
              <w:right w:val="single" w:color="auto" w:sz="4" w:space="0"/>
            </w:tcBorders>
            <w:vAlign w:val="center"/>
          </w:tcPr>
          <w:p w14:paraId="3304408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5000≤Z＜10000</w:t>
            </w:r>
          </w:p>
        </w:tc>
        <w:tc>
          <w:tcPr>
            <w:tcW w:w="1650" w:type="dxa"/>
            <w:tcBorders>
              <w:top w:val="nil"/>
              <w:left w:val="nil"/>
              <w:bottom w:val="single" w:color="auto" w:sz="4" w:space="0"/>
              <w:right w:val="single" w:color="auto" w:sz="4" w:space="0"/>
            </w:tcBorders>
            <w:vAlign w:val="center"/>
          </w:tcPr>
          <w:p w14:paraId="60DB4C1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2000≤Z＜5000</w:t>
            </w:r>
          </w:p>
        </w:tc>
        <w:tc>
          <w:tcPr>
            <w:tcW w:w="1256" w:type="dxa"/>
            <w:tcBorders>
              <w:top w:val="nil"/>
              <w:left w:val="nil"/>
              <w:bottom w:val="single" w:color="auto" w:sz="4" w:space="0"/>
              <w:right w:val="single" w:color="auto" w:sz="4" w:space="0"/>
            </w:tcBorders>
            <w:vAlign w:val="center"/>
          </w:tcPr>
          <w:p w14:paraId="1F9120CA">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Z＜2000</w:t>
            </w:r>
          </w:p>
        </w:tc>
      </w:tr>
      <w:tr w14:paraId="4B5C9AB2">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4FE47077">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物业管理</w:t>
            </w:r>
          </w:p>
        </w:tc>
        <w:tc>
          <w:tcPr>
            <w:tcW w:w="1515" w:type="dxa"/>
            <w:tcBorders>
              <w:top w:val="nil"/>
              <w:left w:val="nil"/>
              <w:bottom w:val="nil"/>
              <w:right w:val="single" w:color="auto" w:sz="4" w:space="0"/>
            </w:tcBorders>
            <w:vAlign w:val="center"/>
          </w:tcPr>
          <w:p w14:paraId="0F69553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1DF040C1">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2142FEE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X≥1000</w:t>
            </w:r>
          </w:p>
        </w:tc>
        <w:tc>
          <w:tcPr>
            <w:tcW w:w="1950" w:type="dxa"/>
            <w:tcBorders>
              <w:top w:val="nil"/>
              <w:left w:val="nil"/>
              <w:bottom w:val="nil"/>
              <w:right w:val="single" w:color="auto" w:sz="4" w:space="0"/>
            </w:tcBorders>
            <w:vAlign w:val="center"/>
          </w:tcPr>
          <w:p w14:paraId="41F7387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300≤X＜1000</w:t>
            </w:r>
          </w:p>
        </w:tc>
        <w:tc>
          <w:tcPr>
            <w:tcW w:w="1650" w:type="dxa"/>
            <w:tcBorders>
              <w:top w:val="nil"/>
              <w:left w:val="nil"/>
              <w:bottom w:val="nil"/>
              <w:right w:val="single" w:color="auto" w:sz="4" w:space="0"/>
            </w:tcBorders>
            <w:vAlign w:val="center"/>
          </w:tcPr>
          <w:p w14:paraId="2148D44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256" w:type="dxa"/>
            <w:tcBorders>
              <w:top w:val="nil"/>
              <w:left w:val="nil"/>
              <w:bottom w:val="nil"/>
              <w:right w:val="single" w:color="auto" w:sz="4" w:space="0"/>
            </w:tcBorders>
            <w:vAlign w:val="center"/>
          </w:tcPr>
          <w:p w14:paraId="1AFBAF20">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X＜100</w:t>
            </w:r>
          </w:p>
        </w:tc>
      </w:tr>
      <w:tr w14:paraId="04328F00">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6804F372">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4D5707AF">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营业收入(Y)</w:t>
            </w:r>
          </w:p>
        </w:tc>
        <w:tc>
          <w:tcPr>
            <w:tcW w:w="717" w:type="dxa"/>
            <w:tcBorders>
              <w:top w:val="nil"/>
              <w:left w:val="nil"/>
              <w:bottom w:val="single" w:color="auto" w:sz="4" w:space="0"/>
              <w:right w:val="single" w:color="auto" w:sz="4" w:space="0"/>
            </w:tcBorders>
            <w:vAlign w:val="center"/>
          </w:tcPr>
          <w:p w14:paraId="2E08827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059B31B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Y≥5000</w:t>
            </w:r>
          </w:p>
        </w:tc>
        <w:tc>
          <w:tcPr>
            <w:tcW w:w="1950" w:type="dxa"/>
            <w:tcBorders>
              <w:top w:val="nil"/>
              <w:left w:val="nil"/>
              <w:bottom w:val="single" w:color="auto" w:sz="4" w:space="0"/>
              <w:right w:val="single" w:color="auto" w:sz="4" w:space="0"/>
            </w:tcBorders>
            <w:vAlign w:val="center"/>
          </w:tcPr>
          <w:p w14:paraId="4382217E">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1000≤Y＜5000</w:t>
            </w:r>
          </w:p>
        </w:tc>
        <w:tc>
          <w:tcPr>
            <w:tcW w:w="1650" w:type="dxa"/>
            <w:tcBorders>
              <w:top w:val="nil"/>
              <w:left w:val="nil"/>
              <w:bottom w:val="single" w:color="auto" w:sz="4" w:space="0"/>
              <w:right w:val="single" w:color="auto" w:sz="4" w:space="0"/>
            </w:tcBorders>
            <w:vAlign w:val="center"/>
          </w:tcPr>
          <w:p w14:paraId="354D8257">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500≤Y＜1000</w:t>
            </w:r>
          </w:p>
        </w:tc>
        <w:tc>
          <w:tcPr>
            <w:tcW w:w="1256" w:type="dxa"/>
            <w:tcBorders>
              <w:top w:val="nil"/>
              <w:left w:val="nil"/>
              <w:bottom w:val="single" w:color="auto" w:sz="4" w:space="0"/>
              <w:right w:val="single" w:color="auto" w:sz="4" w:space="0"/>
            </w:tcBorders>
            <w:vAlign w:val="center"/>
          </w:tcPr>
          <w:p w14:paraId="70A6EFFB">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Y＜500</w:t>
            </w:r>
          </w:p>
        </w:tc>
      </w:tr>
      <w:tr w14:paraId="509EC476">
        <w:tblPrEx>
          <w:tblCellMar>
            <w:top w:w="0" w:type="dxa"/>
            <w:left w:w="108" w:type="dxa"/>
            <w:bottom w:w="0" w:type="dxa"/>
            <w:right w:w="108" w:type="dxa"/>
          </w:tblCellMar>
        </w:tblPrEx>
        <w:trPr>
          <w:trHeight w:val="347" w:hRule="exact"/>
          <w:jc w:val="center"/>
        </w:trPr>
        <w:tc>
          <w:tcPr>
            <w:tcW w:w="2088" w:type="dxa"/>
            <w:vMerge w:val="restart"/>
            <w:tcBorders>
              <w:top w:val="nil"/>
              <w:left w:val="single" w:color="auto" w:sz="4" w:space="0"/>
              <w:bottom w:val="single" w:color="auto" w:sz="4" w:space="0"/>
              <w:right w:val="single" w:color="auto" w:sz="4" w:space="0"/>
            </w:tcBorders>
            <w:vAlign w:val="center"/>
          </w:tcPr>
          <w:p w14:paraId="7F356F11">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租赁和商务服务业</w:t>
            </w:r>
          </w:p>
        </w:tc>
        <w:tc>
          <w:tcPr>
            <w:tcW w:w="1515" w:type="dxa"/>
            <w:tcBorders>
              <w:top w:val="nil"/>
              <w:left w:val="nil"/>
              <w:bottom w:val="nil"/>
              <w:right w:val="single" w:color="auto" w:sz="4" w:space="0"/>
            </w:tcBorders>
            <w:vAlign w:val="center"/>
          </w:tcPr>
          <w:p w14:paraId="724CC66E">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nil"/>
              <w:right w:val="single" w:color="auto" w:sz="4" w:space="0"/>
            </w:tcBorders>
            <w:vAlign w:val="center"/>
          </w:tcPr>
          <w:p w14:paraId="0BDCE59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nil"/>
              <w:right w:val="single" w:color="auto" w:sz="4" w:space="0"/>
            </w:tcBorders>
            <w:vAlign w:val="center"/>
          </w:tcPr>
          <w:p w14:paraId="69354F3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nil"/>
              <w:right w:val="single" w:color="auto" w:sz="4" w:space="0"/>
            </w:tcBorders>
            <w:vAlign w:val="center"/>
          </w:tcPr>
          <w:p w14:paraId="61ED000C">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nil"/>
              <w:right w:val="single" w:color="auto" w:sz="4" w:space="0"/>
            </w:tcBorders>
            <w:vAlign w:val="center"/>
          </w:tcPr>
          <w:p w14:paraId="794B07C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nil"/>
              <w:right w:val="single" w:color="auto" w:sz="4" w:space="0"/>
            </w:tcBorders>
            <w:vAlign w:val="center"/>
          </w:tcPr>
          <w:p w14:paraId="26A9FB5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r w14:paraId="42E71FBB">
        <w:tblPrEx>
          <w:tblCellMar>
            <w:top w:w="0" w:type="dxa"/>
            <w:left w:w="108" w:type="dxa"/>
            <w:bottom w:w="0" w:type="dxa"/>
            <w:right w:w="108" w:type="dxa"/>
          </w:tblCellMar>
        </w:tblPrEx>
        <w:trPr>
          <w:trHeight w:val="347" w:hRule="exact"/>
          <w:jc w:val="center"/>
        </w:trPr>
        <w:tc>
          <w:tcPr>
            <w:tcW w:w="2088" w:type="dxa"/>
            <w:vMerge w:val="continue"/>
            <w:tcBorders>
              <w:top w:val="nil"/>
              <w:left w:val="single" w:color="auto" w:sz="4" w:space="0"/>
              <w:bottom w:val="single" w:color="auto" w:sz="4" w:space="0"/>
              <w:right w:val="single" w:color="auto" w:sz="4" w:space="0"/>
            </w:tcBorders>
            <w:vAlign w:val="center"/>
          </w:tcPr>
          <w:p w14:paraId="20FF808E">
            <w:pPr>
              <w:widowControl/>
              <w:spacing w:line="240" w:lineRule="auto"/>
              <w:ind w:firstLine="0" w:firstLineChars="0"/>
              <w:jc w:val="center"/>
              <w:rPr>
                <w:rFonts w:ascii="宋体" w:hAnsi="宋体" w:eastAsia="宋体" w:cs="宋体"/>
                <w:color w:val="000000"/>
                <w:kern w:val="0"/>
                <w:sz w:val="22"/>
                <w:szCs w:val="22"/>
              </w:rPr>
            </w:pPr>
          </w:p>
        </w:tc>
        <w:tc>
          <w:tcPr>
            <w:tcW w:w="1515" w:type="dxa"/>
            <w:tcBorders>
              <w:top w:val="nil"/>
              <w:left w:val="nil"/>
              <w:bottom w:val="single" w:color="auto" w:sz="4" w:space="0"/>
              <w:right w:val="single" w:color="auto" w:sz="4" w:space="0"/>
            </w:tcBorders>
            <w:vAlign w:val="center"/>
          </w:tcPr>
          <w:p w14:paraId="083647E6">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资产总额(Z)</w:t>
            </w:r>
          </w:p>
        </w:tc>
        <w:tc>
          <w:tcPr>
            <w:tcW w:w="717" w:type="dxa"/>
            <w:tcBorders>
              <w:top w:val="nil"/>
              <w:left w:val="nil"/>
              <w:bottom w:val="single" w:color="auto" w:sz="4" w:space="0"/>
              <w:right w:val="single" w:color="auto" w:sz="4" w:space="0"/>
            </w:tcBorders>
            <w:vAlign w:val="center"/>
          </w:tcPr>
          <w:p w14:paraId="6D32FAA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万元</w:t>
            </w:r>
          </w:p>
        </w:tc>
        <w:tc>
          <w:tcPr>
            <w:tcW w:w="1320" w:type="dxa"/>
            <w:tcBorders>
              <w:top w:val="nil"/>
              <w:left w:val="nil"/>
              <w:bottom w:val="single" w:color="auto" w:sz="4" w:space="0"/>
              <w:right w:val="single" w:color="auto" w:sz="4" w:space="0"/>
            </w:tcBorders>
            <w:vAlign w:val="center"/>
          </w:tcPr>
          <w:p w14:paraId="6A1F685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Z≥120000</w:t>
            </w:r>
          </w:p>
        </w:tc>
        <w:tc>
          <w:tcPr>
            <w:tcW w:w="1950" w:type="dxa"/>
            <w:tcBorders>
              <w:top w:val="nil"/>
              <w:left w:val="nil"/>
              <w:bottom w:val="single" w:color="auto" w:sz="4" w:space="0"/>
              <w:right w:val="single" w:color="auto" w:sz="4" w:space="0"/>
            </w:tcBorders>
            <w:vAlign w:val="center"/>
          </w:tcPr>
          <w:p w14:paraId="61448F0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8000≤Z＜120000</w:t>
            </w:r>
          </w:p>
        </w:tc>
        <w:tc>
          <w:tcPr>
            <w:tcW w:w="1650" w:type="dxa"/>
            <w:tcBorders>
              <w:top w:val="nil"/>
              <w:left w:val="nil"/>
              <w:bottom w:val="single" w:color="auto" w:sz="4" w:space="0"/>
              <w:right w:val="single" w:color="auto" w:sz="4" w:space="0"/>
            </w:tcBorders>
            <w:vAlign w:val="center"/>
          </w:tcPr>
          <w:p w14:paraId="2DBC1723">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100≤Z＜8000</w:t>
            </w:r>
          </w:p>
        </w:tc>
        <w:tc>
          <w:tcPr>
            <w:tcW w:w="1256" w:type="dxa"/>
            <w:tcBorders>
              <w:top w:val="nil"/>
              <w:left w:val="nil"/>
              <w:bottom w:val="single" w:color="auto" w:sz="4" w:space="0"/>
              <w:right w:val="single" w:color="auto" w:sz="4" w:space="0"/>
            </w:tcBorders>
            <w:vAlign w:val="center"/>
          </w:tcPr>
          <w:p w14:paraId="5AB2E335">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Z＜100</w:t>
            </w:r>
          </w:p>
        </w:tc>
      </w:tr>
      <w:tr w14:paraId="51B10362">
        <w:tblPrEx>
          <w:tblCellMar>
            <w:top w:w="0" w:type="dxa"/>
            <w:left w:w="108" w:type="dxa"/>
            <w:bottom w:w="0" w:type="dxa"/>
            <w:right w:w="108" w:type="dxa"/>
          </w:tblCellMar>
        </w:tblPrEx>
        <w:trPr>
          <w:trHeight w:val="415" w:hRule="exact"/>
          <w:jc w:val="center"/>
        </w:trPr>
        <w:tc>
          <w:tcPr>
            <w:tcW w:w="2088" w:type="dxa"/>
            <w:tcBorders>
              <w:top w:val="nil"/>
              <w:left w:val="single" w:color="auto" w:sz="4" w:space="0"/>
              <w:bottom w:val="single" w:color="auto" w:sz="4" w:space="0"/>
              <w:right w:val="single" w:color="auto" w:sz="4" w:space="0"/>
            </w:tcBorders>
            <w:vAlign w:val="center"/>
          </w:tcPr>
          <w:p w14:paraId="564C1D05">
            <w:pPr>
              <w:widowControl/>
              <w:spacing w:line="240" w:lineRule="exac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其他未列明行业 *</w:t>
            </w:r>
          </w:p>
        </w:tc>
        <w:tc>
          <w:tcPr>
            <w:tcW w:w="1515" w:type="dxa"/>
            <w:tcBorders>
              <w:top w:val="nil"/>
              <w:left w:val="nil"/>
              <w:bottom w:val="single" w:color="auto" w:sz="4" w:space="0"/>
              <w:right w:val="single" w:color="auto" w:sz="4" w:space="0"/>
            </w:tcBorders>
            <w:vAlign w:val="center"/>
          </w:tcPr>
          <w:p w14:paraId="6BD25D22">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从业人员(X)</w:t>
            </w:r>
          </w:p>
        </w:tc>
        <w:tc>
          <w:tcPr>
            <w:tcW w:w="717" w:type="dxa"/>
            <w:tcBorders>
              <w:top w:val="nil"/>
              <w:left w:val="nil"/>
              <w:bottom w:val="single" w:color="auto" w:sz="4" w:space="0"/>
              <w:right w:val="single" w:color="auto" w:sz="4" w:space="0"/>
            </w:tcBorders>
            <w:vAlign w:val="center"/>
          </w:tcPr>
          <w:p w14:paraId="0A6F9EC9">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人</w:t>
            </w:r>
          </w:p>
        </w:tc>
        <w:tc>
          <w:tcPr>
            <w:tcW w:w="1320" w:type="dxa"/>
            <w:tcBorders>
              <w:top w:val="nil"/>
              <w:left w:val="nil"/>
              <w:bottom w:val="single" w:color="auto" w:sz="4" w:space="0"/>
              <w:right w:val="single" w:color="auto" w:sz="4" w:space="0"/>
            </w:tcBorders>
            <w:vAlign w:val="center"/>
          </w:tcPr>
          <w:p w14:paraId="758E38A6">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X≥300</w:t>
            </w:r>
          </w:p>
        </w:tc>
        <w:tc>
          <w:tcPr>
            <w:tcW w:w="1950" w:type="dxa"/>
            <w:tcBorders>
              <w:top w:val="nil"/>
              <w:left w:val="nil"/>
              <w:bottom w:val="single" w:color="auto" w:sz="4" w:space="0"/>
              <w:right w:val="single" w:color="auto" w:sz="4" w:space="0"/>
            </w:tcBorders>
            <w:vAlign w:val="center"/>
          </w:tcPr>
          <w:p w14:paraId="7AB68EBB">
            <w:pPr>
              <w:widowControl/>
              <w:spacing w:line="240" w:lineRule="auto"/>
              <w:ind w:left="25" w:leftChars="-51" w:hanging="132" w:hangingChars="6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100≤X＜300</w:t>
            </w:r>
          </w:p>
        </w:tc>
        <w:tc>
          <w:tcPr>
            <w:tcW w:w="1650" w:type="dxa"/>
            <w:tcBorders>
              <w:top w:val="nil"/>
              <w:left w:val="nil"/>
              <w:bottom w:val="single" w:color="auto" w:sz="4" w:space="0"/>
              <w:right w:val="single" w:color="auto" w:sz="4" w:space="0"/>
            </w:tcBorders>
            <w:vAlign w:val="center"/>
          </w:tcPr>
          <w:p w14:paraId="6465565C">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10≤X＜100</w:t>
            </w:r>
          </w:p>
        </w:tc>
        <w:tc>
          <w:tcPr>
            <w:tcW w:w="1256" w:type="dxa"/>
            <w:tcBorders>
              <w:top w:val="nil"/>
              <w:left w:val="nil"/>
              <w:bottom w:val="single" w:color="auto" w:sz="4" w:space="0"/>
              <w:right w:val="single" w:color="auto" w:sz="4" w:space="0"/>
            </w:tcBorders>
            <w:vAlign w:val="center"/>
          </w:tcPr>
          <w:p w14:paraId="6F088638">
            <w:pPr>
              <w:widowControl/>
              <w:spacing w:line="240" w:lineRule="auto"/>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X＜10</w:t>
            </w:r>
          </w:p>
        </w:tc>
      </w:tr>
    </w:tbl>
    <w:p w14:paraId="78279B14">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14:paraId="0ED4A250">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14:paraId="12D64B8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1D60E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14:paraId="6A6F9F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14:paraId="7F4FE7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1E720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14:paraId="477898EB">
      <w:pPr>
        <w:spacing w:line="560" w:lineRule="exact"/>
        <w:ind w:firstLine="482"/>
        <w:outlineLvl w:val="1"/>
        <w:rPr>
          <w:rFonts w:ascii="宋体" w:hAnsi="宋体" w:cs="宋体"/>
          <w:b/>
          <w:sz w:val="24"/>
        </w:rPr>
      </w:pPr>
    </w:p>
    <w:p w14:paraId="37A52696">
      <w:pPr>
        <w:pStyle w:val="2"/>
      </w:pPr>
    </w:p>
    <w:p w14:paraId="13184DCA">
      <w:pPr>
        <w:pStyle w:val="30"/>
        <w:ind w:firstLine="482" w:firstLineChars="200"/>
        <w:rPr>
          <w:highlight w:val="none"/>
        </w:rPr>
        <w:sectPr>
          <w:footerReference r:id="rId13" w:type="default"/>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本项目对应的“中小企业划分标准”所属行业是属于“其他未列明行业”。</w:t>
      </w:r>
    </w:p>
    <w:p w14:paraId="6B82BDED">
      <w:pPr>
        <w:spacing w:line="360" w:lineRule="auto"/>
        <w:ind w:firstLine="562"/>
        <w:jc w:val="center"/>
        <w:outlineLvl w:val="1"/>
        <w:rPr>
          <w:rFonts w:ascii="宋体" w:hAnsi="宋体" w:eastAsia="宋体" w:cs="宋体"/>
          <w:color w:val="000000"/>
          <w:kern w:val="0"/>
          <w:szCs w:val="21"/>
        </w:rPr>
      </w:pPr>
      <w:r>
        <w:rPr>
          <w:rFonts w:hint="eastAsia" w:ascii="宋体" w:hAnsi="宋体" w:eastAsia="宋体" w:cs="宋体"/>
          <w:b/>
          <w:bCs/>
          <w:color w:val="000000"/>
          <w:sz w:val="28"/>
          <w:szCs w:val="28"/>
          <w:lang w:eastAsia="zh-CN"/>
        </w:rPr>
        <w:t>七</w:t>
      </w:r>
      <w:r>
        <w:rPr>
          <w:rFonts w:hint="eastAsia" w:ascii="宋体" w:hAnsi="宋体" w:eastAsia="宋体" w:cs="宋体"/>
          <w:b/>
          <w:bCs/>
          <w:color w:val="000000"/>
          <w:sz w:val="28"/>
          <w:szCs w:val="28"/>
        </w:rPr>
        <w:t>、残疾人福利性单位声明函</w:t>
      </w:r>
      <w:bookmarkEnd w:id="1454"/>
      <w:bookmarkEnd w:id="1458"/>
    </w:p>
    <w:p w14:paraId="104B3A34">
      <w:pPr>
        <w:spacing w:line="360" w:lineRule="auto"/>
        <w:ind w:firstLine="480"/>
        <w:jc w:val="center"/>
        <w:rPr>
          <w:rFonts w:ascii="宋体" w:hAnsi="宋体" w:eastAsia="宋体" w:cs="宋体"/>
          <w:color w:val="000000"/>
          <w:sz w:val="24"/>
          <w:szCs w:val="24"/>
        </w:rPr>
      </w:pPr>
    </w:p>
    <w:p w14:paraId="4C0D19CF">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14:paraId="40AA0B74">
      <w:pPr>
        <w:pStyle w:val="33"/>
        <w:ind w:firstLine="480"/>
        <w:rPr>
          <w:rFonts w:ascii="宋体" w:hAnsi="宋体" w:eastAsia="宋体" w:cs="宋体"/>
          <w:color w:val="000000"/>
          <w:sz w:val="24"/>
          <w:szCs w:val="24"/>
        </w:rPr>
      </w:pPr>
    </w:p>
    <w:p w14:paraId="6E7F7959">
      <w:pPr>
        <w:spacing w:line="360" w:lineRule="auto"/>
        <w:ind w:firstLine="480"/>
        <w:rPr>
          <w:rFonts w:ascii="宋体" w:hAnsi="宋体" w:eastAsia="宋体" w:cs="宋体"/>
          <w:color w:val="000000"/>
          <w:sz w:val="24"/>
          <w:szCs w:val="24"/>
        </w:rPr>
      </w:pPr>
    </w:p>
    <w:p w14:paraId="25430F80">
      <w:pPr>
        <w:spacing w:line="480" w:lineRule="auto"/>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w:t>
      </w:r>
      <w:r>
        <w:rPr>
          <w:rFonts w:hint="eastAsia" w:ascii="宋体" w:hAnsi="宋体" w:eastAsia="宋体" w:cs="宋体"/>
          <w:color w:val="000000"/>
          <w:sz w:val="24"/>
          <w:szCs w:val="24"/>
          <w:lang w:eastAsia="zh-CN"/>
        </w:rPr>
        <w:t>（请进行选择）</w:t>
      </w:r>
    </w:p>
    <w:p w14:paraId="1E3D471F">
      <w:pPr>
        <w:spacing w:line="500" w:lineRule="exact"/>
        <w:ind w:left="0" w:leftChars="0" w:firstLine="641" w:firstLineChars="266"/>
        <w:rPr>
          <w:rFonts w:hint="eastAsia" w:ascii="宋体" w:hAnsi="宋体" w:eastAsia="宋体" w:cs="宋体"/>
          <w:b/>
          <w:bCs/>
          <w:sz w:val="24"/>
          <w:szCs w:val="24"/>
          <w:lang w:eastAsia="zh-CN"/>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不属于</w:t>
      </w:r>
      <w:r>
        <w:rPr>
          <w:rFonts w:hint="eastAsia" w:ascii="宋体" w:hAnsi="宋体" w:eastAsia="宋体" w:cs="宋体"/>
          <w:b/>
          <w:bCs/>
          <w:color w:val="000000"/>
          <w:sz w:val="24"/>
          <w:szCs w:val="24"/>
        </w:rPr>
        <w:t>符合条件的残疾人福利性单位</w:t>
      </w:r>
      <w:r>
        <w:rPr>
          <w:rFonts w:hint="eastAsia" w:ascii="宋体" w:hAnsi="宋体" w:eastAsia="宋体" w:cs="宋体"/>
          <w:b/>
          <w:bCs/>
          <w:color w:val="000000"/>
          <w:sz w:val="24"/>
          <w:szCs w:val="24"/>
          <w:lang w:eastAsia="zh-CN"/>
        </w:rPr>
        <w:t>。</w:t>
      </w:r>
    </w:p>
    <w:p w14:paraId="0432E1B8">
      <w:pPr>
        <w:spacing w:line="500" w:lineRule="exact"/>
        <w:ind w:left="0" w:leftChars="0" w:firstLine="641" w:firstLineChars="266"/>
        <w:rPr>
          <w:rFonts w:ascii="宋体" w:hAnsi="宋体" w:eastAsia="宋体" w:cs="宋体"/>
          <w:color w:val="000000"/>
          <w:sz w:val="24"/>
          <w:szCs w:val="24"/>
        </w:rPr>
      </w:pPr>
      <w:r>
        <w:rPr>
          <w:rFonts w:hint="eastAsia" w:ascii="宋体" w:hAnsi="宋体" w:eastAsia="宋体" w:cs="宋体"/>
          <w:b/>
          <w:bCs/>
          <w:sz w:val="24"/>
          <w:szCs w:val="24"/>
        </w:rPr>
        <w:sym w:font="Wingdings 2" w:char="00A3"/>
      </w:r>
      <w:r>
        <w:rPr>
          <w:rFonts w:hint="eastAsia" w:ascii="宋体" w:hAnsi="宋体" w:eastAsia="宋体" w:cs="宋体"/>
          <w:b/>
          <w:bCs/>
          <w:sz w:val="24"/>
          <w:szCs w:val="24"/>
          <w:lang w:eastAsia="zh-CN"/>
        </w:rPr>
        <w:t>属于</w:t>
      </w:r>
      <w:r>
        <w:rPr>
          <w:rFonts w:hint="eastAsia" w:ascii="宋体" w:hAnsi="宋体" w:eastAsia="宋体" w:cs="宋体"/>
          <w:b/>
          <w:bCs/>
          <w:sz w:val="24"/>
          <w:szCs w:val="24"/>
        </w:rPr>
        <w:t>符合条件的残疾人福利性单位</w:t>
      </w:r>
      <w:r>
        <w:rPr>
          <w:rFonts w:hint="eastAsia" w:ascii="宋体" w:hAnsi="宋体" w:eastAsia="宋体" w:cs="宋体"/>
          <w:b/>
          <w:bCs/>
          <w:sz w:val="24"/>
          <w:szCs w:val="24"/>
          <w:lang w:eastAsia="zh-CN"/>
        </w:rPr>
        <w:t>，</w:t>
      </w:r>
      <w:r>
        <w:rPr>
          <w:rFonts w:hint="eastAsia" w:ascii="宋体" w:hAnsi="宋体" w:eastAsia="宋体" w:cs="宋体"/>
          <w:color w:val="000000"/>
          <w:sz w:val="24"/>
          <w:szCs w:val="24"/>
          <w:lang w:eastAsia="zh-CN"/>
        </w:rPr>
        <w:t>且本单位参加</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单位的</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项目</w:t>
      </w:r>
      <w:r>
        <w:rPr>
          <w:rFonts w:hint="eastAsia" w:ascii="宋体" w:hAnsi="宋体" w:eastAsia="宋体" w:cs="宋体"/>
          <w:color w:val="000000"/>
          <w:sz w:val="24"/>
          <w:szCs w:val="24"/>
        </w:rPr>
        <w:t>参加本次政府采购活动提供本单位制造的货物</w:t>
      </w:r>
      <w:r>
        <w:rPr>
          <w:rFonts w:hint="eastAsia" w:ascii="宋体" w:hAnsi="宋体" w:eastAsia="宋体" w:cs="宋体"/>
          <w:color w:val="000000"/>
          <w:sz w:val="24"/>
          <w:szCs w:val="24"/>
          <w:lang w:eastAsia="zh-CN"/>
        </w:rPr>
        <w:t>（由本单位承担的工程</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，或者提供（其他残疾人福利性单位名称）制造的货物（不包括使用非残疾人福利性单位注册商标的货物）。</w:t>
      </w:r>
    </w:p>
    <w:p w14:paraId="31ACB7E7">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14:paraId="28A57E25">
      <w:pPr>
        <w:spacing w:line="360" w:lineRule="auto"/>
        <w:ind w:firstLine="480"/>
        <w:rPr>
          <w:rFonts w:ascii="宋体" w:hAnsi="宋体" w:eastAsia="宋体" w:cs="宋体"/>
          <w:color w:val="000000"/>
          <w:sz w:val="24"/>
          <w:szCs w:val="24"/>
        </w:rPr>
      </w:pPr>
    </w:p>
    <w:p w14:paraId="79C48364">
      <w:pPr>
        <w:spacing w:line="360" w:lineRule="auto"/>
        <w:ind w:firstLine="480"/>
        <w:rPr>
          <w:rFonts w:ascii="宋体" w:hAnsi="宋体" w:eastAsia="宋体" w:cs="宋体"/>
          <w:color w:val="000000"/>
          <w:sz w:val="24"/>
          <w:szCs w:val="24"/>
        </w:rPr>
      </w:pPr>
    </w:p>
    <w:p w14:paraId="4A8866C2">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lang w:eastAsia="zh-CN"/>
        </w:rPr>
        <w:t>单位盖章</w:t>
      </w:r>
      <w:r>
        <w:rPr>
          <w:rFonts w:hint="eastAsia" w:ascii="宋体" w:hAnsi="宋体" w:eastAsia="宋体" w:cs="宋体"/>
          <w:color w:val="000000"/>
          <w:sz w:val="24"/>
          <w:szCs w:val="24"/>
        </w:rPr>
        <w:t>）：</w:t>
      </w:r>
    </w:p>
    <w:p w14:paraId="3DCAB2F3">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14:paraId="702F831A">
      <w:pPr>
        <w:pStyle w:val="18"/>
        <w:ind w:firstLine="422"/>
        <w:rPr>
          <w:rFonts w:ascii="宋体" w:hAnsi="宋体" w:eastAsia="宋体" w:cs="宋体"/>
          <w:b/>
          <w:color w:val="000000"/>
          <w:sz w:val="21"/>
          <w:szCs w:val="21"/>
        </w:rPr>
      </w:pPr>
    </w:p>
    <w:p w14:paraId="3DAF7233">
      <w:pPr>
        <w:pStyle w:val="18"/>
        <w:ind w:firstLine="422"/>
        <w:rPr>
          <w:rFonts w:ascii="宋体" w:hAnsi="宋体" w:eastAsia="宋体" w:cs="宋体"/>
          <w:b/>
          <w:color w:val="000000"/>
          <w:sz w:val="21"/>
          <w:szCs w:val="21"/>
        </w:rPr>
      </w:pPr>
    </w:p>
    <w:p w14:paraId="5BA5C8A5">
      <w:pPr>
        <w:pStyle w:val="18"/>
        <w:ind w:firstLine="422"/>
        <w:rPr>
          <w:rFonts w:ascii="宋体" w:hAnsi="宋体" w:eastAsia="宋体" w:cs="宋体"/>
          <w:b/>
          <w:color w:val="000000"/>
          <w:sz w:val="21"/>
          <w:szCs w:val="21"/>
        </w:rPr>
      </w:pPr>
    </w:p>
    <w:p w14:paraId="44592C6E">
      <w:pPr>
        <w:pStyle w:val="18"/>
        <w:ind w:firstLine="422"/>
        <w:rPr>
          <w:rFonts w:ascii="宋体" w:hAnsi="宋体" w:eastAsia="宋体" w:cs="宋体"/>
          <w:b/>
          <w:color w:val="000000"/>
          <w:sz w:val="21"/>
          <w:szCs w:val="21"/>
        </w:rPr>
      </w:pPr>
    </w:p>
    <w:p w14:paraId="7AFEAF50">
      <w:pPr>
        <w:pStyle w:val="18"/>
        <w:ind w:firstLine="422"/>
        <w:rPr>
          <w:rFonts w:ascii="宋体" w:hAnsi="宋体" w:eastAsia="宋体" w:cs="宋体"/>
          <w:b/>
          <w:color w:val="000000"/>
          <w:sz w:val="21"/>
          <w:szCs w:val="21"/>
        </w:rPr>
      </w:pPr>
    </w:p>
    <w:p w14:paraId="651659F6">
      <w:pPr>
        <w:pStyle w:val="18"/>
        <w:ind w:firstLine="422"/>
        <w:rPr>
          <w:rFonts w:ascii="宋体" w:hAnsi="宋体" w:eastAsia="宋体" w:cs="宋体"/>
          <w:b/>
          <w:color w:val="000000"/>
          <w:sz w:val="21"/>
          <w:szCs w:val="21"/>
        </w:rPr>
      </w:pPr>
    </w:p>
    <w:p w14:paraId="57702230">
      <w:pPr>
        <w:pStyle w:val="18"/>
        <w:ind w:firstLine="422"/>
        <w:rPr>
          <w:rFonts w:ascii="宋体" w:hAnsi="宋体" w:eastAsia="宋体" w:cs="宋体"/>
          <w:b/>
          <w:color w:val="000000"/>
          <w:sz w:val="21"/>
          <w:szCs w:val="21"/>
        </w:rPr>
      </w:pPr>
    </w:p>
    <w:p w14:paraId="2E46025B">
      <w:pPr>
        <w:pStyle w:val="18"/>
        <w:ind w:firstLine="422"/>
        <w:rPr>
          <w:rFonts w:ascii="宋体" w:hAnsi="宋体" w:eastAsia="宋体" w:cs="宋体"/>
          <w:b/>
          <w:color w:val="000000"/>
          <w:sz w:val="21"/>
          <w:szCs w:val="21"/>
        </w:rPr>
      </w:pPr>
    </w:p>
    <w:p w14:paraId="016B40D3">
      <w:pPr>
        <w:pStyle w:val="7"/>
        <w:ind w:left="425" w:firstLine="0" w:firstLineChars="0"/>
        <w:jc w:val="center"/>
        <w:outlineLvl w:val="1"/>
        <w:rPr>
          <w:rFonts w:eastAsia="宋体" w:cs="宋体"/>
          <w:bCs/>
          <w:color w:val="000000"/>
          <w:sz w:val="28"/>
          <w:szCs w:val="28"/>
        </w:rPr>
      </w:pPr>
      <w:bookmarkStart w:id="1459" w:name="_Toc10431"/>
      <w:bookmarkStart w:id="1460" w:name="_Toc2382"/>
      <w:r>
        <w:rPr>
          <w:rFonts w:hint="eastAsia" w:eastAsia="宋体" w:cs="宋体"/>
          <w:bCs/>
          <w:color w:val="000000"/>
          <w:sz w:val="28"/>
          <w:szCs w:val="28"/>
          <w:lang w:eastAsia="zh-CN"/>
        </w:rPr>
        <w:t>八</w:t>
      </w:r>
      <w:r>
        <w:rPr>
          <w:rFonts w:hint="eastAsia" w:eastAsia="宋体" w:cs="宋体"/>
          <w:bCs/>
          <w:color w:val="000000"/>
          <w:sz w:val="28"/>
          <w:szCs w:val="28"/>
        </w:rPr>
        <w:t>、监狱企业证明文件（如有）</w:t>
      </w:r>
      <w:bookmarkEnd w:id="1459"/>
      <w:bookmarkEnd w:id="1460"/>
    </w:p>
    <w:p w14:paraId="72854B7B">
      <w:pPr>
        <w:spacing w:line="360" w:lineRule="auto"/>
        <w:ind w:firstLine="420"/>
        <w:rPr>
          <w:rFonts w:ascii="宋体" w:hAnsi="宋体" w:eastAsia="宋体" w:cs="宋体"/>
          <w:color w:val="000000"/>
          <w:szCs w:val="21"/>
        </w:rPr>
      </w:pPr>
    </w:p>
    <w:p w14:paraId="40534C21">
      <w:pPr>
        <w:spacing w:line="480" w:lineRule="auto"/>
        <w:ind w:firstLine="480"/>
        <w:rPr>
          <w:rFonts w:ascii="宋体" w:hAnsi="宋体" w:eastAsia="宋体" w:cs="宋体"/>
          <w:color w:val="000000"/>
          <w:sz w:val="24"/>
          <w:szCs w:val="24"/>
        </w:rPr>
      </w:pPr>
    </w:p>
    <w:p w14:paraId="7945E29E">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价格扣除，但必须提供由省级以上监狱管理局、戒毒管理局（含新疆生产建设兵团）出具的属于监狱企业的证明文件，否则评审时不予价格扣除优惠。</w:t>
      </w:r>
    </w:p>
    <w:p w14:paraId="77497693">
      <w:pPr>
        <w:spacing w:line="360" w:lineRule="auto"/>
        <w:ind w:firstLine="420"/>
        <w:jc w:val="center"/>
        <w:rPr>
          <w:rFonts w:ascii="宋体" w:hAnsi="宋体" w:eastAsia="宋体" w:cs="宋体"/>
          <w:color w:val="000000"/>
          <w:szCs w:val="21"/>
        </w:rPr>
      </w:pPr>
    </w:p>
    <w:p w14:paraId="5F09F549">
      <w:pPr>
        <w:spacing w:line="360" w:lineRule="auto"/>
        <w:ind w:firstLine="420"/>
        <w:jc w:val="center"/>
        <w:rPr>
          <w:rFonts w:ascii="宋体" w:hAnsi="宋体" w:eastAsia="宋体" w:cs="宋体"/>
          <w:color w:val="000000"/>
          <w:szCs w:val="21"/>
        </w:rPr>
      </w:pPr>
    </w:p>
    <w:p w14:paraId="5545925A">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14:paraId="6AEBB7D7">
      <w:pPr>
        <w:pStyle w:val="6"/>
        <w:ind w:left="425" w:firstLine="0" w:firstLineChars="0"/>
        <w:rPr>
          <w:rFonts w:ascii="宋体" w:hAnsi="宋体" w:eastAsia="宋体" w:cs="宋体"/>
          <w:sz w:val="28"/>
          <w:szCs w:val="28"/>
        </w:rPr>
      </w:pPr>
    </w:p>
    <w:p w14:paraId="2FF9004F">
      <w:pPr>
        <w:pStyle w:val="6"/>
        <w:ind w:left="425" w:firstLine="0" w:firstLineChars="0"/>
        <w:rPr>
          <w:rFonts w:ascii="宋体" w:hAnsi="宋体" w:eastAsia="宋体" w:cs="宋体"/>
          <w:sz w:val="28"/>
          <w:szCs w:val="28"/>
        </w:rPr>
      </w:pPr>
    </w:p>
    <w:p w14:paraId="36602C23">
      <w:pPr>
        <w:pStyle w:val="6"/>
        <w:ind w:left="425" w:firstLine="0" w:firstLineChars="0"/>
        <w:rPr>
          <w:rFonts w:ascii="宋体" w:hAnsi="宋体" w:eastAsia="宋体" w:cs="宋体"/>
          <w:sz w:val="28"/>
          <w:szCs w:val="28"/>
        </w:rPr>
      </w:pPr>
    </w:p>
    <w:p w14:paraId="49678097">
      <w:pPr>
        <w:pStyle w:val="6"/>
        <w:ind w:left="425" w:firstLine="0" w:firstLineChars="0"/>
        <w:rPr>
          <w:rFonts w:ascii="宋体" w:hAnsi="宋体" w:eastAsia="宋体" w:cs="宋体"/>
          <w:sz w:val="28"/>
          <w:szCs w:val="28"/>
        </w:rPr>
      </w:pPr>
    </w:p>
    <w:p w14:paraId="6A7C88EA">
      <w:pPr>
        <w:pStyle w:val="6"/>
        <w:ind w:left="425" w:firstLine="0" w:firstLineChars="0"/>
        <w:rPr>
          <w:rFonts w:ascii="宋体" w:hAnsi="宋体" w:eastAsia="宋体" w:cs="宋体"/>
          <w:sz w:val="28"/>
          <w:szCs w:val="28"/>
        </w:rPr>
      </w:pPr>
    </w:p>
    <w:p w14:paraId="386B9C58">
      <w:pPr>
        <w:ind w:firstLine="562"/>
        <w:rPr>
          <w:rFonts w:ascii="宋体" w:hAnsi="宋体" w:eastAsia="宋体" w:cs="宋体"/>
          <w:b/>
          <w:bCs/>
          <w:color w:val="000000"/>
          <w:sz w:val="28"/>
          <w:szCs w:val="28"/>
        </w:rPr>
      </w:pPr>
    </w:p>
    <w:p w14:paraId="2537C9C6">
      <w:pPr>
        <w:pStyle w:val="2"/>
        <w:ind w:firstLine="210"/>
      </w:pPr>
    </w:p>
    <w:p w14:paraId="6CE0231B">
      <w:pPr>
        <w:spacing w:line="360" w:lineRule="auto"/>
        <w:ind w:firstLine="422"/>
        <w:jc w:val="center"/>
        <w:rPr>
          <w:rFonts w:ascii="宋体" w:hAnsi="宋体" w:eastAsia="宋体" w:cs="宋体"/>
          <w:b/>
          <w:color w:val="000000"/>
          <w:szCs w:val="21"/>
        </w:rPr>
      </w:pPr>
    </w:p>
    <w:p w14:paraId="1F1CE45F">
      <w:pPr>
        <w:spacing w:line="360" w:lineRule="auto"/>
        <w:ind w:firstLine="422"/>
        <w:jc w:val="center"/>
        <w:rPr>
          <w:rFonts w:ascii="宋体" w:hAnsi="宋体" w:eastAsia="宋体" w:cs="宋体"/>
          <w:b/>
          <w:color w:val="000000"/>
          <w:szCs w:val="21"/>
        </w:rPr>
      </w:pPr>
    </w:p>
    <w:p w14:paraId="19FBA037">
      <w:pPr>
        <w:pStyle w:val="33"/>
        <w:ind w:firstLine="422"/>
        <w:rPr>
          <w:rFonts w:ascii="宋体" w:hAnsi="宋体" w:eastAsia="宋体" w:cs="宋体"/>
          <w:b/>
          <w:color w:val="000000"/>
          <w:szCs w:val="21"/>
        </w:rPr>
      </w:pPr>
    </w:p>
    <w:p w14:paraId="4ACCAA42">
      <w:pPr>
        <w:pStyle w:val="33"/>
        <w:ind w:firstLine="422"/>
        <w:rPr>
          <w:rFonts w:ascii="宋体" w:hAnsi="宋体" w:eastAsia="宋体" w:cs="宋体"/>
          <w:b/>
          <w:color w:val="000000"/>
          <w:szCs w:val="21"/>
        </w:rPr>
      </w:pPr>
    </w:p>
    <w:p w14:paraId="1FD4593C">
      <w:pPr>
        <w:pStyle w:val="33"/>
        <w:ind w:firstLine="422"/>
        <w:rPr>
          <w:rFonts w:ascii="宋体" w:hAnsi="宋体" w:eastAsia="宋体" w:cs="宋体"/>
          <w:b/>
          <w:color w:val="000000"/>
          <w:szCs w:val="21"/>
        </w:rPr>
      </w:pPr>
    </w:p>
    <w:p w14:paraId="6F3DB037">
      <w:pPr>
        <w:pStyle w:val="33"/>
        <w:ind w:firstLine="422"/>
        <w:rPr>
          <w:rFonts w:ascii="宋体" w:hAnsi="宋体" w:eastAsia="宋体" w:cs="宋体"/>
          <w:b/>
          <w:color w:val="000000"/>
          <w:szCs w:val="21"/>
        </w:rPr>
      </w:pPr>
    </w:p>
    <w:p w14:paraId="1FEE001A">
      <w:pPr>
        <w:pStyle w:val="7"/>
        <w:ind w:firstLine="562"/>
        <w:jc w:val="center"/>
        <w:outlineLvl w:val="1"/>
        <w:rPr>
          <w:rFonts w:eastAsia="宋体" w:cs="宋体"/>
          <w:bCs/>
          <w:color w:val="000000"/>
          <w:sz w:val="28"/>
          <w:szCs w:val="28"/>
        </w:rPr>
      </w:pPr>
      <w:bookmarkStart w:id="1461" w:name="_Toc23831"/>
      <w:bookmarkStart w:id="1462" w:name="_Toc16862"/>
      <w:r>
        <w:rPr>
          <w:rFonts w:hint="eastAsia" w:eastAsia="宋体" w:cs="宋体"/>
          <w:bCs/>
          <w:color w:val="000000"/>
          <w:sz w:val="28"/>
          <w:szCs w:val="28"/>
          <w:lang w:eastAsia="zh-CN"/>
        </w:rPr>
        <w:t>九</w:t>
      </w:r>
      <w:r>
        <w:rPr>
          <w:rFonts w:hint="eastAsia" w:eastAsia="宋体" w:cs="宋体"/>
          <w:bCs/>
          <w:color w:val="000000"/>
          <w:sz w:val="28"/>
          <w:szCs w:val="28"/>
        </w:rPr>
        <w:t>、反商业贿赂承诺书</w:t>
      </w:r>
      <w:bookmarkEnd w:id="1461"/>
      <w:bookmarkEnd w:id="1462"/>
    </w:p>
    <w:p w14:paraId="66D5FD1F">
      <w:pPr>
        <w:pStyle w:val="2"/>
        <w:ind w:firstLine="210"/>
        <w:rPr>
          <w:rFonts w:ascii="宋体" w:hAnsi="宋体" w:eastAsia="宋体" w:cs="宋体"/>
          <w:color w:val="000000"/>
          <w:szCs w:val="21"/>
        </w:rPr>
      </w:pPr>
    </w:p>
    <w:p w14:paraId="05560E7B">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14:paraId="5087152E">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14:paraId="304332BD">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14:paraId="0EBD00AB">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A3C4AE4">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14:paraId="7DA508A4">
      <w:pPr>
        <w:spacing w:line="360" w:lineRule="auto"/>
        <w:ind w:left="645" w:firstLine="420"/>
        <w:outlineLvl w:val="0"/>
        <w:rPr>
          <w:rFonts w:ascii="宋体" w:hAnsi="宋体" w:eastAsia="宋体" w:cs="宋体"/>
          <w:color w:val="000000"/>
          <w:szCs w:val="21"/>
        </w:rPr>
      </w:pPr>
    </w:p>
    <w:p w14:paraId="64C7A848">
      <w:pPr>
        <w:spacing w:line="360" w:lineRule="auto"/>
        <w:ind w:left="645" w:firstLine="420"/>
        <w:outlineLvl w:val="0"/>
        <w:rPr>
          <w:rFonts w:ascii="宋体" w:hAnsi="宋体" w:eastAsia="宋体" w:cs="宋体"/>
          <w:color w:val="000000"/>
          <w:szCs w:val="21"/>
        </w:rPr>
      </w:pPr>
    </w:p>
    <w:p w14:paraId="5E46AA74">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14:paraId="3DD39E85">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14:paraId="3DB28C4A">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0F46A631">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pgNumType w:fmt="decimal"/>
          <w:cols w:space="425" w:num="1"/>
          <w:docGrid w:type="lines" w:linePitch="312" w:charSpace="0"/>
        </w:sectPr>
      </w:pPr>
    </w:p>
    <w:p w14:paraId="73D10BCE">
      <w:pPr>
        <w:pStyle w:val="7"/>
        <w:numPr>
          <w:ilvl w:val="0"/>
          <w:numId w:val="0"/>
        </w:numPr>
        <w:bidi w:val="0"/>
        <w:ind w:firstLine="562" w:firstLineChars="200"/>
        <w:jc w:val="center"/>
        <w:outlineLvl w:val="1"/>
        <w:rPr>
          <w:rFonts w:hint="eastAsia" w:ascii="宋体" w:hAnsi="宋体" w:eastAsia="宋体" w:cs="宋体"/>
          <w:b/>
          <w:bCs/>
          <w:color w:val="000000"/>
          <w:kern w:val="2"/>
          <w:sz w:val="28"/>
          <w:szCs w:val="28"/>
          <w:lang w:val="en-US" w:eastAsia="zh-CN" w:bidi="ar-SA"/>
        </w:rPr>
      </w:pPr>
      <w:bookmarkStart w:id="1463" w:name="_Toc27343"/>
      <w:r>
        <w:rPr>
          <w:rFonts w:hint="eastAsia" w:ascii="宋体" w:hAnsi="宋体" w:eastAsia="宋体" w:cs="宋体"/>
          <w:b/>
          <w:bCs/>
          <w:color w:val="000000"/>
          <w:kern w:val="2"/>
          <w:sz w:val="28"/>
          <w:szCs w:val="28"/>
          <w:lang w:val="en-US" w:eastAsia="zh-CN" w:bidi="ar-SA"/>
        </w:rPr>
        <w:t>十、其他材料</w:t>
      </w:r>
      <w:bookmarkEnd w:id="1463"/>
    </w:p>
    <w:p w14:paraId="5F72F178">
      <w:pPr>
        <w:pStyle w:val="21"/>
        <w:shd w:val="clear" w:color="auto" w:fill="FFFFFF"/>
        <w:bidi w:val="0"/>
        <w:spacing w:before="0" w:beforeLines="0" w:beforeAutospacing="0" w:after="0" w:afterLines="0" w:afterAutospacing="0" w:line="405" w:lineRule="atLeast"/>
        <w:ind w:firstLine="495"/>
        <w:jc w:val="center"/>
        <w:rPr>
          <w:rFonts w:hint="eastAsia" w:eastAsia="宋体" w:cs="宋体"/>
          <w:b/>
          <w:color w:val="000000"/>
          <w:sz w:val="21"/>
          <w:szCs w:val="21"/>
          <w:lang w:val="en-US" w:eastAsia="zh-CN"/>
        </w:rPr>
      </w:pPr>
    </w:p>
    <w:p w14:paraId="3301A9E5">
      <w:pPr>
        <w:bidi w:val="0"/>
        <w:spacing w:line="360" w:lineRule="auto"/>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1、采购代理服务费承诺函</w:t>
      </w:r>
    </w:p>
    <w:p w14:paraId="18FD170C">
      <w:pPr>
        <w:pStyle w:val="21"/>
        <w:shd w:val="clear" w:color="auto" w:fill="FFFFFF"/>
        <w:bidi w:val="0"/>
        <w:spacing w:before="0" w:beforeLines="0" w:beforeAutospacing="0" w:after="0" w:afterLines="0" w:afterAutospacing="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69C3E7EB">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z w:val="24"/>
          <w:szCs w:val="24"/>
          <w:shd w:val="clear" w:color="auto" w:fill="FFFFFF"/>
        </w:rPr>
        <w:t>致</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u w:val="single"/>
          <w:shd w:val="clear" w:color="auto" w:fill="FFFFFF"/>
          <w:lang w:val="en-US" w:eastAsia="zh-CN"/>
        </w:rPr>
        <w:t xml:space="preserve">               </w:t>
      </w:r>
      <w:r>
        <w:rPr>
          <w:rFonts w:hint="eastAsia" w:ascii="宋体" w:hAnsi="宋体" w:eastAsia="宋体" w:cs="宋体"/>
          <w:color w:val="000000"/>
          <w:sz w:val="24"/>
          <w:szCs w:val="24"/>
          <w:u w:val="none"/>
          <w:shd w:val="clear" w:color="auto" w:fill="FFFFFF"/>
        </w:rPr>
        <w:t>（采购人及采购代理机构）</w:t>
      </w:r>
    </w:p>
    <w:p w14:paraId="7172442A">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我们在贵公司组织的（项目名称：</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w:t>
      </w:r>
      <w:r>
        <w:rPr>
          <w:rFonts w:hint="eastAsia" w:eastAsia="宋体" w:cs="宋体"/>
          <w:color w:val="000000"/>
          <w:spacing w:val="8"/>
          <w:sz w:val="24"/>
          <w:szCs w:val="24"/>
          <w:shd w:val="clear" w:color="auto" w:fill="FFFFFF"/>
          <w:lang w:eastAsia="zh-CN"/>
        </w:rPr>
        <w:t>项目</w:t>
      </w:r>
      <w:r>
        <w:rPr>
          <w:rFonts w:hint="eastAsia" w:ascii="宋体" w:hAnsi="宋体" w:eastAsia="宋体" w:cs="宋体"/>
          <w:color w:val="000000"/>
          <w:spacing w:val="8"/>
          <w:sz w:val="24"/>
          <w:szCs w:val="24"/>
          <w:shd w:val="clear" w:color="auto" w:fill="FFFFFF"/>
        </w:rPr>
        <w:t>编号：</w:t>
      </w:r>
      <w:r>
        <w:rPr>
          <w:rFonts w:hint="eastAsia" w:ascii="宋体" w:hAnsi="宋体" w:eastAsia="宋体" w:cs="宋体"/>
          <w:color w:val="000000"/>
          <w:spacing w:val="8"/>
          <w:sz w:val="24"/>
          <w:szCs w:val="24"/>
          <w:u w:val="single"/>
          <w:shd w:val="clear" w:color="auto" w:fill="FFFFFF"/>
        </w:rPr>
        <w:t xml:space="preserve">     </w:t>
      </w:r>
      <w:r>
        <w:rPr>
          <w:rFonts w:hint="eastAsia" w:ascii="宋体" w:hAnsi="宋体" w:eastAsia="宋体" w:cs="宋体"/>
          <w:color w:val="000000"/>
          <w:spacing w:val="8"/>
          <w:sz w:val="24"/>
          <w:szCs w:val="24"/>
          <w:shd w:val="clear" w:color="auto" w:fill="FFFFFF"/>
        </w:rPr>
        <w:t>）招标采购中若获中标（成交），我们保证在中标</w:t>
      </w:r>
      <w:r>
        <w:rPr>
          <w:rFonts w:hint="eastAsia" w:eastAsia="宋体" w:cs="宋体"/>
          <w:color w:val="000000"/>
          <w:spacing w:val="8"/>
          <w:sz w:val="24"/>
          <w:szCs w:val="24"/>
          <w:shd w:val="clear" w:color="auto" w:fill="FFFFFF"/>
          <w:lang w:eastAsia="zh-CN"/>
        </w:rPr>
        <w:t>（</w:t>
      </w:r>
      <w:r>
        <w:rPr>
          <w:rFonts w:hint="eastAsia" w:ascii="宋体" w:hAnsi="宋体" w:eastAsia="宋体" w:cs="宋体"/>
          <w:color w:val="000000"/>
          <w:spacing w:val="8"/>
          <w:sz w:val="24"/>
          <w:szCs w:val="24"/>
          <w:shd w:val="clear" w:color="auto" w:fill="FFFFFF"/>
        </w:rPr>
        <w:t>成交）结果公告发布后5个工作日内，按招标文件的规定，以支票、银行转账、汇票或现金，向贵公司一次性支付</w:t>
      </w:r>
      <w:r>
        <w:rPr>
          <w:rFonts w:hint="eastAsia" w:eastAsia="宋体" w:cs="宋体"/>
          <w:color w:val="000000"/>
          <w:spacing w:val="8"/>
          <w:sz w:val="24"/>
          <w:szCs w:val="24"/>
          <w:shd w:val="clear" w:color="auto" w:fill="FFFFFF"/>
          <w:lang w:eastAsia="zh-CN"/>
        </w:rPr>
        <w:t>采购代理</w:t>
      </w:r>
      <w:r>
        <w:rPr>
          <w:rFonts w:hint="eastAsia" w:ascii="宋体" w:hAnsi="宋体" w:eastAsia="宋体" w:cs="宋体"/>
          <w:color w:val="000000"/>
          <w:spacing w:val="8"/>
          <w:sz w:val="24"/>
          <w:szCs w:val="24"/>
          <w:shd w:val="clear" w:color="auto" w:fill="FFFFFF"/>
        </w:rPr>
        <w:t>服务费用。否则，由此产生的一切法律后果和责任由我公司承担。我公司声明放弃对此提出任何异议和追索的权利。</w:t>
      </w:r>
    </w:p>
    <w:p w14:paraId="30C25F60">
      <w:pPr>
        <w:pStyle w:val="21"/>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512" w:firstLineChars="200"/>
        <w:jc w:val="both"/>
        <w:textAlignment w:val="auto"/>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特此承诺。</w:t>
      </w:r>
    </w:p>
    <w:p w14:paraId="0F8F5775">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3FDB0120">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 </w:t>
      </w:r>
    </w:p>
    <w:p w14:paraId="1639D908">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供应商名称：</w:t>
      </w:r>
      <w:r>
        <w:rPr>
          <w:rFonts w:hint="eastAsia" w:ascii="宋体" w:hAnsi="宋体" w:eastAsia="宋体" w:cs="宋体"/>
          <w:color w:val="000000"/>
          <w:spacing w:val="8"/>
          <w:sz w:val="24"/>
          <w:szCs w:val="24"/>
          <w:u w:val="single"/>
          <w:shd w:val="clear" w:color="auto" w:fill="FFFFFF"/>
        </w:rPr>
        <w:t>          </w:t>
      </w:r>
      <w:r>
        <w:rPr>
          <w:rFonts w:hint="eastAsia" w:ascii="宋体" w:hAnsi="宋体" w:eastAsia="宋体" w:cs="宋体"/>
          <w:color w:val="000000"/>
          <w:spacing w:val="8"/>
          <w:sz w:val="24"/>
          <w:szCs w:val="24"/>
          <w:shd w:val="clear" w:color="auto" w:fill="FFFFFF"/>
        </w:rPr>
        <w:t>（单位电子签章）</w:t>
      </w:r>
    </w:p>
    <w:p w14:paraId="5BF70269">
      <w:pPr>
        <w:pStyle w:val="21"/>
        <w:shd w:val="clear" w:color="auto" w:fill="FFFFFF"/>
        <w:bidi w:val="0"/>
        <w:spacing w:before="0" w:beforeLines="0" w:beforeAutospacing="0" w:after="0" w:afterLines="0" w:afterAutospacing="0" w:line="360" w:lineRule="auto"/>
        <w:ind w:firstLine="465"/>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法定代表人或授权代表：</w:t>
      </w:r>
      <w:r>
        <w:rPr>
          <w:rFonts w:hint="eastAsia" w:ascii="宋体" w:hAnsi="宋体" w:eastAsia="宋体" w:cs="宋体"/>
          <w:color w:val="000000"/>
          <w:spacing w:val="8"/>
          <w:sz w:val="24"/>
          <w:szCs w:val="24"/>
          <w:u w:val="single"/>
          <w:shd w:val="clear" w:color="auto" w:fill="FFFFFF"/>
        </w:rPr>
        <w:t>      </w:t>
      </w:r>
      <w:r>
        <w:rPr>
          <w:rFonts w:hint="eastAsia" w:ascii="宋体" w:hAnsi="宋体" w:eastAsia="宋体" w:cs="宋体"/>
          <w:color w:val="000000"/>
          <w:spacing w:val="8"/>
          <w:sz w:val="24"/>
          <w:szCs w:val="24"/>
          <w:shd w:val="clear" w:color="auto" w:fill="FFFFFF"/>
        </w:rPr>
        <w:t>（电子签名或盖章）</w:t>
      </w:r>
    </w:p>
    <w:p w14:paraId="7C48C4B8">
      <w:pPr>
        <w:pStyle w:val="21"/>
        <w:shd w:val="clear" w:color="auto" w:fill="FFFFFF"/>
        <w:bidi w:val="0"/>
        <w:spacing w:before="0" w:beforeLines="0" w:beforeAutospacing="0" w:after="0" w:afterLines="0" w:afterAutospacing="0" w:line="360" w:lineRule="auto"/>
        <w:ind w:firstLine="480"/>
        <w:jc w:val="both"/>
        <w:rPr>
          <w:rFonts w:hint="eastAsia" w:ascii="宋体" w:hAnsi="宋体" w:eastAsia="宋体" w:cs="宋体"/>
          <w:color w:val="000000"/>
          <w:spacing w:val="8"/>
          <w:sz w:val="24"/>
          <w:szCs w:val="24"/>
        </w:rPr>
      </w:pPr>
      <w:r>
        <w:rPr>
          <w:rFonts w:hint="eastAsia" w:ascii="宋体" w:hAnsi="宋体" w:eastAsia="宋体" w:cs="宋体"/>
          <w:color w:val="000000"/>
          <w:spacing w:val="8"/>
          <w:sz w:val="24"/>
          <w:szCs w:val="24"/>
          <w:shd w:val="clear" w:color="auto" w:fill="FFFFFF"/>
        </w:rPr>
        <w:t>日期：</w:t>
      </w:r>
      <w:r>
        <w:rPr>
          <w:rFonts w:hint="eastAsia" w:ascii="宋体" w:hAnsi="宋体" w:eastAsia="宋体" w:cs="宋体"/>
          <w:color w:val="000000"/>
          <w:spacing w:val="8"/>
          <w:sz w:val="24"/>
          <w:szCs w:val="24"/>
          <w:u w:val="single"/>
          <w:shd w:val="clear" w:color="auto" w:fill="FFFFFF"/>
        </w:rPr>
        <w:t>       </w:t>
      </w:r>
    </w:p>
    <w:p w14:paraId="13370E1C">
      <w:pPr>
        <w:pStyle w:val="21"/>
        <w:shd w:val="clear" w:color="auto" w:fill="FFFFFF"/>
        <w:bidi w:val="0"/>
        <w:spacing w:before="0" w:beforeLines="0" w:beforeAutospacing="0" w:after="0" w:afterLines="0" w:afterAutospacing="0" w:line="360" w:lineRule="auto"/>
        <w:jc w:val="both"/>
        <w:rPr>
          <w:rFonts w:hint="eastAsia" w:ascii="宋体" w:hAnsi="宋体" w:eastAsia="宋体" w:cs="宋体"/>
          <w:color w:val="000000"/>
          <w:spacing w:val="8"/>
          <w:sz w:val="21"/>
          <w:szCs w:val="21"/>
        </w:rPr>
      </w:pPr>
      <w:r>
        <w:rPr>
          <w:rFonts w:hint="eastAsia" w:ascii="宋体" w:hAnsi="宋体" w:eastAsia="宋体" w:cs="宋体"/>
          <w:color w:val="000000"/>
          <w:spacing w:val="8"/>
          <w:sz w:val="21"/>
          <w:szCs w:val="21"/>
          <w:shd w:val="clear" w:color="auto" w:fill="FFFFFF"/>
        </w:rPr>
        <w:t> </w:t>
      </w:r>
    </w:p>
    <w:p w14:paraId="27DA50BE">
      <w:pPr>
        <w:bidi w:val="0"/>
        <w:rPr>
          <w:rFonts w:hint="eastAsia" w:ascii="宋体" w:hAnsi="宋体" w:eastAsia="宋体" w:cs="宋体"/>
          <w:color w:val="000000"/>
          <w:sz w:val="21"/>
          <w:szCs w:val="21"/>
        </w:rPr>
      </w:pPr>
    </w:p>
    <w:p w14:paraId="3552CD7A">
      <w:pPr>
        <w:bidi w:val="0"/>
        <w:spacing w:line="360" w:lineRule="auto"/>
        <w:jc w:val="center"/>
        <w:rPr>
          <w:rFonts w:hint="eastAsia" w:ascii="宋体" w:hAnsi="宋体" w:eastAsia="宋体" w:cs="宋体"/>
          <w:color w:val="000000"/>
          <w:sz w:val="21"/>
          <w:szCs w:val="21"/>
        </w:rPr>
      </w:pPr>
    </w:p>
    <w:p w14:paraId="55E6BB76">
      <w:pPr>
        <w:bidi w:val="0"/>
        <w:jc w:val="center"/>
        <w:rPr>
          <w:rFonts w:hint="eastAsia" w:ascii="宋体" w:hAnsi="宋体" w:eastAsia="宋体" w:cs="宋体"/>
          <w:color w:val="000000"/>
          <w:sz w:val="21"/>
          <w:szCs w:val="21"/>
        </w:rPr>
      </w:pPr>
      <w:r>
        <w:rPr>
          <w:rFonts w:hint="eastAsia" w:ascii="宋体" w:hAnsi="宋体" w:eastAsia="宋体" w:cs="宋体"/>
          <w:color w:val="000000"/>
          <w:sz w:val="21"/>
          <w:szCs w:val="21"/>
        </w:rPr>
        <w:br w:type="page"/>
      </w: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w:t>
      </w:r>
      <w:r>
        <w:rPr>
          <w:rFonts w:hint="eastAsia" w:ascii="宋体" w:hAnsi="宋体" w:eastAsia="宋体" w:cs="宋体"/>
          <w:b/>
          <w:color w:val="000000"/>
          <w:sz w:val="24"/>
          <w:szCs w:val="24"/>
          <w:lang w:eastAsia="zh-CN"/>
        </w:rPr>
        <w:t>其他</w:t>
      </w:r>
      <w:r>
        <w:rPr>
          <w:rFonts w:hint="eastAsia" w:ascii="宋体" w:hAnsi="宋体" w:eastAsia="宋体" w:cs="宋体"/>
          <w:b/>
          <w:color w:val="000000"/>
          <w:sz w:val="24"/>
          <w:szCs w:val="24"/>
        </w:rPr>
        <w:t>资料</w:t>
      </w:r>
    </w:p>
    <w:p w14:paraId="2B6DA6E7">
      <w:pPr>
        <w:bidi w:val="0"/>
        <w:jc w:val="center"/>
        <w:rPr>
          <w:rFonts w:hint="eastAsia" w:ascii="宋体" w:hAnsi="宋体" w:eastAsia="宋体" w:cs="宋体"/>
          <w:b/>
          <w:bCs/>
          <w:color w:val="000000"/>
          <w:sz w:val="21"/>
          <w:szCs w:val="21"/>
          <w:lang w:val="en-US" w:eastAsia="zh-CN"/>
        </w:rPr>
      </w:pPr>
    </w:p>
    <w:p w14:paraId="13E22115">
      <w:pPr>
        <w:jc w:val="center"/>
        <w:rPr>
          <w:rFonts w:hint="eastAsia" w:ascii="宋体" w:hAnsi="宋体" w:eastAsia="宋体" w:cs="宋体"/>
          <w:b/>
          <w:bCs/>
          <w:color w:val="auto"/>
          <w:sz w:val="21"/>
          <w:szCs w:val="21"/>
          <w:lang w:val="en-US" w:eastAsia="zh-CN"/>
        </w:rPr>
      </w:pPr>
    </w:p>
    <w:p w14:paraId="480543FB">
      <w:pPr>
        <w:jc w:val="center"/>
        <w:rPr>
          <w:rFonts w:hint="eastAsia" w:ascii="宋体" w:hAnsi="宋体" w:eastAsia="宋体" w:cs="宋体"/>
          <w:b/>
          <w:bCs/>
          <w:color w:val="auto"/>
          <w:sz w:val="21"/>
          <w:szCs w:val="21"/>
          <w:lang w:val="en-US" w:eastAsia="zh-CN"/>
        </w:rPr>
      </w:pPr>
    </w:p>
    <w:p w14:paraId="3EE2486A">
      <w:pPr>
        <w:jc w:val="center"/>
        <w:rPr>
          <w:rFonts w:hint="eastAsia" w:ascii="宋体" w:hAnsi="宋体" w:eastAsia="宋体" w:cs="宋体"/>
          <w:b/>
          <w:bCs/>
          <w:color w:val="auto"/>
          <w:sz w:val="21"/>
          <w:szCs w:val="21"/>
          <w:lang w:val="en-US" w:eastAsia="zh-CN"/>
        </w:rPr>
      </w:pPr>
    </w:p>
    <w:p w14:paraId="27418F39">
      <w:pPr>
        <w:pStyle w:val="2"/>
        <w:rPr>
          <w:rFonts w:hint="eastAsia" w:ascii="宋体" w:hAnsi="宋体" w:eastAsia="宋体" w:cs="宋体"/>
          <w:b/>
          <w:bCs/>
          <w:color w:val="auto"/>
          <w:sz w:val="21"/>
          <w:szCs w:val="21"/>
          <w:lang w:val="en-US" w:eastAsia="zh-CN"/>
        </w:rPr>
      </w:pPr>
    </w:p>
    <w:p w14:paraId="051F02C2">
      <w:pPr>
        <w:pStyle w:val="4"/>
        <w:tabs>
          <w:tab w:val="left" w:pos="945"/>
          <w:tab w:val="left" w:pos="1155"/>
        </w:tabs>
        <w:rPr>
          <w:rFonts w:hint="eastAsia" w:ascii="宋体" w:hAnsi="宋体" w:eastAsia="宋体" w:cs="宋体"/>
          <w:b/>
          <w:bCs/>
          <w:color w:val="auto"/>
          <w:sz w:val="21"/>
          <w:szCs w:val="21"/>
          <w:lang w:val="en-US" w:eastAsia="zh-CN"/>
        </w:rPr>
      </w:pPr>
    </w:p>
    <w:p w14:paraId="4F5C88B9">
      <w:pPr>
        <w:rPr>
          <w:rFonts w:hint="eastAsia" w:ascii="宋体" w:hAnsi="宋体" w:eastAsia="宋体" w:cs="宋体"/>
          <w:b/>
          <w:bCs/>
          <w:color w:val="auto"/>
          <w:sz w:val="21"/>
          <w:szCs w:val="21"/>
          <w:lang w:val="en-US" w:eastAsia="zh-CN"/>
        </w:rPr>
      </w:pPr>
    </w:p>
    <w:p w14:paraId="1463B01B">
      <w:pPr>
        <w:pStyle w:val="2"/>
        <w:rPr>
          <w:rFonts w:hint="eastAsia" w:ascii="宋体" w:hAnsi="宋体" w:eastAsia="宋体" w:cs="宋体"/>
          <w:b/>
          <w:bCs/>
          <w:color w:val="auto"/>
          <w:sz w:val="21"/>
          <w:szCs w:val="21"/>
          <w:lang w:val="en-US" w:eastAsia="zh-CN"/>
        </w:rPr>
      </w:pPr>
    </w:p>
    <w:p w14:paraId="7FAC59E4">
      <w:pPr>
        <w:pStyle w:val="4"/>
        <w:tabs>
          <w:tab w:val="left" w:pos="945"/>
          <w:tab w:val="left" w:pos="1155"/>
        </w:tabs>
        <w:rPr>
          <w:rFonts w:hint="eastAsia" w:ascii="宋体" w:hAnsi="宋体" w:eastAsia="宋体" w:cs="宋体"/>
          <w:b/>
          <w:bCs/>
          <w:color w:val="auto"/>
          <w:sz w:val="21"/>
          <w:szCs w:val="21"/>
          <w:lang w:val="en-US" w:eastAsia="zh-CN"/>
        </w:rPr>
      </w:pPr>
    </w:p>
    <w:p w14:paraId="1CDE9C03">
      <w:pPr>
        <w:rPr>
          <w:rFonts w:hint="eastAsia" w:ascii="宋体" w:hAnsi="宋体" w:eastAsia="宋体" w:cs="宋体"/>
          <w:b/>
          <w:bCs/>
          <w:color w:val="auto"/>
          <w:sz w:val="21"/>
          <w:szCs w:val="21"/>
          <w:lang w:val="en-US" w:eastAsia="zh-CN"/>
        </w:rPr>
      </w:pPr>
    </w:p>
    <w:p w14:paraId="3357D5D0">
      <w:pPr>
        <w:pStyle w:val="2"/>
        <w:rPr>
          <w:rFonts w:hint="eastAsia" w:ascii="宋体" w:hAnsi="宋体" w:eastAsia="宋体" w:cs="宋体"/>
          <w:b/>
          <w:bCs/>
          <w:color w:val="auto"/>
          <w:sz w:val="21"/>
          <w:szCs w:val="21"/>
          <w:lang w:val="en-US" w:eastAsia="zh-CN"/>
        </w:rPr>
      </w:pPr>
    </w:p>
    <w:p w14:paraId="68C9CE61">
      <w:pPr>
        <w:pStyle w:val="4"/>
        <w:tabs>
          <w:tab w:val="left" w:pos="945"/>
          <w:tab w:val="left" w:pos="1155"/>
        </w:tabs>
        <w:rPr>
          <w:rFonts w:hint="eastAsia" w:ascii="宋体" w:hAnsi="宋体" w:eastAsia="宋体" w:cs="宋体"/>
          <w:b/>
          <w:bCs/>
          <w:color w:val="auto"/>
          <w:sz w:val="21"/>
          <w:szCs w:val="21"/>
          <w:lang w:val="en-US" w:eastAsia="zh-CN"/>
        </w:rPr>
      </w:pPr>
    </w:p>
    <w:p w14:paraId="2B309CE4">
      <w:pPr>
        <w:rPr>
          <w:rFonts w:hint="eastAsia" w:ascii="宋体" w:hAnsi="宋体" w:eastAsia="宋体" w:cs="宋体"/>
          <w:b/>
          <w:bCs/>
          <w:color w:val="auto"/>
          <w:sz w:val="21"/>
          <w:szCs w:val="21"/>
          <w:lang w:val="en-US" w:eastAsia="zh-CN"/>
        </w:rPr>
      </w:pPr>
    </w:p>
    <w:p w14:paraId="647CF7D2"/>
    <w:p w14:paraId="363B75E7"/>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39C44">
    <w:pPr>
      <w:pStyle w:val="14"/>
      <w:ind w:left="0" w:leftChars="0" w:firstLine="0" w:firstLineChars="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4147E">
    <w:pPr>
      <w:pStyle w:val="14"/>
      <w:ind w:left="0" w:leftChars="0" w:firstLine="0" w:firstLineChars="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CCA4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7CCA4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8643A">
    <w:pPr>
      <w:pStyle w:val="14"/>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E65F">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36E65F">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B9D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B5AC">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77B5AC">
                    <w:pPr>
                      <w:pStyle w:val="14"/>
                    </w:pPr>
                    <w:r>
                      <w:fldChar w:fldCharType="begin"/>
                    </w:r>
                    <w:r>
                      <w:instrText xml:space="preserve"> PAGE  \* MERGEFORMAT </w:instrText>
                    </w:r>
                    <w:r>
                      <w:fldChar w:fldCharType="separate"/>
                    </w:r>
                    <w:r>
                      <w:t>32</w:t>
                    </w:r>
                    <w:r>
                      <w:fldChar w:fldCharType="end"/>
                    </w:r>
                  </w:p>
                </w:txbxContent>
              </v:textbox>
            </v:shape>
          </w:pict>
        </mc:Fallback>
      </mc:AlternateContent>
    </w:r>
  </w:p>
  <w:p w14:paraId="4908E328">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3AB6">
    <w:pPr>
      <w:pStyle w:val="14"/>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F8A19">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DF8A19">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8CC93">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0CA4F">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F00CA4F">
                    <w:pPr>
                      <w:pStyle w:val="1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F895">
    <w:pPr>
      <w:pBdr>
        <w:bottom w:val="none" w:color="auto" w:sz="0" w:space="0"/>
      </w:pBdr>
      <w:jc w:val="right"/>
      <w:rPr>
        <w:rFonts w:hint="eastAsia" w:ascii="宋体" w:hAnsi="宋体" w:eastAsia="宋体"/>
        <w:sz w:val="15"/>
        <w:szCs w:val="15"/>
        <w:lang w:val="en-US" w:eastAsia="zh-CN"/>
      </w:rPr>
    </w:pPr>
    <w:r>
      <w:rPr>
        <w:rFonts w:hint="eastAsia" w:ascii="宋体" w:hAnsi="宋体"/>
        <w:sz w:val="15"/>
        <w:szCs w:val="15"/>
      </w:rPr>
      <w:t xml:space="preserve">       </w:t>
    </w:r>
    <w:r>
      <w:rPr>
        <w:rFonts w:hint="eastAsia" w:ascii="宋体" w:hAnsi="宋体"/>
        <w:i/>
        <w:iCs/>
        <w:color w:val="0000FF"/>
        <w:sz w:val="18"/>
        <w:szCs w:val="18"/>
      </w:rPr>
      <w:t xml:space="preserve">    </w:t>
    </w:r>
    <w:r>
      <w:rPr>
        <w:rFonts w:hint="eastAsia" w:ascii="Times New Roman" w:hAnsi="Times New Roman"/>
        <w:i/>
        <w:iCs/>
        <w:color w:val="0000FF"/>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61843">
    <w:pPr>
      <w:pStyle w:val="16"/>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BACEB">
    <w:pPr>
      <w:pStyle w:val="16"/>
      <w:pBdr>
        <w:bottom w:val="none" w:color="auto" w:sz="0" w:space="1"/>
      </w:pBdr>
      <w:bidi w:val="0"/>
      <w:jc w:val="right"/>
      <w:rPr>
        <w:rFonts w:hint="eastAsia" w:ascii="宋体" w:hAnsi="宋体" w:eastAsia="宋体" w:cs="宋体"/>
        <w:i/>
        <w:iCs/>
        <w:color w:val="0000FF"/>
        <w:sz w:val="18"/>
        <w:szCs w:val="18"/>
        <w:lang w:val="en-US" w:eastAsia="zh-CN"/>
      </w:rPr>
    </w:pPr>
    <w:r>
      <w:rPr>
        <w:rFonts w:hint="eastAsia" w:ascii="宋体" w:hAnsi="宋体" w:eastAsia="宋体" w:cs="宋体"/>
        <w:i/>
        <w:iCs/>
        <w:color w:val="0000FF"/>
        <w:sz w:val="18"/>
        <w:szCs w:val="18"/>
        <w:lang w:val="en-US" w:eastAsia="zh-CN"/>
      </w:rPr>
      <w:t xml:space="preserve"> </w:t>
    </w:r>
  </w:p>
  <w:p w14:paraId="72F2E582">
    <w:pPr>
      <w:pStyle w:val="16"/>
      <w:pBdr>
        <w:bottom w:val="none" w:color="auto" w:sz="0" w:space="1"/>
      </w:pBdr>
      <w:tabs>
        <w:tab w:val="left" w:pos="6514"/>
      </w:tabs>
      <w:bidi w:val="0"/>
      <w:jc w:val="left"/>
      <w:rPr>
        <w:rFonts w:hint="eastAsia" w:ascii="宋体" w:hAnsi="宋体" w:eastAsia="宋体"/>
        <w:sz w:val="15"/>
        <w:szCs w:val="15"/>
        <w:lang w:eastAsia="zh-CN"/>
      </w:rPr>
    </w:pPr>
  </w:p>
  <w:p w14:paraId="7CC11E92">
    <w:pPr>
      <w:pStyle w:val="16"/>
      <w:pBdr>
        <w:bottom w:val="none" w:color="auto" w:sz="0" w:space="1"/>
      </w:pBdr>
      <w:bidi w:val="0"/>
      <w:rPr>
        <w:i/>
        <w:iCs/>
        <w:color w:val="0000FF"/>
      </w:rPr>
    </w:pPr>
    <w:r>
      <w:rPr>
        <w:rFonts w:hint="eastAsia" w:ascii="宋体" w:hAnsi="宋体"/>
        <w:sz w:val="15"/>
        <w:szCs w:val="15"/>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4">
    <w:nsid w:val="4B2E3023"/>
    <w:multiLevelType w:val="singleLevel"/>
    <w:tmpl w:val="4B2E3023"/>
    <w:lvl w:ilvl="0" w:tentative="0">
      <w:start w:val="1"/>
      <w:numFmt w:val="decimal"/>
      <w:suff w:val="nothing"/>
      <w:lvlText w:val="（%1）"/>
      <w:lvlJc w:val="left"/>
    </w:lvl>
  </w:abstractNum>
  <w:abstractNum w:abstractNumId="5">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A5DBB2"/>
    <w:multiLevelType w:val="singleLevel"/>
    <w:tmpl w:val="64A5DBB2"/>
    <w:lvl w:ilvl="0" w:tentative="0">
      <w:start w:val="1"/>
      <w:numFmt w:val="decimal"/>
      <w:suff w:val="space"/>
      <w:lvlText w:val="%1."/>
      <w:lvlJc w:val="left"/>
    </w:lvl>
  </w:abstractNum>
  <w:abstractNum w:abstractNumId="7">
    <w:nsid w:val="75AF216A"/>
    <w:multiLevelType w:val="singleLevel"/>
    <w:tmpl w:val="75AF216A"/>
    <w:lvl w:ilvl="0" w:tentative="0">
      <w:start w:val="5"/>
      <w:numFmt w:val="chineseCounting"/>
      <w:suff w:val="space"/>
      <w:lvlText w:val="第%1章"/>
      <w:lvlJc w:val="left"/>
      <w:rPr>
        <w:rFonts w:hint="eastAsia"/>
      </w:rPr>
    </w:lvl>
  </w:abstractNum>
  <w:num w:numId="1">
    <w:abstractNumId w:val="4"/>
  </w:num>
  <w:num w:numId="2">
    <w:abstractNumId w:val="6"/>
  </w:num>
  <w:num w:numId="3">
    <w:abstractNumId w:val="7"/>
  </w:num>
  <w:num w:numId="4">
    <w:abstractNumId w:val="2"/>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s>
  <w:rsids>
    <w:rsidRoot w:val="0F6D2EA0"/>
    <w:rsid w:val="000357E2"/>
    <w:rsid w:val="00125081"/>
    <w:rsid w:val="00293DAD"/>
    <w:rsid w:val="0F6D2EA0"/>
    <w:rsid w:val="0FD25F0F"/>
    <w:rsid w:val="107A51D5"/>
    <w:rsid w:val="1A023784"/>
    <w:rsid w:val="20311C8F"/>
    <w:rsid w:val="21572AB8"/>
    <w:rsid w:val="24E67632"/>
    <w:rsid w:val="30D86805"/>
    <w:rsid w:val="3DE70CD4"/>
    <w:rsid w:val="3F0B3ECC"/>
    <w:rsid w:val="40EA135D"/>
    <w:rsid w:val="41654AEA"/>
    <w:rsid w:val="496B70E1"/>
    <w:rsid w:val="4D6A7583"/>
    <w:rsid w:val="4E202AB9"/>
    <w:rsid w:val="4F2944F1"/>
    <w:rsid w:val="51557302"/>
    <w:rsid w:val="54C52883"/>
    <w:rsid w:val="55235820"/>
    <w:rsid w:val="58A35F9C"/>
    <w:rsid w:val="64F42A39"/>
    <w:rsid w:val="65006AFE"/>
    <w:rsid w:val="672B19B6"/>
    <w:rsid w:val="78C64E50"/>
    <w:rsid w:val="7B792787"/>
    <w:rsid w:val="7BF5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jc w:val="center"/>
      <w:outlineLvl w:val="0"/>
    </w:pPr>
    <w:rPr>
      <w:b/>
      <w:bCs/>
      <w:color w:val="000000"/>
      <w:sz w:val="32"/>
    </w:rPr>
  </w:style>
  <w:style w:type="paragraph" w:styleId="7">
    <w:name w:val="heading 2"/>
    <w:basedOn w:val="1"/>
    <w:next w:val="1"/>
    <w:qFormat/>
    <w:uiPriority w:val="0"/>
    <w:pPr>
      <w:keepNext/>
      <w:keepLines/>
      <w:spacing w:after="0" w:afterLines="0" w:line="460" w:lineRule="exact"/>
      <w:outlineLvl w:val="1"/>
    </w:pPr>
    <w:rPr>
      <w:rFonts w:ascii="宋体" w:hAnsi="宋体"/>
      <w:b/>
      <w:sz w:val="30"/>
      <w:szCs w:val="30"/>
    </w:rPr>
  </w:style>
  <w:style w:type="paragraph" w:styleId="8">
    <w:name w:val="heading 3"/>
    <w:basedOn w:val="1"/>
    <w:next w:val="1"/>
    <w:qFormat/>
    <w:uiPriority w:val="0"/>
    <w:pPr>
      <w:keepNext/>
      <w:keepLines/>
      <w:spacing w:after="0" w:afterLines="0" w:line="460" w:lineRule="exact"/>
      <w:jc w:val="left"/>
      <w:outlineLvl w:val="2"/>
    </w:pPr>
    <w:rPr>
      <w:b/>
      <w:sz w:val="24"/>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pacing w:after="120" w:afterLines="0" w:afterAutospacing="0"/>
    </w:pPr>
    <w:rPr>
      <w:sz w:val="21"/>
    </w:rPr>
  </w:style>
  <w:style w:type="paragraph" w:styleId="4">
    <w:name w:val="Body Text First Indent 2"/>
    <w:basedOn w:val="5"/>
    <w:qFormat/>
    <w:uiPriority w:val="0"/>
    <w:pPr>
      <w:spacing w:after="120" w:afterLines="0" w:line="240" w:lineRule="auto"/>
      <w:ind w:left="420" w:leftChars="200" w:firstLine="420" w:firstLineChars="200"/>
    </w:pPr>
  </w:style>
  <w:style w:type="paragraph" w:styleId="5">
    <w:name w:val="Body Text Indent"/>
    <w:basedOn w:val="1"/>
    <w:qFormat/>
    <w:uiPriority w:val="0"/>
    <w:pPr>
      <w:spacing w:line="312" w:lineRule="auto"/>
      <w:ind w:firstLine="735" w:firstLineChars="245"/>
    </w:pPr>
  </w:style>
  <w:style w:type="paragraph" w:styleId="9">
    <w:name w:val="Normal Indent"/>
    <w:basedOn w:val="1"/>
    <w:qFormat/>
    <w:uiPriority w:val="0"/>
    <w:pPr>
      <w:ind w:firstLine="420"/>
    </w:pPr>
    <w:rPr>
      <w:sz w:val="21"/>
    </w:rPr>
  </w:style>
  <w:style w:type="paragraph" w:styleId="10">
    <w:name w:val="annotation text"/>
    <w:basedOn w:val="1"/>
    <w:qFormat/>
    <w:uiPriority w:val="0"/>
    <w:pPr>
      <w:jc w:val="left"/>
    </w:pPr>
  </w:style>
  <w:style w:type="paragraph" w:styleId="11">
    <w:name w:val="Body Text 3"/>
    <w:basedOn w:val="1"/>
    <w:qFormat/>
    <w:uiPriority w:val="0"/>
    <w:rPr>
      <w:rFonts w:hAnsi="Times New Roman"/>
      <w:kern w:val="0"/>
      <w:sz w:val="24"/>
      <w:szCs w:val="20"/>
    </w:rPr>
  </w:style>
  <w:style w:type="paragraph" w:styleId="12">
    <w:name w:val="List 2"/>
    <w:basedOn w:val="1"/>
    <w:qFormat/>
    <w:uiPriority w:val="0"/>
    <w:pPr>
      <w:ind w:left="100" w:leftChars="200" w:hanging="200" w:hangingChars="200"/>
    </w:pPr>
    <w:rPr>
      <w:sz w:val="21"/>
      <w:szCs w:val="24"/>
    </w:rPr>
  </w:style>
  <w:style w:type="paragraph" w:styleId="13">
    <w:name w:val="Plain Text"/>
    <w:basedOn w:val="1"/>
    <w:qFormat/>
    <w:uiPriority w:val="0"/>
    <w:rPr>
      <w:rFonts w:ascii="宋体" w:hAnsi="Courier New"/>
      <w:szCs w:val="20"/>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0"/>
  </w:style>
  <w:style w:type="paragraph" w:styleId="18">
    <w:name w:val="footnote text"/>
    <w:basedOn w:val="1"/>
    <w:qFormat/>
    <w:uiPriority w:val="0"/>
    <w:pPr>
      <w:snapToGrid w:val="0"/>
      <w:jc w:val="left"/>
    </w:pPr>
    <w:rPr>
      <w:sz w:val="18"/>
      <w:szCs w:val="18"/>
    </w:rPr>
  </w:style>
  <w:style w:type="paragraph" w:styleId="19">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0">
    <w:name w:val="Body Text 2"/>
    <w:basedOn w:val="1"/>
    <w:next w:val="3"/>
    <w:qFormat/>
    <w:uiPriority w:val="0"/>
    <w:pPr>
      <w:spacing w:after="120" w:afterLines="0" w:afterAutospacing="0" w:line="480" w:lineRule="auto"/>
    </w:pPr>
    <w:rPr>
      <w:sz w:val="21"/>
    </w:rPr>
  </w:style>
  <w:style w:type="paragraph" w:styleId="21">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22">
    <w:name w:val="Title"/>
    <w:basedOn w:val="1"/>
    <w:next w:val="1"/>
    <w:qFormat/>
    <w:uiPriority w:val="0"/>
    <w:pPr>
      <w:jc w:val="center"/>
      <w:outlineLvl w:val="0"/>
    </w:pPr>
    <w:rPr>
      <w:rFonts w:ascii="Cambria" w:hAnsi="Cambria"/>
      <w:b/>
      <w:bCs/>
      <w:sz w:val="32"/>
      <w:szCs w:val="32"/>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0"/>
    <w:rPr>
      <w:color w:val="0000FF"/>
      <w:u w:val="single"/>
    </w:rPr>
  </w:style>
  <w:style w:type="paragraph" w:customStyle="1" w:styleId="27">
    <w:name w:val="*正文"/>
    <w:basedOn w:val="1"/>
    <w:next w:val="1"/>
    <w:qFormat/>
    <w:uiPriority w:val="0"/>
    <w:pPr>
      <w:spacing w:line="360" w:lineRule="auto"/>
      <w:ind w:firstLine="200" w:firstLineChars="200"/>
    </w:pPr>
    <w:rPr>
      <w:rFonts w:hint="eastAsia" w:ascii="宋体" w:hAnsi="宋体" w:eastAsia="宋体" w:cs="Times New Roman"/>
      <w:kern w:val="0"/>
      <w:sz w:val="20"/>
      <w:szCs w:val="24"/>
    </w:rPr>
  </w:style>
  <w:style w:type="paragraph" w:customStyle="1" w:styleId="28">
    <w:name w:val="style4"/>
    <w:basedOn w:val="29"/>
    <w:next w:val="30"/>
    <w:qFormat/>
    <w:uiPriority w:val="0"/>
    <w:pPr>
      <w:widowControl/>
      <w:autoSpaceDE/>
      <w:autoSpaceDN/>
      <w:spacing w:before="280" w:after="280" w:line="240" w:lineRule="auto"/>
      <w:ind w:left="0" w:firstLine="0"/>
      <w:jc w:val="both"/>
    </w:pPr>
    <w:rPr>
      <w:rFonts w:ascii="宋体" w:eastAsia="宋体"/>
      <w:sz w:val="18"/>
    </w:rPr>
  </w:style>
  <w:style w:type="paragraph" w:customStyle="1" w:styleId="29">
    <w:name w:val="正文1"/>
    <w:basedOn w:val="1"/>
    <w:next w:val="2"/>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0">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1">
    <w:name w:val="样式 标题 2 + Times New Roman 四号 非加粗 段前: 5 磅 段后: 0 磅 行距: 固定值 20..."/>
    <w:basedOn w:val="7"/>
    <w:qFormat/>
    <w:uiPriority w:val="0"/>
    <w:pPr>
      <w:numPr>
        <w:ilvl w:val="1"/>
        <w:numId w:val="0"/>
      </w:numPr>
      <w:spacing w:before="100" w:beforeLines="0" w:after="0" w:afterLines="0" w:line="400" w:lineRule="exact"/>
    </w:pPr>
    <w:rPr>
      <w:rFonts w:ascii="Times New Roman" w:hAnsi="Times New Roman" w:cs="宋体"/>
      <w:b w:val="0"/>
      <w:sz w:val="28"/>
      <w:szCs w:val="20"/>
    </w:rPr>
  </w:style>
  <w:style w:type="paragraph" w:styleId="32">
    <w:name w:val="List Paragraph"/>
    <w:basedOn w:val="1"/>
    <w:qFormat/>
    <w:uiPriority w:val="0"/>
    <w:pPr>
      <w:ind w:firstLine="420" w:firstLineChars="200"/>
    </w:pPr>
    <w:rPr>
      <w:sz w:val="21"/>
      <w:szCs w:val="24"/>
    </w:rPr>
  </w:style>
  <w:style w:type="paragraph" w:customStyle="1" w:styleId="33">
    <w:name w:val="无间隔1"/>
    <w:basedOn w:val="1"/>
    <w:qFormat/>
    <w:uiPriority w:val="1"/>
    <w:pPr>
      <w:spacing w:line="400" w:lineRule="exact"/>
    </w:pPr>
  </w:style>
  <w:style w:type="paragraph" w:customStyle="1" w:styleId="34">
    <w:name w:val="样式 标题 3 + (中文) 黑体 小四 非加粗 段前: 7.8 磅 段后: 0 磅 行距: 固定值 20 磅"/>
    <w:basedOn w:val="8"/>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35">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36">
    <w:name w:val="索引 11"/>
    <w:basedOn w:val="1"/>
    <w:next w:val="1"/>
    <w:qFormat/>
    <w:uiPriority w:val="0"/>
    <w:pPr>
      <w:spacing w:line="360" w:lineRule="auto"/>
    </w:pPr>
    <w:rPr>
      <w:rFonts w:ascii="仿宋_GB2312" w:eastAsia="仿宋_GB2312"/>
      <w:sz w:val="24"/>
      <w:szCs w:val="20"/>
    </w:rPr>
  </w:style>
  <w:style w:type="paragraph" w:customStyle="1" w:styleId="37">
    <w:name w:val="纯文本1"/>
    <w:basedOn w:val="1"/>
    <w:qFormat/>
    <w:uiPriority w:val="0"/>
    <w:rPr>
      <w:rFonts w:ascii="宋体" w:hAnsi="Courier New"/>
      <w:kern w:val="0"/>
      <w:sz w:val="20"/>
      <w:szCs w:val="20"/>
    </w:rPr>
  </w:style>
  <w:style w:type="paragraph" w:customStyle="1" w:styleId="3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0">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15131</Words>
  <Characters>16444</Characters>
  <Lines>0</Lines>
  <Paragraphs>0</Paragraphs>
  <TotalTime>0</TotalTime>
  <ScaleCrop>false</ScaleCrop>
  <LinksUpToDate>false</LinksUpToDate>
  <CharactersWithSpaces>17173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2024-10-16T04:36:00Z</dcterms:created>
  <dc:creator>LS</dc:creator>
  <cp:lastModifiedBy>辰</cp:lastModifiedBy>
  <dcterms:modified xsi:type="dcterms:W3CDTF">2025-02-27T07:07:01Z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98D531648D9746928A94AFAD2CDF8056_13</vt:lpwstr>
  </property>
  <property fmtid="{D5CDD505-2E9C-101B-9397-08002B2CF9AE}" pid="4" name="KSOTemplateDocerSaveRecord">
    <vt:lpwstr>eyJoZGlkIjoiYzlhMDNkNDI2YzMwMzE4NmExNWUzZjU5ODFmNDdiOTkiLCJ1c2VySWQiOiIyNjMwMzUxMjkifQ==</vt:lpwstr>
  </property>
</Properties>
</file>