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A6D0DC">
      <w:pPr>
        <w:pStyle w:val="57"/>
        <w:rPr>
          <w:rFonts w:hint="eastAsia" w:ascii="宋体" w:hAnsi="宋体" w:eastAsia="宋体" w:cs="宋体"/>
          <w:b/>
          <w:color w:val="auto"/>
          <w:spacing w:val="-20"/>
          <w:sz w:val="44"/>
          <w:szCs w:val="44"/>
          <w:highlight w:val="none"/>
          <w:lang w:val="en-US" w:eastAsia="zh-CN"/>
        </w:rPr>
      </w:pPr>
    </w:p>
    <w:p w14:paraId="35F49B30">
      <w:pPr>
        <w:bidi w:val="0"/>
        <w:spacing w:line="360" w:lineRule="auto"/>
        <w:ind w:left="0" w:leftChars="0" w:firstLine="0" w:firstLineChars="0"/>
        <w:jc w:val="center"/>
        <w:rPr>
          <w:rFonts w:hint="eastAsia" w:ascii="宋体" w:hAnsi="宋体" w:eastAsia="宋体" w:cs="宋体"/>
          <w:b/>
          <w:color w:val="auto"/>
          <w:spacing w:val="-20"/>
          <w:sz w:val="52"/>
          <w:szCs w:val="52"/>
          <w:highlight w:val="none"/>
          <w:lang w:val="en-US" w:eastAsia="zh-CN"/>
        </w:rPr>
      </w:pPr>
      <w:bookmarkStart w:id="0" w:name="_Toc152042286"/>
      <w:bookmarkStart w:id="1" w:name="_Toc144974478"/>
      <w:r>
        <w:rPr>
          <w:rFonts w:hint="eastAsia" w:ascii="宋体" w:hAnsi="宋体" w:eastAsia="宋体" w:cs="宋体"/>
          <w:b/>
          <w:color w:val="auto"/>
          <w:spacing w:val="-20"/>
          <w:sz w:val="52"/>
          <w:szCs w:val="52"/>
          <w:highlight w:val="none"/>
          <w:lang w:val="en-US" w:eastAsia="zh-CN"/>
        </w:rPr>
        <w:t>息县公用事业服务中心污水处理厂环保设备维修服务采购项目</w:t>
      </w:r>
    </w:p>
    <w:p w14:paraId="03FBD9C4">
      <w:pPr>
        <w:bidi w:val="0"/>
        <w:spacing w:line="360" w:lineRule="auto"/>
        <w:ind w:left="0" w:leftChars="0" w:firstLine="0" w:firstLineChars="0"/>
        <w:jc w:val="center"/>
        <w:rPr>
          <w:rFonts w:hint="eastAsia" w:ascii="宋体" w:hAnsi="宋体" w:eastAsia="宋体" w:cs="宋体"/>
          <w:b/>
          <w:color w:val="auto"/>
          <w:sz w:val="72"/>
          <w:szCs w:val="72"/>
          <w:highlight w:val="none"/>
          <w:lang w:eastAsia="zh-CN"/>
        </w:rPr>
      </w:pPr>
      <w:r>
        <w:rPr>
          <w:rFonts w:hint="eastAsia" w:ascii="宋体" w:hAnsi="宋体" w:eastAsia="宋体" w:cs="宋体"/>
          <w:b/>
          <w:color w:val="auto"/>
          <w:sz w:val="72"/>
          <w:szCs w:val="72"/>
          <w:highlight w:val="none"/>
          <w:lang w:eastAsia="zh-CN"/>
        </w:rPr>
        <w:t>竞争性磋商文件</w:t>
      </w:r>
    </w:p>
    <w:p w14:paraId="7C20FC44">
      <w:pPr>
        <w:bidi w:val="0"/>
        <w:spacing w:line="360" w:lineRule="auto"/>
        <w:ind w:left="0" w:leftChars="0" w:firstLine="0" w:firstLineChars="0"/>
        <w:jc w:val="center"/>
        <w:rPr>
          <w:rFonts w:hint="eastAsia" w:ascii="宋体" w:hAnsi="宋体" w:eastAsia="宋体" w:cs="宋体"/>
          <w:b/>
          <w:bCs w:val="0"/>
          <w:color w:val="auto"/>
          <w:sz w:val="28"/>
          <w:szCs w:val="28"/>
          <w:highlight w:val="none"/>
          <w:lang w:eastAsia="zh-CN"/>
        </w:rPr>
      </w:pPr>
      <w:r>
        <w:rPr>
          <w:rFonts w:hint="eastAsia" w:ascii="宋体" w:hAnsi="宋体" w:eastAsia="宋体" w:cs="宋体"/>
          <w:b/>
          <w:bCs w:val="0"/>
          <w:color w:val="auto"/>
          <w:sz w:val="28"/>
          <w:szCs w:val="28"/>
          <w:highlight w:val="none"/>
        </w:rPr>
        <w:t>项目编号：息财磋商-2025-03-2</w:t>
      </w:r>
      <w:r>
        <w:rPr>
          <w:rFonts w:hint="eastAsia" w:ascii="宋体" w:hAnsi="宋体" w:eastAsia="宋体" w:cs="宋体"/>
          <w:b/>
          <w:bCs w:val="0"/>
          <w:color w:val="auto"/>
          <w:sz w:val="28"/>
          <w:szCs w:val="28"/>
          <w:highlight w:val="none"/>
          <w:lang w:val="en-US" w:eastAsia="zh-CN"/>
        </w:rPr>
        <w:t xml:space="preserve"> </w:t>
      </w:r>
    </w:p>
    <w:p w14:paraId="18713D34">
      <w:pPr>
        <w:bidi w:val="0"/>
        <w:spacing w:line="360" w:lineRule="auto"/>
        <w:ind w:left="0" w:leftChars="0" w:firstLine="0" w:firstLineChars="0"/>
        <w:jc w:val="center"/>
        <w:rPr>
          <w:rFonts w:hint="eastAsia" w:ascii="宋体" w:hAnsi="宋体" w:eastAsia="宋体" w:cs="宋体"/>
          <w:b/>
          <w:color w:val="auto"/>
          <w:sz w:val="32"/>
          <w:szCs w:val="32"/>
          <w:highlight w:val="none"/>
          <w:lang w:val="en-US" w:eastAsia="zh-CN"/>
        </w:rPr>
      </w:pPr>
    </w:p>
    <w:p w14:paraId="0D2BBFF4">
      <w:pPr>
        <w:bidi w:val="0"/>
        <w:jc w:val="center"/>
        <w:rPr>
          <w:rFonts w:hint="eastAsia" w:ascii="宋体" w:hAnsi="宋体" w:eastAsia="宋体" w:cs="宋体"/>
          <w:color w:val="auto"/>
          <w:sz w:val="28"/>
          <w:highlight w:val="none"/>
        </w:rPr>
      </w:pPr>
      <w:r>
        <w:rPr>
          <w:rFonts w:hint="eastAsia"/>
          <w:highlight w:val="none"/>
        </w:rPr>
        <w:drawing>
          <wp:anchor distT="0" distB="0" distL="114300" distR="114300" simplePos="0" relativeHeight="251659264" behindDoc="0" locked="0" layoutInCell="1" allowOverlap="1">
            <wp:simplePos x="0" y="0"/>
            <wp:positionH relativeFrom="margin">
              <wp:posOffset>1373505</wp:posOffset>
            </wp:positionH>
            <wp:positionV relativeFrom="margin">
              <wp:posOffset>3235960</wp:posOffset>
            </wp:positionV>
            <wp:extent cx="2517140" cy="2225040"/>
            <wp:effectExtent l="0" t="0" r="16510" b="3810"/>
            <wp:wrapSquare wrapText="bothSides"/>
            <wp:docPr id="12" name="图片 12" descr="d4f4b67b89794202441909cf5d28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4f4b67b89794202441909cf5d2803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17140" cy="2225040"/>
                    </a:xfrm>
                    <a:prstGeom prst="rect">
                      <a:avLst/>
                    </a:prstGeom>
                    <a:noFill/>
                    <a:ln>
                      <a:noFill/>
                    </a:ln>
                    <a:effectLst/>
                  </pic:spPr>
                </pic:pic>
              </a:graphicData>
            </a:graphic>
          </wp:anchor>
        </w:drawing>
      </w:r>
    </w:p>
    <w:p w14:paraId="061C99FE">
      <w:pPr>
        <w:pStyle w:val="57"/>
        <w:ind w:left="0" w:leftChars="0" w:firstLine="0" w:firstLineChars="0"/>
        <w:rPr>
          <w:rFonts w:hint="eastAsia" w:ascii="宋体" w:hAnsi="宋体" w:eastAsia="宋体" w:cs="宋体"/>
          <w:color w:val="auto"/>
          <w:sz w:val="28"/>
          <w:highlight w:val="none"/>
        </w:rPr>
      </w:pPr>
    </w:p>
    <w:p w14:paraId="24FD737F">
      <w:pPr>
        <w:pStyle w:val="57"/>
        <w:rPr>
          <w:rFonts w:hint="eastAsia" w:ascii="宋体" w:hAnsi="宋体" w:eastAsia="宋体" w:cs="宋体"/>
          <w:color w:val="auto"/>
          <w:sz w:val="28"/>
          <w:highlight w:val="none"/>
        </w:rPr>
      </w:pPr>
    </w:p>
    <w:p w14:paraId="4926BCB7">
      <w:pPr>
        <w:pStyle w:val="57"/>
        <w:rPr>
          <w:rFonts w:hint="eastAsia" w:ascii="宋体" w:hAnsi="宋体" w:eastAsia="宋体" w:cs="宋体"/>
          <w:color w:val="auto"/>
          <w:sz w:val="28"/>
          <w:highlight w:val="none"/>
        </w:rPr>
      </w:pPr>
    </w:p>
    <w:p w14:paraId="36985D92">
      <w:pPr>
        <w:pStyle w:val="57"/>
        <w:rPr>
          <w:rFonts w:hint="eastAsia" w:ascii="宋体" w:hAnsi="宋体" w:eastAsia="宋体" w:cs="宋体"/>
          <w:color w:val="auto"/>
          <w:sz w:val="28"/>
          <w:highlight w:val="none"/>
        </w:rPr>
      </w:pPr>
    </w:p>
    <w:p w14:paraId="2BB2F53B">
      <w:pPr>
        <w:bidi w:val="0"/>
        <w:rPr>
          <w:rFonts w:hint="eastAsia" w:ascii="宋体" w:hAnsi="宋体" w:eastAsia="宋体" w:cs="宋体"/>
          <w:color w:val="auto"/>
          <w:highlight w:val="none"/>
        </w:rPr>
      </w:pPr>
    </w:p>
    <w:p w14:paraId="40A679F5">
      <w:pPr>
        <w:bidi w:val="0"/>
        <w:rPr>
          <w:rFonts w:hint="eastAsia" w:ascii="宋体" w:hAnsi="宋体" w:eastAsia="宋体" w:cs="宋体"/>
          <w:color w:val="auto"/>
          <w:highlight w:val="none"/>
        </w:rPr>
      </w:pPr>
    </w:p>
    <w:p w14:paraId="0A46636D">
      <w:pPr>
        <w:pStyle w:val="57"/>
        <w:rPr>
          <w:rFonts w:hint="eastAsia" w:ascii="宋体" w:hAnsi="宋体" w:eastAsia="宋体" w:cs="宋体"/>
          <w:color w:val="auto"/>
          <w:highlight w:val="none"/>
        </w:rPr>
      </w:pPr>
    </w:p>
    <w:p w14:paraId="101023FC">
      <w:pPr>
        <w:pStyle w:val="57"/>
        <w:rPr>
          <w:rFonts w:hint="eastAsia" w:ascii="宋体" w:hAnsi="宋体" w:eastAsia="宋体" w:cs="宋体"/>
          <w:color w:val="auto"/>
          <w:highlight w:val="none"/>
        </w:rPr>
      </w:pPr>
    </w:p>
    <w:p w14:paraId="5A2065FD">
      <w:pPr>
        <w:pStyle w:val="57"/>
        <w:rPr>
          <w:rFonts w:hint="eastAsia" w:ascii="宋体" w:hAnsi="宋体" w:eastAsia="宋体" w:cs="宋体"/>
          <w:color w:val="auto"/>
          <w:highlight w:val="none"/>
        </w:rPr>
      </w:pPr>
    </w:p>
    <w:p w14:paraId="50E1FB9C">
      <w:pPr>
        <w:pStyle w:val="57"/>
        <w:rPr>
          <w:rFonts w:hint="eastAsia" w:ascii="宋体" w:hAnsi="宋体" w:eastAsia="宋体" w:cs="宋体"/>
          <w:color w:val="auto"/>
          <w:highlight w:val="none"/>
        </w:rPr>
      </w:pPr>
    </w:p>
    <w:p w14:paraId="6999ABD5">
      <w:pPr>
        <w:pStyle w:val="57"/>
        <w:rPr>
          <w:rFonts w:hint="eastAsia" w:ascii="宋体" w:hAnsi="宋体" w:eastAsia="宋体" w:cs="宋体"/>
          <w:color w:val="auto"/>
          <w:highlight w:val="none"/>
        </w:rPr>
      </w:pPr>
    </w:p>
    <w:p w14:paraId="7981BE82">
      <w:pPr>
        <w:pStyle w:val="57"/>
        <w:rPr>
          <w:rFonts w:hint="eastAsia" w:ascii="宋体" w:hAnsi="宋体" w:eastAsia="宋体" w:cs="宋体"/>
          <w:color w:val="auto"/>
          <w:highlight w:val="none"/>
        </w:rPr>
      </w:pPr>
    </w:p>
    <w:p w14:paraId="7684834C">
      <w:pPr>
        <w:pStyle w:val="57"/>
        <w:rPr>
          <w:rFonts w:hint="eastAsia" w:ascii="宋体" w:hAnsi="宋体" w:eastAsia="宋体" w:cs="宋体"/>
          <w:color w:val="auto"/>
          <w:highlight w:val="none"/>
        </w:rPr>
      </w:pPr>
    </w:p>
    <w:p w14:paraId="132535C9">
      <w:pPr>
        <w:keepNext w:val="0"/>
        <w:keepLines w:val="0"/>
        <w:pageBreakBefore w:val="0"/>
        <w:widowControl/>
        <w:kinsoku/>
        <w:wordWrap/>
        <w:overflowPunct/>
        <w:topLinePunct w:val="0"/>
        <w:autoSpaceDE/>
        <w:autoSpaceDN/>
        <w:bidi w:val="0"/>
        <w:adjustRightInd/>
        <w:snapToGrid/>
        <w:spacing w:after="824" w:afterLines="200" w:line="240" w:lineRule="auto"/>
        <w:ind w:left="0" w:leftChars="0" w:firstLine="0" w:firstLineChars="0"/>
        <w:jc w:val="center"/>
        <w:textAlignment w:val="auto"/>
        <w:rPr>
          <w:rFonts w:hint="eastAsia" w:ascii="宋体" w:hAnsi="宋体" w:eastAsia="宋体" w:cs="宋体"/>
          <w:b/>
          <w:bCs/>
          <w:color w:val="auto"/>
          <w:kern w:val="0"/>
          <w:sz w:val="32"/>
          <w:szCs w:val="32"/>
          <w:highlight w:val="none"/>
          <w:lang w:val="en-US" w:eastAsia="zh-CN"/>
        </w:rPr>
      </w:pPr>
      <w:r>
        <w:rPr>
          <w:rFonts w:hint="eastAsia" w:ascii="宋体" w:hAnsi="宋体" w:eastAsia="宋体" w:cs="宋体"/>
          <w:b/>
          <w:bCs/>
          <w:color w:val="auto"/>
          <w:kern w:val="0"/>
          <w:sz w:val="32"/>
          <w:szCs w:val="32"/>
          <w:highlight w:val="none"/>
        </w:rPr>
        <w:t>采</w:t>
      </w:r>
      <w:r>
        <w:rPr>
          <w:rFonts w:hint="eastAsia" w:ascii="宋体" w:hAnsi="宋体" w:eastAsia="宋体" w:cs="宋体"/>
          <w:b/>
          <w:bCs/>
          <w:color w:val="auto"/>
          <w:kern w:val="0"/>
          <w:sz w:val="32"/>
          <w:szCs w:val="32"/>
          <w:highlight w:val="none"/>
          <w:lang w:val="en-US" w:eastAsia="zh-CN"/>
        </w:rPr>
        <w:t xml:space="preserve">   </w:t>
      </w:r>
      <w:r>
        <w:rPr>
          <w:rFonts w:hint="eastAsia" w:ascii="宋体" w:hAnsi="宋体" w:eastAsia="宋体" w:cs="宋体"/>
          <w:b/>
          <w:bCs/>
          <w:color w:val="auto"/>
          <w:kern w:val="0"/>
          <w:sz w:val="32"/>
          <w:szCs w:val="32"/>
          <w:highlight w:val="none"/>
        </w:rPr>
        <w:t>购</w:t>
      </w:r>
      <w:r>
        <w:rPr>
          <w:rFonts w:hint="eastAsia" w:ascii="宋体" w:hAnsi="宋体" w:eastAsia="宋体" w:cs="宋体"/>
          <w:b/>
          <w:bCs/>
          <w:color w:val="auto"/>
          <w:kern w:val="0"/>
          <w:sz w:val="32"/>
          <w:szCs w:val="32"/>
          <w:highlight w:val="none"/>
          <w:lang w:val="en-US" w:eastAsia="zh-CN"/>
        </w:rPr>
        <w:t xml:space="preserve">   </w:t>
      </w:r>
      <w:r>
        <w:rPr>
          <w:rFonts w:hint="eastAsia" w:ascii="宋体" w:hAnsi="宋体" w:eastAsia="宋体" w:cs="宋体"/>
          <w:b/>
          <w:bCs/>
          <w:color w:val="auto"/>
          <w:kern w:val="0"/>
          <w:sz w:val="32"/>
          <w:szCs w:val="32"/>
          <w:highlight w:val="none"/>
        </w:rPr>
        <w:t>人：</w:t>
      </w:r>
      <w:r>
        <w:rPr>
          <w:rFonts w:hint="eastAsia" w:ascii="宋体" w:hAnsi="宋体" w:eastAsia="宋体" w:cs="宋体"/>
          <w:b/>
          <w:bCs/>
          <w:color w:val="auto"/>
          <w:kern w:val="0"/>
          <w:sz w:val="32"/>
          <w:szCs w:val="32"/>
          <w:highlight w:val="none"/>
          <w:lang w:eastAsia="zh-CN"/>
        </w:rPr>
        <w:t>息县公用事业服务中心</w:t>
      </w:r>
    </w:p>
    <w:p w14:paraId="732A66CF">
      <w:pPr>
        <w:keepNext w:val="0"/>
        <w:keepLines w:val="0"/>
        <w:pageBreakBefore w:val="0"/>
        <w:widowControl/>
        <w:kinsoku/>
        <w:wordWrap/>
        <w:overflowPunct/>
        <w:topLinePunct w:val="0"/>
        <w:autoSpaceDE/>
        <w:autoSpaceDN/>
        <w:bidi w:val="0"/>
        <w:adjustRightInd/>
        <w:snapToGrid/>
        <w:spacing w:after="824" w:afterLines="200" w:line="240" w:lineRule="auto"/>
        <w:ind w:left="0" w:leftChars="0" w:firstLine="0" w:firstLineChars="0"/>
        <w:jc w:val="center"/>
        <w:textAlignment w:val="auto"/>
        <w:rPr>
          <w:rFonts w:hint="eastAsia" w:ascii="宋体" w:hAnsi="宋体" w:eastAsia="宋体" w:cs="宋体"/>
          <w:b/>
          <w:bCs/>
          <w:color w:val="auto"/>
          <w:kern w:val="0"/>
          <w:sz w:val="32"/>
          <w:szCs w:val="32"/>
          <w:highlight w:val="none"/>
          <w:lang w:eastAsia="zh-CN"/>
        </w:rPr>
      </w:pPr>
      <w:r>
        <w:rPr>
          <w:rFonts w:hint="eastAsia" w:ascii="宋体" w:hAnsi="宋体" w:eastAsia="宋体" w:cs="宋体"/>
          <w:b/>
          <w:bCs/>
          <w:color w:val="auto"/>
          <w:kern w:val="0"/>
          <w:sz w:val="32"/>
          <w:szCs w:val="32"/>
          <w:highlight w:val="none"/>
          <w:lang w:val="en-US" w:eastAsia="zh-CN"/>
        </w:rPr>
        <w:t xml:space="preserve">   </w:t>
      </w:r>
      <w:r>
        <w:rPr>
          <w:rFonts w:hint="eastAsia" w:ascii="宋体" w:hAnsi="宋体" w:eastAsia="宋体" w:cs="宋体"/>
          <w:b/>
          <w:bCs/>
          <w:color w:val="auto"/>
          <w:kern w:val="0"/>
          <w:sz w:val="32"/>
          <w:szCs w:val="32"/>
          <w:highlight w:val="none"/>
        </w:rPr>
        <w:t>采购代理机构：</w:t>
      </w:r>
      <w:r>
        <w:rPr>
          <w:rFonts w:hint="eastAsia" w:ascii="宋体" w:hAnsi="宋体" w:eastAsia="宋体" w:cs="宋体"/>
          <w:b/>
          <w:bCs/>
          <w:color w:val="auto"/>
          <w:kern w:val="0"/>
          <w:sz w:val="32"/>
          <w:szCs w:val="32"/>
          <w:highlight w:val="none"/>
          <w:lang w:eastAsia="zh-CN"/>
        </w:rPr>
        <w:t>河南欧瑞工程咨询有限公司</w:t>
      </w:r>
    </w:p>
    <w:p w14:paraId="780E4D03">
      <w:pPr>
        <w:keepNext w:val="0"/>
        <w:keepLines w:val="0"/>
        <w:pageBreakBefore w:val="0"/>
        <w:widowControl/>
        <w:kinsoku/>
        <w:wordWrap/>
        <w:overflowPunct/>
        <w:topLinePunct w:val="0"/>
        <w:autoSpaceDE/>
        <w:autoSpaceDN/>
        <w:bidi w:val="0"/>
        <w:adjustRightInd/>
        <w:snapToGrid/>
        <w:spacing w:after="824" w:afterLines="200" w:line="240" w:lineRule="auto"/>
        <w:ind w:firstLine="1285" w:firstLineChars="400"/>
        <w:jc w:val="both"/>
        <w:textAlignment w:val="auto"/>
        <w:rPr>
          <w:rFonts w:hint="eastAsia" w:ascii="宋体" w:hAnsi="宋体" w:eastAsia="宋体" w:cs="宋体"/>
          <w:b/>
          <w:bCs/>
          <w:color w:val="auto"/>
          <w:kern w:val="0"/>
          <w:sz w:val="32"/>
          <w:szCs w:val="32"/>
          <w:highlight w:val="none"/>
        </w:rPr>
        <w:sectPr>
          <w:headerReference r:id="rId5" w:type="default"/>
          <w:footerReference r:id="rId6" w:type="default"/>
          <w:pgSz w:w="11911" w:h="16838"/>
          <w:pgMar w:top="1440" w:right="1800" w:bottom="1440" w:left="1800" w:header="850" w:footer="850" w:gutter="0"/>
          <w:pgBorders>
            <w:top w:val="none" w:sz="0" w:space="0"/>
            <w:left w:val="none" w:sz="0" w:space="0"/>
            <w:bottom w:val="none" w:sz="0" w:space="0"/>
            <w:right w:val="none" w:sz="0" w:space="0"/>
          </w:pgBorders>
          <w:pgNumType w:fmt="decimal" w:start="1"/>
          <w:cols w:space="0" w:num="1"/>
          <w:rtlGutter w:val="0"/>
          <w:docGrid w:linePitch="411" w:charSpace="0"/>
        </w:sectPr>
      </w:pPr>
      <w:r>
        <w:rPr>
          <w:rFonts w:hint="eastAsia" w:ascii="宋体" w:hAnsi="宋体" w:eastAsia="宋体" w:cs="宋体"/>
          <w:b/>
          <w:bCs/>
          <w:color w:val="auto"/>
          <w:kern w:val="0"/>
          <w:sz w:val="32"/>
          <w:szCs w:val="32"/>
          <w:highlight w:val="none"/>
          <w:lang w:eastAsia="zh-CN"/>
        </w:rPr>
        <w:t>日</w:t>
      </w:r>
      <w:r>
        <w:rPr>
          <w:rFonts w:hint="eastAsia" w:ascii="宋体" w:hAnsi="宋体" w:eastAsia="宋体" w:cs="宋体"/>
          <w:b/>
          <w:bCs/>
          <w:color w:val="auto"/>
          <w:kern w:val="0"/>
          <w:sz w:val="32"/>
          <w:szCs w:val="32"/>
          <w:highlight w:val="none"/>
          <w:lang w:val="en-US" w:eastAsia="zh-CN"/>
        </w:rPr>
        <w:t xml:space="preserve">        </w:t>
      </w:r>
      <w:r>
        <w:rPr>
          <w:rFonts w:hint="eastAsia" w:ascii="宋体" w:hAnsi="宋体" w:eastAsia="宋体" w:cs="宋体"/>
          <w:b/>
          <w:bCs/>
          <w:color w:val="auto"/>
          <w:kern w:val="0"/>
          <w:sz w:val="32"/>
          <w:szCs w:val="32"/>
          <w:highlight w:val="none"/>
          <w:lang w:eastAsia="zh-CN"/>
        </w:rPr>
        <w:t>期：二零二</w:t>
      </w:r>
      <w:r>
        <w:rPr>
          <w:rFonts w:hint="eastAsia" w:ascii="宋体" w:hAnsi="宋体" w:eastAsia="宋体" w:cs="宋体"/>
          <w:b/>
          <w:bCs/>
          <w:color w:val="auto"/>
          <w:kern w:val="0"/>
          <w:sz w:val="32"/>
          <w:szCs w:val="32"/>
          <w:highlight w:val="none"/>
          <w:lang w:val="en-US" w:eastAsia="zh-CN"/>
        </w:rPr>
        <w:t>五</w:t>
      </w:r>
      <w:r>
        <w:rPr>
          <w:rFonts w:hint="eastAsia" w:ascii="宋体" w:hAnsi="宋体" w:eastAsia="宋体" w:cs="宋体"/>
          <w:b/>
          <w:bCs/>
          <w:color w:val="auto"/>
          <w:kern w:val="0"/>
          <w:sz w:val="32"/>
          <w:szCs w:val="32"/>
          <w:highlight w:val="none"/>
          <w:lang w:eastAsia="zh-CN"/>
        </w:rPr>
        <w:t>年</w:t>
      </w:r>
      <w:r>
        <w:rPr>
          <w:rFonts w:hint="eastAsia" w:ascii="宋体" w:hAnsi="宋体" w:eastAsia="宋体" w:cs="宋体"/>
          <w:b/>
          <w:bCs/>
          <w:color w:val="auto"/>
          <w:kern w:val="0"/>
          <w:sz w:val="32"/>
          <w:szCs w:val="32"/>
          <w:highlight w:val="none"/>
          <w:lang w:val="en-US" w:eastAsia="zh-CN"/>
        </w:rPr>
        <w:t>三</w:t>
      </w:r>
      <w:r>
        <w:rPr>
          <w:rFonts w:hint="eastAsia" w:ascii="宋体" w:hAnsi="宋体" w:eastAsia="宋体" w:cs="宋体"/>
          <w:b/>
          <w:bCs/>
          <w:color w:val="auto"/>
          <w:kern w:val="0"/>
          <w:sz w:val="32"/>
          <w:szCs w:val="32"/>
          <w:highlight w:val="none"/>
          <w:lang w:eastAsia="zh-CN"/>
        </w:rPr>
        <w:t>月</w:t>
      </w:r>
    </w:p>
    <w:p w14:paraId="464ECF05">
      <w:pPr>
        <w:pStyle w:val="11"/>
        <w:ind w:left="0" w:leftChars="0" w:firstLine="0" w:firstLineChars="0"/>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bookmarkEnd w:id="0"/>
      <w:bookmarkEnd w:id="1"/>
      <w:bookmarkStart w:id="2" w:name="_Toc490667779"/>
      <w:bookmarkStart w:id="3" w:name="_Toc152045511"/>
      <w:bookmarkStart w:id="4" w:name="_Toc144974479"/>
      <w:bookmarkStart w:id="5" w:name="_Toc152042287"/>
    </w:p>
    <w:p w14:paraId="00BB58A5">
      <w:pPr>
        <w:pStyle w:val="21"/>
        <w:keepNext w:val="0"/>
        <w:keepLines w:val="0"/>
        <w:pageBreakBefore w:val="0"/>
        <w:tabs>
          <w:tab w:val="right" w:leader="dot" w:pos="9643"/>
        </w:tabs>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highlight w:val="none"/>
        </w:rPr>
      </w:pPr>
    </w:p>
    <w:p w14:paraId="231822BB">
      <w:pPr>
        <w:pStyle w:val="21"/>
        <w:tabs>
          <w:tab w:val="right" w:leader="dot" w:pos="8311"/>
        </w:tabs>
        <w:spacing w:line="480" w:lineRule="auto"/>
        <w:ind w:left="0" w:leftChars="0" w:firstLine="400" w:firstLineChars="100"/>
        <w:rPr>
          <w:sz w:val="24"/>
          <w:szCs w:val="24"/>
          <w:highlight w:val="none"/>
        </w:rPr>
      </w:pPr>
      <w:r>
        <w:rPr>
          <w:rFonts w:hint="eastAsia" w:ascii="宋体" w:hAnsi="宋体" w:eastAsia="宋体" w:cs="宋体"/>
          <w:color w:val="auto"/>
          <w:sz w:val="40"/>
          <w:szCs w:val="40"/>
          <w:highlight w:val="none"/>
        </w:rPr>
        <w:fldChar w:fldCharType="begin"/>
      </w:r>
      <w:r>
        <w:rPr>
          <w:rFonts w:hint="eastAsia" w:ascii="宋体" w:hAnsi="宋体" w:eastAsia="宋体" w:cs="宋体"/>
          <w:color w:val="auto"/>
          <w:sz w:val="40"/>
          <w:szCs w:val="40"/>
          <w:highlight w:val="none"/>
        </w:rPr>
        <w:instrText xml:space="preserve">TOC \o "1-1" \h \u </w:instrText>
      </w:r>
      <w:r>
        <w:rPr>
          <w:rFonts w:hint="eastAsia" w:ascii="宋体" w:hAnsi="宋体" w:eastAsia="宋体" w:cs="宋体"/>
          <w:color w:val="auto"/>
          <w:sz w:val="40"/>
          <w:szCs w:val="40"/>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_Toc4633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lang w:eastAsia="zh-CN"/>
        </w:rPr>
        <w:t>第一章 竞争性磋商公告</w:t>
      </w:r>
      <w:r>
        <w:rPr>
          <w:sz w:val="24"/>
          <w:szCs w:val="24"/>
          <w:highlight w:val="none"/>
        </w:rPr>
        <w:tab/>
      </w:r>
      <w:r>
        <w:rPr>
          <w:sz w:val="24"/>
          <w:szCs w:val="24"/>
          <w:highlight w:val="none"/>
        </w:rPr>
        <w:fldChar w:fldCharType="begin"/>
      </w:r>
      <w:r>
        <w:rPr>
          <w:sz w:val="24"/>
          <w:szCs w:val="24"/>
          <w:highlight w:val="none"/>
        </w:rPr>
        <w:instrText xml:space="preserve"> PAGEREF _Toc4633 \h </w:instrText>
      </w:r>
      <w:r>
        <w:rPr>
          <w:sz w:val="24"/>
          <w:szCs w:val="24"/>
          <w:highlight w:val="none"/>
        </w:rPr>
        <w:fldChar w:fldCharType="separate"/>
      </w:r>
      <w:r>
        <w:rPr>
          <w:sz w:val="24"/>
          <w:szCs w:val="24"/>
          <w:highlight w:val="none"/>
        </w:rPr>
        <w:t>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42707B9E">
      <w:pPr>
        <w:pStyle w:val="21"/>
        <w:tabs>
          <w:tab w:val="right" w:leader="dot" w:pos="8311"/>
        </w:tabs>
        <w:spacing w:line="480" w:lineRule="auto"/>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_Toc2303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lang w:eastAsia="zh-CN"/>
        </w:rPr>
        <w:t>第二章 供应商须知</w:t>
      </w:r>
      <w:r>
        <w:rPr>
          <w:sz w:val="24"/>
          <w:szCs w:val="24"/>
          <w:highlight w:val="none"/>
        </w:rPr>
        <w:tab/>
      </w:r>
      <w:r>
        <w:rPr>
          <w:sz w:val="24"/>
          <w:szCs w:val="24"/>
          <w:highlight w:val="none"/>
        </w:rPr>
        <w:fldChar w:fldCharType="begin"/>
      </w:r>
      <w:r>
        <w:rPr>
          <w:sz w:val="24"/>
          <w:szCs w:val="24"/>
          <w:highlight w:val="none"/>
        </w:rPr>
        <w:instrText xml:space="preserve"> PAGEREF _Toc2303 \h </w:instrText>
      </w:r>
      <w:r>
        <w:rPr>
          <w:sz w:val="24"/>
          <w:szCs w:val="24"/>
          <w:highlight w:val="none"/>
        </w:rPr>
        <w:fldChar w:fldCharType="separate"/>
      </w:r>
      <w:r>
        <w:rPr>
          <w:sz w:val="24"/>
          <w:szCs w:val="24"/>
          <w:highlight w:val="none"/>
        </w:rPr>
        <w:t>13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D1580F3">
      <w:pPr>
        <w:pStyle w:val="21"/>
        <w:tabs>
          <w:tab w:val="right" w:leader="dot" w:pos="8311"/>
        </w:tabs>
        <w:spacing w:line="480" w:lineRule="auto"/>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_Toc26120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lang w:eastAsia="zh-CN"/>
        </w:rPr>
        <w:t>第三章  评审办法（综合评分法）</w:t>
      </w:r>
      <w:r>
        <w:rPr>
          <w:sz w:val="24"/>
          <w:szCs w:val="24"/>
          <w:highlight w:val="none"/>
        </w:rPr>
        <w:tab/>
      </w:r>
      <w:r>
        <w:rPr>
          <w:sz w:val="24"/>
          <w:szCs w:val="24"/>
          <w:highlight w:val="none"/>
        </w:rPr>
        <w:fldChar w:fldCharType="begin"/>
      </w:r>
      <w:r>
        <w:rPr>
          <w:sz w:val="24"/>
          <w:szCs w:val="24"/>
          <w:highlight w:val="none"/>
        </w:rPr>
        <w:instrText xml:space="preserve"> PAGEREF _Toc26120 \h </w:instrText>
      </w:r>
      <w:r>
        <w:rPr>
          <w:sz w:val="24"/>
          <w:szCs w:val="24"/>
          <w:highlight w:val="none"/>
        </w:rPr>
        <w:fldChar w:fldCharType="separate"/>
      </w:r>
      <w:r>
        <w:rPr>
          <w:sz w:val="24"/>
          <w:szCs w:val="24"/>
          <w:highlight w:val="none"/>
        </w:rPr>
        <w:t>26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C74E91F">
      <w:pPr>
        <w:pStyle w:val="21"/>
        <w:tabs>
          <w:tab w:val="right" w:leader="dot" w:pos="8311"/>
        </w:tabs>
        <w:spacing w:line="480" w:lineRule="auto"/>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_Toc4026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lang w:eastAsia="zh-CN"/>
        </w:rPr>
        <w:t>第四章 河南省政府采购合同</w:t>
      </w:r>
      <w:r>
        <w:rPr>
          <w:sz w:val="24"/>
          <w:szCs w:val="24"/>
          <w:highlight w:val="none"/>
        </w:rPr>
        <w:tab/>
      </w:r>
      <w:r>
        <w:rPr>
          <w:sz w:val="24"/>
          <w:szCs w:val="24"/>
          <w:highlight w:val="none"/>
        </w:rPr>
        <w:fldChar w:fldCharType="begin"/>
      </w:r>
      <w:r>
        <w:rPr>
          <w:sz w:val="24"/>
          <w:szCs w:val="24"/>
          <w:highlight w:val="none"/>
        </w:rPr>
        <w:instrText xml:space="preserve"> PAGEREF _Toc4026 \h </w:instrText>
      </w:r>
      <w:r>
        <w:rPr>
          <w:sz w:val="24"/>
          <w:szCs w:val="24"/>
          <w:highlight w:val="none"/>
        </w:rPr>
        <w:fldChar w:fldCharType="separate"/>
      </w:r>
      <w:r>
        <w:rPr>
          <w:sz w:val="24"/>
          <w:szCs w:val="24"/>
          <w:highlight w:val="none"/>
        </w:rPr>
        <w:t>32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945FDC3">
      <w:pPr>
        <w:pStyle w:val="21"/>
        <w:tabs>
          <w:tab w:val="right" w:leader="dot" w:pos="8311"/>
        </w:tabs>
        <w:spacing w:line="480" w:lineRule="auto"/>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_Toc26015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lang w:val="en-US" w:eastAsia="zh-CN"/>
        </w:rPr>
        <w:t xml:space="preserve">第五章 </w:t>
      </w:r>
      <w:r>
        <w:rPr>
          <w:rFonts w:hint="eastAsia" w:ascii="宋体" w:hAnsi="宋体" w:eastAsia="宋体" w:cs="宋体"/>
          <w:bCs/>
          <w:sz w:val="24"/>
          <w:szCs w:val="24"/>
          <w:highlight w:val="none"/>
          <w:lang w:eastAsia="zh-CN"/>
        </w:rPr>
        <w:t>采购</w:t>
      </w:r>
      <w:r>
        <w:rPr>
          <w:rFonts w:hint="eastAsia" w:ascii="宋体" w:hAnsi="宋体" w:eastAsia="宋体" w:cs="宋体"/>
          <w:bCs/>
          <w:sz w:val="24"/>
          <w:szCs w:val="24"/>
          <w:highlight w:val="none"/>
          <w:lang w:val="en-US" w:eastAsia="zh-CN"/>
        </w:rPr>
        <w:t>需求及采购内容</w:t>
      </w:r>
      <w:r>
        <w:rPr>
          <w:sz w:val="24"/>
          <w:szCs w:val="24"/>
          <w:highlight w:val="none"/>
        </w:rPr>
        <w:tab/>
      </w:r>
      <w:r>
        <w:rPr>
          <w:sz w:val="24"/>
          <w:szCs w:val="24"/>
          <w:highlight w:val="none"/>
        </w:rPr>
        <w:fldChar w:fldCharType="begin"/>
      </w:r>
      <w:r>
        <w:rPr>
          <w:sz w:val="24"/>
          <w:szCs w:val="24"/>
          <w:highlight w:val="none"/>
        </w:rPr>
        <w:instrText xml:space="preserve"> PAGEREF _Toc26015 \h </w:instrText>
      </w:r>
      <w:r>
        <w:rPr>
          <w:sz w:val="24"/>
          <w:szCs w:val="24"/>
          <w:highlight w:val="none"/>
        </w:rPr>
        <w:fldChar w:fldCharType="separate"/>
      </w:r>
      <w:r>
        <w:rPr>
          <w:sz w:val="24"/>
          <w:szCs w:val="24"/>
          <w:highlight w:val="none"/>
        </w:rPr>
        <w:t>35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4711C05">
      <w:pPr>
        <w:pStyle w:val="21"/>
        <w:tabs>
          <w:tab w:val="right" w:leader="dot" w:pos="8311"/>
        </w:tabs>
        <w:spacing w:line="480" w:lineRule="auto"/>
        <w:rPr>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_Toc15063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lang w:val="en-US" w:eastAsia="zh-CN"/>
        </w:rPr>
        <w:t>第六章 竞争性磋商响应文件格式</w:t>
      </w:r>
      <w:r>
        <w:rPr>
          <w:sz w:val="24"/>
          <w:szCs w:val="24"/>
          <w:highlight w:val="none"/>
        </w:rPr>
        <w:tab/>
      </w:r>
      <w:r>
        <w:rPr>
          <w:sz w:val="24"/>
          <w:szCs w:val="24"/>
          <w:highlight w:val="none"/>
        </w:rPr>
        <w:fldChar w:fldCharType="begin"/>
      </w:r>
      <w:r>
        <w:rPr>
          <w:sz w:val="24"/>
          <w:szCs w:val="24"/>
          <w:highlight w:val="none"/>
        </w:rPr>
        <w:instrText xml:space="preserve"> PAGEREF _Toc15063 \h </w:instrText>
      </w:r>
      <w:r>
        <w:rPr>
          <w:sz w:val="24"/>
          <w:szCs w:val="24"/>
          <w:highlight w:val="none"/>
        </w:rPr>
        <w:fldChar w:fldCharType="separate"/>
      </w:r>
      <w:r>
        <w:rPr>
          <w:sz w:val="24"/>
          <w:szCs w:val="24"/>
          <w:highlight w:val="none"/>
        </w:rPr>
        <w:t>48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120BD5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40"/>
          <w:szCs w:val="40"/>
          <w:highlight w:val="none"/>
        </w:rPr>
      </w:pPr>
      <w:r>
        <w:rPr>
          <w:rFonts w:hint="eastAsia" w:ascii="宋体" w:hAnsi="宋体" w:eastAsia="宋体" w:cs="宋体"/>
          <w:color w:val="auto"/>
          <w:szCs w:val="40"/>
          <w:highlight w:val="none"/>
        </w:rPr>
        <w:fldChar w:fldCharType="end"/>
      </w:r>
    </w:p>
    <w:p w14:paraId="282FE1C7">
      <w:pPr>
        <w:pStyle w:val="2"/>
        <w:rPr>
          <w:rFonts w:hint="eastAsia" w:ascii="宋体" w:hAnsi="宋体" w:eastAsia="宋体" w:cs="宋体"/>
          <w:color w:val="auto"/>
          <w:sz w:val="32"/>
          <w:szCs w:val="32"/>
          <w:highlight w:val="none"/>
        </w:rPr>
      </w:pPr>
      <w:bookmarkStart w:id="1105" w:name="_GoBack"/>
      <w:bookmarkEnd w:id="1105"/>
    </w:p>
    <w:p w14:paraId="268B92D1">
      <w:pPr>
        <w:pStyle w:val="26"/>
        <w:rPr>
          <w:rFonts w:hint="eastAsia" w:ascii="宋体" w:hAnsi="宋体" w:eastAsia="宋体" w:cs="宋体"/>
          <w:color w:val="auto"/>
          <w:sz w:val="32"/>
          <w:szCs w:val="32"/>
          <w:highlight w:val="none"/>
        </w:rPr>
      </w:pPr>
    </w:p>
    <w:p w14:paraId="57F889C0">
      <w:pPr>
        <w:rPr>
          <w:rFonts w:hint="eastAsia" w:ascii="宋体" w:hAnsi="宋体" w:eastAsia="宋体" w:cs="宋体"/>
          <w:color w:val="auto"/>
          <w:sz w:val="32"/>
          <w:szCs w:val="32"/>
          <w:highlight w:val="none"/>
        </w:rPr>
      </w:pPr>
    </w:p>
    <w:p w14:paraId="4DD64886">
      <w:pPr>
        <w:pStyle w:val="2"/>
        <w:rPr>
          <w:rFonts w:hint="eastAsia" w:ascii="宋体" w:hAnsi="宋体" w:eastAsia="宋体" w:cs="宋体"/>
          <w:color w:val="auto"/>
          <w:sz w:val="32"/>
          <w:szCs w:val="32"/>
          <w:highlight w:val="none"/>
        </w:rPr>
      </w:pPr>
    </w:p>
    <w:p w14:paraId="2AF5C74D">
      <w:pPr>
        <w:pStyle w:val="26"/>
        <w:rPr>
          <w:rFonts w:hint="eastAsia" w:ascii="宋体" w:hAnsi="宋体" w:eastAsia="宋体" w:cs="宋体"/>
          <w:color w:val="auto"/>
          <w:szCs w:val="21"/>
          <w:highlight w:val="none"/>
        </w:rPr>
      </w:pPr>
    </w:p>
    <w:p w14:paraId="2A0DF9E7">
      <w:pPr>
        <w:rPr>
          <w:rFonts w:hint="eastAsia" w:ascii="宋体" w:hAnsi="宋体" w:eastAsia="宋体" w:cs="宋体"/>
          <w:color w:val="auto"/>
          <w:szCs w:val="21"/>
          <w:highlight w:val="none"/>
        </w:rPr>
      </w:pPr>
    </w:p>
    <w:p w14:paraId="49DB6A26">
      <w:pPr>
        <w:pStyle w:val="2"/>
        <w:rPr>
          <w:rFonts w:hint="eastAsia" w:ascii="宋体" w:hAnsi="宋体" w:eastAsia="宋体" w:cs="宋体"/>
          <w:color w:val="auto"/>
          <w:szCs w:val="21"/>
          <w:highlight w:val="none"/>
        </w:rPr>
      </w:pPr>
    </w:p>
    <w:p w14:paraId="578FB6CB">
      <w:pPr>
        <w:pStyle w:val="26"/>
        <w:rPr>
          <w:rFonts w:hint="eastAsia" w:ascii="宋体" w:hAnsi="宋体" w:eastAsia="宋体" w:cs="宋体"/>
          <w:color w:val="auto"/>
          <w:szCs w:val="21"/>
          <w:highlight w:val="none"/>
        </w:rPr>
      </w:pPr>
    </w:p>
    <w:p w14:paraId="77F26F29">
      <w:pPr>
        <w:rPr>
          <w:rFonts w:hint="eastAsia" w:ascii="宋体" w:hAnsi="宋体" w:eastAsia="宋体" w:cs="宋体"/>
          <w:color w:val="auto"/>
          <w:szCs w:val="21"/>
          <w:highlight w:val="none"/>
        </w:rPr>
      </w:pPr>
    </w:p>
    <w:p w14:paraId="3329E164">
      <w:pPr>
        <w:pStyle w:val="23"/>
        <w:tabs>
          <w:tab w:val="right" w:leader="underscore" w:pos="8296"/>
        </w:tabs>
        <w:spacing w:after="0" w:afterLines="0" w:line="360" w:lineRule="auto"/>
        <w:ind w:left="0" w:leftChars="0" w:firstLine="0" w:firstLineChars="0"/>
        <w:jc w:val="both"/>
        <w:outlineLvl w:val="0"/>
        <w:rPr>
          <w:rFonts w:hint="eastAsia" w:ascii="宋体" w:hAnsi="宋体" w:eastAsia="宋体" w:cs="宋体"/>
          <w:b/>
          <w:bCs/>
          <w:color w:val="auto"/>
          <w:sz w:val="32"/>
          <w:szCs w:val="32"/>
          <w:highlight w:val="none"/>
          <w:lang w:eastAsia="zh-CN"/>
        </w:rPr>
        <w:sectPr>
          <w:headerReference r:id="rId7" w:type="default"/>
          <w:footerReference r:id="rId8" w:type="default"/>
          <w:pgSz w:w="11911" w:h="16838"/>
          <w:pgMar w:top="1440" w:right="1800" w:bottom="1440" w:left="1800" w:header="850" w:footer="850" w:gutter="0"/>
          <w:pgBorders>
            <w:top w:val="none" w:sz="0" w:space="0"/>
            <w:left w:val="none" w:sz="0" w:space="0"/>
            <w:bottom w:val="none" w:sz="0" w:space="0"/>
            <w:right w:val="none" w:sz="0" w:space="0"/>
          </w:pgBorders>
          <w:pgNumType w:fmt="decimal"/>
          <w:cols w:space="0" w:num="1"/>
          <w:rtlGutter w:val="0"/>
          <w:docGrid w:linePitch="349" w:charSpace="0"/>
        </w:sectPr>
      </w:pPr>
      <w:bookmarkStart w:id="6" w:name="_Toc19010"/>
    </w:p>
    <w:bookmarkEnd w:id="6"/>
    <w:p w14:paraId="2C7E20A5">
      <w:pPr>
        <w:pStyle w:val="58"/>
        <w:keepNext w:val="0"/>
        <w:keepLines w:val="0"/>
        <w:pageBreakBefore w:val="0"/>
        <w:kinsoku/>
        <w:overflowPunct/>
        <w:autoSpaceDE/>
        <w:autoSpaceDN/>
        <w:bidi w:val="0"/>
        <w:spacing w:line="460" w:lineRule="exact"/>
        <w:jc w:val="center"/>
        <w:textAlignment w:val="auto"/>
        <w:rPr>
          <w:rFonts w:hint="eastAsia" w:ascii="宋体" w:hAnsi="宋体" w:eastAsia="宋体" w:cs="宋体"/>
          <w:bCs/>
          <w:spacing w:val="14"/>
          <w:sz w:val="40"/>
          <w:szCs w:val="40"/>
          <w:highlight w:val="none"/>
        </w:rPr>
      </w:pPr>
      <w:r>
        <w:rPr>
          <w:rFonts w:hint="eastAsia" w:ascii="宋体" w:hAnsi="宋体" w:eastAsia="宋体" w:cs="宋体"/>
          <w:bCs/>
          <w:spacing w:val="14"/>
          <w:sz w:val="40"/>
          <w:szCs w:val="40"/>
          <w:highlight w:val="none"/>
        </w:rPr>
        <w:t>特别提示</w:t>
      </w:r>
    </w:p>
    <w:p w14:paraId="0BB205D1">
      <w:pPr>
        <w:keepNext w:val="0"/>
        <w:keepLines w:val="0"/>
        <w:pageBreakBefore w:val="0"/>
        <w:kinsoku/>
        <w:overflowPunct/>
        <w:autoSpaceDE/>
        <w:autoSpaceDN/>
        <w:bidi w:val="0"/>
        <w:spacing w:line="460" w:lineRule="exact"/>
        <w:textAlignment w:val="auto"/>
        <w:rPr>
          <w:rFonts w:hint="eastAsia" w:ascii="宋体" w:hAnsi="宋体" w:eastAsia="宋体" w:cs="宋体"/>
          <w:b/>
          <w:bCs/>
          <w:sz w:val="21"/>
          <w:szCs w:val="21"/>
          <w:highlight w:val="none"/>
          <w:u w:val="double"/>
        </w:rPr>
      </w:pPr>
      <w:r>
        <w:rPr>
          <w:rFonts w:hint="eastAsia" w:ascii="宋体" w:hAnsi="宋体" w:eastAsia="宋体" w:cs="宋体"/>
          <w:b/>
          <w:bCs/>
          <w:sz w:val="21"/>
          <w:szCs w:val="21"/>
          <w:highlight w:val="none"/>
          <w:u w:val="double"/>
        </w:rPr>
        <w:t>一、供应商（供应商）注册</w:t>
      </w:r>
    </w:p>
    <w:p w14:paraId="1586848A">
      <w:pPr>
        <w:keepNext w:val="0"/>
        <w:keepLines w:val="0"/>
        <w:pageBreakBefore w:val="0"/>
        <w:kinsoku/>
        <w:overflowPunct/>
        <w:autoSpaceDE/>
        <w:autoSpaceDN/>
        <w:bidi w:val="0"/>
        <w:spacing w:line="46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凡有意参加本项目的供应商（供应商），请登陆“全国公共资源交易平台（河南省·信阳市）（</w:t>
      </w:r>
      <w:r>
        <w:rPr>
          <w:rFonts w:hint="eastAsia" w:ascii="宋体" w:hAnsi="宋体" w:eastAsia="宋体" w:cs="宋体"/>
          <w:sz w:val="21"/>
          <w:szCs w:val="21"/>
          <w:highlight w:val="none"/>
          <w:lang w:val="zh-CN" w:eastAsia="zh-CN"/>
        </w:rPr>
        <w:t>https://ggzyjy.xinyang.gov.cn/</w:t>
      </w:r>
      <w:r>
        <w:rPr>
          <w:rFonts w:hint="eastAsia" w:ascii="宋体" w:hAnsi="宋体" w:eastAsia="宋体" w:cs="宋体"/>
          <w:sz w:val="21"/>
          <w:szCs w:val="21"/>
          <w:highlight w:val="none"/>
        </w:rPr>
        <w:t>）”网站进行交易主体自主注册，按网站公告通知有关要求填报企业信息并上传有关原件扫描件至诚信库，不需携带原件到信阳市公共资源交易中心进行审核。供应商（供应商）应对所上传材料的真实性、合法性、有效性负责，其上传的信息将全部对外公示，接受社会监督。</w:t>
      </w:r>
    </w:p>
    <w:p w14:paraId="052B41E7">
      <w:pPr>
        <w:keepNext w:val="0"/>
        <w:keepLines w:val="0"/>
        <w:pageBreakBefore w:val="0"/>
        <w:kinsoku/>
        <w:overflowPunct/>
        <w:autoSpaceDE/>
        <w:autoSpaceDN/>
        <w:bidi w:val="0"/>
        <w:spacing w:line="460" w:lineRule="exact"/>
        <w:textAlignment w:val="auto"/>
        <w:rPr>
          <w:rFonts w:hint="eastAsia" w:ascii="宋体" w:hAnsi="宋体" w:eastAsia="宋体" w:cs="宋体"/>
          <w:b/>
          <w:bCs/>
          <w:sz w:val="21"/>
          <w:szCs w:val="21"/>
          <w:highlight w:val="none"/>
          <w:u w:val="double"/>
        </w:rPr>
      </w:pPr>
      <w:r>
        <w:rPr>
          <w:rFonts w:hint="eastAsia" w:ascii="宋体" w:hAnsi="宋体" w:eastAsia="宋体" w:cs="宋体"/>
          <w:b/>
          <w:bCs/>
          <w:sz w:val="21"/>
          <w:szCs w:val="21"/>
          <w:highlight w:val="none"/>
          <w:u w:val="double"/>
        </w:rPr>
        <w:t>二、办理CA数字证书</w:t>
      </w:r>
    </w:p>
    <w:p w14:paraId="695D6A98">
      <w:pPr>
        <w:keepNext w:val="0"/>
        <w:keepLines w:val="0"/>
        <w:pageBreakBefore w:val="0"/>
        <w:kinsoku/>
        <w:overflowPunct/>
        <w:autoSpaceDE/>
        <w:autoSpaceDN/>
        <w:bidi w:val="0"/>
        <w:spacing w:line="46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完成企业诚信库注册后，必须办理CA数字证书方可在网上办理招投标相关业务。供应商根据信阳市公共资源交易网通知公告栏目中《关于信阳市公共资源交易平台数字证书（CA）互认系统正式上线运行的通知》要求，自行选择CA数字证书服务商，线上、线下办理CA数字证书。</w:t>
      </w:r>
    </w:p>
    <w:p w14:paraId="4EF73C0A">
      <w:pPr>
        <w:keepNext w:val="0"/>
        <w:keepLines w:val="0"/>
        <w:pageBreakBefore w:val="0"/>
        <w:kinsoku/>
        <w:overflowPunct/>
        <w:autoSpaceDE/>
        <w:autoSpaceDN/>
        <w:bidi w:val="0"/>
        <w:spacing w:line="460" w:lineRule="exact"/>
        <w:textAlignment w:val="auto"/>
        <w:rPr>
          <w:rFonts w:hint="eastAsia" w:ascii="宋体" w:hAnsi="宋体" w:eastAsia="宋体" w:cs="宋体"/>
          <w:b/>
          <w:bCs/>
          <w:sz w:val="21"/>
          <w:szCs w:val="21"/>
          <w:highlight w:val="none"/>
          <w:u w:val="double"/>
        </w:rPr>
      </w:pPr>
      <w:r>
        <w:rPr>
          <w:rFonts w:hint="eastAsia" w:ascii="宋体" w:hAnsi="宋体" w:eastAsia="宋体" w:cs="宋体"/>
          <w:b/>
          <w:bCs/>
          <w:sz w:val="21"/>
          <w:szCs w:val="21"/>
          <w:highlight w:val="none"/>
          <w:u w:val="double"/>
        </w:rPr>
        <w:t>三、招标（采购）文件获取方式</w:t>
      </w:r>
    </w:p>
    <w:p w14:paraId="49AD7E59">
      <w:pPr>
        <w:keepNext w:val="0"/>
        <w:keepLines w:val="0"/>
        <w:pageBreakBefore w:val="0"/>
        <w:kinsoku/>
        <w:overflowPunct/>
        <w:autoSpaceDE/>
        <w:autoSpaceDN/>
        <w:bidi w:val="0"/>
        <w:spacing w:line="46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供应商（供应商）凭CA数字证书登陆会员系统后，即可按网上提示免费下载招标（采购）文件及资料（操作程序详见信阳市公共资源交易中心网站下载中心栏目里供应商操作手册）。磋商文件(*.XYZF格式)下载后需使用“信阳市响应文件制作工具软件”打开（该工具软件可在“全国公共资源交易平台（河南省·信阳市）（</w:t>
      </w:r>
      <w:r>
        <w:rPr>
          <w:rFonts w:hint="eastAsia" w:ascii="宋体" w:hAnsi="宋体" w:eastAsia="宋体" w:cs="宋体"/>
          <w:sz w:val="21"/>
          <w:szCs w:val="21"/>
          <w:highlight w:val="none"/>
          <w:lang w:eastAsia="zh-CN"/>
        </w:rPr>
        <w:t>https://ggzyjy.xinyang.gov.cn/</w:t>
      </w:r>
      <w:r>
        <w:rPr>
          <w:rFonts w:hint="eastAsia" w:ascii="宋体" w:hAnsi="宋体" w:eastAsia="宋体" w:cs="宋体"/>
          <w:sz w:val="21"/>
          <w:szCs w:val="21"/>
          <w:highlight w:val="none"/>
        </w:rPr>
        <w:t>）”网站下载中心栏目内下载或在磋商文件领取页面下载）。</w:t>
      </w:r>
    </w:p>
    <w:p w14:paraId="28757CC7">
      <w:pPr>
        <w:keepNext w:val="0"/>
        <w:keepLines w:val="0"/>
        <w:pageBreakBefore w:val="0"/>
        <w:tabs>
          <w:tab w:val="left" w:pos="0"/>
        </w:tabs>
        <w:kinsoku/>
        <w:overflowPunct/>
        <w:autoSpaceDE/>
        <w:autoSpaceDN/>
        <w:bidi w:val="0"/>
        <w:spacing w:line="460" w:lineRule="exact"/>
        <w:textAlignment w:val="auto"/>
        <w:rPr>
          <w:rFonts w:hint="eastAsia" w:ascii="宋体" w:hAnsi="宋体" w:eastAsia="宋体" w:cs="宋体"/>
          <w:b/>
          <w:bCs/>
          <w:sz w:val="21"/>
          <w:szCs w:val="21"/>
          <w:highlight w:val="none"/>
          <w:u w:val="double"/>
        </w:rPr>
      </w:pPr>
      <w:r>
        <w:rPr>
          <w:rFonts w:hint="eastAsia" w:ascii="宋体" w:hAnsi="宋体" w:eastAsia="宋体" w:cs="宋体"/>
          <w:b/>
          <w:bCs/>
          <w:sz w:val="21"/>
          <w:szCs w:val="21"/>
          <w:highlight w:val="none"/>
          <w:u w:val="double"/>
        </w:rPr>
        <w:t>四、投标（响应）文件制作</w:t>
      </w:r>
    </w:p>
    <w:p w14:paraId="3536B726">
      <w:pPr>
        <w:keepNext w:val="0"/>
        <w:keepLines w:val="0"/>
        <w:pageBreakBefore w:val="0"/>
        <w:tabs>
          <w:tab w:val="left" w:pos="0"/>
        </w:tabs>
        <w:kinsoku/>
        <w:overflowPunct/>
        <w:autoSpaceDE/>
        <w:autoSpaceDN/>
        <w:bidi w:val="0"/>
        <w:spacing w:line="46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投标（响应）文件应使用信阳市公共资源交易系统响应文件制作专用工具软件编制，投标（响应）文件格式为“*.XYTF”。</w:t>
      </w:r>
    </w:p>
    <w:p w14:paraId="73C1D5F1">
      <w:pPr>
        <w:keepNext w:val="0"/>
        <w:keepLines w:val="0"/>
        <w:pageBreakBefore w:val="0"/>
        <w:tabs>
          <w:tab w:val="left" w:pos="0"/>
        </w:tabs>
        <w:kinsoku/>
        <w:overflowPunct/>
        <w:autoSpaceDE/>
        <w:autoSpaceDN/>
        <w:bidi w:val="0"/>
        <w:spacing w:line="46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供应商（供应商）须在投标（响应）文件递交截止时间前制作并提交。</w:t>
      </w:r>
    </w:p>
    <w:p w14:paraId="5589ED06">
      <w:pPr>
        <w:pStyle w:val="3"/>
        <w:keepNext w:val="0"/>
        <w:keepLines w:val="0"/>
        <w:pageBreakBefore w:val="0"/>
        <w:kinsoku/>
        <w:overflowPunct/>
        <w:autoSpaceDE/>
        <w:autoSpaceDN/>
        <w:bidi w:val="0"/>
        <w:spacing w:line="460" w:lineRule="exac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u w:val="double"/>
        </w:rPr>
        <w:t>五、投标（响应）文件的签字和盖章要求</w:t>
      </w:r>
    </w:p>
    <w:p w14:paraId="62619DCE">
      <w:pPr>
        <w:keepNext w:val="0"/>
        <w:keepLines w:val="0"/>
        <w:pageBreakBefore w:val="0"/>
        <w:kinsoku/>
        <w:overflowPunct/>
        <w:autoSpaceDE/>
        <w:autoSpaceDN/>
        <w:bidi w:val="0"/>
        <w:adjustRightInd w:val="0"/>
        <w:snapToGrid w:val="0"/>
        <w:spacing w:line="46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1、响应文件（响应）格式中所有要求供应商（供应商）加盖公章的地方都须加盖供应商（供应商）的 CA 印章。</w:t>
      </w:r>
    </w:p>
    <w:p w14:paraId="29D7B370">
      <w:pPr>
        <w:keepNext w:val="0"/>
        <w:keepLines w:val="0"/>
        <w:pageBreakBefore w:val="0"/>
        <w:kinsoku/>
        <w:overflowPunct/>
        <w:autoSpaceDE/>
        <w:autoSpaceDN/>
        <w:bidi w:val="0"/>
        <w:adjustRightInd w:val="0"/>
        <w:snapToGrid w:val="0"/>
        <w:spacing w:line="460" w:lineRule="exact"/>
        <w:ind w:left="-126" w:leftChars="-60" w:firstLine="525" w:firstLineChars="250"/>
        <w:jc w:val="left"/>
        <w:textAlignment w:val="auto"/>
        <w:rPr>
          <w:rFonts w:hint="eastAsia" w:ascii="宋体" w:hAnsi="宋体" w:eastAsia="宋体" w:cs="宋体"/>
          <w:b/>
          <w:bCs/>
          <w:sz w:val="21"/>
          <w:szCs w:val="21"/>
          <w:highlight w:val="none"/>
        </w:rPr>
      </w:pPr>
      <w:r>
        <w:rPr>
          <w:rFonts w:hint="eastAsia" w:ascii="宋体" w:hAnsi="宋体" w:eastAsia="宋体" w:cs="宋体"/>
          <w:sz w:val="21"/>
          <w:szCs w:val="21"/>
          <w:highlight w:val="none"/>
        </w:rPr>
        <w:t>2、响应文件（响应）格式中所有要求法定代表人或其委托代理人签字或盖章的地方</w:t>
      </w:r>
      <w:r>
        <w:rPr>
          <w:rFonts w:hint="eastAsia" w:ascii="宋体" w:hAnsi="宋体" w:eastAsia="宋体" w:cs="宋体"/>
          <w:b/>
          <w:bCs/>
          <w:sz w:val="21"/>
          <w:szCs w:val="21"/>
          <w:highlight w:val="none"/>
        </w:rPr>
        <w:t>（不含授权委托书委托人签字）</w:t>
      </w:r>
      <w:r>
        <w:rPr>
          <w:rFonts w:hint="eastAsia" w:ascii="宋体" w:hAnsi="宋体" w:eastAsia="宋体" w:cs="宋体"/>
          <w:sz w:val="21"/>
          <w:szCs w:val="21"/>
          <w:highlight w:val="none"/>
        </w:rPr>
        <w:t>都须加盖法定代表人</w:t>
      </w:r>
      <w:r>
        <w:rPr>
          <w:rFonts w:hint="eastAsia" w:ascii="宋体" w:hAnsi="宋体" w:eastAsia="宋体" w:cs="宋体"/>
          <w:b/>
          <w:bCs/>
          <w:sz w:val="21"/>
          <w:szCs w:val="21"/>
          <w:highlight w:val="none"/>
        </w:rPr>
        <w:t>CA 印章。</w:t>
      </w:r>
    </w:p>
    <w:p w14:paraId="7DA0B079">
      <w:pPr>
        <w:pStyle w:val="3"/>
        <w:keepNext w:val="0"/>
        <w:keepLines w:val="0"/>
        <w:pageBreakBefore w:val="0"/>
        <w:kinsoku/>
        <w:overflowPunct/>
        <w:autoSpaceDE/>
        <w:autoSpaceDN/>
        <w:bidi w:val="0"/>
        <w:spacing w:line="460" w:lineRule="exact"/>
        <w:textAlignment w:val="auto"/>
        <w:rPr>
          <w:rFonts w:hint="eastAsia" w:ascii="宋体" w:hAnsi="宋体" w:eastAsia="宋体" w:cs="宋体"/>
          <w:b/>
          <w:bCs/>
          <w:sz w:val="21"/>
          <w:szCs w:val="21"/>
          <w:highlight w:val="none"/>
          <w:u w:val="double"/>
        </w:rPr>
      </w:pPr>
      <w:r>
        <w:rPr>
          <w:rFonts w:hint="eastAsia" w:ascii="宋体" w:hAnsi="宋体" w:eastAsia="宋体" w:cs="宋体"/>
          <w:b/>
          <w:bCs/>
          <w:sz w:val="21"/>
          <w:szCs w:val="21"/>
          <w:highlight w:val="none"/>
          <w:u w:val="double"/>
        </w:rPr>
        <w:t>六、响应文件份数</w:t>
      </w:r>
    </w:p>
    <w:p w14:paraId="28FDDE20">
      <w:pPr>
        <w:keepNext w:val="0"/>
        <w:keepLines w:val="0"/>
        <w:pageBreakBefore w:val="0"/>
        <w:kinsoku/>
        <w:overflowPunct/>
        <w:autoSpaceDE/>
        <w:autoSpaceDN/>
        <w:bidi w:val="0"/>
        <w:adjustRightInd w:val="0"/>
        <w:snapToGrid w:val="0"/>
        <w:spacing w:line="46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加密的电子投标（响应）文件壹份（*.XYTF 格式，在会员系统指定位置上传）</w:t>
      </w:r>
    </w:p>
    <w:p w14:paraId="2CF0DED9">
      <w:pPr>
        <w:pStyle w:val="3"/>
        <w:keepNext w:val="0"/>
        <w:keepLines w:val="0"/>
        <w:pageBreakBefore w:val="0"/>
        <w:kinsoku/>
        <w:overflowPunct/>
        <w:autoSpaceDE/>
        <w:autoSpaceDN/>
        <w:bidi w:val="0"/>
        <w:spacing w:line="460" w:lineRule="exact"/>
        <w:textAlignment w:val="auto"/>
        <w:rPr>
          <w:rFonts w:hint="eastAsia" w:ascii="宋体" w:hAnsi="宋体" w:eastAsia="宋体" w:cs="宋体"/>
          <w:b/>
          <w:bCs/>
          <w:sz w:val="21"/>
          <w:szCs w:val="21"/>
          <w:highlight w:val="none"/>
          <w:u w:val="double"/>
        </w:rPr>
      </w:pPr>
      <w:r>
        <w:rPr>
          <w:rFonts w:hint="eastAsia" w:ascii="宋体" w:hAnsi="宋体" w:eastAsia="宋体" w:cs="宋体"/>
          <w:b/>
          <w:bCs/>
          <w:sz w:val="21"/>
          <w:szCs w:val="21"/>
          <w:highlight w:val="none"/>
          <w:u w:val="double"/>
        </w:rPr>
        <w:t>七、投标（响应）文件的递交</w:t>
      </w:r>
    </w:p>
    <w:p w14:paraId="4AF51ADA">
      <w:pPr>
        <w:keepNext w:val="0"/>
        <w:keepLines w:val="0"/>
        <w:pageBreakBefore w:val="0"/>
        <w:kinsoku/>
        <w:overflowPunct/>
        <w:autoSpaceDE/>
        <w:autoSpaceDN/>
        <w:bidi w:val="0"/>
        <w:adjustRightInd w:val="0"/>
        <w:snapToGrid w:val="0"/>
        <w:spacing w:line="46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1、电子投标（响应）文件的递交</w:t>
      </w:r>
    </w:p>
    <w:p w14:paraId="5478B5E7">
      <w:pPr>
        <w:keepNext w:val="0"/>
        <w:keepLines w:val="0"/>
        <w:pageBreakBefore w:val="0"/>
        <w:kinsoku/>
        <w:overflowPunct/>
        <w:autoSpaceDE/>
        <w:autoSpaceDN/>
        <w:bidi w:val="0"/>
        <w:spacing w:line="46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各投标（供应商）人应在投标截止时间前上传加密的电子投标（响应）文件（*.XYTF）到会员系统的指定位置。上传的电子响应文件应使用供应商CA数字证书认证并加密。上传时必须得到交易系统“上传成功”的确认回复后方为上传成功。请供应商（供应商）在上传前务必认真检查上传投标（响应）文件是否完整、正确。</w:t>
      </w:r>
    </w:p>
    <w:p w14:paraId="2D1CA615">
      <w:pPr>
        <w:keepNext w:val="0"/>
        <w:keepLines w:val="0"/>
        <w:pageBreakBefore w:val="0"/>
        <w:kinsoku/>
        <w:overflowPunct/>
        <w:autoSpaceDE/>
        <w:autoSpaceDN/>
        <w:bidi w:val="0"/>
        <w:spacing w:line="46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2、本项目采用“不见面开标”交易方式，不见面开标大厅网址为 </w:t>
      </w:r>
      <w:r>
        <w:rPr>
          <w:rFonts w:hint="eastAsia" w:ascii="宋体" w:hAnsi="宋体" w:eastAsia="宋体" w:cs="宋体"/>
          <w:sz w:val="21"/>
          <w:szCs w:val="21"/>
          <w:highlight w:val="none"/>
          <w:lang w:eastAsia="zh-CN"/>
        </w:rPr>
        <w:t>https://ggzyjy.xinyang.gov.cn/BidOpening</w:t>
      </w:r>
      <w:r>
        <w:rPr>
          <w:rFonts w:hint="eastAsia" w:ascii="宋体" w:hAnsi="宋体" w:eastAsia="宋体" w:cs="宋体"/>
          <w:sz w:val="21"/>
          <w:szCs w:val="21"/>
          <w:highlight w:val="none"/>
        </w:rPr>
        <w:t>，供应商无需寄送和递交非加密的电子响应文件，无需到现场参加开标会议，无需到达现场提交原件资料。</w:t>
      </w:r>
    </w:p>
    <w:p w14:paraId="103E5AB4">
      <w:pPr>
        <w:keepNext w:val="0"/>
        <w:keepLines w:val="0"/>
        <w:pageBreakBefore w:val="0"/>
        <w:kinsoku/>
        <w:overflowPunct/>
        <w:autoSpaceDE/>
        <w:autoSpaceDN/>
        <w:bidi w:val="0"/>
        <w:spacing w:line="46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供应商应当在投标截止时间前，使用供应商CA数字证书登录不见面开标大厅，在线签到并准时参加开标活动，并在规定时间内完成响应文件解密、答疑澄清等。</w:t>
      </w:r>
    </w:p>
    <w:p w14:paraId="5686EEA6">
      <w:pPr>
        <w:keepNext w:val="0"/>
        <w:keepLines w:val="0"/>
        <w:pageBreakBefore w:val="0"/>
        <w:kinsoku/>
        <w:overflowPunct/>
        <w:autoSpaceDE/>
        <w:autoSpaceDN/>
        <w:bidi w:val="0"/>
        <w:spacing w:line="46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逾期解密或者没有准时在线参加开标活动导致的一切后果供应商自行承担。</w:t>
      </w:r>
    </w:p>
    <w:p w14:paraId="52ADB448">
      <w:pPr>
        <w:keepNext w:val="0"/>
        <w:keepLines w:val="0"/>
        <w:pageBreakBefore w:val="0"/>
        <w:kinsoku/>
        <w:overflowPunct/>
        <w:autoSpaceDE/>
        <w:autoSpaceDN/>
        <w:bidi w:val="0"/>
        <w:spacing w:line="46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不见面开标服务的具体事宜，请查阅信阳市公共资源交易中心网站首页—下载中心—信阳市不见面开标大厅系统操作手册 。</w:t>
      </w:r>
    </w:p>
    <w:p w14:paraId="63798C80">
      <w:pPr>
        <w:keepNext w:val="0"/>
        <w:keepLines w:val="0"/>
        <w:pageBreakBefore w:val="0"/>
        <w:kinsoku/>
        <w:overflowPunct/>
        <w:autoSpaceDE/>
        <w:autoSpaceDN/>
        <w:bidi w:val="0"/>
        <w:spacing w:line="46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特别提示：供应商在线签到时，应如实准确的填写授权委托人的联系电话，开标当天请务必保证电话保持畅通。</w:t>
      </w:r>
    </w:p>
    <w:p w14:paraId="2F96B51A">
      <w:pPr>
        <w:keepNext w:val="0"/>
        <w:keepLines w:val="0"/>
        <w:pageBreakBefore w:val="0"/>
        <w:kinsoku/>
        <w:overflowPunct/>
        <w:autoSpaceDE/>
        <w:autoSpaceDN/>
        <w:bidi w:val="0"/>
        <w:spacing w:line="460" w:lineRule="exact"/>
        <w:textAlignment w:val="auto"/>
        <w:rPr>
          <w:rFonts w:hint="eastAsia" w:ascii="宋体" w:hAnsi="宋体" w:eastAsia="宋体" w:cs="宋体"/>
          <w:b/>
          <w:bCs/>
          <w:sz w:val="21"/>
          <w:szCs w:val="21"/>
          <w:highlight w:val="none"/>
          <w:u w:val="double"/>
        </w:rPr>
      </w:pPr>
      <w:r>
        <w:rPr>
          <w:rFonts w:hint="eastAsia" w:ascii="宋体" w:hAnsi="宋体" w:eastAsia="宋体" w:cs="宋体"/>
          <w:b/>
          <w:bCs/>
          <w:sz w:val="21"/>
          <w:szCs w:val="21"/>
          <w:highlight w:val="none"/>
          <w:u w:val="double"/>
        </w:rPr>
        <w:t>八、澄清与变更</w:t>
      </w:r>
    </w:p>
    <w:p w14:paraId="37809A89">
      <w:pPr>
        <w:keepNext w:val="0"/>
        <w:keepLines w:val="0"/>
        <w:pageBreakBefore w:val="0"/>
        <w:kinsoku/>
        <w:overflowPunct/>
        <w:autoSpaceDE/>
        <w:autoSpaceDN/>
        <w:bidi w:val="0"/>
        <w:spacing w:line="46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如有疑问，以书面形式（包括信函、电报、传真等可以有形表现所载内容的形式），要求采购人（采购人）对招标（采购）文件予以澄清。澄清或修改的内容在信阳市公共资源交易系统“变更公告”或“答疑文件”菜单进行发布，供应商（供应商）应在投标（响应）文件递交截止时间前及时查看澄清或修改内容，因供应商（采购人）未及时查看而造成的后果自负。</w:t>
      </w:r>
    </w:p>
    <w:p w14:paraId="5DC87D25">
      <w:pPr>
        <w:keepNext w:val="0"/>
        <w:keepLines w:val="0"/>
        <w:pageBreakBefore w:val="0"/>
        <w:widowControl/>
        <w:kinsoku/>
        <w:overflowPunct/>
        <w:autoSpaceDE/>
        <w:autoSpaceDN/>
        <w:bidi w:val="0"/>
        <w:spacing w:line="460" w:lineRule="exact"/>
        <w:jc w:val="left"/>
        <w:textAlignment w:val="auto"/>
        <w:rPr>
          <w:rFonts w:hint="eastAsia" w:ascii="宋体" w:hAnsi="宋体" w:eastAsia="宋体" w:cs="宋体"/>
          <w:b/>
          <w:bCs/>
          <w:sz w:val="21"/>
          <w:szCs w:val="21"/>
          <w:highlight w:val="none"/>
          <w:u w:val="double"/>
        </w:rPr>
      </w:pPr>
      <w:r>
        <w:rPr>
          <w:rFonts w:hint="eastAsia" w:ascii="宋体" w:hAnsi="宋体" w:eastAsia="宋体" w:cs="宋体"/>
          <w:b/>
          <w:bCs/>
          <w:sz w:val="21"/>
          <w:szCs w:val="21"/>
          <w:highlight w:val="none"/>
          <w:u w:val="double"/>
        </w:rPr>
        <w:t xml:space="preserve">九、其他注意事项 </w:t>
      </w:r>
    </w:p>
    <w:p w14:paraId="20A34E5F">
      <w:pPr>
        <w:keepNext w:val="0"/>
        <w:keepLines w:val="0"/>
        <w:pageBreakBefore w:val="0"/>
        <w:widowControl/>
        <w:kinsoku/>
        <w:overflowPunct/>
        <w:autoSpaceDE/>
        <w:autoSpaceDN/>
        <w:bidi w:val="0"/>
        <w:spacing w:line="46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供应商编制投标文件时，涉及的营业执照、资质、获奖、社保、纳税等固定内容可在交易中心主体信用信息中录入</w:t>
      </w:r>
      <w:r>
        <w:rPr>
          <w:rFonts w:hint="eastAsia" w:ascii="宋体" w:hAnsi="宋体" w:eastAsia="宋体" w:cs="宋体"/>
          <w:sz w:val="21"/>
          <w:szCs w:val="21"/>
          <w:highlight w:val="none"/>
        </w:rPr>
        <w:t xml:space="preserve">。 </w:t>
      </w:r>
    </w:p>
    <w:p w14:paraId="4B56DF98">
      <w:pPr>
        <w:keepNext w:val="0"/>
        <w:keepLines w:val="0"/>
        <w:pageBreakBefore w:val="0"/>
        <w:widowControl/>
        <w:kinsoku/>
        <w:overflowPunct/>
        <w:autoSpaceDE/>
        <w:autoSpaceDN/>
        <w:bidi w:val="0"/>
        <w:spacing w:line="46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2、供应商编制响应文件时，涉及营业执照、资质、业绩、获奖、人员、财务、社保、纳税、各类证书等内容，</w:t>
      </w:r>
      <w:r>
        <w:rPr>
          <w:rFonts w:hint="eastAsia" w:ascii="宋体" w:hAnsi="宋体" w:eastAsia="宋体" w:cs="宋体"/>
          <w:b/>
          <w:bCs/>
          <w:sz w:val="21"/>
          <w:szCs w:val="21"/>
          <w:highlight w:val="none"/>
          <w:u w:val="single"/>
        </w:rPr>
        <w:t>须扫描编制在响应文件内。</w:t>
      </w:r>
      <w:r>
        <w:rPr>
          <w:rFonts w:hint="eastAsia" w:ascii="宋体" w:hAnsi="宋体" w:eastAsia="宋体" w:cs="宋体"/>
          <w:sz w:val="21"/>
          <w:szCs w:val="21"/>
          <w:highlight w:val="none"/>
        </w:rPr>
        <w:t>评委评审只需依法对响应文件进行评审，</w:t>
      </w:r>
      <w:r>
        <w:rPr>
          <w:rFonts w:hint="eastAsia" w:ascii="宋体" w:hAnsi="宋体" w:eastAsia="宋体" w:cs="宋体"/>
          <w:b/>
          <w:bCs/>
          <w:sz w:val="21"/>
          <w:szCs w:val="21"/>
          <w:highlight w:val="none"/>
          <w:u w:val="single"/>
        </w:rPr>
        <w:t>并以响应文件的响应为唯一评审依据，不再比对主体信用信息</w:t>
      </w:r>
      <w:r>
        <w:rPr>
          <w:rFonts w:hint="eastAsia" w:ascii="宋体" w:hAnsi="宋体" w:eastAsia="宋体" w:cs="宋体"/>
          <w:sz w:val="21"/>
          <w:szCs w:val="21"/>
          <w:highlight w:val="none"/>
        </w:rPr>
        <w:t>。</w:t>
      </w:r>
    </w:p>
    <w:p w14:paraId="3BBEEEC7">
      <w:pPr>
        <w:keepNext w:val="0"/>
        <w:keepLines w:val="0"/>
        <w:pageBreakBefore w:val="0"/>
        <w:widowControl/>
        <w:kinsoku/>
        <w:overflowPunct/>
        <w:autoSpaceDE/>
        <w:autoSpaceDN/>
        <w:bidi w:val="0"/>
        <w:spacing w:line="46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采购人或代理机构在发布中标公告或候选人公示时需同时将中标人或第一中标候选人响应文件中的营业执照、资质、业绩、获奖、人员、财务、社保、纳税、各类证书、标的名称、规格型号同时公告（涉及供应商商业机密除外），强化社会监督。（中标企业认为投标文件中资料涉及商业秘密的，可以要求代理机构对相关信息模糊处理后公示（2021版添加修订）。）</w:t>
      </w:r>
    </w:p>
    <w:p w14:paraId="49A4F70A">
      <w:pPr>
        <w:keepNext w:val="0"/>
        <w:keepLines w:val="0"/>
        <w:pageBreakBefore w:val="0"/>
        <w:widowControl/>
        <w:kinsoku/>
        <w:overflowPunct/>
        <w:autoSpaceDE/>
        <w:autoSpaceDN/>
        <w:bidi w:val="0"/>
        <w:spacing w:line="46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4、响应文件中的扫描件，在确保清晰的前提下，每张最好控制在 500kb 内,生成的加密电子响应文件最好不要超过50MB。</w:t>
      </w:r>
    </w:p>
    <w:p w14:paraId="3B0020C0">
      <w:pPr>
        <w:keepNext w:val="0"/>
        <w:keepLines w:val="0"/>
        <w:pageBreakBefore w:val="0"/>
        <w:widowControl/>
        <w:kinsoku/>
        <w:overflowPunct/>
        <w:autoSpaceDE/>
        <w:autoSpaceDN/>
        <w:bidi w:val="0"/>
        <w:spacing w:line="460" w:lineRule="exact"/>
        <w:jc w:val="lef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u w:val="double"/>
        </w:rPr>
        <w:t>十、特别提醒</w:t>
      </w:r>
    </w:p>
    <w:p w14:paraId="31DE9259">
      <w:pPr>
        <w:keepNext w:val="0"/>
        <w:keepLines w:val="0"/>
        <w:pageBreakBefore w:val="0"/>
        <w:widowControl/>
        <w:kinsoku/>
        <w:overflowPunct/>
        <w:autoSpaceDE/>
        <w:autoSpaceDN/>
        <w:bidi w:val="0"/>
        <w:spacing w:line="46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招标（响应）文件与此内容不符的，以此内容为准。</w:t>
      </w:r>
    </w:p>
    <w:p w14:paraId="270A8F09">
      <w:pPr>
        <w:pStyle w:val="3"/>
        <w:keepNext w:val="0"/>
        <w:keepLines w:val="0"/>
        <w:pageBreakBefore w:val="0"/>
        <w:numPr>
          <w:ilvl w:val="0"/>
          <w:numId w:val="1"/>
        </w:numPr>
        <w:kinsoku/>
        <w:overflowPunct/>
        <w:autoSpaceDE/>
        <w:autoSpaceDN/>
        <w:bidi w:val="0"/>
        <w:spacing w:line="360" w:lineRule="auto"/>
        <w:textAlignment w:val="auto"/>
        <w:rPr>
          <w:rFonts w:hint="eastAsia" w:ascii="宋体" w:hAnsi="宋体" w:eastAsia="宋体" w:cs="宋体"/>
          <w:b/>
          <w:bCs/>
          <w:kern w:val="2"/>
          <w:sz w:val="21"/>
          <w:szCs w:val="21"/>
          <w:highlight w:val="none"/>
          <w:u w:val="double"/>
        </w:rPr>
      </w:pPr>
      <w:r>
        <w:rPr>
          <w:rFonts w:hint="eastAsia" w:ascii="宋体" w:hAnsi="宋体" w:eastAsia="宋体" w:cs="宋体"/>
          <w:b/>
          <w:bCs/>
          <w:kern w:val="2"/>
          <w:sz w:val="21"/>
          <w:szCs w:val="21"/>
          <w:highlight w:val="none"/>
          <w:u w:val="double"/>
        </w:rPr>
        <w:t>政府采购二次报价操作流程</w:t>
      </w:r>
    </w:p>
    <w:p w14:paraId="3EE673AD">
      <w:pPr>
        <w:pStyle w:val="3"/>
        <w:keepNext w:val="0"/>
        <w:keepLines w:val="0"/>
        <w:pageBreakBefore w:val="0"/>
        <w:kinsoku/>
        <w:overflowPunct/>
        <w:autoSpaceDE/>
        <w:autoSpaceDN/>
        <w:bidi w:val="0"/>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5253990" cy="2333625"/>
            <wp:effectExtent l="0" t="0" r="3810" b="9525"/>
            <wp:docPr id="8" name="图片 1" descr="9b8eb38a94ad5105ba2a51fe6711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9b8eb38a94ad5105ba2a51fe67119da"/>
                    <pic:cNvPicPr>
                      <a:picLocks noChangeAspect="1"/>
                    </pic:cNvPicPr>
                  </pic:nvPicPr>
                  <pic:blipFill>
                    <a:blip r:embed="rId22"/>
                    <a:stretch>
                      <a:fillRect/>
                    </a:stretch>
                  </pic:blipFill>
                  <pic:spPr>
                    <a:xfrm>
                      <a:off x="0" y="0"/>
                      <a:ext cx="5253990" cy="2333625"/>
                    </a:xfrm>
                    <a:prstGeom prst="rect">
                      <a:avLst/>
                    </a:prstGeom>
                    <a:noFill/>
                    <a:ln>
                      <a:noFill/>
                    </a:ln>
                  </pic:spPr>
                </pic:pic>
              </a:graphicData>
            </a:graphic>
          </wp:inline>
        </w:drawing>
      </w:r>
    </w:p>
    <w:p w14:paraId="607CAB56">
      <w:pPr>
        <w:pStyle w:val="4"/>
        <w:keepNext w:val="0"/>
        <w:keepLines w:val="0"/>
        <w:pageBreakBefore w:val="0"/>
        <w:kinsoku/>
        <w:overflowPunct/>
        <w:autoSpaceDE/>
        <w:autoSpaceDN/>
        <w:bidi w:val="0"/>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4956175" cy="2999105"/>
            <wp:effectExtent l="0" t="0" r="15875" b="10795"/>
            <wp:docPr id="11" name="图片 2" descr="367a4e9ba1aa0e06d99c4f32f1fa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367a4e9ba1aa0e06d99c4f32f1fa58e"/>
                    <pic:cNvPicPr>
                      <a:picLocks noChangeAspect="1"/>
                    </pic:cNvPicPr>
                  </pic:nvPicPr>
                  <pic:blipFill>
                    <a:blip r:embed="rId23"/>
                    <a:stretch>
                      <a:fillRect/>
                    </a:stretch>
                  </pic:blipFill>
                  <pic:spPr>
                    <a:xfrm>
                      <a:off x="0" y="0"/>
                      <a:ext cx="4956175" cy="2999105"/>
                    </a:xfrm>
                    <a:prstGeom prst="rect">
                      <a:avLst/>
                    </a:prstGeom>
                    <a:noFill/>
                    <a:ln>
                      <a:noFill/>
                    </a:ln>
                  </pic:spPr>
                </pic:pic>
              </a:graphicData>
            </a:graphic>
          </wp:inline>
        </w:drawing>
      </w:r>
    </w:p>
    <w:p w14:paraId="54D2CDE2">
      <w:pPr>
        <w:pStyle w:val="4"/>
        <w:keepNext w:val="0"/>
        <w:keepLines w:val="0"/>
        <w:pageBreakBefore w:val="0"/>
        <w:kinsoku/>
        <w:overflowPunct/>
        <w:autoSpaceDE/>
        <w:autoSpaceDN/>
        <w:bidi w:val="0"/>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5119370" cy="2894965"/>
            <wp:effectExtent l="0" t="0" r="5080" b="635"/>
            <wp:docPr id="5" name="图片 3" descr="6f74f37b1629f049dc0462856c6c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6f74f37b1629f049dc0462856c6c40b"/>
                    <pic:cNvPicPr>
                      <a:picLocks noChangeAspect="1"/>
                    </pic:cNvPicPr>
                  </pic:nvPicPr>
                  <pic:blipFill>
                    <a:blip r:embed="rId24"/>
                    <a:stretch>
                      <a:fillRect/>
                    </a:stretch>
                  </pic:blipFill>
                  <pic:spPr>
                    <a:xfrm>
                      <a:off x="0" y="0"/>
                      <a:ext cx="5119370" cy="2894965"/>
                    </a:xfrm>
                    <a:prstGeom prst="rect">
                      <a:avLst/>
                    </a:prstGeom>
                    <a:noFill/>
                    <a:ln>
                      <a:noFill/>
                    </a:ln>
                  </pic:spPr>
                </pic:pic>
              </a:graphicData>
            </a:graphic>
          </wp:inline>
        </w:drawing>
      </w:r>
    </w:p>
    <w:p w14:paraId="13AABADA">
      <w:pPr>
        <w:pStyle w:val="4"/>
        <w:keepNext w:val="0"/>
        <w:keepLines w:val="0"/>
        <w:pageBreakBefore w:val="0"/>
        <w:kinsoku/>
        <w:overflowPunct/>
        <w:autoSpaceDE/>
        <w:autoSpaceDN/>
        <w:bidi w:val="0"/>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5289550" cy="2974975"/>
            <wp:effectExtent l="0" t="0" r="6350" b="15875"/>
            <wp:docPr id="6" name="图片 4" descr="adf93593eaf15fa2b8002efc617c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adf93593eaf15fa2b8002efc617c012"/>
                    <pic:cNvPicPr>
                      <a:picLocks noChangeAspect="1"/>
                    </pic:cNvPicPr>
                  </pic:nvPicPr>
                  <pic:blipFill>
                    <a:blip r:embed="rId25"/>
                    <a:stretch>
                      <a:fillRect/>
                    </a:stretch>
                  </pic:blipFill>
                  <pic:spPr>
                    <a:xfrm>
                      <a:off x="0" y="0"/>
                      <a:ext cx="5289550" cy="2974975"/>
                    </a:xfrm>
                    <a:prstGeom prst="rect">
                      <a:avLst/>
                    </a:prstGeom>
                    <a:noFill/>
                    <a:ln>
                      <a:noFill/>
                    </a:ln>
                  </pic:spPr>
                </pic:pic>
              </a:graphicData>
            </a:graphic>
          </wp:inline>
        </w:drawing>
      </w:r>
    </w:p>
    <w:p w14:paraId="0AC9F71C">
      <w:pPr>
        <w:keepNext w:val="0"/>
        <w:keepLines w:val="0"/>
        <w:pageBreakBefore w:val="0"/>
        <w:kinsoku/>
        <w:overflowPunct/>
        <w:autoSpaceDE/>
        <w:autoSpaceDN/>
        <w:bidi w:val="0"/>
        <w:spacing w:line="360" w:lineRule="auto"/>
        <w:jc w:val="center"/>
        <w:textAlignment w:val="auto"/>
        <w:rPr>
          <w:rStyle w:val="73"/>
          <w:rFonts w:hint="eastAsia" w:ascii="宋体" w:hAnsi="宋体" w:eastAsia="宋体" w:cs="宋体"/>
          <w:color w:val="auto"/>
          <w:sz w:val="21"/>
          <w:szCs w:val="21"/>
          <w:highlight w:val="none"/>
        </w:rPr>
      </w:pPr>
      <w:bookmarkStart w:id="7" w:name="_Toc8139"/>
      <w:r>
        <w:rPr>
          <w:rStyle w:val="73"/>
          <w:rFonts w:hint="eastAsia" w:ascii="宋体" w:hAnsi="宋体" w:eastAsia="宋体" w:cs="宋体"/>
          <w:color w:val="auto"/>
          <w:sz w:val="21"/>
          <w:szCs w:val="21"/>
          <w:highlight w:val="none"/>
        </w:rPr>
        <w:drawing>
          <wp:inline distT="0" distB="0" distL="114300" distR="114300">
            <wp:extent cx="5006340" cy="2749550"/>
            <wp:effectExtent l="0" t="0" r="3810" b="12700"/>
            <wp:docPr id="7" name="图片 5" descr="d6fd467dc2a364b73691551f275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d6fd467dc2a364b73691551f2756613"/>
                    <pic:cNvPicPr>
                      <a:picLocks noChangeAspect="1"/>
                    </pic:cNvPicPr>
                  </pic:nvPicPr>
                  <pic:blipFill>
                    <a:blip r:embed="rId26"/>
                    <a:stretch>
                      <a:fillRect/>
                    </a:stretch>
                  </pic:blipFill>
                  <pic:spPr>
                    <a:xfrm>
                      <a:off x="0" y="0"/>
                      <a:ext cx="5006340" cy="2749550"/>
                    </a:xfrm>
                    <a:prstGeom prst="rect">
                      <a:avLst/>
                    </a:prstGeom>
                    <a:noFill/>
                    <a:ln>
                      <a:noFill/>
                    </a:ln>
                  </pic:spPr>
                </pic:pic>
              </a:graphicData>
            </a:graphic>
          </wp:inline>
        </w:drawing>
      </w:r>
    </w:p>
    <w:bookmarkEnd w:id="7"/>
    <w:p w14:paraId="40A004C0">
      <w:pPr>
        <w:keepNext w:val="0"/>
        <w:keepLines w:val="0"/>
        <w:pageBreakBefore w:val="0"/>
        <w:kinsoku/>
        <w:wordWrap w:val="0"/>
        <w:overflowPunct/>
        <w:topLinePunct/>
        <w:autoSpaceDE/>
        <w:autoSpaceDN/>
        <w:bidi w:val="0"/>
        <w:spacing w:line="460" w:lineRule="exact"/>
        <w:ind w:firstLine="316" w:firstLineChars="150"/>
        <w:textAlignment w:val="auto"/>
        <w:rPr>
          <w:rFonts w:hint="eastAsia" w:ascii="宋体" w:hAnsi="宋体" w:eastAsia="宋体" w:cs="宋体"/>
          <w:sz w:val="21"/>
          <w:szCs w:val="21"/>
          <w:highlight w:val="none"/>
          <w:shd w:val="clear" w:color="auto" w:fill="FFFFFF"/>
        </w:rPr>
      </w:pPr>
      <w:r>
        <w:rPr>
          <w:rFonts w:hint="eastAsia" w:ascii="宋体" w:hAnsi="宋体" w:eastAsia="宋体" w:cs="宋体"/>
          <w:b/>
          <w:sz w:val="21"/>
          <w:szCs w:val="21"/>
          <w:highlight w:val="none"/>
          <w:shd w:val="clear" w:color="auto" w:fill="FFFFFF"/>
        </w:rPr>
        <w:t>特别注意：</w:t>
      </w:r>
    </w:p>
    <w:p w14:paraId="5B995CD0">
      <w:pPr>
        <w:keepNext w:val="0"/>
        <w:keepLines w:val="0"/>
        <w:pageBreakBefore w:val="0"/>
        <w:widowControl/>
        <w:kinsoku/>
        <w:overflowPunct/>
        <w:autoSpaceDE/>
        <w:autoSpaceDN/>
        <w:bidi w:val="0"/>
        <w:spacing w:line="460" w:lineRule="exact"/>
        <w:ind w:firstLine="422" w:firstLineChars="200"/>
        <w:jc w:val="lef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不见面开标签章环节，使用信安CA钥匙，如果出现签不上章的情况，请检查是否有：互诚通、云政数据证书助手，等驱动，安装这些会造成无法签章，请务必卸载！</w:t>
      </w:r>
    </w:p>
    <w:p w14:paraId="5E10D50E">
      <w:pPr>
        <w:keepNext w:val="0"/>
        <w:keepLines w:val="0"/>
        <w:pageBreakBefore w:val="0"/>
        <w:widowControl/>
        <w:kinsoku/>
        <w:overflowPunct/>
        <w:autoSpaceDE/>
        <w:autoSpaceDN/>
        <w:bidi w:val="0"/>
        <w:spacing w:line="46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供应商因信阳市电子招投标交易平台问题无法上传加密电子响应文件时，请在工作时间与交易中心联系。</w:t>
      </w:r>
    </w:p>
    <w:p w14:paraId="613AF06D">
      <w:pPr>
        <w:keepNext w:val="0"/>
        <w:keepLines w:val="0"/>
        <w:pageBreakBefore w:val="0"/>
        <w:widowControl/>
        <w:kinsoku/>
        <w:overflowPunct/>
        <w:autoSpaceDE/>
        <w:autoSpaceDN/>
        <w:bidi w:val="0"/>
        <w:spacing w:line="46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联系电话如下：</w:t>
      </w:r>
    </w:p>
    <w:p w14:paraId="58FC16EA">
      <w:pPr>
        <w:keepNext w:val="0"/>
        <w:keepLines w:val="0"/>
        <w:pageBreakBefore w:val="0"/>
        <w:widowControl/>
        <w:kinsoku/>
        <w:overflowPunct/>
        <w:autoSpaceDE/>
        <w:autoSpaceDN/>
        <w:bidi w:val="0"/>
        <w:spacing w:line="46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信阳市公共资源交易中心</w:t>
      </w:r>
    </w:p>
    <w:p w14:paraId="6F1910AE">
      <w:pPr>
        <w:keepNext w:val="0"/>
        <w:keepLines w:val="0"/>
        <w:pageBreakBefore w:val="0"/>
        <w:widowControl/>
        <w:kinsoku/>
        <w:overflowPunct/>
        <w:autoSpaceDE/>
        <w:autoSpaceDN/>
        <w:bidi w:val="0"/>
        <w:spacing w:line="46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地址：信阳市羊山新区百花中路（市博物馆正对面）</w:t>
      </w:r>
    </w:p>
    <w:p w14:paraId="520D6FCD">
      <w:pPr>
        <w:keepNext w:val="0"/>
        <w:keepLines w:val="0"/>
        <w:pageBreakBefore w:val="0"/>
        <w:widowControl/>
        <w:kinsoku/>
        <w:overflowPunct/>
        <w:autoSpaceDE/>
        <w:autoSpaceDN/>
        <w:bidi w:val="0"/>
        <w:spacing w:line="460" w:lineRule="exact"/>
        <w:ind w:firstLine="420" w:firstLineChars="200"/>
        <w:jc w:val="left"/>
        <w:textAlignment w:val="auto"/>
        <w:rPr>
          <w:rFonts w:hint="eastAsia" w:ascii="宋体" w:hAnsi="宋体" w:eastAsia="宋体" w:cs="宋体"/>
          <w:sz w:val="21"/>
          <w:szCs w:val="21"/>
          <w:highlight w:val="none"/>
          <w:lang w:val="en-US" w:eastAsia="zh-CN"/>
        </w:rPr>
        <w:sectPr>
          <w:headerReference r:id="rId9" w:type="default"/>
          <w:footerReference r:id="rId10" w:type="default"/>
          <w:pgSz w:w="11850" w:h="16783"/>
          <w:pgMar w:top="1440" w:right="1800" w:bottom="1440" w:left="1800" w:header="850" w:footer="397" w:gutter="0"/>
          <w:pgBorders>
            <w:top w:val="none" w:sz="0" w:space="0"/>
            <w:left w:val="none" w:sz="0" w:space="0"/>
            <w:bottom w:val="none" w:sz="0" w:space="0"/>
            <w:right w:val="none" w:sz="0" w:space="0"/>
          </w:pgBorders>
          <w:pgNumType w:fmt="decimal"/>
          <w:cols w:space="720" w:num="1"/>
          <w:docGrid w:type="lines" w:linePitch="380" w:charSpace="0"/>
        </w:sectPr>
      </w:pPr>
      <w:r>
        <w:rPr>
          <w:rFonts w:hint="eastAsia" w:ascii="宋体" w:hAnsi="宋体" w:eastAsia="宋体" w:cs="宋体"/>
          <w:sz w:val="21"/>
          <w:szCs w:val="21"/>
          <w:highlight w:val="none"/>
        </w:rPr>
        <w:t>电子交易系统技术支持电话：0376-63696</w:t>
      </w:r>
      <w:r>
        <w:rPr>
          <w:rFonts w:hint="eastAsia" w:ascii="宋体" w:hAnsi="宋体" w:eastAsia="宋体" w:cs="宋体"/>
          <w:sz w:val="21"/>
          <w:szCs w:val="21"/>
          <w:highlight w:val="none"/>
          <w:lang w:val="en-US" w:eastAsia="zh-CN"/>
        </w:rPr>
        <w:t>677</w:t>
      </w:r>
    </w:p>
    <w:bookmarkEnd w:id="2"/>
    <w:bookmarkEnd w:id="3"/>
    <w:bookmarkEnd w:id="4"/>
    <w:bookmarkEnd w:id="5"/>
    <w:p w14:paraId="117EC85B">
      <w:pPr>
        <w:pStyle w:val="23"/>
        <w:numPr>
          <w:ilvl w:val="0"/>
          <w:numId w:val="2"/>
        </w:numPr>
        <w:tabs>
          <w:tab w:val="right" w:leader="underscore" w:pos="8296"/>
        </w:tabs>
        <w:spacing w:after="0" w:afterLines="0" w:line="360" w:lineRule="auto"/>
        <w:ind w:left="0" w:leftChars="0" w:firstLine="0" w:firstLineChars="0"/>
        <w:jc w:val="center"/>
        <w:outlineLvl w:val="0"/>
        <w:rPr>
          <w:rFonts w:hint="eastAsia" w:ascii="宋体" w:hAnsi="宋体" w:eastAsia="宋体" w:cs="宋体"/>
          <w:b/>
          <w:bCs/>
          <w:color w:val="auto"/>
          <w:sz w:val="32"/>
          <w:szCs w:val="32"/>
          <w:highlight w:val="none"/>
          <w:lang w:eastAsia="zh-CN"/>
        </w:rPr>
      </w:pPr>
      <w:bookmarkStart w:id="8" w:name="_Toc16648"/>
      <w:r>
        <w:rPr>
          <w:rFonts w:hint="eastAsia" w:ascii="宋体" w:hAnsi="宋体" w:eastAsia="宋体" w:cs="宋体"/>
          <w:b/>
          <w:bCs/>
          <w:color w:val="auto"/>
          <w:sz w:val="32"/>
          <w:szCs w:val="32"/>
          <w:highlight w:val="none"/>
          <w:lang w:val="en-US" w:eastAsia="zh-CN"/>
        </w:rPr>
        <w:t xml:space="preserve"> </w:t>
      </w:r>
      <w:bookmarkStart w:id="9" w:name="_Toc4633"/>
      <w:r>
        <w:rPr>
          <w:rFonts w:hint="eastAsia" w:ascii="宋体" w:hAnsi="宋体" w:eastAsia="宋体" w:cs="宋体"/>
          <w:b/>
          <w:bCs/>
          <w:color w:val="auto"/>
          <w:sz w:val="32"/>
          <w:szCs w:val="32"/>
          <w:highlight w:val="none"/>
          <w:lang w:eastAsia="zh-CN"/>
        </w:rPr>
        <w:t>竞争性磋商公告</w:t>
      </w:r>
      <w:bookmarkEnd w:id="8"/>
      <w:bookmarkEnd w:id="9"/>
    </w:p>
    <w:p w14:paraId="1C8FBA61">
      <w:pPr>
        <w:pStyle w:val="57"/>
        <w:spacing w:line="360" w:lineRule="auto"/>
        <w:ind w:left="0" w:leftChars="0" w:firstLine="0" w:firstLineChars="0"/>
        <w:jc w:val="center"/>
        <w:rPr>
          <w:rFonts w:hint="eastAsia" w:ascii="宋体" w:hAnsi="宋体" w:eastAsia="宋体" w:cs="宋体"/>
          <w:sz w:val="30"/>
          <w:szCs w:val="30"/>
          <w:highlight w:val="none"/>
          <w:lang w:eastAsia="zh-CN"/>
        </w:rPr>
      </w:pPr>
      <w:r>
        <w:rPr>
          <w:rFonts w:hint="eastAsia" w:ascii="宋体" w:hAnsi="宋体" w:eastAsia="宋体" w:cs="宋体"/>
          <w:b/>
          <w:color w:val="auto"/>
          <w:spacing w:val="-20"/>
          <w:sz w:val="30"/>
          <w:szCs w:val="30"/>
          <w:highlight w:val="none"/>
          <w:lang w:val="en-US" w:eastAsia="zh-CN"/>
        </w:rPr>
        <w:t>息县公用事业服务中心污水处理厂环保设备维修服务采购项目-竞争性磋商公告</w:t>
      </w:r>
    </w:p>
    <w:p w14:paraId="3B788E89">
      <w:pPr>
        <w:pStyle w:val="24"/>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left="0" w:leftChars="0" w:firstLine="0" w:firstLineChars="0"/>
        <w:textAlignment w:val="auto"/>
        <w:rPr>
          <w:rFonts w:hint="eastAsia" w:asciiTheme="minorEastAsia" w:hAnsiTheme="minorEastAsia" w:eastAsiaTheme="minorEastAsia" w:cstheme="minorEastAsia"/>
          <w:b/>
          <w:color w:val="auto"/>
          <w:sz w:val="21"/>
          <w:szCs w:val="21"/>
          <w:highlight w:val="none"/>
        </w:rPr>
      </w:pPr>
      <w:bookmarkStart w:id="10" w:name="OLE_LINK1"/>
      <w:bookmarkStart w:id="11" w:name="_Toc8890"/>
      <w:bookmarkStart w:id="12" w:name="_Toc144974495"/>
      <w:bookmarkStart w:id="13" w:name="_Toc152042303"/>
      <w:bookmarkStart w:id="14" w:name="_Toc3330"/>
      <w:bookmarkStart w:id="15" w:name="_Toc152045527"/>
      <w:r>
        <w:rPr>
          <w:rFonts w:hint="eastAsia" w:asciiTheme="minorEastAsia" w:hAnsiTheme="minorEastAsia" w:eastAsiaTheme="minorEastAsia" w:cstheme="minorEastAsia"/>
          <w:b/>
          <w:color w:val="auto"/>
          <w:sz w:val="21"/>
          <w:szCs w:val="21"/>
          <w:highlight w:val="none"/>
        </w:rPr>
        <w:t>项目概况</w:t>
      </w:r>
    </w:p>
    <w:p w14:paraId="7B2E7DF7">
      <w:pPr>
        <w:pStyle w:val="2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息县公用事业服务中心污水处理厂环保设备维修服务采购项目</w:t>
      </w:r>
      <w:r>
        <w:rPr>
          <w:rFonts w:hint="eastAsia" w:asciiTheme="minorEastAsia" w:hAnsiTheme="minorEastAsia" w:eastAsiaTheme="minorEastAsia" w:cstheme="minorEastAsia"/>
          <w:bCs/>
          <w:color w:val="auto"/>
          <w:sz w:val="21"/>
          <w:szCs w:val="21"/>
          <w:highlight w:val="none"/>
        </w:rPr>
        <w:t>的潜在供应商应</w:t>
      </w:r>
      <w:r>
        <w:rPr>
          <w:rFonts w:hint="eastAsia" w:asciiTheme="minorEastAsia" w:hAnsiTheme="minorEastAsia" w:eastAsiaTheme="minorEastAsia" w:cstheme="minorEastAsia"/>
          <w:bCs/>
          <w:color w:val="auto"/>
          <w:sz w:val="21"/>
          <w:szCs w:val="21"/>
          <w:highlight w:val="none"/>
          <w:lang w:eastAsia="zh-CN"/>
        </w:rPr>
        <w:t>在</w:t>
      </w:r>
      <w:r>
        <w:rPr>
          <w:rFonts w:hint="eastAsia" w:asciiTheme="minorEastAsia" w:hAnsiTheme="minorEastAsia" w:eastAsiaTheme="minorEastAsia" w:cstheme="minorEastAsia"/>
          <w:sz w:val="21"/>
          <w:szCs w:val="21"/>
          <w:highlight w:val="none"/>
        </w:rPr>
        <w:t>全国公共资源交易平台（河南省·息县）官方网站</w:t>
      </w:r>
      <w:r>
        <w:rPr>
          <w:rFonts w:hint="eastAsia" w:asciiTheme="minorEastAsia" w:hAnsiTheme="minorEastAsia" w:eastAsiaTheme="minorEastAsia" w:cstheme="minorEastAsia"/>
          <w:bCs/>
          <w:color w:val="auto"/>
          <w:sz w:val="21"/>
          <w:szCs w:val="21"/>
          <w:highlight w:val="none"/>
        </w:rPr>
        <w:t>获取</w:t>
      </w:r>
      <w:r>
        <w:rPr>
          <w:rFonts w:hint="eastAsia" w:asciiTheme="minorEastAsia" w:hAnsiTheme="minorEastAsia" w:cstheme="minorEastAsia"/>
          <w:bCs/>
          <w:color w:val="auto"/>
          <w:sz w:val="21"/>
          <w:szCs w:val="21"/>
          <w:highlight w:val="none"/>
          <w:lang w:val="en-US" w:eastAsia="zh-CN"/>
        </w:rPr>
        <w:t>招标</w:t>
      </w:r>
      <w:r>
        <w:rPr>
          <w:rFonts w:hint="eastAsia" w:asciiTheme="minorEastAsia" w:hAnsiTheme="minorEastAsia" w:eastAsiaTheme="minorEastAsia" w:cstheme="minorEastAsia"/>
          <w:bCs/>
          <w:color w:val="auto"/>
          <w:sz w:val="21"/>
          <w:szCs w:val="21"/>
          <w:highlight w:val="none"/>
          <w:lang w:eastAsia="zh-CN"/>
        </w:rPr>
        <w:t>文件</w:t>
      </w:r>
      <w:r>
        <w:rPr>
          <w:rFonts w:hint="eastAsia" w:asciiTheme="minorEastAsia" w:hAnsiTheme="minorEastAsia" w:eastAsiaTheme="minorEastAsia" w:cstheme="minorEastAsia"/>
          <w:bCs/>
          <w:color w:val="auto"/>
          <w:sz w:val="21"/>
          <w:szCs w:val="21"/>
          <w:highlight w:val="none"/>
        </w:rPr>
        <w:t>，并于</w:t>
      </w:r>
      <w:r>
        <w:rPr>
          <w:rFonts w:hint="eastAsia" w:asciiTheme="minorEastAsia" w:hAnsiTheme="minorEastAsia" w:eastAsiaTheme="minorEastAsia" w:cstheme="minorEastAsia"/>
          <w:bCs/>
          <w:color w:val="auto"/>
          <w:sz w:val="21"/>
          <w:szCs w:val="21"/>
          <w:highlight w:val="none"/>
          <w:lang w:val="en-US" w:eastAsia="zh-CN"/>
        </w:rPr>
        <w:t>2025</w:t>
      </w:r>
      <w:r>
        <w:rPr>
          <w:rFonts w:hint="eastAsia" w:asciiTheme="minorEastAsia" w:hAnsiTheme="minorEastAsia" w:eastAsiaTheme="minorEastAsia" w:cstheme="minorEastAsia"/>
          <w:bCs/>
          <w:color w:val="auto"/>
          <w:sz w:val="21"/>
          <w:szCs w:val="21"/>
          <w:highlight w:val="none"/>
        </w:rPr>
        <w:t>年</w:t>
      </w:r>
      <w:r>
        <w:rPr>
          <w:rFonts w:hint="eastAsia" w:asciiTheme="minorEastAsia" w:hAnsiTheme="minorEastAsia" w:cstheme="minorEastAsia"/>
          <w:bCs/>
          <w:color w:val="auto"/>
          <w:sz w:val="21"/>
          <w:szCs w:val="21"/>
          <w:highlight w:val="none"/>
          <w:lang w:val="en-US" w:eastAsia="zh-CN"/>
        </w:rPr>
        <w:t>4</w:t>
      </w:r>
      <w:r>
        <w:rPr>
          <w:rFonts w:hint="eastAsia" w:asciiTheme="minorEastAsia" w:hAnsiTheme="minorEastAsia" w:eastAsiaTheme="minorEastAsia" w:cstheme="minorEastAsia"/>
          <w:bCs/>
          <w:color w:val="auto"/>
          <w:sz w:val="21"/>
          <w:szCs w:val="21"/>
          <w:highlight w:val="none"/>
        </w:rPr>
        <w:t>月</w:t>
      </w:r>
      <w:r>
        <w:rPr>
          <w:rFonts w:hint="eastAsia" w:asciiTheme="minorEastAsia" w:hAnsiTheme="minorEastAsia" w:cstheme="minorEastAsia"/>
          <w:bCs/>
          <w:color w:val="auto"/>
          <w:sz w:val="21"/>
          <w:szCs w:val="21"/>
          <w:highlight w:val="none"/>
          <w:lang w:val="en-US" w:eastAsia="zh-CN"/>
        </w:rPr>
        <w:t>1</w:t>
      </w:r>
      <w:r>
        <w:rPr>
          <w:rFonts w:hint="eastAsia" w:asciiTheme="minorEastAsia" w:hAnsiTheme="minorEastAsia" w:eastAsiaTheme="minorEastAsia" w:cstheme="minorEastAsia"/>
          <w:bCs/>
          <w:color w:val="auto"/>
          <w:sz w:val="21"/>
          <w:szCs w:val="21"/>
          <w:highlight w:val="none"/>
        </w:rPr>
        <w:t>日</w:t>
      </w:r>
      <w:r>
        <w:rPr>
          <w:rFonts w:hint="eastAsia" w:asciiTheme="minorEastAsia" w:hAnsiTheme="minorEastAsia" w:eastAsiaTheme="minorEastAsia" w:cstheme="minorEastAsia"/>
          <w:bCs/>
          <w:color w:val="auto"/>
          <w:sz w:val="21"/>
          <w:szCs w:val="21"/>
          <w:highlight w:val="none"/>
          <w:lang w:val="en-US" w:eastAsia="zh-CN"/>
        </w:rPr>
        <w:t>9时30</w:t>
      </w:r>
      <w:r>
        <w:rPr>
          <w:rFonts w:hint="eastAsia" w:asciiTheme="minorEastAsia" w:hAnsiTheme="minorEastAsia" w:eastAsiaTheme="minorEastAsia" w:cstheme="minorEastAsia"/>
          <w:bCs/>
          <w:color w:val="auto"/>
          <w:sz w:val="21"/>
          <w:szCs w:val="21"/>
          <w:highlight w:val="none"/>
        </w:rPr>
        <w:t>分（北京时间）前递交响应文件。</w:t>
      </w:r>
    </w:p>
    <w:p w14:paraId="7890B9F0">
      <w:pPr>
        <w:pStyle w:val="2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0" w:firstLineChars="0"/>
        <w:textAlignment w:val="auto"/>
        <w:outlineLvl w:val="1"/>
        <w:rPr>
          <w:rFonts w:hint="eastAsia" w:asciiTheme="minorEastAsia" w:hAnsiTheme="minorEastAsia" w:eastAsiaTheme="minorEastAsia" w:cstheme="minorEastAsia"/>
          <w:b/>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rPr>
        <w:t>一、项目基本情况</w:t>
      </w:r>
    </w:p>
    <w:p w14:paraId="0F646E47">
      <w:pPr>
        <w:pStyle w:val="24"/>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firstLine="420" w:firstLineChars="200"/>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rPr>
        <w:t>1、项目编号：息财磋商-2025-03-2</w:t>
      </w:r>
      <w:r>
        <w:rPr>
          <w:rFonts w:hint="eastAsia" w:asciiTheme="minorEastAsia" w:hAnsiTheme="minorEastAsia" w:eastAsiaTheme="minorEastAsia" w:cstheme="minorEastAsia"/>
          <w:bCs/>
          <w:color w:val="auto"/>
          <w:sz w:val="21"/>
          <w:szCs w:val="21"/>
          <w:highlight w:val="none"/>
          <w:lang w:val="en-US" w:eastAsia="zh-CN"/>
        </w:rPr>
        <w:t xml:space="preserve">  </w:t>
      </w:r>
    </w:p>
    <w:p w14:paraId="685DDFD9">
      <w:pPr>
        <w:pStyle w:val="24"/>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firstLine="420" w:firstLineChars="200"/>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2、项目名称：</w:t>
      </w:r>
      <w:r>
        <w:rPr>
          <w:rFonts w:hint="eastAsia" w:asciiTheme="minorEastAsia" w:hAnsiTheme="minorEastAsia" w:eastAsiaTheme="minorEastAsia" w:cstheme="minorEastAsia"/>
          <w:bCs/>
          <w:color w:val="auto"/>
          <w:sz w:val="21"/>
          <w:szCs w:val="21"/>
          <w:highlight w:val="none"/>
          <w:lang w:val="en-US" w:eastAsia="zh-CN"/>
        </w:rPr>
        <w:t>息县公用事业服务中心污水处理厂环保设备维修服务采购项目</w:t>
      </w:r>
    </w:p>
    <w:p w14:paraId="6727AD7B">
      <w:pPr>
        <w:pStyle w:val="24"/>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firstLine="420" w:firstLineChars="200"/>
        <w:textAlignment w:val="auto"/>
        <w:rPr>
          <w:rFonts w:hint="eastAsia" w:asciiTheme="minorEastAsia" w:hAnsiTheme="minorEastAsia" w:eastAsiaTheme="minorEastAsia" w:cstheme="minorEastAsia"/>
          <w:bCs/>
          <w:color w:val="000000"/>
          <w:sz w:val="21"/>
          <w:szCs w:val="21"/>
          <w:highlight w:val="none"/>
          <w:lang w:eastAsia="zh-CN"/>
        </w:rPr>
      </w:pPr>
      <w:r>
        <w:rPr>
          <w:rFonts w:hint="eastAsia" w:asciiTheme="minorEastAsia" w:hAnsiTheme="minorEastAsia" w:eastAsiaTheme="minorEastAsia" w:cstheme="minorEastAsia"/>
          <w:bCs/>
          <w:color w:val="auto"/>
          <w:sz w:val="21"/>
          <w:szCs w:val="21"/>
          <w:highlight w:val="none"/>
        </w:rPr>
        <w:t>3、采购方</w:t>
      </w:r>
      <w:r>
        <w:rPr>
          <w:rFonts w:hint="eastAsia" w:asciiTheme="minorEastAsia" w:hAnsiTheme="minorEastAsia" w:eastAsiaTheme="minorEastAsia" w:cstheme="minorEastAsia"/>
          <w:bCs/>
          <w:color w:val="000000"/>
          <w:sz w:val="21"/>
          <w:szCs w:val="21"/>
          <w:highlight w:val="none"/>
        </w:rPr>
        <w:t>式：竞争性磋商</w:t>
      </w:r>
    </w:p>
    <w:p w14:paraId="48C3E7AD">
      <w:pPr>
        <w:pStyle w:val="24"/>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firstLine="420" w:firstLineChars="200"/>
        <w:textAlignment w:val="auto"/>
        <w:rPr>
          <w:rFonts w:hint="eastAsia" w:asciiTheme="minorEastAsia" w:hAnsiTheme="minorEastAsia" w:eastAsiaTheme="minorEastAsia" w:cstheme="minorEastAsia"/>
          <w:bCs/>
          <w:color w:val="000000"/>
          <w:sz w:val="21"/>
          <w:szCs w:val="21"/>
          <w:highlight w:val="none"/>
          <w:lang w:val="en-US" w:eastAsia="zh-CN"/>
        </w:rPr>
      </w:pPr>
      <w:r>
        <w:rPr>
          <w:rFonts w:hint="eastAsia" w:asciiTheme="minorEastAsia" w:hAnsiTheme="minorEastAsia" w:eastAsiaTheme="minorEastAsia" w:cstheme="minorEastAsia"/>
          <w:bCs/>
          <w:color w:val="000000"/>
          <w:sz w:val="21"/>
          <w:szCs w:val="21"/>
          <w:highlight w:val="none"/>
        </w:rPr>
        <w:t>4、预算金额：</w:t>
      </w:r>
      <w:r>
        <w:rPr>
          <w:rFonts w:hint="eastAsia" w:asciiTheme="minorEastAsia" w:hAnsiTheme="minorEastAsia" w:eastAsiaTheme="minorEastAsia" w:cstheme="minorEastAsia"/>
          <w:bCs/>
          <w:color w:val="000000"/>
          <w:sz w:val="21"/>
          <w:szCs w:val="21"/>
          <w:highlight w:val="none"/>
          <w:lang w:val="en-US" w:eastAsia="zh-CN"/>
        </w:rPr>
        <w:t>1500000</w:t>
      </w:r>
      <w:r>
        <w:rPr>
          <w:rFonts w:hint="eastAsia" w:asciiTheme="minorEastAsia" w:hAnsiTheme="minorEastAsia" w:cstheme="minorEastAsia"/>
          <w:bCs/>
          <w:color w:val="000000"/>
          <w:sz w:val="21"/>
          <w:szCs w:val="21"/>
          <w:highlight w:val="none"/>
          <w:lang w:val="en-US" w:eastAsia="zh-CN"/>
        </w:rPr>
        <w:t>.00</w:t>
      </w:r>
      <w:r>
        <w:rPr>
          <w:rFonts w:hint="eastAsia" w:asciiTheme="minorEastAsia" w:hAnsiTheme="minorEastAsia" w:eastAsiaTheme="minorEastAsia" w:cstheme="minorEastAsia"/>
          <w:bCs/>
          <w:color w:val="000000"/>
          <w:sz w:val="21"/>
          <w:szCs w:val="21"/>
          <w:highlight w:val="none"/>
          <w:lang w:val="en-US" w:eastAsia="zh-CN"/>
        </w:rPr>
        <w:t xml:space="preserve">元   </w:t>
      </w:r>
    </w:p>
    <w:p w14:paraId="69EB9C57">
      <w:pPr>
        <w:pStyle w:val="24"/>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firstLine="840" w:firstLineChars="400"/>
        <w:textAlignment w:val="auto"/>
        <w:rPr>
          <w:rFonts w:hint="eastAsia" w:asciiTheme="minorEastAsia" w:hAnsiTheme="minorEastAsia" w:eastAsiaTheme="minorEastAsia" w:cstheme="minorEastAsia"/>
          <w:bCs/>
          <w:color w:val="000000"/>
          <w:sz w:val="21"/>
          <w:szCs w:val="21"/>
          <w:highlight w:val="none"/>
        </w:rPr>
      </w:pPr>
      <w:r>
        <w:rPr>
          <w:rFonts w:hint="eastAsia" w:asciiTheme="minorEastAsia" w:hAnsiTheme="minorEastAsia" w:eastAsiaTheme="minorEastAsia" w:cstheme="minorEastAsia"/>
          <w:color w:val="auto"/>
          <w:sz w:val="21"/>
          <w:szCs w:val="21"/>
          <w:highlight w:val="none"/>
          <w:lang w:eastAsia="zh-CN"/>
        </w:rPr>
        <w:t>最高限价：</w:t>
      </w:r>
      <w:r>
        <w:rPr>
          <w:rFonts w:hint="eastAsia" w:asciiTheme="minorEastAsia" w:hAnsiTheme="minorEastAsia" w:eastAsiaTheme="minorEastAsia" w:cstheme="minorEastAsia"/>
          <w:bCs/>
          <w:color w:val="000000"/>
          <w:sz w:val="21"/>
          <w:szCs w:val="21"/>
          <w:highlight w:val="none"/>
          <w:lang w:val="en-US" w:eastAsia="zh-CN"/>
        </w:rPr>
        <w:t>1500000</w:t>
      </w:r>
      <w:r>
        <w:rPr>
          <w:rFonts w:hint="eastAsia" w:asciiTheme="minorEastAsia" w:hAnsiTheme="minorEastAsia" w:eastAsiaTheme="minorEastAsia" w:cstheme="minorEastAsia"/>
          <w:color w:val="auto"/>
          <w:sz w:val="21"/>
          <w:szCs w:val="21"/>
          <w:highlight w:val="none"/>
          <w:lang w:val="en-US" w:eastAsia="zh-CN"/>
        </w:rPr>
        <w:t>元</w:t>
      </w:r>
    </w:p>
    <w:tbl>
      <w:tblPr>
        <w:tblStyle w:val="28"/>
        <w:tblW w:w="8578"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447"/>
        <w:gridCol w:w="2248"/>
        <w:gridCol w:w="2743"/>
        <w:gridCol w:w="1545"/>
        <w:gridCol w:w="1595"/>
      </w:tblGrid>
      <w:tr w14:paraId="5C1CA98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04" w:hRule="atLeast"/>
          <w:jc w:val="center"/>
        </w:trPr>
        <w:tc>
          <w:tcPr>
            <w:tcW w:w="447" w:type="dxa"/>
            <w:tcBorders>
              <w:top w:val="outset" w:color="auto" w:sz="6" w:space="0"/>
              <w:left w:val="outset" w:color="auto" w:sz="6" w:space="0"/>
              <w:bottom w:val="outset" w:color="auto" w:sz="6" w:space="0"/>
              <w:right w:val="outset" w:color="auto" w:sz="6" w:space="0"/>
            </w:tcBorders>
            <w:shd w:val="clear" w:color="auto" w:fill="FFFFFF"/>
            <w:noWrap w:val="0"/>
            <w:vAlign w:val="center"/>
          </w:tcPr>
          <w:p w14:paraId="72112FA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Cs/>
                <w:color w:val="auto"/>
                <w:kern w:val="0"/>
                <w:sz w:val="21"/>
                <w:szCs w:val="21"/>
                <w:highlight w:val="none"/>
                <w:lang w:val="en-US" w:eastAsia="zh-CN" w:bidi="ar-SA"/>
              </w:rPr>
            </w:pPr>
            <w:r>
              <w:rPr>
                <w:rFonts w:hint="eastAsia" w:asciiTheme="minorEastAsia" w:hAnsiTheme="minorEastAsia" w:eastAsiaTheme="minorEastAsia" w:cstheme="minorEastAsia"/>
                <w:bCs/>
                <w:color w:val="auto"/>
                <w:kern w:val="0"/>
                <w:sz w:val="21"/>
                <w:szCs w:val="21"/>
                <w:highlight w:val="none"/>
                <w:lang w:val="en-US" w:eastAsia="zh-CN" w:bidi="ar-SA"/>
              </w:rPr>
              <w:t>序号</w:t>
            </w:r>
          </w:p>
        </w:tc>
        <w:tc>
          <w:tcPr>
            <w:tcW w:w="224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14:paraId="5DBDC5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Cs/>
                <w:color w:val="auto"/>
                <w:kern w:val="0"/>
                <w:sz w:val="21"/>
                <w:szCs w:val="21"/>
                <w:highlight w:val="none"/>
                <w:lang w:val="en-US" w:eastAsia="zh-CN" w:bidi="ar-SA"/>
              </w:rPr>
            </w:pPr>
            <w:r>
              <w:rPr>
                <w:rFonts w:hint="eastAsia" w:asciiTheme="minorEastAsia" w:hAnsiTheme="minorEastAsia" w:eastAsiaTheme="minorEastAsia" w:cstheme="minorEastAsia"/>
                <w:bCs/>
                <w:color w:val="auto"/>
                <w:kern w:val="0"/>
                <w:sz w:val="21"/>
                <w:szCs w:val="21"/>
                <w:highlight w:val="none"/>
                <w:lang w:val="en-US" w:eastAsia="zh-CN" w:bidi="ar-SA"/>
              </w:rPr>
              <w:t>包号</w:t>
            </w:r>
          </w:p>
        </w:tc>
        <w:tc>
          <w:tcPr>
            <w:tcW w:w="2743" w:type="dxa"/>
            <w:tcBorders>
              <w:top w:val="outset" w:color="auto" w:sz="6" w:space="0"/>
              <w:left w:val="outset" w:color="auto" w:sz="6" w:space="0"/>
              <w:bottom w:val="outset" w:color="auto" w:sz="6" w:space="0"/>
              <w:right w:val="outset" w:color="auto" w:sz="6" w:space="0"/>
            </w:tcBorders>
            <w:shd w:val="clear" w:color="auto" w:fill="FFFFFF"/>
            <w:noWrap w:val="0"/>
            <w:vAlign w:val="center"/>
          </w:tcPr>
          <w:p w14:paraId="2824F5F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Cs/>
                <w:color w:val="auto"/>
                <w:kern w:val="0"/>
                <w:sz w:val="21"/>
                <w:szCs w:val="21"/>
                <w:highlight w:val="none"/>
                <w:lang w:val="en-US" w:eastAsia="zh-CN" w:bidi="ar-SA"/>
              </w:rPr>
            </w:pPr>
            <w:r>
              <w:rPr>
                <w:rFonts w:hint="eastAsia" w:asciiTheme="minorEastAsia" w:hAnsiTheme="minorEastAsia" w:eastAsiaTheme="minorEastAsia" w:cstheme="minorEastAsia"/>
                <w:bCs/>
                <w:color w:val="auto"/>
                <w:kern w:val="0"/>
                <w:sz w:val="21"/>
                <w:szCs w:val="21"/>
                <w:highlight w:val="none"/>
                <w:lang w:val="en-US" w:eastAsia="zh-CN" w:bidi="ar-SA"/>
              </w:rPr>
              <w:t>包名称</w:t>
            </w:r>
          </w:p>
        </w:tc>
        <w:tc>
          <w:tcPr>
            <w:tcW w:w="154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14:paraId="2DD9AC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Cs/>
                <w:color w:val="auto"/>
                <w:kern w:val="0"/>
                <w:sz w:val="21"/>
                <w:szCs w:val="21"/>
                <w:highlight w:val="none"/>
                <w:lang w:val="en-US" w:eastAsia="zh-CN" w:bidi="ar-SA"/>
              </w:rPr>
            </w:pPr>
            <w:r>
              <w:rPr>
                <w:rFonts w:hint="eastAsia" w:asciiTheme="minorEastAsia" w:hAnsiTheme="minorEastAsia" w:eastAsiaTheme="minorEastAsia" w:cstheme="minorEastAsia"/>
                <w:bCs/>
                <w:color w:val="auto"/>
                <w:kern w:val="0"/>
                <w:sz w:val="21"/>
                <w:szCs w:val="21"/>
                <w:highlight w:val="none"/>
                <w:lang w:val="en-US" w:eastAsia="zh-CN" w:bidi="ar-SA"/>
              </w:rPr>
              <w:t>包预算（元）</w:t>
            </w:r>
          </w:p>
        </w:tc>
        <w:tc>
          <w:tcPr>
            <w:tcW w:w="159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14:paraId="75881E2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Cs/>
                <w:color w:val="auto"/>
                <w:kern w:val="0"/>
                <w:sz w:val="21"/>
                <w:szCs w:val="21"/>
                <w:highlight w:val="none"/>
                <w:lang w:val="en-US" w:eastAsia="zh-CN" w:bidi="ar-SA"/>
              </w:rPr>
            </w:pPr>
            <w:r>
              <w:rPr>
                <w:rFonts w:hint="eastAsia" w:asciiTheme="minorEastAsia" w:hAnsiTheme="minorEastAsia" w:eastAsiaTheme="minorEastAsia" w:cstheme="minorEastAsia"/>
                <w:bCs/>
                <w:color w:val="auto"/>
                <w:kern w:val="0"/>
                <w:sz w:val="21"/>
                <w:szCs w:val="21"/>
                <w:highlight w:val="none"/>
                <w:lang w:val="en-US" w:eastAsia="zh-CN" w:bidi="ar-SA"/>
              </w:rPr>
              <w:t>包最高限价（元）</w:t>
            </w:r>
          </w:p>
        </w:tc>
      </w:tr>
      <w:tr w14:paraId="0139436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1137" w:hRule="atLeast"/>
          <w:jc w:val="center"/>
        </w:trPr>
        <w:tc>
          <w:tcPr>
            <w:tcW w:w="447" w:type="dxa"/>
            <w:tcBorders>
              <w:top w:val="outset" w:color="auto" w:sz="6" w:space="0"/>
              <w:left w:val="outset" w:color="auto" w:sz="6" w:space="0"/>
              <w:bottom w:val="outset" w:color="auto" w:sz="6" w:space="0"/>
              <w:right w:val="outset" w:color="auto" w:sz="6" w:space="0"/>
            </w:tcBorders>
            <w:shd w:val="clear" w:color="auto" w:fill="FFFFFF"/>
            <w:noWrap w:val="0"/>
            <w:vAlign w:val="center"/>
          </w:tcPr>
          <w:p w14:paraId="3F02A5F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Cs/>
                <w:color w:val="auto"/>
                <w:kern w:val="0"/>
                <w:sz w:val="21"/>
                <w:szCs w:val="21"/>
                <w:highlight w:val="none"/>
                <w:lang w:val="en-US" w:eastAsia="zh-CN" w:bidi="ar-SA"/>
              </w:rPr>
            </w:pPr>
            <w:r>
              <w:rPr>
                <w:rFonts w:hint="eastAsia" w:asciiTheme="minorEastAsia" w:hAnsiTheme="minorEastAsia" w:eastAsiaTheme="minorEastAsia" w:cstheme="minorEastAsia"/>
                <w:bCs/>
                <w:color w:val="auto"/>
                <w:kern w:val="0"/>
                <w:sz w:val="21"/>
                <w:szCs w:val="21"/>
                <w:highlight w:val="none"/>
                <w:lang w:val="en-US" w:eastAsia="zh-CN" w:bidi="ar-SA"/>
              </w:rPr>
              <w:t>1</w:t>
            </w:r>
          </w:p>
        </w:tc>
        <w:tc>
          <w:tcPr>
            <w:tcW w:w="224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14:paraId="397B80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Cs/>
                <w:color w:val="auto"/>
                <w:kern w:val="0"/>
                <w:sz w:val="21"/>
                <w:szCs w:val="21"/>
                <w:highlight w:val="none"/>
                <w:lang w:val="en-US" w:eastAsia="zh-CN" w:bidi="ar-SA"/>
              </w:rPr>
            </w:pPr>
            <w:r>
              <w:rPr>
                <w:rFonts w:hint="eastAsia" w:asciiTheme="minorEastAsia" w:hAnsiTheme="minorEastAsia" w:eastAsiaTheme="minorEastAsia" w:cstheme="minorEastAsia"/>
                <w:bCs/>
                <w:color w:val="auto"/>
                <w:kern w:val="0"/>
                <w:sz w:val="21"/>
                <w:szCs w:val="21"/>
                <w:highlight w:val="none"/>
                <w:lang w:val="en-US" w:eastAsia="zh-CN" w:bidi="ar-SA"/>
              </w:rPr>
              <w:t>息财磋商-2025-03-2-1</w:t>
            </w:r>
          </w:p>
        </w:tc>
        <w:tc>
          <w:tcPr>
            <w:tcW w:w="2743" w:type="dxa"/>
            <w:tcBorders>
              <w:top w:val="outset" w:color="auto" w:sz="6" w:space="0"/>
              <w:left w:val="outset" w:color="auto" w:sz="6" w:space="0"/>
              <w:bottom w:val="outset" w:color="auto" w:sz="6" w:space="0"/>
              <w:right w:val="outset" w:color="auto" w:sz="6" w:space="0"/>
            </w:tcBorders>
            <w:shd w:val="clear" w:color="auto" w:fill="FFFFFF"/>
            <w:noWrap w:val="0"/>
            <w:vAlign w:val="center"/>
          </w:tcPr>
          <w:p w14:paraId="3936342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Cs/>
                <w:color w:val="auto"/>
                <w:kern w:val="0"/>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息县公用事业服务中心污水处理厂环保设备维修服务采购项目包1</w:t>
            </w:r>
          </w:p>
        </w:tc>
        <w:tc>
          <w:tcPr>
            <w:tcW w:w="154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14:paraId="6EEEC2E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Cs/>
                <w:color w:val="auto"/>
                <w:kern w:val="0"/>
                <w:sz w:val="21"/>
                <w:szCs w:val="21"/>
                <w:highlight w:val="none"/>
                <w:lang w:val="en-US" w:eastAsia="zh-CN" w:bidi="ar-SA"/>
              </w:rPr>
            </w:pPr>
            <w:r>
              <w:rPr>
                <w:rFonts w:hint="eastAsia" w:asciiTheme="minorEastAsia" w:hAnsiTheme="minorEastAsia" w:eastAsiaTheme="minorEastAsia" w:cstheme="minorEastAsia"/>
                <w:bCs/>
                <w:color w:val="auto"/>
                <w:kern w:val="0"/>
                <w:sz w:val="21"/>
                <w:szCs w:val="21"/>
                <w:highlight w:val="none"/>
                <w:lang w:val="en-US" w:eastAsia="zh-CN" w:bidi="ar-SA"/>
              </w:rPr>
              <w:t>1200000</w:t>
            </w:r>
          </w:p>
        </w:tc>
        <w:tc>
          <w:tcPr>
            <w:tcW w:w="159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14:paraId="5D03E10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Cs/>
                <w:color w:val="auto"/>
                <w:kern w:val="0"/>
                <w:sz w:val="21"/>
                <w:szCs w:val="21"/>
                <w:highlight w:val="none"/>
                <w:lang w:val="en-US" w:eastAsia="zh-CN" w:bidi="ar-SA"/>
              </w:rPr>
            </w:pPr>
            <w:r>
              <w:rPr>
                <w:rFonts w:hint="eastAsia" w:asciiTheme="minorEastAsia" w:hAnsiTheme="minorEastAsia" w:eastAsiaTheme="minorEastAsia" w:cstheme="minorEastAsia"/>
                <w:bCs/>
                <w:color w:val="auto"/>
                <w:kern w:val="0"/>
                <w:sz w:val="21"/>
                <w:szCs w:val="21"/>
                <w:highlight w:val="none"/>
                <w:lang w:val="en-US" w:eastAsia="zh-CN" w:bidi="ar-SA"/>
              </w:rPr>
              <w:t>1200000</w:t>
            </w:r>
          </w:p>
        </w:tc>
      </w:tr>
      <w:tr w14:paraId="006B4B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64" w:hRule="exact"/>
          <w:jc w:val="center"/>
        </w:trPr>
        <w:tc>
          <w:tcPr>
            <w:tcW w:w="447" w:type="dxa"/>
            <w:tcBorders>
              <w:top w:val="outset" w:color="auto" w:sz="6" w:space="0"/>
              <w:left w:val="outset" w:color="auto" w:sz="6" w:space="0"/>
              <w:bottom w:val="outset" w:color="auto" w:sz="6" w:space="0"/>
              <w:right w:val="outset" w:color="auto" w:sz="6" w:space="0"/>
            </w:tcBorders>
            <w:shd w:val="clear" w:color="auto" w:fill="FFFFFF"/>
            <w:noWrap w:val="0"/>
            <w:vAlign w:val="center"/>
          </w:tcPr>
          <w:p w14:paraId="0C8239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Cs/>
                <w:color w:val="auto"/>
                <w:kern w:val="0"/>
                <w:sz w:val="21"/>
                <w:szCs w:val="21"/>
                <w:highlight w:val="none"/>
                <w:lang w:val="en-US" w:eastAsia="zh-CN" w:bidi="ar-SA"/>
              </w:rPr>
            </w:pPr>
            <w:r>
              <w:rPr>
                <w:rFonts w:hint="eastAsia" w:asciiTheme="minorEastAsia" w:hAnsiTheme="minorEastAsia" w:eastAsiaTheme="minorEastAsia" w:cstheme="minorEastAsia"/>
                <w:bCs/>
                <w:color w:val="auto"/>
                <w:kern w:val="0"/>
                <w:sz w:val="21"/>
                <w:szCs w:val="21"/>
                <w:highlight w:val="none"/>
                <w:lang w:val="en-US" w:eastAsia="zh-CN" w:bidi="ar-SA"/>
              </w:rPr>
              <w:t>2</w:t>
            </w:r>
          </w:p>
        </w:tc>
        <w:tc>
          <w:tcPr>
            <w:tcW w:w="224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14:paraId="7A1B932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Cs/>
                <w:color w:val="auto"/>
                <w:kern w:val="0"/>
                <w:sz w:val="21"/>
                <w:szCs w:val="21"/>
                <w:highlight w:val="none"/>
                <w:lang w:val="en-US" w:eastAsia="zh-CN" w:bidi="ar-SA"/>
              </w:rPr>
            </w:pPr>
            <w:r>
              <w:rPr>
                <w:rFonts w:hint="eastAsia" w:asciiTheme="minorEastAsia" w:hAnsiTheme="minorEastAsia" w:eastAsiaTheme="minorEastAsia" w:cstheme="minorEastAsia"/>
                <w:bCs/>
                <w:color w:val="auto"/>
                <w:kern w:val="0"/>
                <w:sz w:val="21"/>
                <w:szCs w:val="21"/>
                <w:highlight w:val="none"/>
                <w:lang w:val="en-US" w:eastAsia="zh-CN" w:bidi="ar-SA"/>
              </w:rPr>
              <w:t>息财磋商-2025-03-2-2</w:t>
            </w:r>
          </w:p>
        </w:tc>
        <w:tc>
          <w:tcPr>
            <w:tcW w:w="2743" w:type="dxa"/>
            <w:tcBorders>
              <w:top w:val="outset" w:color="auto" w:sz="6" w:space="0"/>
              <w:left w:val="outset" w:color="auto" w:sz="6" w:space="0"/>
              <w:bottom w:val="outset" w:color="auto" w:sz="6" w:space="0"/>
              <w:right w:val="outset" w:color="auto" w:sz="6" w:space="0"/>
            </w:tcBorders>
            <w:shd w:val="clear" w:color="auto" w:fill="FFFFFF"/>
            <w:noWrap w:val="0"/>
            <w:vAlign w:val="center"/>
          </w:tcPr>
          <w:p w14:paraId="3BCC18A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Cs/>
                <w:color w:val="auto"/>
                <w:kern w:val="0"/>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息县公用事业服务中心污水处理厂环保设备维修服务采购项目包2</w:t>
            </w:r>
          </w:p>
        </w:tc>
        <w:tc>
          <w:tcPr>
            <w:tcW w:w="154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14:paraId="54301B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Cs/>
                <w:color w:val="auto"/>
                <w:kern w:val="0"/>
                <w:sz w:val="21"/>
                <w:szCs w:val="21"/>
                <w:highlight w:val="none"/>
                <w:lang w:val="en-US" w:eastAsia="zh-CN" w:bidi="ar-SA"/>
              </w:rPr>
            </w:pPr>
            <w:r>
              <w:rPr>
                <w:rFonts w:hint="eastAsia" w:asciiTheme="minorEastAsia" w:hAnsiTheme="minorEastAsia" w:eastAsiaTheme="minorEastAsia" w:cstheme="minorEastAsia"/>
                <w:bCs/>
                <w:color w:val="auto"/>
                <w:kern w:val="0"/>
                <w:sz w:val="21"/>
                <w:szCs w:val="21"/>
                <w:highlight w:val="none"/>
                <w:lang w:val="en-US" w:eastAsia="zh-CN" w:bidi="ar-SA"/>
              </w:rPr>
              <w:t>300000</w:t>
            </w:r>
          </w:p>
        </w:tc>
        <w:tc>
          <w:tcPr>
            <w:tcW w:w="159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14:paraId="06081F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Cs/>
                <w:color w:val="auto"/>
                <w:kern w:val="0"/>
                <w:sz w:val="21"/>
                <w:szCs w:val="21"/>
                <w:highlight w:val="none"/>
                <w:lang w:val="en-US" w:eastAsia="zh-CN" w:bidi="ar-SA"/>
              </w:rPr>
            </w:pPr>
            <w:r>
              <w:rPr>
                <w:rFonts w:hint="eastAsia" w:asciiTheme="minorEastAsia" w:hAnsiTheme="minorEastAsia" w:eastAsiaTheme="minorEastAsia" w:cstheme="minorEastAsia"/>
                <w:bCs/>
                <w:color w:val="auto"/>
                <w:kern w:val="0"/>
                <w:sz w:val="21"/>
                <w:szCs w:val="21"/>
                <w:highlight w:val="none"/>
                <w:lang w:val="en-US" w:eastAsia="zh-CN" w:bidi="ar-SA"/>
              </w:rPr>
              <w:t>300000</w:t>
            </w:r>
          </w:p>
        </w:tc>
      </w:tr>
    </w:tbl>
    <w:p w14:paraId="37630F43">
      <w:pPr>
        <w:pStyle w:val="24"/>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firstLine="420" w:firstLineChars="200"/>
        <w:textAlignment w:val="auto"/>
        <w:rPr>
          <w:rFonts w:hint="eastAsia" w:asciiTheme="minorEastAsia" w:hAnsiTheme="minorEastAsia" w:eastAsiaTheme="minorEastAsia" w:cstheme="minorEastAsia"/>
          <w:bCs/>
          <w:color w:val="000000"/>
          <w:sz w:val="21"/>
          <w:szCs w:val="21"/>
          <w:highlight w:val="none"/>
        </w:rPr>
      </w:pPr>
      <w:r>
        <w:rPr>
          <w:rFonts w:hint="eastAsia" w:asciiTheme="minorEastAsia" w:hAnsiTheme="minorEastAsia" w:eastAsiaTheme="minorEastAsia" w:cstheme="minorEastAsia"/>
          <w:bCs/>
          <w:color w:val="000000"/>
          <w:sz w:val="21"/>
          <w:szCs w:val="21"/>
          <w:highlight w:val="none"/>
        </w:rPr>
        <w:t>5、采购需求</w:t>
      </w:r>
      <w:r>
        <w:rPr>
          <w:rFonts w:hint="eastAsia" w:asciiTheme="minorEastAsia" w:hAnsiTheme="minorEastAsia" w:eastAsiaTheme="minorEastAsia" w:cstheme="minorEastAsia"/>
          <w:bCs/>
          <w:color w:val="000000"/>
          <w:sz w:val="21"/>
          <w:szCs w:val="21"/>
          <w:highlight w:val="none"/>
          <w:lang w:val="en-US" w:eastAsia="zh-CN"/>
        </w:rPr>
        <w:t>（包括但不限于标的的名称、数量、简要技术需求或服务要求等）：</w:t>
      </w:r>
    </w:p>
    <w:p w14:paraId="35B04896">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color w:val="000000"/>
          <w:sz w:val="21"/>
          <w:szCs w:val="21"/>
          <w:highlight w:val="none"/>
          <w:lang w:val="en-US" w:eastAsia="zh-CN"/>
        </w:rPr>
        <w:t>5.1采购内容：对息县三座污水处理厂环保设备（潜污泵、潜水推进器、鼓风机、脱泥设备、自控系统、电力系统等）进行维修服务。</w:t>
      </w:r>
      <w:r>
        <w:rPr>
          <w:rFonts w:hint="eastAsia" w:asciiTheme="minorEastAsia" w:hAnsiTheme="minorEastAsia" w:eastAsiaTheme="minorEastAsia" w:cstheme="minorEastAsia"/>
          <w:bCs/>
          <w:color w:val="auto"/>
          <w:sz w:val="21"/>
          <w:szCs w:val="21"/>
          <w:highlight w:val="none"/>
          <w:lang w:val="en-US" w:eastAsia="zh-CN"/>
        </w:rPr>
        <w:t>包1：息县三座污水处理厂机械设备维修服务。包2：息县三座污水处理厂自控化设备维修服务。</w:t>
      </w:r>
    </w:p>
    <w:p w14:paraId="54E59EE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5.2资金</w:t>
      </w:r>
      <w:r>
        <w:rPr>
          <w:rFonts w:hint="eastAsia" w:asciiTheme="minorEastAsia" w:hAnsiTheme="minorEastAsia" w:eastAsiaTheme="minorEastAsia" w:cstheme="minorEastAsia"/>
          <w:b w:val="0"/>
          <w:bCs w:val="0"/>
          <w:color w:val="auto"/>
          <w:sz w:val="21"/>
          <w:szCs w:val="21"/>
          <w:highlight w:val="none"/>
          <w:lang w:val="en-US" w:eastAsia="zh-CN"/>
        </w:rPr>
        <w:t>来源：财政资金，已落实。</w:t>
      </w:r>
    </w:p>
    <w:p w14:paraId="231B494B">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5.3服务要求：符合国家现行规范标准及行业最新规定，且满足采购人要求。</w:t>
      </w:r>
    </w:p>
    <w:p w14:paraId="7ADCFA3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5.4服务期限：合同签订之日起一年，合同到期后，根据实际需要，可适当延长服务周期。</w:t>
      </w:r>
    </w:p>
    <w:p w14:paraId="2FBC6489">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5.5服务地点：采购人指定地点</w:t>
      </w:r>
    </w:p>
    <w:p w14:paraId="15C0676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5.6标段划分：本次采购共分为2个包</w:t>
      </w:r>
    </w:p>
    <w:p w14:paraId="1FA6264F">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包1：采购两家供应商，负责息县三座污水处理厂机械设备维修服务。</w:t>
      </w:r>
    </w:p>
    <w:p w14:paraId="29C968D8">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包2：采购一家供应商，负责息县三座污水处理厂自控化设备维修服务。</w:t>
      </w:r>
    </w:p>
    <w:p w14:paraId="4D979D96">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5.7各包最高限价：以实际发生的</w:t>
      </w:r>
      <w:r>
        <w:rPr>
          <w:rFonts w:hint="eastAsia" w:asciiTheme="minorEastAsia" w:hAnsiTheme="minorEastAsia" w:cstheme="minorEastAsia"/>
          <w:color w:val="auto"/>
          <w:sz w:val="21"/>
          <w:szCs w:val="21"/>
          <w:highlight w:val="none"/>
          <w:lang w:val="en-US" w:eastAsia="zh-CN"/>
        </w:rPr>
        <w:t>综合</w:t>
      </w:r>
      <w:r>
        <w:rPr>
          <w:rFonts w:hint="eastAsia" w:asciiTheme="minorEastAsia" w:hAnsiTheme="minorEastAsia" w:eastAsiaTheme="minorEastAsia" w:cstheme="minorEastAsia"/>
          <w:color w:val="auto"/>
          <w:sz w:val="21"/>
          <w:szCs w:val="21"/>
          <w:highlight w:val="none"/>
          <w:lang w:val="en-US" w:eastAsia="zh-CN"/>
        </w:rPr>
        <w:t>服务单价</w:t>
      </w:r>
      <w:r>
        <w:rPr>
          <w:rFonts w:hint="eastAsia" w:asciiTheme="minorEastAsia" w:hAnsiTheme="minorEastAsia" w:cstheme="minorEastAsia"/>
          <w:color w:val="auto"/>
          <w:sz w:val="21"/>
          <w:szCs w:val="21"/>
          <w:highlight w:val="none"/>
          <w:lang w:val="en-US" w:eastAsia="zh-CN"/>
        </w:rPr>
        <w:t>100%</w:t>
      </w:r>
      <w:r>
        <w:rPr>
          <w:rFonts w:hint="eastAsia" w:asciiTheme="minorEastAsia" w:hAnsiTheme="minorEastAsia" w:eastAsiaTheme="minorEastAsia" w:cstheme="minorEastAsia"/>
          <w:color w:val="auto"/>
          <w:sz w:val="21"/>
          <w:szCs w:val="21"/>
          <w:highlight w:val="none"/>
          <w:lang w:val="en-US" w:eastAsia="zh-CN"/>
        </w:rPr>
        <w:t xml:space="preserve">据实结算（单价合同，按需采购，以采购人实际需求服务量为准）。 </w:t>
      </w:r>
    </w:p>
    <w:p w14:paraId="2098A57D">
      <w:pPr>
        <w:keepNext w:val="0"/>
        <w:keepLines w:val="0"/>
        <w:pageBreakBefore w:val="0"/>
        <w:numPr>
          <w:ilvl w:val="0"/>
          <w:numId w:val="3"/>
        </w:numPr>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合同履行期限：同服务期限</w:t>
      </w:r>
    </w:p>
    <w:p w14:paraId="6D7BC1F9">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7、本项目是否接受联合体投标：否</w:t>
      </w:r>
    </w:p>
    <w:p w14:paraId="482E77A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8、是否接受进口产品：否</w:t>
      </w:r>
    </w:p>
    <w:p w14:paraId="511C1636">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9.是否专门面向中小企业：否</w:t>
      </w:r>
    </w:p>
    <w:p w14:paraId="7FCE9AF2">
      <w:pPr>
        <w:pStyle w:val="2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firstLine="0" w:firstLineChars="0"/>
        <w:textAlignment w:val="auto"/>
        <w:outlineLvl w:val="1"/>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二、申请人资格要求</w:t>
      </w:r>
    </w:p>
    <w:p w14:paraId="6DA95F1F">
      <w:pPr>
        <w:pStyle w:val="24"/>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1、满足《中华人民共和国政府采购法》第二十二条规定。</w:t>
      </w:r>
    </w:p>
    <w:p w14:paraId="26C2DF27">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2、落实政府采购政策满足的资格要求</w:t>
      </w:r>
      <w:r>
        <w:rPr>
          <w:rFonts w:hint="eastAsia" w:asciiTheme="minorEastAsia" w:hAnsiTheme="minorEastAsia" w:eastAsiaTheme="minorEastAsia" w:cstheme="minorEastAsia"/>
          <w:color w:val="auto"/>
          <w:sz w:val="21"/>
          <w:szCs w:val="21"/>
          <w:highlight w:val="none"/>
          <w:lang w:eastAsia="zh-CN"/>
        </w:rPr>
        <w:t>：</w:t>
      </w:r>
    </w:p>
    <w:p w14:paraId="22051DB3">
      <w:pPr>
        <w:spacing w:line="360" w:lineRule="auto"/>
        <w:ind w:firstLine="630" w:firstLineChars="3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rPr>
        <w:t>本项目非专门面向中小企业采购。</w:t>
      </w:r>
    </w:p>
    <w:p w14:paraId="49B97B1B">
      <w:pPr>
        <w:spacing w:line="360" w:lineRule="auto"/>
        <w:ind w:firstLine="630" w:firstLineChars="3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本项目落实优先采购节能环保、环境标志性产品、优先采购自主创新产品，扶持不发达地区和少数民族地区，促进中小企业、监狱企业、残疾人福利性企业发展等相关政府采购政策。</w:t>
      </w:r>
    </w:p>
    <w:p w14:paraId="1E43C298">
      <w:pPr>
        <w:pStyle w:val="24"/>
        <w:keepNext w:val="0"/>
        <w:keepLines w:val="0"/>
        <w:pageBreakBefore w:val="0"/>
        <w:widowControl w:val="0"/>
        <w:kinsoku/>
        <w:wordWrap/>
        <w:overflowPunct/>
        <w:topLinePunct w:val="0"/>
        <w:autoSpaceDE/>
        <w:autoSpaceDN/>
        <w:bidi w:val="0"/>
        <w:spacing w:before="0" w:beforeLines="0" w:beforeAutospacing="0" w:after="0" w:afterLines="0" w:afterAutospacing="0"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3、本项目的特定资格要求：</w:t>
      </w:r>
    </w:p>
    <w:p w14:paraId="1FF4CC0D">
      <w:pPr>
        <w:spacing w:line="360" w:lineRule="auto"/>
        <w:ind w:firstLine="48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3.1</w:t>
      </w:r>
      <w:bookmarkStart w:id="16" w:name="_Toc20330"/>
      <w:bookmarkStart w:id="17" w:name="_Toc6580"/>
      <w:bookmarkStart w:id="18" w:name="_Toc24742"/>
      <w:bookmarkStart w:id="19" w:name="_Toc20866"/>
      <w:bookmarkStart w:id="20" w:name="_Toc17887"/>
      <w:bookmarkStart w:id="21" w:name="_Toc24858"/>
      <w:bookmarkStart w:id="22" w:name="_Toc19051"/>
      <w:r>
        <w:rPr>
          <w:rFonts w:hint="eastAsia" w:asciiTheme="minorEastAsia" w:hAnsiTheme="minorEastAsia" w:eastAsiaTheme="minorEastAsia" w:cstheme="minorEastAsia"/>
          <w:sz w:val="21"/>
          <w:szCs w:val="21"/>
          <w:highlight w:val="none"/>
        </w:rPr>
        <w:t>持有有效的营业执照（或</w:t>
      </w:r>
      <w:r>
        <w:rPr>
          <w:rFonts w:hint="eastAsia" w:asciiTheme="minorEastAsia" w:hAnsiTheme="minorEastAsia" w:eastAsiaTheme="minorEastAsia" w:cstheme="minorEastAsia"/>
          <w:sz w:val="21"/>
          <w:szCs w:val="21"/>
          <w:highlight w:val="none"/>
          <w:lang w:val="en-US" w:eastAsia="zh-CN"/>
        </w:rPr>
        <w:t>其它组织有效证明文件</w:t>
      </w:r>
      <w:r>
        <w:rPr>
          <w:rFonts w:hint="eastAsia" w:asciiTheme="minorEastAsia" w:hAnsiTheme="minorEastAsia" w:eastAsiaTheme="minorEastAsia" w:cstheme="minorEastAsia"/>
          <w:sz w:val="21"/>
          <w:szCs w:val="21"/>
          <w:highlight w:val="none"/>
        </w:rPr>
        <w:t>）、税务登记证、组织机构代码证（或三证合一的营业执照副本）；</w:t>
      </w:r>
    </w:p>
    <w:p w14:paraId="1F31C174">
      <w:pPr>
        <w:spacing w:line="360" w:lineRule="auto"/>
        <w:ind w:firstLine="48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3.2</w:t>
      </w:r>
      <w:r>
        <w:rPr>
          <w:rFonts w:hint="eastAsia" w:asciiTheme="minorEastAsia" w:hAnsiTheme="minorEastAsia" w:eastAsiaTheme="minorEastAsia" w:cstheme="minorEastAsia"/>
          <w:sz w:val="21"/>
          <w:szCs w:val="21"/>
          <w:highlight w:val="none"/>
        </w:rPr>
        <w:t>单位负责人为同一人或者存在直接控股、管理关系的不同单位，不得同时参加同一合同项下的政府采购活动；【提供“国家企业信用信息公示系统”中公示的公司基础信息包含股东及出资信息截图】</w:t>
      </w:r>
      <w:bookmarkEnd w:id="16"/>
      <w:bookmarkEnd w:id="17"/>
      <w:bookmarkEnd w:id="18"/>
      <w:bookmarkEnd w:id="19"/>
      <w:bookmarkEnd w:id="20"/>
      <w:bookmarkEnd w:id="21"/>
      <w:bookmarkEnd w:id="22"/>
    </w:p>
    <w:p w14:paraId="62F08CD5">
      <w:pPr>
        <w:spacing w:line="360" w:lineRule="auto"/>
        <w:ind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highlight w:val="none"/>
          <w:lang w:val="en-US" w:eastAsia="zh-CN"/>
        </w:rPr>
        <w:t>3.3供应商</w:t>
      </w:r>
      <w:r>
        <w:rPr>
          <w:rFonts w:hint="eastAsia" w:asciiTheme="minorEastAsia" w:hAnsiTheme="minorEastAsia" w:eastAsiaTheme="minorEastAsia" w:cstheme="minorEastAsia"/>
          <w:sz w:val="21"/>
          <w:szCs w:val="21"/>
          <w:highlight w:val="none"/>
        </w:rPr>
        <w:t>需出具参加本次采购活动前三年内无重大行政处罚记录承诺函（加盖单位公章及法定代表人或被授权人签字）。</w:t>
      </w:r>
    </w:p>
    <w:p w14:paraId="22D50019">
      <w:pPr>
        <w:pStyle w:val="24"/>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3.4</w:t>
      </w:r>
      <w:r>
        <w:rPr>
          <w:rFonts w:hint="eastAsia" w:asciiTheme="minorEastAsia" w:hAnsiTheme="minorEastAsia" w:eastAsiaTheme="minorEastAsia" w:cstheme="minorEastAsia"/>
          <w:color w:val="auto"/>
          <w:sz w:val="21"/>
          <w:szCs w:val="21"/>
          <w:highlight w:val="none"/>
        </w:rPr>
        <w:t>本项目适用信用承诺（详见下述要求）。</w:t>
      </w:r>
    </w:p>
    <w:p w14:paraId="5FB14EC2">
      <w:pPr>
        <w:pStyle w:val="24"/>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（一）在本项目政府采购活动中，供应商在投标（响应）时，可对照资格要求进行自主核对，确定符合资格要求的，可按照规定提供相关承诺函（详见</w:t>
      </w:r>
      <w:r>
        <w:rPr>
          <w:rFonts w:hint="eastAsia" w:asciiTheme="minorEastAsia" w:hAnsiTheme="minorEastAsia" w:eastAsiaTheme="minorEastAsia" w:cstheme="minorEastAsia"/>
          <w:color w:val="auto"/>
          <w:sz w:val="21"/>
          <w:szCs w:val="21"/>
          <w:highlight w:val="none"/>
          <w:lang w:val="en-US" w:eastAsia="zh-CN"/>
        </w:rPr>
        <w:t>响应</w:t>
      </w:r>
      <w:r>
        <w:rPr>
          <w:rFonts w:hint="eastAsia" w:asciiTheme="minorEastAsia" w:hAnsiTheme="minorEastAsia" w:eastAsiaTheme="minorEastAsia" w:cstheme="minorEastAsia"/>
          <w:color w:val="auto"/>
          <w:sz w:val="21"/>
          <w:szCs w:val="21"/>
          <w:highlight w:val="none"/>
        </w:rPr>
        <w:t>文件“资格</w:t>
      </w:r>
      <w:r>
        <w:rPr>
          <w:rFonts w:hint="eastAsia" w:asciiTheme="minorEastAsia" w:hAnsiTheme="minorEastAsia" w:eastAsiaTheme="minorEastAsia" w:cstheme="minorEastAsia"/>
          <w:color w:val="auto"/>
          <w:sz w:val="21"/>
          <w:szCs w:val="21"/>
          <w:highlight w:val="none"/>
          <w:lang w:val="en-US" w:eastAsia="zh-CN"/>
        </w:rPr>
        <w:t>证明材料</w:t>
      </w:r>
      <w:r>
        <w:rPr>
          <w:rFonts w:hint="eastAsia" w:asciiTheme="minorEastAsia" w:hAnsiTheme="minorEastAsia" w:eastAsiaTheme="minorEastAsia" w:cstheme="minorEastAsia"/>
          <w:color w:val="auto"/>
          <w:sz w:val="21"/>
          <w:szCs w:val="21"/>
          <w:highlight w:val="none"/>
        </w:rPr>
        <w:t>”附件），供应商只需在资格审查环节提供满足相应条件的书面承诺书，不再需要提供以下证明材料：</w:t>
      </w:r>
    </w:p>
    <w:p w14:paraId="3D3CDE59">
      <w:pPr>
        <w:pStyle w:val="24"/>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①符合国家相关规定的财务状况报告（</w:t>
      </w:r>
      <w:r>
        <w:rPr>
          <w:rFonts w:hint="eastAsia" w:asciiTheme="minorEastAsia" w:hAnsiTheme="minorEastAsia" w:eastAsiaTheme="minorEastAsia" w:cstheme="minorEastAsia"/>
          <w:color w:val="auto"/>
          <w:sz w:val="21"/>
          <w:szCs w:val="21"/>
          <w:highlight w:val="none"/>
          <w:lang w:val="en-US" w:eastAsia="zh-CN"/>
        </w:rPr>
        <w:t>提供2023年度财务审计报告或提供其基本开户银行出具的资信证明</w:t>
      </w:r>
      <w:r>
        <w:rPr>
          <w:rFonts w:hint="eastAsia" w:asciiTheme="minorEastAsia" w:hAnsiTheme="minorEastAsia" w:eastAsiaTheme="minorEastAsia" w:cstheme="minorEastAsia"/>
          <w:color w:val="auto"/>
          <w:sz w:val="21"/>
          <w:szCs w:val="21"/>
          <w:highlight w:val="none"/>
        </w:rPr>
        <w:t>）；</w:t>
      </w:r>
    </w:p>
    <w:p w14:paraId="66C54364">
      <w:pPr>
        <w:pStyle w:val="24"/>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②依法缴纳税收的证明材料（默认开标前12个月内</w:t>
      </w:r>
      <w:r>
        <w:rPr>
          <w:rFonts w:hint="eastAsia" w:asciiTheme="minorEastAsia" w:hAnsiTheme="minorEastAsia" w:eastAsiaTheme="minorEastAsia" w:cstheme="minorEastAsia"/>
          <w:color w:val="auto"/>
          <w:sz w:val="21"/>
          <w:szCs w:val="21"/>
          <w:highlight w:val="none"/>
          <w:lang w:eastAsia="zh-CN"/>
        </w:rPr>
        <w:t>任</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个月纳税证明</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依法免税或不需要缴纳社会保障资金的供应商，应提供相应文件证明）；</w:t>
      </w:r>
    </w:p>
    <w:p w14:paraId="17128F47">
      <w:pPr>
        <w:pStyle w:val="24"/>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③依法缴纳社会保障资金的证明材料（默认开标前12个月内</w:t>
      </w:r>
      <w:r>
        <w:rPr>
          <w:rFonts w:hint="eastAsia" w:asciiTheme="minorEastAsia" w:hAnsiTheme="minorEastAsia" w:eastAsiaTheme="minorEastAsia" w:cstheme="minorEastAsia"/>
          <w:color w:val="auto"/>
          <w:sz w:val="21"/>
          <w:szCs w:val="21"/>
          <w:highlight w:val="none"/>
          <w:lang w:eastAsia="zh-CN"/>
        </w:rPr>
        <w:t>任</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个月缴纳社会保障证明</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依法免税或不需要缴纳社会保障资金的供应商，应提供相应文件证明）；</w:t>
      </w:r>
    </w:p>
    <w:p w14:paraId="10D5ED6C">
      <w:pPr>
        <w:pStyle w:val="24"/>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④具备履行政府采购合同所必需的设备和专业技术能力的证明材料（默认履行合同的法定营业执照</w:t>
      </w:r>
      <w:r>
        <w:rPr>
          <w:rFonts w:hint="eastAsia" w:asciiTheme="minorEastAsia" w:hAnsiTheme="minorEastAsia" w:eastAsiaTheme="minorEastAsia" w:cstheme="minorEastAsia"/>
          <w:color w:val="auto"/>
          <w:sz w:val="21"/>
          <w:szCs w:val="21"/>
          <w:highlight w:val="none"/>
          <w:lang w:eastAsia="zh-CN"/>
        </w:rPr>
        <w:t>及承诺书</w:t>
      </w:r>
      <w:r>
        <w:rPr>
          <w:rFonts w:hint="eastAsia" w:asciiTheme="minorEastAsia" w:hAnsiTheme="minorEastAsia" w:eastAsiaTheme="minorEastAsia" w:cstheme="minorEastAsia"/>
          <w:color w:val="auto"/>
          <w:sz w:val="21"/>
          <w:szCs w:val="21"/>
          <w:highlight w:val="none"/>
        </w:rPr>
        <w:t>）；</w:t>
      </w:r>
    </w:p>
    <w:p w14:paraId="6F7C9664">
      <w:pPr>
        <w:pStyle w:val="24"/>
        <w:keepNext w:val="0"/>
        <w:keepLines w:val="0"/>
        <w:pageBreakBefore w:val="0"/>
        <w:widowControl w:val="0"/>
        <w:kinsoku/>
        <w:overflowPunct/>
        <w:topLinePunct w:val="0"/>
        <w:autoSpaceDE/>
        <w:autoSpaceDN/>
        <w:bidi w:val="0"/>
        <w:spacing w:before="0" w:beforeLines="0" w:beforeAutospacing="0" w:after="0" w:afterLines="0" w:afterAutospacing="0"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⑤参加政府采购活动前三年内在经营活动中没有重大违法记录的证明材料（默认书面声明）；</w:t>
      </w:r>
    </w:p>
    <w:p w14:paraId="67657DE8">
      <w:pPr>
        <w:pStyle w:val="24"/>
        <w:keepNext w:val="0"/>
        <w:keepLines w:val="0"/>
        <w:pageBreakBefore w:val="0"/>
        <w:widowControl w:val="0"/>
        <w:kinsoku/>
        <w:wordWrap w:val="0"/>
        <w:overflowPunct/>
        <w:topLinePunct w:val="0"/>
        <w:autoSpaceDE/>
        <w:autoSpaceDN/>
        <w:bidi w:val="0"/>
        <w:adjustRightInd/>
        <w:snapToGrid/>
        <w:spacing w:before="0" w:beforeLines="0" w:beforeAutospacing="0" w:after="0" w:afterLines="0" w:afterAutospacing="0"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⑥未被列入失信被执行人、重大税收违法失信主体、政府采购严重违法失信行为记录名单的证明材料。(供应商应通过“信用中国”网站（www.creditchina.gov.cn） 查询“失信被执行人”(跳转至中国执行信息公开网)、“重大税收违法失信主体”，中国政府采购网（www.ccgp.gov.cn）查询“政府采购严重违法失信行为记录名单”渠道查询自身信用记录，提供查询网页截图)；</w:t>
      </w:r>
    </w:p>
    <w:p w14:paraId="199D3C12">
      <w:pPr>
        <w:pStyle w:val="6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20" w:firstLineChars="200"/>
        <w:textAlignment w:val="auto"/>
        <w:outlineLvl w:val="9"/>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（二）投标人在中标（成交）后，应将上述由信用承诺书替代的证明材料提交采购人（采购代理机构）核验，经核验无误后，由采购人发出中标（成交）通知书。</w:t>
      </w:r>
    </w:p>
    <w:p w14:paraId="23DF706F">
      <w:pPr>
        <w:pStyle w:val="6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textAlignment w:val="auto"/>
        <w:outlineLvl w:val="1"/>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
          <w:bCs/>
          <w:color w:val="auto"/>
          <w:kern w:val="0"/>
          <w:sz w:val="21"/>
          <w:szCs w:val="21"/>
          <w:highlight w:val="none"/>
        </w:rPr>
        <w:t>三、获取采购文件</w:t>
      </w:r>
    </w:p>
    <w:p w14:paraId="46DC3C91">
      <w:pPr>
        <w:keepNext w:val="0"/>
        <w:keepLines w:val="0"/>
        <w:pageBreakBefore w:val="0"/>
        <w:kinsoku/>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SA"/>
        </w:rPr>
        <w:t>1、时</w:t>
      </w:r>
      <w:r>
        <w:rPr>
          <w:rFonts w:hint="eastAsia" w:asciiTheme="minorEastAsia" w:hAnsiTheme="minorEastAsia" w:eastAsiaTheme="minorEastAsia" w:cstheme="minorEastAsia"/>
          <w:color w:val="auto"/>
          <w:sz w:val="21"/>
          <w:szCs w:val="21"/>
          <w:highlight w:val="none"/>
          <w:lang w:val="en-US" w:eastAsia="zh-CN"/>
        </w:rPr>
        <w:t>间：2025年</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月</w:t>
      </w:r>
      <w:r>
        <w:rPr>
          <w:rFonts w:hint="eastAsia" w:asciiTheme="minorEastAsia" w:hAnsiTheme="minorEastAsia" w:cstheme="minorEastAsia"/>
          <w:color w:val="auto"/>
          <w:sz w:val="21"/>
          <w:szCs w:val="21"/>
          <w:highlight w:val="none"/>
          <w:lang w:val="en-US" w:eastAsia="zh-CN"/>
        </w:rPr>
        <w:t>19</w:t>
      </w:r>
      <w:r>
        <w:rPr>
          <w:rFonts w:hint="eastAsia" w:asciiTheme="minorEastAsia" w:hAnsiTheme="minorEastAsia" w:eastAsiaTheme="minorEastAsia" w:cstheme="minorEastAsia"/>
          <w:color w:val="auto"/>
          <w:sz w:val="21"/>
          <w:szCs w:val="21"/>
          <w:highlight w:val="none"/>
          <w:lang w:val="en-US" w:eastAsia="zh-CN"/>
        </w:rPr>
        <w:t>日至2025年</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月</w:t>
      </w:r>
      <w:r>
        <w:rPr>
          <w:rFonts w:hint="eastAsia" w:asciiTheme="minorEastAsia" w:hAnsiTheme="minorEastAsia" w:cstheme="minorEastAsia"/>
          <w:color w:val="auto"/>
          <w:sz w:val="21"/>
          <w:szCs w:val="21"/>
          <w:highlight w:val="none"/>
          <w:lang w:val="en-US" w:eastAsia="zh-CN"/>
        </w:rPr>
        <w:t>25</w:t>
      </w:r>
      <w:r>
        <w:rPr>
          <w:rFonts w:hint="eastAsia" w:asciiTheme="minorEastAsia" w:hAnsiTheme="minorEastAsia" w:eastAsiaTheme="minorEastAsia" w:cstheme="minorEastAsia"/>
          <w:color w:val="auto"/>
          <w:sz w:val="21"/>
          <w:szCs w:val="21"/>
          <w:highlight w:val="none"/>
          <w:lang w:val="en-US" w:eastAsia="zh-CN"/>
        </w:rPr>
        <w:t>日，每天上午00:</w:t>
      </w:r>
      <w:r>
        <w:rPr>
          <w:rFonts w:hint="eastAsia" w:asciiTheme="minorEastAsia" w:hAnsiTheme="minorEastAsia" w:eastAsiaTheme="minorEastAsia" w:cstheme="minorEastAsia"/>
          <w:color w:val="auto"/>
          <w:kern w:val="0"/>
          <w:sz w:val="21"/>
          <w:szCs w:val="21"/>
          <w:highlight w:val="none"/>
        </w:rPr>
        <w:t>00至12:00，下午12:01至23:59（北京时间，法定节假日除外。）</w:t>
      </w:r>
    </w:p>
    <w:p w14:paraId="5ED834EC">
      <w:pPr>
        <w:keepNext w:val="0"/>
        <w:keepLines w:val="0"/>
        <w:pageBreakBefore w:val="0"/>
        <w:kinsoku/>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地点：</w:t>
      </w:r>
      <w:r>
        <w:rPr>
          <w:rFonts w:hint="eastAsia" w:asciiTheme="minorEastAsia" w:hAnsiTheme="minorEastAsia" w:eastAsiaTheme="minorEastAsia" w:cstheme="minorEastAsia"/>
          <w:sz w:val="21"/>
          <w:szCs w:val="21"/>
          <w:highlight w:val="none"/>
        </w:rPr>
        <w:t>全国公共资源交易平台（河南省·息县）官方网站</w:t>
      </w:r>
    </w:p>
    <w:p w14:paraId="4AC2FCA9">
      <w:pPr>
        <w:keepNext w:val="0"/>
        <w:keepLines w:val="0"/>
        <w:pageBreakBefore w:val="0"/>
        <w:kinsoku/>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方式：详见其他补充事宜</w:t>
      </w:r>
    </w:p>
    <w:p w14:paraId="287B5AA2">
      <w:pPr>
        <w:keepNext w:val="0"/>
        <w:keepLines w:val="0"/>
        <w:pageBreakBefore w:val="0"/>
        <w:kinsoku/>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售价：</w:t>
      </w:r>
      <w:r>
        <w:rPr>
          <w:rFonts w:hint="eastAsia" w:asciiTheme="minorEastAsia" w:hAnsiTheme="minorEastAsia" w:eastAsiaTheme="minorEastAsia" w:cstheme="minorEastAsia"/>
          <w:sz w:val="21"/>
          <w:szCs w:val="21"/>
          <w:highlight w:val="none"/>
        </w:rPr>
        <w:t>0元</w:t>
      </w:r>
    </w:p>
    <w:p w14:paraId="3E7915FD">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四、响应文件提交</w:t>
      </w:r>
    </w:p>
    <w:p w14:paraId="74B7D484">
      <w:pPr>
        <w:pStyle w:val="24"/>
        <w:keepNext w:val="0"/>
        <w:keepLines w:val="0"/>
        <w:pageBreakBefore w:val="0"/>
        <w:widowControl w:val="0"/>
        <w:tabs>
          <w:tab w:val="left" w:pos="2400"/>
          <w:tab w:val="left" w:pos="3460"/>
          <w:tab w:val="left" w:pos="7689"/>
          <w:tab w:val="left" w:pos="7737"/>
        </w:tabs>
        <w:kinsoku/>
        <w:wordWrap w:val="0"/>
        <w:overflowPunct/>
        <w:topLinePunct w:val="0"/>
        <w:autoSpaceDE/>
        <w:autoSpaceDN/>
        <w:bidi w:val="0"/>
        <w:spacing w:before="0" w:beforeLines="0" w:beforeAutospacing="0" w:after="0" w:afterLines="0" w:afterAutospacing="0"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1、时间：</w:t>
      </w:r>
      <w:r>
        <w:rPr>
          <w:rFonts w:hint="eastAsia" w:asciiTheme="minorEastAsia" w:hAnsiTheme="minorEastAsia" w:eastAsiaTheme="minorEastAsia" w:cstheme="minorEastAsia"/>
          <w:bCs/>
          <w:color w:val="auto"/>
          <w:sz w:val="21"/>
          <w:szCs w:val="21"/>
          <w:highlight w:val="none"/>
          <w:lang w:val="en-US" w:eastAsia="zh-CN"/>
        </w:rPr>
        <w:t>2025</w:t>
      </w:r>
      <w:r>
        <w:rPr>
          <w:rFonts w:hint="eastAsia" w:asciiTheme="minorEastAsia" w:hAnsiTheme="minorEastAsia" w:eastAsiaTheme="minorEastAsia" w:cstheme="minorEastAsia"/>
          <w:color w:val="auto"/>
          <w:kern w:val="0"/>
          <w:sz w:val="21"/>
          <w:szCs w:val="21"/>
          <w:highlight w:val="none"/>
          <w:lang w:val="en-US" w:eastAsia="zh-CN" w:bidi="ar-SA"/>
        </w:rPr>
        <w:t>年</w:t>
      </w:r>
      <w:r>
        <w:rPr>
          <w:rFonts w:hint="eastAsia" w:asciiTheme="minorEastAsia" w:hAnsiTheme="minorEastAsia" w:cstheme="minorEastAsia"/>
          <w:color w:val="auto"/>
          <w:kern w:val="0"/>
          <w:sz w:val="21"/>
          <w:szCs w:val="21"/>
          <w:highlight w:val="none"/>
          <w:lang w:val="en-US" w:eastAsia="zh-CN" w:bidi="ar-SA"/>
        </w:rPr>
        <w:t>4</w:t>
      </w:r>
      <w:r>
        <w:rPr>
          <w:rFonts w:hint="eastAsia" w:asciiTheme="minorEastAsia" w:hAnsiTheme="minorEastAsia" w:eastAsiaTheme="minorEastAsia" w:cstheme="minorEastAsia"/>
          <w:color w:val="auto"/>
          <w:kern w:val="0"/>
          <w:sz w:val="21"/>
          <w:szCs w:val="21"/>
          <w:highlight w:val="none"/>
          <w:lang w:val="en-US" w:eastAsia="zh-CN" w:bidi="ar-SA"/>
        </w:rPr>
        <w:t>月</w:t>
      </w:r>
      <w:r>
        <w:rPr>
          <w:rFonts w:hint="eastAsia" w:asciiTheme="minorEastAsia" w:hAnsiTheme="minorEastAsia" w:cstheme="minorEastAsia"/>
          <w:color w:val="auto"/>
          <w:kern w:val="0"/>
          <w:sz w:val="21"/>
          <w:szCs w:val="21"/>
          <w:highlight w:val="none"/>
          <w:lang w:val="en-US" w:eastAsia="zh-CN" w:bidi="ar-SA"/>
        </w:rPr>
        <w:t>1</w:t>
      </w:r>
      <w:r>
        <w:rPr>
          <w:rFonts w:hint="eastAsia" w:asciiTheme="minorEastAsia" w:hAnsiTheme="minorEastAsia" w:eastAsiaTheme="minorEastAsia" w:cstheme="minorEastAsia"/>
          <w:color w:val="auto"/>
          <w:kern w:val="0"/>
          <w:sz w:val="21"/>
          <w:szCs w:val="21"/>
          <w:highlight w:val="none"/>
          <w:lang w:val="en-US" w:eastAsia="zh-CN" w:bidi="ar-SA"/>
        </w:rPr>
        <w:t>日9时30分</w:t>
      </w:r>
      <w:r>
        <w:rPr>
          <w:rFonts w:hint="eastAsia" w:asciiTheme="minorEastAsia" w:hAnsiTheme="minorEastAsia" w:eastAsiaTheme="minorEastAsia" w:cstheme="minorEastAsia"/>
          <w:color w:val="auto"/>
          <w:sz w:val="21"/>
          <w:szCs w:val="21"/>
          <w:highlight w:val="none"/>
        </w:rPr>
        <w:t>（北京时间）</w:t>
      </w:r>
      <w:r>
        <w:rPr>
          <w:rFonts w:hint="eastAsia" w:asciiTheme="minorEastAsia" w:hAnsiTheme="minorEastAsia" w:eastAsiaTheme="minorEastAsia" w:cstheme="minorEastAsia"/>
          <w:color w:val="auto"/>
          <w:sz w:val="21"/>
          <w:szCs w:val="21"/>
          <w:highlight w:val="none"/>
          <w:lang w:eastAsia="zh-CN"/>
        </w:rPr>
        <w:t>。</w:t>
      </w:r>
    </w:p>
    <w:p w14:paraId="1232B3F0">
      <w:pPr>
        <w:keepNext w:val="0"/>
        <w:keepLines w:val="0"/>
        <w:pageBreakBefore w:val="0"/>
        <w:kinsoku/>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w:t>
      </w:r>
      <w:r>
        <w:rPr>
          <w:rFonts w:hint="eastAsia" w:asciiTheme="minorEastAsia" w:hAnsiTheme="minorEastAsia" w:eastAsiaTheme="minorEastAsia" w:cstheme="minorEastAsia"/>
          <w:color w:val="auto"/>
          <w:kern w:val="0"/>
          <w:sz w:val="21"/>
          <w:szCs w:val="21"/>
          <w:highlight w:val="none"/>
          <w:lang w:eastAsia="zh-CN"/>
        </w:rPr>
        <w:t>地点：</w:t>
      </w:r>
      <w:r>
        <w:rPr>
          <w:rFonts w:hint="eastAsia" w:asciiTheme="minorEastAsia" w:hAnsiTheme="minorEastAsia" w:eastAsiaTheme="minorEastAsia" w:cstheme="minorEastAsia"/>
          <w:color w:val="auto"/>
          <w:kern w:val="0"/>
          <w:sz w:val="21"/>
          <w:szCs w:val="21"/>
          <w:highlight w:val="none"/>
          <w:lang w:val="en-US" w:eastAsia="zh-CN"/>
        </w:rPr>
        <w:t>投标供应商必须在投标截止时间前通过信阳市公共资源交易中心电子招投标系统上传电子投标文件(.XYTF格式)。上传的电子投标文件应使用投标供应商CA数字证书认证并加密。注：加密电子投标文件逾期上传的招标人不予受理。</w:t>
      </w:r>
    </w:p>
    <w:p w14:paraId="4B866D7E">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五、响应文件开启</w:t>
      </w:r>
    </w:p>
    <w:p w14:paraId="7C967C51">
      <w:pPr>
        <w:pStyle w:val="24"/>
        <w:keepNext w:val="0"/>
        <w:keepLines w:val="0"/>
        <w:pageBreakBefore w:val="0"/>
        <w:widowControl w:val="0"/>
        <w:tabs>
          <w:tab w:val="left" w:pos="2400"/>
          <w:tab w:val="left" w:pos="3460"/>
          <w:tab w:val="left" w:pos="7689"/>
          <w:tab w:val="left" w:pos="7737"/>
        </w:tabs>
        <w:kinsoku/>
        <w:wordWrap w:val="0"/>
        <w:overflowPunct/>
        <w:topLinePunct w:val="0"/>
        <w:autoSpaceDE/>
        <w:autoSpaceDN/>
        <w:bidi w:val="0"/>
        <w:spacing w:before="0" w:beforeLines="0" w:beforeAutospacing="0" w:after="0" w:afterLines="0" w:afterAutospacing="0"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1、时间：</w:t>
      </w:r>
      <w:r>
        <w:rPr>
          <w:rFonts w:hint="eastAsia" w:asciiTheme="minorEastAsia" w:hAnsiTheme="minorEastAsia" w:eastAsiaTheme="minorEastAsia" w:cstheme="minorEastAsia"/>
          <w:bCs/>
          <w:color w:val="auto"/>
          <w:sz w:val="21"/>
          <w:szCs w:val="21"/>
          <w:highlight w:val="none"/>
          <w:lang w:val="en-US" w:eastAsia="zh-CN"/>
        </w:rPr>
        <w:t>2025</w:t>
      </w:r>
      <w:r>
        <w:rPr>
          <w:rFonts w:hint="eastAsia" w:asciiTheme="minorEastAsia" w:hAnsiTheme="minorEastAsia" w:eastAsiaTheme="minorEastAsia" w:cstheme="minorEastAsia"/>
          <w:color w:val="auto"/>
          <w:kern w:val="0"/>
          <w:sz w:val="21"/>
          <w:szCs w:val="21"/>
          <w:highlight w:val="none"/>
          <w:lang w:val="en-US" w:eastAsia="zh-CN" w:bidi="ar-SA"/>
        </w:rPr>
        <w:t>年</w:t>
      </w:r>
      <w:r>
        <w:rPr>
          <w:rFonts w:hint="eastAsia" w:asciiTheme="minorEastAsia" w:hAnsiTheme="minorEastAsia" w:cstheme="minorEastAsia"/>
          <w:color w:val="auto"/>
          <w:kern w:val="0"/>
          <w:sz w:val="21"/>
          <w:szCs w:val="21"/>
          <w:highlight w:val="none"/>
          <w:lang w:val="en-US" w:eastAsia="zh-CN" w:bidi="ar-SA"/>
        </w:rPr>
        <w:t>4</w:t>
      </w:r>
      <w:r>
        <w:rPr>
          <w:rFonts w:hint="eastAsia" w:asciiTheme="minorEastAsia" w:hAnsiTheme="minorEastAsia" w:eastAsiaTheme="minorEastAsia" w:cstheme="minorEastAsia"/>
          <w:color w:val="auto"/>
          <w:kern w:val="0"/>
          <w:sz w:val="21"/>
          <w:szCs w:val="21"/>
          <w:highlight w:val="none"/>
          <w:lang w:val="en-US" w:eastAsia="zh-CN" w:bidi="ar-SA"/>
        </w:rPr>
        <w:t>月</w:t>
      </w:r>
      <w:r>
        <w:rPr>
          <w:rFonts w:hint="eastAsia" w:asciiTheme="minorEastAsia" w:hAnsiTheme="minorEastAsia" w:cstheme="minorEastAsia"/>
          <w:color w:val="auto"/>
          <w:kern w:val="0"/>
          <w:sz w:val="21"/>
          <w:szCs w:val="21"/>
          <w:highlight w:val="none"/>
          <w:lang w:val="en-US" w:eastAsia="zh-CN" w:bidi="ar-SA"/>
        </w:rPr>
        <w:t>1</w:t>
      </w:r>
      <w:r>
        <w:rPr>
          <w:rFonts w:hint="eastAsia" w:asciiTheme="minorEastAsia" w:hAnsiTheme="minorEastAsia" w:eastAsiaTheme="minorEastAsia" w:cstheme="minorEastAsia"/>
          <w:color w:val="auto"/>
          <w:kern w:val="0"/>
          <w:sz w:val="21"/>
          <w:szCs w:val="21"/>
          <w:highlight w:val="none"/>
          <w:lang w:val="en-US" w:eastAsia="zh-CN" w:bidi="ar-SA"/>
        </w:rPr>
        <w:t>日9时30分</w:t>
      </w:r>
      <w:r>
        <w:rPr>
          <w:rFonts w:hint="eastAsia" w:asciiTheme="minorEastAsia" w:hAnsiTheme="minorEastAsia" w:eastAsiaTheme="minorEastAsia" w:cstheme="minorEastAsia"/>
          <w:color w:val="auto"/>
          <w:sz w:val="21"/>
          <w:szCs w:val="21"/>
          <w:highlight w:val="none"/>
        </w:rPr>
        <w:t>（北京时间）</w:t>
      </w:r>
      <w:r>
        <w:rPr>
          <w:rFonts w:hint="eastAsia" w:asciiTheme="minorEastAsia" w:hAnsiTheme="minorEastAsia" w:eastAsiaTheme="minorEastAsia" w:cstheme="minorEastAsia"/>
          <w:color w:val="auto"/>
          <w:sz w:val="21"/>
          <w:szCs w:val="21"/>
          <w:highlight w:val="none"/>
          <w:lang w:eastAsia="zh-CN"/>
        </w:rPr>
        <w:t>。</w:t>
      </w:r>
    </w:p>
    <w:p w14:paraId="173B75D4">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textAlignment w:val="auto"/>
        <w:outlineLvl w:val="9"/>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rPr>
        <w:t>2、地点：</w:t>
      </w:r>
      <w:r>
        <w:rPr>
          <w:rFonts w:hint="eastAsia" w:asciiTheme="minorEastAsia" w:hAnsiTheme="minorEastAsia" w:eastAsiaTheme="minorEastAsia" w:cstheme="minorEastAsia"/>
          <w:color w:val="auto"/>
          <w:kern w:val="0"/>
          <w:sz w:val="21"/>
          <w:szCs w:val="21"/>
          <w:highlight w:val="none"/>
          <w:lang w:val="en-US" w:eastAsia="zh-CN"/>
        </w:rPr>
        <w:t>全国公共资源交易平台（河南省·息县）不见面开标大厅</w:t>
      </w:r>
    </w:p>
    <w:p w14:paraId="3A26E955">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六、发布公告的媒介及招标公告期限</w:t>
      </w:r>
    </w:p>
    <w:p w14:paraId="3ED9B759">
      <w:pPr>
        <w:keepNext w:val="0"/>
        <w:keepLines w:val="0"/>
        <w:pageBreakBefore w:val="0"/>
        <w:widowControl/>
        <w:kinsoku/>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本次招标公告在《河南省政府采购网》、《全国公共资源交易平台（河南省·</w:t>
      </w:r>
      <w:r>
        <w:rPr>
          <w:rFonts w:hint="eastAsia" w:asciiTheme="minorEastAsia" w:hAnsiTheme="minorEastAsia" w:eastAsiaTheme="minorEastAsia" w:cstheme="minorEastAsia"/>
          <w:color w:val="auto"/>
          <w:kern w:val="0"/>
          <w:sz w:val="21"/>
          <w:szCs w:val="21"/>
          <w:highlight w:val="none"/>
          <w:lang w:eastAsia="zh-CN"/>
        </w:rPr>
        <w:t>息县</w:t>
      </w:r>
      <w:r>
        <w:rPr>
          <w:rFonts w:hint="eastAsia" w:asciiTheme="minorEastAsia" w:hAnsiTheme="minorEastAsia" w:eastAsiaTheme="minorEastAsia" w:cstheme="minorEastAsia"/>
          <w:color w:val="auto"/>
          <w:kern w:val="0"/>
          <w:sz w:val="21"/>
          <w:szCs w:val="21"/>
          <w:highlight w:val="none"/>
        </w:rPr>
        <w:t>）》网上发布</w:t>
      </w:r>
      <w:r>
        <w:rPr>
          <w:rFonts w:hint="eastAsia" w:asciiTheme="minorEastAsia" w:hAnsiTheme="minorEastAsia" w:eastAsiaTheme="minorEastAsia" w:cstheme="minorEastAsia"/>
          <w:color w:val="auto"/>
          <w:kern w:val="0"/>
          <w:sz w:val="21"/>
          <w:szCs w:val="21"/>
          <w:highlight w:val="none"/>
          <w:lang w:eastAsia="zh-CN"/>
        </w:rPr>
        <w:t>，招标公告期限为</w:t>
      </w:r>
      <w:r>
        <w:rPr>
          <w:rFonts w:hint="eastAsia" w:asciiTheme="minorEastAsia" w:hAnsiTheme="minorEastAsia" w:eastAsiaTheme="minorEastAsia" w:cstheme="minorEastAsia"/>
          <w:color w:val="auto"/>
          <w:kern w:val="0"/>
          <w:sz w:val="21"/>
          <w:szCs w:val="21"/>
          <w:highlight w:val="none"/>
          <w:lang w:val="en-US" w:eastAsia="zh-CN"/>
        </w:rPr>
        <w:t>三</w:t>
      </w:r>
      <w:r>
        <w:rPr>
          <w:rFonts w:hint="eastAsia" w:asciiTheme="minorEastAsia" w:hAnsiTheme="minorEastAsia" w:eastAsiaTheme="minorEastAsia" w:cstheme="minorEastAsia"/>
          <w:color w:val="auto"/>
          <w:kern w:val="0"/>
          <w:sz w:val="21"/>
          <w:szCs w:val="21"/>
          <w:highlight w:val="none"/>
          <w:lang w:eastAsia="zh-CN"/>
        </w:rPr>
        <w:t>个工作日</w:t>
      </w:r>
      <w:r>
        <w:rPr>
          <w:rFonts w:hint="eastAsia" w:asciiTheme="minorEastAsia" w:hAnsiTheme="minorEastAsia" w:eastAsiaTheme="minorEastAsia" w:cstheme="minorEastAsia"/>
          <w:color w:val="auto"/>
          <w:kern w:val="0"/>
          <w:sz w:val="21"/>
          <w:szCs w:val="21"/>
          <w:highlight w:val="none"/>
        </w:rPr>
        <w:t>。</w:t>
      </w:r>
    </w:p>
    <w:p w14:paraId="49222669">
      <w:pPr>
        <w:pStyle w:val="3"/>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textAlignment w:val="auto"/>
        <w:outlineLvl w:val="1"/>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七、其他补充事宜</w:t>
      </w:r>
    </w:p>
    <w:p w14:paraId="64FF76F3">
      <w:pPr>
        <w:keepNext w:val="0"/>
        <w:keepLines w:val="0"/>
        <w:pageBreakBefore w:val="0"/>
        <w:widowControl/>
        <w:kinsoku/>
        <w:overflowPunct/>
        <w:topLinePunct w:val="0"/>
        <w:autoSpaceDE/>
        <w:autoSpaceDN/>
        <w:bidi w:val="0"/>
        <w:spacing w:line="360" w:lineRule="auto"/>
        <w:ind w:left="420" w:leftChars="200" w:firstLine="0" w:firstLineChars="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1.获取采购文件</w:t>
      </w:r>
      <w:r>
        <w:rPr>
          <w:rFonts w:hint="eastAsia" w:asciiTheme="minorEastAsia" w:hAnsiTheme="minorEastAsia" w:eastAsiaTheme="minorEastAsia" w:cstheme="minorEastAsia"/>
          <w:color w:val="auto"/>
          <w:kern w:val="0"/>
          <w:sz w:val="21"/>
          <w:szCs w:val="21"/>
          <w:highlight w:val="none"/>
        </w:rPr>
        <w:t>方式：</w:t>
      </w:r>
    </w:p>
    <w:p w14:paraId="4F8209D9">
      <w:pPr>
        <w:keepNext w:val="0"/>
        <w:keepLines w:val="0"/>
        <w:pageBreakBefore w:val="0"/>
        <w:kinsoku/>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cstheme="minorEastAsia"/>
          <w:color w:val="auto"/>
          <w:kern w:val="0"/>
          <w:sz w:val="21"/>
          <w:szCs w:val="21"/>
          <w:highlight w:val="none"/>
          <w:lang w:val="en-US" w:eastAsia="zh-CN"/>
        </w:rPr>
        <w:t>1.1</w:t>
      </w:r>
      <w:r>
        <w:rPr>
          <w:rFonts w:hint="eastAsia" w:asciiTheme="minorEastAsia" w:hAnsiTheme="minorEastAsia" w:eastAsiaTheme="minorEastAsia" w:cstheme="minorEastAsia"/>
          <w:color w:val="auto"/>
          <w:kern w:val="0"/>
          <w:sz w:val="21"/>
          <w:szCs w:val="21"/>
          <w:highlight w:val="none"/>
        </w:rPr>
        <w:t>供应商注册：投标企业首先登陆“全国公共资源交易平台（河南省·信阳市）</w:t>
      </w:r>
      <w:r>
        <w:rPr>
          <w:rFonts w:hint="eastAsia" w:asciiTheme="minorEastAsia" w:hAnsiTheme="minorEastAsia" w:eastAsiaTheme="minorEastAsia" w:cstheme="minorEastAsia"/>
          <w:sz w:val="21"/>
          <w:szCs w:val="21"/>
          <w:highlight w:val="none"/>
        </w:rPr>
        <w:t>（https://ggzyjy.xixian.gov.cn/）</w:t>
      </w:r>
      <w:r>
        <w:rPr>
          <w:rFonts w:hint="eastAsia" w:asciiTheme="minorEastAsia" w:hAnsiTheme="minorEastAsia" w:eastAsiaTheme="minorEastAsia" w:cstheme="minorEastAsia"/>
          <w:color w:val="auto"/>
          <w:kern w:val="0"/>
          <w:sz w:val="21"/>
          <w:szCs w:val="21"/>
          <w:highlight w:val="none"/>
        </w:rPr>
        <w:t>”网站进行交易主体注册，按网站公告通知有关要求填报企业信息并上传有关原件扫描件至诚信库，不需携带原件到信阳市公共资源交易中心进行审核。供应商应对所上传材料的真实性、合法性、有效性负责，其上传的信息将全部对外公示，接受社会监督。</w:t>
      </w:r>
    </w:p>
    <w:p w14:paraId="0F090597">
      <w:pPr>
        <w:keepNext w:val="0"/>
        <w:keepLines w:val="0"/>
        <w:pageBreakBefore w:val="0"/>
        <w:kinsoku/>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cstheme="minorEastAsia"/>
          <w:color w:val="auto"/>
          <w:kern w:val="0"/>
          <w:sz w:val="21"/>
          <w:szCs w:val="21"/>
          <w:highlight w:val="none"/>
          <w:lang w:val="en-US" w:eastAsia="zh-CN"/>
        </w:rPr>
        <w:t>1</w:t>
      </w:r>
      <w:r>
        <w:rPr>
          <w:rFonts w:hint="eastAsia" w:asciiTheme="minorEastAsia" w:hAnsiTheme="minorEastAsia" w:eastAsiaTheme="minorEastAsia" w:cstheme="minorEastAsia"/>
          <w:color w:val="auto"/>
          <w:kern w:val="0"/>
          <w:sz w:val="21"/>
          <w:szCs w:val="21"/>
          <w:highlight w:val="none"/>
        </w:rPr>
        <w:t>.2办理CA数字证书：完成企业诚信库注册后，必须办理CA数字证书方可在网上办理招投标相关业务。供应商根据信阳市公共资源交易网通知公告栏目中《关于信阳市公共资源交易平台数字证书（CA）互认系统正式上线运行的通知》要求，自行选择CA数字证书服务商，线上、线下办理CA数字证书。</w:t>
      </w:r>
    </w:p>
    <w:p w14:paraId="6290331D">
      <w:pPr>
        <w:keepNext w:val="0"/>
        <w:keepLines w:val="0"/>
        <w:pageBreakBefore w:val="0"/>
        <w:kinsoku/>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cstheme="minorEastAsia"/>
          <w:color w:val="auto"/>
          <w:kern w:val="0"/>
          <w:sz w:val="21"/>
          <w:szCs w:val="21"/>
          <w:highlight w:val="none"/>
          <w:lang w:val="en-US" w:eastAsia="zh-CN"/>
        </w:rPr>
        <w:t>1</w:t>
      </w:r>
      <w:r>
        <w:rPr>
          <w:rFonts w:hint="eastAsia" w:asciiTheme="minorEastAsia" w:hAnsiTheme="minorEastAsia" w:eastAsiaTheme="minorEastAsia" w:cstheme="minorEastAsia"/>
          <w:color w:val="auto"/>
          <w:kern w:val="0"/>
          <w:sz w:val="21"/>
          <w:szCs w:val="21"/>
          <w:highlight w:val="none"/>
        </w:rPr>
        <w:t>.3</w:t>
      </w:r>
      <w:r>
        <w:rPr>
          <w:rFonts w:hint="eastAsia" w:asciiTheme="minorEastAsia" w:hAnsiTheme="minorEastAsia" w:eastAsiaTheme="minorEastAsia" w:cstheme="minorEastAsia"/>
          <w:color w:val="auto"/>
          <w:kern w:val="0"/>
          <w:sz w:val="21"/>
          <w:szCs w:val="21"/>
          <w:highlight w:val="none"/>
          <w:lang w:eastAsia="zh-CN"/>
        </w:rPr>
        <w:t>文件</w:t>
      </w:r>
      <w:r>
        <w:rPr>
          <w:rFonts w:hint="eastAsia" w:asciiTheme="minorEastAsia" w:hAnsiTheme="minorEastAsia" w:eastAsiaTheme="minorEastAsia" w:cstheme="minorEastAsia"/>
          <w:color w:val="auto"/>
          <w:kern w:val="0"/>
          <w:sz w:val="21"/>
          <w:szCs w:val="21"/>
          <w:highlight w:val="none"/>
        </w:rPr>
        <w:t>获取方式：供应商凭CA数字证书登陆会员系统后，即可按网上提示免费下载</w:t>
      </w:r>
      <w:r>
        <w:rPr>
          <w:rFonts w:hint="eastAsia" w:asciiTheme="minorEastAsia" w:hAnsiTheme="minorEastAsia" w:eastAsiaTheme="minorEastAsia" w:cstheme="minorEastAsia"/>
          <w:color w:val="auto"/>
          <w:kern w:val="0"/>
          <w:sz w:val="21"/>
          <w:szCs w:val="21"/>
          <w:highlight w:val="none"/>
          <w:lang w:eastAsia="zh-CN"/>
        </w:rPr>
        <w:t>竞争性磋商文件</w:t>
      </w:r>
      <w:r>
        <w:rPr>
          <w:rFonts w:hint="eastAsia" w:asciiTheme="minorEastAsia" w:hAnsiTheme="minorEastAsia" w:eastAsiaTheme="minorEastAsia" w:cstheme="minorEastAsia"/>
          <w:color w:val="auto"/>
          <w:kern w:val="0"/>
          <w:sz w:val="21"/>
          <w:szCs w:val="21"/>
          <w:highlight w:val="none"/>
        </w:rPr>
        <w:t>及资料（操作程序详见信阳市公共资源交易中心网站下载中心栏目里投标人操作手册）。</w:t>
      </w:r>
      <w:r>
        <w:rPr>
          <w:rFonts w:hint="eastAsia" w:asciiTheme="minorEastAsia" w:hAnsiTheme="minorEastAsia" w:eastAsiaTheme="minorEastAsia" w:cstheme="minorEastAsia"/>
          <w:color w:val="auto"/>
          <w:kern w:val="0"/>
          <w:sz w:val="21"/>
          <w:szCs w:val="21"/>
          <w:highlight w:val="none"/>
          <w:lang w:eastAsia="zh-CN"/>
        </w:rPr>
        <w:t>竞争性磋商文件</w:t>
      </w:r>
      <w:r>
        <w:rPr>
          <w:rFonts w:hint="eastAsia" w:asciiTheme="minorEastAsia" w:hAnsiTheme="minorEastAsia" w:eastAsiaTheme="minorEastAsia" w:cstheme="minorEastAsia"/>
          <w:color w:val="auto"/>
          <w:kern w:val="0"/>
          <w:sz w:val="21"/>
          <w:szCs w:val="21"/>
          <w:highlight w:val="none"/>
        </w:rPr>
        <w:t>(*.XYZF格式)下载后需使用“信阳市</w:t>
      </w:r>
      <w:r>
        <w:rPr>
          <w:rFonts w:hint="eastAsia" w:asciiTheme="minorEastAsia" w:hAnsiTheme="minorEastAsia" w:eastAsiaTheme="minorEastAsia" w:cstheme="minorEastAsia"/>
          <w:color w:val="auto"/>
          <w:kern w:val="0"/>
          <w:sz w:val="21"/>
          <w:szCs w:val="21"/>
          <w:highlight w:val="none"/>
          <w:lang w:eastAsia="zh-CN"/>
        </w:rPr>
        <w:t>投标文件制作工具</w:t>
      </w:r>
      <w:r>
        <w:rPr>
          <w:rFonts w:hint="eastAsia" w:asciiTheme="minorEastAsia" w:hAnsiTheme="minorEastAsia" w:eastAsiaTheme="minorEastAsia" w:cstheme="minorEastAsia"/>
          <w:color w:val="auto"/>
          <w:kern w:val="0"/>
          <w:sz w:val="21"/>
          <w:szCs w:val="21"/>
          <w:highlight w:val="none"/>
        </w:rPr>
        <w:t>软件”打开（该工具软件可在“全国公共资源交易平台（河南省·信阳市）（</w:t>
      </w:r>
      <w:r>
        <w:rPr>
          <w:rFonts w:hint="eastAsia" w:asciiTheme="minorEastAsia" w:hAnsiTheme="minorEastAsia" w:eastAsiaTheme="minorEastAsia" w:cstheme="minorEastAsia"/>
          <w:sz w:val="21"/>
          <w:szCs w:val="21"/>
          <w:highlight w:val="none"/>
        </w:rPr>
        <w:t>https://ggzyjy.xinyang.gov.cn/</w:t>
      </w:r>
      <w:r>
        <w:rPr>
          <w:rFonts w:hint="eastAsia" w:asciiTheme="minorEastAsia" w:hAnsiTheme="minorEastAsia" w:eastAsiaTheme="minorEastAsia" w:cstheme="minorEastAsia"/>
          <w:color w:val="auto"/>
          <w:kern w:val="0"/>
          <w:sz w:val="21"/>
          <w:szCs w:val="21"/>
          <w:highlight w:val="none"/>
        </w:rPr>
        <w:t>）”网站下载中心栏目内下载或在文件领取页面下载）。</w:t>
      </w:r>
    </w:p>
    <w:p w14:paraId="0AD8700B">
      <w:pPr>
        <w:keepNext w:val="0"/>
        <w:keepLines w:val="0"/>
        <w:pageBreakBefore w:val="0"/>
        <w:kinsoku/>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cstheme="minorEastAsia"/>
          <w:color w:val="auto"/>
          <w:kern w:val="0"/>
          <w:sz w:val="21"/>
          <w:szCs w:val="21"/>
          <w:highlight w:val="none"/>
          <w:lang w:val="en-US" w:eastAsia="zh-CN"/>
        </w:rPr>
        <w:t>1</w:t>
      </w:r>
      <w:r>
        <w:rPr>
          <w:rFonts w:hint="eastAsia" w:asciiTheme="minorEastAsia" w:hAnsiTheme="minorEastAsia" w:eastAsiaTheme="minorEastAsia" w:cstheme="minorEastAsia"/>
          <w:color w:val="auto"/>
          <w:kern w:val="0"/>
          <w:sz w:val="21"/>
          <w:szCs w:val="21"/>
          <w:highlight w:val="none"/>
        </w:rPr>
        <w:t>.4请供应商下载磋商文件后及时关注系统业务菜单（“答疑澄清文件领取”，“控制价文件领取”）内该项目是否有新的答疑澄清文件或控制价文件。如有请直接下载，不再另行通知。</w:t>
      </w:r>
    </w:p>
    <w:p w14:paraId="7B79CE23">
      <w:pPr>
        <w:keepNext w:val="0"/>
        <w:keepLines w:val="0"/>
        <w:pageBreakBefore w:val="0"/>
        <w:kinsoku/>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w:t>
      </w:r>
      <w:r>
        <w:rPr>
          <w:rFonts w:hint="eastAsia" w:asciiTheme="minorEastAsia" w:hAnsiTheme="minorEastAsia" w:eastAsiaTheme="minorEastAsia" w:cstheme="minorEastAsia"/>
          <w:color w:val="auto"/>
          <w:kern w:val="0"/>
          <w:sz w:val="21"/>
          <w:szCs w:val="21"/>
          <w:highlight w:val="none"/>
          <w:lang w:val="en-US" w:eastAsia="zh-CN"/>
        </w:rPr>
        <w:t>本项目采用“不见面开标”交易方式，不见面开标大厅网址为https://ggzyjy.xinyang.gov.cn/BidOpening/bidhall/xinyang/login.html，供应商无需寄送和递交非加密的电子响应文件，无需到现场参加开标会议，无需到达现场提交原件资料。</w:t>
      </w:r>
    </w:p>
    <w:p w14:paraId="31F9E882">
      <w:pPr>
        <w:keepNext w:val="0"/>
        <w:keepLines w:val="0"/>
        <w:pageBreakBefore w:val="0"/>
        <w:kinsoku/>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cstheme="minorEastAsia"/>
          <w:color w:val="auto"/>
          <w:kern w:val="0"/>
          <w:sz w:val="21"/>
          <w:szCs w:val="21"/>
          <w:highlight w:val="none"/>
          <w:lang w:val="en-US" w:eastAsia="zh-CN"/>
        </w:rPr>
        <w:t>3.</w:t>
      </w:r>
      <w:r>
        <w:rPr>
          <w:rFonts w:hint="eastAsia" w:asciiTheme="minorEastAsia" w:hAnsiTheme="minorEastAsia" w:eastAsiaTheme="minorEastAsia" w:cstheme="minorEastAsia"/>
          <w:color w:val="auto"/>
          <w:kern w:val="0"/>
          <w:sz w:val="21"/>
          <w:szCs w:val="21"/>
          <w:highlight w:val="none"/>
          <w:lang w:val="en-US" w:eastAsia="zh-CN"/>
        </w:rPr>
        <w:t>供应商应当在响应文件提交截止时间前，使用供应商CA数字证书登录不见面开标大厅，在线签到并准时参加开标活动，并在规定时间内完成响应文件解密、答疑澄清等。</w:t>
      </w:r>
    </w:p>
    <w:p w14:paraId="29105C6A">
      <w:pPr>
        <w:keepNext w:val="0"/>
        <w:keepLines w:val="0"/>
        <w:pageBreakBefore w:val="0"/>
        <w:kinsoku/>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cstheme="minorEastAsia"/>
          <w:color w:val="auto"/>
          <w:kern w:val="0"/>
          <w:sz w:val="21"/>
          <w:szCs w:val="21"/>
          <w:highlight w:val="none"/>
          <w:lang w:val="en-US" w:eastAsia="zh-CN"/>
        </w:rPr>
        <w:t>4.</w:t>
      </w:r>
      <w:r>
        <w:rPr>
          <w:rFonts w:hint="eastAsia" w:asciiTheme="minorEastAsia" w:hAnsiTheme="minorEastAsia" w:eastAsiaTheme="minorEastAsia" w:cstheme="minorEastAsia"/>
          <w:color w:val="auto"/>
          <w:kern w:val="0"/>
          <w:sz w:val="21"/>
          <w:szCs w:val="21"/>
          <w:highlight w:val="none"/>
          <w:lang w:val="en-US" w:eastAsia="zh-CN"/>
        </w:rPr>
        <w:t>逾期解密或者没有准时在线参加开标活动导致的一切后果供应商自行承担。</w:t>
      </w:r>
    </w:p>
    <w:p w14:paraId="2E839283">
      <w:pPr>
        <w:keepNext w:val="0"/>
        <w:keepLines w:val="0"/>
        <w:pageBreakBefore w:val="0"/>
        <w:kinsoku/>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cstheme="minorEastAsia"/>
          <w:color w:val="auto"/>
          <w:kern w:val="0"/>
          <w:sz w:val="21"/>
          <w:szCs w:val="21"/>
          <w:highlight w:val="none"/>
          <w:lang w:val="en-US" w:eastAsia="zh-CN"/>
        </w:rPr>
        <w:t>5.</w:t>
      </w:r>
      <w:r>
        <w:rPr>
          <w:rFonts w:hint="eastAsia" w:asciiTheme="minorEastAsia" w:hAnsiTheme="minorEastAsia" w:eastAsiaTheme="minorEastAsia" w:cstheme="minorEastAsia"/>
          <w:color w:val="auto"/>
          <w:kern w:val="0"/>
          <w:sz w:val="21"/>
          <w:szCs w:val="21"/>
          <w:highlight w:val="none"/>
          <w:lang w:val="en-US" w:eastAsia="zh-CN"/>
        </w:rPr>
        <w:t>不见面开标服务的具体事宜，请查阅信阳市公共资源交易中心网站首页—下载中心—信阳市不见面开标大厅系统操作手册 。</w:t>
      </w:r>
    </w:p>
    <w:p w14:paraId="0099898C">
      <w:pPr>
        <w:keepNext w:val="0"/>
        <w:keepLines w:val="0"/>
        <w:pageBreakBefore w:val="0"/>
        <w:kinsoku/>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cstheme="minorEastAsia"/>
          <w:color w:val="auto"/>
          <w:kern w:val="0"/>
          <w:sz w:val="21"/>
          <w:szCs w:val="21"/>
          <w:highlight w:val="none"/>
          <w:lang w:val="en-US" w:eastAsia="zh-CN"/>
        </w:rPr>
        <w:t>6.</w:t>
      </w:r>
      <w:r>
        <w:rPr>
          <w:rFonts w:hint="eastAsia" w:asciiTheme="minorEastAsia" w:hAnsiTheme="minorEastAsia" w:eastAsiaTheme="minorEastAsia" w:cstheme="minorEastAsia"/>
          <w:color w:val="auto"/>
          <w:kern w:val="0"/>
          <w:sz w:val="21"/>
          <w:szCs w:val="21"/>
          <w:highlight w:val="none"/>
          <w:lang w:val="en-US" w:eastAsia="zh-CN"/>
        </w:rPr>
        <w:t>监督部门信息</w:t>
      </w:r>
    </w:p>
    <w:p w14:paraId="5C9ABAD3">
      <w:pPr>
        <w:keepNext w:val="0"/>
        <w:keepLines w:val="0"/>
        <w:pageBreakBefore w:val="0"/>
        <w:widowControl/>
        <w:kinsoku/>
        <w:overflowPunct/>
        <w:topLinePunct w:val="0"/>
        <w:autoSpaceDE/>
        <w:autoSpaceDN/>
        <w:bidi w:val="0"/>
        <w:spacing w:line="360" w:lineRule="auto"/>
        <w:ind w:left="479" w:leftChars="228" w:firstLine="0" w:firstLineChars="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名 称：</w:t>
      </w:r>
      <w:r>
        <w:rPr>
          <w:rFonts w:hint="eastAsia" w:asciiTheme="minorEastAsia" w:hAnsiTheme="minorEastAsia" w:eastAsiaTheme="minorEastAsia" w:cstheme="minorEastAsia"/>
          <w:kern w:val="0"/>
          <w:sz w:val="21"/>
          <w:szCs w:val="21"/>
          <w:highlight w:val="none"/>
        </w:rPr>
        <w:t>息县财政局政府采购股</w:t>
      </w:r>
      <w:r>
        <w:rPr>
          <w:rFonts w:hint="eastAsia" w:asciiTheme="minorEastAsia" w:hAnsiTheme="minorEastAsia" w:eastAsiaTheme="minorEastAsia" w:cstheme="minorEastAsia"/>
          <w:color w:val="auto"/>
          <w:kern w:val="0"/>
          <w:sz w:val="21"/>
          <w:szCs w:val="21"/>
          <w:highlight w:val="none"/>
        </w:rPr>
        <w:t>　　</w:t>
      </w:r>
      <w:r>
        <w:rPr>
          <w:rFonts w:hint="eastAsia" w:asciiTheme="minorEastAsia" w:hAnsiTheme="minorEastAsia" w:eastAsiaTheme="minorEastAsia" w:cstheme="minorEastAsia"/>
          <w:color w:val="auto"/>
          <w:kern w:val="0"/>
          <w:sz w:val="21"/>
          <w:szCs w:val="21"/>
          <w:highlight w:val="none"/>
        </w:rPr>
        <w:br w:type="textWrapping"/>
      </w:r>
      <w:r>
        <w:rPr>
          <w:rFonts w:hint="eastAsia" w:asciiTheme="minorEastAsia" w:hAnsiTheme="minorEastAsia" w:eastAsiaTheme="minorEastAsia" w:cstheme="minorEastAsia"/>
          <w:color w:val="auto"/>
          <w:kern w:val="0"/>
          <w:sz w:val="21"/>
          <w:szCs w:val="21"/>
          <w:highlight w:val="none"/>
        </w:rPr>
        <w:t>地</w:t>
      </w:r>
      <w:r>
        <w:rPr>
          <w:rFonts w:hint="eastAsia" w:asciiTheme="minorEastAsia" w:hAnsiTheme="minorEastAsia" w:eastAsiaTheme="minorEastAsia" w:cstheme="minorEastAsia"/>
          <w:color w:val="auto"/>
          <w:kern w:val="0"/>
          <w:sz w:val="21"/>
          <w:szCs w:val="21"/>
          <w:highlight w:val="none"/>
          <w:lang w:val="en-US" w:eastAsia="zh-CN"/>
        </w:rPr>
        <w:t xml:space="preserve"> </w:t>
      </w:r>
      <w:r>
        <w:rPr>
          <w:rFonts w:hint="eastAsia" w:asciiTheme="minorEastAsia" w:hAnsiTheme="minorEastAsia" w:eastAsiaTheme="minorEastAsia" w:cstheme="minorEastAsia"/>
          <w:color w:val="auto"/>
          <w:kern w:val="0"/>
          <w:sz w:val="21"/>
          <w:szCs w:val="21"/>
          <w:highlight w:val="none"/>
        </w:rPr>
        <w:t>址：息县谯楼街488号</w:t>
      </w:r>
      <w:r>
        <w:rPr>
          <w:rFonts w:hint="eastAsia" w:asciiTheme="minorEastAsia" w:hAnsiTheme="minorEastAsia" w:eastAsiaTheme="minorEastAsia" w:cstheme="minorEastAsia"/>
          <w:color w:val="auto"/>
          <w:kern w:val="0"/>
          <w:sz w:val="21"/>
          <w:szCs w:val="21"/>
          <w:highlight w:val="none"/>
        </w:rPr>
        <w:br w:type="textWrapping"/>
      </w:r>
      <w:r>
        <w:rPr>
          <w:rFonts w:hint="eastAsia" w:asciiTheme="minorEastAsia" w:hAnsiTheme="minorEastAsia" w:eastAsiaTheme="minorEastAsia" w:cstheme="minorEastAsia"/>
          <w:color w:val="auto"/>
          <w:kern w:val="0"/>
          <w:sz w:val="21"/>
          <w:szCs w:val="21"/>
          <w:highlight w:val="none"/>
        </w:rPr>
        <w:t>联系人：张先生</w:t>
      </w:r>
      <w:r>
        <w:rPr>
          <w:rFonts w:hint="eastAsia" w:asciiTheme="minorEastAsia" w:hAnsiTheme="minorEastAsia" w:eastAsiaTheme="minorEastAsia" w:cstheme="minorEastAsia"/>
          <w:color w:val="auto"/>
          <w:kern w:val="0"/>
          <w:sz w:val="21"/>
          <w:szCs w:val="21"/>
          <w:highlight w:val="none"/>
        </w:rPr>
        <w:br w:type="textWrapping"/>
      </w:r>
      <w:r>
        <w:rPr>
          <w:rFonts w:hint="eastAsia" w:asciiTheme="minorEastAsia" w:hAnsiTheme="minorEastAsia" w:eastAsiaTheme="minorEastAsia" w:cstheme="minorEastAsia"/>
          <w:color w:val="auto"/>
          <w:kern w:val="0"/>
          <w:sz w:val="21"/>
          <w:szCs w:val="21"/>
          <w:highlight w:val="none"/>
        </w:rPr>
        <w:t>联系方式：0376-5935027</w:t>
      </w:r>
    </w:p>
    <w:p w14:paraId="22F6455F">
      <w:pPr>
        <w:keepNext w:val="0"/>
        <w:keepLines w:val="0"/>
        <w:pageBreakBefore w:val="0"/>
        <w:widowControl/>
        <w:kinsoku/>
        <w:overflowPunct/>
        <w:topLinePunct w:val="0"/>
        <w:autoSpaceDE/>
        <w:autoSpaceDN/>
        <w:bidi w:val="0"/>
        <w:spacing w:line="360" w:lineRule="auto"/>
        <w:ind w:firstLine="422"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特别提示：供应商在线签到时，应如实准确的填写授权委托人的联系电话，开标当天请务必保证电话保持畅通。</w:t>
      </w:r>
    </w:p>
    <w:p w14:paraId="1DF2E15B">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八、凡对本次招标提出询问，请按照以下方式联系</w:t>
      </w:r>
    </w:p>
    <w:bookmarkEnd w:id="10"/>
    <w:p w14:paraId="3272BDD0">
      <w:pPr>
        <w:keepNext w:val="0"/>
        <w:keepLines w:val="0"/>
        <w:pageBreakBefore w:val="0"/>
        <w:widowControl/>
        <w:kinsoku/>
        <w:overflowPunct/>
        <w:topLinePunct w:val="0"/>
        <w:autoSpaceDE/>
        <w:autoSpaceDN/>
        <w:bidi w:val="0"/>
        <w:spacing w:line="360" w:lineRule="auto"/>
        <w:ind w:left="479" w:leftChars="228" w:firstLine="0" w:firstLineChars="0"/>
        <w:jc w:val="left"/>
        <w:textAlignment w:val="auto"/>
        <w:rPr>
          <w:rFonts w:hint="eastAsia" w:asciiTheme="minorEastAsia" w:hAnsiTheme="minorEastAsia" w:eastAsiaTheme="minorEastAsia" w:cstheme="minorEastAsia"/>
          <w:kern w:val="0"/>
          <w:sz w:val="21"/>
          <w:szCs w:val="21"/>
          <w:highlight w:val="none"/>
          <w:lang w:eastAsia="zh-CN"/>
        </w:rPr>
      </w:pPr>
      <w:r>
        <w:rPr>
          <w:rFonts w:hint="eastAsia" w:asciiTheme="minorEastAsia" w:hAnsiTheme="minorEastAsia" w:eastAsiaTheme="minorEastAsia" w:cstheme="minorEastAsia"/>
          <w:kern w:val="0"/>
          <w:sz w:val="21"/>
          <w:szCs w:val="21"/>
          <w:highlight w:val="none"/>
          <w:lang w:val="en-US" w:eastAsia="zh-CN"/>
        </w:rPr>
        <w:t>1.</w:t>
      </w:r>
      <w:r>
        <w:rPr>
          <w:rFonts w:hint="eastAsia" w:asciiTheme="minorEastAsia" w:hAnsiTheme="minorEastAsia" w:eastAsiaTheme="minorEastAsia" w:cstheme="minorEastAsia"/>
          <w:kern w:val="0"/>
          <w:sz w:val="21"/>
          <w:szCs w:val="21"/>
          <w:highlight w:val="none"/>
        </w:rPr>
        <w:t>采购人：</w:t>
      </w:r>
      <w:r>
        <w:rPr>
          <w:rFonts w:hint="eastAsia" w:asciiTheme="minorEastAsia" w:hAnsiTheme="minorEastAsia" w:eastAsiaTheme="minorEastAsia" w:cstheme="minorEastAsia"/>
          <w:kern w:val="0"/>
          <w:sz w:val="21"/>
          <w:szCs w:val="21"/>
          <w:highlight w:val="none"/>
          <w:lang w:eastAsia="zh-CN"/>
        </w:rPr>
        <w:t>息县公用事业服务中心</w:t>
      </w:r>
    </w:p>
    <w:p w14:paraId="150B8ECC">
      <w:pPr>
        <w:keepNext w:val="0"/>
        <w:keepLines w:val="0"/>
        <w:pageBreakBefore w:val="0"/>
        <w:widowControl/>
        <w:kinsoku/>
        <w:overflowPunct/>
        <w:topLinePunct w:val="0"/>
        <w:autoSpaceDE/>
        <w:autoSpaceDN/>
        <w:bidi w:val="0"/>
        <w:spacing w:line="360" w:lineRule="auto"/>
        <w:ind w:left="479" w:leftChars="228" w:firstLine="0" w:firstLineChars="0"/>
        <w:jc w:val="left"/>
        <w:textAlignment w:val="auto"/>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地址：</w:t>
      </w:r>
      <w:r>
        <w:rPr>
          <w:rFonts w:hint="eastAsia" w:asciiTheme="minorEastAsia" w:hAnsiTheme="minorEastAsia" w:eastAsiaTheme="minorEastAsia" w:cstheme="minorEastAsia"/>
          <w:kern w:val="0"/>
          <w:sz w:val="21"/>
          <w:szCs w:val="21"/>
          <w:highlight w:val="none"/>
          <w:lang w:val="en-US" w:eastAsia="zh-CN"/>
        </w:rPr>
        <w:t>河南省息县息州大道200号</w:t>
      </w:r>
    </w:p>
    <w:p w14:paraId="29CC2281">
      <w:pPr>
        <w:keepNext w:val="0"/>
        <w:keepLines w:val="0"/>
        <w:pageBreakBefore w:val="0"/>
        <w:widowControl/>
        <w:kinsoku/>
        <w:overflowPunct/>
        <w:topLinePunct w:val="0"/>
        <w:autoSpaceDE/>
        <w:autoSpaceDN/>
        <w:bidi w:val="0"/>
        <w:spacing w:line="360" w:lineRule="auto"/>
        <w:ind w:left="479" w:leftChars="228" w:firstLine="0" w:firstLineChars="0"/>
        <w:jc w:val="left"/>
        <w:textAlignment w:val="auto"/>
        <w:rPr>
          <w:rFonts w:hint="eastAsia" w:asciiTheme="minorEastAsia" w:hAnsiTheme="minorEastAsia" w:eastAsiaTheme="minorEastAsia" w:cstheme="minorEastAsia"/>
          <w:kern w:val="0"/>
          <w:sz w:val="21"/>
          <w:szCs w:val="21"/>
          <w:highlight w:val="none"/>
          <w:lang w:eastAsia="zh-CN"/>
        </w:rPr>
      </w:pPr>
      <w:r>
        <w:rPr>
          <w:rFonts w:hint="eastAsia" w:asciiTheme="minorEastAsia" w:hAnsiTheme="minorEastAsia" w:eastAsiaTheme="minorEastAsia" w:cstheme="minorEastAsia"/>
          <w:kern w:val="0"/>
          <w:sz w:val="21"/>
          <w:szCs w:val="21"/>
          <w:highlight w:val="none"/>
        </w:rPr>
        <w:t>联系人：</w:t>
      </w:r>
      <w:r>
        <w:rPr>
          <w:rFonts w:hint="eastAsia" w:asciiTheme="minorEastAsia" w:hAnsiTheme="minorEastAsia" w:eastAsiaTheme="minorEastAsia" w:cstheme="minorEastAsia"/>
          <w:kern w:val="0"/>
          <w:sz w:val="21"/>
          <w:szCs w:val="21"/>
          <w:highlight w:val="none"/>
          <w:lang w:val="en-US" w:eastAsia="zh-CN"/>
        </w:rPr>
        <w:t xml:space="preserve">周先生 </w:t>
      </w:r>
    </w:p>
    <w:p w14:paraId="4C4D36F6">
      <w:pPr>
        <w:keepNext w:val="0"/>
        <w:keepLines w:val="0"/>
        <w:pageBreakBefore w:val="0"/>
        <w:widowControl/>
        <w:kinsoku/>
        <w:overflowPunct/>
        <w:topLinePunct w:val="0"/>
        <w:autoSpaceDE/>
        <w:autoSpaceDN/>
        <w:bidi w:val="0"/>
        <w:spacing w:line="360" w:lineRule="auto"/>
        <w:ind w:left="479" w:leftChars="228" w:firstLine="0" w:firstLineChars="0"/>
        <w:jc w:val="left"/>
        <w:textAlignment w:val="auto"/>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联系电话：</w:t>
      </w:r>
      <w:r>
        <w:rPr>
          <w:rFonts w:hint="eastAsia" w:asciiTheme="minorEastAsia" w:hAnsiTheme="minorEastAsia" w:eastAsiaTheme="minorEastAsia" w:cstheme="minorEastAsia"/>
          <w:kern w:val="0"/>
          <w:sz w:val="21"/>
          <w:szCs w:val="21"/>
          <w:highlight w:val="none"/>
          <w:lang w:val="en-US" w:eastAsia="zh-CN"/>
        </w:rPr>
        <w:t xml:space="preserve">15839720346 </w:t>
      </w:r>
      <w:r>
        <w:rPr>
          <w:rFonts w:hint="eastAsia" w:asciiTheme="minorEastAsia" w:hAnsiTheme="minorEastAsia" w:eastAsiaTheme="minorEastAsia" w:cstheme="minorEastAsia"/>
          <w:kern w:val="0"/>
          <w:sz w:val="21"/>
          <w:szCs w:val="21"/>
          <w:highlight w:val="none"/>
        </w:rPr>
        <w:t xml:space="preserve">　 </w:t>
      </w:r>
      <w:bookmarkStart w:id="23" w:name="_Toc28359086"/>
      <w:bookmarkStart w:id="24" w:name="_Toc28359009"/>
    </w:p>
    <w:p w14:paraId="13B8D74C">
      <w:pPr>
        <w:keepNext w:val="0"/>
        <w:keepLines w:val="0"/>
        <w:pageBreakBefore w:val="0"/>
        <w:widowControl/>
        <w:kinsoku/>
        <w:overflowPunct/>
        <w:topLinePunct w:val="0"/>
        <w:autoSpaceDE/>
        <w:autoSpaceDN/>
        <w:bidi w:val="0"/>
        <w:spacing w:line="360" w:lineRule="auto"/>
        <w:ind w:left="479" w:leftChars="228" w:firstLine="0" w:firstLineChars="0"/>
        <w:jc w:val="left"/>
        <w:textAlignment w:val="auto"/>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2.采购代理机构信息</w:t>
      </w:r>
      <w:bookmarkEnd w:id="23"/>
      <w:bookmarkEnd w:id="24"/>
    </w:p>
    <w:p w14:paraId="3998AFC9">
      <w:pPr>
        <w:keepNext w:val="0"/>
        <w:keepLines w:val="0"/>
        <w:pageBreakBefore w:val="0"/>
        <w:widowControl/>
        <w:kinsoku/>
        <w:overflowPunct/>
        <w:topLinePunct w:val="0"/>
        <w:autoSpaceDE/>
        <w:autoSpaceDN/>
        <w:bidi w:val="0"/>
        <w:spacing w:line="360" w:lineRule="auto"/>
        <w:ind w:left="479" w:leftChars="228" w:firstLine="0" w:firstLineChars="0"/>
        <w:jc w:val="left"/>
        <w:textAlignment w:val="auto"/>
        <w:rPr>
          <w:rFonts w:hint="eastAsia" w:asciiTheme="minorEastAsia" w:hAnsiTheme="minorEastAsia" w:eastAsiaTheme="minorEastAsia" w:cstheme="minorEastAsia"/>
          <w:kern w:val="0"/>
          <w:sz w:val="21"/>
          <w:szCs w:val="21"/>
          <w:highlight w:val="none"/>
        </w:rPr>
      </w:pPr>
      <w:bookmarkStart w:id="25" w:name="_Toc23562"/>
      <w:bookmarkStart w:id="26" w:name="_Toc11498"/>
      <w:bookmarkStart w:id="27" w:name="_Toc31536"/>
      <w:bookmarkStart w:id="28" w:name="_Toc11475"/>
      <w:bookmarkStart w:id="29" w:name="_Toc17234"/>
      <w:bookmarkStart w:id="30" w:name="_Toc1399"/>
      <w:bookmarkStart w:id="31" w:name="_Toc17214"/>
      <w:bookmarkStart w:id="32" w:name="_Toc526"/>
      <w:bookmarkStart w:id="33" w:name="_Toc23604"/>
      <w:bookmarkStart w:id="34" w:name="_Toc118"/>
      <w:r>
        <w:rPr>
          <w:rFonts w:hint="eastAsia" w:asciiTheme="minorEastAsia" w:hAnsiTheme="minorEastAsia" w:eastAsiaTheme="minorEastAsia" w:cstheme="minorEastAsia"/>
          <w:kern w:val="0"/>
          <w:sz w:val="21"/>
          <w:szCs w:val="21"/>
          <w:highlight w:val="none"/>
        </w:rPr>
        <w:t>名称：河南欧瑞工程咨询有限公司</w:t>
      </w:r>
    </w:p>
    <w:p w14:paraId="30AF6F61">
      <w:pPr>
        <w:keepNext w:val="0"/>
        <w:keepLines w:val="0"/>
        <w:pageBreakBefore w:val="0"/>
        <w:widowControl/>
        <w:kinsoku/>
        <w:overflowPunct/>
        <w:topLinePunct w:val="0"/>
        <w:autoSpaceDE/>
        <w:autoSpaceDN/>
        <w:bidi w:val="0"/>
        <w:spacing w:line="360" w:lineRule="auto"/>
        <w:ind w:left="479" w:leftChars="228" w:firstLine="0" w:firstLineChars="0"/>
        <w:jc w:val="left"/>
        <w:textAlignment w:val="auto"/>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 xml:space="preserve">地址：河南自贸试验区郑州片区（郑东）地润路18号建业总部港A座8层803     </w:t>
      </w:r>
    </w:p>
    <w:p w14:paraId="74F2DFE5">
      <w:pPr>
        <w:keepNext w:val="0"/>
        <w:keepLines w:val="0"/>
        <w:pageBreakBefore w:val="0"/>
        <w:widowControl/>
        <w:kinsoku/>
        <w:overflowPunct/>
        <w:topLinePunct w:val="0"/>
        <w:autoSpaceDE/>
        <w:autoSpaceDN/>
        <w:bidi w:val="0"/>
        <w:spacing w:line="360" w:lineRule="auto"/>
        <w:ind w:left="479" w:leftChars="228" w:firstLine="0" w:firstLineChars="0"/>
        <w:jc w:val="left"/>
        <w:textAlignment w:val="auto"/>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联系人：纪志明、李键</w:t>
      </w:r>
    </w:p>
    <w:p w14:paraId="7151BC6C">
      <w:pPr>
        <w:keepNext w:val="0"/>
        <w:keepLines w:val="0"/>
        <w:pageBreakBefore w:val="0"/>
        <w:widowControl/>
        <w:kinsoku/>
        <w:overflowPunct/>
        <w:topLinePunct w:val="0"/>
        <w:autoSpaceDE/>
        <w:autoSpaceDN/>
        <w:bidi w:val="0"/>
        <w:spacing w:line="360" w:lineRule="auto"/>
        <w:ind w:left="479" w:leftChars="228" w:firstLine="0" w:firstLineChars="0"/>
        <w:jc w:val="left"/>
        <w:textAlignment w:val="auto"/>
        <w:rPr>
          <w:rFonts w:hint="eastAsia" w:asciiTheme="minorEastAsia" w:hAnsiTheme="minorEastAsia" w:eastAsiaTheme="minorEastAsia" w:cstheme="minorEastAsia"/>
          <w:kern w:val="0"/>
          <w:sz w:val="21"/>
          <w:szCs w:val="21"/>
          <w:highlight w:val="none"/>
        </w:rPr>
      </w:pPr>
      <w:bookmarkStart w:id="35" w:name="_Toc4529"/>
      <w:bookmarkStart w:id="36" w:name="_Toc7220"/>
      <w:bookmarkStart w:id="37" w:name="_Toc6355"/>
      <w:bookmarkStart w:id="38" w:name="_Toc15292"/>
      <w:bookmarkStart w:id="39" w:name="_Toc3654"/>
      <w:r>
        <w:rPr>
          <w:rFonts w:hint="eastAsia" w:asciiTheme="minorEastAsia" w:hAnsiTheme="minorEastAsia" w:eastAsiaTheme="minorEastAsia" w:cstheme="minorEastAsia"/>
          <w:kern w:val="0"/>
          <w:sz w:val="21"/>
          <w:szCs w:val="21"/>
          <w:highlight w:val="none"/>
        </w:rPr>
        <w:t>联系方式：</w:t>
      </w:r>
      <w:bookmarkEnd w:id="35"/>
      <w:bookmarkEnd w:id="36"/>
      <w:bookmarkEnd w:id="37"/>
      <w:bookmarkEnd w:id="38"/>
      <w:bookmarkEnd w:id="39"/>
      <w:r>
        <w:rPr>
          <w:rFonts w:hint="eastAsia" w:asciiTheme="minorEastAsia" w:hAnsiTheme="minorEastAsia" w:eastAsiaTheme="minorEastAsia" w:cstheme="minorEastAsia"/>
          <w:kern w:val="0"/>
          <w:sz w:val="21"/>
          <w:szCs w:val="21"/>
          <w:highlight w:val="none"/>
        </w:rPr>
        <w:t xml:space="preserve">18790295851、18838263153 </w:t>
      </w:r>
    </w:p>
    <w:bookmarkEnd w:id="25"/>
    <w:bookmarkEnd w:id="26"/>
    <w:bookmarkEnd w:id="27"/>
    <w:bookmarkEnd w:id="28"/>
    <w:bookmarkEnd w:id="29"/>
    <w:bookmarkEnd w:id="30"/>
    <w:bookmarkEnd w:id="31"/>
    <w:bookmarkEnd w:id="32"/>
    <w:bookmarkEnd w:id="33"/>
    <w:bookmarkEnd w:id="34"/>
    <w:p w14:paraId="606AF74D">
      <w:pPr>
        <w:keepNext w:val="0"/>
        <w:keepLines w:val="0"/>
        <w:pageBreakBefore w:val="0"/>
        <w:widowControl/>
        <w:kinsoku/>
        <w:overflowPunct/>
        <w:topLinePunct w:val="0"/>
        <w:autoSpaceDE/>
        <w:autoSpaceDN/>
        <w:bidi w:val="0"/>
        <w:spacing w:line="360" w:lineRule="auto"/>
        <w:ind w:left="479" w:leftChars="228" w:firstLine="0" w:firstLineChars="0"/>
        <w:jc w:val="left"/>
        <w:textAlignment w:val="auto"/>
        <w:rPr>
          <w:rFonts w:hint="eastAsia" w:asciiTheme="minorEastAsia" w:hAnsiTheme="minorEastAsia" w:eastAsiaTheme="minorEastAsia" w:cstheme="minorEastAsia"/>
          <w:kern w:val="0"/>
          <w:sz w:val="21"/>
          <w:szCs w:val="21"/>
          <w:highlight w:val="none"/>
        </w:rPr>
      </w:pPr>
      <w:bookmarkStart w:id="40" w:name="_Toc14153"/>
      <w:bookmarkStart w:id="41" w:name="_Toc24461"/>
      <w:bookmarkStart w:id="42" w:name="_Toc30706"/>
      <w:bookmarkStart w:id="43" w:name="_Toc25908"/>
      <w:bookmarkStart w:id="44" w:name="_Toc21152"/>
      <w:r>
        <w:rPr>
          <w:rFonts w:hint="eastAsia" w:asciiTheme="minorEastAsia" w:hAnsiTheme="minorEastAsia" w:eastAsiaTheme="minorEastAsia" w:cstheme="minorEastAsia"/>
          <w:kern w:val="0"/>
          <w:sz w:val="21"/>
          <w:szCs w:val="21"/>
          <w:highlight w:val="none"/>
        </w:rPr>
        <w:t>3.项目联系方式</w:t>
      </w:r>
      <w:bookmarkEnd w:id="40"/>
      <w:bookmarkEnd w:id="41"/>
      <w:bookmarkEnd w:id="42"/>
      <w:bookmarkEnd w:id="43"/>
      <w:bookmarkEnd w:id="44"/>
    </w:p>
    <w:p w14:paraId="6B0CC192">
      <w:pPr>
        <w:keepNext w:val="0"/>
        <w:keepLines w:val="0"/>
        <w:pageBreakBefore w:val="0"/>
        <w:widowControl/>
        <w:kinsoku/>
        <w:overflowPunct/>
        <w:topLinePunct w:val="0"/>
        <w:autoSpaceDE/>
        <w:autoSpaceDN/>
        <w:bidi w:val="0"/>
        <w:spacing w:line="360" w:lineRule="auto"/>
        <w:ind w:left="479" w:leftChars="228" w:firstLine="0" w:firstLineChars="0"/>
        <w:jc w:val="left"/>
        <w:textAlignment w:val="auto"/>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 xml:space="preserve">项目联系人：纪志明、李键    </w:t>
      </w:r>
    </w:p>
    <w:p w14:paraId="3C1E434C">
      <w:pPr>
        <w:keepNext w:val="0"/>
        <w:keepLines w:val="0"/>
        <w:pageBreakBefore w:val="0"/>
        <w:widowControl/>
        <w:kinsoku/>
        <w:overflowPunct/>
        <w:topLinePunct w:val="0"/>
        <w:autoSpaceDE/>
        <w:autoSpaceDN/>
        <w:bidi w:val="0"/>
        <w:spacing w:line="360" w:lineRule="auto"/>
        <w:ind w:left="479" w:leftChars="228" w:firstLine="0" w:firstLineChars="0"/>
        <w:jc w:val="left"/>
        <w:textAlignment w:val="auto"/>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电话：18790295851、18838263153</w:t>
      </w:r>
    </w:p>
    <w:p w14:paraId="4B6D9A85">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br w:type="page"/>
      </w:r>
    </w:p>
    <w:p w14:paraId="5CD50694">
      <w:pPr>
        <w:pStyle w:val="23"/>
        <w:keepNext w:val="0"/>
        <w:keepLines w:val="0"/>
        <w:pageBreakBefore w:val="0"/>
        <w:widowControl/>
        <w:tabs>
          <w:tab w:val="right" w:leader="underscore" w:pos="8296"/>
        </w:tabs>
        <w:kinsoku/>
        <w:wordWrap/>
        <w:overflowPunct/>
        <w:topLinePunct w:val="0"/>
        <w:autoSpaceDE/>
        <w:autoSpaceDN/>
        <w:bidi w:val="0"/>
        <w:adjustRightInd/>
        <w:snapToGrid/>
        <w:spacing w:after="0" w:afterLines="0" w:line="360" w:lineRule="auto"/>
        <w:ind w:left="0" w:leftChars="0" w:firstLine="0" w:firstLineChars="0"/>
        <w:jc w:val="center"/>
        <w:textAlignment w:val="auto"/>
        <w:outlineLvl w:val="0"/>
        <w:rPr>
          <w:rFonts w:hint="eastAsia" w:ascii="宋体" w:hAnsi="宋体" w:eastAsia="宋体" w:cs="宋体"/>
          <w:b/>
          <w:bCs/>
          <w:color w:val="auto"/>
          <w:sz w:val="32"/>
          <w:szCs w:val="32"/>
          <w:highlight w:val="none"/>
          <w:lang w:eastAsia="zh-CN"/>
        </w:rPr>
      </w:pPr>
      <w:bookmarkStart w:id="45" w:name="_Toc2303"/>
      <w:r>
        <w:rPr>
          <w:rFonts w:hint="eastAsia" w:ascii="宋体" w:hAnsi="宋体" w:eastAsia="宋体" w:cs="宋体"/>
          <w:b/>
          <w:bCs/>
          <w:color w:val="auto"/>
          <w:sz w:val="32"/>
          <w:szCs w:val="32"/>
          <w:highlight w:val="none"/>
          <w:lang w:eastAsia="zh-CN"/>
        </w:rPr>
        <w:t>第二章 供应商须知</w:t>
      </w:r>
      <w:bookmarkEnd w:id="11"/>
      <w:bookmarkEnd w:id="12"/>
      <w:bookmarkEnd w:id="13"/>
      <w:bookmarkEnd w:id="14"/>
      <w:bookmarkEnd w:id="15"/>
      <w:bookmarkEnd w:id="45"/>
    </w:p>
    <w:p w14:paraId="2E15CEE7">
      <w:pPr>
        <w:pStyle w:val="70"/>
        <w:keepNext/>
        <w:keepLines/>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bCs/>
          <w:color w:val="auto"/>
          <w:highlight w:val="none"/>
        </w:rPr>
      </w:pPr>
      <w:bookmarkStart w:id="46" w:name="_Toc16480"/>
      <w:bookmarkStart w:id="47" w:name="_Toc152042304"/>
      <w:bookmarkStart w:id="48" w:name="_Toc152045528"/>
      <w:bookmarkStart w:id="49" w:name="_Toc455080107"/>
      <w:bookmarkStart w:id="50" w:name="_Toc144974496"/>
      <w:bookmarkStart w:id="51" w:name="_Toc471"/>
      <w:bookmarkStart w:id="52" w:name="_Toc466298090"/>
      <w:bookmarkStart w:id="53" w:name="_Toc27072"/>
      <w:r>
        <w:rPr>
          <w:rFonts w:hint="eastAsia" w:ascii="宋体" w:hAnsi="宋体" w:eastAsia="宋体" w:cs="宋体"/>
          <w:b/>
          <w:bCs/>
          <w:color w:val="auto"/>
          <w:highlight w:val="none"/>
        </w:rPr>
        <w:t>供应商须知前附表</w:t>
      </w:r>
      <w:bookmarkEnd w:id="46"/>
      <w:bookmarkEnd w:id="47"/>
      <w:bookmarkEnd w:id="48"/>
      <w:bookmarkEnd w:id="49"/>
      <w:bookmarkEnd w:id="50"/>
      <w:bookmarkEnd w:id="51"/>
      <w:bookmarkEnd w:id="52"/>
      <w:bookmarkEnd w:id="53"/>
    </w:p>
    <w:tbl>
      <w:tblPr>
        <w:tblStyle w:val="28"/>
        <w:tblW w:w="8870" w:type="dxa"/>
        <w:jc w:val="center"/>
        <w:tblLayout w:type="fixed"/>
        <w:tblCellMar>
          <w:top w:w="0" w:type="dxa"/>
          <w:left w:w="108" w:type="dxa"/>
          <w:bottom w:w="0" w:type="dxa"/>
          <w:right w:w="108" w:type="dxa"/>
        </w:tblCellMar>
      </w:tblPr>
      <w:tblGrid>
        <w:gridCol w:w="1348"/>
        <w:gridCol w:w="1730"/>
        <w:gridCol w:w="5792"/>
      </w:tblGrid>
      <w:tr w14:paraId="78D75B21">
        <w:tblPrEx>
          <w:tblCellMar>
            <w:top w:w="0" w:type="dxa"/>
            <w:left w:w="108" w:type="dxa"/>
            <w:bottom w:w="0" w:type="dxa"/>
            <w:right w:w="108" w:type="dxa"/>
          </w:tblCellMar>
        </w:tblPrEx>
        <w:trPr>
          <w:trHeight w:val="3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7C6A2E60">
            <w:pPr>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条款号</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533D3C67">
            <w:pPr>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条款名称</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46EC0DFB">
            <w:pPr>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编  列  内  容</w:t>
            </w:r>
          </w:p>
        </w:tc>
      </w:tr>
      <w:tr w14:paraId="7251318D">
        <w:tblPrEx>
          <w:tblCellMar>
            <w:top w:w="0" w:type="dxa"/>
            <w:left w:w="108" w:type="dxa"/>
            <w:bottom w:w="0" w:type="dxa"/>
            <w:right w:w="108" w:type="dxa"/>
          </w:tblCellMar>
        </w:tblPrEx>
        <w:trPr>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398ED378">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03C89A51">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3F5456B8">
            <w:pPr>
              <w:pageBreakBefore w:val="0"/>
              <w:kinsoku/>
              <w:wordWrap/>
              <w:overflowPunct/>
              <w:topLinePunct w:val="0"/>
              <w:bidi w:val="0"/>
              <w:spacing w:line="360" w:lineRule="auto"/>
              <w:ind w:left="0" w:leftChars="0"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名称</w:t>
            </w:r>
            <w:r>
              <w:rPr>
                <w:rFonts w:hint="eastAsia" w:ascii="宋体" w:hAnsi="宋体" w:eastAsia="宋体" w:cs="宋体"/>
                <w:color w:val="auto"/>
                <w:szCs w:val="21"/>
                <w:highlight w:val="none"/>
                <w:lang w:eastAsia="zh-CN"/>
              </w:rPr>
              <w:t>：息县公用事业服务中心</w:t>
            </w:r>
          </w:p>
          <w:p w14:paraId="16F3E3C2">
            <w:pPr>
              <w:pageBreakBefore w:val="0"/>
              <w:kinsoku/>
              <w:wordWrap/>
              <w:overflowPunct/>
              <w:topLinePunct w:val="0"/>
              <w:bidi w:val="0"/>
              <w:spacing w:line="360" w:lineRule="auto"/>
              <w:ind w:left="0" w:leftChars="0"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地址：</w:t>
            </w:r>
            <w:r>
              <w:rPr>
                <w:rFonts w:hint="eastAsia" w:ascii="宋体" w:hAnsi="宋体" w:eastAsia="宋体" w:cs="宋体"/>
                <w:color w:val="auto"/>
                <w:szCs w:val="21"/>
                <w:highlight w:val="none"/>
                <w:lang w:val="en-US" w:eastAsia="zh-CN"/>
              </w:rPr>
              <w:t>河南省息县息州大道200号</w:t>
            </w:r>
          </w:p>
          <w:p w14:paraId="25ACA5C5">
            <w:pPr>
              <w:pageBreakBefore w:val="0"/>
              <w:kinsoku/>
              <w:wordWrap/>
              <w:overflowPunct/>
              <w:topLinePunct w:val="0"/>
              <w:bidi w:val="0"/>
              <w:spacing w:line="360" w:lineRule="auto"/>
              <w:ind w:left="0" w:leftChars="0"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联系人：</w:t>
            </w:r>
            <w:r>
              <w:rPr>
                <w:rFonts w:hint="eastAsia" w:ascii="宋体" w:hAnsi="宋体" w:eastAsia="宋体" w:cs="宋体"/>
                <w:color w:val="auto"/>
                <w:szCs w:val="21"/>
                <w:highlight w:val="none"/>
                <w:lang w:val="en-US" w:eastAsia="zh-CN"/>
              </w:rPr>
              <w:t xml:space="preserve">周先生 </w:t>
            </w:r>
          </w:p>
          <w:p w14:paraId="31E13AFE">
            <w:pPr>
              <w:pageBreakBefore w:val="0"/>
              <w:kinsoku/>
              <w:wordWrap/>
              <w:overflowPunct/>
              <w:topLinePunct w:val="0"/>
              <w:bidi w:val="0"/>
              <w:spacing w:line="360" w:lineRule="auto"/>
              <w:ind w:left="0" w:leftChars="0"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联系电话：</w:t>
            </w:r>
            <w:r>
              <w:rPr>
                <w:rFonts w:hint="eastAsia" w:ascii="宋体" w:hAnsi="宋体" w:eastAsia="宋体" w:cs="宋体"/>
                <w:color w:val="auto"/>
                <w:szCs w:val="21"/>
                <w:highlight w:val="none"/>
                <w:lang w:val="en-US" w:eastAsia="zh-CN"/>
              </w:rPr>
              <w:t>15839720346</w:t>
            </w:r>
          </w:p>
        </w:tc>
      </w:tr>
      <w:tr w14:paraId="4D7ADF84">
        <w:tblPrEx>
          <w:tblCellMar>
            <w:top w:w="0" w:type="dxa"/>
            <w:left w:w="108" w:type="dxa"/>
            <w:bottom w:w="0" w:type="dxa"/>
            <w:right w:w="108" w:type="dxa"/>
          </w:tblCellMar>
        </w:tblPrEx>
        <w:trPr>
          <w:trHeight w:val="1745"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3780AAB6">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10413416">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采购代理机构</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3B5032FA">
            <w:pPr>
              <w:pageBreakBefore w:val="0"/>
              <w:kinsoku/>
              <w:wordWrap/>
              <w:overflowPunct/>
              <w:topLinePunct w:val="0"/>
              <w:bidi w:val="0"/>
              <w:spacing w:line="36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名称：河南欧瑞工程咨询有限公司</w:t>
            </w:r>
          </w:p>
          <w:p w14:paraId="7A7943F1">
            <w:pPr>
              <w:pageBreakBefore w:val="0"/>
              <w:kinsoku/>
              <w:wordWrap/>
              <w:overflowPunct/>
              <w:topLinePunct w:val="0"/>
              <w:bidi w:val="0"/>
              <w:spacing w:line="36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地址：河南自贸试验区郑州片区（郑东）地润路18号建业总部港A座8层803     </w:t>
            </w:r>
          </w:p>
          <w:p w14:paraId="5DDFF0AE">
            <w:pPr>
              <w:pageBreakBefore w:val="0"/>
              <w:kinsoku/>
              <w:wordWrap/>
              <w:overflowPunct/>
              <w:topLinePunct w:val="0"/>
              <w:bidi w:val="0"/>
              <w:spacing w:line="36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联系人：纪志明、李键</w:t>
            </w:r>
          </w:p>
          <w:p w14:paraId="5C95FD6B">
            <w:pPr>
              <w:pageBreakBefore w:val="0"/>
              <w:kinsoku/>
              <w:wordWrap/>
              <w:overflowPunct/>
              <w:topLinePunct w:val="0"/>
              <w:bidi w:val="0"/>
              <w:spacing w:line="36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联系方式：18790295851、18838263153 </w:t>
            </w:r>
          </w:p>
        </w:tc>
      </w:tr>
      <w:tr w14:paraId="06D27CC2">
        <w:tblPrEx>
          <w:tblCellMar>
            <w:top w:w="0" w:type="dxa"/>
            <w:left w:w="108" w:type="dxa"/>
            <w:bottom w:w="0" w:type="dxa"/>
            <w:right w:w="108" w:type="dxa"/>
          </w:tblCellMar>
        </w:tblPrEx>
        <w:trPr>
          <w:trHeight w:val="561"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3737D071">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1.2.3</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18E9EDB3">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6460D336">
            <w:pPr>
              <w:spacing w:line="360" w:lineRule="auto"/>
              <w:ind w:left="0" w:leftChars="0"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息县公用事业服务中心污水处理厂环保设备维修服务采购项目</w:t>
            </w:r>
          </w:p>
        </w:tc>
      </w:tr>
      <w:tr w14:paraId="461CC4B3">
        <w:tblPrEx>
          <w:tblCellMar>
            <w:top w:w="0" w:type="dxa"/>
            <w:left w:w="108" w:type="dxa"/>
            <w:bottom w:w="0" w:type="dxa"/>
            <w:right w:w="108" w:type="dxa"/>
          </w:tblCellMar>
        </w:tblPrEx>
        <w:trPr>
          <w:trHeight w:val="5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1655CD66">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1.2.4</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591EA0F3">
            <w:pPr>
              <w:pageBreakBefore w:val="0"/>
              <w:kinsoku/>
              <w:wordWrap/>
              <w:overflowPunct/>
              <w:topLinePunct w:val="0"/>
              <w:autoSpaceDE w:val="0"/>
              <w:autoSpaceDN w:val="0"/>
              <w:bidi w:val="0"/>
              <w:adjustRightInd w:val="0"/>
              <w:spacing w:line="360" w:lineRule="auto"/>
              <w:ind w:left="0" w:leftChars="0" w:right="35" w:rightChars="0" w:firstLine="0" w:firstLineChars="0"/>
              <w:jc w:val="center"/>
              <w:rPr>
                <w:rFonts w:hint="eastAsia" w:ascii="宋体" w:hAnsi="宋体" w:eastAsia="宋体" w:cs="宋体"/>
                <w:color w:val="auto"/>
                <w:spacing w:val="1"/>
                <w:kern w:val="0"/>
                <w:sz w:val="21"/>
                <w:szCs w:val="21"/>
                <w:highlight w:val="none"/>
                <w:lang w:val="en-US" w:eastAsia="zh-CN" w:bidi="ar-SA"/>
              </w:rPr>
            </w:pPr>
            <w:r>
              <w:rPr>
                <w:rFonts w:hint="eastAsia" w:ascii="宋体" w:hAnsi="宋体" w:eastAsia="宋体" w:cs="宋体"/>
                <w:color w:val="auto"/>
                <w:spacing w:val="1"/>
                <w:kern w:val="0"/>
                <w:sz w:val="21"/>
                <w:szCs w:val="21"/>
                <w:highlight w:val="none"/>
                <w:lang w:eastAsia="zh-CN"/>
              </w:rPr>
              <w:t>采购</w:t>
            </w:r>
            <w:r>
              <w:rPr>
                <w:rFonts w:hint="eastAsia" w:ascii="宋体" w:hAnsi="宋体" w:eastAsia="宋体" w:cs="宋体"/>
                <w:color w:val="auto"/>
                <w:spacing w:val="1"/>
                <w:kern w:val="0"/>
                <w:sz w:val="21"/>
                <w:szCs w:val="21"/>
                <w:highlight w:val="none"/>
              </w:rPr>
              <w:t>方式</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688A8422">
            <w:pPr>
              <w:pageBreakBefore w:val="0"/>
              <w:kinsoku/>
              <w:wordWrap/>
              <w:overflowPunct/>
              <w:topLinePunct w:val="0"/>
              <w:autoSpaceDE w:val="0"/>
              <w:autoSpaceDN w:val="0"/>
              <w:bidi w:val="0"/>
              <w:adjustRightInd w:val="0"/>
              <w:spacing w:line="360" w:lineRule="auto"/>
              <w:ind w:left="0" w:leftChars="0" w:firstLine="0" w:firstLineChars="0"/>
              <w:jc w:val="left"/>
              <w:rPr>
                <w:rFonts w:hint="eastAsia" w:ascii="宋体" w:hAnsi="宋体" w:eastAsia="宋体" w:cs="宋体"/>
                <w:color w:val="auto"/>
                <w:spacing w:val="1"/>
                <w:kern w:val="0"/>
                <w:sz w:val="21"/>
                <w:szCs w:val="21"/>
                <w:highlight w:val="none"/>
                <w:lang w:val="en-US" w:eastAsia="zh-CN" w:bidi="ar-SA"/>
              </w:rPr>
            </w:pPr>
            <w:r>
              <w:rPr>
                <w:rFonts w:hint="eastAsia" w:ascii="宋体" w:hAnsi="宋体" w:eastAsia="宋体" w:cs="宋体"/>
                <w:color w:val="auto"/>
                <w:spacing w:val="1"/>
                <w:kern w:val="0"/>
                <w:sz w:val="21"/>
                <w:szCs w:val="21"/>
                <w:highlight w:val="none"/>
                <w:lang w:val="en-US" w:eastAsia="zh-CN" w:bidi="ar-SA"/>
              </w:rPr>
              <w:t>竞争性磋商</w:t>
            </w:r>
          </w:p>
        </w:tc>
      </w:tr>
      <w:tr w14:paraId="0FDAF438">
        <w:tblPrEx>
          <w:tblCellMar>
            <w:top w:w="0" w:type="dxa"/>
            <w:left w:w="108" w:type="dxa"/>
            <w:bottom w:w="0" w:type="dxa"/>
            <w:right w:w="108" w:type="dxa"/>
          </w:tblCellMar>
        </w:tblPrEx>
        <w:trPr>
          <w:trHeight w:val="5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57C81C03">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1.2.5</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0B0EB94A">
            <w:pPr>
              <w:pageBreakBefore w:val="0"/>
              <w:kinsoku/>
              <w:wordWrap/>
              <w:overflowPunct/>
              <w:topLinePunct w:val="0"/>
              <w:autoSpaceDE w:val="0"/>
              <w:autoSpaceDN w:val="0"/>
              <w:bidi w:val="0"/>
              <w:adjustRightInd w:val="0"/>
              <w:spacing w:line="360" w:lineRule="auto"/>
              <w:ind w:left="0" w:leftChars="0" w:firstLine="0" w:firstLineChars="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eastAsia="zh-CN"/>
              </w:rPr>
              <w:t>预算价（</w:t>
            </w:r>
            <w:r>
              <w:rPr>
                <w:rFonts w:hint="eastAsia" w:ascii="宋体" w:hAnsi="宋体" w:eastAsia="宋体" w:cs="宋体"/>
                <w:b w:val="0"/>
                <w:bCs w:val="0"/>
                <w:color w:val="auto"/>
                <w:sz w:val="21"/>
                <w:szCs w:val="21"/>
                <w:highlight w:val="none"/>
                <w:lang w:val="en-US" w:eastAsia="zh-CN"/>
              </w:rPr>
              <w:t>最高限价</w:t>
            </w:r>
            <w:r>
              <w:rPr>
                <w:rFonts w:hint="eastAsia" w:ascii="宋体" w:hAnsi="宋体" w:eastAsia="宋体" w:cs="宋体"/>
                <w:b w:val="0"/>
                <w:bCs w:val="0"/>
                <w:color w:val="auto"/>
                <w:kern w:val="0"/>
                <w:sz w:val="21"/>
                <w:szCs w:val="21"/>
                <w:highlight w:val="none"/>
                <w:lang w:eastAsia="zh-CN"/>
              </w:rPr>
              <w:t>）</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46E9F00B">
            <w:pPr>
              <w:keepNext w:val="0"/>
              <w:keepLines w:val="0"/>
              <w:pageBreakBefore w:val="0"/>
              <w:widowControl w:val="0"/>
              <w:kinsoku/>
              <w:wordWrap/>
              <w:overflowPunct/>
              <w:topLinePunct w:val="0"/>
              <w:bidi w:val="0"/>
              <w:snapToGrid/>
              <w:spacing w:line="360" w:lineRule="auto"/>
              <w:ind w:left="0" w:leftChars="0" w:firstLine="0" w:firstLineChars="0"/>
              <w:textAlignment w:val="auto"/>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包1：息县污水处理厂机械设备维修服务，预算（最高限价）金额：1200000元</w:t>
            </w:r>
          </w:p>
          <w:p w14:paraId="58A658B7">
            <w:pPr>
              <w:keepNext w:val="0"/>
              <w:keepLines w:val="0"/>
              <w:pageBreakBefore w:val="0"/>
              <w:widowControl w:val="0"/>
              <w:kinsoku/>
              <w:wordWrap/>
              <w:overflowPunct/>
              <w:topLinePunct w:val="0"/>
              <w:bidi w:val="0"/>
              <w:snapToGrid/>
              <w:spacing w:line="360" w:lineRule="auto"/>
              <w:ind w:left="0" w:leftChars="0" w:firstLine="0" w:firstLineChars="0"/>
              <w:textAlignment w:val="auto"/>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包2：息县污水处理厂自控化设备维修服务，预算（最高限价）金额：300000元</w:t>
            </w:r>
          </w:p>
          <w:p w14:paraId="7D1653C7">
            <w:pPr>
              <w:keepNext w:val="0"/>
              <w:keepLines w:val="0"/>
              <w:pageBreakBefore w:val="0"/>
              <w:widowControl w:val="0"/>
              <w:kinsoku/>
              <w:wordWrap/>
              <w:overflowPunct/>
              <w:topLinePunct w:val="0"/>
              <w:bidi w:val="0"/>
              <w:snapToGrid/>
              <w:spacing w:line="360" w:lineRule="auto"/>
              <w:ind w:left="0" w:leftChars="0" w:firstLine="0" w:firstLineChars="0"/>
              <w:textAlignment w:val="auto"/>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各包最高限价：以实际发生的综合服务单价100%据实结算（单价合同，按需采购，以采购人实际需求服务量为准）。</w:t>
            </w:r>
          </w:p>
          <w:p w14:paraId="0ED1C970">
            <w:pPr>
              <w:keepNext w:val="0"/>
              <w:keepLines w:val="0"/>
              <w:pageBreakBefore w:val="0"/>
              <w:widowControl w:val="0"/>
              <w:kinsoku/>
              <w:wordWrap/>
              <w:overflowPunct/>
              <w:topLinePunct w:val="0"/>
              <w:bidi w:val="0"/>
              <w:snapToGrid/>
              <w:spacing w:line="360" w:lineRule="auto"/>
              <w:ind w:left="0" w:leftChars="0" w:firstLine="0" w:firstLineChars="0"/>
              <w:textAlignment w:val="auto"/>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供应商投标报价高于最高限价，按废标处理。</w:t>
            </w:r>
          </w:p>
        </w:tc>
      </w:tr>
      <w:tr w14:paraId="5060B266">
        <w:tblPrEx>
          <w:tblCellMar>
            <w:top w:w="0" w:type="dxa"/>
            <w:left w:w="108" w:type="dxa"/>
            <w:bottom w:w="0" w:type="dxa"/>
            <w:right w:w="108" w:type="dxa"/>
          </w:tblCellMar>
        </w:tblPrEx>
        <w:trPr>
          <w:trHeight w:val="5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46C128EC">
            <w:pPr>
              <w:adjustRightInd w:val="0"/>
              <w:spacing w:line="360" w:lineRule="auto"/>
              <w:ind w:left="0" w:leftChars="0" w:firstLine="0" w:firstLineChars="0"/>
              <w:jc w:val="center"/>
              <w:textAlignment w:val="baseline"/>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1.2.6</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3D9DE81D">
            <w:pPr>
              <w:pageBreakBefore w:val="0"/>
              <w:kinsoku/>
              <w:wordWrap/>
              <w:overflowPunct/>
              <w:topLinePunct w:val="0"/>
              <w:autoSpaceDE w:val="0"/>
              <w:autoSpaceDN w:val="0"/>
              <w:bidi w:val="0"/>
              <w:adjustRightInd w:val="0"/>
              <w:spacing w:line="360" w:lineRule="auto"/>
              <w:ind w:left="0" w:leftChars="0" w:right="35" w:rightChars="0" w:firstLine="0" w:firstLineChars="0"/>
              <w:jc w:val="center"/>
              <w:rPr>
                <w:rFonts w:hint="default" w:ascii="宋体" w:hAnsi="宋体" w:eastAsia="宋体" w:cs="宋体"/>
                <w:color w:val="auto"/>
                <w:spacing w:val="1"/>
                <w:kern w:val="0"/>
                <w:sz w:val="21"/>
                <w:szCs w:val="21"/>
                <w:highlight w:val="none"/>
                <w:lang w:eastAsia="zh-CN"/>
              </w:rPr>
            </w:pPr>
            <w:r>
              <w:rPr>
                <w:rFonts w:hint="eastAsia" w:ascii="宋体" w:hAnsi="宋体" w:eastAsia="宋体" w:cs="宋体"/>
                <w:color w:val="auto"/>
                <w:spacing w:val="1"/>
                <w:kern w:val="0"/>
                <w:sz w:val="21"/>
                <w:szCs w:val="21"/>
                <w:highlight w:val="none"/>
                <w:lang w:eastAsia="zh-CN"/>
              </w:rPr>
              <w:t>落实政府采购</w:t>
            </w:r>
          </w:p>
          <w:p w14:paraId="1527780D">
            <w:pPr>
              <w:pageBreakBefore w:val="0"/>
              <w:kinsoku/>
              <w:wordWrap/>
              <w:overflowPunct/>
              <w:topLinePunct w:val="0"/>
              <w:autoSpaceDE w:val="0"/>
              <w:autoSpaceDN w:val="0"/>
              <w:bidi w:val="0"/>
              <w:adjustRightInd w:val="0"/>
              <w:spacing w:line="360" w:lineRule="auto"/>
              <w:ind w:left="0" w:leftChars="0" w:right="35" w:rightChars="0" w:firstLine="0" w:firstLineChars="0"/>
              <w:jc w:val="center"/>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color w:val="auto"/>
                <w:spacing w:val="1"/>
                <w:kern w:val="0"/>
                <w:sz w:val="21"/>
                <w:szCs w:val="21"/>
                <w:highlight w:val="none"/>
                <w:lang w:eastAsia="zh-CN"/>
              </w:rPr>
              <w:t>政策要求</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0407FDE9">
            <w:pPr>
              <w:keepNext w:val="0"/>
              <w:keepLines w:val="0"/>
              <w:pageBreakBefore w:val="0"/>
              <w:widowControl w:val="0"/>
              <w:kinsoku/>
              <w:wordWrap/>
              <w:overflowPunct/>
              <w:topLinePunct w:val="0"/>
              <w:bidi w:val="0"/>
              <w:snapToGrid/>
              <w:spacing w:line="360" w:lineRule="auto"/>
              <w:ind w:left="0" w:leftChars="0" w:firstLine="0" w:firstLineChars="0"/>
              <w:textAlignment w:val="auto"/>
              <w:rPr>
                <w:rFonts w:hint="default" w:ascii="宋体" w:hAnsi="宋体" w:eastAsia="宋体" w:cs="宋体"/>
                <w:b w:val="0"/>
                <w:bCs w:val="0"/>
                <w:color w:val="auto"/>
                <w:kern w:val="0"/>
                <w:szCs w:val="21"/>
                <w:highlight w:val="none"/>
                <w:lang w:eastAsia="zh-CN"/>
              </w:rPr>
            </w:pPr>
            <w:r>
              <w:rPr>
                <w:rFonts w:hint="eastAsia" w:ascii="宋体" w:hAnsi="宋体" w:eastAsia="宋体" w:cs="宋体"/>
                <w:b w:val="0"/>
                <w:bCs w:val="0"/>
                <w:color w:val="auto"/>
                <w:kern w:val="0"/>
                <w:szCs w:val="21"/>
                <w:highlight w:val="none"/>
                <w:lang w:eastAsia="zh-CN"/>
              </w:rPr>
              <w:t>□专门面向中小企业</w:t>
            </w:r>
          </w:p>
          <w:p w14:paraId="709289B4">
            <w:pPr>
              <w:keepNext w:val="0"/>
              <w:keepLines w:val="0"/>
              <w:pageBreakBefore w:val="0"/>
              <w:widowControl w:val="0"/>
              <w:kinsoku/>
              <w:wordWrap/>
              <w:overflowPunct/>
              <w:topLinePunct w:val="0"/>
              <w:bidi w:val="0"/>
              <w:snapToGrid/>
              <w:spacing w:line="360" w:lineRule="auto"/>
              <w:ind w:left="0" w:leftChars="0" w:firstLine="0" w:firstLineChars="0"/>
              <w:textAlignment w:val="auto"/>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auto"/>
                <w:kern w:val="0"/>
                <w:szCs w:val="21"/>
                <w:highlight w:val="none"/>
                <w:lang w:eastAsia="zh-CN"/>
              </w:rPr>
              <w:t>☑非专门面向中小企业</w:t>
            </w:r>
          </w:p>
        </w:tc>
      </w:tr>
      <w:tr w14:paraId="45E6CE4B">
        <w:tblPrEx>
          <w:tblCellMar>
            <w:top w:w="0" w:type="dxa"/>
            <w:left w:w="108" w:type="dxa"/>
            <w:bottom w:w="0" w:type="dxa"/>
            <w:right w:w="108" w:type="dxa"/>
          </w:tblCellMar>
        </w:tblPrEx>
        <w:trPr>
          <w:trHeight w:val="5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234FCBAF">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1.4.1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CC7D559">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lang w:val="en-US" w:eastAsia="zh-CN"/>
              </w:rPr>
            </w:pPr>
            <w:r>
              <w:rPr>
                <w:rFonts w:hint="eastAsia" w:ascii="宋体" w:hAnsi="宋体" w:eastAsia="宋体" w:cs="宋体"/>
                <w:kern w:val="0"/>
                <w:szCs w:val="21"/>
                <w:highlight w:val="none"/>
              </w:rPr>
              <w:t>采购内容</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30E91FCF">
            <w:pPr>
              <w:spacing w:line="36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对息县三座污水处理厂环保设备（潜污泵、潜水推进器、鼓风机、脱泥设备、自控系统、电力系统等）进行维修服务。</w:t>
            </w:r>
          </w:p>
          <w:p w14:paraId="0BA1C98A">
            <w:pPr>
              <w:spacing w:line="36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包1：息县三座污水处理厂机械设备维修服务。</w:t>
            </w:r>
          </w:p>
          <w:p w14:paraId="36184F9D">
            <w:pPr>
              <w:spacing w:line="360" w:lineRule="auto"/>
              <w:ind w:left="0" w:leftChars="0"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包2：息县三座污水处理厂自控化设备维修服务。</w:t>
            </w:r>
          </w:p>
        </w:tc>
      </w:tr>
      <w:tr w14:paraId="47ABF535">
        <w:tblPrEx>
          <w:tblCellMar>
            <w:top w:w="0" w:type="dxa"/>
            <w:left w:w="108" w:type="dxa"/>
            <w:bottom w:w="0" w:type="dxa"/>
            <w:right w:w="108" w:type="dxa"/>
          </w:tblCellMar>
        </w:tblPrEx>
        <w:trPr>
          <w:trHeight w:val="4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18A667F4">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1.4.2</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39E7E115">
            <w:pPr>
              <w:spacing w:line="360" w:lineRule="auto"/>
              <w:ind w:left="0" w:leftChars="0" w:firstLine="0" w:firstLine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服务期限</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1A71F78A">
            <w:p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合同签订之日起一年，合同到期后，根据实际需要，可适当延长服务周期。</w:t>
            </w:r>
          </w:p>
        </w:tc>
      </w:tr>
      <w:tr w14:paraId="20C22214">
        <w:tblPrEx>
          <w:tblCellMar>
            <w:top w:w="0" w:type="dxa"/>
            <w:left w:w="108" w:type="dxa"/>
            <w:bottom w:w="0" w:type="dxa"/>
            <w:right w:w="108" w:type="dxa"/>
          </w:tblCellMar>
        </w:tblPrEx>
        <w:trPr>
          <w:trHeight w:val="642"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6B87062E">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1.4.</w:t>
            </w:r>
            <w:r>
              <w:rPr>
                <w:rFonts w:hint="eastAsia" w:ascii="宋体" w:hAnsi="宋体" w:eastAsia="宋体" w:cs="宋体"/>
                <w:color w:val="auto"/>
                <w:szCs w:val="21"/>
                <w:highlight w:val="none"/>
                <w:lang w:val="en-US" w:eastAsia="zh-CN"/>
              </w:rPr>
              <w:t>3</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165D4A5E">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服务要求</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37B3ED69">
            <w:pPr>
              <w:spacing w:line="360" w:lineRule="auto"/>
              <w:ind w:left="0" w:leftChars="0"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符合国家现行规范标准及行业最新规定，且满足采购人要求。</w:t>
            </w:r>
          </w:p>
        </w:tc>
      </w:tr>
      <w:tr w14:paraId="6F1CF954">
        <w:tblPrEx>
          <w:tblCellMar>
            <w:top w:w="0" w:type="dxa"/>
            <w:left w:w="108" w:type="dxa"/>
            <w:bottom w:w="0" w:type="dxa"/>
            <w:right w:w="108" w:type="dxa"/>
          </w:tblCellMar>
        </w:tblPrEx>
        <w:trPr>
          <w:trHeight w:val="642"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23B8595E">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1.4.</w:t>
            </w:r>
            <w:r>
              <w:rPr>
                <w:rFonts w:hint="eastAsia" w:ascii="宋体" w:hAnsi="宋体" w:eastAsia="宋体" w:cs="宋体"/>
                <w:color w:val="auto"/>
                <w:szCs w:val="21"/>
                <w:highlight w:val="none"/>
                <w:lang w:val="en-US" w:eastAsia="zh-CN"/>
              </w:rPr>
              <w:t>4</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4CCE319D">
            <w:pPr>
              <w:spacing w:line="36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服务地点</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10D2CE5A">
            <w:pPr>
              <w:spacing w:line="360" w:lineRule="auto"/>
              <w:ind w:left="0" w:leftChars="0"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采购人指定地点</w:t>
            </w:r>
          </w:p>
        </w:tc>
      </w:tr>
      <w:tr w14:paraId="041CF78F">
        <w:tblPrEx>
          <w:tblCellMar>
            <w:top w:w="0" w:type="dxa"/>
            <w:left w:w="108" w:type="dxa"/>
            <w:bottom w:w="0" w:type="dxa"/>
            <w:right w:w="108" w:type="dxa"/>
          </w:tblCellMar>
        </w:tblPrEx>
        <w:trPr>
          <w:trHeight w:val="5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3A5C68F1">
            <w:pPr>
              <w:adjustRightInd w:val="0"/>
              <w:spacing w:line="360" w:lineRule="auto"/>
              <w:ind w:left="0" w:leftChars="0" w:firstLine="0" w:firstLineChars="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1.4.5</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59F5A373">
            <w:pPr>
              <w:pageBreakBefore w:val="0"/>
              <w:kinsoku/>
              <w:wordWrap/>
              <w:overflowPunct/>
              <w:topLinePunct w:val="0"/>
              <w:bidi w:val="0"/>
              <w:spacing w:line="360" w:lineRule="auto"/>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资金来源</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2F39A810">
            <w:pPr>
              <w:pageBreakBefore w:val="0"/>
              <w:kinsoku/>
              <w:wordWrap/>
              <w:overflowPunct/>
              <w:topLinePunct w:val="0"/>
              <w:bidi w:val="0"/>
              <w:spacing w:line="36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财政资金，已落实</w:t>
            </w:r>
          </w:p>
        </w:tc>
      </w:tr>
      <w:tr w14:paraId="5463A108">
        <w:tblPrEx>
          <w:tblCellMar>
            <w:top w:w="0" w:type="dxa"/>
            <w:left w:w="108" w:type="dxa"/>
            <w:bottom w:w="0" w:type="dxa"/>
            <w:right w:w="108" w:type="dxa"/>
          </w:tblCellMar>
        </w:tblPrEx>
        <w:trPr>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136A37AE">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85FEE1A">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供应商资质条件及能力要求</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1E832470">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详见磋商公告</w:t>
            </w:r>
          </w:p>
        </w:tc>
      </w:tr>
      <w:tr w14:paraId="39A9B401">
        <w:tblPrEx>
          <w:tblCellMar>
            <w:top w:w="0" w:type="dxa"/>
            <w:left w:w="108" w:type="dxa"/>
            <w:bottom w:w="0" w:type="dxa"/>
            <w:right w:w="108" w:type="dxa"/>
          </w:tblCellMar>
        </w:tblPrEx>
        <w:trPr>
          <w:trHeight w:val="3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6DAEB72B">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56E43638">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5EA8FB74">
            <w:pPr>
              <w:pStyle w:val="12"/>
              <w:topLinePunct/>
              <w:adjustRightInd w:val="0"/>
              <w:spacing w:line="360" w:lineRule="auto"/>
              <w:ind w:left="0" w:leftChars="0" w:firstLine="0" w:firstLineChars="0"/>
              <w:jc w:val="left"/>
              <w:textAlignment w:val="baseline"/>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不接受</w:t>
            </w:r>
          </w:p>
        </w:tc>
      </w:tr>
      <w:tr w14:paraId="6C3710CF">
        <w:tblPrEx>
          <w:tblCellMar>
            <w:top w:w="0" w:type="dxa"/>
            <w:left w:w="108" w:type="dxa"/>
            <w:bottom w:w="0" w:type="dxa"/>
            <w:right w:w="108" w:type="dxa"/>
          </w:tblCellMar>
        </w:tblPrEx>
        <w:trPr>
          <w:trHeight w:val="56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312BDF95">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1.10</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FC18EBA">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现场踏勘</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7B4B8B94">
            <w:pPr>
              <w:pStyle w:val="12"/>
              <w:topLinePunct/>
              <w:adjustRightInd w:val="0"/>
              <w:spacing w:line="360" w:lineRule="auto"/>
              <w:ind w:left="0" w:leftChars="0" w:firstLine="0" w:firstLineChars="0"/>
              <w:jc w:val="left"/>
              <w:textAlignment w:val="baseline"/>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自行踏勘</w:t>
            </w:r>
          </w:p>
        </w:tc>
      </w:tr>
      <w:tr w14:paraId="1EAE3ADF">
        <w:tblPrEx>
          <w:tblCellMar>
            <w:top w:w="0" w:type="dxa"/>
            <w:left w:w="108" w:type="dxa"/>
            <w:bottom w:w="0" w:type="dxa"/>
            <w:right w:w="108" w:type="dxa"/>
          </w:tblCellMar>
        </w:tblPrEx>
        <w:trPr>
          <w:trHeight w:val="564"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6530BC97">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1.11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61C07FF5">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分包</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2812A5B6">
            <w:pPr>
              <w:pStyle w:val="12"/>
              <w:topLinePunct/>
              <w:adjustRightInd w:val="0"/>
              <w:spacing w:line="360" w:lineRule="auto"/>
              <w:ind w:left="0" w:leftChars="0" w:firstLine="0" w:firstLineChars="0"/>
              <w:jc w:val="left"/>
              <w:textAlignment w:val="baseline"/>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不允许</w:t>
            </w:r>
          </w:p>
        </w:tc>
      </w:tr>
      <w:tr w14:paraId="0A37B800">
        <w:tblPrEx>
          <w:tblCellMar>
            <w:top w:w="0" w:type="dxa"/>
            <w:left w:w="108" w:type="dxa"/>
            <w:bottom w:w="0" w:type="dxa"/>
            <w:right w:w="108" w:type="dxa"/>
          </w:tblCellMar>
        </w:tblPrEx>
        <w:trPr>
          <w:trHeight w:val="469"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47E8942D">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3E7D39E1">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构成磋商文件的其他材料</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689A3F27">
            <w:pPr>
              <w:adjustRightInd w:val="0"/>
              <w:spacing w:line="360" w:lineRule="auto"/>
              <w:ind w:left="0" w:leftChars="0" w:firstLine="0" w:firstLineChars="0"/>
              <w:jc w:val="left"/>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除磋商文件外，采购人在磋商期间发出的澄清、修改、补充、补遗和其它有效正式函件等内容均是磋商文件的组成部分</w:t>
            </w:r>
          </w:p>
        </w:tc>
      </w:tr>
      <w:tr w14:paraId="3A6475F1">
        <w:tblPrEx>
          <w:tblCellMar>
            <w:top w:w="0" w:type="dxa"/>
            <w:left w:w="108" w:type="dxa"/>
            <w:bottom w:w="0" w:type="dxa"/>
            <w:right w:w="108" w:type="dxa"/>
          </w:tblCellMar>
        </w:tblPrEx>
        <w:trPr>
          <w:trHeight w:val="90"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3EB2256C">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2.2.1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7AA45A4F">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w:t>
            </w:r>
            <w:r>
              <w:rPr>
                <w:rFonts w:hint="eastAsia" w:ascii="宋体" w:hAnsi="宋体" w:eastAsia="宋体" w:cs="宋体"/>
                <w:color w:val="auto"/>
                <w:szCs w:val="21"/>
                <w:highlight w:val="none"/>
                <w:lang w:eastAsia="zh-CN"/>
              </w:rPr>
              <w:t>提出问题的</w:t>
            </w:r>
            <w:r>
              <w:rPr>
                <w:rFonts w:hint="eastAsia" w:ascii="宋体" w:hAnsi="宋体" w:eastAsia="宋体" w:cs="宋体"/>
                <w:color w:val="auto"/>
                <w:szCs w:val="21"/>
                <w:highlight w:val="none"/>
              </w:rPr>
              <w:t>截止时间</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028ED8DC">
            <w:pPr>
              <w:adjustRightInd w:val="0"/>
              <w:spacing w:line="360" w:lineRule="auto"/>
              <w:ind w:left="0" w:leftChars="0" w:firstLine="0" w:firstLineChars="0"/>
              <w:jc w:val="left"/>
              <w:textAlignment w:val="baseline"/>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磋商文件</w:t>
            </w:r>
            <w:r>
              <w:rPr>
                <w:rFonts w:hint="eastAsia" w:ascii="宋体" w:hAnsi="宋体" w:eastAsia="宋体" w:cs="宋体"/>
                <w:color w:val="auto"/>
                <w:szCs w:val="21"/>
                <w:highlight w:val="none"/>
                <w:lang w:eastAsia="zh-CN"/>
              </w:rPr>
              <w:t>发</w:t>
            </w:r>
            <w:r>
              <w:rPr>
                <w:rFonts w:hint="eastAsia" w:ascii="宋体" w:hAnsi="宋体" w:eastAsia="宋体" w:cs="宋体"/>
                <w:color w:val="auto"/>
                <w:szCs w:val="21"/>
                <w:highlight w:val="none"/>
                <w:lang w:val="en-US" w:eastAsia="zh-CN"/>
              </w:rPr>
              <w:t>出</w:t>
            </w:r>
            <w:r>
              <w:rPr>
                <w:rFonts w:hint="eastAsia" w:ascii="宋体" w:hAnsi="宋体" w:eastAsia="宋体" w:cs="宋体"/>
                <w:color w:val="auto"/>
                <w:szCs w:val="21"/>
                <w:highlight w:val="none"/>
                <w:lang w:eastAsia="zh-CN"/>
              </w:rPr>
              <w:t>之日起</w:t>
            </w:r>
            <w:r>
              <w:rPr>
                <w:rFonts w:hint="eastAsia" w:ascii="宋体" w:hAnsi="宋体" w:eastAsia="宋体" w:cs="宋体"/>
                <w:color w:val="auto"/>
                <w:szCs w:val="21"/>
                <w:highlight w:val="none"/>
                <w:lang w:val="en-US" w:eastAsia="zh-CN"/>
              </w:rPr>
              <w:t>7个工作日内</w:t>
            </w:r>
          </w:p>
        </w:tc>
      </w:tr>
      <w:tr w14:paraId="5BED3EA9">
        <w:tblPrEx>
          <w:tblCellMar>
            <w:top w:w="0" w:type="dxa"/>
            <w:left w:w="108" w:type="dxa"/>
            <w:bottom w:w="0" w:type="dxa"/>
            <w:right w:w="108" w:type="dxa"/>
          </w:tblCellMar>
        </w:tblPrEx>
        <w:trPr>
          <w:trHeight w:val="90"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519162E5">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2.2.2</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0E99BE77">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采购人澄清磋商文件的截止时间</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2E11B0ED">
            <w:pPr>
              <w:adjustRightInd w:val="0"/>
              <w:spacing w:line="360" w:lineRule="auto"/>
              <w:ind w:left="0" w:leftChars="0" w:firstLine="0" w:firstLineChars="0"/>
              <w:jc w:val="left"/>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递交响应文件截止之日</w:t>
            </w:r>
            <w:r>
              <w:rPr>
                <w:rFonts w:hint="eastAsia" w:ascii="宋体" w:hAnsi="宋体" w:eastAsia="宋体" w:cs="宋体"/>
                <w:color w:val="auto"/>
                <w:szCs w:val="21"/>
                <w:highlight w:val="none"/>
                <w:u w:val="single"/>
              </w:rPr>
              <w:t>5</w:t>
            </w:r>
            <w:r>
              <w:rPr>
                <w:rFonts w:hint="eastAsia" w:ascii="宋体" w:hAnsi="宋体" w:eastAsia="宋体" w:cs="宋体"/>
                <w:color w:val="auto"/>
                <w:szCs w:val="21"/>
                <w:highlight w:val="none"/>
              </w:rPr>
              <w:t>天前</w:t>
            </w:r>
          </w:p>
        </w:tc>
      </w:tr>
      <w:tr w14:paraId="20E81E0C">
        <w:tblPrEx>
          <w:tblCellMar>
            <w:top w:w="0" w:type="dxa"/>
            <w:left w:w="108" w:type="dxa"/>
            <w:bottom w:w="0" w:type="dxa"/>
            <w:right w:w="108" w:type="dxa"/>
          </w:tblCellMar>
        </w:tblPrEx>
        <w:trPr>
          <w:trHeight w:val="873"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386D7759">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2.2.3</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6E1BA40E">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供应商确认收到磋商文件澄清的时间</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099BE4D8">
            <w:pPr>
              <w:adjustRightInd w:val="0"/>
              <w:spacing w:line="360" w:lineRule="auto"/>
              <w:ind w:left="0" w:leftChars="0" w:firstLine="0" w:firstLineChars="0"/>
              <w:jc w:val="left"/>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在收到相应澄清文件后</w:t>
            </w:r>
            <w:r>
              <w:rPr>
                <w:rFonts w:hint="eastAsia" w:ascii="宋体" w:hAnsi="宋体" w:eastAsia="宋体" w:cs="宋体"/>
                <w:color w:val="auto"/>
                <w:szCs w:val="21"/>
                <w:highlight w:val="none"/>
                <w:u w:val="single"/>
              </w:rPr>
              <w:t xml:space="preserve"> 24 </w:t>
            </w:r>
            <w:r>
              <w:rPr>
                <w:rFonts w:hint="eastAsia" w:ascii="宋体" w:hAnsi="宋体" w:eastAsia="宋体" w:cs="宋体"/>
                <w:color w:val="auto"/>
                <w:szCs w:val="21"/>
                <w:highlight w:val="none"/>
              </w:rPr>
              <w:t>小时内</w:t>
            </w:r>
          </w:p>
        </w:tc>
      </w:tr>
      <w:tr w14:paraId="59B6C30D">
        <w:tblPrEx>
          <w:tblCellMar>
            <w:top w:w="0" w:type="dxa"/>
            <w:left w:w="108" w:type="dxa"/>
            <w:bottom w:w="0" w:type="dxa"/>
            <w:right w:w="108" w:type="dxa"/>
          </w:tblCellMar>
        </w:tblPrEx>
        <w:trPr>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3B4290BC">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2.3.2</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4051780C">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供应商确认收到磋商文件修改的时间</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1A301D4A">
            <w:pPr>
              <w:adjustRightInd w:val="0"/>
              <w:spacing w:line="360" w:lineRule="auto"/>
              <w:ind w:left="0" w:leftChars="0" w:firstLine="0" w:firstLineChars="0"/>
              <w:jc w:val="left"/>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在收到相应修改文件后</w:t>
            </w:r>
            <w:r>
              <w:rPr>
                <w:rFonts w:hint="eastAsia" w:ascii="宋体" w:hAnsi="宋体" w:eastAsia="宋体" w:cs="宋体"/>
                <w:color w:val="auto"/>
                <w:szCs w:val="21"/>
                <w:highlight w:val="none"/>
                <w:u w:val="single"/>
              </w:rPr>
              <w:t xml:space="preserve"> 24 </w:t>
            </w:r>
            <w:r>
              <w:rPr>
                <w:rFonts w:hint="eastAsia" w:ascii="宋体" w:hAnsi="宋体" w:eastAsia="宋体" w:cs="宋体"/>
                <w:color w:val="auto"/>
                <w:szCs w:val="21"/>
                <w:highlight w:val="none"/>
              </w:rPr>
              <w:t>小时内</w:t>
            </w:r>
          </w:p>
        </w:tc>
      </w:tr>
      <w:tr w14:paraId="1E59C277">
        <w:tblPrEx>
          <w:tblCellMar>
            <w:top w:w="0" w:type="dxa"/>
            <w:left w:w="108" w:type="dxa"/>
            <w:bottom w:w="0" w:type="dxa"/>
            <w:right w:w="108" w:type="dxa"/>
          </w:tblCellMar>
        </w:tblPrEx>
        <w:trPr>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0A3D6563">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5B05A7F0">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构成响应文件的其他材料</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7993A297">
            <w:pPr>
              <w:adjustRightInd w:val="0"/>
              <w:spacing w:line="360" w:lineRule="auto"/>
              <w:ind w:left="0" w:leftChars="0" w:firstLine="0" w:firstLineChars="0"/>
              <w:jc w:val="left"/>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供应商认为需要提交的其他证明材料</w:t>
            </w:r>
          </w:p>
        </w:tc>
      </w:tr>
      <w:tr w14:paraId="00535CDA">
        <w:tblPrEx>
          <w:tblCellMar>
            <w:top w:w="0" w:type="dxa"/>
            <w:left w:w="108" w:type="dxa"/>
            <w:bottom w:w="0" w:type="dxa"/>
            <w:right w:w="108" w:type="dxa"/>
          </w:tblCellMar>
        </w:tblPrEx>
        <w:trPr>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3DFD7FB3">
            <w:pPr>
              <w:adjustRightInd w:val="0"/>
              <w:spacing w:line="360" w:lineRule="auto"/>
              <w:ind w:left="0" w:leftChars="0" w:firstLine="0" w:firstLineChars="0"/>
              <w:jc w:val="center"/>
              <w:textAlignment w:val="baseline"/>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3.2.1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3D0DEF6E">
            <w:pPr>
              <w:spacing w:line="360" w:lineRule="auto"/>
              <w:ind w:left="0" w:leftChars="0" w:firstLine="0" w:firstLineChars="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磋商报价</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522E1D1E">
            <w:pPr>
              <w:keepNext w:val="0"/>
              <w:keepLines w:val="0"/>
              <w:pageBreakBefore w:val="0"/>
              <w:widowControl w:val="0"/>
              <w:kinsoku/>
              <w:wordWrap/>
              <w:overflowPunct/>
              <w:topLinePunct w:val="0"/>
              <w:bidi w:val="0"/>
              <w:snapToGrid/>
              <w:spacing w:line="360" w:lineRule="auto"/>
              <w:ind w:left="0" w:leftChars="0" w:firstLine="0" w:firstLineChars="0"/>
              <w:textAlignment w:val="auto"/>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eastAsia="zh-CN"/>
              </w:rPr>
              <w:t>本</w:t>
            </w:r>
            <w:r>
              <w:rPr>
                <w:rFonts w:hint="eastAsia" w:ascii="宋体" w:hAnsi="宋体" w:eastAsia="宋体" w:cs="宋体"/>
                <w:b/>
                <w:bCs/>
                <w:color w:val="auto"/>
                <w:szCs w:val="21"/>
                <w:highlight w:val="none"/>
                <w:lang w:val="en-US" w:eastAsia="zh-CN"/>
              </w:rPr>
              <w:t>项目磋商报价为费率报价</w:t>
            </w:r>
            <w:r>
              <w:rPr>
                <w:rFonts w:hint="eastAsia" w:ascii="宋体" w:hAnsi="宋体" w:eastAsia="宋体" w:cs="宋体"/>
                <w:b/>
                <w:bCs/>
                <w:color w:val="auto"/>
                <w:szCs w:val="21"/>
                <w:highlight w:val="none"/>
                <w:lang w:eastAsia="zh-CN"/>
              </w:rPr>
              <w:t>。</w:t>
            </w:r>
          </w:p>
          <w:p w14:paraId="676CDA91">
            <w:pPr>
              <w:keepNext w:val="0"/>
              <w:keepLines w:val="0"/>
              <w:pageBreakBefore w:val="0"/>
              <w:widowControl w:val="0"/>
              <w:kinsoku/>
              <w:wordWrap/>
              <w:overflowPunct/>
              <w:topLinePunct w:val="0"/>
              <w:bidi w:val="0"/>
              <w:snapToGrid/>
              <w:spacing w:line="360" w:lineRule="auto"/>
              <w:ind w:left="0" w:leftChars="0" w:firstLine="0" w:firstLineChars="0"/>
              <w:textAlignment w:val="auto"/>
              <w:rPr>
                <w:rFonts w:hint="eastAsia" w:ascii="宋体" w:hAnsi="宋体" w:eastAsia="宋体" w:cs="宋体"/>
                <w:b/>
                <w:bCs/>
                <w:color w:val="auto"/>
                <w:szCs w:val="21"/>
                <w:highlight w:val="none"/>
                <w:lang w:eastAsia="zh-CN"/>
              </w:rPr>
            </w:pP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最终成交综合服务单价为：</w:t>
            </w:r>
            <w:r>
              <w:rPr>
                <w:rFonts w:hint="eastAsia" w:ascii="宋体" w:hAnsi="宋体" w:eastAsia="宋体" w:cs="宋体"/>
                <w:b/>
                <w:bCs/>
                <w:color w:val="auto"/>
                <w:szCs w:val="21"/>
                <w:highlight w:val="none"/>
                <w:lang w:eastAsia="zh-CN"/>
              </w:rPr>
              <w:t>中标</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供应商</w:t>
            </w:r>
            <w:r>
              <w:rPr>
                <w:rFonts w:hint="eastAsia" w:ascii="宋体" w:hAnsi="宋体" w:eastAsia="宋体" w:cs="宋体"/>
                <w:b/>
                <w:bCs/>
                <w:color w:val="auto"/>
                <w:szCs w:val="21"/>
                <w:highlight w:val="none"/>
                <w:lang w:eastAsia="zh-CN"/>
              </w:rPr>
              <w:t>按照本项目</w:t>
            </w:r>
            <w:r>
              <w:rPr>
                <w:rFonts w:hint="eastAsia" w:ascii="宋体" w:hAnsi="宋体" w:eastAsia="宋体" w:cs="宋体"/>
                <w:b/>
                <w:bCs/>
                <w:color w:val="auto"/>
                <w:szCs w:val="21"/>
                <w:highlight w:val="none"/>
                <w:lang w:val="en-US" w:eastAsia="zh-CN"/>
              </w:rPr>
              <w:t>磋商文件要求以实际发生的综合服务单价</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*成交费率，</w:t>
            </w:r>
            <w:r>
              <w:rPr>
                <w:rFonts w:hint="eastAsia" w:ascii="宋体" w:hAnsi="宋体" w:eastAsia="宋体" w:cs="宋体"/>
                <w:b/>
                <w:bCs/>
                <w:color w:val="auto"/>
                <w:szCs w:val="21"/>
                <w:highlight w:val="none"/>
                <w:lang w:eastAsia="zh-CN"/>
              </w:rPr>
              <w:t>并签订合同（</w:t>
            </w:r>
            <w:r>
              <w:rPr>
                <w:rFonts w:hint="eastAsia" w:ascii="宋体" w:hAnsi="宋体" w:eastAsia="宋体" w:cs="宋体"/>
                <w:b/>
                <w:bCs/>
                <w:color w:val="auto"/>
                <w:szCs w:val="21"/>
                <w:highlight w:val="none"/>
                <w:lang w:val="en-US" w:eastAsia="zh-CN"/>
              </w:rPr>
              <w:t>或维修服务单</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据实结算</w:t>
            </w:r>
            <w:r>
              <w:rPr>
                <w:rFonts w:hint="eastAsia" w:ascii="宋体" w:hAnsi="宋体" w:eastAsia="宋体" w:cs="宋体"/>
                <w:b/>
                <w:bCs/>
                <w:color w:val="auto"/>
                <w:szCs w:val="21"/>
                <w:highlight w:val="none"/>
                <w:lang w:eastAsia="zh-CN"/>
              </w:rPr>
              <w:t>。</w:t>
            </w:r>
          </w:p>
          <w:p w14:paraId="5FF07953">
            <w:pPr>
              <w:keepNext w:val="0"/>
              <w:keepLines w:val="0"/>
              <w:pageBreakBefore w:val="0"/>
              <w:widowControl w:val="0"/>
              <w:kinsoku/>
              <w:wordWrap/>
              <w:overflowPunct/>
              <w:topLinePunct w:val="0"/>
              <w:bidi w:val="0"/>
              <w:snapToGrid/>
              <w:spacing w:line="360" w:lineRule="auto"/>
              <w:ind w:left="0" w:leftChars="0" w:firstLine="0" w:firstLineChars="0"/>
              <w:textAlignment w:val="auto"/>
              <w:rPr>
                <w:rFonts w:hint="eastAsia"/>
                <w:highlight w:val="none"/>
              </w:rPr>
            </w:pPr>
            <w:r>
              <w:rPr>
                <w:rFonts w:hint="eastAsia" w:ascii="宋体" w:hAnsi="宋体" w:cs="宋体"/>
                <w:b/>
                <w:bCs/>
                <w:sz w:val="21"/>
                <w:szCs w:val="21"/>
                <w:highlight w:val="none"/>
                <w:lang w:eastAsia="zh-CN"/>
              </w:rPr>
              <w:t>未按</w:t>
            </w:r>
            <w:r>
              <w:rPr>
                <w:rFonts w:hint="eastAsia" w:ascii="宋体" w:hAnsi="宋体" w:cs="宋体"/>
                <w:b/>
                <w:bCs/>
                <w:sz w:val="21"/>
                <w:szCs w:val="21"/>
                <w:highlight w:val="none"/>
                <w:lang w:val="en-US" w:eastAsia="zh-CN"/>
              </w:rPr>
              <w:t>要求进行报价</w:t>
            </w:r>
            <w:r>
              <w:rPr>
                <w:rFonts w:hint="eastAsia" w:ascii="宋体" w:hAnsi="宋体" w:cs="宋体"/>
                <w:b/>
                <w:bCs/>
                <w:sz w:val="21"/>
                <w:szCs w:val="21"/>
                <w:highlight w:val="none"/>
                <w:lang w:eastAsia="zh-CN"/>
              </w:rPr>
              <w:t>的，将被视为无效标。</w:t>
            </w:r>
          </w:p>
        </w:tc>
      </w:tr>
      <w:tr w14:paraId="233B5B98">
        <w:tblPrEx>
          <w:tblCellMar>
            <w:top w:w="0" w:type="dxa"/>
            <w:left w:w="108" w:type="dxa"/>
            <w:bottom w:w="0" w:type="dxa"/>
            <w:right w:w="108" w:type="dxa"/>
          </w:tblCellMar>
        </w:tblPrEx>
        <w:trPr>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1CDB1B1A">
            <w:pPr>
              <w:adjustRightInd w:val="0"/>
              <w:spacing w:line="360" w:lineRule="auto"/>
              <w:ind w:left="0" w:leftChars="0" w:firstLine="0" w:firstLineChars="0"/>
              <w:jc w:val="center"/>
              <w:textAlignment w:val="baseline"/>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3.2.4</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70485B61">
            <w:pPr>
              <w:spacing w:line="360" w:lineRule="auto"/>
              <w:ind w:left="0" w:leftChars="0" w:firstLine="0" w:firstLineChars="0"/>
              <w:jc w:val="center"/>
              <w:rPr>
                <w:rFonts w:hint="default" w:ascii="宋体" w:hAnsi="宋体" w:eastAsia="宋体" w:cs="宋体"/>
                <w:color w:val="auto"/>
                <w:szCs w:val="21"/>
                <w:highlight w:val="none"/>
              </w:rPr>
            </w:pPr>
            <w:r>
              <w:rPr>
                <w:rFonts w:hint="eastAsia" w:ascii="宋体" w:hAnsi="宋体" w:eastAsia="宋体" w:cs="宋体"/>
                <w:color w:val="auto"/>
                <w:szCs w:val="21"/>
                <w:highlight w:val="none"/>
              </w:rPr>
              <w:t>采购标的</w:t>
            </w:r>
          </w:p>
          <w:p w14:paraId="7E3F4B86">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所属行业</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0790803F">
            <w:pPr>
              <w:adjustRightInd w:val="0"/>
              <w:spacing w:line="360" w:lineRule="auto"/>
              <w:ind w:left="0" w:leftChars="0" w:firstLine="0" w:firstLineChars="0"/>
              <w:jc w:val="left"/>
              <w:textAlignment w:val="baseline"/>
              <w:rPr>
                <w:rFonts w:hint="default" w:ascii="宋体" w:hAnsi="宋体" w:eastAsia="宋体" w:cs="宋体"/>
                <w:color w:val="auto"/>
                <w:szCs w:val="21"/>
                <w:highlight w:val="none"/>
              </w:rPr>
            </w:pPr>
            <w:r>
              <w:rPr>
                <w:rFonts w:hint="eastAsia" w:ascii="宋体" w:hAnsi="宋体" w:eastAsia="宋体" w:cs="宋体"/>
                <w:color w:val="auto"/>
                <w:szCs w:val="21"/>
                <w:highlight w:val="none"/>
              </w:rPr>
              <w:t>所属行业为：</w:t>
            </w:r>
            <w:r>
              <w:rPr>
                <w:rFonts w:hint="eastAsia" w:ascii="宋体" w:hAnsi="宋体" w:cs="仿宋"/>
                <w:b/>
                <w:highlight w:val="none"/>
              </w:rPr>
              <w:t>其他未列明行业</w:t>
            </w:r>
          </w:p>
          <w:p w14:paraId="52B5ADAD">
            <w:pPr>
              <w:adjustRightInd w:val="0"/>
              <w:spacing w:line="360" w:lineRule="auto"/>
              <w:ind w:left="0" w:leftChars="0" w:firstLine="0" w:firstLineChars="0"/>
              <w:jc w:val="left"/>
              <w:textAlignment w:val="baseline"/>
              <w:rPr>
                <w:rFonts w:hint="default" w:eastAsia="宋体"/>
                <w:highlight w:val="none"/>
                <w:lang w:val="en-US" w:eastAsia="zh-CN"/>
              </w:rPr>
            </w:pPr>
            <w:r>
              <w:rPr>
                <w:rFonts w:hint="eastAsia" w:ascii="宋体" w:hAnsi="宋体" w:eastAsia="宋体" w:cs="宋体"/>
                <w:color w:val="auto"/>
                <w:szCs w:val="21"/>
                <w:highlight w:val="none"/>
              </w:rPr>
              <w:t>划定标准为：中小微企业划分按照《国家统计局关于印发&lt;统计上大中小微型企业划分办法（2017）&gt;的通知》国统字〔2017〕213号文件及《工业和信息化部、国家统计局、国家发展和改革委员会、财政部关于印发&lt;中小企业划型标准规定&gt;的通知》（工信部联企业[2011]300 号）规定的划分标准为依据。</w:t>
            </w:r>
          </w:p>
        </w:tc>
      </w:tr>
      <w:tr w14:paraId="339A2794">
        <w:tblPrEx>
          <w:tblCellMar>
            <w:top w:w="0" w:type="dxa"/>
            <w:left w:w="108" w:type="dxa"/>
            <w:bottom w:w="0" w:type="dxa"/>
            <w:right w:w="108" w:type="dxa"/>
          </w:tblCellMar>
        </w:tblPrEx>
        <w:trPr>
          <w:trHeight w:val="705"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07045B7F">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3.3.1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74A31EBE">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磋商有效期</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0D2889A5">
            <w:pPr>
              <w:adjustRightInd w:val="0"/>
              <w:spacing w:line="360" w:lineRule="auto"/>
              <w:ind w:left="0" w:leftChars="0" w:firstLine="0" w:firstLineChars="0"/>
              <w:jc w:val="left"/>
              <w:textAlignment w:val="baseline"/>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60日历天（响应文件截止之日起）</w:t>
            </w:r>
          </w:p>
        </w:tc>
      </w:tr>
      <w:tr w14:paraId="774BEC4F">
        <w:tblPrEx>
          <w:tblCellMar>
            <w:top w:w="0" w:type="dxa"/>
            <w:left w:w="108" w:type="dxa"/>
            <w:bottom w:w="0" w:type="dxa"/>
            <w:right w:w="108" w:type="dxa"/>
          </w:tblCellMar>
        </w:tblPrEx>
        <w:trPr>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5FCD7A84">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3.6</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616D484">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是否允许递交备选磋商方案</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64504F67">
            <w:pPr>
              <w:pStyle w:val="12"/>
              <w:topLinePunct/>
              <w:adjustRightInd w:val="0"/>
              <w:spacing w:line="360" w:lineRule="auto"/>
              <w:ind w:left="0" w:leftChars="0" w:firstLine="0" w:firstLineChars="0"/>
              <w:jc w:val="left"/>
              <w:textAlignment w:val="baseline"/>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不允许</w:t>
            </w:r>
          </w:p>
        </w:tc>
      </w:tr>
      <w:tr w14:paraId="743026FA">
        <w:tblPrEx>
          <w:tblCellMar>
            <w:top w:w="0" w:type="dxa"/>
            <w:left w:w="108" w:type="dxa"/>
            <w:bottom w:w="0" w:type="dxa"/>
            <w:right w:w="108" w:type="dxa"/>
          </w:tblCellMar>
        </w:tblPrEx>
        <w:trPr>
          <w:trHeight w:val="1660"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09E50C18">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3.7.3</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575CAC90">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电子响应文件签字盖章要求</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21D7641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（1）所有要求供应商加盖公章的地方都须加盖供应商的 CA 印章。</w:t>
            </w:r>
          </w:p>
          <w:p w14:paraId="10F2957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（2）所有要求法定代表人或其委托代理人签字的地方都须法定代表人或其委托代理人加盖CA印章或签字。</w:t>
            </w:r>
          </w:p>
        </w:tc>
      </w:tr>
      <w:tr w14:paraId="3467CF3F">
        <w:tblPrEx>
          <w:tblCellMar>
            <w:top w:w="0" w:type="dxa"/>
            <w:left w:w="108" w:type="dxa"/>
            <w:bottom w:w="0" w:type="dxa"/>
            <w:right w:w="108" w:type="dxa"/>
          </w:tblCellMar>
        </w:tblPrEx>
        <w:trPr>
          <w:trHeight w:val="788"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677FE08E">
            <w:pPr>
              <w:spacing w:line="360" w:lineRule="auto"/>
              <w:ind w:left="0" w:leftChars="0" w:firstLine="0" w:firstLineChars="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3.7.4</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64DA6FAA">
            <w:pPr>
              <w:adjustRightInd w:val="0"/>
              <w:snapToGrid w:val="0"/>
              <w:spacing w:line="360" w:lineRule="auto"/>
              <w:ind w:left="0" w:leftChars="0" w:firstLine="0" w:firstLineChars="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响应文件份数</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67300BF4">
            <w:pPr>
              <w:adjustRightInd w:val="0"/>
              <w:snapToGrid w:val="0"/>
              <w:spacing w:line="360" w:lineRule="auto"/>
              <w:ind w:left="0" w:leftChars="0" w:firstLine="0" w:firstLineChars="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加密的电子响应文件壹份（*.XYTF 格式，在会员系统指定位置上传）</w:t>
            </w:r>
          </w:p>
        </w:tc>
      </w:tr>
      <w:tr w14:paraId="7CC1F38F">
        <w:tblPrEx>
          <w:tblCellMar>
            <w:top w:w="0" w:type="dxa"/>
            <w:left w:w="108" w:type="dxa"/>
            <w:bottom w:w="0" w:type="dxa"/>
            <w:right w:w="108" w:type="dxa"/>
          </w:tblCellMar>
        </w:tblPrEx>
        <w:trPr>
          <w:trHeight w:val="61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58CC5691">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4.2</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38E71F54">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响应文件的递交</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51263259">
            <w:pPr>
              <w:adjustRightInd w:val="0"/>
              <w:snapToGrid w:val="0"/>
              <w:spacing w:line="36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1、电子响应文件的递交</w:t>
            </w:r>
          </w:p>
          <w:p w14:paraId="12EEB633">
            <w:pPr>
              <w:adjustRightInd w:val="0"/>
              <w:snapToGrid w:val="0"/>
              <w:spacing w:line="36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各供应商应在响应文件提交截止时间前上传加密的电子响应文件（*.XYTF）到会员系统的指定位置。上传时必须得到交易系统“上传成功”的确认回复后方为上传成功。请供应商在上传前务必认真检查上传响应文件是否完整、正确。</w:t>
            </w:r>
          </w:p>
          <w:p w14:paraId="68451A55">
            <w:pPr>
              <w:adjustRightInd w:val="0"/>
              <w:snapToGrid w:val="0"/>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 xml:space="preserve">2、本项目采用“不见面开标”交易方式，不见面开标大厅网址为 </w:t>
            </w:r>
            <w:r>
              <w:rPr>
                <w:rFonts w:hint="eastAsia" w:ascii="宋体" w:hAnsi="宋体" w:eastAsia="宋体" w:cs="宋体"/>
                <w:color w:val="auto"/>
                <w:sz w:val="21"/>
                <w:szCs w:val="21"/>
                <w:highlight w:val="none"/>
                <w:lang w:val="en-US" w:eastAsia="zh-CN"/>
              </w:rPr>
              <w:fldChar w:fldCharType="begin"/>
            </w:r>
            <w:r>
              <w:rPr>
                <w:rFonts w:hint="eastAsia" w:ascii="宋体" w:hAnsi="宋体" w:eastAsia="宋体" w:cs="宋体"/>
                <w:color w:val="auto"/>
                <w:sz w:val="21"/>
                <w:szCs w:val="21"/>
                <w:highlight w:val="none"/>
                <w:lang w:val="en-US" w:eastAsia="zh-CN"/>
              </w:rPr>
              <w:instrText xml:space="preserve"> HYPERLINK "http://117.158.91.68:8095/xxhy，投标人无需寄送和递交非加密的电子投标文件，无需到现场参加开标会议，无需到达现场提交原件资料。" </w:instrText>
            </w:r>
            <w:r>
              <w:rPr>
                <w:rFonts w:hint="eastAsia" w:ascii="宋体" w:hAnsi="宋体" w:eastAsia="宋体" w:cs="宋体"/>
                <w:color w:val="auto"/>
                <w:sz w:val="21"/>
                <w:szCs w:val="21"/>
                <w:highlight w:val="none"/>
                <w:lang w:val="en-US" w:eastAsia="zh-CN"/>
              </w:rPr>
              <w:fldChar w:fldCharType="separate"/>
            </w:r>
            <w:r>
              <w:rPr>
                <w:rFonts w:hint="eastAsia" w:ascii="宋体" w:hAnsi="宋体" w:eastAsia="宋体" w:cs="宋体"/>
                <w:color w:val="auto"/>
                <w:sz w:val="21"/>
                <w:szCs w:val="21"/>
                <w:highlight w:val="none"/>
                <w:lang w:val="en-US" w:eastAsia="zh-CN"/>
              </w:rPr>
              <w:t>https://ggzyjy.xinyang.gov.cn/BidOpening/bidhall/xinyang/login.html，供应商无需寄送和递交非加密的电子响应文件，无需到现场参加开标会议，无需到达现场提交原件资料。</w:t>
            </w:r>
            <w:r>
              <w:rPr>
                <w:rFonts w:hint="eastAsia" w:ascii="宋体" w:hAnsi="宋体" w:eastAsia="宋体" w:cs="宋体"/>
                <w:color w:val="auto"/>
                <w:sz w:val="21"/>
                <w:szCs w:val="21"/>
                <w:highlight w:val="none"/>
                <w:lang w:val="en-US" w:eastAsia="zh-CN"/>
              </w:rPr>
              <w:fldChar w:fldCharType="end"/>
            </w:r>
          </w:p>
        </w:tc>
      </w:tr>
      <w:tr w14:paraId="71C1DDB3">
        <w:tblPrEx>
          <w:tblCellMar>
            <w:top w:w="0" w:type="dxa"/>
            <w:left w:w="108" w:type="dxa"/>
            <w:bottom w:w="0" w:type="dxa"/>
            <w:right w:w="108" w:type="dxa"/>
          </w:tblCellMar>
        </w:tblPrEx>
        <w:trPr>
          <w:trHeight w:val="871"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7353DEEF">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058F2972">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提交响应文件截止时间</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5D79D5ED">
            <w:pPr>
              <w:adjustRightInd w:val="0"/>
              <w:spacing w:line="360" w:lineRule="auto"/>
              <w:ind w:left="0" w:leftChars="0" w:firstLine="0" w:firstLineChars="0"/>
              <w:jc w:val="left"/>
              <w:textAlignment w:val="baseline"/>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2025年4月1日9时30分（北京时间）</w:t>
            </w:r>
          </w:p>
        </w:tc>
      </w:tr>
      <w:tr w14:paraId="767B73E3">
        <w:tblPrEx>
          <w:tblCellMar>
            <w:top w:w="0" w:type="dxa"/>
            <w:left w:w="108" w:type="dxa"/>
            <w:bottom w:w="0" w:type="dxa"/>
            <w:right w:w="108" w:type="dxa"/>
          </w:tblCellMar>
        </w:tblPrEx>
        <w:trPr>
          <w:trHeight w:val="685"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288FCE2A">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5.1.1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0BFBD69">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磋商时间和地点</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4648C79F">
            <w:pPr>
              <w:autoSpaceDE w:val="0"/>
              <w:autoSpaceDN w:val="0"/>
              <w:adjustRightInd w:val="0"/>
              <w:spacing w:line="360" w:lineRule="auto"/>
              <w:ind w:left="0" w:leftChars="0" w:firstLine="0" w:firstLineChars="0"/>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磋商</w:t>
            </w:r>
            <w:r>
              <w:rPr>
                <w:rFonts w:hint="eastAsia" w:ascii="宋体" w:hAnsi="宋体" w:eastAsia="宋体" w:cs="宋体"/>
                <w:color w:val="auto"/>
                <w:kern w:val="0"/>
                <w:szCs w:val="21"/>
                <w:highlight w:val="none"/>
              </w:rPr>
              <w:t>时间：同</w:t>
            </w:r>
            <w:r>
              <w:rPr>
                <w:rFonts w:hint="eastAsia" w:ascii="宋体" w:hAnsi="宋体" w:eastAsia="宋体" w:cs="宋体"/>
                <w:color w:val="auto"/>
                <w:szCs w:val="21"/>
                <w:highlight w:val="none"/>
              </w:rPr>
              <w:t>响应文件提交</w:t>
            </w:r>
            <w:r>
              <w:rPr>
                <w:rFonts w:hint="eastAsia" w:ascii="宋体" w:hAnsi="宋体" w:eastAsia="宋体" w:cs="宋体"/>
                <w:color w:val="auto"/>
                <w:kern w:val="0"/>
                <w:szCs w:val="21"/>
                <w:highlight w:val="none"/>
              </w:rPr>
              <w:t>截止时间</w:t>
            </w:r>
          </w:p>
          <w:p w14:paraId="4E7232A2">
            <w:pPr>
              <w:spacing w:line="360" w:lineRule="auto"/>
              <w:ind w:left="0" w:leftChars="0" w:firstLine="0" w:firstLineChars="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磋商</w:t>
            </w:r>
            <w:r>
              <w:rPr>
                <w:rFonts w:hint="eastAsia" w:ascii="宋体" w:hAnsi="宋体" w:eastAsia="宋体" w:cs="宋体"/>
                <w:color w:val="auto"/>
                <w:kern w:val="0"/>
                <w:szCs w:val="21"/>
                <w:highlight w:val="none"/>
              </w:rPr>
              <w:t>地点：全国公共资源交易平台（河南省·息县）不见面开标大厅</w:t>
            </w:r>
          </w:p>
        </w:tc>
      </w:tr>
      <w:tr w14:paraId="5E6066F4">
        <w:tblPrEx>
          <w:tblCellMar>
            <w:top w:w="0" w:type="dxa"/>
            <w:left w:w="108" w:type="dxa"/>
            <w:bottom w:w="0" w:type="dxa"/>
            <w:right w:w="108" w:type="dxa"/>
          </w:tblCellMar>
        </w:tblPrEx>
        <w:trPr>
          <w:trHeight w:val="544"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5BCF32AB">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44F287A3">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磋商小组的组建</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7001F4BE">
            <w:pPr>
              <w:autoSpaceDE w:val="0"/>
              <w:autoSpaceDN w:val="0"/>
              <w:adjustRightInd w:val="0"/>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磋商小组构成：</w:t>
            </w:r>
            <w:r>
              <w:rPr>
                <w:rFonts w:hint="eastAsia" w:ascii="宋体" w:hAnsi="宋体" w:eastAsia="宋体" w:cs="宋体"/>
                <w:color w:val="auto"/>
                <w:szCs w:val="21"/>
                <w:highlight w:val="none"/>
                <w:u w:val="single"/>
                <w:lang w:val="en-US" w:eastAsia="zh-CN"/>
              </w:rPr>
              <w:t xml:space="preserve"> 3 </w:t>
            </w:r>
            <w:r>
              <w:rPr>
                <w:rFonts w:hint="eastAsia" w:ascii="宋体" w:hAnsi="宋体" w:eastAsia="宋体" w:cs="宋体"/>
                <w:color w:val="auto"/>
                <w:szCs w:val="21"/>
                <w:highlight w:val="none"/>
              </w:rPr>
              <w:t>人，其中业主评委</w:t>
            </w:r>
            <w:r>
              <w:rPr>
                <w:rFonts w:hint="eastAsia" w:ascii="宋体" w:hAnsi="宋体" w:eastAsia="宋体" w:cs="宋体"/>
                <w:color w:val="auto"/>
                <w:szCs w:val="21"/>
                <w:highlight w:val="none"/>
                <w:u w:val="single"/>
                <w:lang w:val="en-US" w:eastAsia="zh-CN"/>
              </w:rPr>
              <w:t xml:space="preserve"> 1 </w:t>
            </w:r>
            <w:r>
              <w:rPr>
                <w:rFonts w:hint="eastAsia" w:ascii="宋体" w:hAnsi="宋体" w:eastAsia="宋体" w:cs="宋体"/>
                <w:color w:val="auto"/>
                <w:szCs w:val="21"/>
                <w:highlight w:val="none"/>
              </w:rPr>
              <w:t>人，技术、经济类专家</w:t>
            </w:r>
            <w:r>
              <w:rPr>
                <w:rFonts w:hint="eastAsia" w:ascii="宋体" w:hAnsi="宋体" w:eastAsia="宋体" w:cs="宋体"/>
                <w:color w:val="auto"/>
                <w:szCs w:val="21"/>
                <w:highlight w:val="none"/>
                <w:u w:val="single"/>
                <w:lang w:val="en-US" w:eastAsia="zh-CN"/>
              </w:rPr>
              <w:t xml:space="preserve"> 2 </w:t>
            </w:r>
            <w:r>
              <w:rPr>
                <w:rFonts w:hint="eastAsia" w:ascii="宋体" w:hAnsi="宋体" w:eastAsia="宋体" w:cs="宋体"/>
                <w:color w:val="auto"/>
                <w:szCs w:val="21"/>
                <w:highlight w:val="none"/>
              </w:rPr>
              <w:t>人；</w:t>
            </w:r>
          </w:p>
          <w:p w14:paraId="2B4D3A40">
            <w:pPr>
              <w:adjustRightInd w:val="0"/>
              <w:spacing w:line="360" w:lineRule="auto"/>
              <w:ind w:left="0" w:leftChars="0" w:firstLine="0" w:firstLineChars="0"/>
              <w:jc w:val="left"/>
              <w:textAlignment w:val="baseline"/>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专家确定方式：磋商前从政府采购专家库中随机抽取。</w:t>
            </w:r>
          </w:p>
        </w:tc>
      </w:tr>
      <w:tr w14:paraId="6A438AED">
        <w:tblPrEx>
          <w:tblCellMar>
            <w:top w:w="0" w:type="dxa"/>
            <w:left w:w="108" w:type="dxa"/>
            <w:bottom w:w="0" w:type="dxa"/>
            <w:right w:w="108" w:type="dxa"/>
          </w:tblCellMar>
        </w:tblPrEx>
        <w:trPr>
          <w:trHeight w:val="735"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3EF002AA">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7.1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6DA10EB4">
            <w:pPr>
              <w:adjustRightInd w:val="0"/>
              <w:spacing w:line="360" w:lineRule="auto"/>
              <w:ind w:left="0" w:leftChars="0" w:firstLine="0" w:firstLineChars="0"/>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是否授权磋商小组确定成交人</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797214E4">
            <w:pPr>
              <w:adjustRightInd w:val="0"/>
              <w:spacing w:line="360" w:lineRule="auto"/>
              <w:ind w:left="0" w:leftChars="0" w:firstLine="0" w:firstLineChars="0"/>
              <w:jc w:val="left"/>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否；推荐的成交候选人数：3名</w:t>
            </w:r>
          </w:p>
        </w:tc>
      </w:tr>
      <w:tr w14:paraId="381297E1">
        <w:tblPrEx>
          <w:tblCellMar>
            <w:top w:w="0" w:type="dxa"/>
            <w:left w:w="108" w:type="dxa"/>
            <w:bottom w:w="0" w:type="dxa"/>
            <w:right w:w="108" w:type="dxa"/>
          </w:tblCellMar>
        </w:tblPrEx>
        <w:trPr>
          <w:trHeight w:val="459"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5D1E54C2">
            <w:pPr>
              <w:keepNext w:val="0"/>
              <w:keepLines w:val="0"/>
              <w:pageBreakBefore w:val="0"/>
              <w:kinsoku/>
              <w:wordWrap/>
              <w:overflowPunct/>
              <w:topLinePunct w:val="0"/>
              <w:autoSpaceDE w:val="0"/>
              <w:autoSpaceDN w:val="0"/>
              <w:bidi w:val="0"/>
              <w:adjustRightInd w:val="0"/>
              <w:snapToGrid/>
              <w:spacing w:line="36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7.3</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7E332FB0">
            <w:pPr>
              <w:keepNext w:val="0"/>
              <w:keepLines w:val="0"/>
              <w:pageBreakBefore w:val="0"/>
              <w:kinsoku/>
              <w:wordWrap/>
              <w:overflowPunct/>
              <w:topLinePunct w:val="0"/>
              <w:autoSpaceDE w:val="0"/>
              <w:autoSpaceDN w:val="0"/>
              <w:bidi w:val="0"/>
              <w:adjustRightInd w:val="0"/>
              <w:snapToGrid/>
              <w:spacing w:line="36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履约</w:t>
            </w:r>
            <w:r>
              <w:rPr>
                <w:rFonts w:hint="eastAsia" w:ascii="宋体" w:hAnsi="宋体" w:eastAsia="宋体" w:cs="宋体"/>
                <w:color w:val="auto"/>
                <w:kern w:val="0"/>
                <w:sz w:val="21"/>
                <w:szCs w:val="21"/>
                <w:highlight w:val="none"/>
                <w:lang w:eastAsia="zh-CN"/>
              </w:rPr>
              <w:t>保证金</w:t>
            </w:r>
          </w:p>
        </w:tc>
        <w:tc>
          <w:tcPr>
            <w:tcW w:w="5792" w:type="dxa"/>
            <w:tcBorders>
              <w:top w:val="single" w:color="auto" w:sz="4" w:space="0"/>
              <w:left w:val="single" w:color="auto" w:sz="4" w:space="0"/>
              <w:bottom w:val="single" w:color="auto" w:sz="4" w:space="0"/>
              <w:right w:val="single" w:color="auto" w:sz="4" w:space="0"/>
            </w:tcBorders>
            <w:noWrap w:val="0"/>
            <w:vAlign w:val="center"/>
          </w:tcPr>
          <w:p w14:paraId="1E5FCE3F">
            <w:pPr>
              <w:keepNext w:val="0"/>
              <w:keepLines w:val="0"/>
              <w:pageBreakBefore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无</w:t>
            </w:r>
          </w:p>
        </w:tc>
      </w:tr>
      <w:tr w14:paraId="338B426A">
        <w:tblPrEx>
          <w:tblCellMar>
            <w:top w:w="0" w:type="dxa"/>
            <w:left w:w="108" w:type="dxa"/>
            <w:bottom w:w="0" w:type="dxa"/>
            <w:right w:w="108" w:type="dxa"/>
          </w:tblCellMar>
        </w:tblPrEx>
        <w:trPr>
          <w:trHeight w:val="538" w:hRule="atLeast"/>
          <w:jc w:val="center"/>
        </w:trPr>
        <w:tc>
          <w:tcPr>
            <w:tcW w:w="8870" w:type="dxa"/>
            <w:gridSpan w:val="3"/>
            <w:tcBorders>
              <w:top w:val="single" w:color="auto" w:sz="4" w:space="0"/>
              <w:left w:val="single" w:color="auto" w:sz="4" w:space="0"/>
              <w:bottom w:val="single" w:color="auto" w:sz="4" w:space="0"/>
              <w:right w:val="single" w:color="auto" w:sz="4" w:space="0"/>
            </w:tcBorders>
            <w:noWrap w:val="0"/>
            <w:vAlign w:val="center"/>
          </w:tcPr>
          <w:p w14:paraId="5B71819F">
            <w:pPr>
              <w:adjustRightInd w:val="0"/>
              <w:spacing w:line="360" w:lineRule="auto"/>
              <w:jc w:val="center"/>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需要补充的其他内容</w:t>
            </w:r>
          </w:p>
        </w:tc>
      </w:tr>
      <w:tr w14:paraId="2644C5F3">
        <w:tblPrEx>
          <w:tblCellMar>
            <w:top w:w="0" w:type="dxa"/>
            <w:left w:w="108" w:type="dxa"/>
            <w:bottom w:w="0" w:type="dxa"/>
            <w:right w:w="108" w:type="dxa"/>
          </w:tblCellMar>
        </w:tblPrEx>
        <w:trPr>
          <w:trHeight w:val="560"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5DE5DB6F">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解释权</w:t>
            </w:r>
          </w:p>
        </w:tc>
        <w:tc>
          <w:tcPr>
            <w:tcW w:w="7522" w:type="dxa"/>
            <w:gridSpan w:val="2"/>
            <w:tcBorders>
              <w:top w:val="single" w:color="auto" w:sz="4" w:space="0"/>
              <w:left w:val="single" w:color="auto" w:sz="4" w:space="0"/>
              <w:bottom w:val="single" w:color="auto" w:sz="4" w:space="0"/>
              <w:right w:val="single" w:color="auto" w:sz="4" w:space="0"/>
            </w:tcBorders>
            <w:noWrap w:val="0"/>
            <w:vAlign w:val="center"/>
          </w:tcPr>
          <w:p w14:paraId="6A508AEF">
            <w:pPr>
              <w:adjustRightInd w:val="0"/>
              <w:spacing w:line="360" w:lineRule="auto"/>
              <w:ind w:left="0" w:leftChars="0" w:firstLine="0" w:firstLineChars="0"/>
              <w:jc w:val="left"/>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构成本磋商文件的各个组成文件应互为解释，互为说明；如有不明确或不一致，按</w:t>
            </w:r>
            <w:r>
              <w:rPr>
                <w:rFonts w:hint="eastAsia" w:ascii="宋体" w:hAnsi="宋体" w:eastAsia="宋体" w:cs="宋体"/>
                <w:color w:val="auto"/>
                <w:szCs w:val="21"/>
                <w:highlight w:val="none"/>
                <w:lang w:eastAsia="zh-CN"/>
              </w:rPr>
              <w:t>竞争性磋商公告</w:t>
            </w:r>
            <w:r>
              <w:rPr>
                <w:rFonts w:hint="eastAsia" w:ascii="宋体" w:hAnsi="宋体" w:eastAsia="宋体" w:cs="宋体"/>
                <w:color w:val="auto"/>
                <w:szCs w:val="21"/>
                <w:highlight w:val="none"/>
              </w:rPr>
              <w:t>、供应商须知、评审办法、</w:t>
            </w:r>
            <w:r>
              <w:rPr>
                <w:rFonts w:hint="eastAsia" w:ascii="宋体" w:hAnsi="宋体" w:eastAsia="宋体" w:cs="宋体"/>
                <w:color w:val="auto"/>
                <w:szCs w:val="21"/>
                <w:highlight w:val="none"/>
                <w:lang w:eastAsia="zh-CN"/>
              </w:rPr>
              <w:t>竞争性磋商响应文件格式</w:t>
            </w:r>
            <w:r>
              <w:rPr>
                <w:rFonts w:hint="eastAsia" w:ascii="宋体" w:hAnsi="宋体" w:eastAsia="宋体" w:cs="宋体"/>
                <w:color w:val="auto"/>
                <w:szCs w:val="21"/>
                <w:highlight w:val="none"/>
              </w:rPr>
              <w:t>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05EACC9B">
        <w:tblPrEx>
          <w:tblCellMar>
            <w:top w:w="0" w:type="dxa"/>
            <w:left w:w="108" w:type="dxa"/>
            <w:bottom w:w="0" w:type="dxa"/>
            <w:right w:w="108" w:type="dxa"/>
          </w:tblCellMar>
        </w:tblPrEx>
        <w:trPr>
          <w:trHeight w:val="823" w:hRule="atLeast"/>
          <w:jc w:val="center"/>
        </w:trPr>
        <w:tc>
          <w:tcPr>
            <w:tcW w:w="13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7AD426">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标书雷同性分析</w:t>
            </w:r>
          </w:p>
        </w:tc>
        <w:tc>
          <w:tcPr>
            <w:tcW w:w="7522" w:type="dxa"/>
            <w:gridSpan w:val="2"/>
            <w:tcBorders>
              <w:top w:val="single" w:color="auto" w:sz="4" w:space="0"/>
              <w:left w:val="single" w:color="auto" w:sz="4" w:space="0"/>
              <w:bottom w:val="single" w:color="auto" w:sz="4" w:space="0"/>
              <w:right w:val="single" w:color="auto" w:sz="4" w:space="0"/>
            </w:tcBorders>
            <w:noWrap w:val="0"/>
            <w:vAlign w:val="center"/>
          </w:tcPr>
          <w:p w14:paraId="4F8DAC51">
            <w:pPr>
              <w:pageBreakBefore w:val="0"/>
              <w:kinsoku/>
              <w:wordWrap/>
              <w:overflowPunct/>
              <w:topLinePunct w:val="0"/>
              <w:autoSpaceDE w:val="0"/>
              <w:autoSpaceDN w:val="0"/>
              <w:bidi w:val="0"/>
              <w:adjustRightInd w:val="0"/>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文件制作机器码、文件创建标识码有相同的按废标处理。</w:t>
            </w:r>
          </w:p>
        </w:tc>
      </w:tr>
      <w:tr w14:paraId="44BFAD2F">
        <w:tblPrEx>
          <w:tblCellMar>
            <w:top w:w="0" w:type="dxa"/>
            <w:left w:w="108" w:type="dxa"/>
            <w:bottom w:w="0" w:type="dxa"/>
            <w:right w:w="108" w:type="dxa"/>
          </w:tblCellMar>
        </w:tblPrEx>
        <w:trPr>
          <w:trHeight w:val="823" w:hRule="atLeast"/>
          <w:jc w:val="center"/>
        </w:trPr>
        <w:tc>
          <w:tcPr>
            <w:tcW w:w="13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2C0D18">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注意事项</w:t>
            </w:r>
          </w:p>
        </w:tc>
        <w:tc>
          <w:tcPr>
            <w:tcW w:w="7522" w:type="dxa"/>
            <w:gridSpan w:val="2"/>
            <w:tcBorders>
              <w:top w:val="single" w:color="auto" w:sz="4" w:space="0"/>
              <w:left w:val="single" w:color="auto" w:sz="4" w:space="0"/>
              <w:bottom w:val="single" w:color="auto" w:sz="4" w:space="0"/>
              <w:right w:val="single" w:color="auto" w:sz="4" w:space="0"/>
            </w:tcBorders>
            <w:noWrap w:val="0"/>
            <w:vAlign w:val="center"/>
          </w:tcPr>
          <w:p w14:paraId="503C4C1E">
            <w:pPr>
              <w:adjustRightInd w:val="0"/>
              <w:spacing w:line="360" w:lineRule="auto"/>
              <w:ind w:left="0" w:leftChars="0" w:firstLine="0" w:firstLineChars="0"/>
              <w:jc w:val="left"/>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根据《信阳市财政局关于在政府采购项目中对上传诚信库信息的使用进行调整的通知》（信财购【2021】12号）相关规定，专家评审只需对</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文件进行评审，并以</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文件的响应</w:t>
            </w:r>
            <w:r>
              <w:rPr>
                <w:rFonts w:hint="eastAsia" w:ascii="宋体" w:hAnsi="宋体" w:eastAsia="宋体" w:cs="宋体"/>
                <w:color w:val="auto"/>
                <w:szCs w:val="21"/>
                <w:highlight w:val="none"/>
                <w:lang w:val="en-US" w:eastAsia="zh-CN"/>
              </w:rPr>
              <w:t>内容</w:t>
            </w:r>
            <w:r>
              <w:rPr>
                <w:rFonts w:hint="eastAsia" w:ascii="宋体" w:hAnsi="宋体" w:eastAsia="宋体" w:cs="宋体"/>
                <w:color w:val="auto"/>
                <w:szCs w:val="21"/>
                <w:highlight w:val="none"/>
              </w:rPr>
              <w:t>为唯一评审依据，不再比对主体信用信息。</w:t>
            </w:r>
          </w:p>
        </w:tc>
      </w:tr>
      <w:tr w14:paraId="090488AA">
        <w:tblPrEx>
          <w:tblCellMar>
            <w:top w:w="0" w:type="dxa"/>
            <w:left w:w="108" w:type="dxa"/>
            <w:bottom w:w="0" w:type="dxa"/>
            <w:right w:w="108" w:type="dxa"/>
          </w:tblCellMar>
        </w:tblPrEx>
        <w:trPr>
          <w:trHeight w:val="396" w:hRule="atLeast"/>
          <w:jc w:val="center"/>
        </w:trPr>
        <w:tc>
          <w:tcPr>
            <w:tcW w:w="13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BD3C65">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质疑相关事项</w:t>
            </w:r>
          </w:p>
        </w:tc>
        <w:tc>
          <w:tcPr>
            <w:tcW w:w="7522" w:type="dxa"/>
            <w:gridSpan w:val="2"/>
            <w:tcBorders>
              <w:top w:val="single" w:color="auto" w:sz="4" w:space="0"/>
              <w:left w:val="single" w:color="auto" w:sz="4" w:space="0"/>
              <w:bottom w:val="single" w:color="auto" w:sz="4" w:space="0"/>
              <w:right w:val="single" w:color="auto" w:sz="4" w:space="0"/>
            </w:tcBorders>
            <w:noWrap w:val="0"/>
            <w:vAlign w:val="center"/>
          </w:tcPr>
          <w:p w14:paraId="6411C142">
            <w:pPr>
              <w:adjustRightInd w:val="0"/>
              <w:spacing w:line="360" w:lineRule="auto"/>
              <w:ind w:left="0" w:leftChars="0" w:firstLine="0" w:firstLineChars="0"/>
              <w:jc w:val="left"/>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文件、采购过程、中标或者成交结果使自己的权益受到损害的，可以在知道或者应知其权益受到损害之日起7个工作日内，以书面形式一次性向采购人、采购代理机构提出针对同一采购程序环节的质疑。</w:t>
            </w:r>
          </w:p>
        </w:tc>
      </w:tr>
      <w:tr w14:paraId="0E0635E8">
        <w:tblPrEx>
          <w:tblCellMar>
            <w:top w:w="0" w:type="dxa"/>
            <w:left w:w="108" w:type="dxa"/>
            <w:bottom w:w="0" w:type="dxa"/>
            <w:right w:w="108" w:type="dxa"/>
          </w:tblCellMar>
        </w:tblPrEx>
        <w:trPr>
          <w:trHeight w:val="823" w:hRule="atLeast"/>
          <w:jc w:val="center"/>
        </w:trPr>
        <w:tc>
          <w:tcPr>
            <w:tcW w:w="13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CCDD98">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技术支持</w:t>
            </w:r>
          </w:p>
        </w:tc>
        <w:tc>
          <w:tcPr>
            <w:tcW w:w="7522" w:type="dxa"/>
            <w:gridSpan w:val="2"/>
            <w:tcBorders>
              <w:top w:val="single" w:color="auto" w:sz="4" w:space="0"/>
              <w:left w:val="single" w:color="auto" w:sz="4" w:space="0"/>
              <w:bottom w:val="single" w:color="auto" w:sz="4" w:space="0"/>
              <w:right w:val="single" w:color="auto" w:sz="4" w:space="0"/>
            </w:tcBorders>
            <w:noWrap w:val="0"/>
            <w:vAlign w:val="center"/>
          </w:tcPr>
          <w:p w14:paraId="015D6E9C">
            <w:pPr>
              <w:adjustRightInd w:val="0"/>
              <w:spacing w:line="360" w:lineRule="auto"/>
              <w:ind w:left="0" w:leftChars="0" w:firstLine="0" w:firstLineChars="0"/>
              <w:jc w:val="left"/>
              <w:textAlignment w:val="baseline"/>
              <w:rPr>
                <w:rFonts w:hint="default" w:ascii="宋体" w:hAnsi="宋体" w:eastAsia="宋体" w:cs="宋体"/>
                <w:color w:val="auto"/>
                <w:szCs w:val="21"/>
                <w:highlight w:val="none"/>
              </w:rPr>
            </w:pPr>
            <w:r>
              <w:rPr>
                <w:rFonts w:hint="eastAsia" w:ascii="宋体" w:hAnsi="宋体" w:eastAsia="宋体" w:cs="宋体"/>
                <w:color w:val="auto"/>
                <w:szCs w:val="21"/>
                <w:highlight w:val="none"/>
              </w:rPr>
              <w:t>息县公共资源交易中心</w:t>
            </w:r>
          </w:p>
          <w:p w14:paraId="32FA7CF5">
            <w:pPr>
              <w:adjustRightInd w:val="0"/>
              <w:spacing w:line="360" w:lineRule="auto"/>
              <w:ind w:left="0" w:leftChars="0" w:firstLine="0" w:firstLineChars="0"/>
              <w:jc w:val="left"/>
              <w:textAlignment w:val="baseline"/>
              <w:rPr>
                <w:rFonts w:hint="default" w:ascii="宋体" w:hAnsi="宋体" w:eastAsia="宋体" w:cs="宋体"/>
                <w:color w:val="auto"/>
                <w:szCs w:val="21"/>
                <w:highlight w:val="none"/>
              </w:rPr>
            </w:pPr>
            <w:r>
              <w:rPr>
                <w:rFonts w:hint="eastAsia" w:ascii="宋体" w:hAnsi="宋体" w:eastAsia="宋体" w:cs="宋体"/>
                <w:color w:val="auto"/>
                <w:szCs w:val="21"/>
                <w:highlight w:val="none"/>
              </w:rPr>
              <w:t>地    址：河南省信阳市息县市民之家</w:t>
            </w:r>
          </w:p>
          <w:p w14:paraId="167F446C">
            <w:pPr>
              <w:adjustRightInd w:val="0"/>
              <w:spacing w:line="360" w:lineRule="auto"/>
              <w:ind w:left="0" w:leftChars="0" w:firstLine="0" w:firstLineChars="0"/>
              <w:jc w:val="left"/>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电子交易系统技术支持电话：4009980000、0376-6369667  </w:t>
            </w:r>
          </w:p>
        </w:tc>
      </w:tr>
      <w:tr w14:paraId="362D3F76">
        <w:tblPrEx>
          <w:tblCellMar>
            <w:top w:w="0" w:type="dxa"/>
            <w:left w:w="108" w:type="dxa"/>
            <w:bottom w:w="0" w:type="dxa"/>
            <w:right w:w="108" w:type="dxa"/>
          </w:tblCellMar>
        </w:tblPrEx>
        <w:trPr>
          <w:trHeight w:val="800"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4DA2081C">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采购代理服务费</w:t>
            </w:r>
          </w:p>
        </w:tc>
        <w:tc>
          <w:tcPr>
            <w:tcW w:w="7522" w:type="dxa"/>
            <w:gridSpan w:val="2"/>
            <w:tcBorders>
              <w:top w:val="single" w:color="auto" w:sz="4" w:space="0"/>
              <w:left w:val="single" w:color="auto" w:sz="4" w:space="0"/>
              <w:bottom w:val="single" w:color="auto" w:sz="4" w:space="0"/>
              <w:right w:val="single" w:color="auto" w:sz="4" w:space="0"/>
            </w:tcBorders>
            <w:noWrap w:val="0"/>
            <w:vAlign w:val="center"/>
          </w:tcPr>
          <w:p w14:paraId="16C63109">
            <w:pPr>
              <w:adjustRightInd w:val="0"/>
              <w:spacing w:line="360" w:lineRule="auto"/>
              <w:ind w:left="0" w:leftChars="0" w:firstLine="0" w:firstLineChars="0"/>
              <w:jc w:val="left"/>
              <w:textAlignment w:val="baseline"/>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本项目采购代理服务费由成交人承担，按照《河南省招标代理服务收费指导意见》豫招协[2023]002号文件规定的代理服务收费标准计算，以项目预算金额为基数进行收取，</w:t>
            </w:r>
            <w:r>
              <w:rPr>
                <w:rFonts w:hint="eastAsia" w:ascii="宋体" w:hAnsi="宋体" w:eastAsia="宋体" w:cs="宋体"/>
                <w:color w:val="auto"/>
                <w:szCs w:val="21"/>
                <w:highlight w:val="none"/>
              </w:rPr>
              <w:t>由代理机构向中标、成交供应商收取。中标人应在领取中标通知书前一次性缴纳。</w:t>
            </w:r>
          </w:p>
        </w:tc>
      </w:tr>
      <w:tr w14:paraId="79B90778">
        <w:tblPrEx>
          <w:tblCellMar>
            <w:top w:w="0" w:type="dxa"/>
            <w:left w:w="108" w:type="dxa"/>
            <w:bottom w:w="0" w:type="dxa"/>
            <w:right w:w="108" w:type="dxa"/>
          </w:tblCellMar>
        </w:tblPrEx>
        <w:trPr>
          <w:trHeight w:val="800"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14:paraId="16D27708">
            <w:pPr>
              <w:spacing w:line="360" w:lineRule="auto"/>
              <w:ind w:left="0" w:leftChars="0" w:firstLine="0" w:firstLineChars="0"/>
              <w:jc w:val="center"/>
              <w:rPr>
                <w:rFonts w:hint="eastAsia" w:ascii="宋体" w:hAnsi="宋体" w:eastAsia="宋体" w:cs="宋体"/>
                <w:b/>
                <w:bCs/>
                <w:color w:val="auto"/>
                <w:kern w:val="0"/>
                <w:sz w:val="21"/>
                <w:szCs w:val="21"/>
                <w:highlight w:val="none"/>
                <w:lang w:val="en-US" w:eastAsia="zh-CN"/>
              </w:rPr>
            </w:pPr>
            <w:bookmarkStart w:id="54" w:name="_Toc152045529"/>
            <w:bookmarkStart w:id="55" w:name="_Toc10694"/>
            <w:bookmarkStart w:id="56" w:name="_Toc152042305"/>
            <w:bookmarkStart w:id="57" w:name="_Toc144974497"/>
            <w:bookmarkStart w:id="58" w:name="_Toc466298091"/>
            <w:bookmarkStart w:id="59" w:name="_Toc10197"/>
            <w:bookmarkStart w:id="60" w:name="_Toc455080108"/>
            <w:r>
              <w:rPr>
                <w:rFonts w:hint="eastAsia" w:ascii="宋体" w:hAnsi="宋体" w:eastAsia="宋体" w:cs="宋体"/>
                <w:b/>
                <w:bCs/>
                <w:color w:val="auto"/>
                <w:kern w:val="0"/>
                <w:sz w:val="21"/>
                <w:szCs w:val="21"/>
                <w:highlight w:val="none"/>
                <w:lang w:val="en-US" w:eastAsia="zh-CN"/>
              </w:rPr>
              <w:t>特别提醒</w:t>
            </w:r>
          </w:p>
        </w:tc>
        <w:tc>
          <w:tcPr>
            <w:tcW w:w="7522" w:type="dxa"/>
            <w:gridSpan w:val="2"/>
            <w:tcBorders>
              <w:top w:val="single" w:color="auto" w:sz="4" w:space="0"/>
              <w:left w:val="single" w:color="auto" w:sz="4" w:space="0"/>
              <w:bottom w:val="single" w:color="auto" w:sz="4" w:space="0"/>
              <w:right w:val="single" w:color="auto" w:sz="4" w:space="0"/>
            </w:tcBorders>
            <w:noWrap w:val="0"/>
            <w:vAlign w:val="center"/>
          </w:tcPr>
          <w:p w14:paraId="71CD0607">
            <w:pPr>
              <w:numPr>
                <w:ilvl w:val="0"/>
                <w:numId w:val="4"/>
              </w:numPr>
              <w:spacing w:line="360" w:lineRule="auto"/>
              <w:ind w:left="0" w:leftChars="0" w:firstLine="0" w:firstLineChars="0"/>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供应商需按照磋商文件要求进行费率报价，但应承诺在中标后提交单次服务报价不得高于本次采购预算价（最高限价）的承诺书。</w:t>
            </w:r>
          </w:p>
          <w:p w14:paraId="67A6366C">
            <w:pPr>
              <w:numPr>
                <w:ilvl w:val="0"/>
                <w:numId w:val="4"/>
              </w:numPr>
              <w:spacing w:line="360" w:lineRule="auto"/>
              <w:ind w:left="0" w:leftChars="0" w:firstLine="0" w:firstLineChars="0"/>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确定为</w:t>
            </w:r>
            <w:r>
              <w:rPr>
                <w:rFonts w:hint="eastAsia" w:ascii="宋体" w:hAnsi="宋体" w:eastAsia="宋体" w:cs="宋体"/>
                <w:b/>
                <w:bCs/>
                <w:color w:val="auto"/>
                <w:szCs w:val="21"/>
                <w:highlight w:val="none"/>
                <w:lang w:eastAsia="zh-CN"/>
              </w:rPr>
              <w:t>中标</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供应商</w:t>
            </w:r>
            <w:r>
              <w:rPr>
                <w:rFonts w:hint="eastAsia" w:ascii="宋体" w:hAnsi="宋体" w:eastAsia="宋体" w:cs="宋体"/>
                <w:b/>
                <w:bCs/>
                <w:color w:val="auto"/>
                <w:szCs w:val="21"/>
                <w:highlight w:val="none"/>
                <w:lang w:val="en-US" w:eastAsia="zh-CN"/>
              </w:rPr>
              <w:t>后，供应商依据采购人每次提供的服务清单提交当次的综合服务单价。经采购人核算确认后，与供应商签订当次维修服务合同</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或维修服务单</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w:t>
            </w:r>
            <w:r>
              <w:rPr>
                <w:rFonts w:hint="eastAsia" w:ascii="宋体" w:hAnsi="宋体" w:eastAsia="宋体" w:cs="宋体"/>
                <w:b/>
                <w:bCs/>
                <w:color w:val="auto"/>
                <w:szCs w:val="21"/>
                <w:highlight w:val="none"/>
                <w:lang w:eastAsia="zh-CN"/>
              </w:rPr>
              <w:t>并</w:t>
            </w:r>
            <w:r>
              <w:rPr>
                <w:rFonts w:hint="eastAsia" w:ascii="宋体" w:hAnsi="宋体" w:eastAsia="宋体" w:cs="宋体"/>
                <w:b/>
                <w:bCs/>
                <w:color w:val="auto"/>
                <w:szCs w:val="21"/>
                <w:highlight w:val="none"/>
                <w:lang w:val="en-US" w:eastAsia="zh-CN"/>
              </w:rPr>
              <w:t>据实结算</w:t>
            </w:r>
            <w:r>
              <w:rPr>
                <w:rFonts w:hint="eastAsia" w:ascii="宋体" w:hAnsi="宋体" w:eastAsia="宋体" w:cs="宋体"/>
                <w:b/>
                <w:bCs/>
                <w:color w:val="auto"/>
                <w:szCs w:val="21"/>
                <w:highlight w:val="none"/>
                <w:lang w:eastAsia="zh-CN"/>
              </w:rPr>
              <w:t>。</w:t>
            </w:r>
          </w:p>
          <w:p w14:paraId="307D421D">
            <w:pPr>
              <w:numPr>
                <w:ilvl w:val="0"/>
                <w:numId w:val="0"/>
              </w:numPr>
              <w:spacing w:line="360" w:lineRule="auto"/>
              <w:ind w:leftChars="0"/>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最终服务价为：</w:t>
            </w:r>
            <w:r>
              <w:rPr>
                <w:rFonts w:hint="eastAsia" w:ascii="宋体" w:hAnsi="宋体" w:eastAsia="宋体" w:cs="宋体"/>
                <w:b/>
                <w:bCs/>
                <w:color w:val="auto"/>
                <w:szCs w:val="21"/>
                <w:highlight w:val="none"/>
                <w:lang w:eastAsia="zh-CN"/>
              </w:rPr>
              <w:t>中标</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供应商</w:t>
            </w:r>
            <w:r>
              <w:rPr>
                <w:rFonts w:hint="eastAsia" w:ascii="宋体" w:hAnsi="宋体" w:eastAsia="宋体" w:cs="宋体"/>
                <w:b/>
                <w:bCs/>
                <w:color w:val="auto"/>
                <w:szCs w:val="21"/>
                <w:highlight w:val="none"/>
                <w:lang w:eastAsia="zh-CN"/>
              </w:rPr>
              <w:t>按照本项目</w:t>
            </w:r>
            <w:r>
              <w:rPr>
                <w:rFonts w:hint="eastAsia" w:ascii="宋体" w:hAnsi="宋体" w:eastAsia="宋体" w:cs="宋体"/>
                <w:b/>
                <w:bCs/>
                <w:color w:val="auto"/>
                <w:szCs w:val="21"/>
                <w:highlight w:val="none"/>
                <w:lang w:val="en-US" w:eastAsia="zh-CN"/>
              </w:rPr>
              <w:t>磋商文件要求以实际发生的综合服务单价</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*成交费率</w:t>
            </w:r>
            <w:r>
              <w:rPr>
                <w:rFonts w:hint="eastAsia" w:ascii="宋体" w:hAnsi="宋体" w:eastAsia="宋体" w:cs="宋体"/>
                <w:b/>
                <w:bCs/>
                <w:color w:val="auto"/>
                <w:szCs w:val="21"/>
                <w:highlight w:val="none"/>
                <w:lang w:eastAsia="zh-CN"/>
              </w:rPr>
              <w:t>。</w:t>
            </w:r>
          </w:p>
          <w:p w14:paraId="67B081C5">
            <w:pPr>
              <w:spacing w:line="360" w:lineRule="auto"/>
              <w:ind w:left="0" w:leftChars="0" w:firstLine="0" w:firstLineChars="0"/>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3、中标供应商必须按照当次最终服务价进行维修服务，否则视为违约。违约方应按当次服务总值的20%支付给采购人违约金。</w:t>
            </w:r>
          </w:p>
          <w:p w14:paraId="73930839">
            <w:pPr>
              <w:spacing w:line="360" w:lineRule="auto"/>
              <w:ind w:left="0" w:leftChars="0" w:firstLine="0" w:firstLineChars="0"/>
              <w:jc w:val="left"/>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4、若在维修服务中，当次维修的费用达到政府采购规定的采购限额标准及以上时，采购人另行委托。</w:t>
            </w:r>
          </w:p>
        </w:tc>
      </w:tr>
    </w:tbl>
    <w:p w14:paraId="6700A5FE">
      <w:pPr>
        <w:pStyle w:val="70"/>
        <w:spacing w:before="0" w:beforeLines="0" w:line="360" w:lineRule="auto"/>
        <w:ind w:left="0" w:leftChars="0" w:firstLine="482" w:firstLineChars="200"/>
        <w:rPr>
          <w:rFonts w:hint="eastAsia" w:ascii="宋体" w:hAnsi="宋体" w:eastAsia="宋体" w:cs="宋体"/>
          <w:color w:val="auto"/>
          <w:sz w:val="21"/>
          <w:szCs w:val="21"/>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1"/>
          <w:szCs w:val="21"/>
          <w:highlight w:val="none"/>
        </w:rPr>
        <w:t>. 总则</w:t>
      </w:r>
      <w:bookmarkEnd w:id="54"/>
      <w:bookmarkEnd w:id="55"/>
      <w:bookmarkEnd w:id="56"/>
      <w:bookmarkEnd w:id="57"/>
      <w:bookmarkEnd w:id="58"/>
      <w:bookmarkEnd w:id="59"/>
      <w:bookmarkEnd w:id="60"/>
    </w:p>
    <w:p w14:paraId="446106A4">
      <w:pPr>
        <w:pStyle w:val="71"/>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61" w:name="_Toc6747"/>
      <w:bookmarkStart w:id="62" w:name="_Toc29023"/>
      <w:bookmarkStart w:id="63" w:name="_Toc658"/>
      <w:bookmarkStart w:id="64" w:name="_Toc281380952"/>
      <w:bookmarkStart w:id="65" w:name="_Toc490667828"/>
      <w:bookmarkStart w:id="66" w:name="_Toc274409866"/>
      <w:bookmarkStart w:id="67" w:name="_Toc22138"/>
      <w:bookmarkStart w:id="68" w:name="_Toc455080109"/>
      <w:bookmarkStart w:id="69" w:name="_Toc466298092"/>
      <w:bookmarkStart w:id="70" w:name="_Toc318450675"/>
      <w:bookmarkStart w:id="71" w:name="_Toc31404"/>
      <w:bookmarkStart w:id="72" w:name="_Toc15709"/>
      <w:bookmarkStart w:id="73" w:name="_Toc1172"/>
      <w:bookmarkStart w:id="74" w:name="_Toc11023"/>
      <w:bookmarkStart w:id="75" w:name="_Toc6428"/>
      <w:bookmarkStart w:id="76" w:name="_Toc455867769"/>
      <w:bookmarkStart w:id="77" w:name="_Toc10273"/>
      <w:bookmarkStart w:id="78" w:name="_Toc21458"/>
      <w:bookmarkStart w:id="79" w:name="_Toc21266"/>
      <w:bookmarkStart w:id="80" w:name="_Toc20827"/>
      <w:bookmarkStart w:id="81" w:name="_Toc152045531"/>
      <w:bookmarkStart w:id="82" w:name="_Toc152042307"/>
      <w:bookmarkStart w:id="83" w:name="_Toc144974499"/>
      <w:r>
        <w:rPr>
          <w:rFonts w:hint="eastAsia" w:ascii="宋体" w:hAnsi="宋体" w:eastAsia="宋体" w:cs="宋体"/>
          <w:b/>
          <w:bCs/>
          <w:color w:val="auto"/>
          <w:sz w:val="21"/>
          <w:szCs w:val="21"/>
          <w:highlight w:val="none"/>
        </w:rPr>
        <w:t>1.1 适用范围</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76E1A7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1.1.1根据《中华人民共和国政府采购法》等有关法律、法规和规章的规定，编制本项目磋商文件。</w:t>
      </w:r>
    </w:p>
    <w:p w14:paraId="776CAEE7">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84" w:name="_Toc274409867"/>
      <w:bookmarkStart w:id="85" w:name="_Toc32619"/>
      <w:bookmarkStart w:id="86" w:name="_Toc10269"/>
      <w:bookmarkStart w:id="87" w:name="_Toc7792"/>
      <w:bookmarkStart w:id="88" w:name="_Toc466298093"/>
      <w:bookmarkStart w:id="89" w:name="_Toc2929"/>
      <w:bookmarkStart w:id="90" w:name="_Toc490667829"/>
      <w:bookmarkStart w:id="91" w:name="_Toc3336"/>
      <w:bookmarkStart w:id="92" w:name="_Toc24852"/>
      <w:bookmarkStart w:id="93" w:name="_Toc318450676"/>
      <w:bookmarkStart w:id="94" w:name="_Toc7237"/>
      <w:bookmarkStart w:id="95" w:name="_Toc10556"/>
      <w:bookmarkStart w:id="96" w:name="_Toc3806"/>
      <w:bookmarkStart w:id="97" w:name="_Toc710"/>
      <w:bookmarkStart w:id="98" w:name="_Toc281405468"/>
      <w:bookmarkStart w:id="99" w:name="_Toc455080110"/>
      <w:bookmarkStart w:id="100" w:name="_Toc30106"/>
      <w:bookmarkStart w:id="101" w:name="_Toc455867770"/>
      <w:bookmarkStart w:id="102" w:name="_Toc30891"/>
      <w:bookmarkStart w:id="103" w:name="_Toc25773"/>
      <w:r>
        <w:rPr>
          <w:rFonts w:hint="eastAsia" w:ascii="宋体" w:hAnsi="宋体" w:eastAsia="宋体" w:cs="宋体"/>
          <w:b/>
          <w:bCs/>
          <w:color w:val="auto"/>
          <w:sz w:val="21"/>
          <w:szCs w:val="21"/>
          <w:highlight w:val="none"/>
        </w:rPr>
        <w:t>1.2 招标项目说明</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632801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 本项目采购人：见供应商须知前附表。</w:t>
      </w:r>
    </w:p>
    <w:p w14:paraId="2A09923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 本项目采购代理机构：见供应商须知前附表。</w:t>
      </w:r>
    </w:p>
    <w:p w14:paraId="108FDA2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1.2.3 本项目名称：见供应商须知前附表。</w:t>
      </w:r>
    </w:p>
    <w:p w14:paraId="39656983">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1.2.4本项目采购方式</w:t>
      </w:r>
      <w:r>
        <w:rPr>
          <w:rFonts w:hint="eastAsia" w:ascii="宋体" w:hAnsi="宋体" w:eastAsia="宋体" w:cs="宋体"/>
          <w:color w:val="auto"/>
          <w:szCs w:val="21"/>
          <w:highlight w:val="none"/>
        </w:rPr>
        <w:t>：见供应商须知前附表。</w:t>
      </w:r>
    </w:p>
    <w:p w14:paraId="4857987A">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1.2.5本项目预算价（最高限价）：见供应商须知前附表。</w:t>
      </w:r>
    </w:p>
    <w:p w14:paraId="41F5D67A">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1.2.6落实政府采购政策要求：见供应商须知前附表。</w:t>
      </w:r>
    </w:p>
    <w:p w14:paraId="2CF0C110">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104" w:name="_Toc17146"/>
      <w:bookmarkStart w:id="105" w:name="_Toc21971"/>
      <w:bookmarkStart w:id="106" w:name="_Toc4122"/>
      <w:bookmarkStart w:id="107" w:name="_Toc490667830"/>
      <w:bookmarkStart w:id="108" w:name="_Toc455080111"/>
      <w:bookmarkStart w:id="109" w:name="_Toc19716"/>
      <w:bookmarkStart w:id="110" w:name="_Toc22979"/>
      <w:bookmarkStart w:id="111" w:name="_Toc4952"/>
      <w:bookmarkStart w:id="112" w:name="_Toc18960"/>
      <w:bookmarkStart w:id="113" w:name="_Toc455867771"/>
      <w:bookmarkStart w:id="114" w:name="_Toc1373"/>
      <w:bookmarkStart w:id="115" w:name="_Toc16931"/>
      <w:bookmarkStart w:id="116" w:name="_Toc3477"/>
      <w:bookmarkStart w:id="117" w:name="_Toc4563"/>
      <w:bookmarkStart w:id="118" w:name="_Toc466298094"/>
      <w:bookmarkStart w:id="119" w:name="_Toc281405469"/>
      <w:bookmarkStart w:id="120" w:name="_Toc17016"/>
      <w:bookmarkStart w:id="121" w:name="_Toc318450677"/>
      <w:bookmarkStart w:id="122" w:name="_Toc274409868"/>
      <w:bookmarkStart w:id="123" w:name="_Toc530"/>
      <w:r>
        <w:rPr>
          <w:rFonts w:hint="eastAsia" w:ascii="宋体" w:hAnsi="宋体" w:eastAsia="宋体" w:cs="宋体"/>
          <w:b/>
          <w:bCs/>
          <w:color w:val="auto"/>
          <w:sz w:val="21"/>
          <w:szCs w:val="21"/>
          <w:highlight w:val="none"/>
        </w:rPr>
        <w:t>1.3 定义及解释</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6226099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1.3.1采购人：依法进行政府采购的国家机关、事业单位、团体组织。</w:t>
      </w:r>
    </w:p>
    <w:p w14:paraId="5B4EE9F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1.3.2采购代理机构：取得政府采购招标代理资质，受采购人委托组织招标活动的社会中介组织。</w:t>
      </w:r>
    </w:p>
    <w:p w14:paraId="0D1A57B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1.3.3服务：系指根据本磋商文件规定供应商须承担的服务以及其他类似的义务等。</w:t>
      </w:r>
    </w:p>
    <w:p w14:paraId="24F83D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1.3.4供应商：供应商是响应磋商文件、参加磋商竞争的中华人民共和国境内的法人、其它组织。</w:t>
      </w:r>
    </w:p>
    <w:p w14:paraId="3AC352B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1.3.5响应文件：指供应商根据</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提交的所有文件。</w:t>
      </w:r>
    </w:p>
    <w:p w14:paraId="10E03A1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1.3.6磋商小组：依据</w:t>
      </w:r>
      <w:r>
        <w:rPr>
          <w:rFonts w:hint="eastAsia" w:ascii="宋体" w:hAnsi="宋体" w:eastAsia="宋体" w:cs="宋体"/>
          <w:color w:val="auto"/>
          <w:szCs w:val="21"/>
          <w:highlight w:val="none"/>
          <w:lang w:bidi="en-US"/>
        </w:rPr>
        <w:t>《中华人民共和国政府采购法》及有关法律、法规的规定依法组建的专门负责本次评标工作的临时机构</w:t>
      </w:r>
      <w:r>
        <w:rPr>
          <w:rFonts w:hint="eastAsia" w:ascii="宋体" w:hAnsi="宋体" w:eastAsia="宋体" w:cs="宋体"/>
          <w:color w:val="auto"/>
          <w:szCs w:val="21"/>
          <w:highlight w:val="none"/>
        </w:rPr>
        <w:t>。</w:t>
      </w:r>
    </w:p>
    <w:p w14:paraId="1B6E8E9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1.3.7偏离：响应文件的响应相对于</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要求的偏差，该偏差优于</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要求的为正偏离；劣于的，为负偏离。</w:t>
      </w:r>
    </w:p>
    <w:p w14:paraId="4F91996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1.3.8“日期”或“天”：指日历天。</w:t>
      </w:r>
    </w:p>
    <w:p w14:paraId="196AAB3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1.3.9合同：指依据本次服务采购招标结果签订的协议或合约文件。</w:t>
      </w:r>
    </w:p>
    <w:p w14:paraId="04028B7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1.3.10</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中的标题或题名仅起引导作用，而不应视为对</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内容的理解和解释。</w:t>
      </w:r>
    </w:p>
    <w:bookmarkEnd w:id="81"/>
    <w:bookmarkEnd w:id="82"/>
    <w:bookmarkEnd w:id="83"/>
    <w:p w14:paraId="048E23BD">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124" w:name="_Toc455867772"/>
      <w:bookmarkStart w:id="125" w:name="_Toc32236"/>
      <w:bookmarkStart w:id="126" w:name="_Toc17908"/>
      <w:bookmarkStart w:id="127" w:name="_Toc490667831"/>
      <w:bookmarkStart w:id="128" w:name="_Toc16210"/>
      <w:bookmarkStart w:id="129" w:name="_Toc144974500"/>
      <w:bookmarkStart w:id="130" w:name="_Toc318450678"/>
      <w:bookmarkStart w:id="131" w:name="_Toc27407"/>
      <w:bookmarkStart w:id="132" w:name="_Toc17808"/>
      <w:bookmarkStart w:id="133" w:name="_Toc10894"/>
      <w:bookmarkStart w:id="134" w:name="_Toc16144"/>
      <w:bookmarkStart w:id="135" w:name="_Toc12752"/>
      <w:bookmarkStart w:id="136" w:name="_Toc152042308"/>
      <w:bookmarkStart w:id="137" w:name="_Toc21766"/>
      <w:bookmarkStart w:id="138" w:name="_Toc152045532"/>
      <w:bookmarkStart w:id="139" w:name="_Toc11210"/>
      <w:bookmarkStart w:id="140" w:name="_Toc455080112"/>
      <w:bookmarkStart w:id="141" w:name="_Toc19363"/>
      <w:bookmarkStart w:id="142" w:name="_Toc466298095"/>
      <w:bookmarkStart w:id="143" w:name="_Toc16470"/>
      <w:bookmarkStart w:id="144" w:name="_Toc14043"/>
      <w:r>
        <w:rPr>
          <w:rFonts w:hint="eastAsia" w:ascii="宋体" w:hAnsi="宋体" w:eastAsia="宋体" w:cs="宋体"/>
          <w:b/>
          <w:bCs/>
          <w:color w:val="auto"/>
          <w:sz w:val="21"/>
          <w:szCs w:val="21"/>
          <w:highlight w:val="none"/>
        </w:rPr>
        <w:t xml:space="preserve">1.4 </w:t>
      </w:r>
      <w:r>
        <w:rPr>
          <w:rFonts w:hint="eastAsia" w:ascii="宋体" w:hAnsi="宋体" w:eastAsia="宋体" w:cs="宋体"/>
          <w:b/>
          <w:bCs/>
          <w:color w:val="auto"/>
          <w:sz w:val="21"/>
          <w:szCs w:val="21"/>
          <w:highlight w:val="none"/>
          <w:lang w:eastAsia="zh-CN"/>
        </w:rPr>
        <w:t>磋商内容、</w:t>
      </w:r>
      <w:r>
        <w:rPr>
          <w:rFonts w:hint="eastAsia" w:ascii="宋体" w:hAnsi="宋体" w:eastAsia="宋体" w:cs="宋体"/>
          <w:b/>
          <w:bCs/>
          <w:color w:val="auto"/>
          <w:sz w:val="21"/>
          <w:szCs w:val="21"/>
          <w:highlight w:val="none"/>
          <w:lang w:val="en-US" w:eastAsia="zh-CN"/>
        </w:rPr>
        <w:t>服务期限</w:t>
      </w:r>
      <w:r>
        <w:rPr>
          <w:rFonts w:hint="eastAsia" w:ascii="宋体" w:hAnsi="宋体" w:eastAsia="宋体" w:cs="宋体"/>
          <w:b/>
          <w:bCs/>
          <w:color w:val="auto"/>
          <w:sz w:val="21"/>
          <w:szCs w:val="21"/>
          <w:highlight w:val="none"/>
          <w:lang w:eastAsia="zh-CN"/>
        </w:rPr>
        <w:t>、</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rFonts w:hint="eastAsia" w:ascii="宋体" w:hAnsi="宋体" w:eastAsia="宋体" w:cs="宋体"/>
          <w:b/>
          <w:bCs/>
          <w:color w:val="auto"/>
          <w:sz w:val="21"/>
          <w:szCs w:val="21"/>
          <w:highlight w:val="none"/>
          <w:lang w:val="en-US" w:eastAsia="zh-CN"/>
        </w:rPr>
        <w:t>服务要求</w:t>
      </w:r>
    </w:p>
    <w:p w14:paraId="74B6CE7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1.4.1 本次</w:t>
      </w:r>
      <w:r>
        <w:rPr>
          <w:rFonts w:hint="eastAsia" w:ascii="宋体" w:hAnsi="宋体" w:eastAsia="宋体" w:cs="宋体"/>
          <w:color w:val="auto"/>
          <w:szCs w:val="21"/>
          <w:highlight w:val="none"/>
          <w:lang w:eastAsia="zh-CN"/>
        </w:rPr>
        <w:t>磋商内容</w:t>
      </w:r>
      <w:r>
        <w:rPr>
          <w:rFonts w:hint="eastAsia" w:ascii="宋体" w:hAnsi="宋体" w:eastAsia="宋体" w:cs="宋体"/>
          <w:color w:val="auto"/>
          <w:szCs w:val="21"/>
          <w:highlight w:val="none"/>
        </w:rPr>
        <w:t>：见供应商须知前附表。</w:t>
      </w:r>
    </w:p>
    <w:p w14:paraId="659D0CE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1.4.2 本项目的</w:t>
      </w:r>
      <w:r>
        <w:rPr>
          <w:rFonts w:hint="eastAsia" w:ascii="宋体" w:hAnsi="宋体" w:eastAsia="宋体" w:cs="宋体"/>
          <w:color w:val="auto"/>
          <w:szCs w:val="21"/>
          <w:highlight w:val="none"/>
          <w:lang w:val="en-US" w:eastAsia="zh-CN"/>
        </w:rPr>
        <w:t>服务期限</w:t>
      </w:r>
      <w:r>
        <w:rPr>
          <w:rFonts w:hint="eastAsia" w:ascii="宋体" w:hAnsi="宋体" w:eastAsia="宋体" w:cs="宋体"/>
          <w:color w:val="auto"/>
          <w:szCs w:val="21"/>
          <w:highlight w:val="none"/>
        </w:rPr>
        <w:t>：见供应商须知前附表。</w:t>
      </w:r>
    </w:p>
    <w:p w14:paraId="00BD298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本项目的</w:t>
      </w:r>
      <w:r>
        <w:rPr>
          <w:rFonts w:hint="eastAsia" w:ascii="宋体" w:hAnsi="宋体" w:eastAsia="宋体" w:cs="宋体"/>
          <w:color w:val="auto"/>
          <w:sz w:val="21"/>
          <w:szCs w:val="21"/>
          <w:highlight w:val="none"/>
          <w:lang w:val="en-US" w:eastAsia="zh-CN"/>
        </w:rPr>
        <w:t>服务要求</w:t>
      </w:r>
      <w:r>
        <w:rPr>
          <w:rFonts w:hint="eastAsia" w:ascii="宋体" w:hAnsi="宋体" w:eastAsia="宋体" w:cs="宋体"/>
          <w:color w:val="auto"/>
          <w:szCs w:val="21"/>
          <w:highlight w:val="none"/>
        </w:rPr>
        <w:t>：见供应商须知前附表。</w:t>
      </w:r>
    </w:p>
    <w:p w14:paraId="3556CD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1.4.4</w:t>
      </w:r>
      <w:r>
        <w:rPr>
          <w:rFonts w:hint="eastAsia" w:ascii="宋体" w:hAnsi="宋体" w:eastAsia="宋体" w:cs="宋体"/>
          <w:color w:val="auto"/>
          <w:szCs w:val="21"/>
          <w:highlight w:val="none"/>
        </w:rPr>
        <w:t>本项目的</w:t>
      </w:r>
      <w:r>
        <w:rPr>
          <w:rFonts w:hint="eastAsia" w:ascii="宋体" w:hAnsi="宋体" w:eastAsia="宋体" w:cs="宋体"/>
          <w:color w:val="auto"/>
          <w:szCs w:val="21"/>
          <w:highlight w:val="none"/>
          <w:lang w:val="en-US" w:eastAsia="zh-CN"/>
        </w:rPr>
        <w:t>服务地点：</w:t>
      </w:r>
      <w:r>
        <w:rPr>
          <w:rFonts w:hint="eastAsia" w:ascii="宋体" w:hAnsi="宋体" w:eastAsia="宋体" w:cs="宋体"/>
          <w:color w:val="auto"/>
          <w:szCs w:val="21"/>
          <w:highlight w:val="none"/>
        </w:rPr>
        <w:t>见供应商须知前附表。</w:t>
      </w:r>
    </w:p>
    <w:p w14:paraId="785792A9">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145" w:name="_Toc144974502"/>
      <w:bookmarkStart w:id="146" w:name="_Toc152045534"/>
      <w:bookmarkStart w:id="147" w:name="_Toc152042310"/>
      <w:bookmarkStart w:id="148" w:name="_Toc318450679"/>
      <w:bookmarkStart w:id="149" w:name="_Toc1602"/>
      <w:bookmarkStart w:id="150" w:name="_Toc4711"/>
      <w:bookmarkStart w:id="151" w:name="_Toc11063"/>
      <w:bookmarkStart w:id="152" w:name="_Toc15759"/>
      <w:bookmarkStart w:id="153" w:name="_Toc466298096"/>
      <w:bookmarkStart w:id="154" w:name="_Toc26034"/>
      <w:bookmarkStart w:id="155" w:name="_Toc22643"/>
      <w:bookmarkStart w:id="156" w:name="_Toc455080113"/>
      <w:bookmarkStart w:id="157" w:name="_Toc5019"/>
      <w:bookmarkStart w:id="158" w:name="_Toc18004"/>
      <w:bookmarkStart w:id="159" w:name="_Toc32156"/>
      <w:bookmarkStart w:id="160" w:name="_Toc455867773"/>
      <w:bookmarkStart w:id="161" w:name="_Toc16663"/>
      <w:bookmarkStart w:id="162" w:name="_Toc18689"/>
      <w:bookmarkStart w:id="163" w:name="_Toc4301"/>
      <w:bookmarkStart w:id="164" w:name="_Toc490667832"/>
      <w:bookmarkStart w:id="165" w:name="_Toc7209"/>
      <w:r>
        <w:rPr>
          <w:rFonts w:hint="eastAsia" w:ascii="宋体" w:hAnsi="宋体" w:eastAsia="宋体" w:cs="宋体"/>
          <w:b/>
          <w:bCs/>
          <w:color w:val="auto"/>
          <w:sz w:val="21"/>
          <w:szCs w:val="21"/>
          <w:highlight w:val="none"/>
        </w:rPr>
        <w:t xml:space="preserve">1.5 </w:t>
      </w:r>
      <w:bookmarkEnd w:id="145"/>
      <w:bookmarkEnd w:id="146"/>
      <w:bookmarkEnd w:id="147"/>
      <w:bookmarkEnd w:id="148"/>
      <w:r>
        <w:rPr>
          <w:rFonts w:hint="eastAsia" w:ascii="宋体" w:hAnsi="宋体" w:eastAsia="宋体" w:cs="宋体"/>
          <w:b/>
          <w:bCs/>
          <w:color w:val="auto"/>
          <w:sz w:val="21"/>
          <w:szCs w:val="21"/>
          <w:highlight w:val="none"/>
        </w:rPr>
        <w:t>供应商资质条件和能力</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30D1B60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1.5.1供应商资质及能力要求：见供应商须知前附表。</w:t>
      </w:r>
    </w:p>
    <w:p w14:paraId="24A4165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1.5.2是否接受联合体：见供应商须知前附表。</w:t>
      </w:r>
    </w:p>
    <w:p w14:paraId="3C2C4A4F">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166" w:name="_Toc29599"/>
      <w:bookmarkStart w:id="167" w:name="_Toc12403"/>
      <w:bookmarkStart w:id="168" w:name="_Toc455867774"/>
      <w:bookmarkStart w:id="169" w:name="_Toc455080114"/>
      <w:bookmarkStart w:id="170" w:name="_Toc28135"/>
      <w:bookmarkStart w:id="171" w:name="_Toc5162"/>
      <w:bookmarkStart w:id="172" w:name="_Toc318450680"/>
      <w:bookmarkStart w:id="173" w:name="_Toc152045535"/>
      <w:bookmarkStart w:id="174" w:name="_Toc11905"/>
      <w:bookmarkStart w:id="175" w:name="_Toc490667833"/>
      <w:bookmarkStart w:id="176" w:name="_Toc152042311"/>
      <w:bookmarkStart w:id="177" w:name="_Toc32446"/>
      <w:bookmarkStart w:id="178" w:name="_Toc1512"/>
      <w:bookmarkStart w:id="179" w:name="_Toc981"/>
      <w:bookmarkStart w:id="180" w:name="_Toc32234"/>
      <w:bookmarkStart w:id="181" w:name="_Toc9505"/>
      <w:bookmarkStart w:id="182" w:name="_Toc144974503"/>
      <w:bookmarkStart w:id="183" w:name="_Toc466298097"/>
      <w:bookmarkStart w:id="184" w:name="_Toc651"/>
      <w:bookmarkStart w:id="185" w:name="_Toc16889"/>
      <w:bookmarkStart w:id="186" w:name="_Toc31854"/>
      <w:r>
        <w:rPr>
          <w:rFonts w:hint="eastAsia" w:ascii="宋体" w:hAnsi="宋体" w:eastAsia="宋体" w:cs="宋体"/>
          <w:b/>
          <w:bCs/>
          <w:color w:val="auto"/>
          <w:sz w:val="21"/>
          <w:szCs w:val="21"/>
          <w:highlight w:val="none"/>
        </w:rPr>
        <w:t>1.6 费用承担</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3598280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供应商准备和参加磋商活动发生的费用自理，不论磋商的结果如何，采购人和采购代理机构在任何情况下均无义务和责任承担这些费用。</w:t>
      </w:r>
    </w:p>
    <w:p w14:paraId="02E435FE">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187" w:name="_Toc2622"/>
      <w:bookmarkStart w:id="188" w:name="_Toc2488"/>
      <w:bookmarkStart w:id="189" w:name="_Toc6014"/>
      <w:bookmarkStart w:id="190" w:name="_Toc455867775"/>
      <w:bookmarkStart w:id="191" w:name="_Toc8055"/>
      <w:bookmarkStart w:id="192" w:name="_Toc22800"/>
      <w:bookmarkStart w:id="193" w:name="_Toc466298098"/>
      <w:bookmarkStart w:id="194" w:name="_Toc490667834"/>
      <w:bookmarkStart w:id="195" w:name="_Toc20145"/>
      <w:bookmarkStart w:id="196" w:name="_Toc5307"/>
      <w:bookmarkStart w:id="197" w:name="_Toc22136"/>
      <w:bookmarkStart w:id="198" w:name="_Toc1879"/>
      <w:bookmarkStart w:id="199" w:name="_Toc455080115"/>
      <w:bookmarkStart w:id="200" w:name="_Toc318450681"/>
      <w:bookmarkStart w:id="201" w:name="_Toc32053"/>
      <w:bookmarkStart w:id="202" w:name="_Toc152042312"/>
      <w:bookmarkStart w:id="203" w:name="_Toc24601"/>
      <w:bookmarkStart w:id="204" w:name="_Toc5402"/>
      <w:bookmarkStart w:id="205" w:name="_Toc29931"/>
      <w:bookmarkStart w:id="206" w:name="_Toc144974504"/>
      <w:bookmarkStart w:id="207" w:name="_Toc152045536"/>
      <w:r>
        <w:rPr>
          <w:rFonts w:hint="eastAsia" w:ascii="宋体" w:hAnsi="宋体" w:eastAsia="宋体" w:cs="宋体"/>
          <w:b/>
          <w:bCs/>
          <w:color w:val="auto"/>
          <w:sz w:val="21"/>
          <w:szCs w:val="21"/>
          <w:highlight w:val="none"/>
        </w:rPr>
        <w:t>1.7 保密</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4AB7648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参与磋商活动的各方应对</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 xml:space="preserve">和响应文件中的商业和技术等秘密保密，违者应对由此造成的后果承担法律责任。 </w:t>
      </w:r>
    </w:p>
    <w:p w14:paraId="249302DB">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208" w:name="_Toc144974505"/>
      <w:bookmarkStart w:id="209" w:name="_Toc14775"/>
      <w:bookmarkStart w:id="210" w:name="_Toc455867776"/>
      <w:bookmarkStart w:id="211" w:name="_Toc13731"/>
      <w:bookmarkStart w:id="212" w:name="_Toc25517"/>
      <w:bookmarkStart w:id="213" w:name="_Toc25837"/>
      <w:bookmarkStart w:id="214" w:name="_Toc7031"/>
      <w:bookmarkStart w:id="215" w:name="_Toc152045537"/>
      <w:bookmarkStart w:id="216" w:name="_Toc30583"/>
      <w:bookmarkStart w:id="217" w:name="_Toc466298099"/>
      <w:bookmarkStart w:id="218" w:name="_Toc3628"/>
      <w:bookmarkStart w:id="219" w:name="_Toc318450682"/>
      <w:bookmarkStart w:id="220" w:name="_Toc13976"/>
      <w:bookmarkStart w:id="221" w:name="_Toc6615"/>
      <w:bookmarkStart w:id="222" w:name="_Toc490667835"/>
      <w:bookmarkStart w:id="223" w:name="_Toc30747"/>
      <w:bookmarkStart w:id="224" w:name="_Toc21089"/>
      <w:bookmarkStart w:id="225" w:name="_Toc15673"/>
      <w:bookmarkStart w:id="226" w:name="_Toc455080116"/>
      <w:bookmarkStart w:id="227" w:name="_Toc152042313"/>
      <w:bookmarkStart w:id="228" w:name="_Toc30460"/>
      <w:r>
        <w:rPr>
          <w:rFonts w:hint="eastAsia" w:ascii="宋体" w:hAnsi="宋体" w:eastAsia="宋体" w:cs="宋体"/>
          <w:b/>
          <w:bCs/>
          <w:color w:val="auto"/>
          <w:sz w:val="21"/>
          <w:szCs w:val="21"/>
          <w:highlight w:val="none"/>
        </w:rPr>
        <w:t>1.8 语言</w:t>
      </w:r>
      <w:bookmarkEnd w:id="208"/>
      <w:r>
        <w:rPr>
          <w:rFonts w:hint="eastAsia" w:ascii="宋体" w:hAnsi="宋体" w:eastAsia="宋体" w:cs="宋体"/>
          <w:b/>
          <w:bCs/>
          <w:color w:val="auto"/>
          <w:sz w:val="21"/>
          <w:szCs w:val="21"/>
          <w:highlight w:val="none"/>
        </w:rPr>
        <w:t>文字</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470753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除专用术语外，与磋商有关的语言均使用中文。必要时专用术语应附有中文注释，</w:t>
      </w:r>
      <w:r>
        <w:rPr>
          <w:rFonts w:hint="eastAsia" w:ascii="宋体" w:hAnsi="宋体" w:eastAsia="宋体" w:cs="宋体"/>
          <w:color w:val="auto"/>
          <w:szCs w:val="21"/>
          <w:highlight w:val="none"/>
          <w:lang w:bidi="en-US"/>
        </w:rPr>
        <w:t>对不同文字文本响应文件的解释发生异议的，以中文文本为准。</w:t>
      </w:r>
    </w:p>
    <w:p w14:paraId="6CE5F915">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229" w:name="_Toc18357"/>
      <w:bookmarkStart w:id="230" w:name="_Toc455080117"/>
      <w:bookmarkStart w:id="231" w:name="_Toc2702"/>
      <w:bookmarkStart w:id="232" w:name="_Toc22378"/>
      <w:bookmarkStart w:id="233" w:name="_Toc5615"/>
      <w:bookmarkStart w:id="234" w:name="_Toc490667836"/>
      <w:bookmarkStart w:id="235" w:name="_Toc152045538"/>
      <w:bookmarkStart w:id="236" w:name="_Toc9446"/>
      <w:bookmarkStart w:id="237" w:name="_Toc144974506"/>
      <w:bookmarkStart w:id="238" w:name="_Toc32507"/>
      <w:bookmarkStart w:id="239" w:name="_Toc4237"/>
      <w:bookmarkStart w:id="240" w:name="_Toc15748"/>
      <w:bookmarkStart w:id="241" w:name="_Toc7615"/>
      <w:bookmarkStart w:id="242" w:name="_Toc24337"/>
      <w:bookmarkStart w:id="243" w:name="_Toc455867777"/>
      <w:bookmarkStart w:id="244" w:name="_Toc4501"/>
      <w:bookmarkStart w:id="245" w:name="_Toc318450683"/>
      <w:bookmarkStart w:id="246" w:name="_Toc14934"/>
      <w:bookmarkStart w:id="247" w:name="_Toc152042314"/>
      <w:bookmarkStart w:id="248" w:name="_Toc22415"/>
      <w:bookmarkStart w:id="249" w:name="_Toc466298100"/>
      <w:r>
        <w:rPr>
          <w:rFonts w:hint="eastAsia" w:ascii="宋体" w:hAnsi="宋体" w:eastAsia="宋体" w:cs="宋体"/>
          <w:b/>
          <w:bCs/>
          <w:color w:val="auto"/>
          <w:sz w:val="21"/>
          <w:szCs w:val="21"/>
          <w:highlight w:val="none"/>
        </w:rPr>
        <w:t>1.9 计量单位</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19912CE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所有计量均采用中华人民共和国法定计量单位。</w:t>
      </w:r>
    </w:p>
    <w:p w14:paraId="51CF37FF">
      <w:pPr>
        <w:pStyle w:val="71"/>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val="0"/>
          <w:bCs w:val="0"/>
          <w:color w:val="auto"/>
          <w:sz w:val="21"/>
          <w:szCs w:val="21"/>
          <w:highlight w:val="none"/>
          <w:lang w:eastAsia="zh-CN"/>
        </w:rPr>
      </w:pPr>
      <w:bookmarkStart w:id="250" w:name="_Toc490667837"/>
      <w:bookmarkStart w:id="251" w:name="_Toc27570"/>
      <w:bookmarkStart w:id="252" w:name="_Toc18589"/>
      <w:bookmarkStart w:id="253" w:name="_Toc455867778"/>
      <w:bookmarkStart w:id="254" w:name="_Toc152042316"/>
      <w:bookmarkStart w:id="255" w:name="_Toc2508"/>
      <w:bookmarkStart w:id="256" w:name="_Toc338"/>
      <w:bookmarkStart w:id="257" w:name="_Toc19685"/>
      <w:bookmarkStart w:id="258" w:name="_Toc13675"/>
      <w:bookmarkStart w:id="259" w:name="_Toc284"/>
      <w:bookmarkStart w:id="260" w:name="_Toc152045540"/>
      <w:bookmarkStart w:id="261" w:name="_Toc31195"/>
      <w:bookmarkStart w:id="262" w:name="_Toc455080118"/>
      <w:bookmarkStart w:id="263" w:name="_Toc29845"/>
      <w:bookmarkStart w:id="264" w:name="_Toc144974508"/>
      <w:bookmarkStart w:id="265" w:name="_Toc466298101"/>
      <w:bookmarkStart w:id="266" w:name="_Toc318450684"/>
      <w:bookmarkStart w:id="267" w:name="_Toc12027"/>
      <w:bookmarkStart w:id="268" w:name="_Toc727"/>
      <w:bookmarkStart w:id="269" w:name="_Toc25759"/>
      <w:bookmarkStart w:id="270" w:name="_Toc11268"/>
      <w:r>
        <w:rPr>
          <w:rFonts w:hint="eastAsia" w:ascii="宋体" w:hAnsi="宋体" w:eastAsia="宋体" w:cs="宋体"/>
          <w:b/>
          <w:bCs/>
          <w:color w:val="auto"/>
          <w:sz w:val="21"/>
          <w:szCs w:val="21"/>
          <w:highlight w:val="none"/>
        </w:rPr>
        <w:t xml:space="preserve">1.10 </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Pr>
          <w:rFonts w:hint="eastAsia" w:ascii="宋体" w:hAnsi="宋体" w:eastAsia="宋体" w:cs="宋体"/>
          <w:b/>
          <w:bCs/>
          <w:color w:val="auto"/>
          <w:sz w:val="21"/>
          <w:szCs w:val="21"/>
          <w:highlight w:val="none"/>
          <w:lang w:eastAsia="zh-CN"/>
        </w:rPr>
        <w:t>现场踏勘：</w:t>
      </w:r>
      <w:r>
        <w:rPr>
          <w:rFonts w:hint="eastAsia" w:ascii="宋体" w:hAnsi="宋体" w:eastAsia="宋体" w:cs="宋体"/>
          <w:b w:val="0"/>
          <w:bCs w:val="0"/>
          <w:color w:val="auto"/>
          <w:sz w:val="21"/>
          <w:szCs w:val="21"/>
          <w:highlight w:val="none"/>
          <w:lang w:eastAsia="zh-CN"/>
        </w:rPr>
        <w:t>自行踏勘，与之相关的费用，供应商自行承担。</w:t>
      </w:r>
      <w:bookmarkEnd w:id="268"/>
      <w:bookmarkEnd w:id="269"/>
      <w:bookmarkEnd w:id="270"/>
    </w:p>
    <w:p w14:paraId="6FAADE3B">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lang w:eastAsia="zh-CN"/>
        </w:rPr>
      </w:pPr>
      <w:bookmarkStart w:id="271" w:name="_Toc12562"/>
      <w:bookmarkStart w:id="272" w:name="_Toc144974509"/>
      <w:bookmarkStart w:id="273" w:name="_Toc455867779"/>
      <w:bookmarkStart w:id="274" w:name="_Toc23678"/>
      <w:bookmarkStart w:id="275" w:name="_Toc23635"/>
      <w:bookmarkStart w:id="276" w:name="_Toc490667838"/>
      <w:bookmarkStart w:id="277" w:name="_Toc455080119"/>
      <w:bookmarkStart w:id="278" w:name="_Toc24262"/>
      <w:bookmarkStart w:id="279" w:name="_Toc31725"/>
      <w:bookmarkStart w:id="280" w:name="_Toc10952"/>
      <w:bookmarkStart w:id="281" w:name="_Toc16356"/>
      <w:bookmarkStart w:id="282" w:name="_Toc318450685"/>
      <w:bookmarkStart w:id="283" w:name="_Toc3853"/>
      <w:bookmarkStart w:id="284" w:name="_Toc20185"/>
      <w:bookmarkStart w:id="285" w:name="_Toc152045541"/>
      <w:bookmarkStart w:id="286" w:name="_Toc11744"/>
      <w:bookmarkStart w:id="287" w:name="_Toc9182"/>
      <w:bookmarkStart w:id="288" w:name="_Toc32757"/>
      <w:bookmarkStart w:id="289" w:name="_Toc152042317"/>
      <w:bookmarkStart w:id="290" w:name="_Toc466298102"/>
      <w:bookmarkStart w:id="291" w:name="_Toc25208"/>
      <w:r>
        <w:rPr>
          <w:rFonts w:hint="eastAsia" w:ascii="宋体" w:hAnsi="宋体" w:eastAsia="宋体" w:cs="宋体"/>
          <w:b/>
          <w:bCs/>
          <w:color w:val="auto"/>
          <w:sz w:val="21"/>
          <w:szCs w:val="21"/>
          <w:highlight w:val="none"/>
          <w:lang w:eastAsia="zh-CN"/>
        </w:rPr>
        <w:t>1.11分包</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0E9F64CD">
      <w:pPr>
        <w:spacing w:line="360" w:lineRule="auto"/>
        <w:ind w:firstLine="567" w:firstLineChars="270"/>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是否允许分包：见供应商须知前附表。</w:t>
      </w:r>
      <w:bookmarkStart w:id="292" w:name="_Toc152045542"/>
      <w:bookmarkStart w:id="293" w:name="_Toc152042318"/>
      <w:bookmarkStart w:id="294" w:name="_Toc144974510"/>
      <w:bookmarkStart w:id="295" w:name="_Toc455080120"/>
    </w:p>
    <w:bookmarkEnd w:id="292"/>
    <w:bookmarkEnd w:id="293"/>
    <w:bookmarkEnd w:id="294"/>
    <w:p w14:paraId="6C735A4E">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color w:val="auto"/>
          <w:szCs w:val="21"/>
          <w:highlight w:val="none"/>
          <w:lang w:eastAsia="zh-CN"/>
        </w:rPr>
      </w:pPr>
      <w:bookmarkStart w:id="296" w:name="_Toc12453"/>
      <w:bookmarkStart w:id="297" w:name="_Toc23465"/>
      <w:r>
        <w:rPr>
          <w:rFonts w:hint="eastAsia" w:ascii="宋体" w:hAnsi="宋体" w:eastAsia="宋体" w:cs="宋体"/>
          <w:b/>
          <w:bCs/>
          <w:color w:val="auto"/>
          <w:szCs w:val="21"/>
          <w:highlight w:val="none"/>
        </w:rPr>
        <w:t>2.</w:t>
      </w:r>
      <w:bookmarkEnd w:id="295"/>
      <w:bookmarkEnd w:id="296"/>
      <w:r>
        <w:rPr>
          <w:rFonts w:hint="eastAsia" w:ascii="宋体" w:hAnsi="宋体" w:eastAsia="宋体" w:cs="宋体"/>
          <w:b/>
          <w:bCs/>
          <w:color w:val="auto"/>
          <w:szCs w:val="21"/>
          <w:highlight w:val="none"/>
          <w:lang w:eastAsia="zh-CN"/>
        </w:rPr>
        <w:t>竞争性磋商文件</w:t>
      </w:r>
      <w:bookmarkEnd w:id="297"/>
    </w:p>
    <w:p w14:paraId="44E04909">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lang w:eastAsia="zh-CN"/>
        </w:rPr>
      </w:pPr>
      <w:bookmarkStart w:id="298" w:name="_Toc152045543"/>
      <w:bookmarkStart w:id="299" w:name="_Toc7999"/>
      <w:bookmarkStart w:id="300" w:name="_Toc12004"/>
      <w:bookmarkStart w:id="301" w:name="_Toc455867781"/>
      <w:bookmarkStart w:id="302" w:name="_Toc32711"/>
      <w:bookmarkStart w:id="303" w:name="_Toc16348"/>
      <w:bookmarkStart w:id="304" w:name="_Toc1008"/>
      <w:bookmarkStart w:id="305" w:name="_Toc23649"/>
      <w:bookmarkStart w:id="306" w:name="_Toc144974511"/>
      <w:bookmarkStart w:id="307" w:name="_Toc318450687"/>
      <w:bookmarkStart w:id="308" w:name="_Toc9780"/>
      <w:bookmarkStart w:id="309" w:name="_Toc490667840"/>
      <w:bookmarkStart w:id="310" w:name="_Toc152042319"/>
      <w:bookmarkStart w:id="311" w:name="_Toc11599"/>
      <w:bookmarkStart w:id="312" w:name="_Toc3982"/>
      <w:bookmarkStart w:id="313" w:name="_Toc466298104"/>
      <w:bookmarkStart w:id="314" w:name="_Toc11567"/>
      <w:bookmarkStart w:id="315" w:name="_Toc3812"/>
      <w:bookmarkStart w:id="316" w:name="_Toc455080121"/>
      <w:bookmarkStart w:id="317" w:name="_Toc12640"/>
      <w:bookmarkStart w:id="318" w:name="_Toc23962"/>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eastAsia="zh-CN"/>
        </w:rPr>
        <w:t xml:space="preserve"> 竞争性磋商文件的组成</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22C12C1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本</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包括：</w:t>
      </w:r>
    </w:p>
    <w:p w14:paraId="7D405871">
      <w:pPr>
        <w:spacing w:line="360" w:lineRule="auto"/>
        <w:ind w:firstLine="359" w:firstLineChars="171"/>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竞争性磋商公告</w:t>
      </w:r>
      <w:r>
        <w:rPr>
          <w:rFonts w:hint="eastAsia" w:ascii="宋体" w:hAnsi="宋体" w:eastAsia="宋体" w:cs="宋体"/>
          <w:color w:val="auto"/>
          <w:szCs w:val="21"/>
          <w:highlight w:val="none"/>
        </w:rPr>
        <w:t>；</w:t>
      </w:r>
    </w:p>
    <w:p w14:paraId="0E414421">
      <w:pPr>
        <w:spacing w:line="360" w:lineRule="auto"/>
        <w:ind w:firstLine="359" w:firstLineChars="171"/>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（2）供应商须知；</w:t>
      </w:r>
    </w:p>
    <w:p w14:paraId="4EDCAADD">
      <w:pPr>
        <w:spacing w:line="360" w:lineRule="auto"/>
        <w:ind w:firstLine="359" w:firstLineChars="171"/>
        <w:rPr>
          <w:rFonts w:hint="eastAsia" w:ascii="宋体" w:hAnsi="宋体" w:eastAsia="宋体" w:cs="宋体"/>
          <w:color w:val="auto"/>
          <w:szCs w:val="21"/>
          <w:highlight w:val="none"/>
        </w:rPr>
      </w:pPr>
      <w:r>
        <w:rPr>
          <w:rFonts w:hint="eastAsia" w:ascii="宋体" w:hAnsi="宋体" w:eastAsia="宋体" w:cs="宋体"/>
          <w:color w:val="auto"/>
          <w:szCs w:val="21"/>
          <w:highlight w:val="none"/>
        </w:rPr>
        <w:t>（3）评审办法；</w:t>
      </w:r>
    </w:p>
    <w:p w14:paraId="5E4C3B25">
      <w:pPr>
        <w:spacing w:line="360" w:lineRule="auto"/>
        <w:ind w:firstLine="359" w:firstLineChars="171"/>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eastAsia="zh-CN"/>
        </w:rPr>
        <w:t>河南省政府采购合同</w:t>
      </w:r>
      <w:r>
        <w:rPr>
          <w:rFonts w:hint="eastAsia" w:ascii="宋体" w:hAnsi="宋体" w:eastAsia="宋体" w:cs="宋体"/>
          <w:color w:val="auto"/>
          <w:szCs w:val="21"/>
          <w:highlight w:val="none"/>
        </w:rPr>
        <w:t>；</w:t>
      </w:r>
    </w:p>
    <w:p w14:paraId="6682CF90">
      <w:pPr>
        <w:spacing w:line="360" w:lineRule="auto"/>
        <w:ind w:firstLine="359" w:firstLineChars="171"/>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eastAsia="zh-CN"/>
        </w:rPr>
        <w:t>采购</w:t>
      </w:r>
      <w:r>
        <w:rPr>
          <w:rFonts w:hint="eastAsia" w:ascii="宋体" w:hAnsi="宋体" w:eastAsia="宋体" w:cs="宋体"/>
          <w:color w:val="auto"/>
          <w:szCs w:val="21"/>
          <w:highlight w:val="none"/>
          <w:lang w:val="en-US" w:eastAsia="zh-CN"/>
        </w:rPr>
        <w:t>需求及采购内容</w:t>
      </w:r>
      <w:r>
        <w:rPr>
          <w:rFonts w:hint="eastAsia" w:ascii="宋体" w:hAnsi="宋体" w:eastAsia="宋体" w:cs="宋体"/>
          <w:color w:val="auto"/>
          <w:szCs w:val="21"/>
          <w:highlight w:val="none"/>
        </w:rPr>
        <w:t>；</w:t>
      </w:r>
    </w:p>
    <w:p w14:paraId="1BF50CBF">
      <w:pPr>
        <w:spacing w:line="360" w:lineRule="auto"/>
        <w:ind w:firstLine="359" w:firstLineChars="171"/>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eastAsia="zh-CN"/>
        </w:rPr>
        <w:t>竞争性磋商响应文件格式</w:t>
      </w:r>
      <w:r>
        <w:rPr>
          <w:rFonts w:hint="eastAsia" w:ascii="宋体" w:hAnsi="宋体" w:eastAsia="宋体" w:cs="宋体"/>
          <w:color w:val="auto"/>
          <w:szCs w:val="21"/>
          <w:highlight w:val="none"/>
        </w:rPr>
        <w:t>；</w:t>
      </w:r>
    </w:p>
    <w:p w14:paraId="17C78395">
      <w:pPr>
        <w:spacing w:line="360" w:lineRule="auto"/>
        <w:ind w:firstLine="359" w:firstLineChars="171"/>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（7）供应商须知前附表规定的其他材料。</w:t>
      </w:r>
    </w:p>
    <w:p w14:paraId="232BD05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根据本章第2.2款和第2.3款对</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所作的澄清、修改，构成</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的组成部分。</w:t>
      </w:r>
    </w:p>
    <w:p w14:paraId="0D328E41">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lang w:eastAsia="zh-CN"/>
        </w:rPr>
      </w:pPr>
      <w:bookmarkStart w:id="319" w:name="_Toc17537"/>
      <w:bookmarkStart w:id="320" w:name="_Toc15658"/>
      <w:bookmarkStart w:id="321" w:name="_Toc10485"/>
      <w:bookmarkStart w:id="322" w:name="_Toc11771"/>
      <w:bookmarkStart w:id="323" w:name="_Toc144974514"/>
      <w:bookmarkStart w:id="324" w:name="_Toc152045546"/>
      <w:bookmarkStart w:id="325" w:name="_Toc152042322"/>
      <w:bookmarkStart w:id="326" w:name="_Toc455080124"/>
      <w:r>
        <w:rPr>
          <w:rFonts w:hint="eastAsia" w:ascii="宋体" w:hAnsi="宋体" w:eastAsia="宋体" w:cs="宋体"/>
          <w:b/>
          <w:bCs/>
          <w:color w:val="auto"/>
          <w:sz w:val="21"/>
          <w:szCs w:val="21"/>
          <w:highlight w:val="none"/>
          <w:lang w:eastAsia="zh-CN"/>
        </w:rPr>
        <w:t>2.2 竞争性磋商文件的澄清</w:t>
      </w:r>
      <w:bookmarkEnd w:id="319"/>
      <w:bookmarkEnd w:id="320"/>
      <w:bookmarkEnd w:id="321"/>
      <w:bookmarkEnd w:id="322"/>
    </w:p>
    <w:p w14:paraId="5A81BCBE">
      <w:pPr>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2.2.1供应商应仔细阅读和检查</w:t>
      </w:r>
      <w:r>
        <w:rPr>
          <w:rFonts w:hint="eastAsia" w:ascii="宋体" w:hAnsi="宋体" w:eastAsia="宋体" w:cs="宋体"/>
          <w:color w:val="auto"/>
          <w:highlight w:val="none"/>
          <w:lang w:eastAsia="zh-CN"/>
        </w:rPr>
        <w:t>竞争性磋商文件</w:t>
      </w:r>
      <w:r>
        <w:rPr>
          <w:rFonts w:hint="eastAsia" w:ascii="宋体" w:hAnsi="宋体" w:eastAsia="宋体" w:cs="宋体"/>
          <w:color w:val="auto"/>
          <w:highlight w:val="none"/>
        </w:rPr>
        <w:t>的全部内容。</w:t>
      </w:r>
      <w:r>
        <w:rPr>
          <w:rFonts w:hint="eastAsia" w:ascii="宋体" w:hAnsi="宋体" w:eastAsia="宋体" w:cs="宋体"/>
          <w:color w:val="auto"/>
          <w:szCs w:val="21"/>
          <w:highlight w:val="none"/>
        </w:rPr>
        <w:t>如发现缺页或附件不全，应及时向采购人提出，以便补齐。</w:t>
      </w:r>
      <w:r>
        <w:rPr>
          <w:rFonts w:hint="eastAsia" w:ascii="宋体" w:hAnsi="宋体" w:eastAsia="宋体" w:cs="宋体"/>
          <w:color w:val="auto"/>
          <w:highlight w:val="none"/>
        </w:rPr>
        <w:t>如有疑问，应在供应商须知前附表规定的时间前</w:t>
      </w:r>
      <w:r>
        <w:rPr>
          <w:rFonts w:hint="eastAsia" w:ascii="宋体" w:hAnsi="宋体" w:eastAsia="宋体" w:cs="宋体"/>
          <w:color w:val="auto"/>
          <w:szCs w:val="21"/>
          <w:highlight w:val="none"/>
        </w:rPr>
        <w:t>以书面形式（包括信函、电报、传真等可以有形表现所载内容的形式，下同），</w:t>
      </w:r>
      <w:r>
        <w:rPr>
          <w:rFonts w:hint="eastAsia" w:ascii="宋体" w:hAnsi="宋体" w:eastAsia="宋体" w:cs="宋体"/>
          <w:color w:val="auto"/>
          <w:highlight w:val="none"/>
        </w:rPr>
        <w:t>要求采购人对</w:t>
      </w:r>
      <w:r>
        <w:rPr>
          <w:rFonts w:hint="eastAsia" w:ascii="宋体" w:hAnsi="宋体" w:eastAsia="宋体" w:cs="宋体"/>
          <w:color w:val="auto"/>
          <w:highlight w:val="none"/>
          <w:lang w:eastAsia="zh-CN"/>
        </w:rPr>
        <w:t>竞争性磋商文件</w:t>
      </w:r>
      <w:r>
        <w:rPr>
          <w:rFonts w:hint="eastAsia" w:ascii="宋体" w:hAnsi="宋体" w:eastAsia="宋体" w:cs="宋体"/>
          <w:color w:val="auto"/>
          <w:highlight w:val="none"/>
        </w:rPr>
        <w:t>予以澄清。</w:t>
      </w:r>
    </w:p>
    <w:p w14:paraId="5CC13B54">
      <w:pPr>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2.2.2 </w:t>
      </w:r>
      <w:r>
        <w:rPr>
          <w:rFonts w:hint="eastAsia" w:ascii="宋体" w:hAnsi="宋体" w:eastAsia="宋体" w:cs="宋体"/>
          <w:color w:val="auto"/>
          <w:highlight w:val="none"/>
          <w:lang w:eastAsia="zh-CN"/>
        </w:rPr>
        <w:t>竞争性磋商文件</w:t>
      </w:r>
      <w:r>
        <w:rPr>
          <w:rFonts w:hint="eastAsia" w:ascii="宋体" w:hAnsi="宋体" w:eastAsia="宋体" w:cs="宋体"/>
          <w:color w:val="auto"/>
          <w:highlight w:val="none"/>
        </w:rPr>
        <w:t>的澄清将在供应商须知前附表规定的响应文件递交截止时间5天前在信阳市公共资源交易系统“变更公告”或“答疑文件”</w:t>
      </w:r>
      <w:r>
        <w:rPr>
          <w:rFonts w:hint="eastAsia" w:ascii="宋体" w:hAnsi="宋体" w:eastAsia="宋体" w:cs="宋体"/>
          <w:color w:val="auto"/>
          <w:szCs w:val="21"/>
          <w:highlight w:val="none"/>
        </w:rPr>
        <w:t>将澄清内容予以发布，</w:t>
      </w:r>
      <w:r>
        <w:rPr>
          <w:rFonts w:hint="eastAsia" w:ascii="宋体" w:hAnsi="宋体" w:eastAsia="宋体" w:cs="宋体"/>
          <w:color w:val="auto"/>
          <w:highlight w:val="none"/>
        </w:rPr>
        <w:t>但不指明澄清问题的来源。如果澄清的内容可能影响响应文件编制且发出的时间距响应文件递交截止时间不足5天，相应延长投标截止时间。</w:t>
      </w:r>
    </w:p>
    <w:p w14:paraId="7754B86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2.2.3供应商应在响应文件递交截止时间前及时查看澄清内容，因供应商未及时查看而造成的后果自负。</w:t>
      </w:r>
    </w:p>
    <w:p w14:paraId="57DCDE44">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lang w:eastAsia="zh-CN"/>
        </w:rPr>
      </w:pPr>
      <w:bookmarkStart w:id="327" w:name="_Toc23429"/>
      <w:bookmarkStart w:id="328" w:name="_Toc8263"/>
      <w:bookmarkStart w:id="329" w:name="_Toc15650"/>
      <w:bookmarkStart w:id="330" w:name="_Toc15980"/>
      <w:r>
        <w:rPr>
          <w:rFonts w:hint="eastAsia" w:ascii="宋体" w:hAnsi="宋体" w:eastAsia="宋体" w:cs="宋体"/>
          <w:b/>
          <w:bCs/>
          <w:color w:val="auto"/>
          <w:sz w:val="21"/>
          <w:szCs w:val="21"/>
          <w:highlight w:val="none"/>
          <w:lang w:eastAsia="zh-CN"/>
        </w:rPr>
        <w:t>2.3 竞争性磋商文件的修改</w:t>
      </w:r>
      <w:bookmarkEnd w:id="327"/>
      <w:bookmarkEnd w:id="328"/>
      <w:bookmarkEnd w:id="329"/>
      <w:bookmarkEnd w:id="330"/>
    </w:p>
    <w:p w14:paraId="77DEB05A">
      <w:pPr>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2.3.1 在响应文件递交截止时间5天前，采购人可以修改</w:t>
      </w:r>
      <w:r>
        <w:rPr>
          <w:rFonts w:hint="eastAsia" w:ascii="宋体" w:hAnsi="宋体" w:eastAsia="宋体" w:cs="宋体"/>
          <w:color w:val="auto"/>
          <w:highlight w:val="none"/>
          <w:lang w:eastAsia="zh-CN"/>
        </w:rPr>
        <w:t>竞争性磋商文件</w:t>
      </w:r>
      <w:r>
        <w:rPr>
          <w:rFonts w:hint="eastAsia" w:ascii="宋体" w:hAnsi="宋体" w:eastAsia="宋体" w:cs="宋体"/>
          <w:color w:val="auto"/>
          <w:highlight w:val="none"/>
        </w:rPr>
        <w:t>。如有修改，应在信阳市公共资源交易系统“变更公告”或“答疑文件”</w:t>
      </w:r>
      <w:r>
        <w:rPr>
          <w:rFonts w:hint="eastAsia" w:ascii="宋体" w:hAnsi="宋体" w:eastAsia="宋体" w:cs="宋体"/>
          <w:color w:val="auto"/>
          <w:szCs w:val="21"/>
          <w:highlight w:val="none"/>
        </w:rPr>
        <w:t>将修改内容予以发布</w:t>
      </w:r>
      <w:r>
        <w:rPr>
          <w:rFonts w:hint="eastAsia" w:ascii="宋体" w:hAnsi="宋体" w:eastAsia="宋体" w:cs="宋体"/>
          <w:color w:val="auto"/>
          <w:highlight w:val="none"/>
        </w:rPr>
        <w:t>。如果修改的内容可能影响响应文件编制且发出的时间距响应文件递交截止时间不足5天，相应延长响应文件递交截止时间。</w:t>
      </w:r>
    </w:p>
    <w:p w14:paraId="0E990641">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highlight w:val="none"/>
        </w:rPr>
        <w:t>2.3.2当</w:t>
      </w:r>
      <w:r>
        <w:rPr>
          <w:rFonts w:hint="eastAsia" w:ascii="宋体" w:hAnsi="宋体" w:eastAsia="宋体" w:cs="宋体"/>
          <w:color w:val="auto"/>
          <w:highlight w:val="none"/>
          <w:lang w:eastAsia="zh-CN"/>
        </w:rPr>
        <w:t>竞争性磋商文件</w:t>
      </w:r>
      <w:r>
        <w:rPr>
          <w:rFonts w:hint="eastAsia" w:ascii="宋体" w:hAnsi="宋体" w:eastAsia="宋体" w:cs="宋体"/>
          <w:color w:val="auto"/>
          <w:highlight w:val="none"/>
        </w:rPr>
        <w:t>的澄清、修改、补充等在同一内容的表述上不一致时，</w:t>
      </w:r>
      <w:r>
        <w:rPr>
          <w:rFonts w:hint="eastAsia" w:ascii="宋体" w:hAnsi="宋体" w:eastAsia="宋体" w:cs="宋体"/>
          <w:color w:val="auto"/>
          <w:szCs w:val="21"/>
          <w:highlight w:val="none"/>
        </w:rPr>
        <w:t>以最后在信阳市公共资源交易系统发出的文件为准。</w:t>
      </w:r>
    </w:p>
    <w:p w14:paraId="5D903F5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2.3.3</w:t>
      </w:r>
      <w:r>
        <w:rPr>
          <w:rFonts w:hint="eastAsia" w:ascii="宋体" w:hAnsi="宋体" w:eastAsia="宋体" w:cs="宋体"/>
          <w:color w:val="auto"/>
          <w:szCs w:val="21"/>
          <w:highlight w:val="none"/>
        </w:rPr>
        <w:t>供应商应在响应文件递交截止时间前及时查看修改内容，因供应商未及时查看而造成的后果自负。</w:t>
      </w:r>
    </w:p>
    <w:p w14:paraId="50168010">
      <w:pPr>
        <w:pStyle w:val="70"/>
        <w:keepNext/>
        <w:keepLines/>
        <w:pageBreakBefore w:val="0"/>
        <w:widowControl w:val="0"/>
        <w:kinsoku/>
        <w:wordWrap/>
        <w:overflowPunct/>
        <w:topLinePunct w:val="0"/>
        <w:autoSpaceDE/>
        <w:autoSpaceDN/>
        <w:bidi w:val="0"/>
        <w:adjustRightInd/>
        <w:snapToGrid/>
        <w:spacing w:before="0" w:beforeLines="0" w:line="360" w:lineRule="auto"/>
        <w:textAlignment w:val="auto"/>
        <w:rPr>
          <w:rFonts w:hint="eastAsia" w:ascii="宋体" w:hAnsi="宋体" w:eastAsia="宋体" w:cs="宋体"/>
          <w:b/>
          <w:bCs/>
          <w:color w:val="auto"/>
          <w:sz w:val="21"/>
          <w:szCs w:val="21"/>
          <w:highlight w:val="none"/>
        </w:rPr>
      </w:pPr>
      <w:bookmarkStart w:id="331" w:name="_Toc15304"/>
      <w:bookmarkStart w:id="332" w:name="_Toc4666"/>
      <w:r>
        <w:rPr>
          <w:rFonts w:hint="eastAsia" w:ascii="宋体" w:hAnsi="宋体" w:eastAsia="宋体" w:cs="宋体"/>
          <w:b/>
          <w:bCs/>
          <w:color w:val="auto"/>
          <w:sz w:val="21"/>
          <w:szCs w:val="21"/>
          <w:highlight w:val="none"/>
        </w:rPr>
        <w:t xml:space="preserve">3. </w:t>
      </w:r>
      <w:bookmarkEnd w:id="323"/>
      <w:bookmarkEnd w:id="324"/>
      <w:bookmarkEnd w:id="325"/>
      <w:r>
        <w:rPr>
          <w:rFonts w:hint="eastAsia" w:ascii="宋体" w:hAnsi="宋体" w:eastAsia="宋体" w:cs="宋体"/>
          <w:b/>
          <w:bCs/>
          <w:color w:val="auto"/>
          <w:sz w:val="21"/>
          <w:szCs w:val="21"/>
          <w:highlight w:val="none"/>
        </w:rPr>
        <w:t>响应文件</w:t>
      </w:r>
      <w:bookmarkEnd w:id="326"/>
      <w:bookmarkEnd w:id="331"/>
      <w:bookmarkEnd w:id="332"/>
    </w:p>
    <w:p w14:paraId="58D50DD1">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lang w:eastAsia="zh-CN"/>
        </w:rPr>
      </w:pPr>
      <w:bookmarkStart w:id="333" w:name="_Toc152045547"/>
      <w:bookmarkStart w:id="334" w:name="_Toc23899"/>
      <w:bookmarkStart w:id="335" w:name="_Toc10096"/>
      <w:bookmarkStart w:id="336" w:name="_Toc27373"/>
      <w:bookmarkStart w:id="337" w:name="_Toc9273"/>
      <w:bookmarkStart w:id="338" w:name="_Toc15810"/>
      <w:bookmarkStart w:id="339" w:name="_Toc318450691"/>
      <w:bookmarkStart w:id="340" w:name="_Toc9308"/>
      <w:bookmarkStart w:id="341" w:name="_Toc152042323"/>
      <w:bookmarkStart w:id="342" w:name="_Toc144974515"/>
      <w:bookmarkStart w:id="343" w:name="_Toc24440"/>
      <w:bookmarkStart w:id="344" w:name="_Toc18007"/>
      <w:bookmarkStart w:id="345" w:name="_Toc16198"/>
      <w:bookmarkStart w:id="346" w:name="_Toc490667844"/>
      <w:r>
        <w:rPr>
          <w:rFonts w:hint="eastAsia" w:ascii="宋体" w:hAnsi="宋体" w:eastAsia="宋体" w:cs="宋体"/>
          <w:b/>
          <w:bCs/>
          <w:color w:val="auto"/>
          <w:sz w:val="21"/>
          <w:szCs w:val="21"/>
          <w:highlight w:val="none"/>
          <w:lang w:eastAsia="zh-CN"/>
        </w:rPr>
        <w:t>3.1 响应文件的组成</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7CA8E6D3">
      <w:pPr>
        <w:pageBreakBefore w:val="0"/>
        <w:widowControl/>
        <w:kinsoku/>
        <w:wordWrap/>
        <w:overflowPunct/>
        <w:topLinePunct w:val="0"/>
        <w:bidi w:val="0"/>
        <w:snapToGrid/>
        <w:spacing w:line="400" w:lineRule="exact"/>
        <w:ind w:left="0" w:leftChars="0" w:firstLine="420" w:firstLineChars="200"/>
        <w:jc w:val="left"/>
        <w:textAlignment w:val="auto"/>
        <w:rPr>
          <w:rFonts w:hint="eastAsia" w:ascii="宋体" w:hAnsi="宋体" w:eastAsia="宋体" w:cs="宋体"/>
          <w:color w:val="auto"/>
          <w:sz w:val="21"/>
          <w:szCs w:val="21"/>
          <w:highlight w:val="none"/>
        </w:rPr>
      </w:pPr>
      <w:bookmarkStart w:id="347" w:name="_Toc899"/>
      <w:bookmarkStart w:id="348" w:name="_Toc152045548"/>
      <w:bookmarkStart w:id="349" w:name="_Toc144974516"/>
      <w:bookmarkStart w:id="350" w:name="_Toc152042324"/>
      <w:bookmarkStart w:id="351" w:name="_Toc318450692"/>
      <w:bookmarkStart w:id="352" w:name="_Toc279156232"/>
      <w:bookmarkStart w:id="353" w:name="_Toc26291"/>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文件应包括下列内容</w:t>
      </w:r>
      <w:r>
        <w:rPr>
          <w:rFonts w:hint="eastAsia" w:ascii="宋体" w:hAnsi="宋体" w:eastAsia="宋体" w:cs="宋体"/>
          <w:b/>
          <w:bCs/>
          <w:color w:val="auto"/>
          <w:sz w:val="21"/>
          <w:szCs w:val="21"/>
          <w:highlight w:val="none"/>
        </w:rPr>
        <w:t>：</w:t>
      </w:r>
    </w:p>
    <w:p w14:paraId="359BAF96">
      <w:pPr>
        <w:pStyle w:val="2"/>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eastAsia="zh-CN"/>
        </w:rPr>
        <w:t>响应函</w:t>
      </w:r>
      <w:r>
        <w:rPr>
          <w:rFonts w:hint="eastAsia" w:ascii="宋体" w:hAnsi="宋体" w:eastAsia="宋体" w:cs="宋体"/>
          <w:bCs/>
          <w:color w:val="auto"/>
          <w:sz w:val="21"/>
          <w:szCs w:val="21"/>
          <w:highlight w:val="none"/>
        </w:rPr>
        <w:t>及</w:t>
      </w:r>
      <w:r>
        <w:rPr>
          <w:rFonts w:hint="eastAsia" w:ascii="宋体" w:hAnsi="宋体" w:eastAsia="宋体" w:cs="宋体"/>
          <w:bCs/>
          <w:color w:val="auto"/>
          <w:sz w:val="21"/>
          <w:szCs w:val="21"/>
          <w:highlight w:val="none"/>
          <w:lang w:eastAsia="zh-CN"/>
        </w:rPr>
        <w:t>响应函附录</w:t>
      </w:r>
      <w:r>
        <w:rPr>
          <w:rFonts w:hint="eastAsia" w:ascii="宋体" w:hAnsi="宋体" w:eastAsia="宋体" w:cs="宋体"/>
          <w:bCs/>
          <w:color w:val="auto"/>
          <w:sz w:val="21"/>
          <w:szCs w:val="21"/>
          <w:highlight w:val="none"/>
        </w:rPr>
        <w:t xml:space="preserve"> </w:t>
      </w:r>
    </w:p>
    <w:p w14:paraId="02A22DF4">
      <w:pPr>
        <w:pStyle w:val="2"/>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法定代表人（单位负责人）身份证明</w:t>
      </w:r>
    </w:p>
    <w:p w14:paraId="7FFD1EE8">
      <w:pPr>
        <w:pStyle w:val="2"/>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 xml:space="preserve">授权委托书（适用于有委托代理人的情况） </w:t>
      </w:r>
    </w:p>
    <w:p w14:paraId="0DD91177">
      <w:pPr>
        <w:pStyle w:val="2"/>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4）服务方案</w:t>
      </w:r>
    </w:p>
    <w:p w14:paraId="6912C1E5">
      <w:pPr>
        <w:pStyle w:val="2"/>
        <w:pageBreakBefore w:val="0"/>
        <w:kinsoku/>
        <w:wordWrap/>
        <w:overflowPunct/>
        <w:topLinePunct w:val="0"/>
        <w:bidi w:val="0"/>
        <w:snapToGrid/>
        <w:spacing w:after="0" w:afterLines="0" w:line="400" w:lineRule="exact"/>
        <w:ind w:left="0" w:leftChars="0" w:firstLine="420" w:firstLineChars="200"/>
        <w:textAlignment w:val="auto"/>
        <w:rPr>
          <w:rFonts w:hint="default" w:eastAsia="宋体"/>
          <w:highlight w:val="none"/>
          <w:lang w:val="en-US" w:eastAsia="zh-CN"/>
        </w:rPr>
      </w:pPr>
      <w:r>
        <w:rPr>
          <w:rFonts w:hint="eastAsia" w:ascii="宋体" w:hAnsi="宋体" w:eastAsia="宋体" w:cs="宋体"/>
          <w:bCs/>
          <w:color w:val="auto"/>
          <w:sz w:val="21"/>
          <w:szCs w:val="21"/>
          <w:highlight w:val="none"/>
          <w:lang w:val="en-US" w:eastAsia="zh-CN"/>
        </w:rPr>
        <w:t>5）综合部分</w:t>
      </w:r>
    </w:p>
    <w:p w14:paraId="789CAF41">
      <w:pPr>
        <w:pStyle w:val="2"/>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资格证明材料</w:t>
      </w:r>
    </w:p>
    <w:p w14:paraId="248D2304">
      <w:pPr>
        <w:pStyle w:val="2"/>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rPr>
        <w:t>反商业贿赂承诺书</w:t>
      </w:r>
    </w:p>
    <w:p w14:paraId="3493AF44">
      <w:pPr>
        <w:pStyle w:val="2"/>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其他材料</w:t>
      </w:r>
    </w:p>
    <w:p w14:paraId="4D28646A">
      <w:pPr>
        <w:pStyle w:val="2"/>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9</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中小企业声明函(如有)</w:t>
      </w:r>
    </w:p>
    <w:p w14:paraId="5F08BB22">
      <w:pPr>
        <w:pStyle w:val="2"/>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残疾人福利性单位声明函(如有)</w:t>
      </w:r>
    </w:p>
    <w:p w14:paraId="26DE879A">
      <w:pPr>
        <w:pStyle w:val="2"/>
        <w:pageBreakBefore w:val="0"/>
        <w:kinsoku/>
        <w:wordWrap/>
        <w:overflowPunct/>
        <w:topLinePunct w:val="0"/>
        <w:bidi w:val="0"/>
        <w:snapToGrid/>
        <w:spacing w:after="0" w:afterLines="0" w:line="40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11</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监狱企业证明文件（如有）</w:t>
      </w:r>
    </w:p>
    <w:p w14:paraId="5B3C8400">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3.2 磋商报价</w:t>
      </w:r>
      <w:bookmarkEnd w:id="347"/>
      <w:bookmarkEnd w:id="348"/>
      <w:bookmarkEnd w:id="349"/>
      <w:bookmarkEnd w:id="350"/>
      <w:bookmarkEnd w:id="351"/>
      <w:bookmarkEnd w:id="352"/>
      <w:bookmarkEnd w:id="353"/>
    </w:p>
    <w:p w14:paraId="7E8FCE4A">
      <w:pPr>
        <w:tabs>
          <w:tab w:val="left" w:pos="0"/>
          <w:tab w:val="left" w:pos="1050"/>
        </w:tabs>
        <w:spacing w:line="440" w:lineRule="exact"/>
        <w:ind w:firstLine="365" w:firstLineChars="174"/>
        <w:rPr>
          <w:rFonts w:hint="eastAsia" w:ascii="宋体" w:hAnsi="宋体" w:eastAsia="宋体" w:cs="宋体"/>
          <w:color w:val="auto"/>
          <w:szCs w:val="21"/>
          <w:highlight w:val="none"/>
        </w:rPr>
      </w:pPr>
      <w:bookmarkStart w:id="354" w:name="_Toc12402"/>
      <w:bookmarkStart w:id="355" w:name="_Toc3624"/>
      <w:bookmarkStart w:id="356" w:name="_Toc455867786"/>
      <w:bookmarkStart w:id="357" w:name="_Toc6105"/>
      <w:bookmarkStart w:id="358" w:name="_Toc11968"/>
      <w:bookmarkStart w:id="359" w:name="_Toc29133"/>
      <w:bookmarkStart w:id="360" w:name="_Toc490667846"/>
      <w:bookmarkStart w:id="361" w:name="_Toc144974517"/>
      <w:bookmarkStart w:id="362" w:name="_Toc7910"/>
      <w:bookmarkStart w:id="363" w:name="_Toc318450693"/>
      <w:bookmarkStart w:id="364" w:name="_Toc25387"/>
      <w:bookmarkStart w:id="365" w:name="_Toc455080126"/>
      <w:bookmarkStart w:id="366" w:name="_Toc21680"/>
      <w:bookmarkStart w:id="367" w:name="_Toc21600"/>
      <w:bookmarkStart w:id="368" w:name="_Toc152045549"/>
      <w:bookmarkStart w:id="369" w:name="_Toc152042325"/>
      <w:bookmarkStart w:id="370" w:name="_Toc466298109"/>
      <w:bookmarkStart w:id="371" w:name="_Toc2425"/>
      <w:bookmarkStart w:id="372" w:name="_Toc7105"/>
      <w:r>
        <w:rPr>
          <w:rFonts w:hint="eastAsia" w:ascii="宋体" w:hAnsi="宋体" w:eastAsia="宋体" w:cs="宋体"/>
          <w:color w:val="auto"/>
          <w:szCs w:val="21"/>
          <w:highlight w:val="none"/>
        </w:rPr>
        <w:t>3.2.1本项目的磋商报价应按照</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、补充通知、答疑纪要、现场情况、承包范围，并充分考虑人工市场风险和国家政策性调整等风险系数，由各响应人根据自身情况，在合理范围内，自主考虑、优惠报价，</w:t>
      </w:r>
      <w:r>
        <w:rPr>
          <w:rFonts w:hint="eastAsia" w:ascii="宋体" w:hAnsi="宋体" w:eastAsia="宋体" w:cs="宋体"/>
          <w:b/>
          <w:bCs/>
          <w:color w:val="auto"/>
          <w:szCs w:val="21"/>
          <w:highlight w:val="none"/>
        </w:rPr>
        <w:t>本项目的</w:t>
      </w:r>
      <w:r>
        <w:rPr>
          <w:rFonts w:hint="eastAsia" w:ascii="宋体" w:hAnsi="宋体" w:eastAsia="宋体" w:cs="宋体"/>
          <w:b/>
          <w:bCs/>
          <w:color w:val="auto"/>
          <w:szCs w:val="21"/>
          <w:highlight w:val="none"/>
          <w:lang w:val="en-US" w:eastAsia="zh-CN"/>
        </w:rPr>
        <w:t>综合服务单价应包含</w:t>
      </w:r>
      <w:r>
        <w:rPr>
          <w:rFonts w:hint="eastAsia" w:ascii="宋体" w:hAnsi="宋体" w:eastAsia="宋体" w:cs="宋体"/>
          <w:b/>
          <w:bCs/>
          <w:color w:val="auto"/>
          <w:szCs w:val="21"/>
          <w:highlight w:val="none"/>
        </w:rPr>
        <w:t>人工服务费、安装费、特种工具费、调试费、保管费、水电费、技术服务费、差旅费、保险费、检验费、手续费</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税费等所发生的所有费用，</w:t>
      </w:r>
      <w:r>
        <w:rPr>
          <w:rFonts w:hint="eastAsia" w:ascii="宋体" w:hAnsi="宋体" w:eastAsia="宋体" w:cs="宋体"/>
          <w:color w:val="auto"/>
          <w:szCs w:val="21"/>
          <w:highlight w:val="none"/>
        </w:rPr>
        <w:t>但不得低于企业成本</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分二次报价：第一次报价必须按照</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的报价格式填报，第二次报价在磋商中填报，第二次报价（不得高于</w:t>
      </w:r>
      <w:r>
        <w:rPr>
          <w:rFonts w:hint="eastAsia" w:ascii="宋体" w:hAnsi="宋体" w:eastAsia="宋体" w:cs="宋体"/>
          <w:color w:val="auto"/>
          <w:szCs w:val="21"/>
          <w:highlight w:val="none"/>
          <w:lang w:eastAsia="zh-CN"/>
        </w:rPr>
        <w:t>第</w:t>
      </w:r>
      <w:r>
        <w:rPr>
          <w:rFonts w:hint="eastAsia" w:ascii="宋体" w:hAnsi="宋体" w:eastAsia="宋体" w:cs="宋体"/>
          <w:color w:val="auto"/>
          <w:szCs w:val="21"/>
          <w:highlight w:val="none"/>
        </w:rPr>
        <w:t>一次报价）即为最终报价。</w:t>
      </w:r>
    </w:p>
    <w:bookmarkEnd w:id="354"/>
    <w:p w14:paraId="411A01AC">
      <w:pPr>
        <w:tabs>
          <w:tab w:val="left" w:pos="0"/>
          <w:tab w:val="left" w:pos="1050"/>
        </w:tabs>
        <w:spacing w:line="440" w:lineRule="exact"/>
        <w:ind w:firstLine="365" w:firstLineChars="174"/>
        <w:rPr>
          <w:rFonts w:hint="eastAsia" w:ascii="宋体" w:hAnsi="宋体" w:eastAsia="宋体" w:cs="宋体"/>
          <w:color w:val="auto"/>
          <w:szCs w:val="21"/>
          <w:highlight w:val="none"/>
        </w:rPr>
      </w:pPr>
      <w:r>
        <w:rPr>
          <w:rFonts w:hint="eastAsia" w:ascii="宋体" w:hAnsi="宋体" w:eastAsia="宋体" w:cs="宋体"/>
          <w:color w:val="auto"/>
          <w:szCs w:val="21"/>
          <w:highlight w:val="none"/>
        </w:rPr>
        <w:t>3.2.2供应商应充分了解该项目的总体情况以及影响磋商报价的其它要素，考虑价格风险因素，成交价在合同实施期内不得调整，同时也不因市场价格变动而调整。</w:t>
      </w:r>
      <w:r>
        <w:rPr>
          <w:rFonts w:hint="eastAsia" w:ascii="宋体" w:hAnsi="宋体" w:eastAsia="宋体" w:cs="宋体"/>
          <w:color w:val="auto"/>
          <w:szCs w:val="21"/>
          <w:highlight w:val="none"/>
          <w:lang w:eastAsia="zh-CN"/>
        </w:rPr>
        <w:t>采购人不接受具有附加条件的报价。</w:t>
      </w:r>
    </w:p>
    <w:p w14:paraId="20D3D402">
      <w:pPr>
        <w:tabs>
          <w:tab w:val="left" w:pos="0"/>
          <w:tab w:val="left" w:pos="1050"/>
        </w:tabs>
        <w:spacing w:line="440" w:lineRule="exact"/>
        <w:ind w:firstLine="365" w:firstLineChars="174"/>
        <w:rPr>
          <w:rFonts w:hint="eastAsia" w:ascii="宋体" w:hAnsi="宋体" w:eastAsia="宋体" w:cs="宋体"/>
          <w:color w:val="auto"/>
          <w:szCs w:val="21"/>
          <w:highlight w:val="none"/>
        </w:rPr>
      </w:pPr>
      <w:r>
        <w:rPr>
          <w:rFonts w:hint="eastAsia" w:ascii="宋体" w:hAnsi="宋体" w:eastAsia="宋体" w:cs="宋体"/>
          <w:color w:val="auto"/>
          <w:szCs w:val="21"/>
          <w:highlight w:val="none"/>
        </w:rPr>
        <w:t>3.2.3 响应报价表中的大写金额和小写金额不一致的，以大写金额为准。</w:t>
      </w:r>
    </w:p>
    <w:p w14:paraId="3D72D386">
      <w:pPr>
        <w:tabs>
          <w:tab w:val="left" w:pos="0"/>
          <w:tab w:val="left" w:pos="1050"/>
        </w:tabs>
        <w:spacing w:line="440" w:lineRule="exact"/>
        <w:ind w:firstLine="365" w:firstLineChars="174"/>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rPr>
        <w:t>3.2.4</w:t>
      </w:r>
      <w:r>
        <w:rPr>
          <w:rFonts w:hint="eastAsia" w:ascii="宋体" w:hAnsi="宋体" w:eastAsia="宋体" w:cs="宋体"/>
          <w:b/>
          <w:bCs/>
          <w:color w:val="auto"/>
          <w:szCs w:val="21"/>
          <w:highlight w:val="none"/>
          <w:lang w:val="zh-CN"/>
        </w:rPr>
        <w:t>小型、微型企业认定及评标价格评审（非专门面向中小企业适用）</w:t>
      </w:r>
    </w:p>
    <w:tbl>
      <w:tblPr>
        <w:tblStyle w:val="28"/>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1635"/>
        <w:gridCol w:w="1562"/>
        <w:gridCol w:w="2381"/>
        <w:gridCol w:w="2193"/>
      </w:tblGrid>
      <w:tr w14:paraId="7011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666" w:type="dxa"/>
            <w:vAlign w:val="center"/>
          </w:tcPr>
          <w:p w14:paraId="7796E263">
            <w:pPr>
              <w:tabs>
                <w:tab w:val="left" w:pos="0"/>
                <w:tab w:val="left" w:pos="1050"/>
              </w:tabs>
              <w:spacing w:line="440" w:lineRule="exact"/>
              <w:ind w:left="0" w:leftChars="0" w:firstLine="0" w:firstLineChars="0"/>
              <w:jc w:val="center"/>
              <w:rPr>
                <w:rFonts w:hint="default"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内容</w:t>
            </w:r>
          </w:p>
        </w:tc>
        <w:tc>
          <w:tcPr>
            <w:tcW w:w="1635" w:type="dxa"/>
            <w:vAlign w:val="center"/>
          </w:tcPr>
          <w:p w14:paraId="601296F9">
            <w:pPr>
              <w:tabs>
                <w:tab w:val="left" w:pos="0"/>
                <w:tab w:val="left" w:pos="1050"/>
              </w:tabs>
              <w:spacing w:line="440" w:lineRule="exact"/>
              <w:ind w:left="0" w:leftChars="0" w:firstLine="0" w:firstLineChars="0"/>
              <w:jc w:val="center"/>
              <w:rPr>
                <w:rFonts w:hint="default"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大型企业</w:t>
            </w:r>
          </w:p>
        </w:tc>
        <w:tc>
          <w:tcPr>
            <w:tcW w:w="1562" w:type="dxa"/>
            <w:vAlign w:val="center"/>
          </w:tcPr>
          <w:p w14:paraId="06A3DC2E">
            <w:pPr>
              <w:tabs>
                <w:tab w:val="left" w:pos="0"/>
                <w:tab w:val="left" w:pos="1050"/>
              </w:tabs>
              <w:spacing w:line="440" w:lineRule="exact"/>
              <w:ind w:left="0" w:leftChars="0" w:firstLine="0" w:firstLineChars="0"/>
              <w:jc w:val="center"/>
              <w:rPr>
                <w:rFonts w:hint="default"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中型企业</w:t>
            </w:r>
          </w:p>
        </w:tc>
        <w:tc>
          <w:tcPr>
            <w:tcW w:w="2381" w:type="dxa"/>
            <w:vAlign w:val="center"/>
          </w:tcPr>
          <w:p w14:paraId="6C385C42">
            <w:pPr>
              <w:tabs>
                <w:tab w:val="left" w:pos="0"/>
                <w:tab w:val="left" w:pos="1050"/>
              </w:tabs>
              <w:spacing w:line="440" w:lineRule="exact"/>
              <w:ind w:left="0" w:leftChars="0" w:firstLine="0" w:firstLineChars="0"/>
              <w:jc w:val="center"/>
              <w:rPr>
                <w:rFonts w:hint="default"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小型企业</w:t>
            </w:r>
          </w:p>
        </w:tc>
        <w:tc>
          <w:tcPr>
            <w:tcW w:w="2193" w:type="dxa"/>
            <w:vAlign w:val="center"/>
          </w:tcPr>
          <w:p w14:paraId="224665A0">
            <w:pPr>
              <w:tabs>
                <w:tab w:val="left" w:pos="0"/>
                <w:tab w:val="left" w:pos="1050"/>
              </w:tabs>
              <w:spacing w:line="440" w:lineRule="exact"/>
              <w:ind w:left="0" w:leftChars="0" w:firstLine="0" w:firstLineChars="0"/>
              <w:jc w:val="center"/>
              <w:rPr>
                <w:rFonts w:hint="default"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微型企业</w:t>
            </w:r>
          </w:p>
        </w:tc>
      </w:tr>
      <w:tr w14:paraId="41CA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666" w:type="dxa"/>
            <w:vAlign w:val="center"/>
          </w:tcPr>
          <w:p w14:paraId="6804EB87">
            <w:pPr>
              <w:tabs>
                <w:tab w:val="left" w:pos="0"/>
                <w:tab w:val="left" w:pos="1050"/>
              </w:tabs>
              <w:spacing w:line="440" w:lineRule="exact"/>
              <w:ind w:left="0" w:leftChars="0" w:firstLine="0" w:firstLineChars="0"/>
              <w:jc w:val="center"/>
              <w:rPr>
                <w:rFonts w:hint="default"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价格=</w:t>
            </w:r>
          </w:p>
        </w:tc>
        <w:tc>
          <w:tcPr>
            <w:tcW w:w="1635" w:type="dxa"/>
            <w:vAlign w:val="center"/>
          </w:tcPr>
          <w:p w14:paraId="2E890259">
            <w:pPr>
              <w:tabs>
                <w:tab w:val="left" w:pos="0"/>
                <w:tab w:val="left" w:pos="1050"/>
              </w:tabs>
              <w:spacing w:line="440" w:lineRule="exact"/>
              <w:ind w:left="0" w:leftChars="0" w:firstLine="0" w:firstLineChars="0"/>
              <w:jc w:val="center"/>
              <w:rPr>
                <w:rFonts w:hint="default"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报价</w:t>
            </w:r>
          </w:p>
        </w:tc>
        <w:tc>
          <w:tcPr>
            <w:tcW w:w="1562" w:type="dxa"/>
            <w:vAlign w:val="center"/>
          </w:tcPr>
          <w:p w14:paraId="1703B8B9">
            <w:pPr>
              <w:tabs>
                <w:tab w:val="left" w:pos="0"/>
                <w:tab w:val="left" w:pos="1050"/>
              </w:tabs>
              <w:spacing w:line="440" w:lineRule="exact"/>
              <w:ind w:left="0" w:leftChars="0" w:firstLine="0" w:firstLineChars="0"/>
              <w:jc w:val="center"/>
              <w:rPr>
                <w:rFonts w:hint="default"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报价</w:t>
            </w:r>
          </w:p>
        </w:tc>
        <w:tc>
          <w:tcPr>
            <w:tcW w:w="2381" w:type="dxa"/>
            <w:vAlign w:val="center"/>
          </w:tcPr>
          <w:p w14:paraId="00521224">
            <w:pPr>
              <w:tabs>
                <w:tab w:val="left" w:pos="0"/>
                <w:tab w:val="left" w:pos="1050"/>
              </w:tabs>
              <w:spacing w:line="440" w:lineRule="exact"/>
              <w:ind w:left="0" w:leftChars="0" w:firstLine="0" w:firstLineChars="0"/>
              <w:jc w:val="center"/>
              <w:rPr>
                <w:rFonts w:hint="default"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报价×（1-20%）</w:t>
            </w:r>
          </w:p>
        </w:tc>
        <w:tc>
          <w:tcPr>
            <w:tcW w:w="2193" w:type="dxa"/>
            <w:vAlign w:val="center"/>
          </w:tcPr>
          <w:p w14:paraId="4C82ED29">
            <w:pPr>
              <w:tabs>
                <w:tab w:val="left" w:pos="0"/>
                <w:tab w:val="left" w:pos="1050"/>
              </w:tabs>
              <w:spacing w:line="440" w:lineRule="exact"/>
              <w:ind w:left="0" w:leftChars="0" w:firstLine="0" w:firstLineChars="0"/>
              <w:jc w:val="center"/>
              <w:rPr>
                <w:rFonts w:hint="default"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报价×（1-20%）</w:t>
            </w:r>
          </w:p>
        </w:tc>
      </w:tr>
    </w:tbl>
    <w:p w14:paraId="2373CB07">
      <w:pPr>
        <w:tabs>
          <w:tab w:val="left" w:pos="0"/>
          <w:tab w:val="left" w:pos="1050"/>
        </w:tabs>
        <w:spacing w:line="440" w:lineRule="exact"/>
        <w:ind w:firstLine="365" w:firstLineChars="174"/>
        <w:rPr>
          <w:rFonts w:hint="eastAsia" w:ascii="宋体" w:hAnsi="宋体" w:eastAsia="宋体" w:cs="宋体"/>
          <w:b w:val="0"/>
          <w:bCs w:val="0"/>
          <w:color w:val="auto"/>
          <w:szCs w:val="21"/>
          <w:highlight w:val="none"/>
          <w:lang w:val="zh-CN"/>
        </w:rPr>
      </w:pPr>
      <w:r>
        <w:rPr>
          <w:rFonts w:hint="eastAsia" w:ascii="宋体" w:hAnsi="宋体" w:eastAsia="宋体" w:cs="宋体"/>
          <w:b w:val="0"/>
          <w:bCs w:val="0"/>
          <w:color w:val="auto"/>
          <w:szCs w:val="21"/>
          <w:highlight w:val="none"/>
          <w:lang w:val="zh-CN"/>
        </w:rPr>
        <w:t>3.</w:t>
      </w:r>
      <w:r>
        <w:rPr>
          <w:rFonts w:hint="eastAsia" w:ascii="宋体" w:hAnsi="宋体" w:eastAsia="宋体" w:cs="宋体"/>
          <w:b w:val="0"/>
          <w:bCs w:val="0"/>
          <w:color w:val="auto"/>
          <w:szCs w:val="21"/>
          <w:highlight w:val="none"/>
          <w:lang w:val="en-US" w:eastAsia="zh-CN"/>
        </w:rPr>
        <w:t>2.4</w:t>
      </w:r>
      <w:r>
        <w:rPr>
          <w:rFonts w:hint="eastAsia" w:ascii="宋体" w:hAnsi="宋体" w:eastAsia="宋体" w:cs="宋体"/>
          <w:b w:val="0"/>
          <w:bCs w:val="0"/>
          <w:color w:val="auto"/>
          <w:szCs w:val="21"/>
          <w:highlight w:val="none"/>
          <w:lang w:val="zh-CN"/>
        </w:rPr>
        <w:t>.1根据《政府采购促进中小企业发展管理办法》（财库[2020]46号）、财政部《关于进一步加大政府采购支持中小企业力度的通知》（财库【</w:t>
      </w:r>
      <w:r>
        <w:rPr>
          <w:rFonts w:hint="eastAsia" w:ascii="宋体" w:hAnsi="宋体" w:eastAsia="宋体" w:cs="宋体"/>
          <w:b w:val="0"/>
          <w:bCs w:val="0"/>
          <w:color w:val="auto"/>
          <w:szCs w:val="21"/>
          <w:highlight w:val="none"/>
        </w:rPr>
        <w:t>2022</w:t>
      </w:r>
      <w:r>
        <w:rPr>
          <w:rFonts w:hint="eastAsia" w:ascii="宋体" w:hAnsi="宋体" w:eastAsia="宋体" w:cs="宋体"/>
          <w:b w:val="0"/>
          <w:bCs w:val="0"/>
          <w:color w:val="auto"/>
          <w:szCs w:val="21"/>
          <w:highlight w:val="none"/>
          <w:lang w:val="zh-CN"/>
        </w:rPr>
        <w:t>】</w:t>
      </w:r>
      <w:r>
        <w:rPr>
          <w:rFonts w:hint="eastAsia" w:ascii="宋体" w:hAnsi="宋体" w:eastAsia="宋体" w:cs="宋体"/>
          <w:b w:val="0"/>
          <w:bCs w:val="0"/>
          <w:color w:val="auto"/>
          <w:szCs w:val="21"/>
          <w:highlight w:val="none"/>
        </w:rPr>
        <w:t>19号</w:t>
      </w:r>
      <w:r>
        <w:rPr>
          <w:rFonts w:hint="eastAsia" w:ascii="宋体" w:hAnsi="宋体" w:eastAsia="宋体" w:cs="宋体"/>
          <w:b w:val="0"/>
          <w:bCs w:val="0"/>
          <w:color w:val="auto"/>
          <w:szCs w:val="21"/>
          <w:highlight w:val="none"/>
          <w:lang w:val="zh-CN"/>
        </w:rPr>
        <w:t>）、信阳市财政局关于进一步加大政府采购支持中小企业力度的通知（信财购【</w:t>
      </w:r>
      <w:r>
        <w:rPr>
          <w:rFonts w:hint="eastAsia" w:ascii="宋体" w:hAnsi="宋体" w:eastAsia="宋体" w:cs="宋体"/>
          <w:b w:val="0"/>
          <w:bCs w:val="0"/>
          <w:color w:val="auto"/>
          <w:szCs w:val="21"/>
          <w:highlight w:val="none"/>
        </w:rPr>
        <w:t>2022</w:t>
      </w:r>
      <w:r>
        <w:rPr>
          <w:rFonts w:hint="eastAsia" w:ascii="宋体" w:hAnsi="宋体" w:eastAsia="宋体" w:cs="宋体"/>
          <w:b w:val="0"/>
          <w:bCs w:val="0"/>
          <w:color w:val="auto"/>
          <w:szCs w:val="21"/>
          <w:highlight w:val="none"/>
          <w:lang w:val="zh-CN"/>
        </w:rPr>
        <w:t>】</w:t>
      </w:r>
      <w:r>
        <w:rPr>
          <w:rFonts w:hint="eastAsia" w:ascii="宋体" w:hAnsi="宋体" w:eastAsia="宋体" w:cs="宋体"/>
          <w:b w:val="0"/>
          <w:bCs w:val="0"/>
          <w:color w:val="auto"/>
          <w:szCs w:val="21"/>
          <w:highlight w:val="none"/>
        </w:rPr>
        <w:t>8号</w:t>
      </w:r>
      <w:r>
        <w:rPr>
          <w:rFonts w:hint="eastAsia" w:ascii="宋体" w:hAnsi="宋体" w:eastAsia="宋体" w:cs="宋体"/>
          <w:b w:val="0"/>
          <w:bCs w:val="0"/>
          <w:color w:val="auto"/>
          <w:szCs w:val="21"/>
          <w:highlight w:val="none"/>
          <w:lang w:val="zh-CN"/>
        </w:rPr>
        <w:t>）及息县财政局关于进一步加大政府采购支持中小企业力度的通知（息财购【</w:t>
      </w:r>
      <w:r>
        <w:rPr>
          <w:rFonts w:hint="eastAsia" w:ascii="宋体" w:hAnsi="宋体" w:eastAsia="宋体" w:cs="宋体"/>
          <w:b w:val="0"/>
          <w:bCs w:val="0"/>
          <w:color w:val="auto"/>
          <w:szCs w:val="21"/>
          <w:highlight w:val="none"/>
        </w:rPr>
        <w:t>2022</w:t>
      </w:r>
      <w:r>
        <w:rPr>
          <w:rFonts w:hint="eastAsia" w:ascii="宋体" w:hAnsi="宋体" w:eastAsia="宋体" w:cs="宋体"/>
          <w:b w:val="0"/>
          <w:bCs w:val="0"/>
          <w:color w:val="auto"/>
          <w:szCs w:val="21"/>
          <w:highlight w:val="none"/>
          <w:lang w:val="zh-CN"/>
        </w:rPr>
        <w:t>】</w:t>
      </w:r>
      <w:r>
        <w:rPr>
          <w:rFonts w:hint="eastAsia" w:ascii="宋体" w:hAnsi="宋体" w:eastAsia="宋体" w:cs="宋体"/>
          <w:b w:val="0"/>
          <w:bCs w:val="0"/>
          <w:color w:val="auto"/>
          <w:szCs w:val="21"/>
          <w:highlight w:val="none"/>
        </w:rPr>
        <w:t>2号</w:t>
      </w:r>
      <w:r>
        <w:rPr>
          <w:rFonts w:hint="eastAsia" w:ascii="宋体" w:hAnsi="宋体" w:eastAsia="宋体" w:cs="宋体"/>
          <w:b w:val="0"/>
          <w:bCs w:val="0"/>
          <w:color w:val="auto"/>
          <w:szCs w:val="21"/>
          <w:highlight w:val="none"/>
          <w:lang w:val="zh-CN"/>
        </w:rPr>
        <w:t>）的规定；中小微企业划分按照《国家统计局关于印发&lt;统计上大中小微型企业划分办法（2017）&gt;的通知》、国统字〔2017〕213号文件《工业和信息化部、国家统计局、国家发展和改革委员会、财政部关于印发中小企业划型标准规定的通知》（工信部联企业[2011]300号）；河南省财政厅 河南省工业和信息化厅《关于政府采购促进小型微型企业发展的实施意见》（豫财购[2013]14号）文件规定，对小型和微型企业价格给予20%的扣除，用扣除后的价格参与评审；</w:t>
      </w:r>
    </w:p>
    <w:p w14:paraId="628F9EC0">
      <w:pPr>
        <w:tabs>
          <w:tab w:val="left" w:pos="0"/>
          <w:tab w:val="left" w:pos="1050"/>
        </w:tabs>
        <w:spacing w:line="440" w:lineRule="exact"/>
        <w:ind w:firstLine="365" w:firstLineChars="174"/>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w:t>
      </w:r>
      <w:r>
        <w:rPr>
          <w:rFonts w:hint="eastAsia" w:ascii="宋体" w:hAnsi="宋体" w:eastAsia="宋体" w:cs="宋体"/>
          <w:b w:val="0"/>
          <w:bCs w:val="0"/>
          <w:color w:val="auto"/>
          <w:szCs w:val="21"/>
          <w:highlight w:val="none"/>
          <w:lang w:val="en-US" w:eastAsia="zh-CN"/>
        </w:rPr>
        <w:t>2.4</w:t>
      </w:r>
      <w:r>
        <w:rPr>
          <w:rFonts w:hint="eastAsia" w:ascii="宋体" w:hAnsi="宋体" w:eastAsia="宋体" w:cs="宋体"/>
          <w:b w:val="0"/>
          <w:bCs w:val="0"/>
          <w:color w:val="auto"/>
          <w:szCs w:val="21"/>
          <w:highlight w:val="none"/>
        </w:rPr>
        <w:t>.2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20%的价格扣除，但必须提供由省级以上监狱管理局、戒毒管理局（含新疆生产建设兵团）出具的属于监狱企业的证明文件，否则评审时不予价格扣除优惠。</w:t>
      </w:r>
    </w:p>
    <w:p w14:paraId="3C3757D1">
      <w:pPr>
        <w:tabs>
          <w:tab w:val="left" w:pos="0"/>
          <w:tab w:val="left" w:pos="1050"/>
        </w:tabs>
        <w:spacing w:line="440" w:lineRule="exact"/>
        <w:ind w:firstLine="365" w:firstLineChars="174"/>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w:t>
      </w:r>
      <w:r>
        <w:rPr>
          <w:rFonts w:hint="eastAsia" w:ascii="宋体" w:hAnsi="宋体" w:eastAsia="宋体" w:cs="宋体"/>
          <w:b w:val="0"/>
          <w:bCs w:val="0"/>
          <w:color w:val="auto"/>
          <w:szCs w:val="21"/>
          <w:highlight w:val="none"/>
          <w:lang w:val="en-US" w:eastAsia="zh-CN"/>
        </w:rPr>
        <w:t>2.4</w:t>
      </w:r>
      <w:r>
        <w:rPr>
          <w:rFonts w:hint="eastAsia" w:ascii="宋体" w:hAnsi="宋体" w:eastAsia="宋体" w:cs="宋体"/>
          <w:b w:val="0"/>
          <w:bCs w:val="0"/>
          <w:color w:val="auto"/>
          <w:szCs w:val="21"/>
          <w:highlight w:val="none"/>
        </w:rPr>
        <w:t>.3根据财库(2017)141号文件规定，在政府采购活动中，残疾人福利性单位视同小型、微型企业，享受预留份额、评审中价格扣除等促进中小企业发展的政府采购政策。残疾人福利性单位属于小型、微型企业的，不重复享受政策。符合条件的残疾人福利性单位在参加政府采购活动时，应当提供《残疾人福利性单位声明函》(见投标文件格式)，并对声明的真实性负责。</w:t>
      </w:r>
    </w:p>
    <w:p w14:paraId="785D2A8D">
      <w:pPr>
        <w:tabs>
          <w:tab w:val="left" w:pos="0"/>
          <w:tab w:val="left" w:pos="1050"/>
        </w:tabs>
        <w:spacing w:line="440" w:lineRule="exact"/>
        <w:ind w:firstLine="365" w:firstLineChars="174"/>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w:t>
      </w:r>
      <w:r>
        <w:rPr>
          <w:rFonts w:hint="eastAsia" w:ascii="宋体" w:hAnsi="宋体" w:eastAsia="宋体" w:cs="宋体"/>
          <w:b w:val="0"/>
          <w:bCs w:val="0"/>
          <w:color w:val="auto"/>
          <w:szCs w:val="21"/>
          <w:highlight w:val="none"/>
          <w:lang w:val="en-US" w:eastAsia="zh-CN"/>
        </w:rPr>
        <w:t>2.4</w:t>
      </w:r>
      <w:r>
        <w:rPr>
          <w:rFonts w:hint="eastAsia" w:ascii="宋体" w:hAnsi="宋体" w:eastAsia="宋体" w:cs="宋体"/>
          <w:b w:val="0"/>
          <w:bCs w:val="0"/>
          <w:color w:val="auto"/>
          <w:szCs w:val="21"/>
          <w:highlight w:val="none"/>
        </w:rPr>
        <w:t>.4根据（财政部 国家环保总局联合印发《关于环境标志产品政府采购实施的意见》的通知）财库〔1906〕90号文件的有关要求，投标人本次投标活动中，如果所投设备属于最新发布“环境标志产品政府采购清单”中的品目时，在性能、技术、服务等指标同等条件下，将优先采购清单中的产品。</w:t>
      </w:r>
    </w:p>
    <w:p w14:paraId="4B24343F">
      <w:pPr>
        <w:tabs>
          <w:tab w:val="left" w:pos="0"/>
          <w:tab w:val="left" w:pos="1050"/>
        </w:tabs>
        <w:spacing w:line="440" w:lineRule="exact"/>
        <w:ind w:firstLine="365" w:firstLineChars="174"/>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w:t>
      </w:r>
      <w:r>
        <w:rPr>
          <w:rFonts w:hint="eastAsia" w:ascii="宋体" w:hAnsi="宋体" w:eastAsia="宋体" w:cs="宋体"/>
          <w:b w:val="0"/>
          <w:bCs w:val="0"/>
          <w:color w:val="auto"/>
          <w:szCs w:val="21"/>
          <w:highlight w:val="none"/>
          <w:lang w:val="en-US" w:eastAsia="zh-CN"/>
        </w:rPr>
        <w:t>2.4</w:t>
      </w:r>
      <w:r>
        <w:rPr>
          <w:rFonts w:hint="eastAsia" w:ascii="宋体" w:hAnsi="宋体" w:eastAsia="宋体" w:cs="宋体"/>
          <w:b w:val="0"/>
          <w:bCs w:val="0"/>
          <w:color w:val="auto"/>
          <w:szCs w:val="21"/>
          <w:highlight w:val="none"/>
        </w:rPr>
        <w:t>.5根据（财政部 国家发展改革委关于印发《节能产品政府采购实施意见》的通知）财库〔1904〕185号文件的有关要求，投标人本次投标活动中，如果所投设备属于最新发布“节能产品政府采购清单”中的品目时，在性能、技术、服务等指标同等条件下，将优先采购清单中的产品。</w:t>
      </w:r>
    </w:p>
    <w:p w14:paraId="32939D0F">
      <w:pPr>
        <w:tabs>
          <w:tab w:val="left" w:pos="0"/>
          <w:tab w:val="left" w:pos="1050"/>
        </w:tabs>
        <w:spacing w:line="440" w:lineRule="exact"/>
        <w:ind w:firstLine="365" w:firstLineChars="174"/>
        <w:rPr>
          <w:rFonts w:hint="eastAsia" w:ascii="宋体" w:hAnsi="宋体" w:eastAsia="宋体" w:cs="宋体"/>
          <w:b/>
          <w:bCs/>
          <w:color w:val="auto"/>
          <w:szCs w:val="21"/>
          <w:highlight w:val="none"/>
        </w:rPr>
      </w:pPr>
      <w:r>
        <w:rPr>
          <w:rFonts w:hint="eastAsia" w:ascii="宋体" w:hAnsi="宋体" w:eastAsia="宋体" w:cs="宋体"/>
          <w:b w:val="0"/>
          <w:bCs w:val="0"/>
          <w:color w:val="auto"/>
          <w:szCs w:val="21"/>
          <w:highlight w:val="none"/>
          <w:lang w:val="en-US" w:eastAsia="zh-CN"/>
        </w:rPr>
        <w:t>3.2.5</w:t>
      </w:r>
      <w:r>
        <w:rPr>
          <w:rFonts w:hint="eastAsia" w:ascii="宋体" w:hAnsi="宋体" w:eastAsia="宋体" w:cs="宋体"/>
          <w:b w:val="0"/>
          <w:bCs w:val="0"/>
          <w:color w:val="auto"/>
          <w:szCs w:val="21"/>
          <w:highlight w:val="none"/>
        </w:rPr>
        <w:t>供应商的</w:t>
      </w:r>
      <w:r>
        <w:rPr>
          <w:rFonts w:hint="eastAsia" w:ascii="宋体" w:hAnsi="宋体" w:eastAsia="宋体" w:cs="宋体"/>
          <w:b w:val="0"/>
          <w:bCs w:val="0"/>
          <w:color w:val="auto"/>
          <w:szCs w:val="21"/>
          <w:highlight w:val="none"/>
          <w:lang w:val="en-US" w:eastAsia="zh-CN"/>
        </w:rPr>
        <w:t>响应内容</w:t>
      </w:r>
      <w:r>
        <w:rPr>
          <w:rFonts w:hint="eastAsia" w:ascii="宋体" w:hAnsi="宋体" w:eastAsia="宋体" w:cs="宋体"/>
          <w:b w:val="0"/>
          <w:bCs w:val="0"/>
          <w:color w:val="auto"/>
          <w:szCs w:val="21"/>
          <w:highlight w:val="none"/>
        </w:rPr>
        <w:t>明显低于其他通过符合性审查供应商的</w:t>
      </w:r>
      <w:r>
        <w:rPr>
          <w:rFonts w:hint="eastAsia" w:ascii="宋体" w:hAnsi="宋体" w:eastAsia="宋体" w:cs="宋体"/>
          <w:b w:val="0"/>
          <w:bCs w:val="0"/>
          <w:color w:val="auto"/>
          <w:szCs w:val="21"/>
          <w:highlight w:val="none"/>
          <w:lang w:val="en-US" w:eastAsia="zh-CN"/>
        </w:rPr>
        <w:t>响应内容</w:t>
      </w:r>
      <w:r>
        <w:rPr>
          <w:rFonts w:hint="eastAsia" w:ascii="宋体" w:hAnsi="宋体" w:eastAsia="宋体" w:cs="宋体"/>
          <w:b w:val="0"/>
          <w:bCs w:val="0"/>
          <w:color w:val="auto"/>
          <w:szCs w:val="21"/>
          <w:highlight w:val="none"/>
        </w:rPr>
        <w:t>，有可能影响</w:t>
      </w:r>
      <w:r>
        <w:rPr>
          <w:rFonts w:hint="eastAsia" w:ascii="宋体" w:hAnsi="宋体" w:eastAsia="宋体" w:cs="宋体"/>
          <w:b w:val="0"/>
          <w:bCs w:val="0"/>
          <w:color w:val="auto"/>
          <w:szCs w:val="21"/>
          <w:highlight w:val="none"/>
          <w:lang w:val="en-US" w:eastAsia="zh-CN"/>
        </w:rPr>
        <w:t>设备运行服务质量</w:t>
      </w:r>
      <w:r>
        <w:rPr>
          <w:rFonts w:hint="eastAsia" w:ascii="宋体" w:hAnsi="宋体" w:eastAsia="宋体" w:cs="宋体"/>
          <w:b w:val="0"/>
          <w:bCs w:val="0"/>
          <w:color w:val="auto"/>
          <w:szCs w:val="21"/>
          <w:highlight w:val="none"/>
        </w:rPr>
        <w:t>或者不能诚信履约的，磋商委员会应当要求其在磋商现场</w:t>
      </w:r>
      <w:r>
        <w:rPr>
          <w:rFonts w:hint="eastAsia" w:ascii="宋体" w:hAnsi="宋体" w:eastAsia="宋体" w:cs="宋体"/>
          <w:b w:val="0"/>
          <w:bCs w:val="0"/>
          <w:color w:val="auto"/>
          <w:kern w:val="0"/>
          <w:szCs w:val="21"/>
          <w:highlight w:val="none"/>
          <w:lang w:eastAsia="zh-CN"/>
        </w:rPr>
        <w:t>（或电子交易系统）</w:t>
      </w:r>
      <w:r>
        <w:rPr>
          <w:rFonts w:hint="eastAsia" w:ascii="宋体" w:hAnsi="宋体" w:eastAsia="宋体" w:cs="宋体"/>
          <w:b w:val="0"/>
          <w:bCs w:val="0"/>
          <w:color w:val="auto"/>
          <w:szCs w:val="21"/>
          <w:highlight w:val="none"/>
        </w:rPr>
        <w:t>合理的时间内提供书面说明</w:t>
      </w:r>
      <w:r>
        <w:rPr>
          <w:rFonts w:hint="eastAsia" w:ascii="宋体" w:hAnsi="宋体" w:eastAsia="宋体" w:cs="宋体"/>
          <w:b w:val="0"/>
          <w:bCs w:val="0"/>
          <w:color w:val="auto"/>
          <w:kern w:val="0"/>
          <w:szCs w:val="21"/>
          <w:highlight w:val="none"/>
          <w:lang w:eastAsia="zh-CN"/>
        </w:rPr>
        <w:t>（或电子澄清说明文件）</w:t>
      </w:r>
      <w:r>
        <w:rPr>
          <w:rFonts w:hint="eastAsia" w:ascii="宋体" w:hAnsi="宋体" w:eastAsia="宋体" w:cs="宋体"/>
          <w:b w:val="0"/>
          <w:bCs w:val="0"/>
          <w:color w:val="auto"/>
          <w:szCs w:val="21"/>
          <w:highlight w:val="none"/>
        </w:rPr>
        <w:t xml:space="preserve">，必要时提交相关证明材料；供应商不能证明其合理性的，磋商委员会应当将其作为无效投标处理。 </w:t>
      </w:r>
      <w:r>
        <w:rPr>
          <w:rFonts w:hint="eastAsia" w:ascii="宋体" w:hAnsi="宋体" w:eastAsia="宋体" w:cs="宋体"/>
          <w:b/>
          <w:bCs/>
          <w:color w:val="auto"/>
          <w:szCs w:val="21"/>
          <w:highlight w:val="none"/>
        </w:rPr>
        <w:t xml:space="preserve"> </w:t>
      </w:r>
    </w:p>
    <w:p w14:paraId="61118698">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lang w:eastAsia="zh-CN"/>
        </w:rPr>
      </w:pPr>
      <w:bookmarkStart w:id="373" w:name="_Toc31388"/>
      <w:bookmarkStart w:id="374" w:name="_Toc18492"/>
      <w:bookmarkStart w:id="375" w:name="_Toc29723"/>
      <w:r>
        <w:rPr>
          <w:rFonts w:hint="eastAsia" w:ascii="宋体" w:hAnsi="宋体" w:eastAsia="宋体" w:cs="宋体"/>
          <w:b/>
          <w:bCs/>
          <w:color w:val="auto"/>
          <w:sz w:val="21"/>
          <w:szCs w:val="21"/>
          <w:highlight w:val="none"/>
          <w:lang w:eastAsia="zh-CN"/>
        </w:rPr>
        <w:t>3.3 磋商有效期</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754583A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3.3.1 在供应商须知前附表规定的磋商有效期内，供应商不得要求撤销或修改其响应文件。</w:t>
      </w:r>
    </w:p>
    <w:p w14:paraId="050EC7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3.3.2出现特殊情况需要延长磋商有效期的，采购人以书面形式通知所有供应商延长磋商有效期。供应商同意延长的，但不得要求或被允许修改或撤销其响应文件；供应商拒绝延长的，其响应文件失效。 </w:t>
      </w:r>
    </w:p>
    <w:p w14:paraId="60F85513">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lang w:eastAsia="zh-CN"/>
        </w:rPr>
      </w:pPr>
      <w:bookmarkStart w:id="376" w:name="_Toc7057"/>
      <w:bookmarkStart w:id="377" w:name="_Toc455867787"/>
      <w:bookmarkStart w:id="378" w:name="_Toc2505"/>
      <w:bookmarkStart w:id="379" w:name="_Toc4165"/>
      <w:bookmarkStart w:id="380" w:name="_Toc10370"/>
      <w:bookmarkStart w:id="381" w:name="_Toc7973"/>
      <w:bookmarkStart w:id="382" w:name="_Toc455080127"/>
      <w:bookmarkStart w:id="383" w:name="_Toc8406"/>
      <w:bookmarkStart w:id="384" w:name="_Toc152045550"/>
      <w:bookmarkStart w:id="385" w:name="_Toc22634"/>
      <w:bookmarkStart w:id="386" w:name="_Toc7618"/>
      <w:bookmarkStart w:id="387" w:name="_Toc144974518"/>
      <w:bookmarkStart w:id="388" w:name="_Toc466298110"/>
      <w:bookmarkStart w:id="389" w:name="_Toc318450694"/>
      <w:bookmarkStart w:id="390" w:name="_Toc152042326"/>
      <w:bookmarkStart w:id="391" w:name="_Toc490667847"/>
      <w:bookmarkStart w:id="392" w:name="_Toc30697"/>
      <w:bookmarkStart w:id="393" w:name="_Toc28696"/>
      <w:bookmarkStart w:id="394" w:name="_Toc840"/>
      <w:bookmarkStart w:id="395" w:name="_Toc13069"/>
      <w:bookmarkStart w:id="396" w:name="_Toc13921"/>
      <w:r>
        <w:rPr>
          <w:rFonts w:hint="eastAsia" w:ascii="宋体" w:hAnsi="宋体" w:eastAsia="宋体" w:cs="宋体"/>
          <w:b/>
          <w:bCs/>
          <w:color w:val="auto"/>
          <w:sz w:val="21"/>
          <w:szCs w:val="21"/>
          <w:highlight w:val="none"/>
          <w:lang w:eastAsia="zh-CN"/>
        </w:rPr>
        <w:t>3.4 磋商保证金</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Start w:id="397" w:name="_Toc152042328"/>
      <w:bookmarkStart w:id="398" w:name="_Toc318450695"/>
      <w:bookmarkStart w:id="399" w:name="_Toc144974520"/>
      <w:bookmarkStart w:id="400" w:name="_Toc152045552"/>
      <w:r>
        <w:rPr>
          <w:rFonts w:hint="eastAsia" w:ascii="宋体" w:hAnsi="宋体" w:eastAsia="宋体" w:cs="宋体"/>
          <w:b/>
          <w:bCs/>
          <w:color w:val="auto"/>
          <w:sz w:val="21"/>
          <w:szCs w:val="21"/>
          <w:highlight w:val="none"/>
          <w:lang w:eastAsia="zh-CN"/>
        </w:rPr>
        <w:t>：无。</w:t>
      </w:r>
      <w:bookmarkEnd w:id="393"/>
      <w:bookmarkEnd w:id="394"/>
      <w:bookmarkEnd w:id="395"/>
      <w:bookmarkEnd w:id="396"/>
    </w:p>
    <w:p w14:paraId="72C9DB93">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lang w:eastAsia="zh-CN"/>
        </w:rPr>
      </w:pPr>
      <w:bookmarkStart w:id="401" w:name="_Toc466298111"/>
      <w:bookmarkStart w:id="402" w:name="_Toc13680"/>
      <w:bookmarkStart w:id="403" w:name="_Toc455867788"/>
      <w:bookmarkStart w:id="404" w:name="_Toc4432"/>
      <w:bookmarkStart w:id="405" w:name="_Toc13362"/>
      <w:bookmarkStart w:id="406" w:name="_Toc22527"/>
      <w:bookmarkStart w:id="407" w:name="_Toc16747"/>
      <w:bookmarkStart w:id="408" w:name="_Toc17153"/>
      <w:bookmarkStart w:id="409" w:name="_Toc20328"/>
      <w:bookmarkStart w:id="410" w:name="_Toc11077"/>
      <w:bookmarkStart w:id="411" w:name="_Toc27579"/>
      <w:bookmarkStart w:id="412" w:name="_Toc455080128"/>
      <w:bookmarkStart w:id="413" w:name="_Toc2794"/>
      <w:bookmarkStart w:id="414" w:name="_Toc490667848"/>
      <w:bookmarkStart w:id="415" w:name="_Toc22384"/>
      <w:bookmarkStart w:id="416" w:name="_Toc15547"/>
      <w:bookmarkStart w:id="417" w:name="_Toc28249"/>
      <w:r>
        <w:rPr>
          <w:rFonts w:hint="eastAsia" w:ascii="宋体" w:hAnsi="宋体" w:eastAsia="宋体" w:cs="宋体"/>
          <w:b/>
          <w:bCs/>
          <w:color w:val="auto"/>
          <w:sz w:val="21"/>
          <w:szCs w:val="21"/>
          <w:highlight w:val="none"/>
          <w:lang w:eastAsia="zh-CN"/>
        </w:rPr>
        <w:t>3.5</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Pr>
          <w:rFonts w:hint="eastAsia" w:ascii="宋体" w:hAnsi="宋体" w:eastAsia="宋体" w:cs="宋体"/>
          <w:b/>
          <w:bCs/>
          <w:color w:val="auto"/>
          <w:sz w:val="21"/>
          <w:szCs w:val="21"/>
          <w:highlight w:val="none"/>
          <w:lang w:eastAsia="zh-CN"/>
        </w:rPr>
        <w:t>资格证明材料</w:t>
      </w:r>
      <w:bookmarkEnd w:id="417"/>
    </w:p>
    <w:p w14:paraId="1B0231A6">
      <w:pPr>
        <w:pStyle w:val="71"/>
        <w:keepNext/>
        <w:keepLines/>
        <w:pageBreakBefore w:val="0"/>
        <w:widowControl w:val="0"/>
        <w:kinsoku/>
        <w:wordWrap/>
        <w:overflowPunct/>
        <w:topLinePunct w:val="0"/>
        <w:autoSpaceDE/>
        <w:autoSpaceDN/>
        <w:bidi w:val="0"/>
        <w:adjustRightInd/>
        <w:snapToGrid/>
        <w:spacing w:line="360" w:lineRule="auto"/>
        <w:ind w:firstLine="315" w:firstLineChars="150"/>
        <w:textAlignment w:val="auto"/>
        <w:outlineLvl w:val="9"/>
        <w:rPr>
          <w:rFonts w:hint="eastAsia" w:ascii="宋体" w:hAnsi="宋体" w:eastAsia="宋体" w:cs="宋体"/>
          <w:color w:val="auto"/>
          <w:kern w:val="2"/>
          <w:sz w:val="21"/>
          <w:szCs w:val="21"/>
          <w:highlight w:val="none"/>
          <w:lang w:val="en-US" w:eastAsia="zh-CN"/>
        </w:rPr>
      </w:pPr>
      <w:bookmarkStart w:id="418" w:name="_Toc17451"/>
      <w:bookmarkStart w:id="419" w:name="_Toc2518"/>
      <w:bookmarkStart w:id="420" w:name="_Toc4586"/>
      <w:bookmarkStart w:id="421" w:name="_Toc14611"/>
      <w:bookmarkStart w:id="422" w:name="_Toc3286"/>
      <w:bookmarkStart w:id="423" w:name="_Toc490667849"/>
      <w:bookmarkStart w:id="424" w:name="_Toc5132"/>
      <w:bookmarkStart w:id="425" w:name="_Toc455080129"/>
      <w:bookmarkStart w:id="426" w:name="_Toc11694"/>
      <w:bookmarkStart w:id="427" w:name="_Toc152045553"/>
      <w:bookmarkStart w:id="428" w:name="_Toc1228"/>
      <w:bookmarkStart w:id="429" w:name="_Toc466298112"/>
      <w:bookmarkStart w:id="430" w:name="_Toc318450696"/>
      <w:bookmarkStart w:id="431" w:name="_Toc144974521"/>
      <w:bookmarkStart w:id="432" w:name="_Toc30442"/>
      <w:bookmarkStart w:id="433" w:name="_Toc455867789"/>
      <w:bookmarkStart w:id="434" w:name="_Toc9015"/>
      <w:bookmarkStart w:id="435" w:name="_Toc26258"/>
      <w:bookmarkStart w:id="436" w:name="_Toc18915"/>
      <w:bookmarkStart w:id="437" w:name="_Toc19724"/>
      <w:bookmarkStart w:id="438" w:name="_Toc152042329"/>
      <w:r>
        <w:rPr>
          <w:rFonts w:hint="eastAsia" w:ascii="宋体" w:hAnsi="宋体" w:eastAsia="宋体" w:cs="宋体"/>
          <w:color w:val="auto"/>
          <w:kern w:val="2"/>
          <w:sz w:val="21"/>
          <w:szCs w:val="21"/>
          <w:highlight w:val="none"/>
          <w:lang w:val="en-US" w:eastAsia="zh-CN"/>
        </w:rPr>
        <w:t>按照第二章供应商须知表“供应商须知前附表”1.5.1要求，提供其他相关材料。</w:t>
      </w:r>
      <w:bookmarkEnd w:id="418"/>
      <w:bookmarkEnd w:id="419"/>
      <w:bookmarkEnd w:id="420"/>
      <w:bookmarkEnd w:id="421"/>
    </w:p>
    <w:p w14:paraId="4CC12171">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lang w:eastAsia="zh-CN"/>
        </w:rPr>
      </w:pPr>
      <w:bookmarkStart w:id="439" w:name="_Toc24859"/>
      <w:bookmarkStart w:id="440" w:name="_Toc19172"/>
      <w:bookmarkStart w:id="441" w:name="_Toc2753"/>
      <w:bookmarkStart w:id="442" w:name="_Toc22529"/>
      <w:r>
        <w:rPr>
          <w:rFonts w:hint="eastAsia" w:ascii="宋体" w:hAnsi="宋体" w:eastAsia="宋体" w:cs="宋体"/>
          <w:b/>
          <w:bCs/>
          <w:color w:val="auto"/>
          <w:sz w:val="21"/>
          <w:szCs w:val="21"/>
          <w:highlight w:val="none"/>
          <w:lang w:eastAsia="zh-CN"/>
        </w:rPr>
        <w:t>3.6 备选方案</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010B4D5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除供应商须知前附表另有规定外，供应商不得递交备选磋商方案。</w:t>
      </w:r>
    </w:p>
    <w:p w14:paraId="5BD9E224">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lang w:eastAsia="zh-CN"/>
        </w:rPr>
      </w:pPr>
      <w:bookmarkStart w:id="443" w:name="_Toc18912"/>
      <w:bookmarkStart w:id="444" w:name="_Toc466298113"/>
      <w:bookmarkStart w:id="445" w:name="_Toc12600"/>
      <w:bookmarkStart w:id="446" w:name="_Toc7626"/>
      <w:bookmarkStart w:id="447" w:name="_Toc144974522"/>
      <w:bookmarkStart w:id="448" w:name="_Toc7966"/>
      <w:bookmarkStart w:id="449" w:name="_Toc318450697"/>
      <w:bookmarkStart w:id="450" w:name="_Toc490667850"/>
      <w:bookmarkStart w:id="451" w:name="_Toc25620"/>
      <w:bookmarkStart w:id="452" w:name="_Toc5516"/>
      <w:bookmarkStart w:id="453" w:name="_Toc12541"/>
      <w:bookmarkStart w:id="454" w:name="_Toc28656"/>
      <w:bookmarkStart w:id="455" w:name="_Toc17697"/>
      <w:bookmarkStart w:id="456" w:name="_Toc28763"/>
      <w:bookmarkStart w:id="457" w:name="_Toc16184"/>
      <w:bookmarkStart w:id="458" w:name="_Toc455867790"/>
      <w:bookmarkStart w:id="459" w:name="_Toc152045554"/>
      <w:bookmarkStart w:id="460" w:name="_Toc12275"/>
      <w:bookmarkStart w:id="461" w:name="_Toc6323"/>
      <w:bookmarkStart w:id="462" w:name="_Toc455080130"/>
      <w:bookmarkStart w:id="463" w:name="_Toc152042330"/>
      <w:r>
        <w:rPr>
          <w:rFonts w:hint="eastAsia" w:ascii="宋体" w:hAnsi="宋体" w:eastAsia="宋体" w:cs="宋体"/>
          <w:b/>
          <w:bCs/>
          <w:color w:val="auto"/>
          <w:sz w:val="21"/>
          <w:szCs w:val="21"/>
          <w:highlight w:val="none"/>
          <w:lang w:eastAsia="zh-CN"/>
        </w:rPr>
        <w:t>3.7 响应文件的编制</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5743C511">
      <w:pPr>
        <w:spacing w:line="360" w:lineRule="auto"/>
        <w:ind w:firstLine="420" w:firstLineChars="200"/>
        <w:rPr>
          <w:rFonts w:hint="eastAsia" w:ascii="宋体" w:hAnsi="宋体" w:eastAsia="宋体" w:cs="宋体"/>
          <w:color w:val="auto"/>
          <w:szCs w:val="21"/>
          <w:highlight w:val="none"/>
        </w:rPr>
      </w:pPr>
      <w:bookmarkStart w:id="464" w:name="_Toc455080131"/>
      <w:bookmarkStart w:id="465" w:name="_Toc152045555"/>
      <w:bookmarkStart w:id="466" w:name="_Toc152042331"/>
      <w:bookmarkStart w:id="467" w:name="_Toc144974523"/>
      <w:r>
        <w:rPr>
          <w:rFonts w:hint="eastAsia" w:ascii="宋体" w:hAnsi="宋体" w:eastAsia="宋体" w:cs="宋体"/>
          <w:color w:val="auto"/>
          <w:szCs w:val="21"/>
          <w:highlight w:val="none"/>
        </w:rPr>
        <w:t>3.7.1响应文件应按</w:t>
      </w:r>
      <w:r>
        <w:rPr>
          <w:rFonts w:hint="eastAsia" w:ascii="宋体" w:hAnsi="宋体" w:eastAsia="宋体" w:cs="宋体"/>
          <w:color w:val="auto"/>
          <w:szCs w:val="21"/>
          <w:highlight w:val="none"/>
          <w:lang w:eastAsia="zh-CN"/>
        </w:rPr>
        <w:t>第六章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竞争性磋商响应文件格式</w:t>
      </w:r>
      <w:r>
        <w:rPr>
          <w:rFonts w:hint="eastAsia" w:ascii="宋体" w:hAnsi="宋体" w:eastAsia="宋体" w:cs="宋体"/>
          <w:color w:val="auto"/>
          <w:szCs w:val="21"/>
          <w:highlight w:val="none"/>
        </w:rPr>
        <w:t>”进行编写，如有必要，可以增加附页，作为响应文件的组成部分。其中，</w:t>
      </w:r>
      <w:r>
        <w:rPr>
          <w:rFonts w:hint="eastAsia" w:ascii="宋体" w:hAnsi="宋体" w:eastAsia="宋体" w:cs="宋体"/>
          <w:color w:val="auto"/>
          <w:szCs w:val="21"/>
          <w:highlight w:val="none"/>
          <w:lang w:eastAsia="zh-CN"/>
        </w:rPr>
        <w:t>响应函</w:t>
      </w:r>
      <w:r>
        <w:rPr>
          <w:rFonts w:hint="eastAsia" w:ascii="宋体" w:hAnsi="宋体" w:eastAsia="宋体" w:cs="宋体"/>
          <w:color w:val="auto"/>
          <w:szCs w:val="21"/>
          <w:highlight w:val="none"/>
        </w:rPr>
        <w:t>附录在满足</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实质性要求的基础上，可以提出比</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要求更有利于采购人的承诺。</w:t>
      </w:r>
    </w:p>
    <w:p w14:paraId="09F681F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3.7.2 响应文件应当对</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有关合同履行期限、磋商有效期、</w:t>
      </w:r>
      <w:r>
        <w:rPr>
          <w:rFonts w:hint="eastAsia" w:ascii="宋体" w:hAnsi="宋体" w:eastAsia="宋体" w:cs="宋体"/>
          <w:color w:val="auto"/>
          <w:sz w:val="21"/>
          <w:szCs w:val="21"/>
          <w:highlight w:val="none"/>
          <w:lang w:val="en-US" w:eastAsia="zh-CN"/>
        </w:rPr>
        <w:t>服务质量</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磋商内容</w:t>
      </w:r>
      <w:r>
        <w:rPr>
          <w:rFonts w:hint="eastAsia" w:ascii="宋体" w:hAnsi="宋体" w:eastAsia="宋体" w:cs="宋体"/>
          <w:color w:val="auto"/>
          <w:szCs w:val="21"/>
          <w:highlight w:val="none"/>
        </w:rPr>
        <w:t>作出响应。</w:t>
      </w:r>
    </w:p>
    <w:p w14:paraId="237561C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eastAsia="zh-CN"/>
        </w:rPr>
        <w:t>.7.3响应文件应使用信阳市公共资源交易系统投标文件制作专用工具软件编制，竞争性磋商响应文件格式为“*.XYTF”。电子响应文件签字或盖章的具体要求</w:t>
      </w:r>
      <w:r>
        <w:rPr>
          <w:rFonts w:hint="eastAsia" w:ascii="宋体" w:hAnsi="宋体" w:eastAsia="宋体" w:cs="宋体"/>
          <w:color w:val="auto"/>
          <w:szCs w:val="21"/>
          <w:highlight w:val="none"/>
        </w:rPr>
        <w:t>见供应商须知前附表。供应商须在</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递交截止时间前制作并提交。</w:t>
      </w:r>
    </w:p>
    <w:p w14:paraId="52FFC15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 xml:space="preserve"> 3.7.4 响应文件份数见供应商须知前附表。</w:t>
      </w:r>
    </w:p>
    <w:p w14:paraId="4629F3E2">
      <w:pPr>
        <w:pStyle w:val="70"/>
        <w:keepNext/>
        <w:keepLines/>
        <w:pageBreakBefore w:val="0"/>
        <w:widowControl w:val="0"/>
        <w:kinsoku/>
        <w:wordWrap/>
        <w:overflowPunct/>
        <w:topLinePunct w:val="0"/>
        <w:autoSpaceDE/>
        <w:autoSpaceDN/>
        <w:bidi w:val="0"/>
        <w:adjustRightInd/>
        <w:snapToGrid/>
        <w:spacing w:before="0" w:beforeLines="0" w:line="360" w:lineRule="auto"/>
        <w:textAlignment w:val="auto"/>
        <w:rPr>
          <w:rFonts w:hint="eastAsia" w:ascii="宋体" w:hAnsi="宋体" w:eastAsia="宋体" w:cs="宋体"/>
          <w:b/>
          <w:bCs/>
          <w:color w:val="auto"/>
          <w:sz w:val="21"/>
          <w:szCs w:val="21"/>
          <w:highlight w:val="none"/>
        </w:rPr>
      </w:pPr>
      <w:bookmarkStart w:id="468" w:name="_Toc19433"/>
      <w:bookmarkStart w:id="469" w:name="_Toc7291"/>
      <w:r>
        <w:rPr>
          <w:rFonts w:hint="eastAsia" w:ascii="宋体" w:hAnsi="宋体" w:eastAsia="宋体" w:cs="宋体"/>
          <w:b/>
          <w:bCs/>
          <w:color w:val="auto"/>
          <w:sz w:val="21"/>
          <w:szCs w:val="21"/>
          <w:highlight w:val="none"/>
        </w:rPr>
        <w:t xml:space="preserve">4. </w:t>
      </w:r>
      <w:bookmarkEnd w:id="464"/>
      <w:bookmarkEnd w:id="465"/>
      <w:bookmarkEnd w:id="466"/>
      <w:bookmarkEnd w:id="467"/>
      <w:r>
        <w:rPr>
          <w:rFonts w:hint="eastAsia" w:ascii="宋体" w:hAnsi="宋体" w:eastAsia="宋体" w:cs="宋体"/>
          <w:b/>
          <w:bCs/>
          <w:color w:val="auto"/>
          <w:sz w:val="21"/>
          <w:szCs w:val="21"/>
          <w:highlight w:val="none"/>
        </w:rPr>
        <w:t>磋商</w:t>
      </w:r>
      <w:bookmarkEnd w:id="468"/>
      <w:bookmarkEnd w:id="469"/>
    </w:p>
    <w:p w14:paraId="56D09F3F">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lang w:eastAsia="zh-CN"/>
        </w:rPr>
      </w:pPr>
      <w:bookmarkStart w:id="470" w:name="_Toc16783"/>
      <w:bookmarkStart w:id="471" w:name="_Toc152042332"/>
      <w:bookmarkStart w:id="472" w:name="_Toc11243"/>
      <w:bookmarkStart w:id="473" w:name="_Toc466298115"/>
      <w:bookmarkStart w:id="474" w:name="_Toc22961"/>
      <w:bookmarkStart w:id="475" w:name="_Toc455867792"/>
      <w:bookmarkStart w:id="476" w:name="_Toc16962"/>
      <w:bookmarkStart w:id="477" w:name="_Toc455080132"/>
      <w:bookmarkStart w:id="478" w:name="_Toc18820"/>
      <w:bookmarkStart w:id="479" w:name="_Toc152045556"/>
      <w:bookmarkStart w:id="480" w:name="_Toc26550"/>
      <w:bookmarkStart w:id="481" w:name="_Toc26583"/>
      <w:bookmarkStart w:id="482" w:name="_Toc490667852"/>
      <w:bookmarkStart w:id="483" w:name="_Toc318450699"/>
      <w:bookmarkStart w:id="484" w:name="_Toc31492"/>
      <w:bookmarkStart w:id="485" w:name="_Toc144974524"/>
      <w:bookmarkStart w:id="486" w:name="_Toc16344"/>
      <w:bookmarkStart w:id="487" w:name="_Toc1706"/>
      <w:bookmarkStart w:id="488" w:name="_Toc8971"/>
      <w:bookmarkStart w:id="489" w:name="_Toc21145"/>
      <w:bookmarkStart w:id="490" w:name="_Toc9789"/>
      <w:r>
        <w:rPr>
          <w:rFonts w:hint="eastAsia" w:ascii="宋体" w:hAnsi="宋体" w:eastAsia="宋体" w:cs="宋体"/>
          <w:b/>
          <w:bCs/>
          <w:color w:val="auto"/>
          <w:sz w:val="21"/>
          <w:szCs w:val="21"/>
          <w:highlight w:val="none"/>
          <w:lang w:eastAsia="zh-CN"/>
        </w:rPr>
        <w:t>4.1 响应文件的</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Pr>
          <w:rFonts w:hint="eastAsia" w:ascii="宋体" w:hAnsi="宋体" w:eastAsia="宋体" w:cs="宋体"/>
          <w:b/>
          <w:bCs/>
          <w:color w:val="auto"/>
          <w:sz w:val="21"/>
          <w:szCs w:val="21"/>
          <w:highlight w:val="none"/>
          <w:lang w:eastAsia="zh-CN"/>
        </w:rPr>
        <w:t>上传</w:t>
      </w:r>
      <w:bookmarkEnd w:id="487"/>
      <w:bookmarkEnd w:id="488"/>
      <w:bookmarkEnd w:id="489"/>
      <w:bookmarkEnd w:id="490"/>
    </w:p>
    <w:p w14:paraId="163EF7E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4.1.1网上上传的电子响应文件应使用供应商数字证书认证并加密。</w:t>
      </w:r>
    </w:p>
    <w:p w14:paraId="794C8D70">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lang w:eastAsia="zh-CN"/>
        </w:rPr>
      </w:pPr>
      <w:bookmarkStart w:id="491" w:name="_Toc28272"/>
      <w:bookmarkStart w:id="492" w:name="_Toc21072"/>
      <w:bookmarkStart w:id="493" w:name="_Toc7663"/>
      <w:bookmarkStart w:id="494" w:name="_Toc490667853"/>
      <w:bookmarkStart w:id="495" w:name="_Toc4767"/>
      <w:bookmarkStart w:id="496" w:name="_Toc24049"/>
      <w:bookmarkStart w:id="497" w:name="_Toc20259"/>
      <w:bookmarkStart w:id="498" w:name="_Toc16832"/>
      <w:bookmarkStart w:id="499" w:name="_Toc466298116"/>
      <w:bookmarkStart w:id="500" w:name="_Toc29575"/>
      <w:bookmarkStart w:id="501" w:name="_Toc144974525"/>
      <w:bookmarkStart w:id="502" w:name="_Toc152045557"/>
      <w:bookmarkStart w:id="503" w:name="_Toc318450700"/>
      <w:bookmarkStart w:id="504" w:name="_Toc27132"/>
      <w:bookmarkStart w:id="505" w:name="_Toc462"/>
      <w:bookmarkStart w:id="506" w:name="_Toc8754"/>
      <w:bookmarkStart w:id="507" w:name="_Toc21897"/>
      <w:bookmarkStart w:id="508" w:name="_Toc152042333"/>
      <w:bookmarkStart w:id="509" w:name="_Toc455080133"/>
      <w:bookmarkStart w:id="510" w:name="_Toc1390"/>
      <w:bookmarkStart w:id="511" w:name="_Toc455867793"/>
      <w:r>
        <w:rPr>
          <w:rFonts w:hint="eastAsia" w:ascii="宋体" w:hAnsi="宋体" w:eastAsia="宋体" w:cs="宋体"/>
          <w:b/>
          <w:bCs/>
          <w:color w:val="auto"/>
          <w:sz w:val="21"/>
          <w:szCs w:val="21"/>
          <w:highlight w:val="none"/>
          <w:lang w:eastAsia="zh-CN"/>
        </w:rPr>
        <w:t>4.2 响应文件的递交</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3B2DB040">
      <w:pPr>
        <w:spacing w:line="400" w:lineRule="exact"/>
        <w:ind w:firstLine="420" w:firstLineChars="200"/>
        <w:rPr>
          <w:rFonts w:hint="eastAsia" w:ascii="宋体" w:hAnsi="宋体" w:eastAsia="宋体" w:cs="宋体"/>
          <w:color w:val="auto"/>
          <w:szCs w:val="21"/>
          <w:highlight w:val="none"/>
          <w:lang w:eastAsia="zh-CN"/>
        </w:rPr>
      </w:pPr>
      <w:bookmarkStart w:id="512" w:name="_Toc466298117"/>
      <w:bookmarkStart w:id="513" w:name="_Toc17161"/>
      <w:bookmarkStart w:id="514" w:name="_Toc5102"/>
      <w:bookmarkStart w:id="515" w:name="_Toc21890"/>
      <w:bookmarkStart w:id="516" w:name="_Toc11817"/>
      <w:bookmarkStart w:id="517" w:name="_Toc2952"/>
      <w:bookmarkStart w:id="518" w:name="_Toc152045558"/>
      <w:bookmarkStart w:id="519" w:name="_Toc20281"/>
      <w:bookmarkStart w:id="520" w:name="_Toc455080134"/>
      <w:bookmarkStart w:id="521" w:name="_Toc26684"/>
      <w:bookmarkStart w:id="522" w:name="_Toc455867794"/>
      <w:bookmarkStart w:id="523" w:name="_Toc30860"/>
      <w:bookmarkStart w:id="524" w:name="_Toc144974526"/>
      <w:bookmarkStart w:id="525" w:name="_Toc490667854"/>
      <w:bookmarkStart w:id="526" w:name="_Toc19951"/>
      <w:bookmarkStart w:id="527" w:name="_Toc318450701"/>
      <w:bookmarkStart w:id="528" w:name="_Toc152042334"/>
      <w:r>
        <w:rPr>
          <w:rFonts w:hint="eastAsia" w:ascii="宋体" w:hAnsi="宋体" w:eastAsia="宋体" w:cs="宋体"/>
          <w:color w:val="auto"/>
          <w:szCs w:val="21"/>
          <w:highlight w:val="none"/>
          <w:lang w:eastAsia="zh-CN"/>
        </w:rPr>
        <w:t>4.2.1电子响应文件的递交</w:t>
      </w:r>
    </w:p>
    <w:p w14:paraId="1496330F">
      <w:pPr>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各供应商应在响应文件提交截止时间前上传加密的电子响应文件（*.XYTF）到会员系统的指定位置。上传的电子响应文件应使用供应商CA数字证书认证并加密。上传时必须得到交易系统“上传成功”的确认回复后方为上传成功。请供应商在上传前务必认真检查上传响应文件是否完整、正确。</w:t>
      </w:r>
    </w:p>
    <w:p w14:paraId="3C4F956C">
      <w:pPr>
        <w:pStyle w:val="71"/>
        <w:keepNext/>
        <w:keepLines/>
        <w:pageBreakBefore w:val="0"/>
        <w:widowControl w:val="0"/>
        <w:tabs>
          <w:tab w:val="left" w:pos="7410"/>
        </w:tabs>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lang w:eastAsia="zh-CN"/>
        </w:rPr>
      </w:pPr>
      <w:bookmarkStart w:id="529" w:name="_Toc19834"/>
      <w:bookmarkStart w:id="530" w:name="_Toc19756"/>
      <w:bookmarkStart w:id="531" w:name="_Toc1790"/>
      <w:bookmarkStart w:id="532" w:name="_Toc1184"/>
      <w:r>
        <w:rPr>
          <w:rFonts w:hint="eastAsia" w:ascii="宋体" w:hAnsi="宋体" w:eastAsia="宋体" w:cs="宋体"/>
          <w:b/>
          <w:bCs/>
          <w:color w:val="auto"/>
          <w:sz w:val="21"/>
          <w:szCs w:val="21"/>
          <w:highlight w:val="none"/>
          <w:lang w:eastAsia="zh-CN"/>
        </w:rPr>
        <w:t>4.3 响应文件的修改与撤回</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27A91FF0">
      <w:pPr>
        <w:spacing w:line="400" w:lineRule="exact"/>
        <w:ind w:firstLine="420" w:firstLineChars="200"/>
        <w:rPr>
          <w:rFonts w:hint="eastAsia" w:ascii="宋体" w:hAnsi="宋体" w:eastAsia="宋体" w:cs="宋体"/>
          <w:color w:val="auto"/>
          <w:szCs w:val="21"/>
          <w:highlight w:val="none"/>
        </w:rPr>
      </w:pPr>
      <w:bookmarkStart w:id="533" w:name="_Toc144974527"/>
      <w:bookmarkStart w:id="534" w:name="_Toc152045559"/>
      <w:bookmarkStart w:id="535" w:name="_Toc152042335"/>
      <w:bookmarkStart w:id="536" w:name="_Toc455080135"/>
      <w:r>
        <w:rPr>
          <w:rFonts w:hint="eastAsia" w:ascii="宋体" w:hAnsi="宋体" w:eastAsia="宋体" w:cs="宋体"/>
          <w:color w:val="auto"/>
          <w:szCs w:val="21"/>
          <w:highlight w:val="none"/>
        </w:rPr>
        <w:t>4.3.1 在第一章“</w:t>
      </w:r>
      <w:r>
        <w:rPr>
          <w:rFonts w:hint="eastAsia" w:ascii="宋体" w:hAnsi="宋体" w:eastAsia="宋体" w:cs="宋体"/>
          <w:color w:val="auto"/>
          <w:szCs w:val="21"/>
          <w:highlight w:val="none"/>
          <w:lang w:eastAsia="zh-CN"/>
        </w:rPr>
        <w:t>竞争性磋商公告</w:t>
      </w:r>
      <w:r>
        <w:rPr>
          <w:rFonts w:hint="eastAsia" w:ascii="宋体" w:hAnsi="宋体" w:eastAsia="宋体" w:cs="宋体"/>
          <w:color w:val="auto"/>
          <w:szCs w:val="21"/>
          <w:highlight w:val="none"/>
        </w:rPr>
        <w:t>”规定的</w:t>
      </w:r>
      <w:r>
        <w:rPr>
          <w:rFonts w:hint="eastAsia" w:ascii="宋体" w:hAnsi="宋体" w:eastAsia="宋体" w:cs="宋体"/>
          <w:color w:val="auto"/>
          <w:szCs w:val="21"/>
          <w:highlight w:val="none"/>
          <w:lang w:eastAsia="zh-CN"/>
        </w:rPr>
        <w:t>响应文件提交</w:t>
      </w:r>
      <w:r>
        <w:rPr>
          <w:rFonts w:hint="eastAsia" w:ascii="宋体" w:hAnsi="宋体" w:eastAsia="宋体" w:cs="宋体"/>
          <w:color w:val="auto"/>
          <w:szCs w:val="21"/>
          <w:highlight w:val="none"/>
        </w:rPr>
        <w:t>截止时间前，供应商可以多次修改或撤回已递交的响应文件，最终响应文件以</w:t>
      </w:r>
      <w:r>
        <w:rPr>
          <w:rFonts w:hint="eastAsia" w:ascii="宋体" w:hAnsi="宋体" w:eastAsia="宋体" w:cs="宋体"/>
          <w:color w:val="auto"/>
          <w:szCs w:val="21"/>
          <w:highlight w:val="none"/>
          <w:lang w:eastAsia="zh-CN"/>
        </w:rPr>
        <w:t>响应文件提交截止时间前</w:t>
      </w:r>
      <w:r>
        <w:rPr>
          <w:rFonts w:hint="eastAsia" w:ascii="宋体" w:hAnsi="宋体" w:eastAsia="宋体" w:cs="宋体"/>
          <w:color w:val="auto"/>
          <w:szCs w:val="21"/>
          <w:highlight w:val="none"/>
        </w:rPr>
        <w:t>完成上传至信阳市公共资源交易中心交易系统最后一份响应文件为准。</w:t>
      </w:r>
    </w:p>
    <w:p w14:paraId="25843177">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4.3.2修改的响应文件应按照本章第3.7条、第4.2条规定进行编制和递交。</w:t>
      </w:r>
    </w:p>
    <w:bookmarkEnd w:id="533"/>
    <w:bookmarkEnd w:id="534"/>
    <w:bookmarkEnd w:id="535"/>
    <w:p w14:paraId="7084B3D8">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int="eastAsia" w:ascii="宋体" w:hAnsi="宋体" w:eastAsia="宋体" w:cs="宋体"/>
          <w:b/>
          <w:bCs/>
          <w:color w:val="auto"/>
          <w:szCs w:val="21"/>
          <w:highlight w:val="none"/>
        </w:rPr>
      </w:pPr>
      <w:bookmarkStart w:id="537" w:name="_Toc14969"/>
      <w:bookmarkStart w:id="538" w:name="_Toc14368"/>
      <w:r>
        <w:rPr>
          <w:rFonts w:hint="eastAsia" w:ascii="宋体" w:hAnsi="宋体" w:eastAsia="宋体" w:cs="宋体"/>
          <w:b/>
          <w:bCs/>
          <w:color w:val="auto"/>
          <w:szCs w:val="21"/>
          <w:highlight w:val="none"/>
        </w:rPr>
        <w:t>5.磋商开始</w:t>
      </w:r>
      <w:bookmarkEnd w:id="536"/>
      <w:bookmarkEnd w:id="537"/>
      <w:bookmarkEnd w:id="538"/>
      <w:bookmarkStart w:id="539" w:name="_Toc25809"/>
      <w:bookmarkStart w:id="540" w:name="_Toc26426"/>
      <w:bookmarkStart w:id="541" w:name="_Toc25533"/>
      <w:bookmarkStart w:id="542" w:name="_Toc152045560"/>
      <w:bookmarkStart w:id="543" w:name="_Toc20660"/>
      <w:bookmarkStart w:id="544" w:name="_Toc144974528"/>
      <w:bookmarkStart w:id="545" w:name="_Toc466298119"/>
      <w:bookmarkStart w:id="546" w:name="_Toc318450703"/>
      <w:bookmarkStart w:id="547" w:name="_Toc9969"/>
      <w:bookmarkStart w:id="548" w:name="_Toc455867796"/>
      <w:bookmarkStart w:id="549" w:name="_Toc455080136"/>
      <w:bookmarkStart w:id="550" w:name="_Toc20333"/>
      <w:bookmarkStart w:id="551" w:name="_Toc14"/>
      <w:bookmarkStart w:id="552" w:name="_Toc16040"/>
      <w:bookmarkStart w:id="553" w:name="_Toc6763"/>
      <w:bookmarkStart w:id="554" w:name="_Toc490667856"/>
      <w:bookmarkStart w:id="555" w:name="_Toc152042336"/>
    </w:p>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14:paraId="51D54737">
      <w:pPr>
        <w:keepNext w:val="0"/>
        <w:keepLines w:val="0"/>
        <w:pageBreakBefore w:val="0"/>
        <w:widowControl w:val="0"/>
        <w:kinsoku/>
        <w:wordWrap/>
        <w:overflowPunct/>
        <w:topLinePunct w:val="0"/>
        <w:autoSpaceDE/>
        <w:autoSpaceDN/>
        <w:bidi w:val="0"/>
        <w:adjustRightInd/>
        <w:snapToGrid/>
        <w:spacing w:line="440" w:lineRule="exact"/>
        <w:textAlignment w:val="auto"/>
        <w:outlineLvl w:val="2"/>
        <w:rPr>
          <w:rFonts w:hint="eastAsia" w:ascii="宋体" w:hAnsi="宋体" w:eastAsia="宋体" w:cs="宋体"/>
          <w:b/>
          <w:bCs/>
          <w:color w:val="auto"/>
          <w:sz w:val="21"/>
          <w:szCs w:val="21"/>
          <w:highlight w:val="none"/>
        </w:rPr>
      </w:pPr>
      <w:bookmarkStart w:id="556" w:name="_Toc455867797"/>
      <w:bookmarkStart w:id="557" w:name="_Toc152045561"/>
      <w:bookmarkStart w:id="558" w:name="_Toc318450704"/>
      <w:bookmarkStart w:id="559" w:name="_Toc17491"/>
      <w:bookmarkStart w:id="560" w:name="_Toc30965"/>
      <w:bookmarkStart w:id="561" w:name="_Toc25911"/>
      <w:bookmarkStart w:id="562" w:name="_Toc3865"/>
      <w:bookmarkStart w:id="563" w:name="_Toc11148"/>
      <w:bookmarkStart w:id="564" w:name="_Toc18582"/>
      <w:bookmarkStart w:id="565" w:name="_Toc490667857"/>
      <w:bookmarkStart w:id="566" w:name="_Toc144974529"/>
      <w:bookmarkStart w:id="567" w:name="_Toc747"/>
      <w:bookmarkStart w:id="568" w:name="_Toc152042337"/>
      <w:bookmarkStart w:id="569" w:name="_Toc466298120"/>
      <w:bookmarkStart w:id="570" w:name="_Toc30074"/>
      <w:bookmarkStart w:id="571" w:name="_Toc455080137"/>
      <w:bookmarkStart w:id="572" w:name="_Toc30792"/>
      <w:bookmarkStart w:id="573" w:name="_Toc9328"/>
      <w:r>
        <w:rPr>
          <w:rFonts w:hint="eastAsia" w:ascii="宋体" w:hAnsi="宋体" w:eastAsia="宋体" w:cs="宋体"/>
          <w:b/>
          <w:bCs/>
          <w:color w:val="auto"/>
          <w:sz w:val="21"/>
          <w:szCs w:val="21"/>
          <w:highlight w:val="none"/>
        </w:rPr>
        <w:t>5.1 磋商时间和地点</w:t>
      </w:r>
    </w:p>
    <w:p w14:paraId="593B4F77">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5.1.1 采购人在本章规定的投标截止时间（</w:t>
      </w:r>
      <w:r>
        <w:rPr>
          <w:rFonts w:hint="eastAsia" w:ascii="宋体" w:hAnsi="宋体" w:eastAsia="宋体" w:cs="宋体"/>
          <w:color w:val="auto"/>
          <w:sz w:val="21"/>
          <w:szCs w:val="21"/>
          <w:highlight w:val="none"/>
          <w:lang w:eastAsia="zh-CN"/>
        </w:rPr>
        <w:t>开标</w:t>
      </w:r>
      <w:r>
        <w:rPr>
          <w:rFonts w:hint="eastAsia" w:ascii="宋体" w:hAnsi="宋体" w:eastAsia="宋体" w:cs="宋体"/>
          <w:color w:val="auto"/>
          <w:sz w:val="21"/>
          <w:szCs w:val="21"/>
          <w:highlight w:val="none"/>
        </w:rPr>
        <w:t>时间）和</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须知前附表规定的地点开标。</w:t>
      </w:r>
    </w:p>
    <w:p w14:paraId="14CA71A1">
      <w:pPr>
        <w:spacing w:line="440" w:lineRule="exact"/>
        <w:ind w:firstLine="422" w:firstLineChars="20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 xml:space="preserve">5.1.2 </w:t>
      </w:r>
      <w:r>
        <w:rPr>
          <w:rFonts w:hint="eastAsia" w:ascii="宋体" w:hAnsi="宋体" w:eastAsia="宋体" w:cs="宋体"/>
          <w:b/>
          <w:bCs/>
          <w:color w:val="auto"/>
          <w:sz w:val="21"/>
          <w:szCs w:val="21"/>
          <w:highlight w:val="none"/>
          <w:lang w:val="en-US" w:eastAsia="zh-CN"/>
        </w:rPr>
        <w:t xml:space="preserve">本项目采用“不见面开标”交易方式，不见面开标大厅网址为 </w:t>
      </w:r>
      <w:r>
        <w:rPr>
          <w:rFonts w:hint="eastAsia" w:ascii="宋体" w:hAnsi="宋体" w:eastAsia="宋体" w:cs="宋体"/>
          <w:b/>
          <w:bCs/>
          <w:color w:val="auto"/>
          <w:sz w:val="21"/>
          <w:szCs w:val="21"/>
          <w:highlight w:val="none"/>
          <w:lang w:val="en-US" w:eastAsia="zh-CN"/>
        </w:rPr>
        <w:fldChar w:fldCharType="begin"/>
      </w:r>
      <w:r>
        <w:rPr>
          <w:rFonts w:hint="eastAsia" w:ascii="宋体" w:hAnsi="宋体" w:eastAsia="宋体" w:cs="宋体"/>
          <w:b/>
          <w:bCs/>
          <w:color w:val="auto"/>
          <w:sz w:val="21"/>
          <w:szCs w:val="21"/>
          <w:highlight w:val="none"/>
          <w:lang w:val="en-US" w:eastAsia="zh-CN"/>
        </w:rPr>
        <w:instrText xml:space="preserve"> HYPERLINK "http://117.158.91.68:8095/xxhy，投标人无需寄送和递交非加密的电子投标文件，无需到现场参加开标会议，无需到达现场提交原件资料。" </w:instrText>
      </w:r>
      <w:r>
        <w:rPr>
          <w:rFonts w:hint="eastAsia" w:ascii="宋体" w:hAnsi="宋体" w:eastAsia="宋体" w:cs="宋体"/>
          <w:b/>
          <w:bCs/>
          <w:color w:val="auto"/>
          <w:sz w:val="21"/>
          <w:szCs w:val="21"/>
          <w:highlight w:val="none"/>
          <w:lang w:val="en-US" w:eastAsia="zh-CN"/>
        </w:rPr>
        <w:fldChar w:fldCharType="separate"/>
      </w:r>
      <w:r>
        <w:rPr>
          <w:rFonts w:hint="eastAsia" w:ascii="宋体" w:hAnsi="宋体" w:eastAsia="宋体" w:cs="宋体"/>
          <w:b/>
          <w:bCs/>
          <w:color w:val="auto"/>
          <w:sz w:val="21"/>
          <w:szCs w:val="21"/>
          <w:highlight w:val="none"/>
          <w:lang w:val="en-US" w:eastAsia="zh-CN"/>
        </w:rPr>
        <w:t>https://ggzyjy.xinyang.gov.cn/BidOpening/bidhall/xinyang/login.html，供应商无需寄送和递交</w:t>
      </w:r>
      <w:r>
        <w:rPr>
          <w:rFonts w:hint="eastAsia" w:ascii="宋体" w:hAnsi="宋体" w:eastAsia="宋体" w:cs="宋体"/>
          <w:b/>
          <w:bCs/>
          <w:color w:val="auto"/>
          <w:sz w:val="21"/>
          <w:szCs w:val="21"/>
          <w:highlight w:val="none"/>
        </w:rPr>
        <w:t>非加密的电子</w:t>
      </w:r>
      <w:r>
        <w:rPr>
          <w:rFonts w:hint="eastAsia" w:ascii="宋体" w:hAnsi="宋体" w:eastAsia="宋体" w:cs="宋体"/>
          <w:b/>
          <w:bCs/>
          <w:color w:val="auto"/>
          <w:sz w:val="21"/>
          <w:szCs w:val="21"/>
          <w:highlight w:val="none"/>
          <w:lang w:eastAsia="zh-CN"/>
        </w:rPr>
        <w:t>响应文件，</w:t>
      </w:r>
      <w:r>
        <w:rPr>
          <w:rFonts w:hint="eastAsia" w:ascii="宋体" w:hAnsi="宋体" w:eastAsia="宋体" w:cs="宋体"/>
          <w:b/>
          <w:bCs/>
          <w:color w:val="auto"/>
          <w:sz w:val="21"/>
          <w:szCs w:val="21"/>
          <w:highlight w:val="none"/>
          <w:lang w:val="en-US" w:eastAsia="zh-CN"/>
        </w:rPr>
        <w:t>无需到现场参加开标会议，无需到达现场提交原件资料。</w:t>
      </w:r>
      <w:r>
        <w:rPr>
          <w:rFonts w:hint="eastAsia" w:ascii="宋体" w:hAnsi="宋体" w:eastAsia="宋体" w:cs="宋体"/>
          <w:b/>
          <w:bCs/>
          <w:color w:val="auto"/>
          <w:sz w:val="21"/>
          <w:szCs w:val="21"/>
          <w:highlight w:val="none"/>
          <w:lang w:val="en-US" w:eastAsia="zh-CN"/>
        </w:rPr>
        <w:fldChar w:fldCharType="end"/>
      </w:r>
    </w:p>
    <w:p w14:paraId="6064DA85">
      <w:pPr>
        <w:spacing w:line="440" w:lineRule="exact"/>
        <w:ind w:firstLine="422" w:firstLineChars="20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供应商应当在响应文件提交截止时间前，使用供应商CA数字证书登录不见面开标大厅，在线签到并准时参加开标活动，并在规定时间内完成响应文件解密、答疑澄清等。</w:t>
      </w:r>
    </w:p>
    <w:p w14:paraId="4F9036FB">
      <w:pPr>
        <w:spacing w:line="440" w:lineRule="exact"/>
        <w:ind w:firstLine="422" w:firstLineChars="20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需在解密开始后10分钟内完成解密（当供应商过多时，解密时间可以适当延长）。在响应文件解密过程中，因供应商原因（如供应商准备不到位、电脑网络问题等），造成无法及时解密的，将被退回响应文件。</w:t>
      </w:r>
    </w:p>
    <w:p w14:paraId="0C73C1F7">
      <w:pPr>
        <w:spacing w:line="440" w:lineRule="exact"/>
        <w:ind w:firstLine="422" w:firstLineChars="20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不见面开标服务的具体事宜，请查阅信阳市公共资源交易中心网站首页—下载中心—信阳市不见面开标大厅系统操作手册 。</w:t>
      </w:r>
    </w:p>
    <w:p w14:paraId="3691BFF8">
      <w:pPr>
        <w:spacing w:line="44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开标</w:t>
      </w:r>
      <w:r>
        <w:rPr>
          <w:rFonts w:hint="eastAsia" w:ascii="宋体" w:hAnsi="宋体" w:eastAsia="宋体" w:cs="宋体"/>
          <w:b/>
          <w:bCs/>
          <w:color w:val="auto"/>
          <w:sz w:val="21"/>
          <w:szCs w:val="21"/>
          <w:highlight w:val="none"/>
          <w:lang w:eastAsia="zh-CN"/>
        </w:rPr>
        <w:t>过程中</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供应商</w:t>
      </w:r>
      <w:r>
        <w:rPr>
          <w:rFonts w:hint="eastAsia" w:ascii="宋体" w:hAnsi="宋体" w:eastAsia="宋体" w:cs="宋体"/>
          <w:b/>
          <w:bCs/>
          <w:color w:val="auto"/>
          <w:sz w:val="21"/>
          <w:szCs w:val="21"/>
          <w:highlight w:val="none"/>
        </w:rPr>
        <w:t>如有异议，须</w:t>
      </w:r>
      <w:r>
        <w:rPr>
          <w:rFonts w:hint="eastAsia" w:ascii="宋体" w:hAnsi="宋体" w:eastAsia="宋体" w:cs="宋体"/>
          <w:b/>
          <w:bCs/>
          <w:color w:val="auto"/>
          <w:sz w:val="21"/>
          <w:szCs w:val="21"/>
          <w:highlight w:val="none"/>
          <w:lang w:eastAsia="zh-CN"/>
        </w:rPr>
        <w:t>在开标结束前</w:t>
      </w:r>
      <w:r>
        <w:rPr>
          <w:rFonts w:hint="eastAsia" w:ascii="宋体" w:hAnsi="宋体" w:eastAsia="宋体" w:cs="宋体"/>
          <w:b/>
          <w:bCs/>
          <w:color w:val="auto"/>
          <w:sz w:val="21"/>
          <w:szCs w:val="21"/>
          <w:highlight w:val="none"/>
        </w:rPr>
        <w:t>通过系统提出，否则视同</w:t>
      </w:r>
      <w:r>
        <w:rPr>
          <w:rFonts w:hint="eastAsia" w:ascii="宋体" w:hAnsi="宋体" w:eastAsia="宋体" w:cs="宋体"/>
          <w:b/>
          <w:bCs/>
          <w:color w:val="auto"/>
          <w:sz w:val="21"/>
          <w:szCs w:val="21"/>
          <w:highlight w:val="none"/>
          <w:lang w:eastAsia="zh-CN"/>
        </w:rPr>
        <w:t>认可</w:t>
      </w:r>
      <w:r>
        <w:rPr>
          <w:rFonts w:hint="eastAsia" w:ascii="宋体" w:hAnsi="宋体" w:eastAsia="宋体" w:cs="宋体"/>
          <w:b/>
          <w:bCs/>
          <w:color w:val="auto"/>
          <w:sz w:val="21"/>
          <w:szCs w:val="21"/>
          <w:highlight w:val="none"/>
        </w:rPr>
        <w:t>开标记录</w:t>
      </w:r>
      <w:r>
        <w:rPr>
          <w:rFonts w:hint="eastAsia" w:ascii="宋体" w:hAnsi="宋体" w:eastAsia="宋体" w:cs="宋体"/>
          <w:b/>
          <w:bCs/>
          <w:color w:val="auto"/>
          <w:sz w:val="21"/>
          <w:szCs w:val="21"/>
          <w:highlight w:val="none"/>
          <w:lang w:eastAsia="zh-CN"/>
        </w:rPr>
        <w:t>。开标结束后，</w:t>
      </w:r>
      <w:r>
        <w:rPr>
          <w:rFonts w:hint="eastAsia" w:ascii="宋体" w:hAnsi="宋体" w:eastAsia="宋体" w:cs="宋体"/>
          <w:b/>
          <w:bCs/>
          <w:color w:val="auto"/>
          <w:sz w:val="21"/>
          <w:szCs w:val="21"/>
          <w:highlight w:val="none"/>
          <w:lang w:val="en-US" w:eastAsia="zh-CN"/>
        </w:rPr>
        <w:t>采购人</w:t>
      </w:r>
      <w:r>
        <w:rPr>
          <w:rFonts w:hint="eastAsia" w:ascii="宋体" w:hAnsi="宋体" w:eastAsia="宋体" w:cs="宋体"/>
          <w:b/>
          <w:bCs/>
          <w:color w:val="auto"/>
          <w:sz w:val="21"/>
          <w:szCs w:val="21"/>
          <w:highlight w:val="none"/>
        </w:rPr>
        <w:t>对开标记录</w:t>
      </w:r>
      <w:r>
        <w:rPr>
          <w:rFonts w:hint="eastAsia" w:ascii="宋体" w:hAnsi="宋体" w:eastAsia="宋体" w:cs="宋体"/>
          <w:b/>
          <w:bCs/>
          <w:color w:val="auto"/>
          <w:sz w:val="21"/>
          <w:szCs w:val="21"/>
          <w:highlight w:val="none"/>
          <w:lang w:eastAsia="zh-CN"/>
        </w:rPr>
        <w:t>的</w:t>
      </w:r>
      <w:r>
        <w:rPr>
          <w:rFonts w:hint="eastAsia" w:ascii="宋体" w:hAnsi="宋体" w:eastAsia="宋体" w:cs="宋体"/>
          <w:b/>
          <w:bCs/>
          <w:color w:val="auto"/>
          <w:sz w:val="21"/>
          <w:szCs w:val="21"/>
          <w:highlight w:val="none"/>
        </w:rPr>
        <w:t>任何异议</w:t>
      </w:r>
      <w:r>
        <w:rPr>
          <w:rFonts w:hint="eastAsia" w:ascii="宋体" w:hAnsi="宋体" w:eastAsia="宋体" w:cs="宋体"/>
          <w:b/>
          <w:bCs/>
          <w:color w:val="auto"/>
          <w:sz w:val="21"/>
          <w:szCs w:val="21"/>
          <w:highlight w:val="none"/>
          <w:lang w:eastAsia="zh-CN"/>
        </w:rPr>
        <w:t>不再接受</w:t>
      </w:r>
      <w:r>
        <w:rPr>
          <w:rFonts w:hint="eastAsia" w:ascii="宋体" w:hAnsi="宋体" w:eastAsia="宋体" w:cs="宋体"/>
          <w:b/>
          <w:bCs/>
          <w:color w:val="auto"/>
          <w:sz w:val="21"/>
          <w:szCs w:val="21"/>
          <w:highlight w:val="none"/>
        </w:rPr>
        <w:t xml:space="preserve">。 </w:t>
      </w:r>
    </w:p>
    <w:p w14:paraId="366202D6">
      <w:pPr>
        <w:keepNext w:val="0"/>
        <w:keepLines w:val="0"/>
        <w:pageBreakBefore w:val="0"/>
        <w:widowControl w:val="0"/>
        <w:kinsoku/>
        <w:wordWrap/>
        <w:overflowPunct/>
        <w:topLinePunct w:val="0"/>
        <w:autoSpaceDE/>
        <w:autoSpaceDN/>
        <w:bidi w:val="0"/>
        <w:adjustRightInd/>
        <w:snapToGrid/>
        <w:spacing w:line="440" w:lineRule="exact"/>
        <w:textAlignment w:val="auto"/>
        <w:outlineLvl w:val="2"/>
        <w:rPr>
          <w:rFonts w:hint="eastAsia" w:ascii="宋体" w:hAnsi="宋体" w:eastAsia="宋体" w:cs="宋体"/>
          <w:b/>
          <w:bCs/>
          <w:color w:val="auto"/>
          <w:sz w:val="21"/>
          <w:szCs w:val="21"/>
          <w:highlight w:val="none"/>
        </w:rPr>
      </w:pPr>
      <w:bookmarkStart w:id="574" w:name="_Toc3582"/>
      <w:bookmarkStart w:id="575" w:name="_Toc6731"/>
      <w:bookmarkStart w:id="576" w:name="_Toc19841"/>
      <w:r>
        <w:rPr>
          <w:rFonts w:hint="eastAsia" w:ascii="宋体" w:hAnsi="宋体" w:eastAsia="宋体" w:cs="宋体"/>
          <w:b/>
          <w:bCs/>
          <w:color w:val="auto"/>
          <w:sz w:val="21"/>
          <w:szCs w:val="21"/>
          <w:highlight w:val="none"/>
        </w:rPr>
        <w:t>5.2 磋商程序</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32C5272C">
      <w:pPr>
        <w:pStyle w:val="71"/>
        <w:spacing w:line="360" w:lineRule="auto"/>
        <w:outlineLvl w:val="0"/>
        <w:rPr>
          <w:rFonts w:hint="eastAsia" w:ascii="宋体" w:hAnsi="宋体" w:eastAsia="宋体" w:cs="宋体"/>
          <w:b/>
          <w:bCs/>
          <w:color w:val="auto"/>
          <w:sz w:val="21"/>
          <w:szCs w:val="21"/>
          <w:highlight w:val="none"/>
          <w:lang w:val="en-US" w:eastAsia="zh-CN"/>
        </w:rPr>
      </w:pPr>
      <w:bookmarkStart w:id="577" w:name="_Toc12806"/>
      <w:bookmarkStart w:id="578" w:name="_Toc21132"/>
      <w:bookmarkStart w:id="579" w:name="_Toc10918"/>
      <w:bookmarkStart w:id="580" w:name="_Toc30403"/>
      <w:bookmarkStart w:id="581" w:name="_Toc4687"/>
      <w:r>
        <w:rPr>
          <w:rFonts w:hint="eastAsia" w:ascii="宋体" w:hAnsi="宋体" w:eastAsia="宋体" w:cs="宋体"/>
          <w:color w:val="auto"/>
          <w:sz w:val="21"/>
          <w:szCs w:val="21"/>
          <w:highlight w:val="none"/>
          <w:lang w:val="en-US" w:eastAsia="zh-CN"/>
        </w:rPr>
        <w:t>5.2.1磋商小组对竞争性磋商文件进行熟悉确认。</w:t>
      </w:r>
      <w:bookmarkEnd w:id="577"/>
      <w:bookmarkEnd w:id="578"/>
      <w:bookmarkEnd w:id="579"/>
      <w:bookmarkEnd w:id="580"/>
      <w:bookmarkEnd w:id="581"/>
    </w:p>
    <w:p w14:paraId="2D273294">
      <w:pPr>
        <w:spacing w:line="360" w:lineRule="auto"/>
        <w:rPr>
          <w:rFonts w:hint="eastAsia" w:ascii="宋体" w:hAnsi="宋体" w:eastAsia="宋体" w:cs="宋体"/>
          <w:color w:val="auto"/>
          <w:szCs w:val="21"/>
          <w:highlight w:val="none"/>
        </w:rPr>
      </w:pPr>
      <w:bookmarkStart w:id="582" w:name="_Toc152042338"/>
      <w:bookmarkStart w:id="583" w:name="_Toc144974530"/>
      <w:bookmarkStart w:id="584" w:name="_Toc152045562"/>
      <w:r>
        <w:rPr>
          <w:rFonts w:hint="eastAsia" w:ascii="宋体" w:hAnsi="宋体" w:eastAsia="宋体" w:cs="宋体"/>
          <w:color w:val="auto"/>
          <w:szCs w:val="21"/>
          <w:highlight w:val="none"/>
        </w:rPr>
        <w:t>5.2.2磋商小组推选组长，讨论、通过磋商工作流程和磋商要点。</w:t>
      </w:r>
    </w:p>
    <w:p w14:paraId="691A279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资格评审审查：采购人依据</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规定，</w:t>
      </w:r>
      <w:r>
        <w:rPr>
          <w:rFonts w:hint="eastAsia" w:ascii="宋体" w:hAnsi="宋体" w:eastAsia="宋体" w:cs="宋体"/>
          <w:color w:val="auto"/>
          <w:szCs w:val="21"/>
          <w:highlight w:val="none"/>
          <w:lang w:eastAsia="zh-CN"/>
        </w:rPr>
        <w:t>对</w:t>
      </w:r>
      <w:r>
        <w:rPr>
          <w:rFonts w:hint="eastAsia" w:ascii="宋体" w:hAnsi="宋体" w:eastAsia="宋体" w:cs="宋体"/>
          <w:color w:val="auto"/>
          <w:szCs w:val="21"/>
          <w:highlight w:val="none"/>
        </w:rPr>
        <w:t>供应商进行审查，以确定磋商供应商是否具备参与磋商的资格。</w:t>
      </w:r>
    </w:p>
    <w:p w14:paraId="66D587E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符合性</w:t>
      </w:r>
      <w:r>
        <w:rPr>
          <w:rFonts w:hint="eastAsia" w:ascii="宋体" w:hAnsi="宋体" w:eastAsia="宋体" w:cs="宋体"/>
          <w:color w:val="auto"/>
          <w:szCs w:val="21"/>
          <w:highlight w:val="none"/>
        </w:rPr>
        <w:t>评审审查：磋商开始后，磋商小组依据</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规定，对通过资格评审的供应商进行审查，以确定磋商供应商是否具备参与磋商的资格。</w:t>
      </w:r>
    </w:p>
    <w:p w14:paraId="708556E3">
      <w:pPr>
        <w:spacing w:line="360" w:lineRule="auto"/>
        <w:ind w:firstLine="472" w:firstLineChars="225"/>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磋商小组对通过资格性和符合性审查的响应文件进行评估，确定与各竞标人磋商的具体内容。</w:t>
      </w:r>
    </w:p>
    <w:p w14:paraId="54D2D10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5.2.</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磋商过程中，磋商小组可以根据磋商情况实质性变动招标需求中的技术、服务要求以及合同草案条款，但不得变动</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中的其他内容。实质性变动的内容需经采购人(业主)代表确认。并以书面形式通知所有参加磋商的供应商，该变动是</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的有效组成部分。供应商应当按照</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的变动情况和磋商小组的要求重新提交响应文件并由其法定代表人或其授权代表签字或者加盖公章。由授权代表签字的应当附法定代表人授权书。供应商为自然人的应当由本人签字并附身份证。供应商应根据磋商小组的要求，以书面形式在规定时间内做出响应，未做出响应的响应文件将被视为无效竞标。若磋商小组没有实质性变动</w:t>
      </w:r>
      <w:r>
        <w:rPr>
          <w:rFonts w:hint="eastAsia" w:ascii="宋体" w:hAnsi="宋体" w:eastAsia="宋体" w:cs="宋体"/>
          <w:color w:val="auto"/>
          <w:szCs w:val="21"/>
          <w:highlight w:val="none"/>
          <w:lang w:val="en-US" w:eastAsia="zh-CN"/>
        </w:rPr>
        <w:t>采购</w:t>
      </w:r>
      <w:r>
        <w:rPr>
          <w:rFonts w:hint="eastAsia" w:ascii="宋体" w:hAnsi="宋体" w:eastAsia="宋体" w:cs="宋体"/>
          <w:color w:val="auto"/>
          <w:szCs w:val="21"/>
          <w:highlight w:val="none"/>
        </w:rPr>
        <w:t>需求中的技术、服务要求以及合同草案条款，则供应商的最后报价不得高于首次报价，否则按废标处理。</w:t>
      </w:r>
    </w:p>
    <w:p w14:paraId="293E106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磋商小组对符合招标需求的供应商进行两轮报价；供应商只有通过资格评审</w:t>
      </w:r>
      <w:r>
        <w:rPr>
          <w:rFonts w:hint="eastAsia" w:ascii="宋体" w:hAnsi="宋体" w:eastAsia="宋体" w:cs="宋体"/>
          <w:color w:val="auto"/>
          <w:szCs w:val="21"/>
          <w:highlight w:val="none"/>
          <w:lang w:eastAsia="zh-CN"/>
        </w:rPr>
        <w:t>及符合性</w:t>
      </w:r>
      <w:r>
        <w:rPr>
          <w:rFonts w:hint="eastAsia" w:ascii="宋体" w:hAnsi="宋体" w:eastAsia="宋体" w:cs="宋体"/>
          <w:color w:val="auto"/>
          <w:szCs w:val="21"/>
          <w:highlight w:val="none"/>
        </w:rPr>
        <w:t>评审后方可进入下一轮报价，在规定的时间内同时提交报价，最终报价不得超过响应文件中报价。</w:t>
      </w:r>
    </w:p>
    <w:p w14:paraId="243D0C34">
      <w:pPr>
        <w:spacing w:line="360" w:lineRule="auto"/>
        <w:ind w:firstLine="420" w:firstLineChars="200"/>
        <w:rPr>
          <w:rFonts w:ascii="宋体" w:hAnsi="宋体" w:cs="仿宋"/>
          <w:szCs w:val="21"/>
          <w:highlight w:val="none"/>
        </w:rPr>
      </w:pPr>
      <w:r>
        <w:rPr>
          <w:rFonts w:hint="eastAsia" w:ascii="宋体" w:hAnsi="宋体" w:cs="仿宋"/>
          <w:szCs w:val="21"/>
          <w:highlight w:val="none"/>
          <w:lang w:val="en-US" w:eastAsia="zh-CN"/>
        </w:rPr>
        <w:t>5.2.8</w:t>
      </w:r>
      <w:r>
        <w:rPr>
          <w:rFonts w:hint="eastAsia" w:ascii="宋体" w:hAnsi="宋体" w:cs="仿宋"/>
          <w:szCs w:val="21"/>
          <w:highlight w:val="none"/>
        </w:rPr>
        <w:t>磋商文件能够详细列明采购标的的技术、质量的，磋商结束后，磋商小组将要求所有实质性响应的供应商在规定时间内提交最后报价，提交最后报价的供应商不得少于3家。如符合</w:t>
      </w:r>
      <w:r>
        <w:rPr>
          <w:rFonts w:hint="eastAsia" w:ascii="宋体" w:hAnsi="宋体" w:cs="仿宋"/>
          <w:highlight w:val="none"/>
        </w:rPr>
        <w:t>《磋商管理办法》规定的相关情形的，</w:t>
      </w:r>
      <w:r>
        <w:rPr>
          <w:rFonts w:hint="eastAsia" w:ascii="宋体" w:hAnsi="宋体" w:cs="仿宋"/>
          <w:szCs w:val="21"/>
          <w:highlight w:val="none"/>
        </w:rPr>
        <w:t>提交最后报价的供应商可以为2家。</w:t>
      </w:r>
    </w:p>
    <w:p w14:paraId="24C4BF23">
      <w:pPr>
        <w:spacing w:line="360" w:lineRule="auto"/>
        <w:ind w:firstLine="420" w:firstLineChars="200"/>
        <w:rPr>
          <w:rFonts w:ascii="宋体" w:hAnsi="宋体" w:cs="仿宋"/>
          <w:szCs w:val="21"/>
          <w:highlight w:val="none"/>
        </w:rPr>
      </w:pPr>
      <w:r>
        <w:rPr>
          <w:rFonts w:hint="eastAsia" w:ascii="宋体" w:hAnsi="宋体" w:cs="仿宋"/>
          <w:szCs w:val="21"/>
          <w:highlight w:val="none"/>
          <w:lang w:val="en-US" w:eastAsia="zh-CN"/>
        </w:rPr>
        <w:t>5.2.9</w:t>
      </w:r>
      <w:r>
        <w:rPr>
          <w:rFonts w:hint="eastAsia" w:ascii="宋体" w:hAnsi="宋体" w:cs="仿宋"/>
          <w:szCs w:val="21"/>
          <w:highlight w:val="none"/>
        </w:rPr>
        <w:t>磋商文件不能详细列明采购标的的技术、质量，需经磋商由供应商提供最终方案或解决方案的，磋商结束后，磋商小组应当按照少数服从多数的原则投票推荐3家以上供应商的方案或者解决方案，并要求其在规定时间内提交最后报价。如符合</w:t>
      </w:r>
      <w:r>
        <w:rPr>
          <w:rFonts w:hint="eastAsia" w:ascii="宋体" w:hAnsi="宋体" w:cs="仿宋"/>
          <w:highlight w:val="none"/>
        </w:rPr>
        <w:t>《磋商管理办法》规定的相关情形的，</w:t>
      </w:r>
      <w:r>
        <w:rPr>
          <w:rFonts w:hint="eastAsia" w:ascii="宋体" w:hAnsi="宋体" w:cs="仿宋"/>
          <w:szCs w:val="21"/>
          <w:highlight w:val="none"/>
        </w:rPr>
        <w:t>提交最后报价的供应商可以为2家。</w:t>
      </w:r>
    </w:p>
    <w:p w14:paraId="502C9D50">
      <w:pPr>
        <w:spacing w:line="360" w:lineRule="auto"/>
        <w:ind w:firstLine="420" w:firstLineChars="200"/>
        <w:rPr>
          <w:rFonts w:ascii="宋体" w:hAnsi="宋体" w:cs="仿宋"/>
          <w:szCs w:val="21"/>
          <w:highlight w:val="none"/>
        </w:rPr>
      </w:pPr>
      <w:r>
        <w:rPr>
          <w:rFonts w:hint="eastAsia" w:ascii="宋体" w:hAnsi="宋体" w:cs="仿宋"/>
          <w:szCs w:val="21"/>
          <w:highlight w:val="none"/>
          <w:lang w:val="en-US" w:eastAsia="zh-CN"/>
        </w:rPr>
        <w:t>5.2.10</w:t>
      </w:r>
      <w:r>
        <w:rPr>
          <w:rFonts w:hint="eastAsia" w:ascii="宋体" w:hAnsi="宋体" w:cs="仿宋"/>
          <w:szCs w:val="21"/>
          <w:highlight w:val="none"/>
        </w:rPr>
        <w:t>最后报价是供应商响应文件的有效组成部分，供应商未</w:t>
      </w:r>
      <w:r>
        <w:rPr>
          <w:rFonts w:hint="eastAsia" w:ascii="宋体" w:hAnsi="宋体" w:cs="仿宋"/>
          <w:szCs w:val="21"/>
          <w:highlight w:val="none"/>
          <w:lang w:val="en-US" w:eastAsia="zh-CN"/>
        </w:rPr>
        <w:t>按时</w:t>
      </w:r>
      <w:r>
        <w:rPr>
          <w:rFonts w:hint="eastAsia" w:ascii="宋体" w:hAnsi="宋体" w:cs="仿宋"/>
          <w:szCs w:val="21"/>
          <w:highlight w:val="none"/>
        </w:rPr>
        <w:t>提交最后报价的供应商，视为退出竞争性磋商采购。</w:t>
      </w:r>
    </w:p>
    <w:p w14:paraId="0E524587">
      <w:pPr>
        <w:spacing w:line="360" w:lineRule="auto"/>
        <w:ind w:firstLine="420" w:firstLineChars="200"/>
        <w:rPr>
          <w:rFonts w:hint="eastAsia" w:ascii="宋体" w:hAnsi="宋体" w:eastAsia="宋体" w:cs="宋体"/>
          <w:color w:val="auto"/>
          <w:szCs w:val="21"/>
          <w:highlight w:val="none"/>
        </w:rPr>
      </w:pPr>
      <w:r>
        <w:rPr>
          <w:rFonts w:hint="eastAsia" w:ascii="宋体" w:hAnsi="宋体" w:cs="仿宋"/>
          <w:szCs w:val="21"/>
          <w:highlight w:val="none"/>
          <w:lang w:val="en-US" w:eastAsia="zh-CN"/>
        </w:rPr>
        <w:t>5.2.11</w:t>
      </w:r>
      <w:r>
        <w:rPr>
          <w:rFonts w:hint="eastAsia" w:ascii="宋体" w:hAnsi="宋体" w:cs="仿宋"/>
          <w:szCs w:val="21"/>
          <w:highlight w:val="none"/>
        </w:rPr>
        <w:t>如磋商小组一致认为某个供应商的报价明显不合理，有降低质量、不能诚信履行的可能时，磋商小组有权决定是否通知供应商限期进行书面解释或提供相关证明材料。若已要求，而该供应商在规定期限内未做出解释、作出的解释不合理或不能提供证明材料的，经磋商小组取得一致意见后，可拒绝该报价。</w:t>
      </w:r>
    </w:p>
    <w:p w14:paraId="7811E0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经磋商确定最终招标需求</w:t>
      </w:r>
      <w:r>
        <w:rPr>
          <w:rFonts w:hint="eastAsia" w:ascii="宋体" w:hAnsi="宋体" w:cs="仿宋"/>
          <w:highlight w:val="none"/>
        </w:rPr>
        <w:t>和提交最后报价的供应商后</w:t>
      </w:r>
      <w:r>
        <w:rPr>
          <w:rFonts w:hint="eastAsia" w:ascii="宋体" w:hAnsi="宋体" w:eastAsia="宋体" w:cs="宋体"/>
          <w:color w:val="auto"/>
          <w:szCs w:val="21"/>
          <w:highlight w:val="none"/>
        </w:rPr>
        <w:t>，由磋商小组采用综合评分法对通过初步评审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资格性和符合性审查</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的供应商的响应文件进行综合评分。</w:t>
      </w:r>
    </w:p>
    <w:p w14:paraId="547F5AE4">
      <w:pPr>
        <w:pStyle w:val="70"/>
        <w:keepNext/>
        <w:keepLines/>
        <w:pageBreakBefore w:val="0"/>
        <w:widowControl w:val="0"/>
        <w:kinsoku/>
        <w:wordWrap/>
        <w:overflowPunct/>
        <w:topLinePunct w:val="0"/>
        <w:autoSpaceDE/>
        <w:autoSpaceDN/>
        <w:bidi w:val="0"/>
        <w:adjustRightInd/>
        <w:snapToGrid/>
        <w:spacing w:before="0" w:beforeLines="0" w:line="360" w:lineRule="auto"/>
        <w:textAlignment w:val="auto"/>
        <w:rPr>
          <w:rFonts w:hint="eastAsia" w:ascii="宋体" w:hAnsi="宋体" w:eastAsia="宋体" w:cs="宋体"/>
          <w:b/>
          <w:bCs/>
          <w:color w:val="auto"/>
          <w:sz w:val="21"/>
          <w:szCs w:val="21"/>
          <w:highlight w:val="none"/>
        </w:rPr>
      </w:pPr>
      <w:bookmarkStart w:id="585" w:name="_Toc455080138"/>
      <w:bookmarkStart w:id="586" w:name="_Toc13622"/>
      <w:bookmarkStart w:id="587" w:name="_Toc14039"/>
      <w:r>
        <w:rPr>
          <w:rFonts w:hint="eastAsia" w:ascii="宋体" w:hAnsi="宋体" w:eastAsia="宋体" w:cs="宋体"/>
          <w:b/>
          <w:bCs/>
          <w:color w:val="auto"/>
          <w:sz w:val="21"/>
          <w:szCs w:val="21"/>
          <w:highlight w:val="none"/>
        </w:rPr>
        <w:t xml:space="preserve">6. </w:t>
      </w:r>
      <w:bookmarkEnd w:id="582"/>
      <w:bookmarkEnd w:id="583"/>
      <w:bookmarkEnd w:id="584"/>
      <w:r>
        <w:rPr>
          <w:rFonts w:hint="eastAsia" w:ascii="宋体" w:hAnsi="宋体" w:eastAsia="宋体" w:cs="宋体"/>
          <w:b/>
          <w:bCs/>
          <w:color w:val="auto"/>
          <w:sz w:val="21"/>
          <w:szCs w:val="21"/>
          <w:highlight w:val="none"/>
        </w:rPr>
        <w:t>磋商</w:t>
      </w:r>
      <w:bookmarkEnd w:id="585"/>
      <w:r>
        <w:rPr>
          <w:rFonts w:hint="eastAsia" w:ascii="宋体" w:hAnsi="宋体" w:eastAsia="宋体" w:cs="宋体"/>
          <w:b/>
          <w:bCs/>
          <w:color w:val="auto"/>
          <w:sz w:val="21"/>
          <w:szCs w:val="21"/>
          <w:highlight w:val="none"/>
        </w:rPr>
        <w:t>小组</w:t>
      </w:r>
      <w:bookmarkEnd w:id="586"/>
      <w:bookmarkEnd w:id="587"/>
    </w:p>
    <w:p w14:paraId="074BACF4">
      <w:pPr>
        <w:pStyle w:val="71"/>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588" w:name="_Toc22250"/>
      <w:bookmarkStart w:id="589" w:name="_Toc144974531"/>
      <w:bookmarkStart w:id="590" w:name="_Toc9808"/>
      <w:bookmarkStart w:id="591" w:name="_Toc152042339"/>
      <w:bookmarkStart w:id="592" w:name="_Toc26098"/>
      <w:bookmarkStart w:id="593" w:name="_Toc318450706"/>
      <w:bookmarkStart w:id="594" w:name="_Toc152045563"/>
      <w:bookmarkStart w:id="595" w:name="_Toc17796"/>
      <w:bookmarkStart w:id="596" w:name="_Toc529"/>
      <w:bookmarkStart w:id="597" w:name="_Toc18985"/>
      <w:bookmarkStart w:id="598" w:name="_Toc23138"/>
      <w:bookmarkStart w:id="599" w:name="_Toc466298122"/>
      <w:bookmarkStart w:id="600" w:name="_Toc13978"/>
      <w:bookmarkStart w:id="601" w:name="_Toc8157"/>
      <w:bookmarkStart w:id="602" w:name="_Toc490667859"/>
      <w:bookmarkStart w:id="603" w:name="_Toc9600"/>
      <w:bookmarkStart w:id="604" w:name="_Toc1574"/>
      <w:bookmarkStart w:id="605" w:name="_Toc8725"/>
      <w:bookmarkStart w:id="606" w:name="_Toc455080139"/>
      <w:bookmarkStart w:id="607" w:name="_Toc1546"/>
      <w:bookmarkStart w:id="608" w:name="_Toc455867799"/>
      <w:r>
        <w:rPr>
          <w:rFonts w:hint="eastAsia" w:ascii="宋体" w:hAnsi="宋体" w:eastAsia="宋体" w:cs="宋体"/>
          <w:b/>
          <w:bCs/>
          <w:color w:val="auto"/>
          <w:sz w:val="21"/>
          <w:szCs w:val="21"/>
          <w:highlight w:val="none"/>
        </w:rPr>
        <w:t>6.1</w:t>
      </w:r>
      <w:bookmarkEnd w:id="588"/>
      <w:bookmarkEnd w:id="589"/>
      <w:bookmarkEnd w:id="590"/>
      <w:bookmarkEnd w:id="591"/>
      <w:bookmarkEnd w:id="592"/>
      <w:bookmarkEnd w:id="593"/>
      <w:bookmarkEnd w:id="594"/>
      <w:r>
        <w:rPr>
          <w:rFonts w:hint="eastAsia" w:ascii="宋体" w:hAnsi="宋体" w:eastAsia="宋体" w:cs="宋体"/>
          <w:b/>
          <w:bCs/>
          <w:color w:val="auto"/>
          <w:sz w:val="21"/>
          <w:szCs w:val="21"/>
          <w:highlight w:val="none"/>
        </w:rPr>
        <w:t>磋商小组</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129078E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磋商由采购人依法组建的磋商小组负责。磋商小组由采购人代表以及有关技术、经济等方面的专家组成。磋商小组成员人数以及技术、经济等方面专家的确定方式见供应商须知前附表。</w:t>
      </w:r>
    </w:p>
    <w:p w14:paraId="1D562650">
      <w:pPr>
        <w:pStyle w:val="71"/>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609" w:name="_Toc490667860"/>
      <w:bookmarkStart w:id="610" w:name="_Toc455080140"/>
      <w:bookmarkStart w:id="611" w:name="_Toc14218"/>
      <w:bookmarkStart w:id="612" w:name="_Toc27035"/>
      <w:bookmarkStart w:id="613" w:name="_Toc4435"/>
      <w:bookmarkStart w:id="614" w:name="_Toc455867800"/>
      <w:bookmarkStart w:id="615" w:name="_Toc466298123"/>
      <w:bookmarkStart w:id="616" w:name="_Toc152042340"/>
      <w:bookmarkStart w:id="617" w:name="_Toc13368"/>
      <w:bookmarkStart w:id="618" w:name="_Toc7286"/>
      <w:bookmarkStart w:id="619" w:name="_Toc8248"/>
      <w:bookmarkStart w:id="620" w:name="_Toc26949"/>
      <w:bookmarkStart w:id="621" w:name="_Toc152045564"/>
      <w:bookmarkStart w:id="622" w:name="_Toc9532"/>
      <w:bookmarkStart w:id="623" w:name="_Toc21102"/>
      <w:bookmarkStart w:id="624" w:name="_Toc8240"/>
      <w:bookmarkStart w:id="625" w:name="_Toc318450707"/>
      <w:bookmarkStart w:id="626" w:name="_Toc25721"/>
      <w:bookmarkStart w:id="627" w:name="_Toc144974532"/>
      <w:bookmarkStart w:id="628" w:name="_Toc22143"/>
      <w:bookmarkStart w:id="629" w:name="_Toc25902"/>
      <w:r>
        <w:rPr>
          <w:rFonts w:hint="eastAsia" w:ascii="宋体" w:hAnsi="宋体" w:eastAsia="宋体" w:cs="宋体"/>
          <w:b/>
          <w:bCs/>
          <w:color w:val="auto"/>
          <w:sz w:val="21"/>
          <w:szCs w:val="21"/>
          <w:highlight w:val="none"/>
        </w:rPr>
        <w:t>6.2 磋商原则</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6737D5E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磋商活动遵循公平、公正、科学和择优的原则。</w:t>
      </w:r>
    </w:p>
    <w:p w14:paraId="4FAE9AFA">
      <w:pPr>
        <w:pStyle w:val="71"/>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630" w:name="_Toc152045565"/>
      <w:bookmarkStart w:id="631" w:name="_Toc318450708"/>
      <w:bookmarkStart w:id="632" w:name="_Toc8705"/>
      <w:bookmarkStart w:id="633" w:name="_Toc152042341"/>
      <w:bookmarkStart w:id="634" w:name="_Toc16725"/>
      <w:bookmarkStart w:id="635" w:name="_Toc15595"/>
      <w:bookmarkStart w:id="636" w:name="_Toc144974533"/>
      <w:bookmarkStart w:id="637" w:name="_Toc24358"/>
      <w:bookmarkStart w:id="638" w:name="_Toc455867801"/>
      <w:bookmarkStart w:id="639" w:name="_Toc466298124"/>
      <w:bookmarkStart w:id="640" w:name="_Toc455080141"/>
      <w:bookmarkStart w:id="641" w:name="_Toc18756"/>
      <w:bookmarkStart w:id="642" w:name="_Toc490667861"/>
      <w:bookmarkStart w:id="643" w:name="_Toc20062"/>
      <w:bookmarkStart w:id="644" w:name="_Toc28734"/>
      <w:bookmarkStart w:id="645" w:name="_Toc31198"/>
      <w:bookmarkStart w:id="646" w:name="_Toc3606"/>
      <w:bookmarkStart w:id="647" w:name="_Toc1946"/>
      <w:bookmarkStart w:id="648" w:name="_Toc7890"/>
      <w:bookmarkStart w:id="649" w:name="_Toc24050"/>
      <w:bookmarkStart w:id="650" w:name="_Toc27036"/>
      <w:r>
        <w:rPr>
          <w:rFonts w:hint="eastAsia" w:ascii="宋体" w:hAnsi="宋体" w:eastAsia="宋体" w:cs="宋体"/>
          <w:b/>
          <w:bCs/>
          <w:color w:val="auto"/>
          <w:sz w:val="21"/>
          <w:szCs w:val="21"/>
          <w:highlight w:val="none"/>
        </w:rPr>
        <w:t xml:space="preserve">6.3 </w:t>
      </w:r>
      <w:bookmarkEnd w:id="630"/>
      <w:bookmarkEnd w:id="631"/>
      <w:bookmarkEnd w:id="632"/>
      <w:bookmarkEnd w:id="633"/>
      <w:bookmarkEnd w:id="634"/>
      <w:bookmarkEnd w:id="635"/>
      <w:bookmarkEnd w:id="636"/>
      <w:r>
        <w:rPr>
          <w:rFonts w:hint="eastAsia" w:ascii="宋体" w:hAnsi="宋体" w:eastAsia="宋体" w:cs="宋体"/>
          <w:b/>
          <w:bCs/>
          <w:color w:val="auto"/>
          <w:sz w:val="21"/>
          <w:szCs w:val="21"/>
          <w:highlight w:val="none"/>
        </w:rPr>
        <w:t>磋商</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3C6C123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磋商小组按照第三章“评审办法”规定的方法、评审因素、标准和程序对响应文件进行评审。第三章“评审办法”没有规定的方法、评审因素和标准，不作为评标依据。</w:t>
      </w:r>
    </w:p>
    <w:p w14:paraId="4E45E441">
      <w:pPr>
        <w:pStyle w:val="70"/>
        <w:keepNext/>
        <w:keepLines/>
        <w:pageBreakBefore w:val="0"/>
        <w:widowControl w:val="0"/>
        <w:kinsoku/>
        <w:wordWrap/>
        <w:overflowPunct/>
        <w:topLinePunct w:val="0"/>
        <w:autoSpaceDE/>
        <w:autoSpaceDN/>
        <w:bidi w:val="0"/>
        <w:adjustRightInd/>
        <w:snapToGrid/>
        <w:spacing w:before="0" w:beforeLines="0" w:line="360" w:lineRule="auto"/>
        <w:textAlignment w:val="auto"/>
        <w:rPr>
          <w:rFonts w:hint="eastAsia" w:ascii="宋体" w:hAnsi="宋体" w:eastAsia="宋体" w:cs="宋体"/>
          <w:b/>
          <w:bCs/>
          <w:color w:val="auto"/>
          <w:sz w:val="21"/>
          <w:szCs w:val="21"/>
          <w:highlight w:val="none"/>
        </w:rPr>
      </w:pPr>
      <w:bookmarkStart w:id="651" w:name="_Toc152045566"/>
      <w:bookmarkStart w:id="652" w:name="_Toc1395"/>
      <w:bookmarkStart w:id="653" w:name="_Toc144974534"/>
      <w:bookmarkStart w:id="654" w:name="_Toc152042342"/>
      <w:bookmarkStart w:id="655" w:name="_Toc9522"/>
      <w:bookmarkStart w:id="656" w:name="_Toc455080142"/>
      <w:r>
        <w:rPr>
          <w:rFonts w:hint="eastAsia" w:ascii="宋体" w:hAnsi="宋体" w:eastAsia="宋体" w:cs="宋体"/>
          <w:b/>
          <w:bCs/>
          <w:color w:val="auto"/>
          <w:sz w:val="21"/>
          <w:szCs w:val="21"/>
          <w:highlight w:val="none"/>
        </w:rPr>
        <w:t>7. 合同授予</w:t>
      </w:r>
      <w:bookmarkEnd w:id="651"/>
      <w:bookmarkEnd w:id="652"/>
      <w:bookmarkEnd w:id="653"/>
      <w:bookmarkEnd w:id="654"/>
      <w:bookmarkEnd w:id="655"/>
      <w:bookmarkEnd w:id="656"/>
    </w:p>
    <w:p w14:paraId="668B7283">
      <w:pPr>
        <w:pStyle w:val="71"/>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657" w:name="_Toc466298126"/>
      <w:bookmarkStart w:id="658" w:name="_Toc17660"/>
      <w:bookmarkStart w:id="659" w:name="_Toc7358"/>
      <w:bookmarkStart w:id="660" w:name="_Toc152042343"/>
      <w:bookmarkStart w:id="661" w:name="_Toc144974535"/>
      <w:bookmarkStart w:id="662" w:name="_Toc20777"/>
      <w:bookmarkStart w:id="663" w:name="_Toc11409"/>
      <w:bookmarkStart w:id="664" w:name="_Toc152045567"/>
      <w:bookmarkStart w:id="665" w:name="_Toc7600"/>
      <w:bookmarkStart w:id="666" w:name="_Toc22461"/>
      <w:bookmarkStart w:id="667" w:name="_Toc29664"/>
      <w:bookmarkStart w:id="668" w:name="_Toc12595"/>
      <w:bookmarkStart w:id="669" w:name="_Toc4758"/>
      <w:bookmarkStart w:id="670" w:name="_Toc14528"/>
      <w:bookmarkStart w:id="671" w:name="_Toc28919"/>
      <w:bookmarkStart w:id="672" w:name="_Toc25316"/>
      <w:bookmarkStart w:id="673" w:name="_Toc490667863"/>
      <w:bookmarkStart w:id="674" w:name="_Toc455080143"/>
      <w:bookmarkStart w:id="675" w:name="_Toc29686"/>
      <w:bookmarkStart w:id="676" w:name="_Toc455867803"/>
      <w:bookmarkStart w:id="677" w:name="_Toc318450710"/>
      <w:r>
        <w:rPr>
          <w:rFonts w:hint="eastAsia" w:ascii="宋体" w:hAnsi="宋体" w:eastAsia="宋体" w:cs="宋体"/>
          <w:b/>
          <w:bCs/>
          <w:color w:val="auto"/>
          <w:sz w:val="21"/>
          <w:szCs w:val="21"/>
          <w:highlight w:val="none"/>
        </w:rPr>
        <w:t>7.1 定标方式</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14:paraId="73880E50">
      <w:pPr>
        <w:spacing w:line="360" w:lineRule="auto"/>
        <w:ind w:firstLine="420" w:firstLineChars="200"/>
        <w:rPr>
          <w:rFonts w:hint="eastAsia" w:ascii="宋体" w:hAnsi="宋体" w:eastAsia="宋体" w:cs="宋体"/>
          <w:color w:val="auto"/>
          <w:szCs w:val="21"/>
          <w:highlight w:val="none"/>
        </w:rPr>
      </w:pPr>
      <w:bookmarkStart w:id="678" w:name="_Toc7066"/>
      <w:bookmarkStart w:id="679" w:name="_Toc152042344"/>
      <w:bookmarkStart w:id="680" w:name="_Toc144974536"/>
      <w:bookmarkStart w:id="681" w:name="_Toc28254"/>
      <w:bookmarkStart w:id="682" w:name="_Toc152045568"/>
      <w:bookmarkStart w:id="683" w:name="_Toc10868"/>
      <w:bookmarkStart w:id="684" w:name="_Toc318450711"/>
      <w:r>
        <w:rPr>
          <w:rFonts w:hint="eastAsia" w:ascii="宋体" w:hAnsi="宋体" w:eastAsia="宋体" w:cs="宋体"/>
          <w:color w:val="auto"/>
          <w:szCs w:val="21"/>
          <w:highlight w:val="none"/>
        </w:rPr>
        <w:t>除供应商须知前附表规定磋商小组直接确定成交人外，采购人依据磋商小组推荐的成交候选人确定成交人，磋商小组推荐成交候选人的人数见供应商须知前附表。采购人将依序确定排名第一的供应商为成交人，若第一成交候选人放弃成交、因不可抗力不能履行合同、不按照</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要求提交履约保证金，或者被查实存在影响成交结果的违法行为等情形，不符合成交条件的，采购人可以按照磋商小组提出的成交候选人名单排序依次确定其他成交候选人为成交人，也可以重新磋商。</w:t>
      </w:r>
    </w:p>
    <w:p w14:paraId="1160C405">
      <w:pPr>
        <w:pStyle w:val="71"/>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685" w:name="_Toc490667864"/>
      <w:bookmarkStart w:id="686" w:name="_Toc9897"/>
      <w:bookmarkStart w:id="687" w:name="_Toc5668"/>
      <w:bookmarkStart w:id="688" w:name="_Toc27896"/>
      <w:bookmarkStart w:id="689" w:name="_Toc455867804"/>
      <w:bookmarkStart w:id="690" w:name="_Toc16163"/>
      <w:bookmarkStart w:id="691" w:name="_Toc12253"/>
      <w:bookmarkStart w:id="692" w:name="_Toc28177"/>
      <w:bookmarkStart w:id="693" w:name="_Toc15825"/>
      <w:bookmarkStart w:id="694" w:name="_Toc31149"/>
      <w:bookmarkStart w:id="695" w:name="_Toc455080144"/>
      <w:bookmarkStart w:id="696" w:name="_Toc466298127"/>
      <w:bookmarkStart w:id="697" w:name="_Toc9775"/>
      <w:bookmarkStart w:id="698" w:name="_Toc5428"/>
      <w:r>
        <w:rPr>
          <w:rFonts w:hint="eastAsia" w:ascii="宋体" w:hAnsi="宋体" w:eastAsia="宋体" w:cs="宋体"/>
          <w:b/>
          <w:bCs/>
          <w:color w:val="auto"/>
          <w:sz w:val="21"/>
          <w:szCs w:val="21"/>
          <w:highlight w:val="none"/>
        </w:rPr>
        <w:t>7.2 成交通知</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44EE06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在本章第3.3.1款规定的磋商有效期内，采购人以书面形式向成交人发出成交通知书，同时将成交结果通知未成交的供应商。</w:t>
      </w:r>
    </w:p>
    <w:p w14:paraId="168FED08">
      <w:pPr>
        <w:pStyle w:val="71"/>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7.3 履约保证金</w:t>
      </w:r>
    </w:p>
    <w:p w14:paraId="3DE86B1F">
      <w:pPr>
        <w:pStyle w:val="71"/>
        <w:keepNext/>
        <w:keepLines/>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auto"/>
          <w:sz w:val="21"/>
          <w:szCs w:val="21"/>
          <w:highlight w:val="none"/>
          <w:lang w:val="en-US" w:eastAsia="zh-CN"/>
        </w:rPr>
      </w:pPr>
      <w:bookmarkStart w:id="699" w:name="_Toc17442"/>
      <w:bookmarkStart w:id="700" w:name="_Toc22238"/>
      <w:bookmarkStart w:id="701" w:name="_Toc13332"/>
      <w:bookmarkStart w:id="702" w:name="_Toc318450712"/>
      <w:bookmarkStart w:id="703" w:name="_Toc26655"/>
      <w:bookmarkStart w:id="704" w:name="_Toc490667865"/>
      <w:bookmarkStart w:id="705" w:name="_Toc12663"/>
      <w:bookmarkStart w:id="706" w:name="_Toc466298128"/>
      <w:bookmarkStart w:id="707" w:name="_Toc152045570"/>
      <w:bookmarkStart w:id="708" w:name="_Toc13147"/>
      <w:bookmarkStart w:id="709" w:name="_Toc24026"/>
      <w:bookmarkStart w:id="710" w:name="_Toc26915"/>
      <w:bookmarkStart w:id="711" w:name="_Toc8886"/>
      <w:bookmarkStart w:id="712" w:name="_Toc455080145"/>
      <w:bookmarkStart w:id="713" w:name="_Toc21271"/>
      <w:bookmarkStart w:id="714" w:name="_Toc26760"/>
      <w:bookmarkStart w:id="715" w:name="_Toc144974538"/>
      <w:bookmarkStart w:id="716" w:name="_Toc10082"/>
      <w:bookmarkStart w:id="717" w:name="_Toc455867805"/>
      <w:bookmarkStart w:id="718" w:name="_Toc152042346"/>
      <w:bookmarkStart w:id="719" w:name="_Toc15458"/>
      <w:r>
        <w:rPr>
          <w:rFonts w:hint="eastAsia" w:ascii="宋体" w:hAnsi="宋体" w:eastAsia="宋体" w:cs="宋体"/>
          <w:b/>
          <w:bCs/>
          <w:color w:val="auto"/>
          <w:sz w:val="21"/>
          <w:szCs w:val="21"/>
          <w:highlight w:val="none"/>
          <w:lang w:val="en-US" w:eastAsia="zh-CN"/>
        </w:rPr>
        <w:t>免收履约保证金</w:t>
      </w:r>
      <w:bookmarkEnd w:id="699"/>
      <w:bookmarkEnd w:id="700"/>
      <w:bookmarkEnd w:id="701"/>
    </w:p>
    <w:p w14:paraId="59D42904">
      <w:pPr>
        <w:pStyle w:val="71"/>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lang w:val="en-US" w:eastAsia="zh-CN"/>
        </w:rPr>
      </w:pPr>
      <w:bookmarkStart w:id="720" w:name="_Toc21756"/>
      <w:bookmarkStart w:id="721" w:name="_Toc9340"/>
      <w:bookmarkStart w:id="722" w:name="_Toc27086"/>
      <w:r>
        <w:rPr>
          <w:rFonts w:hint="eastAsia" w:ascii="宋体" w:hAnsi="宋体" w:eastAsia="宋体" w:cs="宋体"/>
          <w:b/>
          <w:bCs/>
          <w:color w:val="auto"/>
          <w:sz w:val="21"/>
          <w:szCs w:val="21"/>
          <w:highlight w:val="none"/>
          <w:lang w:val="en-US" w:eastAsia="zh-CN"/>
        </w:rPr>
        <w:t>7.4 签订合同</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1224CB0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.1采购人和成交人应当自成交通知书发出之日起</w:t>
      </w:r>
      <w:r>
        <w:rPr>
          <w:rFonts w:hint="eastAsia" w:ascii="宋体" w:hAnsi="宋体" w:eastAsia="宋体" w:cs="宋体"/>
          <w:color w:val="auto"/>
          <w:szCs w:val="21"/>
          <w:highlight w:val="none"/>
          <w:lang w:val="en-US" w:eastAsia="zh-CN"/>
        </w:rPr>
        <w:t>2-7</w:t>
      </w:r>
      <w:r>
        <w:rPr>
          <w:rFonts w:hint="eastAsia" w:ascii="宋体" w:hAnsi="宋体" w:eastAsia="宋体" w:cs="宋体"/>
          <w:color w:val="auto"/>
          <w:szCs w:val="21"/>
          <w:highlight w:val="none"/>
        </w:rPr>
        <w:t>天内，根据</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 xml:space="preserve">和成交人的响应文件订立书面合同。成交人无正当理由拒签合同的，采购人取消其成交资格，其磋商保证金不予退还；给采购人造成的损失超过磋商保证金数额的，成交人还应当对超过部分予以赔偿。 </w:t>
      </w:r>
    </w:p>
    <w:p w14:paraId="3CF0CFB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 xml:space="preserve">.2 发出成交通知书后，采购人无正当理由拒签合同的，采购人向成交人退还磋商保证金；给成交人造成损失的，还应当赔偿损失。 </w:t>
      </w:r>
      <w:bookmarkStart w:id="723" w:name="_Toc152042350"/>
      <w:bookmarkStart w:id="724" w:name="_Toc144974542"/>
      <w:bookmarkStart w:id="725" w:name="_Toc152045574"/>
    </w:p>
    <w:p w14:paraId="53CB3FBB">
      <w:pPr>
        <w:pStyle w:val="70"/>
        <w:keepNext/>
        <w:keepLines/>
        <w:pageBreakBefore w:val="0"/>
        <w:widowControl w:val="0"/>
        <w:kinsoku/>
        <w:wordWrap/>
        <w:overflowPunct/>
        <w:topLinePunct w:val="0"/>
        <w:autoSpaceDE/>
        <w:autoSpaceDN/>
        <w:bidi w:val="0"/>
        <w:adjustRightInd/>
        <w:snapToGrid/>
        <w:spacing w:before="0" w:beforeLines="0" w:line="360" w:lineRule="auto"/>
        <w:textAlignment w:val="auto"/>
        <w:rPr>
          <w:rFonts w:hint="eastAsia" w:ascii="宋体" w:hAnsi="宋体" w:eastAsia="宋体" w:cs="宋体"/>
          <w:b/>
          <w:bCs/>
          <w:color w:val="auto"/>
          <w:sz w:val="21"/>
          <w:szCs w:val="21"/>
          <w:highlight w:val="none"/>
        </w:rPr>
      </w:pPr>
      <w:bookmarkStart w:id="726" w:name="_Toc7944"/>
      <w:bookmarkStart w:id="727" w:name="_Toc16866"/>
      <w:bookmarkStart w:id="728" w:name="_Toc455080146"/>
      <w:r>
        <w:rPr>
          <w:rFonts w:hint="eastAsia" w:ascii="宋体" w:hAnsi="宋体" w:eastAsia="宋体" w:cs="宋体"/>
          <w:b/>
          <w:bCs/>
          <w:color w:val="auto"/>
          <w:sz w:val="21"/>
          <w:szCs w:val="21"/>
          <w:highlight w:val="none"/>
        </w:rPr>
        <w:t>8.重新招标</w:t>
      </w:r>
      <w:bookmarkEnd w:id="726"/>
      <w:bookmarkEnd w:id="727"/>
      <w:bookmarkEnd w:id="728"/>
    </w:p>
    <w:p w14:paraId="36766B34">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color w:val="auto"/>
          <w:szCs w:val="21"/>
          <w:highlight w:val="none"/>
        </w:rPr>
      </w:pPr>
      <w:bookmarkStart w:id="729" w:name="_Toc16556"/>
      <w:r>
        <w:rPr>
          <w:rFonts w:hint="eastAsia" w:ascii="宋体" w:hAnsi="宋体" w:eastAsia="宋体" w:cs="宋体"/>
          <w:b/>
          <w:bCs/>
          <w:color w:val="auto"/>
          <w:szCs w:val="21"/>
          <w:highlight w:val="none"/>
        </w:rPr>
        <w:t>8.1 重新招标</w:t>
      </w:r>
      <w:bookmarkEnd w:id="729"/>
    </w:p>
    <w:p w14:paraId="52EFB5A8">
      <w:pPr>
        <w:spacing w:line="360" w:lineRule="auto"/>
        <w:ind w:firstLine="480"/>
        <w:rPr>
          <w:rFonts w:hint="eastAsia" w:ascii="宋体" w:hAnsi="宋体" w:eastAsia="宋体" w:cs="宋体"/>
          <w:color w:val="auto"/>
          <w:szCs w:val="21"/>
          <w:highlight w:val="none"/>
        </w:rPr>
      </w:pPr>
      <w:bookmarkStart w:id="730" w:name="_Toc9985"/>
      <w:r>
        <w:rPr>
          <w:rFonts w:hint="eastAsia" w:ascii="宋体" w:hAnsi="宋体" w:eastAsia="宋体" w:cs="宋体"/>
          <w:color w:val="auto"/>
          <w:szCs w:val="21"/>
          <w:highlight w:val="none"/>
        </w:rPr>
        <w:t>有下列情形之一的，采购人将重新招标：</w:t>
      </w:r>
      <w:bookmarkEnd w:id="730"/>
    </w:p>
    <w:p w14:paraId="3B47CF4F">
      <w:pPr>
        <w:spacing w:line="360" w:lineRule="auto"/>
        <w:rPr>
          <w:rFonts w:hint="eastAsia" w:ascii="宋体" w:hAnsi="宋体" w:eastAsia="宋体" w:cs="宋体"/>
          <w:color w:val="auto"/>
          <w:szCs w:val="21"/>
          <w:highlight w:val="none"/>
        </w:rPr>
      </w:pPr>
      <w:bookmarkStart w:id="731" w:name="_Toc25063"/>
      <w:r>
        <w:rPr>
          <w:rFonts w:hint="eastAsia" w:ascii="宋体" w:hAnsi="宋体" w:eastAsia="宋体" w:cs="宋体"/>
          <w:color w:val="auto"/>
          <w:szCs w:val="21"/>
          <w:highlight w:val="none"/>
        </w:rPr>
        <w:t xml:space="preserve">   （1）提交响应文件截止时间止，供应商少于</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个的；</w:t>
      </w:r>
      <w:bookmarkEnd w:id="731"/>
      <w:r>
        <w:rPr>
          <w:rFonts w:hint="eastAsia" w:ascii="宋体" w:hAnsi="宋体" w:eastAsia="宋体" w:cs="宋体"/>
          <w:color w:val="auto"/>
          <w:szCs w:val="21"/>
          <w:highlight w:val="none"/>
        </w:rPr>
        <w:t xml:space="preserve"> </w:t>
      </w:r>
    </w:p>
    <w:p w14:paraId="5D483BF6">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bookmarkStart w:id="732" w:name="_Toc17911"/>
      <w:r>
        <w:rPr>
          <w:rFonts w:hint="eastAsia" w:ascii="宋体" w:hAnsi="宋体" w:eastAsia="宋体" w:cs="宋体"/>
          <w:color w:val="auto"/>
          <w:szCs w:val="21"/>
          <w:highlight w:val="none"/>
        </w:rPr>
        <w:t>（2）经磋商小组评审后否决所有响应文件的。</w:t>
      </w:r>
      <w:bookmarkEnd w:id="732"/>
    </w:p>
    <w:p w14:paraId="7D0B950A">
      <w:pPr>
        <w:pStyle w:val="70"/>
        <w:spacing w:before="0" w:beforeLines="0" w:line="360" w:lineRule="auto"/>
        <w:rPr>
          <w:rFonts w:hint="eastAsia" w:ascii="宋体" w:hAnsi="宋体" w:eastAsia="宋体" w:cs="宋体"/>
          <w:b/>
          <w:bCs/>
          <w:color w:val="auto"/>
          <w:sz w:val="21"/>
          <w:szCs w:val="21"/>
          <w:highlight w:val="none"/>
        </w:rPr>
      </w:pPr>
      <w:bookmarkStart w:id="733" w:name="_Toc9996"/>
      <w:bookmarkStart w:id="734" w:name="_Toc455080147"/>
      <w:bookmarkStart w:id="735" w:name="_Toc23112"/>
      <w:r>
        <w:rPr>
          <w:rFonts w:hint="eastAsia" w:ascii="宋体" w:hAnsi="宋体" w:eastAsia="宋体" w:cs="宋体"/>
          <w:b/>
          <w:bCs/>
          <w:color w:val="auto"/>
          <w:sz w:val="21"/>
          <w:szCs w:val="21"/>
          <w:highlight w:val="none"/>
        </w:rPr>
        <w:t>9.纪律和监督</w:t>
      </w:r>
      <w:bookmarkEnd w:id="723"/>
      <w:bookmarkEnd w:id="724"/>
      <w:bookmarkEnd w:id="725"/>
      <w:bookmarkEnd w:id="733"/>
      <w:bookmarkEnd w:id="734"/>
      <w:bookmarkEnd w:id="735"/>
    </w:p>
    <w:p w14:paraId="5F873FE2">
      <w:pPr>
        <w:pStyle w:val="71"/>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736" w:name="_Toc13970"/>
      <w:bookmarkStart w:id="737" w:name="_Toc152045575"/>
      <w:bookmarkStart w:id="738" w:name="_Toc269"/>
      <w:bookmarkStart w:id="739" w:name="_Toc144974543"/>
      <w:bookmarkStart w:id="740" w:name="_Toc1282"/>
      <w:bookmarkStart w:id="741" w:name="_Toc27836"/>
      <w:bookmarkStart w:id="742" w:name="_Toc15769"/>
      <w:bookmarkStart w:id="743" w:name="_Toc20009"/>
      <w:bookmarkStart w:id="744" w:name="_Toc17325"/>
      <w:bookmarkStart w:id="745" w:name="_Toc152042351"/>
      <w:bookmarkStart w:id="746" w:name="_Toc15592"/>
      <w:bookmarkStart w:id="747" w:name="_Toc15386"/>
      <w:bookmarkStart w:id="748" w:name="_Toc697"/>
      <w:bookmarkStart w:id="749" w:name="_Toc455080148"/>
      <w:bookmarkStart w:id="750" w:name="_Toc12992"/>
      <w:bookmarkStart w:id="751" w:name="_Toc19159"/>
      <w:bookmarkStart w:id="752" w:name="_Toc466298131"/>
      <w:bookmarkStart w:id="753" w:name="_Toc318450714"/>
      <w:bookmarkStart w:id="754" w:name="_Toc490667868"/>
      <w:bookmarkStart w:id="755" w:name="_Toc455867808"/>
      <w:bookmarkStart w:id="756" w:name="_Toc15693"/>
      <w:r>
        <w:rPr>
          <w:rFonts w:hint="eastAsia" w:ascii="宋体" w:hAnsi="宋体" w:eastAsia="宋体" w:cs="宋体"/>
          <w:b/>
          <w:bCs/>
          <w:color w:val="auto"/>
          <w:sz w:val="21"/>
          <w:szCs w:val="21"/>
          <w:highlight w:val="none"/>
        </w:rPr>
        <w:t>9.1 对</w:t>
      </w:r>
      <w:r>
        <w:rPr>
          <w:rFonts w:hint="eastAsia" w:ascii="宋体" w:hAnsi="宋体" w:eastAsia="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的纪律要求</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0B198B9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采购人不得泄漏磋商活动中应当保密的情况和资料，不得与供应商串通损害国家利益、社会公共利益或者他人合法权益。</w:t>
      </w:r>
    </w:p>
    <w:p w14:paraId="67B6EFBD">
      <w:pPr>
        <w:pStyle w:val="71"/>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757" w:name="_Toc152042352"/>
      <w:bookmarkStart w:id="758" w:name="_Toc152045576"/>
      <w:bookmarkStart w:id="759" w:name="_Toc318450715"/>
      <w:bookmarkStart w:id="760" w:name="_Toc29472"/>
      <w:bookmarkStart w:id="761" w:name="_Toc20261"/>
      <w:bookmarkStart w:id="762" w:name="_Toc19167"/>
      <w:bookmarkStart w:id="763" w:name="_Toc18204"/>
      <w:bookmarkStart w:id="764" w:name="_Toc455867809"/>
      <w:bookmarkStart w:id="765" w:name="_Toc3089"/>
      <w:bookmarkStart w:id="766" w:name="_Toc490667869"/>
      <w:bookmarkStart w:id="767" w:name="_Toc455080149"/>
      <w:bookmarkStart w:id="768" w:name="_Toc21646"/>
      <w:bookmarkStart w:id="769" w:name="_Toc1743"/>
      <w:bookmarkStart w:id="770" w:name="_Toc466298132"/>
      <w:bookmarkStart w:id="771" w:name="_Toc24970"/>
      <w:bookmarkStart w:id="772" w:name="_Toc16730"/>
      <w:bookmarkStart w:id="773" w:name="_Toc27698"/>
      <w:bookmarkStart w:id="774" w:name="_Toc18604"/>
      <w:bookmarkStart w:id="775" w:name="_Toc144974544"/>
      <w:bookmarkStart w:id="776" w:name="_Toc7572"/>
      <w:bookmarkStart w:id="777" w:name="_Toc17040"/>
      <w:r>
        <w:rPr>
          <w:rFonts w:hint="eastAsia" w:ascii="宋体" w:hAnsi="宋体" w:eastAsia="宋体" w:cs="宋体"/>
          <w:b/>
          <w:bCs/>
          <w:color w:val="auto"/>
          <w:sz w:val="21"/>
          <w:szCs w:val="21"/>
          <w:highlight w:val="none"/>
        </w:rPr>
        <w:t>9.2 对供应商的纪律要求</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59167F5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供应商不得相互串通或者与采购人串通，不得向采购人或者谈判小组行贿谋取成交，不得以他人名义或者以其他方式弄虚作假骗取成交；供应商不得以任何方式干扰、影响评审工作。</w:t>
      </w:r>
    </w:p>
    <w:p w14:paraId="60413968">
      <w:pPr>
        <w:pStyle w:val="71"/>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778" w:name="_Toc466298133"/>
      <w:bookmarkStart w:id="779" w:name="_Toc152045577"/>
      <w:bookmarkStart w:id="780" w:name="_Toc144974545"/>
      <w:bookmarkStart w:id="781" w:name="_Toc7439"/>
      <w:bookmarkStart w:id="782" w:name="_Toc7107"/>
      <w:bookmarkStart w:id="783" w:name="_Toc25211"/>
      <w:bookmarkStart w:id="784" w:name="_Toc30153"/>
      <w:bookmarkStart w:id="785" w:name="_Toc19965"/>
      <w:bookmarkStart w:id="786" w:name="_Toc455080150"/>
      <w:bookmarkStart w:id="787" w:name="_Toc7544"/>
      <w:bookmarkStart w:id="788" w:name="_Toc318450716"/>
      <w:bookmarkStart w:id="789" w:name="_Toc32320"/>
      <w:bookmarkStart w:id="790" w:name="_Toc28160"/>
      <w:bookmarkStart w:id="791" w:name="_Toc455867810"/>
      <w:bookmarkStart w:id="792" w:name="_Toc31001"/>
      <w:bookmarkStart w:id="793" w:name="_Toc490667870"/>
      <w:bookmarkStart w:id="794" w:name="_Toc25241"/>
      <w:bookmarkStart w:id="795" w:name="_Toc152042353"/>
      <w:bookmarkStart w:id="796" w:name="_Toc28813"/>
      <w:bookmarkStart w:id="797" w:name="_Toc12177"/>
      <w:bookmarkStart w:id="798" w:name="_Toc6561"/>
      <w:r>
        <w:rPr>
          <w:rFonts w:hint="eastAsia" w:ascii="宋体" w:hAnsi="宋体" w:eastAsia="宋体" w:cs="宋体"/>
          <w:b/>
          <w:bCs/>
          <w:color w:val="auto"/>
          <w:sz w:val="21"/>
          <w:szCs w:val="21"/>
          <w:highlight w:val="none"/>
        </w:rPr>
        <w:t>9.3 对磋商小组成员的纪律要求</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3C64893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小组成员不得收受他人的财物或者其他好处，不得向他人透漏对响应文件的评审和比较、成交候选人的推荐情况以及评标有关的其他情况。在磋商活动中，磋商小组成员不得擅离职守，影响评标程序正常进行，不得使用第三章“评审办法”没有规定的评审因素和标准进行评标。</w:t>
      </w:r>
    </w:p>
    <w:p w14:paraId="7D386751">
      <w:pPr>
        <w:pStyle w:val="71"/>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799" w:name="_Toc318450717"/>
      <w:bookmarkStart w:id="800" w:name="_Toc23717"/>
      <w:bookmarkStart w:id="801" w:name="_Toc26462"/>
      <w:bookmarkStart w:id="802" w:name="_Toc1295"/>
      <w:bookmarkStart w:id="803" w:name="_Toc17511"/>
      <w:bookmarkStart w:id="804" w:name="_Toc9063"/>
      <w:bookmarkStart w:id="805" w:name="_Toc7368"/>
      <w:bookmarkStart w:id="806" w:name="_Toc24"/>
      <w:bookmarkStart w:id="807" w:name="_Toc466298134"/>
      <w:bookmarkStart w:id="808" w:name="_Toc455867811"/>
      <w:bookmarkStart w:id="809" w:name="_Toc27559"/>
      <w:bookmarkStart w:id="810" w:name="_Toc23400"/>
      <w:bookmarkStart w:id="811" w:name="_Toc152042354"/>
      <w:bookmarkStart w:id="812" w:name="_Toc152045578"/>
      <w:bookmarkStart w:id="813" w:name="_Toc16808"/>
      <w:bookmarkStart w:id="814" w:name="_Toc490667871"/>
      <w:bookmarkStart w:id="815" w:name="_Toc20546"/>
      <w:bookmarkStart w:id="816" w:name="_Toc19485"/>
      <w:bookmarkStart w:id="817" w:name="_Toc235"/>
      <w:bookmarkStart w:id="818" w:name="_Toc455080151"/>
      <w:bookmarkStart w:id="819" w:name="_Toc144974546"/>
      <w:r>
        <w:rPr>
          <w:rFonts w:hint="eastAsia" w:ascii="宋体" w:hAnsi="宋体" w:eastAsia="宋体" w:cs="宋体"/>
          <w:b/>
          <w:bCs/>
          <w:color w:val="auto"/>
          <w:sz w:val="21"/>
          <w:szCs w:val="21"/>
          <w:highlight w:val="none"/>
        </w:rPr>
        <w:t>9.4 对与评标活动有关的工作人员的纪律要求</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788FB901">
      <w:pPr>
        <w:spacing w:line="360" w:lineRule="auto"/>
        <w:ind w:firstLine="420" w:firstLineChars="200"/>
        <w:rPr>
          <w:rFonts w:hint="eastAsia" w:ascii="宋体" w:hAnsi="宋体" w:eastAsia="宋体" w:cs="宋体"/>
          <w:color w:val="auto"/>
          <w:szCs w:val="21"/>
          <w:highlight w:val="none"/>
        </w:rPr>
      </w:pPr>
      <w:bookmarkStart w:id="820" w:name="_Toc152042355"/>
      <w:r>
        <w:rPr>
          <w:rFonts w:hint="eastAsia" w:ascii="宋体" w:hAnsi="宋体" w:eastAsia="宋体" w:cs="宋体"/>
          <w:color w:val="auto"/>
          <w:szCs w:val="21"/>
          <w:highlight w:val="none"/>
        </w:rPr>
        <w:t>与评标活动有关的工作人员不得收受他人的财物或者其他好处，不得向他人透漏对响应文件的评审和比较、成交候选人的推荐情况以及评标有关的其他情况。在评标活动中，与评标活动有关的工作人员不得擅离职守，影响评标程序正常进行。</w:t>
      </w:r>
      <w:bookmarkEnd w:id="820"/>
    </w:p>
    <w:p w14:paraId="49043E06">
      <w:pPr>
        <w:pStyle w:val="71"/>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821" w:name="_Toc5504"/>
      <w:bookmarkStart w:id="822" w:name="_Toc455080152"/>
      <w:bookmarkStart w:id="823" w:name="_Toc318450718"/>
      <w:bookmarkStart w:id="824" w:name="_Toc1820"/>
      <w:bookmarkStart w:id="825" w:name="_Toc490667872"/>
      <w:bookmarkStart w:id="826" w:name="_Toc32675"/>
      <w:bookmarkStart w:id="827" w:name="_Toc152045579"/>
      <w:bookmarkStart w:id="828" w:name="_Toc455867812"/>
      <w:bookmarkStart w:id="829" w:name="_Toc3303"/>
      <w:bookmarkStart w:id="830" w:name="_Toc5977"/>
      <w:bookmarkStart w:id="831" w:name="_Toc9781"/>
      <w:bookmarkStart w:id="832" w:name="_Toc31010"/>
      <w:bookmarkStart w:id="833" w:name="_Toc466298135"/>
      <w:bookmarkStart w:id="834" w:name="_Toc17735"/>
      <w:bookmarkStart w:id="835" w:name="_Toc152042356"/>
      <w:bookmarkStart w:id="836" w:name="_Toc3617"/>
      <w:bookmarkStart w:id="837" w:name="_Toc8074"/>
      <w:bookmarkStart w:id="838" w:name="_Toc25751"/>
      <w:bookmarkStart w:id="839" w:name="_Toc19457"/>
      <w:bookmarkStart w:id="840" w:name="_Toc6199"/>
      <w:r>
        <w:rPr>
          <w:rFonts w:hint="eastAsia" w:ascii="宋体" w:hAnsi="宋体" w:eastAsia="宋体" w:cs="宋体"/>
          <w:b/>
          <w:bCs/>
          <w:color w:val="auto"/>
          <w:sz w:val="21"/>
          <w:szCs w:val="21"/>
          <w:highlight w:val="none"/>
        </w:rPr>
        <w:t>9.5 投诉</w:t>
      </w:r>
      <w:bookmarkEnd w:id="819"/>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150C9FB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供应商和其他利害关系人认为本次磋商活动违反法律、法规和规章规定的，有权向有关行政监督部门投诉。</w:t>
      </w:r>
      <w:bookmarkStart w:id="841" w:name="_Toc455080153"/>
      <w:bookmarkStart w:id="842" w:name="_Toc152042357"/>
      <w:bookmarkStart w:id="843" w:name="_Toc152045580"/>
      <w:bookmarkStart w:id="844" w:name="_Toc144974547"/>
      <w:bookmarkStart w:id="845" w:name="_Toc14221"/>
    </w:p>
    <w:p w14:paraId="0030B9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outlineLvl w:val="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rPr>
        <w:t>需要补充的其他内容</w:t>
      </w:r>
      <w:bookmarkEnd w:id="841"/>
      <w:bookmarkEnd w:id="842"/>
      <w:bookmarkEnd w:id="843"/>
      <w:bookmarkEnd w:id="844"/>
      <w:bookmarkEnd w:id="845"/>
    </w:p>
    <w:p w14:paraId="5DC83B6A">
      <w:pPr>
        <w:pStyle w:val="9"/>
        <w:widowControl w:val="0"/>
        <w:numPr>
          <w:ilvl w:val="0"/>
          <w:numId w:val="0"/>
        </w:numPr>
        <w:autoSpaceDE/>
        <w:autoSpaceDN/>
        <w:spacing w:before="0" w:after="0" w:line="240" w:lineRule="auto"/>
        <w:jc w:val="both"/>
        <w:rPr>
          <w:rFonts w:hint="eastAsia" w:ascii="宋体" w:hAnsi="宋体" w:eastAsia="宋体" w:cs="宋体"/>
          <w:highlight w:val="none"/>
        </w:rPr>
      </w:pPr>
    </w:p>
    <w:p w14:paraId="4E0299A2">
      <w:pPr>
        <w:keepNext w:val="0"/>
        <w:keepLines w:val="0"/>
        <w:pageBreakBefore w:val="0"/>
        <w:kinsoku/>
        <w:wordWrap/>
        <w:overflowPunct/>
        <w:topLinePunct w:val="0"/>
        <w:autoSpaceDE/>
        <w:autoSpaceDN/>
        <w:bidi w:val="0"/>
        <w:adjustRightInd/>
        <w:snapToGrid/>
        <w:textAlignment w:val="auto"/>
        <w:outlineLvl w:val="9"/>
        <w:rPr>
          <w:rFonts w:hint="eastAsia" w:ascii="宋体" w:hAnsi="宋体" w:eastAsia="宋体" w:cs="宋体"/>
          <w:highlight w:val="none"/>
        </w:rPr>
      </w:pPr>
    </w:p>
    <w:p w14:paraId="0E9F2081">
      <w:pPr>
        <w:pStyle w:val="9"/>
        <w:keepNext w:val="0"/>
        <w:keepLines w:val="0"/>
        <w:pageBreakBefore w:val="0"/>
        <w:kinsoku/>
        <w:wordWrap/>
        <w:overflowPunct/>
        <w:topLinePunct w:val="0"/>
        <w:autoSpaceDE/>
        <w:autoSpaceDN/>
        <w:bidi w:val="0"/>
        <w:adjustRightInd/>
        <w:snapToGrid/>
        <w:textAlignment w:val="auto"/>
        <w:outlineLvl w:val="9"/>
        <w:rPr>
          <w:rFonts w:hint="eastAsia" w:ascii="宋体" w:hAnsi="宋体" w:eastAsia="宋体" w:cs="宋体"/>
          <w:highlight w:val="none"/>
        </w:rPr>
      </w:pPr>
    </w:p>
    <w:p w14:paraId="0BF0C6DB">
      <w:pPr>
        <w:keepNext w:val="0"/>
        <w:keepLines w:val="0"/>
        <w:pageBreakBefore w:val="0"/>
        <w:kinsoku/>
        <w:wordWrap/>
        <w:overflowPunct/>
        <w:topLinePunct w:val="0"/>
        <w:autoSpaceDE/>
        <w:autoSpaceDN/>
        <w:bidi w:val="0"/>
        <w:adjustRightInd/>
        <w:snapToGrid/>
        <w:textAlignment w:val="auto"/>
        <w:outlineLvl w:val="9"/>
        <w:rPr>
          <w:rFonts w:hint="eastAsia" w:ascii="宋体" w:hAnsi="宋体" w:eastAsia="宋体" w:cs="宋体"/>
          <w:highlight w:val="none"/>
        </w:rPr>
      </w:pPr>
    </w:p>
    <w:p w14:paraId="3FB36945">
      <w:pPr>
        <w:pStyle w:val="23"/>
        <w:keepNext w:val="0"/>
        <w:keepLines w:val="0"/>
        <w:pageBreakBefore w:val="0"/>
        <w:tabs>
          <w:tab w:val="right" w:leader="underscore" w:pos="8296"/>
        </w:tabs>
        <w:kinsoku/>
        <w:wordWrap/>
        <w:overflowPunct/>
        <w:topLinePunct w:val="0"/>
        <w:autoSpaceDE/>
        <w:autoSpaceDN/>
        <w:bidi w:val="0"/>
        <w:adjustRightInd/>
        <w:snapToGrid/>
        <w:spacing w:after="0" w:afterLines="0" w:line="360" w:lineRule="auto"/>
        <w:ind w:left="0" w:leftChars="0" w:firstLine="0" w:firstLineChars="0"/>
        <w:jc w:val="center"/>
        <w:textAlignment w:val="auto"/>
        <w:outlineLvl w:val="9"/>
        <w:rPr>
          <w:rFonts w:hint="eastAsia" w:ascii="宋体" w:hAnsi="宋体" w:eastAsia="宋体" w:cs="宋体"/>
          <w:b/>
          <w:bCs/>
          <w:color w:val="auto"/>
          <w:sz w:val="32"/>
          <w:szCs w:val="32"/>
          <w:highlight w:val="none"/>
          <w:lang w:eastAsia="zh-CN"/>
        </w:rPr>
      </w:pPr>
      <w:bookmarkStart w:id="846" w:name="_Toc455867814"/>
      <w:bookmarkStart w:id="847" w:name="_Toc2995"/>
      <w:bookmarkStart w:id="848" w:name="_Toc6192"/>
      <w:bookmarkStart w:id="849" w:name="_Toc455080154"/>
      <w:bookmarkStart w:id="850" w:name="_Toc466298137"/>
      <w:bookmarkStart w:id="851" w:name="_Toc144974565"/>
      <w:bookmarkStart w:id="852" w:name="_Toc152042375"/>
      <w:bookmarkStart w:id="853" w:name="_Toc152045598"/>
    </w:p>
    <w:p w14:paraId="15D501AB">
      <w:pPr>
        <w:pStyle w:val="23"/>
        <w:keepNext w:val="0"/>
        <w:keepLines w:val="0"/>
        <w:pageBreakBefore w:val="0"/>
        <w:tabs>
          <w:tab w:val="right" w:leader="underscore" w:pos="8296"/>
        </w:tabs>
        <w:kinsoku/>
        <w:wordWrap/>
        <w:overflowPunct/>
        <w:topLinePunct w:val="0"/>
        <w:autoSpaceDE/>
        <w:autoSpaceDN/>
        <w:bidi w:val="0"/>
        <w:adjustRightInd/>
        <w:snapToGrid/>
        <w:spacing w:after="0" w:afterLines="0" w:line="360" w:lineRule="auto"/>
        <w:ind w:left="0" w:leftChars="0" w:firstLine="0" w:firstLineChars="0"/>
        <w:jc w:val="center"/>
        <w:textAlignment w:val="auto"/>
        <w:outlineLvl w:val="9"/>
        <w:rPr>
          <w:rFonts w:hint="eastAsia" w:ascii="宋体" w:hAnsi="宋体" w:eastAsia="宋体" w:cs="宋体"/>
          <w:b/>
          <w:bCs/>
          <w:color w:val="auto"/>
          <w:sz w:val="32"/>
          <w:szCs w:val="32"/>
          <w:highlight w:val="none"/>
          <w:lang w:eastAsia="zh-CN"/>
        </w:rPr>
      </w:pPr>
    </w:p>
    <w:p w14:paraId="73E62072">
      <w:pPr>
        <w:pStyle w:val="23"/>
        <w:keepNext w:val="0"/>
        <w:keepLines w:val="0"/>
        <w:pageBreakBefore w:val="0"/>
        <w:tabs>
          <w:tab w:val="right" w:leader="underscore" w:pos="8296"/>
        </w:tabs>
        <w:kinsoku/>
        <w:wordWrap/>
        <w:overflowPunct/>
        <w:topLinePunct w:val="0"/>
        <w:autoSpaceDE/>
        <w:autoSpaceDN/>
        <w:bidi w:val="0"/>
        <w:adjustRightInd/>
        <w:snapToGrid/>
        <w:spacing w:after="0" w:afterLines="0" w:line="360" w:lineRule="auto"/>
        <w:ind w:left="0" w:leftChars="0" w:firstLine="0" w:firstLineChars="0"/>
        <w:jc w:val="center"/>
        <w:textAlignment w:val="auto"/>
        <w:outlineLvl w:val="9"/>
        <w:rPr>
          <w:rFonts w:hint="eastAsia" w:ascii="宋体" w:hAnsi="宋体" w:eastAsia="宋体" w:cs="宋体"/>
          <w:b/>
          <w:bCs/>
          <w:color w:val="auto"/>
          <w:sz w:val="32"/>
          <w:szCs w:val="32"/>
          <w:highlight w:val="none"/>
          <w:lang w:eastAsia="zh-CN"/>
        </w:rPr>
      </w:pPr>
    </w:p>
    <w:p w14:paraId="54F252CA">
      <w:pPr>
        <w:pStyle w:val="23"/>
        <w:keepNext w:val="0"/>
        <w:keepLines w:val="0"/>
        <w:pageBreakBefore w:val="0"/>
        <w:tabs>
          <w:tab w:val="right" w:leader="underscore" w:pos="8296"/>
        </w:tabs>
        <w:kinsoku/>
        <w:wordWrap/>
        <w:overflowPunct/>
        <w:topLinePunct w:val="0"/>
        <w:autoSpaceDE/>
        <w:autoSpaceDN/>
        <w:bidi w:val="0"/>
        <w:adjustRightInd/>
        <w:snapToGrid/>
        <w:spacing w:after="0" w:afterLines="0" w:line="360" w:lineRule="auto"/>
        <w:ind w:left="0" w:leftChars="0" w:firstLine="0" w:firstLineChars="0"/>
        <w:jc w:val="center"/>
        <w:textAlignment w:val="auto"/>
        <w:outlineLvl w:val="9"/>
        <w:rPr>
          <w:rFonts w:hint="eastAsia" w:ascii="宋体" w:hAnsi="宋体" w:eastAsia="宋体" w:cs="宋体"/>
          <w:b/>
          <w:bCs/>
          <w:color w:val="auto"/>
          <w:sz w:val="32"/>
          <w:szCs w:val="32"/>
          <w:highlight w:val="none"/>
          <w:lang w:eastAsia="zh-CN"/>
        </w:rPr>
      </w:pPr>
    </w:p>
    <w:p w14:paraId="5DC1E4A1">
      <w:pPr>
        <w:rPr>
          <w:rFonts w:hint="eastAsia" w:ascii="宋体" w:hAnsi="宋体" w:eastAsia="宋体" w:cs="宋体"/>
          <w:b/>
          <w:bCs/>
          <w:color w:val="auto"/>
          <w:sz w:val="32"/>
          <w:szCs w:val="32"/>
          <w:highlight w:val="none"/>
          <w:lang w:eastAsia="zh-CN"/>
        </w:rPr>
      </w:pPr>
      <w:bookmarkStart w:id="854" w:name="_Toc26120"/>
      <w:r>
        <w:rPr>
          <w:rFonts w:hint="eastAsia" w:ascii="宋体" w:hAnsi="宋体" w:eastAsia="宋体" w:cs="宋体"/>
          <w:b/>
          <w:bCs/>
          <w:color w:val="auto"/>
          <w:sz w:val="32"/>
          <w:szCs w:val="32"/>
          <w:highlight w:val="none"/>
          <w:lang w:eastAsia="zh-CN"/>
        </w:rPr>
        <w:br w:type="page"/>
      </w:r>
    </w:p>
    <w:p w14:paraId="3A9093A8">
      <w:pPr>
        <w:pStyle w:val="23"/>
        <w:tabs>
          <w:tab w:val="right" w:leader="underscore" w:pos="8296"/>
        </w:tabs>
        <w:spacing w:after="0" w:afterLines="0" w:line="360" w:lineRule="auto"/>
        <w:ind w:left="0" w:leftChars="0" w:firstLine="0" w:firstLineChars="0"/>
        <w:jc w:val="center"/>
        <w:outlineLvl w:val="0"/>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t>第三章  评审办法（综合评分法）</w:t>
      </w:r>
      <w:bookmarkEnd w:id="846"/>
      <w:bookmarkEnd w:id="847"/>
      <w:bookmarkEnd w:id="848"/>
      <w:bookmarkEnd w:id="849"/>
      <w:bookmarkEnd w:id="850"/>
      <w:bookmarkEnd w:id="854"/>
    </w:p>
    <w:bookmarkEnd w:id="851"/>
    <w:bookmarkEnd w:id="852"/>
    <w:bookmarkEnd w:id="853"/>
    <w:p w14:paraId="18465D09">
      <w:pPr>
        <w:ind w:left="0" w:leftChars="0" w:firstLine="0" w:firstLineChars="0"/>
        <w:jc w:val="center"/>
        <w:outlineLvl w:val="1"/>
        <w:rPr>
          <w:rFonts w:hint="eastAsia" w:ascii="宋体" w:hAnsi="宋体" w:eastAsia="宋体" w:cs="宋体"/>
          <w:b/>
          <w:bCs/>
          <w:color w:val="auto"/>
          <w:sz w:val="24"/>
          <w:highlight w:val="none"/>
        </w:rPr>
      </w:pPr>
      <w:bookmarkStart w:id="855" w:name="_Toc455080156"/>
      <w:bookmarkStart w:id="856" w:name="_Toc22994"/>
      <w:bookmarkStart w:id="857" w:name="_Toc152045599"/>
      <w:bookmarkStart w:id="858" w:name="_Toc318450721"/>
      <w:bookmarkStart w:id="859" w:name="_Toc27806"/>
      <w:bookmarkStart w:id="860" w:name="_Toc281405527"/>
      <w:bookmarkStart w:id="861" w:name="_Toc144974566"/>
      <w:bookmarkStart w:id="862" w:name="_Toc455867816"/>
      <w:bookmarkStart w:id="863" w:name="_Toc28069"/>
      <w:bookmarkStart w:id="864" w:name="_Toc152042376"/>
      <w:bookmarkStart w:id="865" w:name="_Toc466298139"/>
      <w:r>
        <w:rPr>
          <w:rFonts w:hint="eastAsia" w:ascii="宋体" w:hAnsi="宋体" w:eastAsia="宋体" w:cs="宋体"/>
          <w:b/>
          <w:bCs/>
          <w:color w:val="auto"/>
          <w:sz w:val="28"/>
          <w:szCs w:val="28"/>
          <w:highlight w:val="none"/>
        </w:rPr>
        <w:t>评审办法前附表</w:t>
      </w:r>
      <w:bookmarkEnd w:id="855"/>
      <w:bookmarkEnd w:id="856"/>
      <w:bookmarkEnd w:id="857"/>
      <w:bookmarkEnd w:id="858"/>
      <w:bookmarkEnd w:id="859"/>
      <w:bookmarkEnd w:id="860"/>
      <w:bookmarkEnd w:id="861"/>
      <w:bookmarkEnd w:id="862"/>
      <w:bookmarkEnd w:id="863"/>
      <w:bookmarkEnd w:id="864"/>
      <w:bookmarkEnd w:id="865"/>
    </w:p>
    <w:tbl>
      <w:tblPr>
        <w:tblStyle w:val="28"/>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091"/>
        <w:gridCol w:w="1545"/>
        <w:gridCol w:w="6132"/>
      </w:tblGrid>
      <w:tr w14:paraId="7DF22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888" w:type="dxa"/>
            <w:gridSpan w:val="2"/>
            <w:noWrap w:val="0"/>
            <w:vAlign w:val="center"/>
          </w:tcPr>
          <w:p w14:paraId="55DF362F">
            <w:pPr>
              <w:spacing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1545" w:type="dxa"/>
            <w:noWrap w:val="0"/>
            <w:vAlign w:val="center"/>
          </w:tcPr>
          <w:p w14:paraId="388CF467">
            <w:pPr>
              <w:spacing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评审因素</w:t>
            </w:r>
          </w:p>
        </w:tc>
        <w:tc>
          <w:tcPr>
            <w:tcW w:w="6132" w:type="dxa"/>
            <w:noWrap w:val="0"/>
            <w:vAlign w:val="center"/>
          </w:tcPr>
          <w:p w14:paraId="216FF109">
            <w:pPr>
              <w:spacing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评审标准</w:t>
            </w:r>
          </w:p>
        </w:tc>
      </w:tr>
      <w:tr w14:paraId="2F38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797" w:type="dxa"/>
            <w:vMerge w:val="restart"/>
            <w:noWrap w:val="0"/>
            <w:vAlign w:val="center"/>
          </w:tcPr>
          <w:p w14:paraId="73874F57">
            <w:pPr>
              <w:spacing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w:t>
            </w:r>
          </w:p>
        </w:tc>
        <w:tc>
          <w:tcPr>
            <w:tcW w:w="1091" w:type="dxa"/>
            <w:vMerge w:val="restart"/>
            <w:noWrap w:val="0"/>
            <w:vAlign w:val="center"/>
          </w:tcPr>
          <w:p w14:paraId="47D565C3">
            <w:pPr>
              <w:spacing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资格评审标准</w:t>
            </w:r>
          </w:p>
        </w:tc>
        <w:tc>
          <w:tcPr>
            <w:tcW w:w="1545" w:type="dxa"/>
            <w:noWrap w:val="0"/>
            <w:vAlign w:val="center"/>
          </w:tcPr>
          <w:p w14:paraId="31749E1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符合《中华人民共和国政府采购法》第二十二条规定</w:t>
            </w:r>
          </w:p>
        </w:tc>
        <w:tc>
          <w:tcPr>
            <w:tcW w:w="6132" w:type="dxa"/>
            <w:noWrap w:val="0"/>
            <w:vAlign w:val="center"/>
          </w:tcPr>
          <w:p w14:paraId="5800D3B1">
            <w:pPr>
              <w:widowControl/>
              <w:spacing w:line="360" w:lineRule="auto"/>
              <w:ind w:left="0" w:leftChars="0"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符合第二章“投标供应商须知”第1.</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.1项规定</w:t>
            </w:r>
          </w:p>
        </w:tc>
      </w:tr>
      <w:tr w14:paraId="3BC9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7" w:type="dxa"/>
            <w:vMerge w:val="continue"/>
            <w:noWrap w:val="0"/>
            <w:vAlign w:val="center"/>
          </w:tcPr>
          <w:p w14:paraId="7FD20292">
            <w:pPr>
              <w:widowControl/>
              <w:spacing w:line="360" w:lineRule="auto"/>
              <w:jc w:val="center"/>
              <w:rPr>
                <w:rFonts w:hint="eastAsia" w:ascii="宋体" w:hAnsi="宋体" w:eastAsia="宋体" w:cs="宋体"/>
                <w:color w:val="auto"/>
                <w:sz w:val="21"/>
                <w:szCs w:val="21"/>
                <w:highlight w:val="none"/>
              </w:rPr>
            </w:pPr>
          </w:p>
        </w:tc>
        <w:tc>
          <w:tcPr>
            <w:tcW w:w="1091" w:type="dxa"/>
            <w:vMerge w:val="continue"/>
            <w:noWrap w:val="0"/>
            <w:vAlign w:val="center"/>
          </w:tcPr>
          <w:p w14:paraId="7BAC5AD1">
            <w:pPr>
              <w:widowControl/>
              <w:spacing w:line="360" w:lineRule="auto"/>
              <w:jc w:val="center"/>
              <w:rPr>
                <w:rFonts w:hint="eastAsia" w:ascii="宋体" w:hAnsi="宋体" w:eastAsia="宋体" w:cs="宋体"/>
                <w:color w:val="auto"/>
                <w:sz w:val="21"/>
                <w:szCs w:val="21"/>
                <w:highlight w:val="none"/>
              </w:rPr>
            </w:pPr>
          </w:p>
        </w:tc>
        <w:tc>
          <w:tcPr>
            <w:tcW w:w="1545" w:type="dxa"/>
            <w:noWrap w:val="0"/>
            <w:vAlign w:val="center"/>
          </w:tcPr>
          <w:p w14:paraId="51D1068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政府采购政策</w:t>
            </w:r>
          </w:p>
          <w:p w14:paraId="73E54E2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zh-CN"/>
              </w:rPr>
              <w:t>（专门面向中小企业适用）</w:t>
            </w:r>
          </w:p>
        </w:tc>
        <w:tc>
          <w:tcPr>
            <w:tcW w:w="6132" w:type="dxa"/>
            <w:noWrap w:val="0"/>
            <w:vAlign w:val="center"/>
          </w:tcPr>
          <w:p w14:paraId="26A4AFD1">
            <w:pPr>
              <w:widowControl/>
              <w:spacing w:line="360" w:lineRule="auto"/>
              <w:ind w:left="0" w:leftChars="0"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符合第二章“投标供应商须知”第1.</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.1项规定</w:t>
            </w:r>
          </w:p>
        </w:tc>
      </w:tr>
      <w:tr w14:paraId="1B7C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7" w:type="dxa"/>
            <w:vMerge w:val="continue"/>
            <w:noWrap w:val="0"/>
            <w:vAlign w:val="center"/>
          </w:tcPr>
          <w:p w14:paraId="5A4EDA64">
            <w:pPr>
              <w:widowControl/>
              <w:spacing w:line="360" w:lineRule="auto"/>
              <w:jc w:val="center"/>
              <w:rPr>
                <w:rFonts w:hint="eastAsia" w:ascii="宋体" w:hAnsi="宋体" w:eastAsia="宋体" w:cs="宋体"/>
                <w:color w:val="auto"/>
                <w:sz w:val="21"/>
                <w:szCs w:val="21"/>
                <w:highlight w:val="none"/>
              </w:rPr>
            </w:pPr>
          </w:p>
        </w:tc>
        <w:tc>
          <w:tcPr>
            <w:tcW w:w="1091" w:type="dxa"/>
            <w:vMerge w:val="continue"/>
            <w:noWrap w:val="0"/>
            <w:vAlign w:val="center"/>
          </w:tcPr>
          <w:p w14:paraId="28B7823E">
            <w:pPr>
              <w:widowControl/>
              <w:spacing w:line="360" w:lineRule="auto"/>
              <w:jc w:val="center"/>
              <w:rPr>
                <w:rFonts w:hint="eastAsia" w:ascii="宋体" w:hAnsi="宋体" w:eastAsia="宋体" w:cs="宋体"/>
                <w:color w:val="auto"/>
                <w:sz w:val="21"/>
                <w:szCs w:val="21"/>
                <w:highlight w:val="none"/>
              </w:rPr>
            </w:pPr>
          </w:p>
        </w:tc>
        <w:tc>
          <w:tcPr>
            <w:tcW w:w="1545" w:type="dxa"/>
            <w:noWrap w:val="0"/>
            <w:vAlign w:val="center"/>
          </w:tcPr>
          <w:p w14:paraId="47BD9C9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特定资格要求（如有）</w:t>
            </w:r>
          </w:p>
        </w:tc>
        <w:tc>
          <w:tcPr>
            <w:tcW w:w="6132" w:type="dxa"/>
            <w:noWrap w:val="0"/>
            <w:vAlign w:val="center"/>
          </w:tcPr>
          <w:p w14:paraId="1FEE5F27">
            <w:pPr>
              <w:widowControl/>
              <w:spacing w:line="360" w:lineRule="auto"/>
              <w:ind w:left="0" w:leftChars="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符合第二章“投标供应商须知”第1.</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.1项规定</w:t>
            </w:r>
          </w:p>
        </w:tc>
      </w:tr>
      <w:tr w14:paraId="600E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7" w:type="dxa"/>
            <w:vMerge w:val="continue"/>
            <w:noWrap w:val="0"/>
            <w:vAlign w:val="center"/>
          </w:tcPr>
          <w:p w14:paraId="2155D4BF">
            <w:pPr>
              <w:widowControl/>
              <w:spacing w:line="360" w:lineRule="auto"/>
              <w:jc w:val="center"/>
              <w:rPr>
                <w:rFonts w:hint="eastAsia" w:ascii="宋体" w:hAnsi="宋体" w:eastAsia="宋体" w:cs="宋体"/>
                <w:color w:val="auto"/>
                <w:sz w:val="21"/>
                <w:szCs w:val="21"/>
                <w:highlight w:val="none"/>
              </w:rPr>
            </w:pPr>
          </w:p>
        </w:tc>
        <w:tc>
          <w:tcPr>
            <w:tcW w:w="1091" w:type="dxa"/>
            <w:vMerge w:val="continue"/>
            <w:noWrap w:val="0"/>
            <w:vAlign w:val="center"/>
          </w:tcPr>
          <w:p w14:paraId="3C05AEA3">
            <w:pPr>
              <w:widowControl/>
              <w:spacing w:line="360" w:lineRule="auto"/>
              <w:jc w:val="center"/>
              <w:rPr>
                <w:rFonts w:hint="eastAsia" w:ascii="宋体" w:hAnsi="宋体" w:eastAsia="宋体" w:cs="宋体"/>
                <w:color w:val="auto"/>
                <w:sz w:val="21"/>
                <w:szCs w:val="21"/>
                <w:highlight w:val="none"/>
              </w:rPr>
            </w:pPr>
          </w:p>
        </w:tc>
        <w:tc>
          <w:tcPr>
            <w:tcW w:w="1545" w:type="dxa"/>
            <w:noWrap w:val="0"/>
            <w:vAlign w:val="center"/>
          </w:tcPr>
          <w:p w14:paraId="4D6A90F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其他要求</w:t>
            </w:r>
          </w:p>
        </w:tc>
        <w:tc>
          <w:tcPr>
            <w:tcW w:w="6132" w:type="dxa"/>
            <w:noWrap w:val="0"/>
            <w:vAlign w:val="center"/>
          </w:tcPr>
          <w:p w14:paraId="42FD8F99">
            <w:pPr>
              <w:widowControl/>
              <w:spacing w:line="360" w:lineRule="auto"/>
              <w:ind w:left="0" w:leftChars="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符合第二章“投标供应商须知”第1.</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.1项规定</w:t>
            </w:r>
          </w:p>
        </w:tc>
      </w:tr>
      <w:tr w14:paraId="5052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97" w:type="dxa"/>
            <w:vMerge w:val="continue"/>
            <w:noWrap w:val="0"/>
            <w:vAlign w:val="center"/>
          </w:tcPr>
          <w:p w14:paraId="25A571DE">
            <w:pPr>
              <w:widowControl/>
              <w:spacing w:line="360" w:lineRule="auto"/>
              <w:jc w:val="center"/>
              <w:rPr>
                <w:rFonts w:hint="eastAsia" w:ascii="宋体" w:hAnsi="宋体" w:eastAsia="宋体" w:cs="宋体"/>
                <w:color w:val="auto"/>
                <w:sz w:val="21"/>
                <w:szCs w:val="21"/>
                <w:highlight w:val="none"/>
              </w:rPr>
            </w:pPr>
          </w:p>
        </w:tc>
        <w:tc>
          <w:tcPr>
            <w:tcW w:w="1091" w:type="dxa"/>
            <w:vMerge w:val="continue"/>
            <w:noWrap w:val="0"/>
            <w:vAlign w:val="center"/>
          </w:tcPr>
          <w:p w14:paraId="4AF26729">
            <w:pPr>
              <w:widowControl/>
              <w:spacing w:line="360" w:lineRule="auto"/>
              <w:jc w:val="center"/>
              <w:rPr>
                <w:rFonts w:hint="eastAsia" w:ascii="宋体" w:hAnsi="宋体" w:eastAsia="宋体" w:cs="宋体"/>
                <w:color w:val="auto"/>
                <w:sz w:val="21"/>
                <w:szCs w:val="21"/>
                <w:highlight w:val="none"/>
              </w:rPr>
            </w:pPr>
          </w:p>
        </w:tc>
        <w:tc>
          <w:tcPr>
            <w:tcW w:w="7677" w:type="dxa"/>
            <w:gridSpan w:val="2"/>
            <w:noWrap w:val="0"/>
            <w:vAlign w:val="center"/>
          </w:tcPr>
          <w:p w14:paraId="390C6288">
            <w:pPr>
              <w:widowControl/>
              <w:spacing w:line="360" w:lineRule="auto"/>
              <w:ind w:left="0" w:leftChars="0" w:firstLine="0" w:firstLineChars="0"/>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注：投标文件中附原件扫描件，资料不全或不合格者视为未通过资格审查。</w:t>
            </w:r>
          </w:p>
        </w:tc>
      </w:tr>
      <w:tr w14:paraId="221F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7" w:type="dxa"/>
            <w:vMerge w:val="restart"/>
            <w:noWrap w:val="0"/>
            <w:vAlign w:val="center"/>
          </w:tcPr>
          <w:p w14:paraId="6F08D146">
            <w:pPr>
              <w:spacing w:line="360" w:lineRule="auto"/>
              <w:ind w:left="0" w:leftChars="0"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val="en-US" w:eastAsia="zh-CN"/>
              </w:rPr>
              <w:t>2</w:t>
            </w:r>
          </w:p>
        </w:tc>
        <w:tc>
          <w:tcPr>
            <w:tcW w:w="1091" w:type="dxa"/>
            <w:vMerge w:val="restart"/>
            <w:noWrap w:val="0"/>
            <w:vAlign w:val="center"/>
          </w:tcPr>
          <w:p w14:paraId="702113B0">
            <w:pPr>
              <w:spacing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符合性</w:t>
            </w:r>
            <w:r>
              <w:rPr>
                <w:rFonts w:hint="eastAsia" w:ascii="宋体" w:hAnsi="宋体" w:eastAsia="宋体" w:cs="宋体"/>
                <w:color w:val="auto"/>
                <w:sz w:val="21"/>
                <w:szCs w:val="21"/>
                <w:highlight w:val="none"/>
              </w:rPr>
              <w:t>评审标准</w:t>
            </w:r>
          </w:p>
        </w:tc>
        <w:tc>
          <w:tcPr>
            <w:tcW w:w="1545" w:type="dxa"/>
            <w:noWrap w:val="0"/>
            <w:vAlign w:val="center"/>
          </w:tcPr>
          <w:p w14:paraId="06DACC2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供应商名称</w:t>
            </w:r>
          </w:p>
        </w:tc>
        <w:tc>
          <w:tcPr>
            <w:tcW w:w="6132" w:type="dxa"/>
            <w:noWrap w:val="0"/>
            <w:vAlign w:val="center"/>
          </w:tcPr>
          <w:p w14:paraId="2F8F5849">
            <w:pPr>
              <w:widowControl/>
              <w:spacing w:line="360" w:lineRule="auto"/>
              <w:ind w:left="0" w:leftChars="0"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与营业执照一致</w:t>
            </w:r>
          </w:p>
        </w:tc>
      </w:tr>
      <w:tr w14:paraId="57BF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97" w:type="dxa"/>
            <w:vMerge w:val="continue"/>
            <w:noWrap w:val="0"/>
            <w:vAlign w:val="center"/>
          </w:tcPr>
          <w:p w14:paraId="5CF34DD9">
            <w:pPr>
              <w:widowControl/>
              <w:spacing w:line="360" w:lineRule="auto"/>
              <w:jc w:val="left"/>
              <w:rPr>
                <w:rFonts w:hint="eastAsia" w:ascii="宋体" w:hAnsi="宋体" w:eastAsia="宋体" w:cs="宋体"/>
                <w:color w:val="auto"/>
                <w:sz w:val="21"/>
                <w:szCs w:val="21"/>
                <w:highlight w:val="none"/>
              </w:rPr>
            </w:pPr>
          </w:p>
        </w:tc>
        <w:tc>
          <w:tcPr>
            <w:tcW w:w="1091" w:type="dxa"/>
            <w:vMerge w:val="continue"/>
            <w:noWrap w:val="0"/>
            <w:vAlign w:val="center"/>
          </w:tcPr>
          <w:p w14:paraId="07336E8C">
            <w:pPr>
              <w:widowControl/>
              <w:spacing w:line="360" w:lineRule="auto"/>
              <w:jc w:val="left"/>
              <w:rPr>
                <w:rFonts w:hint="eastAsia" w:ascii="宋体" w:hAnsi="宋体" w:eastAsia="宋体" w:cs="宋体"/>
                <w:color w:val="auto"/>
                <w:sz w:val="21"/>
                <w:szCs w:val="21"/>
                <w:highlight w:val="none"/>
              </w:rPr>
            </w:pPr>
          </w:p>
        </w:tc>
        <w:tc>
          <w:tcPr>
            <w:tcW w:w="1545" w:type="dxa"/>
            <w:noWrap w:val="0"/>
            <w:vAlign w:val="center"/>
          </w:tcPr>
          <w:p w14:paraId="00E4E1A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响应函</w:t>
            </w:r>
            <w:r>
              <w:rPr>
                <w:rFonts w:hint="eastAsia" w:ascii="宋体" w:hAnsi="宋体" w:eastAsia="宋体" w:cs="宋体"/>
                <w:color w:val="auto"/>
                <w:sz w:val="21"/>
                <w:szCs w:val="21"/>
                <w:highlight w:val="none"/>
              </w:rPr>
              <w:t>签字盖章</w:t>
            </w:r>
          </w:p>
        </w:tc>
        <w:tc>
          <w:tcPr>
            <w:tcW w:w="6132" w:type="dxa"/>
            <w:noWrap w:val="0"/>
            <w:vAlign w:val="center"/>
          </w:tcPr>
          <w:p w14:paraId="19EAA60E">
            <w:pPr>
              <w:widowControl/>
              <w:spacing w:line="360" w:lineRule="auto"/>
              <w:ind w:left="0" w:leftChars="0"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符合</w:t>
            </w:r>
            <w:r>
              <w:rPr>
                <w:rFonts w:hint="eastAsia" w:ascii="宋体" w:hAnsi="宋体" w:eastAsia="宋体" w:cs="宋体"/>
                <w:color w:val="auto"/>
                <w:kern w:val="0"/>
                <w:sz w:val="21"/>
                <w:szCs w:val="21"/>
                <w:highlight w:val="none"/>
                <w:lang w:eastAsia="zh-CN"/>
              </w:rPr>
              <w:t>第六章</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竞争性磋商响应文件格式</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响应函签字盖章</w:t>
            </w:r>
            <w:r>
              <w:rPr>
                <w:rFonts w:hint="eastAsia" w:ascii="宋体" w:hAnsi="宋体" w:eastAsia="宋体" w:cs="宋体"/>
                <w:color w:val="auto"/>
                <w:kern w:val="0"/>
                <w:sz w:val="21"/>
                <w:szCs w:val="21"/>
                <w:highlight w:val="none"/>
              </w:rPr>
              <w:t>的要求</w:t>
            </w:r>
          </w:p>
        </w:tc>
      </w:tr>
      <w:tr w14:paraId="4928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97" w:type="dxa"/>
            <w:vMerge w:val="continue"/>
            <w:noWrap w:val="0"/>
            <w:vAlign w:val="center"/>
          </w:tcPr>
          <w:p w14:paraId="12AAAF93">
            <w:pPr>
              <w:widowControl/>
              <w:spacing w:line="360" w:lineRule="auto"/>
              <w:jc w:val="left"/>
              <w:rPr>
                <w:rFonts w:hint="eastAsia" w:ascii="宋体" w:hAnsi="宋体" w:eastAsia="宋体" w:cs="宋体"/>
                <w:color w:val="auto"/>
                <w:sz w:val="21"/>
                <w:szCs w:val="21"/>
                <w:highlight w:val="none"/>
              </w:rPr>
            </w:pPr>
          </w:p>
        </w:tc>
        <w:tc>
          <w:tcPr>
            <w:tcW w:w="1091" w:type="dxa"/>
            <w:vMerge w:val="continue"/>
            <w:noWrap w:val="0"/>
            <w:vAlign w:val="center"/>
          </w:tcPr>
          <w:p w14:paraId="6E563FC7">
            <w:pPr>
              <w:widowControl/>
              <w:spacing w:line="360" w:lineRule="auto"/>
              <w:jc w:val="left"/>
              <w:rPr>
                <w:rFonts w:hint="eastAsia" w:ascii="宋体" w:hAnsi="宋体" w:eastAsia="宋体" w:cs="宋体"/>
                <w:color w:val="auto"/>
                <w:sz w:val="21"/>
                <w:szCs w:val="21"/>
                <w:highlight w:val="none"/>
              </w:rPr>
            </w:pPr>
          </w:p>
        </w:tc>
        <w:tc>
          <w:tcPr>
            <w:tcW w:w="1545" w:type="dxa"/>
            <w:noWrap w:val="0"/>
            <w:vAlign w:val="center"/>
          </w:tcPr>
          <w:p w14:paraId="47F1FB1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响应文件格式</w:t>
            </w:r>
          </w:p>
        </w:tc>
        <w:tc>
          <w:tcPr>
            <w:tcW w:w="6132" w:type="dxa"/>
            <w:noWrap w:val="0"/>
            <w:vAlign w:val="center"/>
          </w:tcPr>
          <w:p w14:paraId="726382FC">
            <w:pPr>
              <w:widowControl/>
              <w:spacing w:line="360" w:lineRule="auto"/>
              <w:ind w:left="0" w:leftChars="0"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符合</w:t>
            </w:r>
            <w:r>
              <w:rPr>
                <w:rFonts w:hint="eastAsia" w:ascii="宋体" w:hAnsi="宋体" w:eastAsia="宋体" w:cs="宋体"/>
                <w:color w:val="auto"/>
                <w:kern w:val="0"/>
                <w:sz w:val="21"/>
                <w:szCs w:val="21"/>
                <w:highlight w:val="none"/>
                <w:lang w:eastAsia="zh-CN"/>
              </w:rPr>
              <w:t>第六章</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竞争性磋商响应文件格式</w:t>
            </w:r>
            <w:r>
              <w:rPr>
                <w:rFonts w:hint="eastAsia" w:ascii="宋体" w:hAnsi="宋体" w:eastAsia="宋体" w:cs="宋体"/>
                <w:color w:val="auto"/>
                <w:kern w:val="0"/>
                <w:sz w:val="21"/>
                <w:szCs w:val="21"/>
                <w:highlight w:val="none"/>
              </w:rPr>
              <w:t>”的要求</w:t>
            </w:r>
          </w:p>
        </w:tc>
      </w:tr>
      <w:tr w14:paraId="380C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97" w:type="dxa"/>
            <w:vMerge w:val="continue"/>
            <w:noWrap w:val="0"/>
            <w:vAlign w:val="center"/>
          </w:tcPr>
          <w:p w14:paraId="376EF6F5">
            <w:pPr>
              <w:spacing w:line="360" w:lineRule="auto"/>
              <w:rPr>
                <w:rFonts w:hint="eastAsia" w:ascii="宋体" w:hAnsi="宋体" w:eastAsia="宋体" w:cs="宋体"/>
                <w:color w:val="auto"/>
                <w:sz w:val="21"/>
                <w:szCs w:val="21"/>
                <w:highlight w:val="none"/>
              </w:rPr>
            </w:pPr>
          </w:p>
        </w:tc>
        <w:tc>
          <w:tcPr>
            <w:tcW w:w="1091" w:type="dxa"/>
            <w:vMerge w:val="continue"/>
            <w:noWrap w:val="0"/>
            <w:vAlign w:val="center"/>
          </w:tcPr>
          <w:p w14:paraId="77082679">
            <w:pPr>
              <w:spacing w:line="360" w:lineRule="auto"/>
              <w:jc w:val="center"/>
              <w:rPr>
                <w:rFonts w:hint="eastAsia" w:ascii="宋体" w:hAnsi="宋体" w:eastAsia="宋体" w:cs="宋体"/>
                <w:color w:val="auto"/>
                <w:sz w:val="21"/>
                <w:szCs w:val="21"/>
                <w:highlight w:val="none"/>
              </w:rPr>
            </w:pPr>
          </w:p>
        </w:tc>
        <w:tc>
          <w:tcPr>
            <w:tcW w:w="1545" w:type="dxa"/>
            <w:noWrap w:val="0"/>
            <w:vAlign w:val="center"/>
          </w:tcPr>
          <w:p w14:paraId="391DDC5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响应内容</w:t>
            </w:r>
          </w:p>
        </w:tc>
        <w:tc>
          <w:tcPr>
            <w:tcW w:w="6132" w:type="dxa"/>
            <w:noWrap w:val="0"/>
            <w:vAlign w:val="center"/>
          </w:tcPr>
          <w:p w14:paraId="0EF0F4C2">
            <w:pPr>
              <w:widowControl/>
              <w:spacing w:line="360" w:lineRule="auto"/>
              <w:ind w:left="0" w:leftChars="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符合第二章“供应商须知”第1.4.1项规定</w:t>
            </w:r>
          </w:p>
        </w:tc>
      </w:tr>
      <w:tr w14:paraId="09BA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797" w:type="dxa"/>
            <w:vMerge w:val="continue"/>
            <w:noWrap w:val="0"/>
            <w:vAlign w:val="center"/>
          </w:tcPr>
          <w:p w14:paraId="21DC078F">
            <w:pPr>
              <w:widowControl/>
              <w:spacing w:line="360" w:lineRule="auto"/>
              <w:jc w:val="left"/>
              <w:rPr>
                <w:rFonts w:hint="eastAsia" w:ascii="宋体" w:hAnsi="宋体" w:eastAsia="宋体" w:cs="宋体"/>
                <w:color w:val="auto"/>
                <w:sz w:val="21"/>
                <w:szCs w:val="21"/>
                <w:highlight w:val="none"/>
              </w:rPr>
            </w:pPr>
          </w:p>
        </w:tc>
        <w:tc>
          <w:tcPr>
            <w:tcW w:w="1091" w:type="dxa"/>
            <w:vMerge w:val="continue"/>
            <w:noWrap w:val="0"/>
            <w:vAlign w:val="center"/>
          </w:tcPr>
          <w:p w14:paraId="006D6CB5">
            <w:pPr>
              <w:widowControl/>
              <w:spacing w:line="360" w:lineRule="auto"/>
              <w:jc w:val="left"/>
              <w:rPr>
                <w:rFonts w:hint="eastAsia" w:ascii="宋体" w:hAnsi="宋体" w:eastAsia="宋体" w:cs="宋体"/>
                <w:color w:val="auto"/>
                <w:sz w:val="21"/>
                <w:szCs w:val="21"/>
                <w:highlight w:val="none"/>
              </w:rPr>
            </w:pPr>
          </w:p>
        </w:tc>
        <w:tc>
          <w:tcPr>
            <w:tcW w:w="1545" w:type="dxa"/>
            <w:noWrap w:val="0"/>
            <w:vAlign w:val="center"/>
          </w:tcPr>
          <w:p w14:paraId="1DA5997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服务期限</w:t>
            </w:r>
          </w:p>
        </w:tc>
        <w:tc>
          <w:tcPr>
            <w:tcW w:w="6132" w:type="dxa"/>
            <w:noWrap w:val="0"/>
            <w:vAlign w:val="center"/>
          </w:tcPr>
          <w:p w14:paraId="6F381EBD">
            <w:pPr>
              <w:widowControl/>
              <w:spacing w:line="360" w:lineRule="auto"/>
              <w:ind w:left="0" w:leftChars="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符合第二章“供应商须知”第1.4.2项规定</w:t>
            </w:r>
          </w:p>
        </w:tc>
      </w:tr>
      <w:tr w14:paraId="0DB2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97" w:type="dxa"/>
            <w:vMerge w:val="continue"/>
            <w:noWrap w:val="0"/>
            <w:vAlign w:val="center"/>
          </w:tcPr>
          <w:p w14:paraId="18CD368A">
            <w:pPr>
              <w:widowControl/>
              <w:spacing w:line="360" w:lineRule="auto"/>
              <w:jc w:val="left"/>
              <w:rPr>
                <w:rFonts w:hint="eastAsia" w:ascii="宋体" w:hAnsi="宋体" w:eastAsia="宋体" w:cs="宋体"/>
                <w:color w:val="auto"/>
                <w:sz w:val="21"/>
                <w:szCs w:val="21"/>
                <w:highlight w:val="none"/>
              </w:rPr>
            </w:pPr>
          </w:p>
        </w:tc>
        <w:tc>
          <w:tcPr>
            <w:tcW w:w="1091" w:type="dxa"/>
            <w:vMerge w:val="continue"/>
            <w:noWrap w:val="0"/>
            <w:vAlign w:val="center"/>
          </w:tcPr>
          <w:p w14:paraId="218D7C4C">
            <w:pPr>
              <w:widowControl/>
              <w:spacing w:line="360" w:lineRule="auto"/>
              <w:jc w:val="left"/>
              <w:rPr>
                <w:rFonts w:hint="eastAsia" w:ascii="宋体" w:hAnsi="宋体" w:eastAsia="宋体" w:cs="宋体"/>
                <w:color w:val="auto"/>
                <w:sz w:val="21"/>
                <w:szCs w:val="21"/>
                <w:highlight w:val="none"/>
              </w:rPr>
            </w:pPr>
          </w:p>
        </w:tc>
        <w:tc>
          <w:tcPr>
            <w:tcW w:w="1545" w:type="dxa"/>
            <w:noWrap w:val="0"/>
            <w:vAlign w:val="center"/>
          </w:tcPr>
          <w:p w14:paraId="7584C87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服务要求</w:t>
            </w:r>
          </w:p>
        </w:tc>
        <w:tc>
          <w:tcPr>
            <w:tcW w:w="6132" w:type="dxa"/>
            <w:noWrap w:val="0"/>
            <w:vAlign w:val="center"/>
          </w:tcPr>
          <w:p w14:paraId="2A945DDE">
            <w:pPr>
              <w:widowControl/>
              <w:spacing w:line="360" w:lineRule="auto"/>
              <w:ind w:left="0" w:leftChars="0"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符合第二章“供应商须知”第1.4.</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项规定</w:t>
            </w:r>
          </w:p>
        </w:tc>
      </w:tr>
      <w:tr w14:paraId="7C9B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97" w:type="dxa"/>
            <w:vMerge w:val="continue"/>
            <w:noWrap w:val="0"/>
            <w:vAlign w:val="center"/>
          </w:tcPr>
          <w:p w14:paraId="1695BAF0">
            <w:pPr>
              <w:widowControl/>
              <w:spacing w:line="360" w:lineRule="auto"/>
              <w:jc w:val="left"/>
              <w:rPr>
                <w:rFonts w:hint="eastAsia" w:ascii="宋体" w:hAnsi="宋体" w:eastAsia="宋体" w:cs="宋体"/>
                <w:color w:val="auto"/>
                <w:sz w:val="21"/>
                <w:szCs w:val="21"/>
                <w:highlight w:val="none"/>
              </w:rPr>
            </w:pPr>
          </w:p>
        </w:tc>
        <w:tc>
          <w:tcPr>
            <w:tcW w:w="1091" w:type="dxa"/>
            <w:vMerge w:val="continue"/>
            <w:noWrap w:val="0"/>
            <w:vAlign w:val="center"/>
          </w:tcPr>
          <w:p w14:paraId="1E3C2AC8">
            <w:pPr>
              <w:widowControl/>
              <w:spacing w:line="360" w:lineRule="auto"/>
              <w:jc w:val="left"/>
              <w:rPr>
                <w:rFonts w:hint="eastAsia" w:ascii="宋体" w:hAnsi="宋体" w:eastAsia="宋体" w:cs="宋体"/>
                <w:color w:val="auto"/>
                <w:sz w:val="21"/>
                <w:szCs w:val="21"/>
                <w:highlight w:val="none"/>
              </w:rPr>
            </w:pPr>
          </w:p>
        </w:tc>
        <w:tc>
          <w:tcPr>
            <w:tcW w:w="1545" w:type="dxa"/>
            <w:noWrap w:val="0"/>
            <w:vAlign w:val="center"/>
          </w:tcPr>
          <w:p w14:paraId="3A4229D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服务地点</w:t>
            </w:r>
          </w:p>
        </w:tc>
        <w:tc>
          <w:tcPr>
            <w:tcW w:w="6132" w:type="dxa"/>
            <w:noWrap w:val="0"/>
            <w:vAlign w:val="center"/>
          </w:tcPr>
          <w:p w14:paraId="4DFD1EB5">
            <w:pPr>
              <w:widowControl/>
              <w:spacing w:line="360" w:lineRule="auto"/>
              <w:ind w:left="0" w:leftChars="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符合第二章“供应商须知”第1.4.</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项规定</w:t>
            </w:r>
          </w:p>
        </w:tc>
      </w:tr>
      <w:tr w14:paraId="2096E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97" w:type="dxa"/>
            <w:vMerge w:val="continue"/>
            <w:noWrap w:val="0"/>
            <w:vAlign w:val="center"/>
          </w:tcPr>
          <w:p w14:paraId="56631927">
            <w:pPr>
              <w:widowControl/>
              <w:spacing w:line="360" w:lineRule="auto"/>
              <w:jc w:val="left"/>
              <w:rPr>
                <w:rFonts w:hint="eastAsia" w:ascii="宋体" w:hAnsi="宋体" w:eastAsia="宋体" w:cs="宋体"/>
                <w:color w:val="auto"/>
                <w:sz w:val="21"/>
                <w:szCs w:val="21"/>
                <w:highlight w:val="none"/>
              </w:rPr>
            </w:pPr>
          </w:p>
        </w:tc>
        <w:tc>
          <w:tcPr>
            <w:tcW w:w="1091" w:type="dxa"/>
            <w:vMerge w:val="continue"/>
            <w:noWrap w:val="0"/>
            <w:vAlign w:val="center"/>
          </w:tcPr>
          <w:p w14:paraId="04A85501">
            <w:pPr>
              <w:widowControl/>
              <w:spacing w:line="360" w:lineRule="auto"/>
              <w:jc w:val="left"/>
              <w:rPr>
                <w:rFonts w:hint="eastAsia" w:ascii="宋体" w:hAnsi="宋体" w:eastAsia="宋体" w:cs="宋体"/>
                <w:color w:val="auto"/>
                <w:sz w:val="21"/>
                <w:szCs w:val="21"/>
                <w:highlight w:val="none"/>
              </w:rPr>
            </w:pPr>
          </w:p>
        </w:tc>
        <w:tc>
          <w:tcPr>
            <w:tcW w:w="1545" w:type="dxa"/>
            <w:noWrap w:val="0"/>
            <w:vAlign w:val="center"/>
          </w:tcPr>
          <w:p w14:paraId="77428C7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磋商有效期</w:t>
            </w:r>
          </w:p>
        </w:tc>
        <w:tc>
          <w:tcPr>
            <w:tcW w:w="6132" w:type="dxa"/>
            <w:noWrap w:val="0"/>
            <w:vAlign w:val="center"/>
          </w:tcPr>
          <w:p w14:paraId="520AE22D">
            <w:pPr>
              <w:widowControl/>
              <w:spacing w:line="360" w:lineRule="auto"/>
              <w:ind w:left="0" w:leftChars="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符合第二章“供应商须知”第</w:t>
            </w:r>
            <w:r>
              <w:rPr>
                <w:rFonts w:hint="eastAsia" w:ascii="宋体" w:hAnsi="宋体" w:eastAsia="宋体" w:cs="宋体"/>
                <w:color w:val="auto"/>
                <w:kern w:val="0"/>
                <w:sz w:val="21"/>
                <w:szCs w:val="21"/>
                <w:highlight w:val="none"/>
                <w:lang w:val="en-US" w:eastAsia="zh-CN"/>
              </w:rPr>
              <w:t>3.3.1</w:t>
            </w:r>
            <w:r>
              <w:rPr>
                <w:rFonts w:hint="eastAsia" w:ascii="宋体" w:hAnsi="宋体" w:eastAsia="宋体" w:cs="宋体"/>
                <w:color w:val="auto"/>
                <w:kern w:val="0"/>
                <w:sz w:val="21"/>
                <w:szCs w:val="21"/>
                <w:highlight w:val="none"/>
              </w:rPr>
              <w:t>项规定</w:t>
            </w:r>
          </w:p>
        </w:tc>
      </w:tr>
      <w:tr w14:paraId="6503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97" w:type="dxa"/>
            <w:vMerge w:val="continue"/>
            <w:noWrap w:val="0"/>
            <w:vAlign w:val="center"/>
          </w:tcPr>
          <w:p w14:paraId="41E1A061">
            <w:pPr>
              <w:widowControl/>
              <w:spacing w:line="360" w:lineRule="auto"/>
              <w:jc w:val="left"/>
              <w:rPr>
                <w:rFonts w:hint="eastAsia" w:ascii="宋体" w:hAnsi="宋体" w:eastAsia="宋体" w:cs="宋体"/>
                <w:color w:val="auto"/>
                <w:sz w:val="21"/>
                <w:szCs w:val="21"/>
                <w:highlight w:val="none"/>
              </w:rPr>
            </w:pPr>
          </w:p>
        </w:tc>
        <w:tc>
          <w:tcPr>
            <w:tcW w:w="1091" w:type="dxa"/>
            <w:vMerge w:val="continue"/>
            <w:noWrap w:val="0"/>
            <w:vAlign w:val="center"/>
          </w:tcPr>
          <w:p w14:paraId="6B80EE0B">
            <w:pPr>
              <w:widowControl/>
              <w:spacing w:line="360" w:lineRule="auto"/>
              <w:jc w:val="left"/>
              <w:rPr>
                <w:rFonts w:hint="eastAsia" w:ascii="宋体" w:hAnsi="宋体" w:eastAsia="宋体" w:cs="宋体"/>
                <w:color w:val="auto"/>
                <w:sz w:val="21"/>
                <w:szCs w:val="21"/>
                <w:highlight w:val="none"/>
              </w:rPr>
            </w:pPr>
          </w:p>
        </w:tc>
        <w:tc>
          <w:tcPr>
            <w:tcW w:w="1545" w:type="dxa"/>
            <w:noWrap w:val="0"/>
            <w:vAlign w:val="center"/>
          </w:tcPr>
          <w:p w14:paraId="1BB6B8E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磋商报价</w:t>
            </w:r>
          </w:p>
        </w:tc>
        <w:tc>
          <w:tcPr>
            <w:tcW w:w="6132" w:type="dxa"/>
            <w:noWrap w:val="0"/>
            <w:vAlign w:val="center"/>
          </w:tcPr>
          <w:p w14:paraId="340743AC">
            <w:pPr>
              <w:widowControl/>
              <w:spacing w:line="360" w:lineRule="auto"/>
              <w:ind w:left="0" w:leftChars="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符合磋商文件</w:t>
            </w:r>
            <w:r>
              <w:rPr>
                <w:rFonts w:hint="eastAsia" w:ascii="宋体" w:hAnsi="宋体" w:eastAsia="宋体" w:cs="宋体"/>
                <w:color w:val="auto"/>
                <w:kern w:val="0"/>
                <w:sz w:val="21"/>
                <w:szCs w:val="21"/>
                <w:highlight w:val="none"/>
              </w:rPr>
              <w:t>报价</w:t>
            </w:r>
            <w:r>
              <w:rPr>
                <w:rFonts w:hint="eastAsia" w:ascii="宋体" w:hAnsi="宋体" w:eastAsia="宋体" w:cs="宋体"/>
                <w:color w:val="auto"/>
                <w:kern w:val="0"/>
                <w:sz w:val="21"/>
                <w:szCs w:val="21"/>
                <w:highlight w:val="none"/>
                <w:lang w:val="en-US" w:eastAsia="zh-CN"/>
              </w:rPr>
              <w:t>要求且</w:t>
            </w:r>
            <w:r>
              <w:rPr>
                <w:rFonts w:hint="eastAsia" w:ascii="宋体" w:hAnsi="宋体" w:eastAsia="宋体" w:cs="宋体"/>
                <w:color w:val="auto"/>
                <w:kern w:val="0"/>
                <w:sz w:val="21"/>
                <w:szCs w:val="21"/>
                <w:highlight w:val="none"/>
              </w:rPr>
              <w:t>不超过</w:t>
            </w:r>
            <w:r>
              <w:rPr>
                <w:rFonts w:hint="eastAsia" w:ascii="宋体" w:hAnsi="宋体" w:eastAsia="宋体" w:cs="宋体"/>
                <w:color w:val="auto"/>
                <w:kern w:val="0"/>
                <w:sz w:val="21"/>
                <w:szCs w:val="21"/>
                <w:highlight w:val="none"/>
                <w:lang w:eastAsia="zh-CN"/>
              </w:rPr>
              <w:t>预算价（最高限价）</w:t>
            </w:r>
          </w:p>
        </w:tc>
      </w:tr>
      <w:tr w14:paraId="3996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97" w:type="dxa"/>
            <w:vMerge w:val="continue"/>
            <w:noWrap w:val="0"/>
            <w:vAlign w:val="center"/>
          </w:tcPr>
          <w:p w14:paraId="459573BD">
            <w:pPr>
              <w:widowControl/>
              <w:spacing w:line="360" w:lineRule="auto"/>
              <w:jc w:val="left"/>
              <w:rPr>
                <w:rFonts w:hint="eastAsia" w:ascii="宋体" w:hAnsi="宋体" w:eastAsia="宋体" w:cs="宋体"/>
                <w:color w:val="auto"/>
                <w:sz w:val="21"/>
                <w:szCs w:val="21"/>
                <w:highlight w:val="none"/>
              </w:rPr>
            </w:pPr>
          </w:p>
        </w:tc>
        <w:tc>
          <w:tcPr>
            <w:tcW w:w="1091" w:type="dxa"/>
            <w:vMerge w:val="continue"/>
            <w:noWrap w:val="0"/>
            <w:vAlign w:val="center"/>
          </w:tcPr>
          <w:p w14:paraId="5ECD4ACF">
            <w:pPr>
              <w:widowControl/>
              <w:spacing w:line="360" w:lineRule="auto"/>
              <w:jc w:val="left"/>
              <w:rPr>
                <w:rFonts w:hint="eastAsia" w:ascii="宋体" w:hAnsi="宋体" w:eastAsia="宋体" w:cs="宋体"/>
                <w:color w:val="auto"/>
                <w:sz w:val="21"/>
                <w:szCs w:val="21"/>
                <w:highlight w:val="none"/>
              </w:rPr>
            </w:pPr>
          </w:p>
        </w:tc>
        <w:tc>
          <w:tcPr>
            <w:tcW w:w="1545" w:type="dxa"/>
            <w:noWrap w:val="0"/>
            <w:vAlign w:val="center"/>
          </w:tcPr>
          <w:p w14:paraId="6577134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其他要求</w:t>
            </w:r>
          </w:p>
        </w:tc>
        <w:tc>
          <w:tcPr>
            <w:tcW w:w="6132" w:type="dxa"/>
            <w:noWrap w:val="0"/>
            <w:vAlign w:val="center"/>
          </w:tcPr>
          <w:p w14:paraId="67EEA889">
            <w:pPr>
              <w:widowControl/>
              <w:spacing w:line="360" w:lineRule="auto"/>
              <w:ind w:left="0" w:leftChars="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文件规定</w:t>
            </w:r>
          </w:p>
        </w:tc>
      </w:tr>
      <w:tr w14:paraId="11EF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9565" w:type="dxa"/>
            <w:gridSpan w:val="4"/>
            <w:noWrap w:val="0"/>
            <w:vAlign w:val="center"/>
          </w:tcPr>
          <w:p w14:paraId="5A469141">
            <w:pPr>
              <w:widowControl/>
              <w:spacing w:line="360" w:lineRule="auto"/>
              <w:ind w:left="0" w:leftChars="0" w:firstLine="0" w:firstLineChars="0"/>
              <w:jc w:val="left"/>
              <w:rPr>
                <w:rFonts w:hint="eastAsia" w:ascii="宋体" w:hAnsi="宋体" w:eastAsia="宋体" w:cs="宋体"/>
                <w:color w:val="auto"/>
                <w:kern w:val="0"/>
                <w:sz w:val="21"/>
                <w:szCs w:val="21"/>
                <w:highlight w:val="none"/>
                <w:lang w:eastAsia="zh-CN"/>
              </w:rPr>
            </w:pPr>
            <w:bookmarkStart w:id="866" w:name="_Toc31578"/>
            <w:bookmarkStart w:id="867" w:name="_Toc152045600"/>
            <w:bookmarkStart w:id="868" w:name="_Toc318450722"/>
            <w:bookmarkStart w:id="869" w:name="_Toc281405528"/>
            <w:bookmarkStart w:id="870" w:name="_Toc144974567"/>
            <w:bookmarkStart w:id="871" w:name="_Toc152042377"/>
            <w:r>
              <w:rPr>
                <w:rFonts w:hint="eastAsia" w:ascii="宋体" w:hAnsi="宋体" w:eastAsia="宋体" w:cs="宋体"/>
                <w:b/>
                <w:bCs/>
                <w:color w:val="auto"/>
                <w:kern w:val="0"/>
                <w:sz w:val="21"/>
                <w:szCs w:val="21"/>
                <w:highlight w:val="none"/>
              </w:rPr>
              <w:t>标书雷同性分析</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文件制作机器码、文件创建标识码有相同的按废标处理</w:t>
            </w:r>
            <w:r>
              <w:rPr>
                <w:rFonts w:hint="eastAsia" w:ascii="宋体" w:hAnsi="宋体" w:eastAsia="宋体" w:cs="宋体"/>
                <w:b/>
                <w:bCs/>
                <w:color w:val="auto"/>
                <w:kern w:val="0"/>
                <w:sz w:val="21"/>
                <w:szCs w:val="21"/>
                <w:highlight w:val="none"/>
                <w:lang w:eastAsia="zh-CN"/>
              </w:rPr>
              <w:t>。</w:t>
            </w:r>
          </w:p>
        </w:tc>
      </w:tr>
      <w:tr w14:paraId="0053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1888" w:type="dxa"/>
            <w:gridSpan w:val="2"/>
            <w:noWrap w:val="0"/>
            <w:vAlign w:val="center"/>
          </w:tcPr>
          <w:p w14:paraId="2FDC21EF">
            <w:pPr>
              <w:spacing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1545" w:type="dxa"/>
            <w:noWrap w:val="0"/>
            <w:vAlign w:val="center"/>
          </w:tcPr>
          <w:p w14:paraId="18689203">
            <w:pPr>
              <w:spacing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分值构成</w:t>
            </w:r>
          </w:p>
          <w:p w14:paraId="03715F55">
            <w:pPr>
              <w:spacing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（100分）</w:t>
            </w:r>
          </w:p>
        </w:tc>
        <w:tc>
          <w:tcPr>
            <w:tcW w:w="6132" w:type="dxa"/>
            <w:noWrap w:val="0"/>
            <w:vAlign w:val="center"/>
          </w:tcPr>
          <w:p w14:paraId="3373382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商务部分</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14:paraId="2AA9866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技术部分：</w:t>
            </w:r>
            <w:r>
              <w:rPr>
                <w:rFonts w:hint="eastAsia" w:ascii="宋体" w:hAnsi="宋体" w:eastAsia="宋体" w:cs="宋体"/>
                <w:color w:val="auto"/>
                <w:sz w:val="21"/>
                <w:szCs w:val="21"/>
                <w:highlight w:val="none"/>
                <w:lang w:val="en-US" w:eastAsia="zh-CN"/>
              </w:rPr>
              <w:t>70</w:t>
            </w:r>
            <w:r>
              <w:rPr>
                <w:rFonts w:hint="eastAsia" w:ascii="宋体" w:hAnsi="宋体" w:eastAsia="宋体" w:cs="宋体"/>
                <w:color w:val="auto"/>
                <w:sz w:val="21"/>
                <w:szCs w:val="21"/>
                <w:highlight w:val="none"/>
              </w:rPr>
              <w:t>分</w:t>
            </w:r>
          </w:p>
          <w:p w14:paraId="76E65A9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综合部分：</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分</w:t>
            </w:r>
          </w:p>
        </w:tc>
      </w:tr>
      <w:tr w14:paraId="6DBF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888" w:type="dxa"/>
            <w:gridSpan w:val="2"/>
            <w:noWrap w:val="0"/>
            <w:vAlign w:val="center"/>
          </w:tcPr>
          <w:p w14:paraId="5E2C1864">
            <w:pPr>
              <w:keepNext w:val="0"/>
              <w:keepLines w:val="0"/>
              <w:pageBreakBefore w:val="0"/>
              <w:widowControl w:val="0"/>
              <w:kinsoku/>
              <w:wordWrap/>
              <w:overflowPunct/>
              <w:topLinePunct w:val="0"/>
              <w:autoSpaceDE/>
              <w:autoSpaceDN/>
              <w:bidi w:val="0"/>
              <w:adjustRightInd/>
              <w:snapToGrid/>
              <w:spacing w:line="360" w:lineRule="auto"/>
              <w:ind w:left="0" w:leftChars="0" w:firstLine="10" w:firstLine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1545" w:type="dxa"/>
            <w:noWrap w:val="0"/>
            <w:vAlign w:val="center"/>
          </w:tcPr>
          <w:p w14:paraId="52B35E3E">
            <w:pPr>
              <w:keepNext w:val="0"/>
              <w:keepLines w:val="0"/>
              <w:pageBreakBefore w:val="0"/>
              <w:widowControl w:val="0"/>
              <w:kinsoku/>
              <w:wordWrap/>
              <w:overflowPunct/>
              <w:topLinePunct w:val="0"/>
              <w:autoSpaceDE/>
              <w:autoSpaceDN/>
              <w:bidi w:val="0"/>
              <w:adjustRightInd/>
              <w:snapToGrid/>
              <w:spacing w:line="360" w:lineRule="auto"/>
              <w:ind w:left="0" w:leftChars="0" w:firstLine="10" w:firstLine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评分因素</w:t>
            </w:r>
          </w:p>
        </w:tc>
        <w:tc>
          <w:tcPr>
            <w:tcW w:w="6132" w:type="dxa"/>
            <w:noWrap w:val="0"/>
            <w:vAlign w:val="center"/>
          </w:tcPr>
          <w:p w14:paraId="0BD1C54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评分标准</w:t>
            </w:r>
          </w:p>
        </w:tc>
      </w:tr>
      <w:tr w14:paraId="4D82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797" w:type="dxa"/>
            <w:noWrap w:val="0"/>
            <w:vAlign w:val="center"/>
          </w:tcPr>
          <w:p w14:paraId="4CFBDA7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w:t>
            </w:r>
          </w:p>
        </w:tc>
        <w:tc>
          <w:tcPr>
            <w:tcW w:w="1091" w:type="dxa"/>
            <w:noWrap w:val="0"/>
            <w:vAlign w:val="center"/>
          </w:tcPr>
          <w:p w14:paraId="4088BB18">
            <w:pPr>
              <w:keepNext w:val="0"/>
              <w:keepLines w:val="0"/>
              <w:pageBreakBefore w:val="0"/>
              <w:widowControl w:val="0"/>
              <w:kinsoku/>
              <w:wordWrap/>
              <w:overflowPunct/>
              <w:topLinePunct w:val="0"/>
              <w:autoSpaceDE/>
              <w:autoSpaceDN/>
              <w:bidi w:val="0"/>
              <w:adjustRightInd/>
              <w:snapToGrid/>
              <w:spacing w:line="360" w:lineRule="auto"/>
              <w:ind w:left="0" w:leftChars="0" w:firstLine="10" w:firstLineChars="5"/>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商务</w:t>
            </w:r>
            <w:r>
              <w:rPr>
                <w:rFonts w:hint="eastAsia" w:ascii="宋体" w:hAnsi="宋体" w:eastAsia="宋体" w:cs="宋体"/>
                <w:color w:val="auto"/>
                <w:sz w:val="21"/>
                <w:szCs w:val="21"/>
                <w:highlight w:val="none"/>
                <w:lang w:val="en-US" w:eastAsia="zh-CN"/>
              </w:rPr>
              <w:t>部分</w:t>
            </w:r>
          </w:p>
          <w:p w14:paraId="274F8A61">
            <w:pPr>
              <w:keepNext w:val="0"/>
              <w:keepLines w:val="0"/>
              <w:pageBreakBefore w:val="0"/>
              <w:widowControl w:val="0"/>
              <w:kinsoku/>
              <w:wordWrap/>
              <w:overflowPunct/>
              <w:topLinePunct w:val="0"/>
              <w:autoSpaceDE/>
              <w:autoSpaceDN/>
              <w:bidi w:val="0"/>
              <w:adjustRightInd/>
              <w:snapToGrid/>
              <w:spacing w:line="360" w:lineRule="auto"/>
              <w:ind w:left="0" w:leftChars="0" w:firstLine="10" w:firstLine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（10分）</w:t>
            </w:r>
          </w:p>
        </w:tc>
        <w:tc>
          <w:tcPr>
            <w:tcW w:w="1545" w:type="dxa"/>
            <w:noWrap w:val="0"/>
            <w:vAlign w:val="center"/>
          </w:tcPr>
          <w:p w14:paraId="5CF137A2">
            <w:pPr>
              <w:keepNext w:val="0"/>
              <w:keepLines w:val="0"/>
              <w:pageBreakBefore w:val="0"/>
              <w:widowControl w:val="0"/>
              <w:kinsoku/>
              <w:wordWrap/>
              <w:overflowPunct/>
              <w:topLinePunct w:val="0"/>
              <w:autoSpaceDE/>
              <w:autoSpaceDN/>
              <w:bidi w:val="0"/>
              <w:adjustRightInd/>
              <w:snapToGrid/>
              <w:spacing w:line="360" w:lineRule="auto"/>
              <w:ind w:left="0" w:leftChars="0" w:firstLine="10" w:firstLineChars="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磋商报价得分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6132" w:type="dxa"/>
            <w:noWrap w:val="0"/>
            <w:vAlign w:val="center"/>
          </w:tcPr>
          <w:p w14:paraId="65B0342D">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eastAsia="宋体" w:cs="宋体"/>
                <w:highlight w:val="none"/>
                <w:lang w:val="zh-CN" w:eastAsia="zh-CN"/>
              </w:rPr>
            </w:pPr>
            <w:r>
              <w:rPr>
                <w:rFonts w:hint="eastAsia" w:ascii="宋体" w:hAnsi="宋体" w:eastAsia="宋体" w:cs="宋体"/>
                <w:highlight w:val="none"/>
                <w:lang w:val="zh-CN" w:eastAsia="zh-CN"/>
              </w:rPr>
              <w:t>价格分统一采用低价优先法计算，即满足</w:t>
            </w:r>
            <w:r>
              <w:rPr>
                <w:rFonts w:hint="eastAsia" w:ascii="宋体" w:hAnsi="宋体" w:eastAsia="宋体" w:cs="宋体"/>
                <w:highlight w:val="none"/>
                <w:lang w:val="en-US" w:eastAsia="zh-CN"/>
              </w:rPr>
              <w:t>磋商</w:t>
            </w:r>
            <w:r>
              <w:rPr>
                <w:rFonts w:hint="eastAsia" w:ascii="宋体" w:hAnsi="宋体" w:eastAsia="宋体" w:cs="宋体"/>
                <w:highlight w:val="none"/>
                <w:lang w:val="zh-CN" w:eastAsia="zh-CN"/>
              </w:rPr>
              <w:t>文件要求且投标价格最低的投标报价为评标基准价，其价格分为满分</w:t>
            </w:r>
            <w:r>
              <w:rPr>
                <w:rFonts w:hint="eastAsia" w:ascii="宋体" w:hAnsi="宋体" w:eastAsia="宋体" w:cs="宋体"/>
                <w:highlight w:val="none"/>
                <w:lang w:val="en-US" w:eastAsia="zh-CN"/>
              </w:rPr>
              <w:t>10</w:t>
            </w:r>
            <w:r>
              <w:rPr>
                <w:rFonts w:hint="eastAsia" w:ascii="宋体" w:hAnsi="宋体" w:eastAsia="宋体" w:cs="宋体"/>
                <w:highlight w:val="none"/>
                <w:lang w:val="zh-CN" w:eastAsia="zh-CN"/>
              </w:rPr>
              <w:t>分。其他投标供应商的价格分统一按照下列公式计算：</w:t>
            </w:r>
          </w:p>
          <w:p w14:paraId="0F977435">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zh-CN" w:eastAsia="zh-CN"/>
              </w:rPr>
              <w:t>投标报价得分=(评标基准价／投标报价)×</w:t>
            </w:r>
            <w:r>
              <w:rPr>
                <w:rFonts w:hint="eastAsia" w:ascii="宋体" w:hAnsi="宋体" w:eastAsia="宋体" w:cs="宋体"/>
                <w:highlight w:val="none"/>
                <w:lang w:val="en-US" w:eastAsia="zh-CN"/>
              </w:rPr>
              <w:t>10</w:t>
            </w:r>
          </w:p>
          <w:p w14:paraId="48909025">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注：</w:t>
            </w:r>
          </w:p>
          <w:p w14:paraId="3EB08516">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1.价格分计算保留小数点后二位；</w:t>
            </w:r>
          </w:p>
          <w:p w14:paraId="610D8DC1">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2.本项目投标报价为供应商给予本项目招标控制价的优惠率。</w:t>
            </w:r>
          </w:p>
          <w:p w14:paraId="5516815D">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3.超过磋商最高限价的磋商报价采购人不予接受,按无效响应处理。</w:t>
            </w:r>
          </w:p>
          <w:p w14:paraId="1CF1FC50">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4.优惠政策：对小微企业的投标报价给予20%的扣除，用扣除后的价格参与评审。【供应商提供的服务享受本办法规定的中小企业扶持政策，并提供中小企业声明函。符合小微企业、监狱企业、残疾人福利单位政策扶持规定的根据《政府采购促进中小企业发展管理办法》(财库[2020]46 号)规定，对小型和微型企业产品的价格给予20%的扣除。</w:t>
            </w:r>
            <w:r>
              <w:rPr>
                <w:rFonts w:hint="eastAsia" w:ascii="宋体" w:hAnsi="宋体" w:eastAsia="宋体" w:cs="宋体"/>
                <w:b/>
                <w:bCs/>
                <w:highlight w:val="none"/>
                <w:lang w:val="zh-CN" w:eastAsia="zh-CN"/>
              </w:rPr>
              <w:t>（非专门面向中小企业适用）</w:t>
            </w:r>
            <w:r>
              <w:rPr>
                <w:rFonts w:hint="eastAsia" w:ascii="宋体" w:hAnsi="宋体" w:eastAsia="宋体" w:cs="宋体"/>
                <w:highlight w:val="none"/>
                <w:lang w:val="en-US" w:eastAsia="zh-CN"/>
              </w:rPr>
              <w:t>】</w:t>
            </w:r>
          </w:p>
          <w:p w14:paraId="0E21D2A8">
            <w:pPr>
              <w:keepNext w:val="0"/>
              <w:keepLines w:val="0"/>
              <w:pageBreakBefore w:val="0"/>
              <w:widowControl w:val="0"/>
              <w:kinsoku/>
              <w:wordWrap/>
              <w:overflowPunct/>
              <w:topLinePunct w:val="0"/>
              <w:bidi w:val="0"/>
              <w:snapToGrid/>
              <w:spacing w:line="360" w:lineRule="auto"/>
              <w:ind w:left="0" w:leftChars="0" w:firstLine="0" w:firstLineChars="0"/>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5.供应商报价不得低于成本价：供应商的报价明显低于其他通过符合性审查投标供应商的报价，有可能影响服务质量或者不能诚信履约的，磋商小组应当要求其在评标现场（或电子交易系统）合理的时间内提供书面说明（或电子澄清说明文件），必要时提交相关证明材料；供应商未能在规定期限内作出证明其报价合理性的，经磋商小组取得一致意见后，其报价不作为评分依据且应当将其作为无效投标处理。</w:t>
            </w:r>
          </w:p>
          <w:p w14:paraId="47ED65C2">
            <w:pPr>
              <w:keepNext w:val="0"/>
              <w:keepLines w:val="0"/>
              <w:pageBreakBefore w:val="0"/>
              <w:widowControl w:val="0"/>
              <w:kinsoku/>
              <w:wordWrap/>
              <w:overflowPunct/>
              <w:topLinePunct w:val="0"/>
              <w:bidi w:val="0"/>
              <w:snapToGrid/>
              <w:spacing w:line="360" w:lineRule="auto"/>
              <w:ind w:left="0" w:leftChars="0" w:firstLine="0" w:firstLineChars="0"/>
              <w:textAlignment w:val="auto"/>
              <w:rPr>
                <w:rFonts w:hint="eastAsia" w:ascii="宋体" w:hAnsi="宋体" w:eastAsia="宋体" w:cs="宋体"/>
                <w:highlight w:val="none"/>
                <w:lang w:val="en-US" w:eastAsia="zh-CN"/>
              </w:rPr>
            </w:pPr>
            <w:r>
              <w:rPr>
                <w:rFonts w:hint="eastAsia" w:ascii="宋体" w:hAnsi="宋体" w:eastAsia="宋体" w:cs="宋体"/>
                <w:b/>
                <w:bCs/>
                <w:highlight w:val="none"/>
                <w:lang w:val="en-US" w:eastAsia="zh-CN"/>
              </w:rPr>
              <w:t>6.报价应以公平、合理且对采购人有利为原则。报价是综合打分的依据之一，但不是唯一依据，也不是决定性因素。</w:t>
            </w:r>
          </w:p>
        </w:tc>
      </w:tr>
      <w:tr w14:paraId="210D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797" w:type="dxa"/>
            <w:vMerge w:val="restart"/>
            <w:noWrap w:val="0"/>
            <w:vAlign w:val="center"/>
          </w:tcPr>
          <w:p w14:paraId="229BD1D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p>
        </w:tc>
        <w:tc>
          <w:tcPr>
            <w:tcW w:w="1091" w:type="dxa"/>
            <w:vMerge w:val="restart"/>
            <w:noWrap w:val="0"/>
            <w:vAlign w:val="center"/>
          </w:tcPr>
          <w:p w14:paraId="749360D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技术部分（</w:t>
            </w:r>
            <w:r>
              <w:rPr>
                <w:rFonts w:hint="eastAsia" w:ascii="宋体" w:hAnsi="宋体" w:eastAsia="宋体" w:cs="宋体"/>
                <w:bCs/>
                <w:color w:val="auto"/>
                <w:sz w:val="21"/>
                <w:szCs w:val="21"/>
                <w:highlight w:val="none"/>
                <w:lang w:val="en-US" w:eastAsia="zh-CN"/>
              </w:rPr>
              <w:t>70</w:t>
            </w:r>
            <w:r>
              <w:rPr>
                <w:rFonts w:hint="eastAsia" w:ascii="宋体" w:hAnsi="宋体" w:eastAsia="宋体" w:cs="宋体"/>
                <w:bCs/>
                <w:color w:val="auto"/>
                <w:sz w:val="21"/>
                <w:szCs w:val="21"/>
                <w:highlight w:val="none"/>
              </w:rPr>
              <w:t>分）</w:t>
            </w:r>
          </w:p>
        </w:tc>
        <w:tc>
          <w:tcPr>
            <w:tcW w:w="1545" w:type="dxa"/>
            <w:noWrap w:val="0"/>
            <w:vAlign w:val="center"/>
          </w:tcPr>
          <w:p w14:paraId="4B5557DC">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整体服务方案（20分）</w:t>
            </w:r>
          </w:p>
        </w:tc>
        <w:tc>
          <w:tcPr>
            <w:tcW w:w="6132" w:type="dxa"/>
            <w:noWrap w:val="0"/>
            <w:vAlign w:val="center"/>
          </w:tcPr>
          <w:p w14:paraId="712593FF">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1.总体服务方案内容详实、科学、合理，考虑周全，对服务的内容措施要求全面到位、服务的形式、质量、解决问题时间、中标后如何组织维修业务、服务流程是否合理、如何保证质量按期完工等相关服务承诺内容详实，人员配备齐全，分工明确、岗位设置科学合理，设备配备齐全、先进，得20分。</w:t>
            </w:r>
          </w:p>
          <w:p w14:paraId="056E1680">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2.总体服务方案内容详实、考虑较全，对服务的内容措施要求到位、服务的形式、质量、解决问题时间等相关服务承诺明确，人员配备齐全、设备配备齐全，得14分。 </w:t>
            </w:r>
          </w:p>
          <w:p w14:paraId="3A4E0E32">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3.总体服务方案内容表述一般，对服务内容措施要求等表述简单，相关服务承诺简单，人员配备、设备配备简单，得8分。 </w:t>
            </w:r>
          </w:p>
          <w:p w14:paraId="769795D8">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4.未提供者不得分。 </w:t>
            </w:r>
          </w:p>
        </w:tc>
      </w:tr>
      <w:tr w14:paraId="17C1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97" w:type="dxa"/>
            <w:vMerge w:val="continue"/>
            <w:noWrap w:val="0"/>
            <w:vAlign w:val="center"/>
          </w:tcPr>
          <w:p w14:paraId="0109D7B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p>
        </w:tc>
        <w:tc>
          <w:tcPr>
            <w:tcW w:w="1091" w:type="dxa"/>
            <w:vMerge w:val="continue"/>
            <w:noWrap w:val="0"/>
            <w:vAlign w:val="center"/>
          </w:tcPr>
          <w:p w14:paraId="42747CA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Cs/>
                <w:color w:val="auto"/>
                <w:sz w:val="21"/>
                <w:szCs w:val="21"/>
                <w:highlight w:val="none"/>
              </w:rPr>
            </w:pPr>
          </w:p>
        </w:tc>
        <w:tc>
          <w:tcPr>
            <w:tcW w:w="1545" w:type="dxa"/>
            <w:noWrap w:val="0"/>
            <w:vAlign w:val="center"/>
          </w:tcPr>
          <w:p w14:paraId="15427B80">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服务响应保证措施方案</w:t>
            </w:r>
          </w:p>
          <w:p w14:paraId="7A6B5E3C">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（10分）</w:t>
            </w:r>
          </w:p>
        </w:tc>
        <w:tc>
          <w:tcPr>
            <w:tcW w:w="6132" w:type="dxa"/>
            <w:noWrap w:val="0"/>
            <w:vAlign w:val="center"/>
          </w:tcPr>
          <w:p w14:paraId="33CC1861">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1.服务响应时间及时性承诺及保证措施方案，响应时间及措施方案及时、合理、实用、内容详实，考虑周全，得10分。</w:t>
            </w:r>
          </w:p>
          <w:p w14:paraId="5073349F">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2.服务响应时间及时性承诺及保证措施方案，响应时间及措施方案考虑较全，得6分。 </w:t>
            </w:r>
          </w:p>
          <w:p w14:paraId="27931D44">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3.服务响应时间及时性承诺及保证措施方案，响应时间内容方案表述简单，得2分。 </w:t>
            </w:r>
          </w:p>
          <w:p w14:paraId="22AFDB69">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4.未提供者不得分。 </w:t>
            </w:r>
          </w:p>
        </w:tc>
      </w:tr>
      <w:tr w14:paraId="1294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97" w:type="dxa"/>
            <w:vMerge w:val="continue"/>
            <w:noWrap w:val="0"/>
            <w:vAlign w:val="center"/>
          </w:tcPr>
          <w:p w14:paraId="60646E6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p>
        </w:tc>
        <w:tc>
          <w:tcPr>
            <w:tcW w:w="1091" w:type="dxa"/>
            <w:vMerge w:val="continue"/>
            <w:noWrap w:val="0"/>
            <w:vAlign w:val="center"/>
          </w:tcPr>
          <w:p w14:paraId="2367CEF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Cs/>
                <w:color w:val="auto"/>
                <w:sz w:val="21"/>
                <w:szCs w:val="21"/>
                <w:highlight w:val="none"/>
              </w:rPr>
            </w:pPr>
          </w:p>
        </w:tc>
        <w:tc>
          <w:tcPr>
            <w:tcW w:w="1545" w:type="dxa"/>
            <w:noWrap w:val="0"/>
            <w:vAlign w:val="center"/>
          </w:tcPr>
          <w:p w14:paraId="526FE708">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服务质量保证措施方案</w:t>
            </w:r>
          </w:p>
          <w:p w14:paraId="3544F5AC">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（10分）</w:t>
            </w:r>
          </w:p>
        </w:tc>
        <w:tc>
          <w:tcPr>
            <w:tcW w:w="6132" w:type="dxa"/>
            <w:noWrap w:val="0"/>
            <w:vAlign w:val="center"/>
          </w:tcPr>
          <w:p w14:paraId="346B70FD">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1.有完善、详细、具体、合理、可行实用的服务质量保证措施方案，内容详实、考虑周全，方案完整、可行性强，得10分； </w:t>
            </w:r>
          </w:p>
          <w:p w14:paraId="028E5514">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2.服务质量保证措施方案，内容详实、考虑较全，得6分； </w:t>
            </w:r>
          </w:p>
          <w:p w14:paraId="60A1D47E">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3.服务质量保证措施方案，内容表述简单，方案不完整、可行性不强，得2分；</w:t>
            </w:r>
          </w:p>
          <w:p w14:paraId="21362B7D">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4.未提供者不得分。</w:t>
            </w:r>
          </w:p>
        </w:tc>
      </w:tr>
      <w:tr w14:paraId="78D1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97" w:type="dxa"/>
            <w:vMerge w:val="continue"/>
            <w:noWrap w:val="0"/>
            <w:vAlign w:val="center"/>
          </w:tcPr>
          <w:p w14:paraId="24C9B18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p>
        </w:tc>
        <w:tc>
          <w:tcPr>
            <w:tcW w:w="1091" w:type="dxa"/>
            <w:vMerge w:val="continue"/>
            <w:noWrap w:val="0"/>
            <w:vAlign w:val="center"/>
          </w:tcPr>
          <w:p w14:paraId="4ACDDF1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Cs/>
                <w:color w:val="auto"/>
                <w:sz w:val="21"/>
                <w:szCs w:val="21"/>
                <w:highlight w:val="none"/>
              </w:rPr>
            </w:pPr>
          </w:p>
        </w:tc>
        <w:tc>
          <w:tcPr>
            <w:tcW w:w="1545" w:type="dxa"/>
            <w:noWrap w:val="0"/>
            <w:vAlign w:val="center"/>
          </w:tcPr>
          <w:p w14:paraId="38B14369">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组织及人员配备方案</w:t>
            </w:r>
          </w:p>
          <w:p w14:paraId="7EDB834D">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（8分）</w:t>
            </w:r>
          </w:p>
        </w:tc>
        <w:tc>
          <w:tcPr>
            <w:tcW w:w="6132" w:type="dxa"/>
            <w:noWrap w:val="0"/>
            <w:vAlign w:val="center"/>
          </w:tcPr>
          <w:p w14:paraId="058F6541">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根据供应商拟投入的技术维修、维护小组人员数量和职责分工（包括但不限于工作组织机构设置、职责分工、以及人员在各污水处理厂区的部署情况），能有效地保证项目的顺利运作，并设置有专职值班岗位和值班电话等确保维修服务能够及时、迅速进行的保证措施方案。</w:t>
            </w:r>
          </w:p>
          <w:p w14:paraId="6BAB8338">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1.工作组织机构设置合理，人员数量和职责分工能够完全满足需求，</w:t>
            </w:r>
            <w:r>
              <w:rPr>
                <w:rFonts w:hint="eastAsia" w:ascii="宋体" w:hAnsi="宋体" w:eastAsia="宋体" w:cs="宋体"/>
                <w:sz w:val="21"/>
                <w:szCs w:val="21"/>
                <w:highlight w:val="none"/>
                <w:lang w:eastAsia="zh-TW"/>
              </w:rPr>
              <w:t>方案</w:t>
            </w:r>
            <w:r>
              <w:rPr>
                <w:rFonts w:hint="eastAsia" w:ascii="宋体" w:hAnsi="宋体" w:eastAsia="宋体" w:cs="宋体"/>
                <w:sz w:val="21"/>
                <w:szCs w:val="21"/>
                <w:highlight w:val="none"/>
                <w:lang w:val="en-US" w:eastAsia="zh-CN"/>
              </w:rPr>
              <w:t>内容</w:t>
            </w:r>
            <w:r>
              <w:rPr>
                <w:rFonts w:hint="eastAsia" w:ascii="宋体" w:hAnsi="宋体" w:eastAsia="宋体" w:cs="宋体"/>
                <w:sz w:val="21"/>
                <w:szCs w:val="21"/>
                <w:highlight w:val="none"/>
                <w:lang w:eastAsia="zh-TW"/>
              </w:rPr>
              <w:t>完整、详实、可行性强</w:t>
            </w:r>
            <w:r>
              <w:rPr>
                <w:rFonts w:hint="eastAsia" w:ascii="宋体" w:hAnsi="宋体" w:eastAsia="宋体" w:cs="宋体"/>
                <w:highlight w:val="none"/>
                <w:lang w:val="en-US" w:eastAsia="zh-CN"/>
              </w:rPr>
              <w:t>的，得8分；</w:t>
            </w:r>
          </w:p>
          <w:p w14:paraId="2E486278">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2.工作组织机构设置较合理，人员数量不能满足需求，但承诺中标后一个月内可组建完成，</w:t>
            </w:r>
            <w:r>
              <w:rPr>
                <w:rFonts w:hint="eastAsia" w:ascii="宋体" w:hAnsi="宋体" w:eastAsia="宋体" w:cs="宋体"/>
                <w:sz w:val="21"/>
                <w:szCs w:val="21"/>
                <w:highlight w:val="none"/>
                <w:lang w:eastAsia="zh-TW"/>
              </w:rPr>
              <w:t>方案</w:t>
            </w:r>
            <w:r>
              <w:rPr>
                <w:rFonts w:hint="eastAsia" w:ascii="宋体" w:hAnsi="宋体" w:eastAsia="宋体" w:cs="宋体"/>
                <w:sz w:val="21"/>
                <w:szCs w:val="21"/>
                <w:highlight w:val="none"/>
                <w:lang w:val="en-US" w:eastAsia="zh-CN"/>
              </w:rPr>
              <w:t>内容</w:t>
            </w:r>
            <w:r>
              <w:rPr>
                <w:rFonts w:hint="eastAsia" w:ascii="宋体" w:hAnsi="宋体" w:eastAsia="宋体" w:cs="宋体"/>
                <w:sz w:val="21"/>
                <w:szCs w:val="21"/>
                <w:highlight w:val="none"/>
              </w:rPr>
              <w:t>内容详实、考虑较全</w:t>
            </w:r>
            <w:r>
              <w:rPr>
                <w:rFonts w:hint="eastAsia" w:ascii="宋体" w:hAnsi="宋体" w:eastAsia="宋体" w:cs="宋体"/>
                <w:highlight w:val="none"/>
                <w:lang w:val="en-US" w:eastAsia="zh-CN"/>
              </w:rPr>
              <w:t>的，得5分；</w:t>
            </w:r>
          </w:p>
          <w:p w14:paraId="1FC7B02A">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3.工作组织机构设置、人员数量、职责分工有欠缺，</w:t>
            </w:r>
            <w:r>
              <w:rPr>
                <w:rFonts w:hint="eastAsia" w:ascii="宋体" w:hAnsi="宋体" w:eastAsia="宋体" w:cs="宋体"/>
                <w:sz w:val="21"/>
                <w:szCs w:val="21"/>
                <w:highlight w:val="none"/>
                <w:lang w:eastAsia="zh-TW"/>
              </w:rPr>
              <w:t>方案</w:t>
            </w:r>
            <w:r>
              <w:rPr>
                <w:rFonts w:hint="eastAsia" w:ascii="宋体" w:hAnsi="宋体" w:eastAsia="宋体" w:cs="宋体"/>
                <w:sz w:val="21"/>
                <w:szCs w:val="21"/>
                <w:highlight w:val="none"/>
                <w:lang w:val="en-US" w:eastAsia="zh-CN"/>
              </w:rPr>
              <w:t>内容</w:t>
            </w:r>
            <w:r>
              <w:rPr>
                <w:rFonts w:hint="eastAsia" w:ascii="宋体" w:hAnsi="宋体" w:eastAsia="宋体" w:cs="宋体"/>
                <w:sz w:val="21"/>
                <w:szCs w:val="21"/>
                <w:highlight w:val="none"/>
              </w:rPr>
              <w:t>内容表述简单，不完整、可行性不强</w:t>
            </w:r>
            <w:r>
              <w:rPr>
                <w:rFonts w:hint="eastAsia" w:ascii="宋体" w:hAnsi="宋体" w:eastAsia="宋体" w:cs="宋体"/>
                <w:highlight w:val="none"/>
                <w:lang w:val="en-US" w:eastAsia="zh-CN"/>
              </w:rPr>
              <w:t>的，得2分；</w:t>
            </w:r>
          </w:p>
          <w:p w14:paraId="56B3DC11">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4.未提供者不得分。</w:t>
            </w:r>
          </w:p>
        </w:tc>
      </w:tr>
      <w:tr w14:paraId="7738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7" w:type="dxa"/>
            <w:vMerge w:val="continue"/>
            <w:noWrap w:val="0"/>
            <w:vAlign w:val="center"/>
          </w:tcPr>
          <w:p w14:paraId="305E295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p>
        </w:tc>
        <w:tc>
          <w:tcPr>
            <w:tcW w:w="1091" w:type="dxa"/>
            <w:vMerge w:val="continue"/>
            <w:noWrap w:val="0"/>
            <w:vAlign w:val="center"/>
          </w:tcPr>
          <w:p w14:paraId="7B20349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Cs/>
                <w:color w:val="auto"/>
                <w:sz w:val="21"/>
                <w:szCs w:val="21"/>
                <w:highlight w:val="none"/>
              </w:rPr>
            </w:pPr>
          </w:p>
        </w:tc>
        <w:tc>
          <w:tcPr>
            <w:tcW w:w="1545" w:type="dxa"/>
            <w:noWrap w:val="0"/>
            <w:vAlign w:val="center"/>
          </w:tcPr>
          <w:p w14:paraId="346E0239">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巡检方案</w:t>
            </w:r>
          </w:p>
          <w:p w14:paraId="1E086817">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（8分）</w:t>
            </w:r>
          </w:p>
        </w:tc>
        <w:tc>
          <w:tcPr>
            <w:tcW w:w="6132" w:type="dxa"/>
            <w:noWrap w:val="0"/>
            <w:vAlign w:val="center"/>
          </w:tcPr>
          <w:p w14:paraId="36A4B698">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根据供应商巡检方案的完整性和适用性，是否有详细的巡检、维护制度等进行评分。 </w:t>
            </w:r>
          </w:p>
          <w:p w14:paraId="11DC0F79">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1.巡检方案、制度内容完整、准确详实、全面合理、逻辑清晰、可行性程度高的，得8分；</w:t>
            </w:r>
          </w:p>
          <w:p w14:paraId="0AAE5638">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2.巡检方案、制度内容完整、合理、考虑较全、具有可操作性的，得5分；</w:t>
            </w:r>
          </w:p>
          <w:p w14:paraId="5376D31A">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3.巡检方案、制度内容基本完整、可操作性一般、可行性不强的，得2分；</w:t>
            </w:r>
          </w:p>
          <w:p w14:paraId="01132F16">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4.未提供者不得分。</w:t>
            </w:r>
          </w:p>
        </w:tc>
      </w:tr>
      <w:tr w14:paraId="0408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97" w:type="dxa"/>
            <w:vMerge w:val="continue"/>
            <w:noWrap w:val="0"/>
            <w:vAlign w:val="center"/>
          </w:tcPr>
          <w:p w14:paraId="11D387D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p>
        </w:tc>
        <w:tc>
          <w:tcPr>
            <w:tcW w:w="1091" w:type="dxa"/>
            <w:vMerge w:val="continue"/>
            <w:noWrap w:val="0"/>
            <w:vAlign w:val="center"/>
          </w:tcPr>
          <w:p w14:paraId="79B45FE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Cs/>
                <w:color w:val="auto"/>
                <w:sz w:val="21"/>
                <w:szCs w:val="21"/>
                <w:highlight w:val="none"/>
              </w:rPr>
            </w:pPr>
          </w:p>
        </w:tc>
        <w:tc>
          <w:tcPr>
            <w:tcW w:w="1545" w:type="dxa"/>
            <w:noWrap w:val="0"/>
            <w:vAlign w:val="center"/>
          </w:tcPr>
          <w:p w14:paraId="7321D606">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应急情况处理方案及措施</w:t>
            </w:r>
          </w:p>
          <w:p w14:paraId="18F0278A">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（8分）</w:t>
            </w:r>
          </w:p>
        </w:tc>
        <w:tc>
          <w:tcPr>
            <w:tcW w:w="6132" w:type="dxa"/>
            <w:noWrap w:val="0"/>
            <w:vAlign w:val="center"/>
          </w:tcPr>
          <w:p w14:paraId="1D0B7CB5">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1.提供具备完整、规范的安全管理和应急方案，并有充足的应急资源储备及较强的应急调配响应能力，内容详实、考虑周全，方案完整、可行性强，得8分； </w:t>
            </w:r>
          </w:p>
          <w:p w14:paraId="19A5F746">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2.应急情况处理方案及措施，内容详实、考虑较全，得5分； </w:t>
            </w:r>
          </w:p>
          <w:p w14:paraId="721C528E">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3.应急情况处理方案及措施，内容表述简单，方案不完整、可行性不强，得2分；</w:t>
            </w:r>
          </w:p>
          <w:p w14:paraId="0AA50FE1">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4.未提供者不得分。 </w:t>
            </w:r>
          </w:p>
        </w:tc>
      </w:tr>
      <w:tr w14:paraId="5A40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797" w:type="dxa"/>
            <w:vMerge w:val="continue"/>
            <w:noWrap w:val="0"/>
            <w:vAlign w:val="center"/>
          </w:tcPr>
          <w:p w14:paraId="5C0FF63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p>
        </w:tc>
        <w:tc>
          <w:tcPr>
            <w:tcW w:w="1091" w:type="dxa"/>
            <w:vMerge w:val="continue"/>
            <w:noWrap w:val="0"/>
            <w:vAlign w:val="center"/>
          </w:tcPr>
          <w:p w14:paraId="4DAA6E7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Cs/>
                <w:color w:val="auto"/>
                <w:sz w:val="21"/>
                <w:szCs w:val="21"/>
                <w:highlight w:val="none"/>
              </w:rPr>
            </w:pPr>
          </w:p>
        </w:tc>
        <w:tc>
          <w:tcPr>
            <w:tcW w:w="1545" w:type="dxa"/>
            <w:noWrap w:val="0"/>
            <w:vAlign w:val="center"/>
          </w:tcPr>
          <w:p w14:paraId="247A9950">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检测及维修设备</w:t>
            </w:r>
          </w:p>
          <w:p w14:paraId="57982F95">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（6分）</w:t>
            </w:r>
          </w:p>
        </w:tc>
        <w:tc>
          <w:tcPr>
            <w:tcW w:w="6132" w:type="dxa"/>
            <w:noWrap w:val="0"/>
            <w:vAlign w:val="center"/>
          </w:tcPr>
          <w:p w14:paraId="13264FFC">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1.评标委员会根据各供应商提供的检测及维修设备的数量、设备的先进性、全面性进行评分，设备先进、全面、具有针对性，可完全满足采购人需求的，得6分； </w:t>
            </w:r>
          </w:p>
          <w:p w14:paraId="68376927">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2.设备先进、全面，可基本满足采购人需求的，得3分； </w:t>
            </w:r>
          </w:p>
          <w:p w14:paraId="1F4BB678">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3.设备不具有针对性，不能全面满足采购人需求的，得1分；</w:t>
            </w:r>
          </w:p>
          <w:p w14:paraId="33808718">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4.未提供者不得分。</w:t>
            </w:r>
          </w:p>
        </w:tc>
      </w:tr>
      <w:tr w14:paraId="71D0F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97" w:type="dxa"/>
            <w:vMerge w:val="restart"/>
            <w:noWrap w:val="0"/>
            <w:vAlign w:val="center"/>
          </w:tcPr>
          <w:p w14:paraId="4E59384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（3）</w:t>
            </w:r>
          </w:p>
        </w:tc>
        <w:tc>
          <w:tcPr>
            <w:tcW w:w="1091" w:type="dxa"/>
            <w:vMerge w:val="restart"/>
            <w:noWrap w:val="0"/>
            <w:vAlign w:val="center"/>
          </w:tcPr>
          <w:p w14:paraId="1929EAA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w:t>
            </w:r>
            <w:r>
              <w:rPr>
                <w:rFonts w:hint="eastAsia" w:ascii="宋体" w:hAnsi="宋体" w:eastAsia="宋体" w:cs="宋体"/>
                <w:color w:val="auto"/>
                <w:sz w:val="21"/>
                <w:szCs w:val="21"/>
                <w:highlight w:val="none"/>
                <w:lang w:val="en-US" w:eastAsia="zh-CN"/>
              </w:rPr>
              <w:t>部分</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分）</w:t>
            </w:r>
          </w:p>
        </w:tc>
        <w:tc>
          <w:tcPr>
            <w:tcW w:w="1545" w:type="dxa"/>
            <w:noWrap w:val="0"/>
            <w:vAlign w:val="center"/>
          </w:tcPr>
          <w:p w14:paraId="159BD44E">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企业业绩</w:t>
            </w:r>
          </w:p>
          <w:p w14:paraId="7510E081">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（9分）</w:t>
            </w:r>
          </w:p>
        </w:tc>
        <w:tc>
          <w:tcPr>
            <w:tcW w:w="6132" w:type="dxa"/>
            <w:noWrap w:val="0"/>
            <w:vAlign w:val="center"/>
          </w:tcPr>
          <w:p w14:paraId="2D48E5F1">
            <w:pPr>
              <w:pStyle w:val="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供应商2022年1月1日以来承接过类似项目业绩的，每提供一个得3分，最多得9</w:t>
            </w:r>
            <w:r>
              <w:rPr>
                <w:rFonts w:hint="eastAsia" w:ascii="宋体" w:hAnsi="宋体" w:eastAsia="宋体" w:cs="宋体"/>
                <w:b w:val="0"/>
                <w:bCs w:val="0"/>
                <w:highlight w:val="none"/>
                <w:lang w:val="en-US" w:eastAsia="zh-CN"/>
              </w:rPr>
              <w:t>分（提供合同扫描件，日期以合同签订日期为准）。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类似业绩指：需含有所投标包对应服务采购的内容</w:t>
            </w:r>
            <w:r>
              <w:rPr>
                <w:rFonts w:hint="eastAsia" w:ascii="宋体" w:hAnsi="宋体" w:eastAsia="宋体" w:cs="宋体"/>
                <w:color w:val="auto"/>
                <w:sz w:val="21"/>
                <w:szCs w:val="21"/>
                <w:highlight w:val="none"/>
                <w:lang w:eastAsia="zh-CN"/>
              </w:rPr>
              <w:t>）</w:t>
            </w:r>
          </w:p>
        </w:tc>
      </w:tr>
      <w:tr w14:paraId="310F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797" w:type="dxa"/>
            <w:vMerge w:val="continue"/>
            <w:noWrap w:val="0"/>
            <w:vAlign w:val="center"/>
          </w:tcPr>
          <w:p w14:paraId="13F98A8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p>
        </w:tc>
        <w:tc>
          <w:tcPr>
            <w:tcW w:w="1091" w:type="dxa"/>
            <w:vMerge w:val="continue"/>
            <w:noWrap w:val="0"/>
            <w:vAlign w:val="center"/>
          </w:tcPr>
          <w:p w14:paraId="70D8E12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p>
        </w:tc>
        <w:tc>
          <w:tcPr>
            <w:tcW w:w="1545" w:type="dxa"/>
            <w:noWrap w:val="0"/>
            <w:vAlign w:val="center"/>
          </w:tcPr>
          <w:p w14:paraId="1F7DB7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服务承诺</w:t>
            </w:r>
          </w:p>
          <w:p w14:paraId="2EA880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（7分）</w:t>
            </w:r>
          </w:p>
        </w:tc>
        <w:tc>
          <w:tcPr>
            <w:tcW w:w="6132" w:type="dxa"/>
            <w:noWrap w:val="0"/>
            <w:vAlign w:val="center"/>
          </w:tcPr>
          <w:p w14:paraId="051A3AB3">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供应商根据企业自身情况，</w:t>
            </w:r>
            <w:r>
              <w:rPr>
                <w:rFonts w:hint="eastAsia" w:ascii="宋体" w:hAnsi="宋体" w:eastAsia="宋体" w:cs="宋体"/>
                <w:szCs w:val="21"/>
                <w:highlight w:val="none"/>
              </w:rPr>
              <w:t>针对本项目的服务承诺（服务承诺完善程度、服务期内的维修保养优惠承诺等）</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及对采购人作出除文件约定外的其他承诺。</w:t>
            </w:r>
          </w:p>
          <w:p w14:paraId="07469382">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Cs w:val="21"/>
                <w:highlight w:val="none"/>
              </w:rPr>
            </w:pPr>
            <w:r>
              <w:rPr>
                <w:rFonts w:hint="eastAsia" w:ascii="宋体" w:hAnsi="宋体" w:eastAsia="宋体" w:cs="宋体"/>
                <w:szCs w:val="21"/>
                <w:highlight w:val="none"/>
                <w:lang w:val="en-US" w:eastAsia="zh-CN"/>
              </w:rPr>
              <w:t>1.承诺</w:t>
            </w:r>
            <w:r>
              <w:rPr>
                <w:rFonts w:hint="eastAsia" w:ascii="宋体" w:hAnsi="宋体" w:eastAsia="宋体" w:cs="宋体"/>
                <w:szCs w:val="21"/>
                <w:highlight w:val="none"/>
              </w:rPr>
              <w:t>内容详实，考虑周全，措施到位，针对性强，完全能够满足采购人的需要得</w:t>
            </w:r>
            <w:r>
              <w:rPr>
                <w:rFonts w:hint="eastAsia" w:ascii="宋体" w:hAnsi="宋体" w:eastAsia="宋体" w:cs="宋体"/>
                <w:szCs w:val="21"/>
                <w:highlight w:val="none"/>
                <w:lang w:val="en-US" w:eastAsia="zh-CN"/>
              </w:rPr>
              <w:t>7</w:t>
            </w:r>
            <w:r>
              <w:rPr>
                <w:rFonts w:hint="eastAsia" w:ascii="宋体" w:hAnsi="宋体" w:eastAsia="宋体" w:cs="宋体"/>
                <w:szCs w:val="21"/>
                <w:highlight w:val="none"/>
              </w:rPr>
              <w:t>分。</w:t>
            </w:r>
          </w:p>
          <w:p w14:paraId="2D299456">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Cs w:val="21"/>
                <w:highlight w:val="none"/>
              </w:rPr>
            </w:pPr>
            <w:r>
              <w:rPr>
                <w:rFonts w:hint="eastAsia" w:ascii="宋体" w:hAnsi="宋体" w:eastAsia="宋体" w:cs="宋体"/>
                <w:szCs w:val="21"/>
                <w:highlight w:val="none"/>
                <w:lang w:val="en-US" w:eastAsia="zh-CN"/>
              </w:rPr>
              <w:t>2.承诺</w:t>
            </w:r>
            <w:r>
              <w:rPr>
                <w:rFonts w:hint="eastAsia" w:ascii="宋体" w:hAnsi="宋体" w:eastAsia="宋体" w:cs="宋体"/>
                <w:szCs w:val="21"/>
                <w:highlight w:val="none"/>
              </w:rPr>
              <w:t>内容完整，基本考虑周全，措施基本到位，针对性较强，可以满足采购人需要，但有个别细节需要进一步完善或提高得</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 xml:space="preserve">分； </w:t>
            </w:r>
          </w:p>
          <w:p w14:paraId="388628EA">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Cs w:val="21"/>
                <w:highlight w:val="none"/>
              </w:rPr>
            </w:pPr>
            <w:r>
              <w:rPr>
                <w:rFonts w:hint="eastAsia" w:ascii="宋体" w:hAnsi="宋体" w:eastAsia="宋体" w:cs="宋体"/>
                <w:szCs w:val="21"/>
                <w:highlight w:val="none"/>
                <w:lang w:val="en-US" w:eastAsia="zh-CN"/>
              </w:rPr>
              <w:t>3.承诺</w:t>
            </w:r>
            <w:r>
              <w:rPr>
                <w:rFonts w:hint="eastAsia" w:ascii="宋体" w:hAnsi="宋体" w:eastAsia="宋体" w:cs="宋体"/>
                <w:szCs w:val="21"/>
                <w:highlight w:val="none"/>
              </w:rPr>
              <w:t>内容基本完整，个别考虑不周，措施不够到位，针对性不强，只能够基本满足采购人需要，但有很多方面需要进一步完善甚至重新考虑得</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 xml:space="preserve">分。 </w:t>
            </w:r>
          </w:p>
          <w:p w14:paraId="69A779A5">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highlight w:val="none"/>
                <w:lang w:val="en-US" w:eastAsia="zh-CN"/>
              </w:rPr>
            </w:pPr>
            <w:r>
              <w:rPr>
                <w:rFonts w:hint="eastAsia" w:ascii="宋体" w:hAnsi="宋体" w:eastAsia="宋体" w:cs="宋体"/>
                <w:szCs w:val="21"/>
                <w:highlight w:val="none"/>
                <w:lang w:val="en-US" w:eastAsia="zh-CN"/>
              </w:rPr>
              <w:t>4.</w:t>
            </w:r>
            <w:r>
              <w:rPr>
                <w:rFonts w:hint="eastAsia" w:ascii="宋体" w:hAnsi="宋体" w:eastAsia="宋体" w:cs="宋体"/>
                <w:highlight w:val="none"/>
                <w:lang w:val="en-US" w:eastAsia="zh-CN"/>
              </w:rPr>
              <w:t>未提供者不得分。</w:t>
            </w:r>
          </w:p>
        </w:tc>
      </w:tr>
      <w:tr w14:paraId="7742D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97" w:type="dxa"/>
            <w:vMerge w:val="continue"/>
            <w:noWrap w:val="0"/>
            <w:vAlign w:val="center"/>
          </w:tcPr>
          <w:p w14:paraId="0076E24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p>
        </w:tc>
        <w:tc>
          <w:tcPr>
            <w:tcW w:w="1091" w:type="dxa"/>
            <w:vMerge w:val="continue"/>
            <w:noWrap w:val="0"/>
            <w:vAlign w:val="center"/>
          </w:tcPr>
          <w:p w14:paraId="12361A2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p>
        </w:tc>
        <w:tc>
          <w:tcPr>
            <w:tcW w:w="1545" w:type="dxa"/>
            <w:shd w:val="clear" w:color="auto" w:fill="auto"/>
            <w:noWrap w:val="0"/>
            <w:vAlign w:val="center"/>
          </w:tcPr>
          <w:p w14:paraId="32CED95E">
            <w:pPr>
              <w:pStyle w:val="51"/>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其它</w:t>
            </w:r>
            <w:r>
              <w:rPr>
                <w:rFonts w:hint="eastAsia" w:ascii="宋体" w:hAnsi="宋体" w:eastAsia="宋体" w:cs="宋体"/>
                <w:color w:val="auto"/>
                <w:sz w:val="21"/>
                <w:szCs w:val="21"/>
                <w:highlight w:val="none"/>
              </w:rPr>
              <w:t>承诺</w:t>
            </w:r>
          </w:p>
          <w:p w14:paraId="593B3112">
            <w:pPr>
              <w:pStyle w:val="51"/>
              <w:spacing w:line="360" w:lineRule="auto"/>
              <w:jc w:val="center"/>
              <w:rPr>
                <w:rFonts w:hint="eastAsia" w:ascii="宋体" w:hAnsi="宋体" w:eastAsia="宋体" w:cs="宋体"/>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w:t>
            </w:r>
          </w:p>
        </w:tc>
        <w:tc>
          <w:tcPr>
            <w:tcW w:w="6132" w:type="dxa"/>
            <w:shd w:val="clear" w:color="auto" w:fill="auto"/>
            <w:noWrap w:val="0"/>
            <w:vAlign w:val="center"/>
          </w:tcPr>
          <w:p w14:paraId="4577493A">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根据采购人需求，承诺接到采购人通知后到达需方指定地点的时间：承诺30分钟内达到得2分；大于0.5小时小于1小时的得1分，大于1小时小于2小时的得0.5分，超出以上时间的不得分。</w:t>
            </w:r>
          </w:p>
          <w:p w14:paraId="0391BF40">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根据采购人需求，能够提出更有利于采购人的合理化建议，每有一条加1分，最多加2分。</w:t>
            </w:r>
          </w:p>
        </w:tc>
      </w:tr>
    </w:tbl>
    <w:p w14:paraId="5EFBBB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outlineLvl w:val="1"/>
        <w:rPr>
          <w:rFonts w:hint="eastAsia" w:ascii="宋体" w:hAnsi="宋体" w:eastAsia="宋体" w:cs="宋体"/>
          <w:b/>
          <w:bCs/>
          <w:color w:val="auto"/>
          <w:szCs w:val="21"/>
          <w:highlight w:val="none"/>
        </w:rPr>
      </w:pPr>
      <w:bookmarkStart w:id="872" w:name="_Toc2978"/>
      <w:r>
        <w:rPr>
          <w:rFonts w:hint="eastAsia" w:ascii="宋体" w:hAnsi="宋体" w:eastAsia="宋体" w:cs="宋体"/>
          <w:b/>
          <w:bCs/>
          <w:color w:val="auto"/>
          <w:szCs w:val="21"/>
          <w:highlight w:val="none"/>
          <w:lang w:val="en-US" w:eastAsia="zh-CN"/>
        </w:rPr>
        <w:t>1.</w:t>
      </w:r>
      <w:r>
        <w:rPr>
          <w:rFonts w:hint="eastAsia" w:ascii="宋体" w:hAnsi="宋体" w:eastAsia="宋体" w:cs="宋体"/>
          <w:b/>
          <w:bCs/>
          <w:color w:val="auto"/>
          <w:szCs w:val="21"/>
          <w:highlight w:val="none"/>
        </w:rPr>
        <w:t>评审方法</w:t>
      </w:r>
      <w:bookmarkEnd w:id="866"/>
      <w:bookmarkEnd w:id="867"/>
      <w:bookmarkEnd w:id="868"/>
      <w:bookmarkEnd w:id="869"/>
      <w:bookmarkEnd w:id="870"/>
      <w:bookmarkEnd w:id="871"/>
      <w:bookmarkEnd w:id="872"/>
    </w:p>
    <w:p w14:paraId="18DCAC9C">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val="en-US" w:eastAsia="zh-CN" w:bidi="en-US"/>
        </w:rPr>
        <w:t>1.1</w:t>
      </w:r>
      <w:r>
        <w:rPr>
          <w:rFonts w:hint="eastAsia" w:ascii="宋体" w:hAnsi="宋体" w:eastAsia="宋体" w:cs="宋体"/>
          <w:color w:val="auto"/>
          <w:szCs w:val="21"/>
          <w:highlight w:val="none"/>
          <w:lang w:bidi="en-US"/>
        </w:rPr>
        <w:t>本次评审采用综合评分法。</w:t>
      </w:r>
      <w:bookmarkStart w:id="873" w:name="_Toc6612"/>
      <w:bookmarkStart w:id="874" w:name="_Toc152045601"/>
      <w:bookmarkStart w:id="875" w:name="_Toc26131"/>
      <w:bookmarkStart w:id="876" w:name="_Toc24936"/>
      <w:bookmarkStart w:id="877" w:name="_Toc455080157"/>
      <w:bookmarkStart w:id="878" w:name="_Toc20837"/>
      <w:bookmarkStart w:id="879" w:name="_Toc490667876"/>
      <w:bookmarkStart w:id="880" w:name="_Toc281405529"/>
      <w:bookmarkStart w:id="881" w:name="_Toc144974568"/>
      <w:bookmarkStart w:id="882" w:name="_Toc318450723"/>
      <w:bookmarkStart w:id="883" w:name="_Toc455867817"/>
      <w:bookmarkStart w:id="884" w:name="_Toc152042378"/>
      <w:bookmarkStart w:id="885" w:name="_Toc29362"/>
      <w:bookmarkStart w:id="886" w:name="_Toc466298140"/>
      <w:r>
        <w:rPr>
          <w:rFonts w:hint="eastAsia" w:ascii="宋体" w:hAnsi="宋体" w:eastAsia="宋体" w:cs="宋体"/>
          <w:color w:val="auto"/>
          <w:szCs w:val="21"/>
          <w:highlight w:val="none"/>
          <w:lang w:bidi="en-US"/>
        </w:rPr>
        <w:t>磋商小组对满足</w:t>
      </w:r>
      <w:r>
        <w:rPr>
          <w:rFonts w:hint="eastAsia" w:ascii="宋体" w:hAnsi="宋体" w:eastAsia="宋体" w:cs="宋体"/>
          <w:color w:val="auto"/>
          <w:szCs w:val="21"/>
          <w:highlight w:val="none"/>
          <w:lang w:eastAsia="zh-CN" w:bidi="en-US"/>
        </w:rPr>
        <w:t>竞争性磋商文件</w:t>
      </w:r>
      <w:r>
        <w:rPr>
          <w:rFonts w:hint="eastAsia" w:ascii="宋体" w:hAnsi="宋体" w:eastAsia="宋体" w:cs="宋体"/>
          <w:color w:val="auto"/>
          <w:szCs w:val="21"/>
          <w:highlight w:val="none"/>
          <w:lang w:bidi="en-US"/>
        </w:rPr>
        <w:t>实质性要求的响应文件</w:t>
      </w:r>
      <w:r>
        <w:rPr>
          <w:rFonts w:hint="eastAsia" w:ascii="宋体" w:hAnsi="宋体" w:eastAsia="宋体" w:cs="宋体"/>
          <w:color w:val="auto"/>
          <w:szCs w:val="21"/>
          <w:highlight w:val="none"/>
        </w:rPr>
        <w:t>，按照本章规定的评分标准进行打分，并按得分由高到低顺序推荐成交候选人，</w:t>
      </w:r>
      <w:r>
        <w:rPr>
          <w:rFonts w:hint="eastAsia" w:ascii="宋体" w:hAnsi="宋体" w:eastAsia="宋体" w:cs="宋体"/>
          <w:color w:val="auto"/>
          <w:kern w:val="0"/>
          <w:szCs w:val="21"/>
          <w:highlight w:val="none"/>
        </w:rPr>
        <w:t>综合评分相等时，</w:t>
      </w:r>
      <w:r>
        <w:rPr>
          <w:rFonts w:hint="eastAsia" w:ascii="宋体" w:hAnsi="宋体" w:eastAsia="宋体" w:cs="宋体"/>
          <w:color w:val="auto"/>
          <w:sz w:val="21"/>
          <w:szCs w:val="21"/>
          <w:highlight w:val="none"/>
          <w:lang w:eastAsia="zh-CN"/>
        </w:rPr>
        <w:t>按照技术部分得分由高到低顺序推荐；技术部分</w:t>
      </w:r>
      <w:r>
        <w:rPr>
          <w:rFonts w:hint="eastAsia" w:ascii="宋体" w:hAnsi="宋体" w:eastAsia="宋体" w:cs="宋体"/>
          <w:color w:val="auto"/>
          <w:kern w:val="0"/>
          <w:szCs w:val="21"/>
          <w:highlight w:val="none"/>
        </w:rPr>
        <w:t>评分相等时，以报价得分高的优先；报价得分也相等的，由采购人自行确定。</w:t>
      </w:r>
    </w:p>
    <w:p w14:paraId="074B73D6">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kern w:val="0"/>
          <w:szCs w:val="21"/>
          <w:highlight w:val="none"/>
          <w:lang w:val="en-US" w:eastAsia="zh-CN"/>
        </w:rPr>
        <w:t>1.2</w:t>
      </w:r>
      <w:r>
        <w:rPr>
          <w:rFonts w:hint="eastAsia" w:ascii="宋体" w:hAnsi="宋体" w:eastAsia="宋体" w:cs="宋体"/>
          <w:color w:val="auto"/>
          <w:sz w:val="21"/>
          <w:szCs w:val="21"/>
          <w:highlight w:val="none"/>
        </w:rPr>
        <w:t>经评标委员会初步评审后有效投标不足3个的，评标委员会应予废标。</w:t>
      </w:r>
    </w:p>
    <w:p w14:paraId="027B3A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outlineLvl w:val="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评审标准</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Start w:id="887" w:name="_Toc6711"/>
      <w:bookmarkStart w:id="888" w:name="_Toc281405530"/>
      <w:bookmarkStart w:id="889" w:name="_Toc144974569"/>
      <w:bookmarkStart w:id="890" w:name="_Toc2867"/>
      <w:bookmarkStart w:id="891" w:name="_Toc19934"/>
      <w:bookmarkStart w:id="892" w:name="_Toc455080158"/>
      <w:bookmarkStart w:id="893" w:name="_Toc490667877"/>
      <w:bookmarkStart w:id="894" w:name="_Toc11223"/>
      <w:bookmarkStart w:id="895" w:name="_Toc152045602"/>
      <w:bookmarkStart w:id="896" w:name="_Toc318450724"/>
      <w:bookmarkStart w:id="897" w:name="_Toc455867818"/>
      <w:bookmarkStart w:id="898" w:name="_Toc25637"/>
      <w:bookmarkStart w:id="899" w:name="_Toc15813"/>
      <w:bookmarkStart w:id="900" w:name="_Toc24558"/>
      <w:bookmarkStart w:id="901" w:name="_Toc466298141"/>
      <w:bookmarkStart w:id="902" w:name="_Toc152042379"/>
      <w:bookmarkStart w:id="903" w:name="_Toc21120"/>
      <w:bookmarkStart w:id="904" w:name="_Toc31037"/>
    </w:p>
    <w:p w14:paraId="10D433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 初步评审标准</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35F76636">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 资格检查评审标准：见评审办法前附表。</w:t>
      </w:r>
    </w:p>
    <w:p w14:paraId="52B12BD3">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eastAsia="zh-CN"/>
        </w:rPr>
        <w:t>符合</w:t>
      </w:r>
      <w:r>
        <w:rPr>
          <w:rFonts w:hint="eastAsia" w:ascii="宋体" w:hAnsi="宋体" w:eastAsia="宋体" w:cs="宋体"/>
          <w:color w:val="auto"/>
          <w:szCs w:val="21"/>
          <w:highlight w:val="none"/>
        </w:rPr>
        <w:t>性检查评审标准：见评审办法前附表。</w:t>
      </w:r>
    </w:p>
    <w:p w14:paraId="3E4A5AC2">
      <w:pPr>
        <w:pStyle w:val="71"/>
        <w:keepNext/>
        <w:keepLines/>
        <w:pageBreakBefore w:val="0"/>
        <w:widowControl w:val="0"/>
        <w:kinsoku/>
        <w:wordWrap/>
        <w:overflowPunct/>
        <w:topLinePunct w:val="0"/>
        <w:autoSpaceDE/>
        <w:autoSpaceDN/>
        <w:bidi w:val="0"/>
        <w:adjustRightInd/>
        <w:snapToGrid/>
        <w:spacing w:line="360" w:lineRule="auto"/>
        <w:ind w:left="0" w:leftChars="0" w:firstLine="422" w:firstLineChars="200"/>
        <w:textAlignment w:val="auto"/>
        <w:outlineLvl w:val="2"/>
        <w:rPr>
          <w:rFonts w:hint="eastAsia" w:ascii="宋体" w:hAnsi="宋体" w:eastAsia="宋体" w:cs="宋体"/>
          <w:b/>
          <w:bCs/>
          <w:color w:val="auto"/>
          <w:sz w:val="21"/>
          <w:szCs w:val="21"/>
          <w:highlight w:val="none"/>
        </w:rPr>
      </w:pPr>
      <w:bookmarkStart w:id="905" w:name="_Toc455867819"/>
      <w:bookmarkStart w:id="906" w:name="_Toc24825"/>
      <w:bookmarkStart w:id="907" w:name="_Toc21970"/>
      <w:bookmarkStart w:id="908" w:name="_Toc144974570"/>
      <w:bookmarkStart w:id="909" w:name="_Toc152045603"/>
      <w:bookmarkStart w:id="910" w:name="_Toc281405531"/>
      <w:bookmarkStart w:id="911" w:name="_Toc22439"/>
      <w:bookmarkStart w:id="912" w:name="_Toc2202"/>
      <w:bookmarkStart w:id="913" w:name="_Toc26179"/>
      <w:bookmarkStart w:id="914" w:name="_Toc29052"/>
      <w:bookmarkStart w:id="915" w:name="_Toc490667878"/>
      <w:bookmarkStart w:id="916" w:name="_Toc152042380"/>
      <w:bookmarkStart w:id="917" w:name="_Toc30949"/>
      <w:bookmarkStart w:id="918" w:name="_Toc7284"/>
      <w:bookmarkStart w:id="919" w:name="_Toc466298142"/>
      <w:bookmarkStart w:id="920" w:name="_Toc12013"/>
      <w:bookmarkStart w:id="921" w:name="_Toc25492"/>
      <w:bookmarkStart w:id="922" w:name="_Toc318450725"/>
      <w:bookmarkStart w:id="923" w:name="_Toc30189"/>
      <w:bookmarkStart w:id="924" w:name="_Toc11061"/>
      <w:bookmarkStart w:id="925" w:name="_Toc455080159"/>
      <w:r>
        <w:rPr>
          <w:rFonts w:hint="eastAsia" w:ascii="宋体" w:hAnsi="宋体" w:eastAsia="宋体" w:cs="宋体"/>
          <w:b/>
          <w:bCs/>
          <w:color w:val="auto"/>
          <w:sz w:val="21"/>
          <w:szCs w:val="21"/>
          <w:highlight w:val="none"/>
        </w:rPr>
        <w:t>2.2 分值构成与评分标准</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14:paraId="5276B869">
      <w:pPr>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w:t>
      </w:r>
      <w:r>
        <w:rPr>
          <w:rFonts w:hint="eastAsia" w:ascii="宋体" w:hAnsi="宋体" w:eastAsia="宋体" w:cs="宋体"/>
          <w:color w:val="auto"/>
          <w:szCs w:val="21"/>
          <w:highlight w:val="none"/>
          <w:lang w:val="en-US" w:eastAsia="zh-CN"/>
        </w:rPr>
        <w:t>部分</w:t>
      </w:r>
      <w:r>
        <w:rPr>
          <w:rFonts w:hint="eastAsia" w:ascii="宋体" w:hAnsi="宋体" w:eastAsia="宋体" w:cs="宋体"/>
          <w:color w:val="auto"/>
          <w:szCs w:val="21"/>
          <w:highlight w:val="none"/>
        </w:rPr>
        <w:t>：见评审办法前附表；</w:t>
      </w:r>
    </w:p>
    <w:p w14:paraId="5A1E0E77">
      <w:pPr>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（2）技术</w:t>
      </w:r>
      <w:r>
        <w:rPr>
          <w:rFonts w:hint="eastAsia" w:ascii="宋体" w:hAnsi="宋体" w:eastAsia="宋体" w:cs="宋体"/>
          <w:color w:val="auto"/>
          <w:szCs w:val="21"/>
          <w:highlight w:val="none"/>
          <w:lang w:val="en-US" w:eastAsia="zh-CN"/>
        </w:rPr>
        <w:t>部分</w:t>
      </w:r>
      <w:r>
        <w:rPr>
          <w:rFonts w:hint="eastAsia" w:ascii="宋体" w:hAnsi="宋体" w:eastAsia="宋体" w:cs="宋体"/>
          <w:color w:val="auto"/>
          <w:szCs w:val="21"/>
          <w:highlight w:val="none"/>
        </w:rPr>
        <w:t>：见评审办法前附表；</w:t>
      </w:r>
    </w:p>
    <w:p w14:paraId="3F61C216">
      <w:pPr>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（3）综合</w:t>
      </w:r>
      <w:r>
        <w:rPr>
          <w:rFonts w:hint="eastAsia" w:ascii="宋体" w:hAnsi="宋体" w:eastAsia="宋体" w:cs="宋体"/>
          <w:color w:val="auto"/>
          <w:szCs w:val="21"/>
          <w:highlight w:val="none"/>
          <w:lang w:val="en-US" w:eastAsia="zh-CN"/>
        </w:rPr>
        <w:t>部分</w:t>
      </w:r>
      <w:r>
        <w:rPr>
          <w:rFonts w:hint="eastAsia" w:ascii="宋体" w:hAnsi="宋体" w:eastAsia="宋体" w:cs="宋体"/>
          <w:color w:val="auto"/>
          <w:szCs w:val="21"/>
          <w:highlight w:val="none"/>
        </w:rPr>
        <w:t>：见评审办法前附表。</w:t>
      </w:r>
    </w:p>
    <w:p w14:paraId="17EF2631">
      <w:pPr>
        <w:pStyle w:val="70"/>
        <w:keepNext/>
        <w:keepLines/>
        <w:pageBreakBefore w:val="0"/>
        <w:widowControl w:val="0"/>
        <w:kinsoku/>
        <w:wordWrap/>
        <w:overflowPunct/>
        <w:topLinePunct w:val="0"/>
        <w:autoSpaceDE/>
        <w:autoSpaceDN/>
        <w:bidi w:val="0"/>
        <w:adjustRightInd/>
        <w:snapToGrid/>
        <w:spacing w:before="0" w:beforeLines="0" w:line="360" w:lineRule="auto"/>
        <w:textAlignment w:val="auto"/>
        <w:rPr>
          <w:rFonts w:hint="eastAsia" w:ascii="宋体" w:hAnsi="宋体" w:eastAsia="宋体" w:cs="宋体"/>
          <w:b/>
          <w:bCs/>
          <w:color w:val="auto"/>
          <w:sz w:val="21"/>
          <w:szCs w:val="21"/>
          <w:highlight w:val="none"/>
        </w:rPr>
      </w:pPr>
      <w:bookmarkStart w:id="926" w:name="_Toc490667879"/>
      <w:bookmarkStart w:id="927" w:name="_Toc26024"/>
      <w:bookmarkStart w:id="928" w:name="_Toc466298143"/>
      <w:bookmarkStart w:id="929" w:name="_Toc18127"/>
      <w:bookmarkStart w:id="930" w:name="_Toc17308"/>
      <w:bookmarkStart w:id="931" w:name="_Toc318450726"/>
      <w:bookmarkStart w:id="932" w:name="_Toc32314"/>
      <w:bookmarkStart w:id="933" w:name="_Toc281405532"/>
      <w:bookmarkStart w:id="934" w:name="_Toc29297"/>
      <w:bookmarkStart w:id="935" w:name="_Toc455867820"/>
      <w:bookmarkStart w:id="936" w:name="_Toc455080160"/>
      <w:bookmarkStart w:id="937" w:name="_Toc16479"/>
      <w:r>
        <w:rPr>
          <w:rFonts w:hint="eastAsia" w:ascii="宋体" w:hAnsi="宋体" w:eastAsia="宋体" w:cs="宋体"/>
          <w:b/>
          <w:bCs/>
          <w:color w:val="auto"/>
          <w:sz w:val="21"/>
          <w:szCs w:val="21"/>
          <w:highlight w:val="none"/>
        </w:rPr>
        <w:t>3. 评审程序</w:t>
      </w:r>
      <w:bookmarkEnd w:id="926"/>
      <w:bookmarkEnd w:id="927"/>
      <w:bookmarkEnd w:id="928"/>
      <w:bookmarkEnd w:id="929"/>
      <w:bookmarkEnd w:id="930"/>
      <w:bookmarkEnd w:id="931"/>
      <w:bookmarkEnd w:id="932"/>
      <w:bookmarkEnd w:id="933"/>
      <w:bookmarkEnd w:id="934"/>
      <w:bookmarkEnd w:id="935"/>
      <w:bookmarkEnd w:id="936"/>
      <w:bookmarkEnd w:id="937"/>
    </w:p>
    <w:p w14:paraId="314F6E68">
      <w:pPr>
        <w:pStyle w:val="71"/>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938" w:name="_Toc281405533"/>
      <w:bookmarkStart w:id="939" w:name="_Toc2410"/>
      <w:bookmarkStart w:id="940" w:name="_Toc7272"/>
      <w:bookmarkStart w:id="941" w:name="_Toc466298144"/>
      <w:bookmarkStart w:id="942" w:name="_Toc24387"/>
      <w:bookmarkStart w:id="943" w:name="_Toc5427"/>
      <w:bookmarkStart w:id="944" w:name="_Toc9433"/>
      <w:bookmarkStart w:id="945" w:name="_Toc318450727"/>
      <w:bookmarkStart w:id="946" w:name="_Toc29092"/>
      <w:bookmarkStart w:id="947" w:name="_Toc17738"/>
      <w:bookmarkStart w:id="948" w:name="_Toc16892"/>
      <w:bookmarkStart w:id="949" w:name="_Toc455867821"/>
      <w:bookmarkStart w:id="950" w:name="_Toc14633"/>
      <w:bookmarkStart w:id="951" w:name="_Toc18886"/>
      <w:bookmarkStart w:id="952" w:name="_Toc490667880"/>
      <w:bookmarkStart w:id="953" w:name="_Toc455080161"/>
      <w:bookmarkStart w:id="954" w:name="_Toc30986"/>
      <w:bookmarkStart w:id="955" w:name="_Toc29614"/>
      <w:bookmarkStart w:id="956" w:name="_Toc28942"/>
      <w:r>
        <w:rPr>
          <w:rFonts w:hint="eastAsia" w:ascii="宋体" w:hAnsi="宋体" w:eastAsia="宋体" w:cs="宋体"/>
          <w:b/>
          <w:bCs/>
          <w:color w:val="auto"/>
          <w:sz w:val="21"/>
          <w:szCs w:val="21"/>
          <w:highlight w:val="none"/>
        </w:rPr>
        <w:t>3.1 初步评审</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17F6205D">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color w:val="auto"/>
          <w:sz w:val="21"/>
          <w:szCs w:val="21"/>
          <w:highlight w:val="none"/>
        </w:rPr>
      </w:pPr>
      <w:bookmarkStart w:id="957" w:name="_Toc10692"/>
      <w:bookmarkStart w:id="958" w:name="_Toc281405534"/>
      <w:bookmarkStart w:id="959" w:name="_Toc455867822"/>
      <w:bookmarkStart w:id="960" w:name="_Toc490667881"/>
      <w:bookmarkStart w:id="961" w:name="_Toc455080162"/>
      <w:bookmarkStart w:id="962" w:name="_Toc318450728"/>
      <w:bookmarkStart w:id="963" w:name="_Toc26049"/>
      <w:bookmarkStart w:id="964" w:name="_Toc7121"/>
      <w:bookmarkStart w:id="965" w:name="_Toc466298145"/>
      <w:bookmarkStart w:id="966" w:name="_Toc16964"/>
      <w:bookmarkStart w:id="967" w:name="_Toc22101"/>
      <w:bookmarkStart w:id="968" w:name="_Toc26280"/>
      <w:bookmarkStart w:id="969" w:name="_Toc12406"/>
      <w:bookmarkStart w:id="970" w:name="_Toc21032"/>
      <w:bookmarkStart w:id="971" w:name="_Toc21570"/>
      <w:bookmarkStart w:id="972" w:name="_Toc13386"/>
      <w:r>
        <w:rPr>
          <w:rFonts w:hint="eastAsia" w:ascii="宋体" w:hAnsi="宋体" w:eastAsia="宋体" w:cs="宋体"/>
          <w:color w:val="auto"/>
          <w:sz w:val="21"/>
          <w:szCs w:val="21"/>
          <w:highlight w:val="none"/>
        </w:rPr>
        <w:t>3.1.1只有通过资格审查的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才能进入</w:t>
      </w:r>
      <w:r>
        <w:rPr>
          <w:rFonts w:hint="eastAsia" w:ascii="宋体" w:hAnsi="宋体" w:eastAsia="宋体" w:cs="宋体"/>
          <w:color w:val="auto"/>
          <w:sz w:val="21"/>
          <w:szCs w:val="21"/>
          <w:highlight w:val="none"/>
          <w:lang w:eastAsia="zh-CN"/>
        </w:rPr>
        <w:t>符合性评审</w:t>
      </w:r>
      <w:r>
        <w:rPr>
          <w:rFonts w:hint="eastAsia" w:ascii="宋体" w:hAnsi="宋体" w:eastAsia="宋体" w:cs="宋体"/>
          <w:color w:val="auto"/>
          <w:sz w:val="21"/>
          <w:szCs w:val="21"/>
          <w:highlight w:val="none"/>
        </w:rPr>
        <w:t>。评标委员会依据</w:t>
      </w:r>
      <w:r>
        <w:rPr>
          <w:rFonts w:hint="eastAsia" w:ascii="宋体" w:hAnsi="宋体" w:eastAsia="宋体" w:cs="宋体"/>
          <w:color w:val="auto"/>
          <w:sz w:val="21"/>
          <w:szCs w:val="21"/>
          <w:highlight w:val="none"/>
          <w:lang w:val="en-US" w:eastAsia="zh-CN"/>
        </w:rPr>
        <w:t>2.1.2</w:t>
      </w:r>
      <w:r>
        <w:rPr>
          <w:rFonts w:hint="eastAsia" w:ascii="宋体" w:hAnsi="宋体" w:eastAsia="宋体" w:cs="宋体"/>
          <w:color w:val="auto"/>
          <w:sz w:val="21"/>
          <w:szCs w:val="21"/>
          <w:highlight w:val="none"/>
        </w:rPr>
        <w:t>规定的内容和标准对</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文件进行</w:t>
      </w:r>
      <w:r>
        <w:rPr>
          <w:rFonts w:hint="eastAsia" w:ascii="宋体" w:hAnsi="宋体" w:eastAsia="宋体" w:cs="宋体"/>
          <w:color w:val="auto"/>
          <w:sz w:val="21"/>
          <w:szCs w:val="21"/>
          <w:highlight w:val="none"/>
          <w:lang w:eastAsia="zh-CN"/>
        </w:rPr>
        <w:t>符合性审查</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有一项不符合评审标准的，其投标做无效</w:t>
      </w:r>
      <w:r>
        <w:rPr>
          <w:rFonts w:hint="eastAsia" w:ascii="宋体" w:hAnsi="宋体" w:eastAsia="宋体" w:cs="宋体"/>
          <w:b/>
          <w:bCs/>
          <w:color w:val="auto"/>
          <w:sz w:val="21"/>
          <w:szCs w:val="21"/>
          <w:highlight w:val="none"/>
          <w:lang w:eastAsia="zh-CN"/>
        </w:rPr>
        <w:t>投标</w:t>
      </w:r>
      <w:r>
        <w:rPr>
          <w:rFonts w:hint="eastAsia" w:ascii="宋体" w:hAnsi="宋体" w:eastAsia="宋体" w:cs="宋体"/>
          <w:b/>
          <w:bCs/>
          <w:color w:val="auto"/>
          <w:sz w:val="21"/>
          <w:szCs w:val="21"/>
          <w:highlight w:val="none"/>
        </w:rPr>
        <w:t>处理，不得进入详细评审。</w:t>
      </w:r>
    </w:p>
    <w:p w14:paraId="1E687C06">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 供应商有以下情形之一的，其响应文件作无效处理：</w:t>
      </w:r>
    </w:p>
    <w:p w14:paraId="7DFEDF61">
      <w:pPr>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）串通或弄虚作假或有其他违法行为的；</w:t>
      </w:r>
    </w:p>
    <w:p w14:paraId="1D26C19E">
      <w:pPr>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）不按磋商小组要求澄清、说明或补正的；</w:t>
      </w:r>
    </w:p>
    <w:p w14:paraId="79B4FAE3">
      <w:pPr>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）未按规定格式填写、内容不全或关键字迹模糊、无法辨认的；</w:t>
      </w:r>
    </w:p>
    <w:p w14:paraId="52D74FC3">
      <w:pPr>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）响应文件附有采购人不能接受的条件；</w:t>
      </w:r>
    </w:p>
    <w:p w14:paraId="1BB442B9">
      <w:pPr>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）不符合</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规定的其他实质性要求。</w:t>
      </w:r>
    </w:p>
    <w:p w14:paraId="59C05077">
      <w:pPr>
        <w:pStyle w:val="71"/>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973" w:name="_Toc644"/>
      <w:bookmarkStart w:id="974" w:name="_Toc4580"/>
      <w:bookmarkStart w:id="975" w:name="_Toc19418"/>
      <w:r>
        <w:rPr>
          <w:rFonts w:hint="eastAsia" w:ascii="宋体" w:hAnsi="宋体" w:eastAsia="宋体" w:cs="宋体"/>
          <w:b/>
          <w:bCs/>
          <w:color w:val="auto"/>
          <w:sz w:val="21"/>
          <w:szCs w:val="21"/>
          <w:highlight w:val="none"/>
        </w:rPr>
        <w:t>3.2 详细评审</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14:paraId="67DBA8C9">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3.2.1 磋商小组按本章第2.2款规定的量化因素和分值进行打分，并计算出综合评分得分。</w:t>
      </w:r>
    </w:p>
    <w:p w14:paraId="46AE4DEB">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3.2.2 评分分值计算保留小数点后两位，小数点后第三位“四舍五入”。</w:t>
      </w:r>
    </w:p>
    <w:p w14:paraId="2902294D">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3.2.3供应商的最终得分以全部小组成员打分的算术平均值为准，作为该供应商的最终得分。</w:t>
      </w:r>
    </w:p>
    <w:p w14:paraId="26BFED20">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3.2.4在磋商过程中，凡遇到</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中无界定或界定不清、前后不一致使磋商小组意见有分歧且又难以协商一致的问题，均由磋商小组予以表决，获半数以上同意的即为通过，未获半数同意的即为否决。</w:t>
      </w:r>
    </w:p>
    <w:p w14:paraId="6C4AA077">
      <w:pPr>
        <w:pStyle w:val="71"/>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
          <w:bCs/>
          <w:color w:val="auto"/>
          <w:sz w:val="21"/>
          <w:szCs w:val="21"/>
          <w:highlight w:val="none"/>
        </w:rPr>
      </w:pPr>
      <w:bookmarkStart w:id="976" w:name="_Toc490667882"/>
      <w:bookmarkStart w:id="977" w:name="_Toc22084"/>
      <w:bookmarkStart w:id="978" w:name="_Toc2657"/>
      <w:bookmarkStart w:id="979" w:name="_Toc318450729"/>
      <w:bookmarkStart w:id="980" w:name="_Toc466298146"/>
      <w:bookmarkStart w:id="981" w:name="_Toc17588"/>
      <w:bookmarkStart w:id="982" w:name="_Toc15940"/>
      <w:bookmarkStart w:id="983" w:name="_Toc11958"/>
      <w:bookmarkStart w:id="984" w:name="_Toc281405535"/>
      <w:bookmarkStart w:id="985" w:name="_Toc455867823"/>
      <w:bookmarkStart w:id="986" w:name="_Toc8342"/>
      <w:bookmarkStart w:id="987" w:name="_Toc28633"/>
      <w:bookmarkStart w:id="988" w:name="_Toc10153"/>
      <w:bookmarkStart w:id="989" w:name="_Toc331"/>
      <w:bookmarkStart w:id="990" w:name="_Toc8813"/>
      <w:bookmarkStart w:id="991" w:name="_Toc24862"/>
      <w:bookmarkStart w:id="992" w:name="_Toc22130"/>
      <w:bookmarkStart w:id="993" w:name="_Toc455080163"/>
      <w:bookmarkStart w:id="994" w:name="_Toc12374"/>
      <w:r>
        <w:rPr>
          <w:rFonts w:hint="eastAsia" w:ascii="宋体" w:hAnsi="宋体" w:eastAsia="宋体" w:cs="宋体"/>
          <w:b/>
          <w:bCs/>
          <w:color w:val="auto"/>
          <w:sz w:val="21"/>
          <w:szCs w:val="21"/>
          <w:highlight w:val="none"/>
        </w:rPr>
        <w:t>3.3 响应文件的澄清和补正</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36C85A09">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3.3.1在磋商过程中，磋商小组可以书面形式要求供应商对所提交的响应文件中不明确的内容进行书面澄清或说明，或者对细微偏离进行补正。磋商小组不接受供应商主动提出的澄清、说明或补正。</w:t>
      </w:r>
    </w:p>
    <w:p w14:paraId="7BE96DFB">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3.3.2 澄清、说明和补正不得超出响应文件的范围或者改变响应文件的实质性内容（算术性错误修正的除外）。供应商的书面澄清、说明和补正属于响应文件的组成部分。</w:t>
      </w:r>
    </w:p>
    <w:p w14:paraId="1F7408E0">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3.3.3 磋商小组对供应商提交的澄清、说明或补正有疑问的，可以要求供应商进一步澄清、说明或补正，直至满足磋商小组的要求。</w:t>
      </w:r>
    </w:p>
    <w:p w14:paraId="2E4A3404">
      <w:pPr>
        <w:pStyle w:val="71"/>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color w:val="auto"/>
          <w:sz w:val="21"/>
          <w:szCs w:val="21"/>
          <w:highlight w:val="none"/>
        </w:rPr>
      </w:pPr>
      <w:bookmarkStart w:id="995" w:name="_Toc490667883"/>
      <w:bookmarkStart w:id="996" w:name="_Toc466298147"/>
      <w:bookmarkStart w:id="997" w:name="_Toc22682"/>
      <w:bookmarkStart w:id="998" w:name="_Toc1736"/>
      <w:bookmarkStart w:id="999" w:name="_Toc32183"/>
      <w:bookmarkStart w:id="1000" w:name="_Toc30053"/>
      <w:bookmarkStart w:id="1001" w:name="_Toc11987"/>
      <w:bookmarkStart w:id="1002" w:name="_Toc22986"/>
      <w:bookmarkStart w:id="1003" w:name="_Toc281405536"/>
      <w:bookmarkStart w:id="1004" w:name="_Toc19938"/>
      <w:bookmarkStart w:id="1005" w:name="_Toc455867824"/>
      <w:bookmarkStart w:id="1006" w:name="_Toc22049"/>
      <w:bookmarkStart w:id="1007" w:name="_Toc455080164"/>
      <w:bookmarkStart w:id="1008" w:name="_Toc1857"/>
      <w:bookmarkStart w:id="1009" w:name="_Toc28643"/>
      <w:bookmarkStart w:id="1010" w:name="_Toc26937"/>
      <w:bookmarkStart w:id="1011" w:name="_Toc5903"/>
      <w:bookmarkStart w:id="1012" w:name="_Toc26894"/>
      <w:bookmarkStart w:id="1013" w:name="_Toc318450730"/>
      <w:bookmarkStart w:id="1014" w:name="_Toc19453"/>
      <w:r>
        <w:rPr>
          <w:rFonts w:hint="eastAsia" w:ascii="宋体" w:hAnsi="宋体" w:eastAsia="宋体" w:cs="宋体"/>
          <w:color w:val="auto"/>
          <w:sz w:val="21"/>
          <w:szCs w:val="21"/>
          <w:highlight w:val="none"/>
        </w:rPr>
        <w:t>3.4 评审结果</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16A15088">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3.4.1除第二章“供应商须知”前附表授权直接确定成交人外，磋商小组按照得分由高到低的顺序推荐成交候选人。</w:t>
      </w:r>
    </w:p>
    <w:p w14:paraId="4D84B5C6">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 磋商小组完成评审后，应当向采购人提交书面评审报告。</w:t>
      </w:r>
    </w:p>
    <w:p w14:paraId="55FDB1DD">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bookmarkStart w:id="1015" w:name="_Toc152042387"/>
      <w:bookmarkStart w:id="1016" w:name="_Toc14024"/>
      <w:bookmarkStart w:id="1017" w:name="_Toc152045609"/>
      <w:bookmarkStart w:id="1018" w:name="_Toc144974577"/>
      <w:r>
        <w:rPr>
          <w:rFonts w:hint="eastAsia" w:ascii="宋体" w:hAnsi="宋体" w:eastAsia="宋体" w:cs="宋体"/>
          <w:color w:val="auto"/>
          <w:szCs w:val="21"/>
          <w:highlight w:val="none"/>
        </w:rPr>
        <w:t>3.4.</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评标结果同时在《河南省政府采购网》、《全国公共资源交易平台（河南省·</w:t>
      </w:r>
      <w:r>
        <w:rPr>
          <w:rFonts w:hint="eastAsia" w:ascii="宋体" w:hAnsi="宋体" w:eastAsia="宋体" w:cs="宋体"/>
          <w:color w:val="auto"/>
          <w:szCs w:val="21"/>
          <w:highlight w:val="none"/>
          <w:lang w:eastAsia="zh-CN"/>
        </w:rPr>
        <w:t>息县</w:t>
      </w:r>
      <w:r>
        <w:rPr>
          <w:rFonts w:hint="eastAsia" w:ascii="宋体" w:hAnsi="宋体" w:eastAsia="宋体" w:cs="宋体"/>
          <w:color w:val="auto"/>
          <w:szCs w:val="21"/>
          <w:highlight w:val="none"/>
        </w:rPr>
        <w:t>）》公示。</w:t>
      </w:r>
    </w:p>
    <w:p w14:paraId="05F2744C">
      <w:pPr>
        <w:pStyle w:val="7"/>
        <w:keepNext/>
        <w:keepLines/>
        <w:pageBreakBefore w:val="0"/>
        <w:widowControl w:val="0"/>
        <w:numPr>
          <w:ilvl w:val="0"/>
          <w:numId w:val="0"/>
        </w:numPr>
        <w:kinsoku/>
        <w:wordWrap/>
        <w:overflowPunct/>
        <w:topLinePunct w:val="0"/>
        <w:autoSpaceDE/>
        <w:autoSpaceDN/>
        <w:bidi w:val="0"/>
        <w:adjustRightInd/>
        <w:snapToGrid/>
        <w:spacing w:line="360" w:lineRule="auto"/>
        <w:ind w:left="459" w:leftChars="0"/>
        <w:textAlignment w:val="auto"/>
        <w:rPr>
          <w:rFonts w:hint="eastAsia" w:ascii="宋体" w:hAnsi="宋体" w:eastAsia="宋体" w:cs="宋体"/>
          <w:color w:val="auto"/>
          <w:sz w:val="21"/>
          <w:szCs w:val="21"/>
          <w:highlight w:val="none"/>
        </w:rPr>
      </w:pPr>
      <w:bookmarkStart w:id="1019" w:name="_Toc13569"/>
      <w:bookmarkStart w:id="1020" w:name="_Toc6485"/>
      <w:bookmarkStart w:id="1021" w:name="_Toc28764"/>
      <w:r>
        <w:rPr>
          <w:rFonts w:hint="eastAsia" w:ascii="宋体" w:hAnsi="宋体" w:eastAsia="宋体" w:cs="宋体"/>
          <w:color w:val="auto"/>
          <w:sz w:val="21"/>
          <w:szCs w:val="21"/>
          <w:highlight w:val="none"/>
        </w:rPr>
        <w:t>附件：废标条件</w:t>
      </w:r>
      <w:bookmarkEnd w:id="1019"/>
      <w:bookmarkEnd w:id="1020"/>
      <w:bookmarkEnd w:id="1021"/>
    </w:p>
    <w:p w14:paraId="4149B12B">
      <w:pPr>
        <w:pageBreakBefore w:val="0"/>
        <w:kinsoku/>
        <w:wordWrap/>
        <w:overflowPunct/>
        <w:topLinePunct w:val="0"/>
        <w:bidi w:val="0"/>
        <w:spacing w:line="360" w:lineRule="auto"/>
        <w:ind w:firstLine="422" w:firstLineChars="20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废标条件</w:t>
      </w:r>
    </w:p>
    <w:p w14:paraId="05C32FF9">
      <w:pPr>
        <w:pageBreakBefore w:val="0"/>
        <w:kinsoku/>
        <w:wordWrap/>
        <w:overflowPunct/>
        <w:topLinePunct w:val="0"/>
        <w:bidi w:val="0"/>
        <w:spacing w:line="360" w:lineRule="auto"/>
        <w:ind w:firstLine="422" w:firstLineChars="200"/>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本附件所集中列示的废标条件，是本章“评标办法”的组成部分，是对第二章“</w:t>
      </w:r>
      <w:r>
        <w:rPr>
          <w:rFonts w:hint="eastAsia" w:ascii="宋体" w:hAnsi="宋体" w:eastAsia="宋体" w:cs="宋体"/>
          <w:b/>
          <w:bCs w:val="0"/>
          <w:color w:val="auto"/>
          <w:sz w:val="21"/>
          <w:szCs w:val="21"/>
          <w:highlight w:val="none"/>
          <w:lang w:eastAsia="zh-CN"/>
        </w:rPr>
        <w:t>供应商</w:t>
      </w:r>
      <w:r>
        <w:rPr>
          <w:rFonts w:hint="eastAsia" w:ascii="宋体" w:hAnsi="宋体" w:eastAsia="宋体" w:cs="宋体"/>
          <w:b/>
          <w:bCs w:val="0"/>
          <w:color w:val="auto"/>
          <w:sz w:val="21"/>
          <w:szCs w:val="21"/>
          <w:highlight w:val="none"/>
        </w:rPr>
        <w:t>须知”和本章正文部分所规定的废标条件的总结和补充，如果出现相互矛盾的情况，以第二章“</w:t>
      </w:r>
      <w:r>
        <w:rPr>
          <w:rFonts w:hint="eastAsia" w:ascii="宋体" w:hAnsi="宋体" w:eastAsia="宋体" w:cs="宋体"/>
          <w:b/>
          <w:bCs w:val="0"/>
          <w:color w:val="auto"/>
          <w:sz w:val="21"/>
          <w:szCs w:val="21"/>
          <w:highlight w:val="none"/>
          <w:lang w:eastAsia="zh-CN"/>
        </w:rPr>
        <w:t>供应商</w:t>
      </w:r>
      <w:r>
        <w:rPr>
          <w:rFonts w:hint="eastAsia" w:ascii="宋体" w:hAnsi="宋体" w:eastAsia="宋体" w:cs="宋体"/>
          <w:b/>
          <w:bCs w:val="0"/>
          <w:color w:val="auto"/>
          <w:sz w:val="21"/>
          <w:szCs w:val="21"/>
          <w:highlight w:val="none"/>
        </w:rPr>
        <w:t>须知”和本章正文部分的规定为准。</w:t>
      </w:r>
    </w:p>
    <w:p w14:paraId="792EC75D">
      <w:pPr>
        <w:pageBreakBefore w:val="0"/>
        <w:kinsoku/>
        <w:wordWrap/>
        <w:overflowPunct/>
        <w:topLinePunct w:val="0"/>
        <w:bidi w:val="0"/>
        <w:spacing w:line="360" w:lineRule="auto"/>
        <w:ind w:firstLine="211" w:firstLineChars="100"/>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 xml:space="preserve">  1.未通过第三章评标办法</w:t>
      </w:r>
      <w:r>
        <w:rPr>
          <w:rFonts w:hint="eastAsia" w:ascii="宋体" w:hAnsi="宋体" w:eastAsia="宋体" w:cs="宋体"/>
          <w:b/>
          <w:bCs w:val="0"/>
          <w:color w:val="auto"/>
          <w:sz w:val="21"/>
          <w:szCs w:val="21"/>
          <w:highlight w:val="none"/>
          <w:lang w:eastAsia="zh-CN"/>
        </w:rPr>
        <w:t>资格评审、符合性评审的</w:t>
      </w:r>
      <w:r>
        <w:rPr>
          <w:rFonts w:hint="eastAsia" w:ascii="宋体" w:hAnsi="宋体" w:eastAsia="宋体" w:cs="宋体"/>
          <w:b/>
          <w:bCs w:val="0"/>
          <w:color w:val="auto"/>
          <w:sz w:val="21"/>
          <w:szCs w:val="21"/>
          <w:highlight w:val="none"/>
        </w:rPr>
        <w:t xml:space="preserve">； </w:t>
      </w:r>
    </w:p>
    <w:p w14:paraId="47B91BE6">
      <w:pPr>
        <w:pageBreakBefore w:val="0"/>
        <w:kinsoku/>
        <w:wordWrap/>
        <w:overflowPunct/>
        <w:topLinePunct w:val="0"/>
        <w:bidi w:val="0"/>
        <w:spacing w:line="360" w:lineRule="auto"/>
        <w:ind w:firstLine="211" w:firstLineChars="100"/>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 xml:space="preserve">  </w:t>
      </w:r>
      <w:r>
        <w:rPr>
          <w:rFonts w:hint="eastAsia" w:ascii="宋体" w:hAnsi="宋体" w:eastAsia="宋体" w:cs="宋体"/>
          <w:b/>
          <w:bCs w:val="0"/>
          <w:color w:val="auto"/>
          <w:sz w:val="21"/>
          <w:szCs w:val="21"/>
          <w:highlight w:val="none"/>
          <w:lang w:val="en-US" w:eastAsia="zh-CN"/>
        </w:rPr>
        <w:t>2</w:t>
      </w:r>
      <w:r>
        <w:rPr>
          <w:rFonts w:hint="eastAsia" w:ascii="宋体" w:hAnsi="宋体" w:eastAsia="宋体" w:cs="宋体"/>
          <w:b/>
          <w:bCs w:val="0"/>
          <w:color w:val="auto"/>
          <w:sz w:val="21"/>
          <w:szCs w:val="21"/>
          <w:highlight w:val="none"/>
        </w:rPr>
        <w:t>.不按</w:t>
      </w:r>
      <w:r>
        <w:rPr>
          <w:rFonts w:hint="eastAsia" w:ascii="宋体" w:hAnsi="宋体" w:eastAsia="宋体" w:cs="宋体"/>
          <w:b/>
          <w:bCs w:val="0"/>
          <w:color w:val="auto"/>
          <w:sz w:val="21"/>
          <w:szCs w:val="21"/>
          <w:highlight w:val="none"/>
          <w:lang w:eastAsia="zh-CN"/>
        </w:rPr>
        <w:t>磋商小组</w:t>
      </w:r>
      <w:r>
        <w:rPr>
          <w:rFonts w:hint="eastAsia" w:ascii="宋体" w:hAnsi="宋体" w:eastAsia="宋体" w:cs="宋体"/>
          <w:b/>
          <w:bCs w:val="0"/>
          <w:color w:val="auto"/>
          <w:sz w:val="21"/>
          <w:szCs w:val="21"/>
          <w:highlight w:val="none"/>
        </w:rPr>
        <w:t>要求澄清、说明或补正的；</w:t>
      </w:r>
    </w:p>
    <w:p w14:paraId="79294A8A">
      <w:pPr>
        <w:pageBreakBefore w:val="0"/>
        <w:kinsoku/>
        <w:wordWrap/>
        <w:overflowPunct/>
        <w:topLinePunct w:val="0"/>
        <w:bidi w:val="0"/>
        <w:spacing w:line="360" w:lineRule="auto"/>
        <w:ind w:firstLine="211" w:firstLineChars="100"/>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 xml:space="preserve">  </w:t>
      </w:r>
      <w:r>
        <w:rPr>
          <w:rFonts w:hint="eastAsia" w:ascii="宋体" w:hAnsi="宋体" w:eastAsia="宋体" w:cs="宋体"/>
          <w:b/>
          <w:bCs w:val="0"/>
          <w:color w:val="auto"/>
          <w:sz w:val="21"/>
          <w:szCs w:val="21"/>
          <w:highlight w:val="none"/>
          <w:lang w:val="en-US" w:eastAsia="zh-CN"/>
        </w:rPr>
        <w:t>3</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磋商</w:t>
      </w:r>
      <w:r>
        <w:rPr>
          <w:rFonts w:hint="eastAsia" w:ascii="宋体" w:hAnsi="宋体" w:eastAsia="宋体" w:cs="宋体"/>
          <w:b/>
          <w:bCs w:val="0"/>
          <w:color w:val="auto"/>
          <w:sz w:val="21"/>
          <w:szCs w:val="21"/>
          <w:highlight w:val="none"/>
        </w:rPr>
        <w:t>报价有算术性错误，投标人不接受修正价格的；</w:t>
      </w:r>
    </w:p>
    <w:p w14:paraId="5DE1E9E4">
      <w:pPr>
        <w:pageBreakBefore w:val="0"/>
        <w:kinsoku/>
        <w:wordWrap/>
        <w:overflowPunct/>
        <w:topLinePunct w:val="0"/>
        <w:bidi w:val="0"/>
        <w:spacing w:line="360" w:lineRule="auto"/>
        <w:ind w:firstLine="422" w:firstLineChars="200"/>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4</w:t>
      </w:r>
      <w:r>
        <w:rPr>
          <w:rFonts w:hint="eastAsia" w:ascii="宋体" w:hAnsi="宋体" w:eastAsia="宋体" w:cs="宋体"/>
          <w:b/>
          <w:bCs w:val="0"/>
          <w:color w:val="auto"/>
          <w:sz w:val="21"/>
          <w:szCs w:val="21"/>
          <w:highlight w:val="none"/>
        </w:rPr>
        <w:t>.以他人的名义投标、以行贿手段谋取中标或者以其他弄虚作假方式投标的；</w:t>
      </w:r>
    </w:p>
    <w:p w14:paraId="544B7417">
      <w:pPr>
        <w:pageBreakBefore w:val="0"/>
        <w:kinsoku/>
        <w:wordWrap/>
        <w:overflowPunct/>
        <w:topLinePunct w:val="0"/>
        <w:bidi w:val="0"/>
        <w:spacing w:line="360" w:lineRule="auto"/>
        <w:ind w:firstLine="422" w:firstLineChars="200"/>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5</w:t>
      </w:r>
      <w:r>
        <w:rPr>
          <w:rFonts w:hint="eastAsia" w:ascii="宋体" w:hAnsi="宋体" w:eastAsia="宋体" w:cs="宋体"/>
          <w:b/>
          <w:bCs w:val="0"/>
          <w:color w:val="auto"/>
          <w:sz w:val="21"/>
          <w:szCs w:val="21"/>
          <w:highlight w:val="none"/>
        </w:rPr>
        <w:t>.属于串（围）标行为的；</w:t>
      </w:r>
    </w:p>
    <w:p w14:paraId="0710BC64">
      <w:pPr>
        <w:pageBreakBefore w:val="0"/>
        <w:kinsoku/>
        <w:wordWrap/>
        <w:overflowPunct/>
        <w:topLinePunct w:val="0"/>
        <w:bidi w:val="0"/>
        <w:spacing w:line="360" w:lineRule="auto"/>
        <w:ind w:firstLine="422" w:firstLineChars="200"/>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6</w:t>
      </w:r>
      <w:r>
        <w:rPr>
          <w:rFonts w:hint="eastAsia" w:ascii="宋体" w:hAnsi="宋体" w:eastAsia="宋体" w:cs="宋体"/>
          <w:b/>
          <w:bCs w:val="0"/>
          <w:color w:val="auto"/>
          <w:sz w:val="21"/>
          <w:szCs w:val="21"/>
          <w:highlight w:val="none"/>
        </w:rPr>
        <w:t>.评标委员会认定投标人以低于成本报价竞标的；</w:t>
      </w:r>
    </w:p>
    <w:p w14:paraId="1E1C7DCD">
      <w:pPr>
        <w:pageBreakBefore w:val="0"/>
        <w:kinsoku/>
        <w:wordWrap/>
        <w:overflowPunct/>
        <w:topLinePunct w:val="0"/>
        <w:bidi w:val="0"/>
        <w:spacing w:line="360" w:lineRule="auto"/>
        <w:ind w:firstLine="422" w:firstLineChars="200"/>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7</w:t>
      </w:r>
      <w:r>
        <w:rPr>
          <w:rFonts w:hint="eastAsia" w:ascii="宋体" w:hAnsi="宋体" w:eastAsia="宋体" w:cs="宋体"/>
          <w:b/>
          <w:bCs w:val="0"/>
          <w:color w:val="auto"/>
          <w:sz w:val="21"/>
          <w:szCs w:val="21"/>
          <w:highlight w:val="none"/>
        </w:rPr>
        <w:t>．明显不符合技术规格、技术标准的要求；</w:t>
      </w:r>
    </w:p>
    <w:p w14:paraId="270B6C7C">
      <w:pPr>
        <w:pageBreakBefore w:val="0"/>
        <w:kinsoku/>
        <w:wordWrap/>
        <w:overflowPunct/>
        <w:topLinePunct w:val="0"/>
        <w:bidi w:val="0"/>
        <w:spacing w:line="360" w:lineRule="auto"/>
        <w:ind w:firstLine="422" w:firstLineChars="200"/>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8.不具备</w:t>
      </w:r>
      <w:r>
        <w:rPr>
          <w:rFonts w:hint="eastAsia" w:ascii="宋体" w:hAnsi="宋体" w:eastAsia="宋体" w:cs="宋体"/>
          <w:b/>
          <w:bCs w:val="0"/>
          <w:color w:val="auto"/>
          <w:sz w:val="21"/>
          <w:szCs w:val="21"/>
          <w:highlight w:val="none"/>
          <w:lang w:val="en-US" w:eastAsia="zh-CN"/>
        </w:rPr>
        <w:t>采购</w:t>
      </w:r>
      <w:r>
        <w:rPr>
          <w:rFonts w:hint="eastAsia" w:ascii="宋体" w:hAnsi="宋体" w:eastAsia="宋体" w:cs="宋体"/>
          <w:b/>
          <w:bCs w:val="0"/>
          <w:color w:val="auto"/>
          <w:sz w:val="21"/>
          <w:szCs w:val="21"/>
          <w:highlight w:val="none"/>
        </w:rPr>
        <w:t>文件中规定的资格要求的；</w:t>
      </w:r>
    </w:p>
    <w:p w14:paraId="71D0F798">
      <w:pPr>
        <w:pageBreakBefore w:val="0"/>
        <w:kinsoku/>
        <w:wordWrap/>
        <w:overflowPunct/>
        <w:topLinePunct w:val="0"/>
        <w:bidi w:val="0"/>
        <w:spacing w:line="360" w:lineRule="auto"/>
        <w:ind w:firstLine="211" w:firstLineChars="100"/>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 xml:space="preserve">  9.文件制作机器码、文件创建标识码有相同的；</w:t>
      </w:r>
    </w:p>
    <w:p w14:paraId="13B05D8D">
      <w:pPr>
        <w:pageBreakBefore w:val="0"/>
        <w:kinsoku/>
        <w:wordWrap/>
        <w:overflowPunct/>
        <w:topLinePunct w:val="0"/>
        <w:bidi w:val="0"/>
        <w:spacing w:line="360" w:lineRule="auto"/>
        <w:ind w:firstLine="422" w:firstLineChars="200"/>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10</w:t>
      </w:r>
      <w:r>
        <w:rPr>
          <w:rFonts w:hint="eastAsia" w:ascii="宋体" w:hAnsi="宋体" w:eastAsia="宋体" w:cs="宋体"/>
          <w:b/>
          <w:bCs w:val="0"/>
          <w:color w:val="auto"/>
          <w:sz w:val="21"/>
          <w:szCs w:val="21"/>
          <w:highlight w:val="none"/>
        </w:rPr>
        <w:t>．不符合</w:t>
      </w:r>
      <w:r>
        <w:rPr>
          <w:rFonts w:hint="eastAsia" w:ascii="宋体" w:hAnsi="宋体" w:eastAsia="宋体" w:cs="宋体"/>
          <w:b/>
          <w:bCs w:val="0"/>
          <w:color w:val="auto"/>
          <w:sz w:val="21"/>
          <w:szCs w:val="21"/>
          <w:highlight w:val="none"/>
          <w:lang w:eastAsia="zh-CN"/>
        </w:rPr>
        <w:t>竞争性磋商</w:t>
      </w:r>
      <w:r>
        <w:rPr>
          <w:rFonts w:hint="eastAsia" w:ascii="宋体" w:hAnsi="宋体" w:eastAsia="宋体" w:cs="宋体"/>
          <w:b/>
          <w:bCs w:val="0"/>
          <w:color w:val="auto"/>
          <w:sz w:val="21"/>
          <w:szCs w:val="21"/>
          <w:highlight w:val="none"/>
        </w:rPr>
        <w:t>文件规定的其他实质性要求及相关法律、法规或规章规定可以废标的其他情形。</w:t>
      </w:r>
    </w:p>
    <w:bookmarkEnd w:id="1015"/>
    <w:bookmarkEnd w:id="1016"/>
    <w:bookmarkEnd w:id="1017"/>
    <w:bookmarkEnd w:id="1018"/>
    <w:p w14:paraId="05C4FB32">
      <w:pPr>
        <w:rPr>
          <w:rFonts w:hint="eastAsia" w:ascii="宋体" w:hAnsi="宋体" w:eastAsia="宋体" w:cs="宋体"/>
          <w:highlight w:val="none"/>
          <w:lang w:eastAsia="zh-CN"/>
        </w:rPr>
      </w:pPr>
      <w:bookmarkStart w:id="1022" w:name="_Toc14158"/>
      <w:bookmarkStart w:id="1023" w:name="_Toc152045786"/>
      <w:bookmarkStart w:id="1024" w:name="_Toc152042575"/>
      <w:bookmarkStart w:id="1025" w:name="_Toc144974855"/>
      <w:r>
        <w:rPr>
          <w:rFonts w:hint="eastAsia" w:ascii="宋体" w:hAnsi="宋体" w:eastAsia="宋体" w:cs="宋体"/>
          <w:highlight w:val="none"/>
          <w:lang w:eastAsia="zh-CN"/>
        </w:rPr>
        <w:br w:type="page"/>
      </w:r>
    </w:p>
    <w:p w14:paraId="302A262D">
      <w:pPr>
        <w:pStyle w:val="23"/>
        <w:tabs>
          <w:tab w:val="right" w:leader="underscore" w:pos="8296"/>
        </w:tabs>
        <w:spacing w:after="0" w:afterLines="0" w:line="360" w:lineRule="auto"/>
        <w:ind w:left="0" w:leftChars="0" w:firstLine="0" w:firstLineChars="0"/>
        <w:jc w:val="center"/>
        <w:outlineLvl w:val="0"/>
        <w:rPr>
          <w:rFonts w:hint="eastAsia" w:ascii="宋体" w:hAnsi="宋体" w:eastAsia="宋体" w:cs="宋体"/>
          <w:b/>
          <w:bCs/>
          <w:color w:val="auto"/>
          <w:sz w:val="32"/>
          <w:szCs w:val="32"/>
          <w:highlight w:val="none"/>
          <w:lang w:eastAsia="zh-CN"/>
        </w:rPr>
      </w:pPr>
      <w:bookmarkStart w:id="1026" w:name="_Toc5989"/>
      <w:bookmarkStart w:id="1027" w:name="_Toc4026"/>
      <w:r>
        <w:rPr>
          <w:rFonts w:hint="eastAsia" w:ascii="宋体" w:hAnsi="宋体" w:eastAsia="宋体" w:cs="宋体"/>
          <w:b/>
          <w:bCs/>
          <w:color w:val="auto"/>
          <w:sz w:val="32"/>
          <w:szCs w:val="32"/>
          <w:highlight w:val="none"/>
          <w:lang w:eastAsia="zh-CN"/>
        </w:rPr>
        <w:t>第四章 采购合同</w:t>
      </w:r>
      <w:bookmarkEnd w:id="1026"/>
      <w:bookmarkEnd w:id="1027"/>
    </w:p>
    <w:p w14:paraId="4617C678">
      <w:pPr>
        <w:spacing w:line="400" w:lineRule="exact"/>
        <w:ind w:left="0" w:leftChars="0" w:firstLine="0" w:firstLineChars="0"/>
        <w:jc w:val="center"/>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lang w:eastAsia="zh-CN"/>
        </w:rPr>
        <w:t>（</w:t>
      </w:r>
      <w:r>
        <w:rPr>
          <w:rFonts w:hint="eastAsia" w:ascii="宋体" w:hAnsi="宋体" w:eastAsia="宋体" w:cs="宋体"/>
          <w:color w:val="auto"/>
          <w:sz w:val="30"/>
          <w:szCs w:val="30"/>
          <w:highlight w:val="none"/>
          <w:lang w:val="en-US" w:eastAsia="zh-CN"/>
        </w:rPr>
        <w:t>以实际签订合同内容为准</w:t>
      </w:r>
      <w:r>
        <w:rPr>
          <w:rFonts w:hint="eastAsia" w:ascii="宋体" w:hAnsi="宋体" w:eastAsia="宋体" w:cs="宋体"/>
          <w:color w:val="auto"/>
          <w:sz w:val="30"/>
          <w:szCs w:val="30"/>
          <w:highlight w:val="none"/>
          <w:lang w:eastAsia="zh-CN"/>
        </w:rPr>
        <w:t>）</w:t>
      </w:r>
    </w:p>
    <w:p w14:paraId="238A2A63">
      <w:pPr>
        <w:pStyle w:val="58"/>
        <w:ind w:firstLine="476"/>
        <w:rPr>
          <w:rFonts w:cs="仿宋" w:asciiTheme="minorEastAsia" w:hAnsiTheme="minorEastAsia" w:eastAsiaTheme="minorEastAsia"/>
          <w:spacing w:val="14"/>
          <w:szCs w:val="21"/>
          <w:highlight w:val="none"/>
          <w:lang w:eastAsia="zh-CN"/>
        </w:rPr>
      </w:pPr>
      <w:r>
        <w:rPr>
          <w:rFonts w:hint="eastAsia" w:cs="仿宋" w:asciiTheme="minorEastAsia" w:hAnsiTheme="minorEastAsia" w:eastAsiaTheme="minorEastAsia"/>
          <w:spacing w:val="14"/>
          <w:szCs w:val="21"/>
          <w:highlight w:val="none"/>
          <w:lang w:eastAsia="zh-CN"/>
        </w:rPr>
        <w:t>甲方：                                （以下简称甲方）</w:t>
      </w:r>
    </w:p>
    <w:p w14:paraId="21CFBAC4">
      <w:pPr>
        <w:pStyle w:val="58"/>
        <w:ind w:firstLine="476"/>
        <w:rPr>
          <w:rFonts w:cs="仿宋" w:asciiTheme="minorEastAsia" w:hAnsiTheme="minorEastAsia" w:eastAsiaTheme="minorEastAsia"/>
          <w:spacing w:val="14"/>
          <w:szCs w:val="21"/>
          <w:highlight w:val="none"/>
          <w:lang w:eastAsia="zh-CN"/>
        </w:rPr>
      </w:pPr>
      <w:r>
        <w:rPr>
          <w:rFonts w:hint="eastAsia" w:cs="仿宋" w:asciiTheme="minorEastAsia" w:hAnsiTheme="minorEastAsia" w:eastAsiaTheme="minorEastAsia"/>
          <w:spacing w:val="14"/>
          <w:szCs w:val="21"/>
          <w:highlight w:val="none"/>
          <w:lang w:eastAsia="zh-CN"/>
        </w:rPr>
        <w:t>乙方：                                （以下简称乙方）</w:t>
      </w:r>
    </w:p>
    <w:p w14:paraId="32061655">
      <w:pPr>
        <w:pStyle w:val="17"/>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outlineLvl w:val="9"/>
        <w:rPr>
          <w:rFonts w:ascii="宋体" w:hAnsi="宋体" w:eastAsia="宋体"/>
          <w:sz w:val="21"/>
          <w:highlight w:val="none"/>
          <w:u w:val="single"/>
          <w:lang w:eastAsia="zh-CN"/>
        </w:rPr>
      </w:pPr>
      <w:r>
        <w:rPr>
          <w:rFonts w:hint="eastAsia" w:ascii="宋体" w:hAnsi="宋体" w:eastAsia="宋体"/>
          <w:sz w:val="21"/>
          <w:highlight w:val="none"/>
          <w:lang w:eastAsia="zh-CN"/>
        </w:rPr>
        <w:t>依照</w:t>
      </w:r>
      <w:r>
        <w:rPr>
          <w:rFonts w:hint="eastAsia" w:ascii="宋体" w:hAnsi="宋体" w:eastAsia="宋体" w:cs="宋体"/>
          <w:color w:val="auto"/>
          <w:szCs w:val="21"/>
          <w:highlight w:val="none"/>
          <w:u w:val="single"/>
          <w:lang w:val="en-US" w:eastAsia="zh-CN"/>
        </w:rPr>
        <w:t>息县公用事业服务中心污水处理厂环保设备维修服务采购项目</w:t>
      </w:r>
      <w:r>
        <w:rPr>
          <w:rFonts w:hint="eastAsia" w:ascii="宋体" w:hAnsi="宋体" w:eastAsia="宋体"/>
          <w:sz w:val="21"/>
          <w:highlight w:val="none"/>
          <w:lang w:eastAsia="zh-CN"/>
        </w:rPr>
        <w:t>中标结果。根据《中华人民共和国</w:t>
      </w:r>
      <w:r>
        <w:rPr>
          <w:rFonts w:hint="eastAsia" w:ascii="宋体" w:hAnsi="宋体" w:eastAsia="宋体"/>
          <w:sz w:val="21"/>
          <w:highlight w:val="none"/>
          <w:lang w:val="en-US" w:eastAsia="zh-CN"/>
        </w:rPr>
        <w:t>民法典</w:t>
      </w:r>
      <w:r>
        <w:rPr>
          <w:rFonts w:hint="eastAsia" w:ascii="宋体" w:hAnsi="宋体" w:eastAsia="宋体"/>
          <w:sz w:val="21"/>
          <w:highlight w:val="none"/>
          <w:lang w:eastAsia="zh-CN"/>
        </w:rPr>
        <w:t>》以及相关</w:t>
      </w:r>
      <w:r>
        <w:rPr>
          <w:rFonts w:hint="eastAsia" w:ascii="宋体" w:hAnsi="宋体" w:eastAsia="宋体"/>
          <w:sz w:val="21"/>
          <w:highlight w:val="none"/>
          <w:lang w:eastAsia="zh-CN"/>
        </w:rPr>
        <w:fldChar w:fldCharType="begin"/>
      </w:r>
      <w:r>
        <w:rPr>
          <w:rFonts w:hint="eastAsia" w:ascii="宋体" w:hAnsi="宋体" w:eastAsia="宋体"/>
          <w:sz w:val="21"/>
          <w:highlight w:val="none"/>
          <w:lang w:eastAsia="zh-CN"/>
        </w:rPr>
        <w:instrText xml:space="preserve">HYPERLINK "http://mail.qq.com/cgi-bin/viewdocument?sid=qEU7SSj2b_8WBEAQ&amp;filename=%2B%2B%2B%2B.doc&amp;mailid=ZC2519-G_ZhRifI0FCpQwdXIg4wS31&amp;retry=true&amp;t=attachments_content&amp;ef=qfunc&amp;s=yozo&amp;fromattach=1" \l "#" </w:instrText>
      </w:r>
      <w:r>
        <w:rPr>
          <w:rFonts w:hint="eastAsia" w:ascii="宋体" w:hAnsi="宋体" w:eastAsia="宋体"/>
          <w:sz w:val="21"/>
          <w:highlight w:val="none"/>
          <w:lang w:eastAsia="zh-CN"/>
        </w:rPr>
        <w:fldChar w:fldCharType="separate"/>
      </w:r>
      <w:r>
        <w:rPr>
          <w:rFonts w:hint="eastAsia" w:ascii="宋体" w:hAnsi="宋体" w:eastAsia="宋体"/>
          <w:sz w:val="21"/>
          <w:highlight w:val="none"/>
          <w:lang w:eastAsia="zh-CN"/>
        </w:rPr>
        <w:t>法律</w:t>
      </w:r>
      <w:r>
        <w:rPr>
          <w:rFonts w:hint="eastAsia" w:ascii="宋体" w:hAnsi="宋体" w:eastAsia="宋体"/>
          <w:sz w:val="21"/>
          <w:highlight w:val="none"/>
          <w:lang w:eastAsia="zh-CN"/>
        </w:rPr>
        <w:fldChar w:fldCharType="end"/>
      </w:r>
      <w:r>
        <w:rPr>
          <w:rFonts w:hint="eastAsia" w:ascii="宋体" w:hAnsi="宋体" w:eastAsia="宋体"/>
          <w:sz w:val="21"/>
          <w:highlight w:val="none"/>
          <w:lang w:eastAsia="zh-CN"/>
        </w:rPr>
        <w:t>法规的规定，甲乙双方本着平等自愿、协商一致的原则，经双方友好协商，特订立如下</w:t>
      </w:r>
      <w:r>
        <w:rPr>
          <w:rFonts w:hint="eastAsia" w:hAnsi="宋体" w:eastAsia="宋体"/>
          <w:sz w:val="21"/>
          <w:highlight w:val="none"/>
          <w:lang w:val="en-US" w:eastAsia="zh-CN"/>
        </w:rPr>
        <w:t>条款</w:t>
      </w:r>
      <w:r>
        <w:rPr>
          <w:rFonts w:hint="eastAsia" w:ascii="宋体" w:hAnsi="宋体" w:eastAsia="宋体"/>
          <w:sz w:val="21"/>
          <w:highlight w:val="none"/>
          <w:lang w:eastAsia="zh-CN"/>
        </w:rPr>
        <w:t>：</w:t>
      </w:r>
    </w:p>
    <w:p w14:paraId="2235604C">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bookmarkStart w:id="1028" w:name="_Toc32432"/>
      <w:r>
        <w:rPr>
          <w:rFonts w:hint="eastAsia" w:ascii="宋体" w:hAnsi="宋体" w:eastAsia="宋体"/>
          <w:sz w:val="21"/>
          <w:szCs w:val="21"/>
          <w:highlight w:val="none"/>
          <w:lang w:eastAsia="zh-CN"/>
        </w:rPr>
        <w:t xml:space="preserve">一、服务内容： </w:t>
      </w:r>
      <w:r>
        <w:rPr>
          <w:rFonts w:hint="eastAsia" w:ascii="宋体" w:hAnsi="宋体" w:eastAsia="宋体"/>
          <w:sz w:val="21"/>
          <w:szCs w:val="21"/>
          <w:highlight w:val="none"/>
          <w:u w:val="single"/>
          <w:lang w:eastAsia="zh-CN"/>
        </w:rPr>
        <w:t xml:space="preserve">           </w:t>
      </w:r>
      <w:r>
        <w:rPr>
          <w:rFonts w:hint="eastAsia" w:ascii="宋体" w:hAnsi="宋体" w:eastAsia="宋体"/>
          <w:sz w:val="21"/>
          <w:szCs w:val="21"/>
          <w:highlight w:val="none"/>
          <w:u w:val="single"/>
          <w:lang w:val="en-US" w:eastAsia="zh-CN"/>
        </w:rPr>
        <w:t xml:space="preserve">       </w:t>
      </w:r>
      <w:r>
        <w:rPr>
          <w:rFonts w:hint="eastAsia" w:ascii="宋体" w:hAnsi="宋体" w:eastAsia="宋体"/>
          <w:sz w:val="21"/>
          <w:szCs w:val="21"/>
          <w:highlight w:val="none"/>
          <w:u w:val="single"/>
          <w:lang w:eastAsia="zh-CN"/>
        </w:rPr>
        <w:t xml:space="preserve">      </w:t>
      </w:r>
      <w:r>
        <w:rPr>
          <w:rFonts w:hint="eastAsia" w:ascii="宋体" w:hAnsi="宋体" w:eastAsia="宋体"/>
          <w:sz w:val="21"/>
          <w:szCs w:val="21"/>
          <w:highlight w:val="none"/>
          <w:lang w:eastAsia="zh-CN"/>
        </w:rPr>
        <w:t>。</w:t>
      </w:r>
      <w:bookmarkEnd w:id="1028"/>
    </w:p>
    <w:p w14:paraId="34339826">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bookmarkStart w:id="1029" w:name="_Toc7076"/>
      <w:r>
        <w:rPr>
          <w:rFonts w:hint="eastAsia" w:ascii="宋体" w:hAnsi="宋体" w:eastAsia="宋体"/>
          <w:sz w:val="21"/>
          <w:szCs w:val="21"/>
          <w:highlight w:val="none"/>
          <w:lang w:eastAsia="zh-CN"/>
        </w:rPr>
        <w:t>二、服务方式</w:t>
      </w:r>
      <w:bookmarkEnd w:id="1029"/>
      <w:r>
        <w:rPr>
          <w:rFonts w:hint="eastAsia" w:ascii="宋体" w:hAnsi="宋体" w:eastAsia="宋体"/>
          <w:sz w:val="21"/>
          <w:szCs w:val="21"/>
          <w:highlight w:val="none"/>
          <w:lang w:eastAsia="zh-CN"/>
        </w:rPr>
        <w:t xml:space="preserve">： </w:t>
      </w:r>
      <w:r>
        <w:rPr>
          <w:rFonts w:hint="eastAsia" w:ascii="宋体" w:hAnsi="宋体" w:eastAsia="宋体"/>
          <w:sz w:val="21"/>
          <w:szCs w:val="21"/>
          <w:highlight w:val="none"/>
          <w:u w:val="single"/>
          <w:lang w:eastAsia="zh-CN"/>
        </w:rPr>
        <w:t xml:space="preserve">           </w:t>
      </w:r>
      <w:r>
        <w:rPr>
          <w:rFonts w:hint="eastAsia" w:ascii="宋体" w:hAnsi="宋体" w:eastAsia="宋体"/>
          <w:sz w:val="21"/>
          <w:szCs w:val="21"/>
          <w:highlight w:val="none"/>
          <w:u w:val="single"/>
          <w:lang w:val="en-US" w:eastAsia="zh-CN"/>
        </w:rPr>
        <w:t xml:space="preserve">       </w:t>
      </w:r>
      <w:r>
        <w:rPr>
          <w:rFonts w:hint="eastAsia" w:ascii="宋体" w:hAnsi="宋体" w:eastAsia="宋体"/>
          <w:sz w:val="21"/>
          <w:szCs w:val="21"/>
          <w:highlight w:val="none"/>
          <w:u w:val="single"/>
          <w:lang w:eastAsia="zh-CN"/>
        </w:rPr>
        <w:t xml:space="preserve">      </w:t>
      </w:r>
      <w:r>
        <w:rPr>
          <w:rFonts w:hint="eastAsia" w:ascii="宋体" w:hAnsi="宋体" w:eastAsia="宋体"/>
          <w:sz w:val="21"/>
          <w:szCs w:val="21"/>
          <w:highlight w:val="none"/>
          <w:lang w:eastAsia="zh-CN"/>
        </w:rPr>
        <w:t>。</w:t>
      </w:r>
      <w:r>
        <w:rPr>
          <w:rFonts w:hint="eastAsia" w:ascii="宋体" w:hAnsi="宋体" w:eastAsia="宋体"/>
          <w:sz w:val="21"/>
          <w:szCs w:val="21"/>
          <w:highlight w:val="none"/>
          <w:lang w:val="en-US" w:eastAsia="zh-CN"/>
        </w:rPr>
        <w:t xml:space="preserve"> </w:t>
      </w:r>
    </w:p>
    <w:p w14:paraId="3CEBA1F8">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bookmarkStart w:id="1030" w:name="_Toc6288"/>
      <w:r>
        <w:rPr>
          <w:rFonts w:hint="eastAsia" w:ascii="宋体" w:hAnsi="宋体" w:eastAsia="宋体"/>
          <w:sz w:val="21"/>
          <w:szCs w:val="21"/>
          <w:highlight w:val="none"/>
          <w:lang w:eastAsia="zh-CN"/>
        </w:rPr>
        <w:t>三、工作要求：</w:t>
      </w:r>
      <w:bookmarkEnd w:id="1030"/>
      <w:r>
        <w:rPr>
          <w:rFonts w:hint="eastAsia" w:ascii="宋体" w:hAnsi="宋体" w:eastAsia="宋体"/>
          <w:sz w:val="21"/>
          <w:szCs w:val="21"/>
          <w:highlight w:val="none"/>
          <w:u w:val="single"/>
          <w:lang w:eastAsia="zh-CN"/>
        </w:rPr>
        <w:t xml:space="preserve">           </w:t>
      </w:r>
      <w:r>
        <w:rPr>
          <w:rFonts w:hint="eastAsia" w:ascii="宋体" w:hAnsi="宋体" w:eastAsia="宋体"/>
          <w:sz w:val="21"/>
          <w:szCs w:val="21"/>
          <w:highlight w:val="none"/>
          <w:u w:val="single"/>
          <w:lang w:val="en-US" w:eastAsia="zh-CN"/>
        </w:rPr>
        <w:t xml:space="preserve">       </w:t>
      </w:r>
      <w:r>
        <w:rPr>
          <w:rFonts w:hint="eastAsia" w:ascii="宋体" w:hAnsi="宋体" w:eastAsia="宋体"/>
          <w:sz w:val="21"/>
          <w:szCs w:val="21"/>
          <w:highlight w:val="none"/>
          <w:u w:val="single"/>
          <w:lang w:eastAsia="zh-CN"/>
        </w:rPr>
        <w:t xml:space="preserve">     </w:t>
      </w:r>
      <w:r>
        <w:rPr>
          <w:rFonts w:hint="eastAsia" w:ascii="宋体" w:hAnsi="宋体" w:eastAsia="宋体"/>
          <w:sz w:val="21"/>
          <w:szCs w:val="21"/>
          <w:highlight w:val="none"/>
          <w:u w:val="single"/>
          <w:lang w:val="en-US" w:eastAsia="zh-CN"/>
        </w:rPr>
        <w:t xml:space="preserve"> </w:t>
      </w:r>
      <w:r>
        <w:rPr>
          <w:rFonts w:hint="eastAsia" w:ascii="宋体" w:hAnsi="宋体" w:eastAsia="宋体"/>
          <w:sz w:val="21"/>
          <w:szCs w:val="21"/>
          <w:highlight w:val="none"/>
          <w:u w:val="single"/>
          <w:lang w:eastAsia="zh-CN"/>
        </w:rPr>
        <w:t xml:space="preserve"> </w:t>
      </w:r>
      <w:r>
        <w:rPr>
          <w:rFonts w:hint="eastAsia" w:ascii="宋体" w:hAnsi="宋体" w:eastAsia="宋体"/>
          <w:sz w:val="21"/>
          <w:szCs w:val="21"/>
          <w:highlight w:val="none"/>
          <w:u w:val="none"/>
          <w:lang w:eastAsia="zh-CN"/>
        </w:rPr>
        <w:t>。</w:t>
      </w:r>
    </w:p>
    <w:p w14:paraId="70A971E6">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bookmarkStart w:id="1031" w:name="_Toc617"/>
      <w:r>
        <w:rPr>
          <w:rFonts w:hint="eastAsia" w:ascii="宋体" w:hAnsi="宋体" w:eastAsia="宋体"/>
          <w:sz w:val="21"/>
          <w:szCs w:val="21"/>
          <w:highlight w:val="none"/>
          <w:lang w:eastAsia="zh-CN"/>
        </w:rPr>
        <w:t>四、承揽服务期限：</w:t>
      </w:r>
      <w:bookmarkEnd w:id="1031"/>
      <w:r>
        <w:rPr>
          <w:rFonts w:hint="eastAsia" w:ascii="宋体" w:hAnsi="宋体" w:eastAsia="宋体"/>
          <w:sz w:val="21"/>
          <w:szCs w:val="21"/>
          <w:highlight w:val="none"/>
          <w:u w:val="single"/>
          <w:lang w:eastAsia="zh-CN"/>
        </w:rPr>
        <w:t xml:space="preserve">           </w:t>
      </w:r>
      <w:r>
        <w:rPr>
          <w:rFonts w:hint="eastAsia" w:ascii="宋体" w:hAnsi="宋体" w:eastAsia="宋体"/>
          <w:sz w:val="21"/>
          <w:szCs w:val="21"/>
          <w:highlight w:val="none"/>
          <w:u w:val="single"/>
          <w:lang w:val="en-US" w:eastAsia="zh-CN"/>
        </w:rPr>
        <w:t xml:space="preserve">       </w:t>
      </w:r>
      <w:r>
        <w:rPr>
          <w:rFonts w:hint="eastAsia" w:ascii="宋体" w:hAnsi="宋体" w:eastAsia="宋体"/>
          <w:sz w:val="21"/>
          <w:szCs w:val="21"/>
          <w:highlight w:val="none"/>
          <w:u w:val="single"/>
          <w:lang w:eastAsia="zh-CN"/>
        </w:rPr>
        <w:t xml:space="preserve">     </w:t>
      </w:r>
      <w:r>
        <w:rPr>
          <w:rFonts w:hint="eastAsia" w:ascii="宋体" w:hAnsi="宋体" w:eastAsia="宋体"/>
          <w:sz w:val="21"/>
          <w:szCs w:val="21"/>
          <w:highlight w:val="none"/>
          <w:u w:val="single"/>
          <w:lang w:val="en-US" w:eastAsia="zh-CN"/>
        </w:rPr>
        <w:t xml:space="preserve"> </w:t>
      </w:r>
      <w:r>
        <w:rPr>
          <w:rFonts w:hint="eastAsia" w:ascii="宋体" w:hAnsi="宋体" w:eastAsia="宋体"/>
          <w:sz w:val="21"/>
          <w:szCs w:val="21"/>
          <w:highlight w:val="none"/>
          <w:u w:val="single"/>
          <w:lang w:eastAsia="zh-CN"/>
        </w:rPr>
        <w:t xml:space="preserve"> </w:t>
      </w:r>
      <w:r>
        <w:rPr>
          <w:rFonts w:hint="eastAsia" w:ascii="宋体" w:hAnsi="宋体" w:eastAsia="宋体"/>
          <w:sz w:val="21"/>
          <w:szCs w:val="21"/>
          <w:highlight w:val="none"/>
          <w:u w:val="none"/>
          <w:lang w:eastAsia="zh-CN"/>
        </w:rPr>
        <w:t>。</w:t>
      </w:r>
    </w:p>
    <w:p w14:paraId="6E3955CC">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bookmarkStart w:id="1032" w:name="_Toc20278"/>
      <w:r>
        <w:rPr>
          <w:rFonts w:hint="eastAsia" w:ascii="宋体" w:hAnsi="宋体" w:eastAsia="宋体"/>
          <w:sz w:val="21"/>
          <w:szCs w:val="21"/>
          <w:highlight w:val="none"/>
          <w:lang w:eastAsia="zh-CN"/>
        </w:rPr>
        <w:t>五、服务费用总价及付款方式</w:t>
      </w:r>
      <w:bookmarkEnd w:id="1032"/>
    </w:p>
    <w:p w14:paraId="01CFD830">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1、服务费用：</w:t>
      </w:r>
      <w:r>
        <w:rPr>
          <w:rFonts w:hint="eastAsia" w:ascii="宋体" w:hAnsi="宋体" w:eastAsia="宋体"/>
          <w:sz w:val="21"/>
          <w:szCs w:val="21"/>
          <w:highlight w:val="none"/>
          <w:u w:val="single"/>
          <w:lang w:val="en-US" w:eastAsia="zh-CN"/>
        </w:rPr>
        <w:t xml:space="preserve">          </w:t>
      </w:r>
      <w:r>
        <w:rPr>
          <w:rFonts w:hint="eastAsia" w:ascii="宋体" w:hAnsi="宋体" w:eastAsia="宋体"/>
          <w:sz w:val="21"/>
          <w:szCs w:val="21"/>
          <w:highlight w:val="none"/>
          <w:lang w:eastAsia="zh-CN"/>
        </w:rPr>
        <w:t>，以上金额含增值税等相关税费金额，乙方向甲方开具符合国家相关法律法规、甲方财务规定的专用发票。</w:t>
      </w:r>
    </w:p>
    <w:p w14:paraId="20BA6B42">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2、付款方式：</w:t>
      </w:r>
      <w:r>
        <w:rPr>
          <w:rFonts w:hint="eastAsia" w:ascii="宋体" w:hAnsi="宋体" w:eastAsia="宋体"/>
          <w:sz w:val="21"/>
          <w:szCs w:val="21"/>
          <w:highlight w:val="none"/>
          <w:u w:val="single"/>
          <w:lang w:val="en-US" w:eastAsia="zh-CN"/>
        </w:rPr>
        <w:t xml:space="preserve">                    </w:t>
      </w:r>
      <w:r>
        <w:rPr>
          <w:rFonts w:hint="eastAsia" w:ascii="宋体" w:hAnsi="宋体" w:eastAsia="宋体"/>
          <w:sz w:val="21"/>
          <w:szCs w:val="21"/>
          <w:highlight w:val="none"/>
          <w:lang w:eastAsia="zh-CN"/>
        </w:rPr>
        <w:t>。</w:t>
      </w:r>
    </w:p>
    <w:p w14:paraId="682494B5">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2.1 服务费用采取</w:t>
      </w:r>
      <w:r>
        <w:rPr>
          <w:rFonts w:hint="eastAsia" w:ascii="宋体" w:hAnsi="宋体" w:eastAsia="宋体"/>
          <w:sz w:val="21"/>
          <w:szCs w:val="21"/>
          <w:highlight w:val="none"/>
          <w:u w:val="single"/>
          <w:lang w:val="en-US" w:eastAsia="zh-CN"/>
        </w:rPr>
        <w:t xml:space="preserve">                    </w:t>
      </w:r>
      <w:r>
        <w:rPr>
          <w:rFonts w:hint="eastAsia" w:ascii="宋体" w:hAnsi="宋体" w:eastAsia="宋体"/>
          <w:sz w:val="21"/>
          <w:szCs w:val="21"/>
          <w:highlight w:val="none"/>
          <w:lang w:eastAsia="zh-CN"/>
        </w:rPr>
        <w:t>。</w:t>
      </w:r>
    </w:p>
    <w:p w14:paraId="76A5655B">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2.2 乙方提供符合税法规定和本地税务机关认可的相应金额的增值税发票。因乙方开具发票不符合增值税相关制度规定导致甲方无法及时认证、抵扣、所得税前列支等情形的，乙方需向甲方承担赔偿责任，包括但不限于税款、滞纳金、罚款及相关损失等。</w:t>
      </w:r>
    </w:p>
    <w:p w14:paraId="62F6EF44">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2.3 乙方应</w:t>
      </w:r>
      <w:r>
        <w:rPr>
          <w:rFonts w:hint="eastAsia" w:ascii="宋体" w:hAnsi="宋体" w:eastAsia="宋体"/>
          <w:sz w:val="21"/>
          <w:szCs w:val="21"/>
          <w:highlight w:val="none"/>
          <w:lang w:val="en-US" w:eastAsia="zh-CN"/>
        </w:rPr>
        <w:t>先</w:t>
      </w:r>
      <w:r>
        <w:rPr>
          <w:rFonts w:hint="eastAsia" w:ascii="宋体" w:hAnsi="宋体" w:eastAsia="宋体"/>
          <w:sz w:val="21"/>
          <w:szCs w:val="21"/>
          <w:highlight w:val="none"/>
          <w:lang w:eastAsia="zh-CN"/>
        </w:rPr>
        <w:t>向甲方提供合格的增值税专用发票(包含税务机关代开)，并按实际情况准确填写发票项目，用以支付服务费用。乙方向甲方提供合格的发票系甲方付款的前提条件，否则甲方有权延期付款，直至收到乙方提供的合格发票。</w:t>
      </w:r>
    </w:p>
    <w:p w14:paraId="0422A058">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2.4 乙方提交发票的同时，还应提交付款申请及月度服务报告，甲方在收到乙方付款申请及月度报告十个工作日内审核完毕并向乙方支付月服务费。如因乙方原因造成付款拖延(如上报资料不全，不合规、未提供发票等)，甲方付款顺延。</w:t>
      </w:r>
    </w:p>
    <w:p w14:paraId="601B1C46">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3、乙方账户如下：</w:t>
      </w:r>
    </w:p>
    <w:p w14:paraId="4CB53111">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乙方名称:</w:t>
      </w:r>
    </w:p>
    <w:p w14:paraId="4CE39F35">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纳税人识别号：</w:t>
      </w:r>
    </w:p>
    <w:p w14:paraId="7828D225">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户名:</w:t>
      </w:r>
    </w:p>
    <w:p w14:paraId="5DE0597B">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开户行：</w:t>
      </w:r>
    </w:p>
    <w:p w14:paraId="5B0D8C29">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账 号：</w:t>
      </w:r>
    </w:p>
    <w:p w14:paraId="1ADE5C4E">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开户银行地址:</w:t>
      </w:r>
    </w:p>
    <w:p w14:paraId="55B1C1C9">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bookmarkStart w:id="1033" w:name="_Toc1335"/>
      <w:r>
        <w:rPr>
          <w:rFonts w:hint="eastAsia" w:ascii="宋体" w:hAnsi="宋体" w:eastAsia="宋体"/>
          <w:sz w:val="21"/>
          <w:szCs w:val="21"/>
          <w:highlight w:val="none"/>
          <w:lang w:eastAsia="zh-CN"/>
        </w:rPr>
        <w:t>六、甲方权利义务：</w:t>
      </w:r>
      <w:bookmarkEnd w:id="1033"/>
    </w:p>
    <w:p w14:paraId="60DEF0A7">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1、委派人员检查督导现场工作，发现问题及时通知乙方管理人员，对检查中发现的未达到服务标准的项目，有权要求乙方限期整改。</w:t>
      </w:r>
    </w:p>
    <w:p w14:paraId="1150A64F">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2、甲方根据相关规章制度、工作标准对乙方提出工作建议、要求，并有权对现场管理进行督导，甲方根据合同约定的最终满意度结果支付相应服务费用。</w:t>
      </w:r>
    </w:p>
    <w:p w14:paraId="1E525EB6">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bookmarkStart w:id="1034" w:name="_Toc7084"/>
      <w:r>
        <w:rPr>
          <w:rFonts w:hint="eastAsia" w:ascii="宋体" w:hAnsi="宋体" w:eastAsia="宋体"/>
          <w:sz w:val="21"/>
          <w:szCs w:val="21"/>
          <w:highlight w:val="none"/>
          <w:lang w:eastAsia="zh-CN"/>
        </w:rPr>
        <w:t>七、乙方权利义务</w:t>
      </w:r>
      <w:bookmarkEnd w:id="1034"/>
    </w:p>
    <w:p w14:paraId="46EEE815">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1、应指派有经验、懂管理、有责任心的管理人员和符合岗位要求、培训合格的员工上岗，上述人员须严格遵守甲方及乙方公司所订规章制度，注意言行举止以维护甲方整体良好形象。</w:t>
      </w:r>
    </w:p>
    <w:p w14:paraId="2FC4FC3C">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2、乙方人员应严格履行自己的岗位职责。</w:t>
      </w:r>
    </w:p>
    <w:p w14:paraId="67CB6ED7">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val="en-US" w:eastAsia="zh-CN"/>
        </w:rPr>
        <w:t>3、</w:t>
      </w:r>
      <w:r>
        <w:rPr>
          <w:rFonts w:ascii="宋体" w:hAnsi="宋体" w:eastAsia="宋体"/>
          <w:sz w:val="21"/>
          <w:szCs w:val="21"/>
          <w:highlight w:val="none"/>
          <w:lang w:eastAsia="zh-CN"/>
        </w:rPr>
        <w:t>乙方保证维护工作的过程未侵犯第三方合法权益。</w:t>
      </w:r>
    </w:p>
    <w:p w14:paraId="48C260E5">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val="en-US" w:eastAsia="zh-CN"/>
        </w:rPr>
        <w:t>4、</w:t>
      </w:r>
      <w:r>
        <w:rPr>
          <w:rFonts w:ascii="宋体" w:hAnsi="宋体" w:eastAsia="宋体"/>
          <w:sz w:val="21"/>
          <w:szCs w:val="21"/>
          <w:highlight w:val="none"/>
          <w:lang w:eastAsia="zh-CN"/>
        </w:rPr>
        <w:t>经乙方维护更新后的</w:t>
      </w:r>
      <w:r>
        <w:rPr>
          <w:rFonts w:hint="eastAsia" w:ascii="宋体" w:hAnsi="宋体" w:eastAsia="宋体"/>
          <w:sz w:val="21"/>
          <w:szCs w:val="21"/>
          <w:highlight w:val="none"/>
          <w:lang w:val="en-US" w:eastAsia="zh-CN"/>
        </w:rPr>
        <w:t>设备</w:t>
      </w:r>
      <w:r>
        <w:rPr>
          <w:rFonts w:ascii="宋体" w:hAnsi="宋体" w:eastAsia="宋体"/>
          <w:sz w:val="21"/>
          <w:szCs w:val="21"/>
          <w:highlight w:val="none"/>
          <w:lang w:eastAsia="zh-CN"/>
        </w:rPr>
        <w:t>，其任何部分如被依法认定为侵犯第三方合法权利，或者任何由乙方授予的权利被认定为侵权，乙方应当承担相应的责任，或者取得相关授权，以使甲方能够继续享有本合同所规定的各项权利，并且乙方应当赔偿甲方由此而造成的损</w:t>
      </w:r>
      <w:r>
        <w:rPr>
          <w:rFonts w:hint="eastAsia" w:ascii="宋体" w:hAnsi="宋体" w:eastAsia="宋体"/>
          <w:sz w:val="21"/>
          <w:szCs w:val="21"/>
          <w:highlight w:val="none"/>
          <w:lang w:val="en-US" w:eastAsia="zh-CN"/>
        </w:rPr>
        <w:t>失</w:t>
      </w:r>
      <w:r>
        <w:rPr>
          <w:rFonts w:ascii="宋体" w:hAnsi="宋体" w:eastAsia="宋体"/>
          <w:sz w:val="21"/>
          <w:szCs w:val="21"/>
          <w:highlight w:val="none"/>
          <w:lang w:eastAsia="zh-CN"/>
        </w:rPr>
        <w:t>。</w:t>
      </w:r>
    </w:p>
    <w:p w14:paraId="4E03F6AA">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val="en-US" w:eastAsia="zh-CN"/>
        </w:rPr>
        <w:t>5、</w:t>
      </w:r>
      <w:r>
        <w:rPr>
          <w:rFonts w:ascii="宋体" w:hAnsi="宋体" w:eastAsia="宋体"/>
          <w:sz w:val="21"/>
          <w:szCs w:val="21"/>
          <w:highlight w:val="none"/>
          <w:lang w:eastAsia="zh-CN"/>
        </w:rPr>
        <w:t>乙方所承担的维护项目的质量标准应当符合国家标准、行业标准或者制造企业的标准。若无国家标准、行业标准或者制造企业的标准的，以符合合同目的的其他标准作为质量标准。除此之外还应当符合</w:t>
      </w:r>
      <w:r>
        <w:rPr>
          <w:rFonts w:hint="eastAsia" w:ascii="宋体" w:hAnsi="宋体" w:eastAsia="宋体"/>
          <w:sz w:val="21"/>
          <w:szCs w:val="21"/>
          <w:highlight w:val="none"/>
          <w:lang w:val="en-US" w:eastAsia="zh-CN"/>
        </w:rPr>
        <w:t>息县</w:t>
      </w:r>
      <w:r>
        <w:rPr>
          <w:rFonts w:ascii="宋体" w:hAnsi="宋体" w:eastAsia="宋体"/>
          <w:sz w:val="21"/>
          <w:szCs w:val="21"/>
          <w:highlight w:val="none"/>
          <w:lang w:eastAsia="zh-CN"/>
        </w:rPr>
        <w:t>有关安全、环保、卫生等有关规定。</w:t>
      </w:r>
    </w:p>
    <w:p w14:paraId="2EBA4C9C">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val="en-US" w:eastAsia="zh-CN"/>
        </w:rPr>
        <w:t>6、</w:t>
      </w:r>
      <w:r>
        <w:rPr>
          <w:rFonts w:ascii="宋体" w:hAnsi="宋体" w:eastAsia="宋体"/>
          <w:sz w:val="21"/>
          <w:szCs w:val="21"/>
          <w:highlight w:val="none"/>
          <w:lang w:eastAsia="zh-CN"/>
        </w:rPr>
        <w:t>未经甲方同意，乙方不得将本合同项目的部分或者全部维护工作转包给第三方承担。</w:t>
      </w:r>
    </w:p>
    <w:p w14:paraId="5D59268A">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val="en-US" w:eastAsia="zh-CN"/>
        </w:rPr>
        <w:t>7、</w:t>
      </w:r>
      <w:r>
        <w:rPr>
          <w:rFonts w:ascii="宋体" w:hAnsi="宋体" w:eastAsia="宋体"/>
          <w:sz w:val="21"/>
          <w:szCs w:val="21"/>
          <w:highlight w:val="none"/>
          <w:lang w:eastAsia="zh-CN"/>
        </w:rPr>
        <w:t>乙方保证在提供本合同服务时将尽合理的努力，使用合理的技能，并将依照本合同及其附件的规定提供服务。乙方保证</w:t>
      </w:r>
      <w:r>
        <w:rPr>
          <w:rFonts w:hint="eastAsia" w:ascii="宋体" w:hAnsi="宋体" w:eastAsia="宋体"/>
          <w:sz w:val="21"/>
          <w:szCs w:val="21"/>
          <w:highlight w:val="none"/>
          <w:lang w:val="en-US" w:eastAsia="zh-CN"/>
        </w:rPr>
        <w:t>按照要求，</w:t>
      </w:r>
      <w:r>
        <w:rPr>
          <w:rFonts w:ascii="宋体" w:hAnsi="宋体" w:eastAsia="宋体"/>
          <w:sz w:val="21"/>
          <w:szCs w:val="21"/>
          <w:highlight w:val="none"/>
          <w:lang w:eastAsia="zh-CN"/>
        </w:rPr>
        <w:t>在维护巡检时仔细检查相关设备、部件和线路</w:t>
      </w:r>
      <w:r>
        <w:rPr>
          <w:rFonts w:hint="eastAsia" w:ascii="宋体" w:hAnsi="宋体" w:eastAsia="宋体"/>
          <w:sz w:val="21"/>
          <w:szCs w:val="21"/>
          <w:highlight w:val="none"/>
          <w:lang w:eastAsia="zh-CN"/>
        </w:rPr>
        <w:t>。</w:t>
      </w:r>
      <w:r>
        <w:rPr>
          <w:rFonts w:ascii="宋体" w:hAnsi="宋体" w:eastAsia="宋体"/>
          <w:sz w:val="21"/>
          <w:szCs w:val="21"/>
          <w:highlight w:val="none"/>
          <w:lang w:eastAsia="zh-CN"/>
        </w:rPr>
        <w:t>对甲方</w:t>
      </w:r>
      <w:r>
        <w:rPr>
          <w:rFonts w:hint="eastAsia" w:ascii="宋体" w:hAnsi="宋体" w:eastAsia="宋体"/>
          <w:sz w:val="21"/>
          <w:szCs w:val="21"/>
          <w:highlight w:val="none"/>
          <w:lang w:val="en-US" w:eastAsia="zh-CN"/>
        </w:rPr>
        <w:t>设备</w:t>
      </w:r>
      <w:r>
        <w:rPr>
          <w:rFonts w:ascii="宋体" w:hAnsi="宋体" w:eastAsia="宋体"/>
          <w:sz w:val="21"/>
          <w:szCs w:val="21"/>
          <w:highlight w:val="none"/>
          <w:lang w:eastAsia="zh-CN"/>
        </w:rPr>
        <w:t>所存在的</w:t>
      </w:r>
      <w:r>
        <w:rPr>
          <w:rFonts w:hint="eastAsia" w:ascii="宋体" w:hAnsi="宋体" w:eastAsia="宋体"/>
          <w:sz w:val="21"/>
          <w:szCs w:val="21"/>
          <w:highlight w:val="none"/>
          <w:lang w:val="en-US" w:eastAsia="zh-CN"/>
        </w:rPr>
        <w:t>问题</w:t>
      </w:r>
      <w:r>
        <w:rPr>
          <w:rFonts w:ascii="宋体" w:hAnsi="宋体" w:eastAsia="宋体"/>
          <w:sz w:val="21"/>
          <w:szCs w:val="21"/>
          <w:highlight w:val="none"/>
          <w:lang w:eastAsia="zh-CN"/>
        </w:rPr>
        <w:t>，乙方必须明确告知甲方工作人员，并且经甲方认可授权后由乙方及时进行处理</w:t>
      </w:r>
      <w:r>
        <w:rPr>
          <w:rFonts w:hint="eastAsia" w:ascii="宋体" w:hAnsi="宋体" w:eastAsia="宋体"/>
          <w:sz w:val="21"/>
          <w:szCs w:val="21"/>
          <w:highlight w:val="none"/>
          <w:lang w:eastAsia="zh-CN"/>
        </w:rPr>
        <w:t>。</w:t>
      </w:r>
    </w:p>
    <w:p w14:paraId="4804900D">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val="en-US" w:eastAsia="zh-CN"/>
        </w:rPr>
        <w:t>8、</w:t>
      </w:r>
      <w:r>
        <w:rPr>
          <w:rFonts w:hint="eastAsia" w:ascii="宋体" w:hAnsi="宋体" w:eastAsia="宋体"/>
          <w:sz w:val="21"/>
          <w:szCs w:val="21"/>
          <w:highlight w:val="none"/>
          <w:lang w:eastAsia="zh-CN"/>
        </w:rPr>
        <w:t>负责所派人员工资及各项福利发放，必须与所派人员签订劳动合同，并为其工作人员按郑州市劳动部门的相关规定缴纳相关费用。乙方应执行国家有关规定（如不得低于本地最低工资标准和其他规定），负责乙方员工的生病、事故、伤残、死亡和劳务纠纷，甲方不承担任何相关责任。如甲方就此支付了款项，垫付了费用，则有权向乙方追偿，同时甲方有权要求乙方承担甲方因此产生的所有实际支出（包括但不限于因此支出的交通费、误餐费、差旅费及律师咨询、代理费等）。</w:t>
      </w:r>
    </w:p>
    <w:p w14:paraId="3659D86B">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1</w:t>
      </w:r>
      <w:r>
        <w:rPr>
          <w:rFonts w:hint="eastAsia" w:ascii="宋体" w:hAnsi="宋体" w:eastAsia="宋体"/>
          <w:sz w:val="21"/>
          <w:szCs w:val="21"/>
          <w:highlight w:val="none"/>
          <w:lang w:val="en-US" w:eastAsia="zh-CN"/>
        </w:rPr>
        <w:t>0</w:t>
      </w:r>
      <w:r>
        <w:rPr>
          <w:rFonts w:hint="eastAsia" w:ascii="宋体" w:hAnsi="宋体" w:eastAsia="宋体"/>
          <w:sz w:val="21"/>
          <w:szCs w:val="21"/>
          <w:highlight w:val="none"/>
          <w:lang w:eastAsia="zh-CN"/>
        </w:rPr>
        <w:t>、未经甲方书面同意，不得将协议全部或任何部分合同工作及义务转包第三方。</w:t>
      </w:r>
    </w:p>
    <w:p w14:paraId="02655E9D">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1</w:t>
      </w:r>
      <w:r>
        <w:rPr>
          <w:rFonts w:hint="eastAsia" w:ascii="宋体" w:hAnsi="宋体" w:eastAsia="宋体"/>
          <w:sz w:val="21"/>
          <w:szCs w:val="21"/>
          <w:highlight w:val="none"/>
          <w:lang w:val="en-US" w:eastAsia="zh-CN"/>
        </w:rPr>
        <w:t>1</w:t>
      </w:r>
      <w:r>
        <w:rPr>
          <w:rFonts w:hint="eastAsia" w:ascii="宋体" w:hAnsi="宋体" w:eastAsia="宋体"/>
          <w:sz w:val="21"/>
          <w:szCs w:val="21"/>
          <w:highlight w:val="none"/>
          <w:lang w:eastAsia="zh-CN"/>
        </w:rPr>
        <w:t>、按照相关规章制度、工作标准要求，全面做好基础管理、现场管理工作，建立健全公司自主管理体系，确保项目创优达标。</w:t>
      </w:r>
    </w:p>
    <w:p w14:paraId="5DE7E4E9">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bookmarkStart w:id="1035" w:name="_Toc17875"/>
      <w:r>
        <w:rPr>
          <w:rFonts w:hint="eastAsia" w:ascii="宋体" w:hAnsi="宋体" w:eastAsia="宋体"/>
          <w:sz w:val="21"/>
          <w:szCs w:val="21"/>
          <w:highlight w:val="none"/>
          <w:lang w:eastAsia="zh-CN"/>
        </w:rPr>
        <w:t>八、</w:t>
      </w:r>
      <w:bookmarkEnd w:id="1035"/>
      <w:r>
        <w:rPr>
          <w:rFonts w:hint="eastAsia" w:ascii="宋体" w:hAnsi="宋体" w:eastAsia="宋体"/>
          <w:sz w:val="21"/>
          <w:szCs w:val="21"/>
          <w:highlight w:val="none"/>
          <w:lang w:val="en-US" w:eastAsia="zh-CN"/>
        </w:rPr>
        <w:t>保密</w:t>
      </w:r>
    </w:p>
    <w:p w14:paraId="69B9E4CD">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ascii="宋体" w:hAnsi="宋体" w:eastAsia="宋体"/>
          <w:sz w:val="21"/>
          <w:szCs w:val="21"/>
          <w:highlight w:val="none"/>
          <w:lang w:eastAsia="zh-CN"/>
        </w:rPr>
        <w:t>1. 信息传递</w:t>
      </w:r>
    </w:p>
    <w:p w14:paraId="4EAE1401">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ascii="宋体" w:hAnsi="宋体" w:eastAsia="宋体"/>
          <w:sz w:val="21"/>
          <w:szCs w:val="21"/>
          <w:highlight w:val="none"/>
          <w:lang w:eastAsia="zh-CN"/>
        </w:rPr>
        <w:t>在本合同的履行期内，任何一方可以获得与本项目相关的对方的保密信息，对此双方皆应谨慎接受并不得向第三方披露。</w:t>
      </w:r>
    </w:p>
    <w:p w14:paraId="5721430B">
      <w:pPr>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420" w:firstLineChars="200"/>
        <w:contextualSpacing/>
        <w:textAlignment w:val="auto"/>
        <w:outlineLvl w:val="9"/>
        <w:rPr>
          <w:rFonts w:ascii="宋体" w:hAnsi="宋体" w:eastAsia="宋体"/>
          <w:sz w:val="21"/>
          <w:szCs w:val="21"/>
          <w:highlight w:val="none"/>
          <w:lang w:eastAsia="zh-CN"/>
        </w:rPr>
      </w:pPr>
      <w:r>
        <w:rPr>
          <w:rFonts w:ascii="宋体" w:hAnsi="宋体" w:eastAsia="宋体"/>
          <w:sz w:val="21"/>
          <w:szCs w:val="21"/>
          <w:highlight w:val="none"/>
          <w:lang w:eastAsia="zh-CN"/>
        </w:rPr>
        <w:t xml:space="preserve">信息披露 </w:t>
      </w:r>
    </w:p>
    <w:p w14:paraId="6D4EC5DC">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ascii="宋体" w:hAnsi="宋体" w:eastAsia="宋体"/>
          <w:sz w:val="21"/>
          <w:szCs w:val="21"/>
          <w:highlight w:val="none"/>
          <w:lang w:eastAsia="zh-CN"/>
        </w:rPr>
        <w:t xml:space="preserve">获取对方保密信息的一方仅可将该信息用于履行其在本合同项下的义务，且只能由相关的技术人员使用。获取对方保密信息的一方应当采取适当有效的方式保护所获取的信息，未经授权不得使用、传播或者公开。除非有对方的书面许可，或者该信息已被拥有方认为不再是保密信息， 或者已在社会上公开，该信息不得对外披露。 </w:t>
      </w:r>
    </w:p>
    <w:p w14:paraId="5AE17A24">
      <w:pPr>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420" w:firstLineChars="200"/>
        <w:contextualSpacing/>
        <w:textAlignment w:val="auto"/>
        <w:outlineLvl w:val="9"/>
        <w:rPr>
          <w:rFonts w:ascii="宋体" w:hAnsi="宋体" w:eastAsia="宋体"/>
          <w:sz w:val="21"/>
          <w:szCs w:val="21"/>
          <w:highlight w:val="none"/>
          <w:lang w:eastAsia="zh-CN"/>
        </w:rPr>
      </w:pPr>
      <w:r>
        <w:rPr>
          <w:rFonts w:ascii="宋体" w:hAnsi="宋体" w:eastAsia="宋体"/>
          <w:sz w:val="21"/>
          <w:szCs w:val="21"/>
          <w:highlight w:val="none"/>
          <w:lang w:eastAsia="zh-CN"/>
        </w:rPr>
        <w:t xml:space="preserve">保密措施 </w:t>
      </w:r>
    </w:p>
    <w:p w14:paraId="4D32EF72">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ascii="宋体" w:hAnsi="宋体" w:eastAsia="宋体"/>
          <w:sz w:val="21"/>
          <w:szCs w:val="21"/>
          <w:highlight w:val="none"/>
          <w:lang w:eastAsia="zh-CN"/>
        </w:rPr>
        <w:t>甲乙双方同意采取相应的安全措施，遵守和履行上述约定。经双方协商，一方可以检查对方所采取的安全措施是否符合上述约定。</w:t>
      </w:r>
    </w:p>
    <w:p w14:paraId="70300BA0">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bookmarkStart w:id="1036" w:name="_Toc31230"/>
      <w:r>
        <w:rPr>
          <w:rFonts w:hint="eastAsia" w:ascii="宋体" w:hAnsi="宋体" w:eastAsia="宋体"/>
          <w:sz w:val="21"/>
          <w:szCs w:val="21"/>
          <w:highlight w:val="none"/>
          <w:lang w:eastAsia="zh-CN"/>
        </w:rPr>
        <w:t>九、协议解除、违约责任、协商方式</w:t>
      </w:r>
      <w:bookmarkEnd w:id="1036"/>
    </w:p>
    <w:p w14:paraId="40B6B181">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1、甲、乙双方如提前终止协议，终止要求提出方应提前30日以书面形式通知对方，否则，其应承担协议总标的</w:t>
      </w:r>
      <w:r>
        <w:rPr>
          <w:rFonts w:hint="eastAsia" w:ascii="宋体" w:hAnsi="宋体" w:eastAsia="宋体"/>
          <w:sz w:val="21"/>
          <w:szCs w:val="21"/>
          <w:highlight w:val="none"/>
          <w:u w:val="single"/>
          <w:lang w:val="en-US" w:eastAsia="zh-CN"/>
        </w:rPr>
        <w:t xml:space="preserve">      </w:t>
      </w:r>
      <w:r>
        <w:rPr>
          <w:rFonts w:hint="eastAsia" w:ascii="宋体" w:hAnsi="宋体" w:eastAsia="宋体"/>
          <w:sz w:val="21"/>
          <w:szCs w:val="21"/>
          <w:highlight w:val="none"/>
          <w:lang w:eastAsia="zh-CN"/>
        </w:rPr>
        <w:t>%违约金作为给对方的赔偿。</w:t>
      </w:r>
    </w:p>
    <w:p w14:paraId="46B96FC4">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2、乙方提前终止协议的，须经甲方同意（在甲方收到乙方提前解除协议通知书后三十日内未予答复的视为同意解除协议），在未获得甲方同意前乙方人员便擅离职守的，甲方除有权要求乙方赔偿甲方所受损失外，还有权要求乙方支付协议总标的金额</w:t>
      </w:r>
      <w:r>
        <w:rPr>
          <w:rFonts w:hint="eastAsia" w:ascii="宋体" w:hAnsi="宋体" w:eastAsia="宋体"/>
          <w:sz w:val="21"/>
          <w:szCs w:val="21"/>
          <w:highlight w:val="none"/>
          <w:u w:val="single"/>
          <w:lang w:val="en-US" w:eastAsia="zh-CN"/>
        </w:rPr>
        <w:t xml:space="preserve">     </w:t>
      </w:r>
      <w:r>
        <w:rPr>
          <w:rFonts w:hint="eastAsia" w:ascii="宋体" w:hAnsi="宋体" w:eastAsia="宋体"/>
          <w:sz w:val="21"/>
          <w:szCs w:val="21"/>
          <w:highlight w:val="none"/>
          <w:lang w:eastAsia="zh-CN"/>
        </w:rPr>
        <w:t>%的违约金。</w:t>
      </w:r>
    </w:p>
    <w:p w14:paraId="0A948A3F">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3、在履行协议中发生纠纷时，由双方协商解决，协商不成的，可通过甲方所在地法院诉讼途径解决。本协议执行期间，如遇不可抗力，致使协议无法履行时，双方均不承担违约责任并按有关法规政策及时协商处理。</w:t>
      </w:r>
    </w:p>
    <w:p w14:paraId="43361611">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bookmarkStart w:id="1037" w:name="_Toc5129"/>
      <w:r>
        <w:rPr>
          <w:rFonts w:hint="eastAsia" w:ascii="宋体" w:hAnsi="宋体" w:eastAsia="宋体"/>
          <w:sz w:val="21"/>
          <w:szCs w:val="21"/>
          <w:highlight w:val="none"/>
          <w:lang w:eastAsia="zh-CN"/>
        </w:rPr>
        <w:t>十、其它规定</w:t>
      </w:r>
      <w:bookmarkEnd w:id="1037"/>
    </w:p>
    <w:p w14:paraId="0C6BF5D2">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1、</w:t>
      </w:r>
      <w:r>
        <w:rPr>
          <w:rFonts w:hint="eastAsia" w:ascii="宋体" w:hAnsi="宋体" w:eastAsia="宋体"/>
          <w:sz w:val="21"/>
          <w:szCs w:val="21"/>
          <w:highlight w:val="none"/>
          <w:lang w:val="en-US" w:eastAsia="zh-CN"/>
        </w:rPr>
        <w:t>派驻</w:t>
      </w:r>
      <w:r>
        <w:rPr>
          <w:rFonts w:hint="eastAsia" w:ascii="宋体" w:hAnsi="宋体" w:eastAsia="宋体"/>
          <w:sz w:val="21"/>
          <w:szCs w:val="21"/>
          <w:highlight w:val="none"/>
          <w:lang w:eastAsia="zh-CN"/>
        </w:rPr>
        <w:t>人员因履行工作职责维护甲方利益而受伤、致残、死亡的，甲方可出于人道主义酌定给予补偿。</w:t>
      </w:r>
    </w:p>
    <w:p w14:paraId="22BFF146">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2、严禁乙方以任何方式向甲方人员提供私人便利、行贿或宴请，否则一经查实，甲方有权单方终止协议，乙方承担一切后果。</w:t>
      </w:r>
    </w:p>
    <w:p w14:paraId="7730A731">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3、在本协议生效后，如有未尽事宜，双方经友好协商同意后，以正式文件补充，补充的文件与本协议具有同等效力。本协议附件具有同等的法律效力。</w:t>
      </w:r>
    </w:p>
    <w:p w14:paraId="3CA6F74D">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4、如遇政府相关政策调整，将依据相关规定对费用做出适时调整。</w:t>
      </w:r>
    </w:p>
    <w:p w14:paraId="2416A4CC">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5、本协议一式肆份，甲乙双方各执两份，双方签章后生效。</w:t>
      </w:r>
    </w:p>
    <w:p w14:paraId="7D511785">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6、本协议约定时间到期，协议自然终止。</w:t>
      </w:r>
    </w:p>
    <w:p w14:paraId="75E4B287">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bookmarkStart w:id="1038" w:name="_Toc30448"/>
      <w:r>
        <w:rPr>
          <w:rFonts w:hint="eastAsia" w:ascii="宋体" w:hAnsi="宋体" w:eastAsia="宋体"/>
          <w:sz w:val="21"/>
          <w:szCs w:val="21"/>
          <w:highlight w:val="none"/>
          <w:lang w:eastAsia="zh-CN"/>
        </w:rPr>
        <w:t>十一、未尽事宜双方可签订补充协议，补充协议与本合同具有同等效力。</w:t>
      </w:r>
      <w:bookmarkEnd w:id="1038"/>
    </w:p>
    <w:p w14:paraId="074ECF98">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甲方（盖章）                          乙方（盖章）</w:t>
      </w:r>
    </w:p>
    <w:p w14:paraId="2D8CD0E9">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负责人（授权代表）：                  负责人（授权代表）：</w:t>
      </w:r>
    </w:p>
    <w:p w14:paraId="6CDBB339">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甲方地址：                            乙方地址：</w:t>
      </w:r>
    </w:p>
    <w:p w14:paraId="1C20C96D">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电话（传真）：                        电话（传真）：</w:t>
      </w:r>
    </w:p>
    <w:p w14:paraId="32F06EDD">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contextualSpacing/>
        <w:textAlignment w:val="auto"/>
        <w:outlineLvl w:val="9"/>
        <w:rPr>
          <w:rFonts w:ascii="宋体" w:hAnsi="宋体" w:eastAsia="宋体"/>
          <w:sz w:val="21"/>
          <w:szCs w:val="21"/>
          <w:highlight w:val="none"/>
          <w:lang w:eastAsia="zh-CN"/>
        </w:rPr>
      </w:pPr>
      <w:r>
        <w:rPr>
          <w:rFonts w:hint="eastAsia" w:ascii="宋体" w:hAnsi="宋体" w:eastAsia="宋体"/>
          <w:sz w:val="21"/>
          <w:szCs w:val="21"/>
          <w:highlight w:val="none"/>
          <w:lang w:eastAsia="zh-CN"/>
        </w:rPr>
        <w:t>年 月 日                              年 月 日</w:t>
      </w:r>
    </w:p>
    <w:bookmarkEnd w:id="1022"/>
    <w:p w14:paraId="77918379">
      <w:pPr>
        <w:rPr>
          <w:rFonts w:hint="eastAsia" w:ascii="宋体" w:hAnsi="宋体" w:eastAsia="宋体" w:cs="宋体"/>
          <w:b/>
          <w:bCs/>
          <w:color w:val="000000" w:themeColor="text1"/>
          <w:sz w:val="32"/>
          <w:szCs w:val="32"/>
          <w:highlight w:val="none"/>
          <w:lang w:val="en-US" w:eastAsia="zh-CN"/>
          <w14:textFill>
            <w14:solidFill>
              <w14:schemeClr w14:val="tx1"/>
            </w14:solidFill>
          </w14:textFill>
        </w:rPr>
      </w:pPr>
      <w:bookmarkStart w:id="1039" w:name="_Toc23281"/>
      <w:r>
        <w:rPr>
          <w:rFonts w:hint="eastAsia" w:ascii="宋体" w:hAnsi="宋体" w:eastAsia="宋体" w:cs="宋体"/>
          <w:b/>
          <w:bCs/>
          <w:color w:val="000000" w:themeColor="text1"/>
          <w:sz w:val="32"/>
          <w:szCs w:val="32"/>
          <w:highlight w:val="none"/>
          <w:lang w:val="en-US" w:eastAsia="zh-CN"/>
          <w14:textFill>
            <w14:solidFill>
              <w14:schemeClr w14:val="tx1"/>
            </w14:solidFill>
          </w14:textFill>
        </w:rPr>
        <w:br w:type="page"/>
      </w:r>
    </w:p>
    <w:p w14:paraId="06CF0873">
      <w:pPr>
        <w:pStyle w:val="23"/>
        <w:numPr>
          <w:ilvl w:val="0"/>
          <w:numId w:val="6"/>
        </w:numPr>
        <w:tabs>
          <w:tab w:val="right" w:leader="underscore" w:pos="8296"/>
        </w:tabs>
        <w:spacing w:after="0" w:afterLines="0" w:line="360" w:lineRule="auto"/>
        <w:ind w:left="0" w:leftChars="0" w:firstLine="0" w:firstLineChars="0"/>
        <w:jc w:val="center"/>
        <w:outlineLvl w:val="0"/>
        <w:rPr>
          <w:rFonts w:hint="eastAsia" w:ascii="宋体" w:hAnsi="宋体" w:eastAsia="宋体" w:cs="宋体"/>
          <w:b/>
          <w:bCs/>
          <w:color w:val="000000" w:themeColor="text1"/>
          <w:sz w:val="32"/>
          <w:szCs w:val="32"/>
          <w:highlight w:val="none"/>
          <w:lang w:val="en-US" w:eastAsia="zh-CN"/>
          <w14:textFill>
            <w14:solidFill>
              <w14:schemeClr w14:val="tx1"/>
            </w14:solidFill>
          </w14:textFill>
        </w:rPr>
      </w:pP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 xml:space="preserve"> </w:t>
      </w:r>
      <w:bookmarkStart w:id="1040" w:name="_Toc26015"/>
      <w:r>
        <w:rPr>
          <w:rFonts w:hint="eastAsia" w:ascii="宋体" w:hAnsi="宋体" w:eastAsia="宋体" w:cs="宋体"/>
          <w:b/>
          <w:bCs/>
          <w:color w:val="000000" w:themeColor="text1"/>
          <w:sz w:val="32"/>
          <w:szCs w:val="32"/>
          <w:highlight w:val="none"/>
          <w:lang w:eastAsia="zh-CN"/>
          <w14:textFill>
            <w14:solidFill>
              <w14:schemeClr w14:val="tx1"/>
            </w14:solidFill>
          </w14:textFill>
        </w:rPr>
        <w:t>采购</w:t>
      </w: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需求</w:t>
      </w:r>
      <w:bookmarkEnd w:id="1023"/>
      <w:bookmarkEnd w:id="1024"/>
      <w:bookmarkEnd w:id="1025"/>
      <w:r>
        <w:rPr>
          <w:rFonts w:hint="eastAsia" w:ascii="宋体" w:hAnsi="宋体" w:eastAsia="宋体" w:cs="宋体"/>
          <w:b/>
          <w:bCs/>
          <w:color w:val="000000" w:themeColor="text1"/>
          <w:sz w:val="32"/>
          <w:szCs w:val="32"/>
          <w:highlight w:val="none"/>
          <w:lang w:val="en-US" w:eastAsia="zh-CN"/>
          <w14:textFill>
            <w14:solidFill>
              <w14:schemeClr w14:val="tx1"/>
            </w14:solidFill>
          </w14:textFill>
        </w:rPr>
        <w:t>及采购内容</w:t>
      </w:r>
      <w:bookmarkEnd w:id="1039"/>
      <w:bookmarkEnd w:id="1040"/>
    </w:p>
    <w:p w14:paraId="58373CE2">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val="0"/>
          <w:color w:val="auto"/>
          <w:kern w:val="2"/>
          <w:sz w:val="21"/>
          <w:szCs w:val="21"/>
          <w:highlight w:val="none"/>
          <w:lang w:val="en-US" w:eastAsia="zh-CN" w:bidi="ar-SA"/>
        </w:rPr>
      </w:pPr>
      <w:bookmarkStart w:id="1041" w:name="_Toc4168"/>
      <w:r>
        <w:rPr>
          <w:rFonts w:hint="eastAsia" w:ascii="宋体" w:hAnsi="宋体" w:eastAsia="宋体" w:cs="宋体"/>
          <w:b w:val="0"/>
          <w:bCs w:val="0"/>
          <w:color w:val="auto"/>
          <w:kern w:val="2"/>
          <w:sz w:val="21"/>
          <w:szCs w:val="21"/>
          <w:highlight w:val="none"/>
          <w:lang w:val="en-US" w:eastAsia="zh-CN" w:bidi="ar-SA"/>
        </w:rPr>
        <w:t>一、</w:t>
      </w:r>
      <w:r>
        <w:rPr>
          <w:rFonts w:hint="eastAsia" w:ascii="宋体" w:hAnsi="宋体" w:eastAsia="宋体" w:cs="宋体"/>
          <w:b w:val="0"/>
          <w:bCs w:val="0"/>
          <w:color w:val="auto"/>
          <w:sz w:val="21"/>
          <w:szCs w:val="21"/>
          <w:highlight w:val="none"/>
          <w:lang w:val="en-US" w:eastAsia="zh-CN"/>
        </w:rPr>
        <w:t>项目基本情况</w:t>
      </w:r>
    </w:p>
    <w:p w14:paraId="4DF0AF7D">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1.</w:t>
      </w:r>
      <w:r>
        <w:rPr>
          <w:rFonts w:hint="eastAsia" w:ascii="宋体" w:hAnsi="宋体" w:eastAsia="宋体" w:cs="宋体"/>
          <w:b w:val="0"/>
          <w:bCs w:val="0"/>
          <w:color w:val="auto"/>
          <w:sz w:val="21"/>
          <w:szCs w:val="21"/>
          <w:highlight w:val="none"/>
          <w:lang w:val="en-US" w:eastAsia="zh-CN"/>
        </w:rPr>
        <w:t>项目名称：息县公用事业服务中心污水处理厂环保设备维修服务采购项目</w:t>
      </w:r>
    </w:p>
    <w:p w14:paraId="2E2C3CF4">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2.预算金额：1500000元</w:t>
      </w:r>
    </w:p>
    <w:p w14:paraId="4317B43D">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840" w:firstLineChars="4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包1：息县污水处理厂机械设备维修服务，预算金额：1200000元</w:t>
      </w:r>
    </w:p>
    <w:p w14:paraId="247FC390">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840" w:firstLineChars="4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包2：息县污水处理厂自控化设备维修服务，预算金额：300000元</w:t>
      </w:r>
    </w:p>
    <w:p w14:paraId="44AB5A7F">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3.采购内容：对息县三座污水处理厂环保设备（潜污泵、潜水推进器、鼓风机、脱泥设备、自控系统、电力系统等）进行维修服务。</w:t>
      </w:r>
    </w:p>
    <w:p w14:paraId="7C7B1C49">
      <w:pPr>
        <w:numPr>
          <w:ilvl w:val="0"/>
          <w:numId w:val="0"/>
        </w:numPr>
        <w:spacing w:line="360" w:lineRule="auto"/>
        <w:ind w:leftChars="200" w:firstLine="420" w:firstLineChars="200"/>
        <w:rPr>
          <w:rFonts w:hint="eastAsia" w:ascii="宋体" w:hAnsi="宋体" w:eastAsia="宋体" w:cs="宋体"/>
          <w:highlight w:val="none"/>
          <w:lang w:val="en-US" w:eastAsia="zh-CN"/>
        </w:rPr>
      </w:pPr>
      <w:r>
        <w:rPr>
          <w:rFonts w:hint="eastAsia" w:ascii="宋体" w:hAnsi="宋体" w:eastAsia="宋体" w:cs="宋体"/>
          <w:highlight w:val="none"/>
          <w:lang w:val="en-US" w:eastAsia="zh-CN"/>
        </w:rPr>
        <w:t>包1：息县三座污水处理厂机械设备维修服务。</w:t>
      </w:r>
    </w:p>
    <w:p w14:paraId="5E8217CB">
      <w:pPr>
        <w:numPr>
          <w:ilvl w:val="0"/>
          <w:numId w:val="0"/>
        </w:numPr>
        <w:spacing w:line="360" w:lineRule="auto"/>
        <w:ind w:leftChars="200" w:firstLine="420" w:firstLineChars="200"/>
        <w:rPr>
          <w:rFonts w:hint="eastAsia" w:ascii="宋体" w:hAnsi="宋体" w:eastAsia="宋体" w:cs="宋体"/>
          <w:highlight w:val="none"/>
          <w:lang w:val="en-US" w:eastAsia="zh-CN"/>
        </w:rPr>
      </w:pPr>
      <w:r>
        <w:rPr>
          <w:rFonts w:hint="eastAsia" w:ascii="宋体" w:hAnsi="宋体" w:eastAsia="宋体" w:cs="宋体"/>
          <w:highlight w:val="none"/>
          <w:lang w:val="en-US" w:eastAsia="zh-CN"/>
        </w:rPr>
        <w:t>包2：息县三座污水处理厂自控化设备维修服务。</w:t>
      </w:r>
    </w:p>
    <w:p w14:paraId="35162800">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4.资金来源：财政资金，已落实。</w:t>
      </w:r>
    </w:p>
    <w:p w14:paraId="2BAE5979">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5.服务要求：符合国家现行规范标准及行业最新规定，且满足采购人要求。</w:t>
      </w:r>
    </w:p>
    <w:p w14:paraId="0C2C49D9">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6.服务期限：合同签订之日起一年，合同到期后，根据实际需要，可适当延长服务周期。</w:t>
      </w:r>
    </w:p>
    <w:p w14:paraId="6749D7D9">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7.服务地点：采购人指定地点</w:t>
      </w:r>
    </w:p>
    <w:p w14:paraId="47DCFE48">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8.标段划分：本次采购共分为2个包</w:t>
      </w:r>
    </w:p>
    <w:p w14:paraId="4FF14A4C">
      <w:pPr>
        <w:numPr>
          <w:ilvl w:val="0"/>
          <w:numId w:val="0"/>
        </w:numPr>
        <w:spacing w:line="360" w:lineRule="auto"/>
        <w:ind w:leftChars="200" w:firstLine="420" w:firstLineChars="200"/>
        <w:rPr>
          <w:rFonts w:hint="eastAsia" w:ascii="宋体" w:hAnsi="宋体" w:eastAsia="宋体" w:cs="宋体"/>
          <w:highlight w:val="none"/>
          <w:lang w:val="en-US" w:eastAsia="zh-CN"/>
        </w:rPr>
      </w:pPr>
      <w:r>
        <w:rPr>
          <w:rFonts w:hint="eastAsia" w:ascii="宋体" w:hAnsi="宋体" w:eastAsia="宋体" w:cs="宋体"/>
          <w:highlight w:val="none"/>
          <w:lang w:val="en-US" w:eastAsia="zh-CN"/>
        </w:rPr>
        <w:t>包1：采购两家供应商，负责息县三座污水处理厂机械设备维修服务。</w:t>
      </w:r>
    </w:p>
    <w:p w14:paraId="18D41DFD">
      <w:pPr>
        <w:numPr>
          <w:ilvl w:val="0"/>
          <w:numId w:val="0"/>
        </w:numPr>
        <w:spacing w:line="360" w:lineRule="auto"/>
        <w:ind w:leftChars="200" w:firstLine="420" w:firstLineChars="200"/>
        <w:rPr>
          <w:rFonts w:hint="eastAsia" w:ascii="宋体" w:hAnsi="宋体" w:eastAsia="宋体" w:cs="宋体"/>
          <w:highlight w:val="none"/>
          <w:lang w:val="en-US" w:eastAsia="zh-CN"/>
        </w:rPr>
      </w:pPr>
      <w:r>
        <w:rPr>
          <w:rFonts w:hint="eastAsia" w:ascii="宋体" w:hAnsi="宋体" w:eastAsia="宋体" w:cs="宋体"/>
          <w:highlight w:val="none"/>
          <w:lang w:val="en-US" w:eastAsia="zh-CN"/>
        </w:rPr>
        <w:t>包2：采购一家供应商，负责息县三座污水处理厂自控化设备维修服务。</w:t>
      </w:r>
    </w:p>
    <w:p w14:paraId="7445CDF6">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9.最高限价：以实际发生的综合服务单价100%据实结算（单价合同，按需采购，以采购人实际需求服务量为准）。</w:t>
      </w:r>
    </w:p>
    <w:p w14:paraId="5203AD47">
      <w:pPr>
        <w:numPr>
          <w:ilvl w:val="0"/>
          <w:numId w:val="0"/>
        </w:numPr>
        <w:spacing w:line="360" w:lineRule="auto"/>
        <w:ind w:leftChars="200" w:firstLine="420" w:firstLineChars="200"/>
        <w:rPr>
          <w:rFonts w:hint="eastAsia" w:ascii="宋体" w:hAnsi="宋体" w:eastAsia="宋体" w:cs="宋体"/>
          <w:highlight w:val="none"/>
          <w:lang w:val="en-US" w:eastAsia="zh-CN"/>
        </w:rPr>
      </w:pPr>
      <w:r>
        <w:rPr>
          <w:rFonts w:hint="eastAsia" w:ascii="宋体" w:hAnsi="宋体" w:eastAsia="宋体" w:cs="宋体"/>
          <w:highlight w:val="none"/>
          <w:lang w:val="en-US" w:eastAsia="zh-CN"/>
        </w:rPr>
        <w:t>报价方式：供应商费率报价。供应商投标报价高于最高限价，按废标处理。</w:t>
      </w:r>
    </w:p>
    <w:p w14:paraId="0E87CCD4">
      <w:pPr>
        <w:numPr>
          <w:ilvl w:val="0"/>
          <w:numId w:val="0"/>
        </w:numPr>
        <w:spacing w:line="360" w:lineRule="auto"/>
        <w:ind w:leftChars="200" w:firstLine="420" w:firstLineChars="200"/>
        <w:rPr>
          <w:rFonts w:hint="eastAsia" w:ascii="宋体" w:hAnsi="宋体" w:eastAsia="宋体" w:cs="宋体"/>
          <w:highlight w:val="none"/>
          <w:lang w:val="en-US" w:eastAsia="zh-CN"/>
        </w:rPr>
      </w:pPr>
      <w:r>
        <w:rPr>
          <w:rFonts w:hint="eastAsia" w:ascii="宋体" w:hAnsi="宋体" w:eastAsia="宋体" w:cs="宋体"/>
          <w:highlight w:val="none"/>
          <w:lang w:val="en-US" w:eastAsia="zh-CN"/>
        </w:rPr>
        <w:t>最终成交综合服务单价为：中标供应商按照本项目磋商文件要求以实际发生的综合服务单价*成交费率，并签订合同</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或维修服务单</w:t>
      </w:r>
      <w:r>
        <w:rPr>
          <w:rFonts w:hint="eastAsia" w:ascii="宋体" w:hAnsi="宋体" w:eastAsia="宋体" w:cs="宋体"/>
          <w:b w:val="0"/>
          <w:bCs w:val="0"/>
          <w:color w:val="auto"/>
          <w:szCs w:val="21"/>
          <w:highlight w:val="none"/>
          <w:lang w:eastAsia="zh-CN"/>
        </w:rPr>
        <w:t>）</w:t>
      </w:r>
      <w:r>
        <w:rPr>
          <w:rFonts w:hint="eastAsia" w:ascii="宋体" w:hAnsi="宋体" w:eastAsia="宋体" w:cs="宋体"/>
          <w:highlight w:val="none"/>
          <w:lang w:val="en-US" w:eastAsia="zh-CN"/>
        </w:rPr>
        <w:t>，据实结算。</w:t>
      </w:r>
    </w:p>
    <w:p w14:paraId="303B890F">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10.合同履行期限：同服务期限。</w:t>
      </w:r>
    </w:p>
    <w:p w14:paraId="39F4D6AA">
      <w:pPr>
        <w:pStyle w:val="26"/>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采购服务内容（主要设备维修服务清单）</w:t>
      </w:r>
    </w:p>
    <w:p w14:paraId="182C551E">
      <w:pPr>
        <w:pStyle w:val="27"/>
        <w:numPr>
          <w:ilvl w:val="0"/>
          <w:numId w:val="0"/>
        </w:numPr>
        <w:jc w:val="center"/>
        <w:rPr>
          <w:rFonts w:hint="default"/>
          <w:b/>
          <w:bCs/>
          <w:highlight w:val="none"/>
          <w:lang w:val="en-US" w:eastAsia="zh-CN"/>
        </w:rPr>
      </w:pPr>
      <w:r>
        <w:rPr>
          <w:rFonts w:hint="default"/>
          <w:b/>
          <w:bCs/>
          <w:highlight w:val="none"/>
          <w:lang w:val="en-US" w:eastAsia="zh-CN"/>
        </w:rPr>
        <w:t>息县第</w:t>
      </w:r>
      <w:r>
        <w:rPr>
          <w:rFonts w:hint="eastAsia"/>
          <w:b/>
          <w:bCs/>
          <w:highlight w:val="none"/>
          <w:lang w:val="en-US" w:eastAsia="zh-CN"/>
        </w:rPr>
        <w:t>一</w:t>
      </w:r>
      <w:r>
        <w:rPr>
          <w:rFonts w:hint="default"/>
          <w:b/>
          <w:bCs/>
          <w:highlight w:val="none"/>
          <w:lang w:val="en-US" w:eastAsia="zh-CN"/>
        </w:rPr>
        <w:t>污水处理厂设施设备维修</w:t>
      </w:r>
      <w:r>
        <w:rPr>
          <w:rFonts w:hint="eastAsia"/>
          <w:b/>
          <w:bCs/>
          <w:highlight w:val="none"/>
          <w:lang w:val="en-US" w:eastAsia="zh-CN"/>
        </w:rPr>
        <w:t>服务</w:t>
      </w:r>
      <w:r>
        <w:rPr>
          <w:rFonts w:hint="default"/>
          <w:b/>
          <w:bCs/>
          <w:highlight w:val="none"/>
          <w:lang w:val="en-US" w:eastAsia="zh-CN"/>
        </w:rPr>
        <w:t>清单</w:t>
      </w:r>
    </w:p>
    <w:tbl>
      <w:tblPr>
        <w:tblStyle w:val="28"/>
        <w:tblW w:w="91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24"/>
        <w:gridCol w:w="2848"/>
        <w:gridCol w:w="836"/>
        <w:gridCol w:w="836"/>
        <w:gridCol w:w="1348"/>
        <w:gridCol w:w="1992"/>
      </w:tblGrid>
      <w:tr w14:paraId="08D5C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B2339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设备名称</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271E7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规格型号</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CC187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单位</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99A6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数量</w:t>
            </w:r>
          </w:p>
        </w:tc>
        <w:tc>
          <w:tcPr>
            <w:tcW w:w="13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9C1D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设备位置</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1FC4B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备注</w:t>
            </w:r>
          </w:p>
        </w:tc>
      </w:tr>
      <w:tr w14:paraId="1B434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2D30E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粗格栅</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87CB8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LS-260*4800</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47C2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95FA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4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701E9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进水站房</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AF990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7CFA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BBF4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进水泵</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9D7E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Q=505m3/h,H=18.5m,N=45 Kw</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0ADF1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760A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0610F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CE5AC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布置于水下，相关参数看不到</w:t>
            </w:r>
          </w:p>
        </w:tc>
      </w:tr>
      <w:tr w14:paraId="7943D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CE51C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细格栅</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1251C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LS-260*5100</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BB8A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5F760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A8B8D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870B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2F13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44CC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旋流除砂机</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26286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XCA-06</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4B5E1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D83B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667EA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554BF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85A0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362F0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鼓风机</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7747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MAX150</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C26B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9EB1F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F514D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鼓风机房</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662B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名牌上无功率参数</w:t>
            </w:r>
          </w:p>
        </w:tc>
      </w:tr>
      <w:tr w14:paraId="2D38C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EEBD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搅拌器</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2A5E0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Ф 325mm N=2.2KW 转速 720r/min</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8EF3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BC6D1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4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0B5ED6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氧化沟</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7B75A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布置于水下，相关参数看不到</w:t>
            </w:r>
          </w:p>
        </w:tc>
      </w:tr>
      <w:tr w14:paraId="08528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7D6D9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推流器</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A3A10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Ф 1800mm N=5.5KW 转速 45r/min</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673A4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2F91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14</w:t>
            </w: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DF7CD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3AD1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EEF9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64AD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内回流泵</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560D2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Q=520m3/h H=1m N=5.5kW</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D5B1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6B67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C981B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6949A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0607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73510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刮泥桥</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8723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Ф 32m，有效水深 3.5M，表面负荷 0.742mm 2h,出水</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堰负荷 1.04L/s.</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DE6F8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1B79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64D4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二沉池</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4B5DA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2B91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E96C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加药泵</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DCEAD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YS7134</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FA2B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4AFA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8</w:t>
            </w:r>
          </w:p>
        </w:tc>
        <w:tc>
          <w:tcPr>
            <w:tcW w:w="134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1DCA29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加药间</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E336E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5F68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94F81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加药装置</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27498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PT-1340</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1D4BE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D4C8F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D2253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8EF0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7FDB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456D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叠螺污泥脱水机</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AE6F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DL-303</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27D20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4CC0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1C0A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脱泥间</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B8805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功率包含电机加药装置等</w:t>
            </w:r>
          </w:p>
        </w:tc>
      </w:tr>
      <w:tr w14:paraId="39CAA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A3DA0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干燥器</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09CB3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∮1.2×6.5M电动机+减速机型号SK63-132S-4功率5.5KW</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B605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5FCE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4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78E14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干化间</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0BC77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C4A9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D973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除臭装置电机</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5E94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FR320A,2.2KW</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EB2B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3A76E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68BC3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BC41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B117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457A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石灰投加系统</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1C6EC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1.石灰料仓规格型号:有效容积:30m3 ,震动电机0.525kW；2.石灰螺旋输送机</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规格型号:输送能力0.5-3.6m3/h，水平输送距离4.83m,安装角度35°,功率4kW</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598E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5345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F8078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1808F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AD5F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42B71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空压机（阿特拉斯）</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286C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G5-WUX204205,5.5KW</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A071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26DE6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4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DFA290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反硝化滤池</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C244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FAEF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52DAD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罗茨鼓风机</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AFC4F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BK9020</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59FD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56A9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ECAE2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101A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9778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F8D5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储气罐</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93C3A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1立方米</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B670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62C4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509F2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F8DB2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5405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3F0D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反冲洗水泵</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2E6C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KP1335 LT 25kw DN300</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F21EF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8613C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90A36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0B71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332B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06BDF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紫外线消毒装置</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450B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TROJANUV3000PLUS,16.8KVA</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FFE87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3752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7EA92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紫外线消毒池</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063E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57D9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2003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回流泵</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72832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Q=651m3h,H=11.2m，N=30 kW</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189EA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74465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4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5352D2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回流泵房</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07DB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布置于水下，相关参数看不到</w:t>
            </w:r>
          </w:p>
        </w:tc>
      </w:tr>
      <w:tr w14:paraId="44309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FEFA5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搅拌器</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B21E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Ф 325mm N=2.2KW 转速 720r/min</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079C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6BA8C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3B492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22496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ACA5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5BD39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剩余污泥泵</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2AB2D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Q=20m3/h，H=4.2m,N=0.75kW</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9D011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37FA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81311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8C428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AC73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2856B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搅拌器</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5818C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Ф 325mm N=2.2KW 转速 720r/min</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4BD8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5D61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500D2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储泥池（接触池）</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E7702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布置于水下，相关参数看不到</w:t>
            </w:r>
          </w:p>
        </w:tc>
      </w:tr>
      <w:tr w14:paraId="5154D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8F92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航吊</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21B32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1吨</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1820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49A1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7</w:t>
            </w:r>
          </w:p>
        </w:tc>
        <w:tc>
          <w:tcPr>
            <w:tcW w:w="13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82A62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起重设备</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6DE3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进水泵房1台、西南提升泵房1台、反硝化滤池1台、紫外线消毒池旁1台、加药间1台、脱泥间1台、回流泵房1台</w:t>
            </w:r>
          </w:p>
        </w:tc>
      </w:tr>
      <w:tr w14:paraId="01041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9"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93F99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中水泵</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92C6F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250WQ650-12-30-Z，Q=504mh，H=15m，功率:30kw</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F9F5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85ED9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w:t>
            </w:r>
          </w:p>
        </w:tc>
        <w:tc>
          <w:tcPr>
            <w:tcW w:w="13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E640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中水回用</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6376F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再生水厂4台、紫外线消毒池2台</w:t>
            </w:r>
          </w:p>
        </w:tc>
      </w:tr>
      <w:tr w14:paraId="51C4B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FA932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配电柜</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2B8D4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K8R2000、HXGN</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8A7EA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5DD3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21</w:t>
            </w:r>
          </w:p>
        </w:tc>
        <w:tc>
          <w:tcPr>
            <w:tcW w:w="13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0EE1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高压配电室</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0E065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A8C6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916A4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配电柜</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B338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KSR2000</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815C1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6F118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7</w:t>
            </w:r>
          </w:p>
        </w:tc>
        <w:tc>
          <w:tcPr>
            <w:tcW w:w="13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6163A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低压配电室</w:t>
            </w: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2F1DF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86CC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29FF7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PLC柜</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2A335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"DI=160,DO=40,AI=24,AO=43.配套 UPS 电源 1KVA，</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1H"</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89D16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6BA82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10</w:t>
            </w:r>
          </w:p>
        </w:tc>
        <w:tc>
          <w:tcPr>
            <w:tcW w:w="13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E0459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6C30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加药间2个、污泥泵房4个、西南泵房1个、鼓风机房1个、中水站房2个、反硝化滤池1个</w:t>
            </w:r>
          </w:p>
        </w:tc>
      </w:tr>
      <w:tr w14:paraId="6DBDC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7EDB7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中控系统</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F8BB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721FF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623D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3FED4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中控室</w:t>
            </w:r>
          </w:p>
        </w:tc>
        <w:tc>
          <w:tcPr>
            <w:tcW w:w="1992" w:type="dxa"/>
            <w:tcBorders>
              <w:top w:val="single" w:color="000000" w:sz="4" w:space="0"/>
              <w:left w:val="nil"/>
              <w:bottom w:val="single" w:color="000000" w:sz="4" w:space="0"/>
              <w:right w:val="single" w:color="000000" w:sz="4" w:space="0"/>
            </w:tcBorders>
            <w:shd w:val="clear" w:color="auto" w:fill="FFFFFF"/>
            <w:vAlign w:val="center"/>
          </w:tcPr>
          <w:p w14:paraId="20C2FE7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包含中控室控制系统软、硬件及对应的厂区设备控制系统软、硬件</w:t>
            </w:r>
          </w:p>
        </w:tc>
      </w:tr>
    </w:tbl>
    <w:p w14:paraId="405E6ACC">
      <w:pPr>
        <w:pStyle w:val="27"/>
        <w:numPr>
          <w:ilvl w:val="0"/>
          <w:numId w:val="0"/>
        </w:numPr>
        <w:jc w:val="center"/>
        <w:rPr>
          <w:rFonts w:hint="default"/>
          <w:b/>
          <w:bCs/>
          <w:highlight w:val="none"/>
          <w:lang w:val="en-US" w:eastAsia="zh-CN"/>
        </w:rPr>
      </w:pPr>
      <w:r>
        <w:rPr>
          <w:rFonts w:hint="default"/>
          <w:b/>
          <w:bCs/>
          <w:highlight w:val="none"/>
          <w:lang w:val="en-US" w:eastAsia="zh-CN"/>
        </w:rPr>
        <w:t>息县第二污水处理厂</w:t>
      </w:r>
      <w:r>
        <w:rPr>
          <w:rFonts w:hint="eastAsia"/>
          <w:b/>
          <w:bCs/>
          <w:highlight w:val="none"/>
          <w:lang w:val="en-US" w:eastAsia="zh-CN"/>
        </w:rPr>
        <w:t>一</w:t>
      </w:r>
      <w:r>
        <w:rPr>
          <w:rFonts w:hint="default"/>
          <w:b/>
          <w:bCs/>
          <w:highlight w:val="none"/>
          <w:lang w:val="en-US" w:eastAsia="zh-CN"/>
        </w:rPr>
        <w:t>期设施设备维修</w:t>
      </w:r>
      <w:r>
        <w:rPr>
          <w:rFonts w:hint="eastAsia"/>
          <w:b/>
          <w:bCs/>
          <w:highlight w:val="none"/>
          <w:lang w:val="en-US" w:eastAsia="zh-CN"/>
        </w:rPr>
        <w:t>服务</w:t>
      </w:r>
      <w:r>
        <w:rPr>
          <w:rFonts w:hint="default"/>
          <w:b/>
          <w:bCs/>
          <w:highlight w:val="none"/>
          <w:lang w:val="en-US" w:eastAsia="zh-CN"/>
        </w:rPr>
        <w:t>清单</w:t>
      </w:r>
    </w:p>
    <w:tbl>
      <w:tblPr>
        <w:tblStyle w:val="28"/>
        <w:tblW w:w="91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2"/>
        <w:gridCol w:w="2832"/>
        <w:gridCol w:w="852"/>
        <w:gridCol w:w="828"/>
        <w:gridCol w:w="1356"/>
        <w:gridCol w:w="1980"/>
      </w:tblGrid>
      <w:tr w14:paraId="01840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496E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设备名称</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8A54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规格型号</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8B1D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单位</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67ED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数量</w:t>
            </w:r>
          </w:p>
        </w:tc>
        <w:tc>
          <w:tcPr>
            <w:tcW w:w="13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C802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设备位置</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C713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备注</w:t>
            </w:r>
          </w:p>
        </w:tc>
      </w:tr>
      <w:tr w14:paraId="41CB0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3C8E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粗格栅除污机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C9914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回转式格栅除污机GSHZ900-11.75-20-7.5</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ACBE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A70B0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462E8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进水提升泵房</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28B3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AE52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8647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皮带传送机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1B81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PS500-1.5-4.5</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9E3AB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F88F3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C11AF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C2EA8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85AD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D548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进口提升泵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26341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1335M-200X.453.S21.380，Q=525.3mh,H=18m,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功率：37kw,</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出水径:DN400mm</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0E09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FAD1D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B734C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C3C48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3台（45kw）2台（37kw）</w:t>
            </w:r>
          </w:p>
        </w:tc>
      </w:tr>
      <w:tr w14:paraId="51B44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20469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起重机（2吨）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4F7D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6EA9C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929F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50460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C62B9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666B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E4DDC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闸门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F929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SYZ-350</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9552E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DBF8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2B4E4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CD5D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01E1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CD76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细格栅除污机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554C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回转式格栅除污机GSHZ1100-1.7-5-60</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9D0C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C064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7BD3B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旋流沉砂池</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D4B7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B939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B66E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无轴螺旋输送机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4955C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WLS320-5.5</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1E89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E990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C78EF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D942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650B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CE717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沉砂池除砂机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A4928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XLCQ-1000</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9148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761BE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A3D64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5581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922A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1E14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鼓风机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33C73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风量：1.75 m'/min，</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风压：39.2kpa,</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功率：2.2kw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6B68F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F678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2201D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33DD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9538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425E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搅拌器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B8510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电机 1.1KW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5DD4F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A147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3FC0B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E06B1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6785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2"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CFAA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砂水分离器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86EF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螺旋直径：220mm，处理能力：5-12L/s,转速 5r/min</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5EDED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D570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12F2B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8898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A0A9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BAD3A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闸门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9FE39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PZM1200*1700</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2EB37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2871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12</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E8ACA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B84A8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9B30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8B33E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闸门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7A21A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E1B5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E0C3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w:t>
            </w:r>
          </w:p>
        </w:tc>
        <w:tc>
          <w:tcPr>
            <w:tcW w:w="13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E981C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配水井</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A9AD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D249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17637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表面曝气机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AF3A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DS285正转-45KW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2B596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35DC3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D62EA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东氧化沟</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FDD0C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C96D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F9CD8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高速搅拌器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7881C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QJB 型潜水搅拌机4kw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B0DC0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389DB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0F748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2D150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F6BF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DCCF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低速推流器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B7912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潜水低速推流器QDT1800/52-5.5/P</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C0558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0D685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8</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B12EB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57499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1D10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223E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闸门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3B98A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F2EE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3CD7E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A9E67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72527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53AA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6133F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出水堰板</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DDC48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电动回转堰门DYH-0.55/DYH36*3</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B934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16194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DAD90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8C1B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C086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3B72D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内回流旋转门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73E69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HLM1800*1200</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08EC8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EC0CF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95DAC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B237B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8C1F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FCEB6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表面曝气机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BEEC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DS285正转-45KW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BE21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FA04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EEFFE2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西氧化沟</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B0958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A948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D0B28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底部曝气机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72712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1060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8D2A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92781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E9FEE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4FD6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11A4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高速搅拌器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4D559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QJB 型潜水搅拌机4kw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D106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499F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AD689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62D9F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4075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336E7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低速推流器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3620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潜水低速推流器QDT1800/52-5.5/P</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D47CD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6D93C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8</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437D5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E295E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E454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345F5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闸门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2EE3E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EE377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6DDA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4AAE2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B815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AF16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33F1B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出水堰板</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C7079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电动回转堰门DYH-0.55/DYH36*3</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45C4B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E8DCE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DB655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2F8BB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7DDE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1C64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内回流旋转门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A296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HLM1800*1200</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1CA18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F9B4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19AD6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98932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B49C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E38D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曝气机变频控制器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DCE1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1CB0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0FA6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AC5AB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低压配电间</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F192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1711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4903A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回流泵变频控制器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EB4D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EC11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5DDF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D9A88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D229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50AA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6A42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软启动控制器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D9872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A2718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095A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9DDCB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5C95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D13A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3C889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电容补偿柜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F5D2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9B55E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3814C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5F069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0758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30F5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A60D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馈线柜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1501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8D463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0159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2E6F3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AA1DF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4F32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17B7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低压进线柜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51F7C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A74D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EAD04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77014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CBC58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4E66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3A70F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低压母联柜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FE16C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C9E94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01997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2504F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22F90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B618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9CCF3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直流屏电源系统</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2EB49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D318C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D07D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B664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直流屏间</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0E08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E8AF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C6F1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高压进线柜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F40D4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3423C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603AA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9E9DBF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高压配电间</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77B2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F1B3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B66C4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计量柜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68192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66018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93E47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43431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881BB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42F1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14188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电压保护装置柜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0FAF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475F9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968E3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0D1FD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1E69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8A37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A38E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变压器柜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B4637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7623B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EF941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069C0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6E46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FB5D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1C674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联络柜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D676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FB4D0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58BE7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64DF2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1E19D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2128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F312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隔离柜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FF07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D4B20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44F33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06474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08A66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CB11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B15AC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干式变压器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732AE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630KVA</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4C474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E4EE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1CF5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变压器间</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58BCC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17B0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71DE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行走电机、减速机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494D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MPA77MD37-Y0.55-4P916-M1</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C44ED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EC3DB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D1CCA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东二沉池</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A875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B84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17088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污泥虹吸系统</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94FD4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025A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30189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B029D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C556A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905E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F0C3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真空泵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2B48E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XD-202 抽气速率 20m，功率 0.75KW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7613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7859F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90E94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04394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E330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E51C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行走电机、减速机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98C0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MPA77MD37-Y0.55-4P916-M1</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89DF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3707F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C413A2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西二沉池</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50F62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A199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30916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污泥虹吸系统</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DFD8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732AE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290C8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732D9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E98B0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4DDA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1CD4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真空泵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393EF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XD-202 抽气速率 20m，功率 0.75KW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329E4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A8A9B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673B8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20EB5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D4C1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9F449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搅拌器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0B04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框式搅拌器JBK-2500</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8B13A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E069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03B6C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东反应沉淀池</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D80FE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3528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15EC4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行走电机、减速机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FD17C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FE9C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4321F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72BFD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AEFA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A573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E262C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底部吸泥泵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9DF1C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扬程7M，功率4KW 流量40m3/h</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97A70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93929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10BE2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61B83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5AE3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D6ED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污泥传送泵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F358E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CC742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1B664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82188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FF313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9417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AF9CC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搅拌器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8CC84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框式搅拌器JBK-2500</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E66A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01196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A4462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西反应沉淀池</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C0010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A003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F577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行走电机、减速机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2C21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2E1B4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75D4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C7CAA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9BD87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91D3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5C8EE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底部吸泥泵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DBF0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扬程 7M，功率 4KW 流量 40m3/h</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D465E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A703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64898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A397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2BC6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3AAD4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紫外线设备</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3EEC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A08D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E9B2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C4AF40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接触池</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A38F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4E24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33F2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空压机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5D84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12F0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B96C5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E23C5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7A583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A9E5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7CBC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消毒管</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90B12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DBFBE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7D5C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90</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26445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0147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BCBA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D448F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中水泵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4B334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2453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CBAF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FE7DF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5EF7C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CEA7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6345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加药螺杆泵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20BBA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LG27-1-J-V-M103  扬程：40M</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00FD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27FD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D132D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脱泥加药间</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66C5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0F74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0685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带式压滤机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DCCB0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带式浓缩压榨一体机  NDY-Q1500</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B629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DB5F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C7E4E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脱泥间</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9BBF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F540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4B17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起重机（5吨）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EC4B5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E396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FB64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FF7F2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7D58C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AB16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1A16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空压机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5382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型号：V=0.6/8，功率：4KW 容积：120L</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03F5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B7BF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1E44E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87D7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C993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33FE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污泥传输螺杆泵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9AEB7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LG76-1-B-P-M103，扬程 30M，流量 40m，功率 11KW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721E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0F0B0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A1567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A3D3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7947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91C81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清水泵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FB17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LJL65-250B 扬程：60米 功率：11KW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C820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372C3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B98C2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3890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3D97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1E44F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无轴螺旋输送机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E4E04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WLS320-15 输送长度：15米</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6E6F8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BE97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0E37C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EE87F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E857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6E39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叠螺机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BBA6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叠螺污泥脱水机：DL-303</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9D26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367C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143B8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25AF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C594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73103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螺杆泵变频控制器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604A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06614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5A8F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89A2C0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脱泥配电间</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2C04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2FAE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B549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脱泥机配电柜、PLC柜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AF14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16E1D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BFF22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12F06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AAA1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7BC0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2A56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污泥回流泵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BE47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扬程 12M，流量 400m，功率 22KW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3CD7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F6003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0DED56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回流泵站</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EF17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40F0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9006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剩余污泥泵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2063A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扬程 7M，功率 4KW 流量 40m3/h</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CFDD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F0BD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7FD98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C312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17AB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9A4A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起重机（2吨）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FC74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D5B7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F082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1F57C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6DCA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0751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4E07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搅拌器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8B1B8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QJB 型潜水搅拌机4kw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5B8E8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47A2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F1EB2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贮泥池</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0B16A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A704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4017E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驱动电机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10AC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ZP300-6 功率：5.55KW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564A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66C5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498AC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纤维转盘滤池</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7DC7F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5CA5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9B602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链条</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6590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4A96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62570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1A195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FA6B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91DC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DCA1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反冲洗泵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DD8B3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3049B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34FA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53D11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D2AC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DE55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9D1A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反洗阀</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7F028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9D1E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FDF1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6C60D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523FC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514F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9FB31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排泥阀</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7A8B6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B093A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7FCF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7C466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FF78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148C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5881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闸门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06AD8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17D6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0943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C1E0F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A459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6C74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DBC6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计量泵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03BBA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型号：80LH/4 TF F</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03669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5B6AC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FFFB3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PAM加药房</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1B4FC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9555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253A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输送机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0F88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YVF2-71M2-4</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4FD5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345BB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8FA21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7F0C5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43C5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7142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搅拌器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1EB7D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GAJBV22-10-ABB0.55</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312A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4AF9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39315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FB3B7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FC40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0F3A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计量泵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F717B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隔膜计量泵：MKL-MC-240/0.7</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1DAA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3704C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CDC0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加药罐</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7F10B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DCD2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0F9BB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中控系统</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0628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D7BE5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0824C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7D76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中控室</w:t>
            </w:r>
          </w:p>
        </w:tc>
        <w:tc>
          <w:tcPr>
            <w:tcW w:w="1980" w:type="dxa"/>
            <w:tcBorders>
              <w:top w:val="single" w:color="000000" w:sz="4" w:space="0"/>
              <w:left w:val="nil"/>
              <w:bottom w:val="single" w:color="000000" w:sz="4" w:space="0"/>
              <w:right w:val="single" w:color="000000" w:sz="4" w:space="0"/>
            </w:tcBorders>
            <w:shd w:val="clear" w:color="auto" w:fill="FFFFFF"/>
            <w:vAlign w:val="center"/>
          </w:tcPr>
          <w:p w14:paraId="6A9FE7D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包含中控室控制系统软、硬件及对应的厂区设备控制系统软、硬件</w:t>
            </w:r>
          </w:p>
        </w:tc>
      </w:tr>
    </w:tbl>
    <w:p w14:paraId="7841D361">
      <w:pPr>
        <w:pStyle w:val="27"/>
        <w:numPr>
          <w:ilvl w:val="0"/>
          <w:numId w:val="0"/>
        </w:numPr>
        <w:jc w:val="center"/>
        <w:rPr>
          <w:rFonts w:hint="default"/>
          <w:b/>
          <w:bCs/>
          <w:highlight w:val="none"/>
          <w:lang w:val="en-US" w:eastAsia="zh-CN"/>
        </w:rPr>
      </w:pPr>
      <w:r>
        <w:rPr>
          <w:rFonts w:hint="default"/>
          <w:b/>
          <w:bCs/>
          <w:highlight w:val="none"/>
          <w:lang w:val="en-US" w:eastAsia="zh-CN"/>
        </w:rPr>
        <w:t>息县第二污水处理厂二期设施设备维修</w:t>
      </w:r>
      <w:r>
        <w:rPr>
          <w:rFonts w:hint="eastAsia"/>
          <w:b/>
          <w:bCs/>
          <w:highlight w:val="none"/>
          <w:lang w:val="en-US" w:eastAsia="zh-CN"/>
        </w:rPr>
        <w:t>服务</w:t>
      </w:r>
      <w:r>
        <w:rPr>
          <w:rFonts w:hint="default"/>
          <w:b/>
          <w:bCs/>
          <w:highlight w:val="none"/>
          <w:lang w:val="en-US" w:eastAsia="zh-CN"/>
        </w:rPr>
        <w:t>清单</w:t>
      </w:r>
    </w:p>
    <w:tbl>
      <w:tblPr>
        <w:tblStyle w:val="28"/>
        <w:tblW w:w="91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2"/>
        <w:gridCol w:w="2832"/>
        <w:gridCol w:w="852"/>
        <w:gridCol w:w="830"/>
        <w:gridCol w:w="1354"/>
        <w:gridCol w:w="1980"/>
      </w:tblGrid>
      <w:tr w14:paraId="3983F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6B50B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设备名称</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A7DA4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规格型号</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D2F9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单位</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3D06B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数量</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CD0E7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设备位置</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02A66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备注</w:t>
            </w:r>
          </w:p>
        </w:tc>
      </w:tr>
      <w:tr w14:paraId="12008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78308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PLC控制柜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FEB4D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力拓电气</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A1D4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ED28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A2CC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配电间、生化池</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FA65F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反硝化池、高效池</w:t>
            </w:r>
          </w:p>
        </w:tc>
      </w:tr>
      <w:tr w14:paraId="38A4C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3E8B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搅拌器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1E9E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QJB 型潜水搅拌机4kw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F1FE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22E03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D2E0E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生物池</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F29D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2096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1ACAE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推流器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7FFC8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潜水低速推流器QDT1800/52-5.5/P</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7850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BB9B9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8</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7919F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9BE02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48D6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DB67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硝化液回流泵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BDC66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PP4650.412.1258 流量：938m3/h 功率：5.5KW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B4C46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6762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07460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0ADE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04CF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A8E51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低压控制柜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5801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E03F6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BAFE6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20F6F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093B7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8C95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2637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进水阀</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CE60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电动执行器：XFZ45-24W/TZM</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AC66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6CD8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9E0DF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7FE0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633C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98B64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起重机（2吨）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2C0F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9DE9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C65A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6F64B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回流泵站</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41E4A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AE0F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B10D4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回流泵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34895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1330L-250X.653.S05.380/10  功率：10KW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9B73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7E61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6B59C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DB973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828D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88B2B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剩余污泥泵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D49E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功率：1.3KW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2AAFA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8C28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C2AC2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0274B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FE1B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C1208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蝶阀</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94C5B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DN:350(3台) DN:150(2台)</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0797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A1B5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17A6E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2072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7443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5CD7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风机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DF0D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WL100 风量：50m3/m 功率：84KW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14BD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237A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E9B93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鼓风机房</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9759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409D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0BCA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周边传动刮吸泥机系统</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FCE22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ZGXJ-35 电机功率：2*0.55KW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9EB7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B5966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185F7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二沉池</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7163E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2A34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C6D98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真空泵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BA91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XD-040 抽气速率：40m3/h 功率：1.5KW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FE9C1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117FA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7220B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BC8D3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12BB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F017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5CA16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0.55KW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75C9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4F73A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E06E7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0994F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491E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7CC6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减速机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143CC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GFA89R59-Y0.55-4P-887-M1-ZP1EC</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C163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F3F97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42578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359CE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F570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4B7D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刮泥机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36DA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中心传动刮泥机：NG70 池内径：7000</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44DC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132A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7B180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高效沉淀池</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43D6D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D6EE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EE62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冲洗风机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53EB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49464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617A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1EBB0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AF74C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8AA8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09A9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絮凝搅拌器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8811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TELQ-0500 功率：4KW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9B4AD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A630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E28ED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B614E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6F87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D3530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介质搅拌器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3E4CF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TELQ-0400 功率：3KW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22BF5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28BC9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13C95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6201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07F6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CE10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混凝搅拌器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48852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TEKQ-0400 功率：3KW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C2D91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1D4E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8699B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4E552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8601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FEFB7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污泥输送泵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0877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AA30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3883E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665CC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4B5EB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2CD7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0676A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排污泵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9CFD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951E3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57B1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78380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9FEC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84BE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99500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污泥回流泵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B4BCE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3/2C-AHB 流量：20m3/h  功率：4KW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6349A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B926C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3A44A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B1603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EC00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2"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72FA5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剩余污泥泵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21E90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2/1.5B-AHB 流量：40m3/h  功率：5.6KW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24D2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0C8BB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9E11D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AD28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424E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3113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低压控制柜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D734B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1A366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6B35B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0AD65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B8876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D000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09EB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变频控制器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A1361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01D29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FDE0C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74B61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33BCC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F25B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EA34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起重机（2吨）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CBACC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6DE9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8830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72F24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DAF06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69F1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CDC14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计量泵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9E679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隔膜计量泵：JBM-V 流量：50L/H  功率：0.18KW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A3B6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E837A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DF577A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加药间</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CD13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3189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2780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卸药泵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6866E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1HF80-65-125 流量：50m3/h  功率：7.5KW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05E1E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9567C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36443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F759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A8CC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55053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低压控制柜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D8F09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34BBF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14DA0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22446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CB7D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D778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C987B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高压进线柜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0F15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9B55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2D58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27222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配电间</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D460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11A8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79A2D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变压器柜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B0C2A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04749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638E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A921F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3A0A3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25CB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AFADB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变压器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26F06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干式电力变压器：SCB13-500-10</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B180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13940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E023E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F4CA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5148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45A2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低压进线柜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CCA4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30305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4099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B5CAB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5E14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8A54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67B54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电容补偿柜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79B4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F5ED5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B197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766DD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BE172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93B1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67CCE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联络柜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F0BE9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BAD5D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795B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B07FD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DC3E3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4E26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4C2D3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出线柜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DD35A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CCB6B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996B9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8</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EFB3E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666B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BB70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ABF4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变频控制器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7CCE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F4F6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9257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636A1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3E90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1408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F1C0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混合搅拌器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99F3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框式搅拌机：JBJ1-1100/61-5.5/S 功率：5.5KW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55337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79643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946D9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反硝化滤池</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7A3E2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5D9D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AD1F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反洗风机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B9D89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罗茨风机：RSR200H 流量：50m3/m  功率：75KW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318E9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A5B8A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34312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C9ACC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9204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AD47D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排污泵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80B6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B521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9CA3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08367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487F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9990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8C370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反洗水泵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8710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5C431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2C8A0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6ECA0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E7EC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37DE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F04EF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气动蝶阀</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8716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0C76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6345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17</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7C99C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E1DB5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D625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CB1BA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空压机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B72BE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固定式螺杆压缩机：CS5.5N-8</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49AC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B81CA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4D67F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59947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7FB0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22BF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储气罐</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0E217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RJ20-8776 压力：0.84MPA 容积：1m3</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94F6E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509CF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5C934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21E3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2B04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8B180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干燥机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739B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吸附式干燥机：HDL12</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467B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93A4B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EB9EC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C7B5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1751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6CCF1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低压控制柜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991AE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D79E5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19D1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37ABA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B382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9034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E244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起重机（2吨）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850C3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77C9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142F3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B39D3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78285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682D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CAFA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搅拌器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3495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QJB 型潜水搅拌机4kw</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2B4F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BA39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F50DB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储泥池</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AC41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bl>
    <w:p w14:paraId="306EFAE7">
      <w:pPr>
        <w:pStyle w:val="27"/>
        <w:numPr>
          <w:ilvl w:val="0"/>
          <w:numId w:val="0"/>
        </w:numPr>
        <w:jc w:val="center"/>
        <w:rPr>
          <w:rFonts w:hint="default"/>
          <w:b/>
          <w:bCs/>
          <w:highlight w:val="none"/>
          <w:lang w:val="en-US" w:eastAsia="zh-CN"/>
        </w:rPr>
      </w:pPr>
      <w:r>
        <w:rPr>
          <w:rFonts w:hint="default"/>
          <w:b/>
          <w:bCs/>
          <w:highlight w:val="none"/>
          <w:lang w:val="en-US" w:eastAsia="zh-CN"/>
        </w:rPr>
        <w:t>息县第</w:t>
      </w:r>
      <w:r>
        <w:rPr>
          <w:rFonts w:hint="eastAsia"/>
          <w:b/>
          <w:bCs/>
          <w:highlight w:val="none"/>
          <w:lang w:val="en-US" w:eastAsia="zh-CN"/>
        </w:rPr>
        <w:t>三</w:t>
      </w:r>
      <w:r>
        <w:rPr>
          <w:rFonts w:hint="default"/>
          <w:b/>
          <w:bCs/>
          <w:highlight w:val="none"/>
          <w:lang w:val="en-US" w:eastAsia="zh-CN"/>
        </w:rPr>
        <w:t>污水处理厂设施设备维修</w:t>
      </w:r>
      <w:r>
        <w:rPr>
          <w:rFonts w:hint="eastAsia"/>
          <w:b/>
          <w:bCs/>
          <w:highlight w:val="none"/>
          <w:lang w:val="en-US" w:eastAsia="zh-CN"/>
        </w:rPr>
        <w:t>服务</w:t>
      </w:r>
      <w:r>
        <w:rPr>
          <w:rFonts w:hint="default"/>
          <w:b/>
          <w:bCs/>
          <w:highlight w:val="none"/>
          <w:lang w:val="en-US" w:eastAsia="zh-CN"/>
        </w:rPr>
        <w:t>清单</w:t>
      </w:r>
    </w:p>
    <w:tbl>
      <w:tblPr>
        <w:tblStyle w:val="28"/>
        <w:tblW w:w="91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2"/>
        <w:gridCol w:w="2832"/>
        <w:gridCol w:w="852"/>
        <w:gridCol w:w="830"/>
        <w:gridCol w:w="1354"/>
        <w:gridCol w:w="1980"/>
      </w:tblGrid>
      <w:tr w14:paraId="70568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A053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设备名称</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09EE5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规格型号</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AAD9F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单位</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58A3F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数量</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BF7B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设备位置</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0EA93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备注</w:t>
            </w:r>
          </w:p>
        </w:tc>
      </w:tr>
      <w:tr w14:paraId="2F2AF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8F15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粗格栅</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41490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335M-200X.453.321.380/20，回转式格栅</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7443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8AD74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48DAD3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进水站房</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229C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2854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ADF2F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进水泵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E6BA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1335M-200X.453.S21.380，Q=525.3m,H=18m</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278C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AA70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F233B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58C9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6FD8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EFA4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细格栅</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F055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335M-200X.453.321.380/20，回转式格栅</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3FD98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F3B0B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7CA807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细格栅</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7E134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4129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4537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旋流除砂机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A9ACC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XCA-06</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DB27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B02EA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ABD96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85A6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008E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5C9DC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砂水分离器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FD90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螺旋直径：220mm，处理能力：5-12L/s,转速5r/min</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16E8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864D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2BBEE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C628E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CD5F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07AD6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鼓风机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D23B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风量：1.75 m'/min，风压：39.2kpa</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31328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3CBE8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EC28E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F1BE5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3DC2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C85B1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空气悬浮风机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8624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WL125</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09E8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4592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72339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鼓风机房</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981D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E52B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66FB1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搅拌器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7BEF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QJB 型潜水搅拌机，叶轮直径480mm</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31463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BA9C7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82712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厌氧池</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5CAB6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814B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97EAA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电位仪</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D0ACC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’-2000~+2000MV/-5~95 ℃，4~20mA</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E1AAA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1AEC2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0A9B1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F759A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4F8E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65CF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搅拌器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DFE28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QJB 型潜水搅拌机，叶轮直径480mm</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DA1E9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1E10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C0C6F7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缺氧池</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51B5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14AA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54590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电位仪</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7679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’-2000~+2000MV/-5~95 ℃，4~20mA</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5B7CB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8231A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32D58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F05D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4193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59EC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搅拌器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2A2B7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QJB 型潜水搅拌机，叶轮直径480mm</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0494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550A1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7AC328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生物池</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CD9D6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58CF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82F4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推流器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089A6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QJB 型潜水搅拌机，叶轮直径250mm</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6FE84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0CB8D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10</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A3C44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2BEDC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3CA9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260FB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内回流泵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BD9D5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1330L-250X.653.S05.380      Q=750m3/h，H=2.5m</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FDFF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5D30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A2008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87FAC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B4F1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B5C3E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固定式溶解氧仪</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79371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0~10mg/L, 4~20mA</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2238F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082A1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70B10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1AC12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5B17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D5FC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电位仪</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7A68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’-2000~+2000MV/-5~95 ℃，4~20mA</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B6151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D4CE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F197F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7AE67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CA14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61D75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刮泥桥</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666B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Ф30，有效水深 3.5m，设备类型：周边传动刮吸泥机,周边速度：2-3m/min</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20DB0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FD8F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EC805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二沉池</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4236A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5963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AE54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污水提升泵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8CE7A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1330L-250X.653.S01.380，Q=600m3/h，H=7m,</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9D382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E20F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E8B76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反硝化滤池</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EFCE2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DB57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F95A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反冲洗水泵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BD9B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65WQ/E40-22-4-Z，Q=35m3/h,H=24m</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EA8F2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F6A7E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F5766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E2319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CC3A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2D01E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罗茨风机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C4B7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BK9020</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16009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E2C3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D834A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BCDA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1A2F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4418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空压机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2772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CS-7.5/8</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A4289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3634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D9F0B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D5885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78B6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DE1C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冷冻干燥机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1E2E9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HDF13</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26E2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F9CA6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6B885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A0048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5FE2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F8CF5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大扭矩专用刮泥机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D41E7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C312E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C963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F650AA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磁混凝沉淀池</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EEE3D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部分水下，部分铭牌损坏，查不到具体信息</w:t>
            </w:r>
          </w:p>
        </w:tc>
      </w:tr>
      <w:tr w14:paraId="4C867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3097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混凝反应搅拌器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67572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47CB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3B883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A9C74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DB693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245A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CBD2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超耐磨反应搅拌机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5FD79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946C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F3E8A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3DB05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03BA4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92AE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F796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絮凝反应搅拌机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227FE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75A29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1A6E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74D99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57806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078C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5E18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回流污泥泵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62C7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4839B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8F68B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73943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D2E12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3C6F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4D3F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生物污泥泵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7FD1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AFB25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3085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2E60B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C779F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8F91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C1626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磁粉回收系统</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05061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84AD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2DEB7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5DA6E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EE5C9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E218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7CB2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污泥输送泵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7E28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1D07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0115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C9B9A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9CD91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37AC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4AB16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冲洗泵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3B5E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B85E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66BC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50C3A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65566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5970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2E57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潜水泵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45F1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EF624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FC7B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83869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BACB5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1FBB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2B755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尾气分解破坏器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4140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DT-400F</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4CB46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BF8FE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14B53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臭氧接触池、巴氏计量槽、回用水泵房</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92344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3440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05C8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潜污泵A</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B4151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5A3C6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040FA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032FF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CB73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水下,相关参数看不到</w:t>
            </w:r>
          </w:p>
        </w:tc>
      </w:tr>
      <w:tr w14:paraId="244F7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9195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潜污泵B</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3C9FD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593D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BB62E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69EFA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4B58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水下,相关参数看不到</w:t>
            </w:r>
          </w:p>
        </w:tc>
      </w:tr>
      <w:tr w14:paraId="4E201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9"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2189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污泥回流泵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EA623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 xml:space="preserve">1330L-250X.653.S01.380，Q=600m3/h，H=7m </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B146B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3B1C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A4084A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污泥泵房</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CB04B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4BF1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9F921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污泥剩余泵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BBB0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80WQ/E50-10-2.2-Z, Q=504m3/h,H=7m</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F2F58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386FE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8220D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0383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A34C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8FA42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潜水搅拌器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0DB35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6E737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0973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E2454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储泥池</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877A4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水下,相关参数看不到</w:t>
            </w:r>
          </w:p>
        </w:tc>
      </w:tr>
      <w:tr w14:paraId="0D727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3F033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叠螺式脱泥机</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6869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YDL303</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DFE0B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753A4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7983EB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污泥深度脱水机房</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F7C1C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D009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DC76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干化系统</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8D3C8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SFC-SD10</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3F3CD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1783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BCD47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D49EA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38BE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5828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污泥泵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D119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SK80LH/4TFF</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430E3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896CE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D1C5E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B6AE0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9A74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A695D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加药泵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7C95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132MH/4TFF</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619F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9D090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8F341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95F1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41F8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614FB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加药系统</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812AD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YH2000</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F7EC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5FCA2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20E03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E487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14B0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BA52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卸药泵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7588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IHF50-32-125</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AFF37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0AF5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4C395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加药间</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3A09B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A300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736B2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加药泵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8B50D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IHF50-32-125</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B97F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21356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43F21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9627C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58B7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92E0C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小型加药泵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36141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J系列JXM-A型</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EEAD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D2F5C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DAFDA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C8D9A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08AC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AC43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PAM投加系统</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1BA0C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PY3-2000</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C7EC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D2D3E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FAE96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8E93E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08FC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BD8C1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臭氧发生器</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9A278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B8DD0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891B6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B55DB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臭氧发生间</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F492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成套装置，无具体参数</w:t>
            </w:r>
          </w:p>
        </w:tc>
      </w:tr>
      <w:tr w14:paraId="3A8A1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7B40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液氧罐</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A437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A06DD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333F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8D6C2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液氧罐</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C925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0CB5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C06B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8000除臭设备</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7097E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SCZ-2.5/6-8000</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7A9C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DDCC0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1D49D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8000除臭设备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1E88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1EB7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B100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3000除臭设备</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1FB0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SCZ-2.5/6-3000</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9E1AD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DBBA7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E330F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除臭设备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D8927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5C61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34FE6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航吊</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9D986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FEAD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7905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91E9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起重设备</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2EFF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进水泵房1台、反硝化滤池2台、磁混凝沉淀池1台、脱泥间1台、回流泵房1台</w:t>
            </w:r>
          </w:p>
        </w:tc>
      </w:tr>
      <w:tr w14:paraId="12C65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98D9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厂区中水回用泵</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A1BBE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65WQ/E40-22-4-Z,Q=35m3/h,H=24m</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E640D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E6936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04FCB3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中水回用</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D808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E77B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867AB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中水泵站</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683EC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250WQ650-12-30-Z，Q=504mh，H=15m</w:t>
            </w: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C8A1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EEA4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A6922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443C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86F3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AA084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配电柜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5EE5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6CC17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C40DA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10</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33ED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高压配电室</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40867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6C4FE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F97BA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配电柜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F3AA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9A5AD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70728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28</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AE4CA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低压配电室</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8E519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配电间17个，反硝化滤池4个，磁混凝沉淀池4个，加药间2个，脱泥间1个</w:t>
            </w:r>
          </w:p>
        </w:tc>
      </w:tr>
      <w:tr w14:paraId="51E3C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B3A67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PLC柜</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0B068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9FB2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2D63D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776F3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PLC柜</w:t>
            </w:r>
          </w:p>
        </w:tc>
        <w:tc>
          <w:tcPr>
            <w:tcW w:w="19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D7B48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配电间2个，加药间1个、磁混凝沉淀池1个、脱泥间1个、反硝化滤池1个</w:t>
            </w:r>
          </w:p>
        </w:tc>
      </w:tr>
      <w:tr w14:paraId="2BECB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13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02F6F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中控系统</w:t>
            </w:r>
          </w:p>
        </w:tc>
        <w:tc>
          <w:tcPr>
            <w:tcW w:w="2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7032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8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03AB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F4C0D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C51A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中控室</w:t>
            </w:r>
          </w:p>
        </w:tc>
        <w:tc>
          <w:tcPr>
            <w:tcW w:w="1980" w:type="dxa"/>
            <w:tcBorders>
              <w:top w:val="single" w:color="000000" w:sz="4" w:space="0"/>
              <w:left w:val="nil"/>
              <w:bottom w:val="single" w:color="000000" w:sz="4" w:space="0"/>
              <w:right w:val="single" w:color="000000" w:sz="4" w:space="0"/>
            </w:tcBorders>
            <w:shd w:val="clear" w:color="auto" w:fill="FFFFFF"/>
            <w:vAlign w:val="center"/>
          </w:tcPr>
          <w:p w14:paraId="024B2D2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包含中控室控制系统软、硬件及对应的厂区设备控制系统软、硬件</w:t>
            </w:r>
          </w:p>
        </w:tc>
      </w:tr>
    </w:tbl>
    <w:p w14:paraId="58E4E974">
      <w:pPr>
        <w:spacing w:line="360" w:lineRule="auto"/>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注：</w:t>
      </w:r>
    </w:p>
    <w:p w14:paraId="57A76AD2">
      <w:pPr>
        <w:spacing w:line="360" w:lineRule="auto"/>
        <w:ind w:firstLine="422" w:firstLineChars="200"/>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1.本项目设备维修服务包括并不限于以上设施设备，具体以采购人下发的服务清单为准。</w:t>
      </w:r>
    </w:p>
    <w:p w14:paraId="43E65466">
      <w:pPr>
        <w:spacing w:line="360" w:lineRule="auto"/>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2.供应商需按照磋商文件要求进行费率报价。</w:t>
      </w:r>
    </w:p>
    <w:p w14:paraId="479C71EB">
      <w:pPr>
        <w:spacing w:line="360" w:lineRule="auto"/>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3.本项目的综合服务单价应包含人工服务费、安装费、特种工具费、调试费、保管费、水电费、技术服务费、差旅费、保险费、检验费、手续费、税费等所发生的所有费用。</w:t>
      </w:r>
    </w:p>
    <w:p w14:paraId="49C8A7BF">
      <w:pPr>
        <w:spacing w:line="360" w:lineRule="auto"/>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4.确定为中标供应商后，供应商依据采购人每次提供的服务清单提交当次的综合服务单价。经采购人核算确认后，与供应商签订当次维修服务合同（或维修服务单），并据实结算。</w:t>
      </w:r>
    </w:p>
    <w:p w14:paraId="0368FCDE">
      <w:pPr>
        <w:spacing w:line="360" w:lineRule="auto"/>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最终服务价为：中标供应商按照本项目磋商文件要求以实际发生的综合服务单价*成交费率。</w:t>
      </w:r>
    </w:p>
    <w:p w14:paraId="127C1EF7">
      <w:pPr>
        <w:spacing w:line="360" w:lineRule="auto"/>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5.中标供应商必须按照当次最终服务价进行维修服务，否则视为违约。违约方应按当次服务总值的20%支付给采购人违约金。</w:t>
      </w:r>
    </w:p>
    <w:p w14:paraId="35A85D26">
      <w:pPr>
        <w:spacing w:line="360" w:lineRule="auto"/>
        <w:ind w:firstLine="422" w:firstLineChars="200"/>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6.若在维修服务中，当次维修的费用达到政府采购规定的采购限额标准及以上时，采购人另行委托。</w:t>
      </w:r>
    </w:p>
    <w:p w14:paraId="580CC4EE">
      <w:pPr>
        <w:rPr>
          <w:rFonts w:hint="eastAsia" w:ascii="宋体" w:hAnsi="宋体" w:eastAsia="宋体" w:cs="宋体"/>
          <w:b/>
          <w:bCs/>
          <w:color w:val="auto"/>
          <w:sz w:val="32"/>
          <w:szCs w:val="32"/>
          <w:highlight w:val="none"/>
          <w:lang w:val="en-US" w:eastAsia="zh-CN"/>
        </w:rPr>
      </w:pPr>
      <w:bookmarkStart w:id="1042" w:name="_Toc15063"/>
      <w:r>
        <w:rPr>
          <w:rFonts w:hint="eastAsia" w:ascii="宋体" w:hAnsi="宋体" w:eastAsia="宋体" w:cs="宋体"/>
          <w:b/>
          <w:bCs/>
          <w:color w:val="auto"/>
          <w:sz w:val="32"/>
          <w:szCs w:val="32"/>
          <w:highlight w:val="none"/>
          <w:lang w:val="en-US" w:eastAsia="zh-CN"/>
        </w:rPr>
        <w:br w:type="page"/>
      </w:r>
    </w:p>
    <w:p w14:paraId="28EDDB05">
      <w:pPr>
        <w:pStyle w:val="23"/>
        <w:keepNext w:val="0"/>
        <w:keepLines w:val="0"/>
        <w:pageBreakBefore w:val="0"/>
        <w:widowControl/>
        <w:tabs>
          <w:tab w:val="right" w:leader="underscore" w:pos="8296"/>
        </w:tabs>
        <w:kinsoku/>
        <w:wordWrap/>
        <w:overflowPunct/>
        <w:topLinePunct w:val="0"/>
        <w:autoSpaceDE/>
        <w:autoSpaceDN/>
        <w:bidi w:val="0"/>
        <w:adjustRightInd/>
        <w:snapToGrid/>
        <w:spacing w:after="0" w:afterLines="0" w:line="360" w:lineRule="auto"/>
        <w:ind w:left="0" w:leftChars="0" w:firstLine="0" w:firstLineChars="0"/>
        <w:jc w:val="center"/>
        <w:textAlignment w:val="auto"/>
        <w:outlineLvl w:val="0"/>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第六章 竞争性磋商响应文件格式</w:t>
      </w:r>
      <w:bookmarkEnd w:id="1041"/>
      <w:bookmarkEnd w:id="1042"/>
    </w:p>
    <w:p w14:paraId="28CA4171">
      <w:pPr>
        <w:spacing w:line="440" w:lineRule="exact"/>
        <w:ind w:left="0" w:leftChars="0" w:firstLine="0" w:firstLineChars="0"/>
        <w:rPr>
          <w:rFonts w:hint="eastAsia" w:ascii="宋体" w:hAnsi="宋体" w:eastAsia="宋体" w:cs="宋体"/>
          <w:color w:val="auto"/>
          <w:sz w:val="24"/>
          <w:highlight w:val="none"/>
        </w:rPr>
      </w:pPr>
    </w:p>
    <w:p w14:paraId="2FA3C721">
      <w:pPr>
        <w:pStyle w:val="50"/>
        <w:rPr>
          <w:rFonts w:hint="eastAsia" w:ascii="宋体" w:hAnsi="宋体" w:eastAsia="宋体" w:cs="宋体"/>
          <w:color w:val="auto"/>
          <w:sz w:val="24"/>
          <w:highlight w:val="none"/>
        </w:rPr>
      </w:pPr>
    </w:p>
    <w:p w14:paraId="417C05BF">
      <w:pPr>
        <w:pStyle w:val="50"/>
        <w:rPr>
          <w:rFonts w:hint="eastAsia" w:ascii="宋体" w:hAnsi="宋体" w:eastAsia="宋体" w:cs="宋体"/>
          <w:color w:val="auto"/>
          <w:sz w:val="24"/>
          <w:highlight w:val="none"/>
        </w:rPr>
      </w:pPr>
    </w:p>
    <w:p w14:paraId="10EC126C">
      <w:pPr>
        <w:spacing w:line="360" w:lineRule="auto"/>
        <w:jc w:val="center"/>
        <w:rPr>
          <w:rFonts w:hint="default" w:ascii="宋体" w:hAnsi="宋体" w:eastAsia="宋体" w:cs="宋体"/>
          <w:b/>
          <w:w w:val="80"/>
          <w:sz w:val="44"/>
          <w:szCs w:val="44"/>
          <w:highlight w:val="none"/>
          <w:u w:val="single"/>
          <w:lang w:val="en-US" w:eastAsia="zh-CN"/>
        </w:rPr>
      </w:pPr>
      <w:r>
        <w:rPr>
          <w:rFonts w:hint="eastAsia" w:ascii="宋体" w:hAnsi="宋体" w:eastAsia="宋体" w:cs="宋体"/>
          <w:b/>
          <w:w w:val="80"/>
          <w:sz w:val="44"/>
          <w:szCs w:val="44"/>
          <w:highlight w:val="none"/>
          <w:u w:val="single"/>
        </w:rPr>
        <w:t xml:space="preserve">               （项目名称</w:t>
      </w:r>
      <w:r>
        <w:rPr>
          <w:rFonts w:hint="eastAsia" w:ascii="宋体" w:hAnsi="宋体" w:eastAsia="宋体" w:cs="宋体"/>
          <w:b/>
          <w:w w:val="80"/>
          <w:sz w:val="44"/>
          <w:szCs w:val="44"/>
          <w:highlight w:val="none"/>
          <w:u w:val="single"/>
          <w:lang w:val="en-US" w:eastAsia="zh-CN"/>
        </w:rPr>
        <w:t>+包号</w:t>
      </w:r>
      <w:r>
        <w:rPr>
          <w:rFonts w:hint="eastAsia" w:ascii="宋体" w:hAnsi="宋体" w:eastAsia="宋体" w:cs="宋体"/>
          <w:b/>
          <w:w w:val="80"/>
          <w:sz w:val="44"/>
          <w:szCs w:val="44"/>
          <w:highlight w:val="none"/>
          <w:u w:val="single"/>
        </w:rPr>
        <w:t>）</w:t>
      </w:r>
      <w:r>
        <w:rPr>
          <w:rFonts w:hint="eastAsia" w:ascii="宋体" w:hAnsi="宋体" w:eastAsia="宋体" w:cs="宋体"/>
          <w:b/>
          <w:w w:val="80"/>
          <w:sz w:val="44"/>
          <w:szCs w:val="44"/>
          <w:highlight w:val="none"/>
          <w:u w:val="single"/>
          <w:lang w:val="en-US" w:eastAsia="zh-CN"/>
        </w:rPr>
        <w:t xml:space="preserve"> </w:t>
      </w:r>
    </w:p>
    <w:p w14:paraId="5E59AF09">
      <w:pPr>
        <w:ind w:left="0" w:leftChars="0" w:firstLine="0" w:firstLineChars="0"/>
        <w:jc w:val="center"/>
        <w:rPr>
          <w:rFonts w:hint="eastAsia" w:ascii="宋体" w:hAnsi="宋体" w:eastAsia="宋体" w:cs="宋体"/>
          <w:b/>
          <w:bCs/>
          <w:color w:val="auto"/>
          <w:sz w:val="28"/>
          <w:szCs w:val="28"/>
          <w:highlight w:val="none"/>
          <w:lang w:eastAsia="zh-CN"/>
        </w:rPr>
      </w:pPr>
    </w:p>
    <w:p w14:paraId="2C798B98">
      <w:pPr>
        <w:pStyle w:val="51"/>
        <w:rPr>
          <w:rFonts w:hint="eastAsia" w:ascii="宋体" w:hAnsi="宋体" w:eastAsia="宋体" w:cs="宋体"/>
          <w:b/>
          <w:bCs/>
          <w:color w:val="auto"/>
          <w:sz w:val="30"/>
          <w:szCs w:val="30"/>
          <w:highlight w:val="none"/>
          <w:lang w:eastAsia="zh-CN"/>
        </w:rPr>
      </w:pPr>
    </w:p>
    <w:p w14:paraId="050B6AC2">
      <w:pPr>
        <w:pStyle w:val="53"/>
        <w:rPr>
          <w:rFonts w:hint="eastAsia" w:ascii="宋体" w:hAnsi="宋体" w:eastAsia="宋体" w:cs="宋体"/>
          <w:b/>
          <w:bCs/>
          <w:color w:val="auto"/>
          <w:sz w:val="30"/>
          <w:szCs w:val="30"/>
          <w:highlight w:val="none"/>
          <w:lang w:eastAsia="zh-CN"/>
        </w:rPr>
      </w:pPr>
    </w:p>
    <w:p w14:paraId="0087115A">
      <w:pPr>
        <w:pStyle w:val="3"/>
        <w:rPr>
          <w:rFonts w:hint="eastAsia" w:ascii="宋体" w:hAnsi="宋体" w:eastAsia="宋体" w:cs="宋体"/>
          <w:b/>
          <w:bCs/>
          <w:color w:val="auto"/>
          <w:sz w:val="30"/>
          <w:szCs w:val="30"/>
          <w:highlight w:val="none"/>
          <w:lang w:eastAsia="zh-CN"/>
        </w:rPr>
      </w:pPr>
    </w:p>
    <w:p w14:paraId="06373A05">
      <w:pPr>
        <w:pStyle w:val="51"/>
        <w:spacing w:line="360" w:lineRule="auto"/>
        <w:rPr>
          <w:rFonts w:hint="eastAsia" w:ascii="宋体" w:hAnsi="宋体" w:eastAsia="宋体" w:cs="宋体"/>
          <w:highlight w:val="none"/>
          <w:lang w:eastAsia="zh-CN"/>
        </w:rPr>
      </w:pPr>
    </w:p>
    <w:p w14:paraId="505D5963">
      <w:pPr>
        <w:spacing w:line="360" w:lineRule="auto"/>
        <w:ind w:left="0" w:leftChars="0" w:firstLine="0" w:firstLineChars="0"/>
        <w:jc w:val="center"/>
        <w:rPr>
          <w:rFonts w:hint="eastAsia" w:ascii="宋体" w:hAnsi="宋体" w:eastAsia="宋体" w:cs="宋体"/>
          <w:color w:val="auto"/>
          <w:sz w:val="44"/>
          <w:szCs w:val="44"/>
          <w:highlight w:val="none"/>
        </w:rPr>
      </w:pPr>
      <w:r>
        <w:rPr>
          <w:rFonts w:hint="eastAsia" w:ascii="宋体" w:hAnsi="宋体" w:eastAsia="宋体" w:cs="宋体"/>
          <w:b/>
          <w:bCs/>
          <w:color w:val="auto"/>
          <w:sz w:val="44"/>
          <w:szCs w:val="44"/>
          <w:highlight w:val="none"/>
          <w:lang w:eastAsia="zh-CN"/>
        </w:rPr>
        <w:t>竞争性磋商响应文件</w:t>
      </w:r>
    </w:p>
    <w:p w14:paraId="76F748D3">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b/>
          <w:bCs/>
          <w:szCs w:val="21"/>
          <w:highlight w:val="none"/>
        </w:rPr>
        <w:t>项目编号：</w:t>
      </w:r>
    </w:p>
    <w:p w14:paraId="57CFAE42">
      <w:pPr>
        <w:spacing w:line="400" w:lineRule="exact"/>
        <w:rPr>
          <w:rFonts w:hint="eastAsia" w:ascii="宋体" w:hAnsi="宋体" w:eastAsia="宋体" w:cs="宋体"/>
          <w:color w:val="auto"/>
          <w:sz w:val="28"/>
          <w:szCs w:val="28"/>
          <w:highlight w:val="none"/>
        </w:rPr>
      </w:pPr>
    </w:p>
    <w:p w14:paraId="6CB01E72">
      <w:pPr>
        <w:spacing w:line="400" w:lineRule="exact"/>
        <w:rPr>
          <w:rFonts w:hint="eastAsia" w:ascii="宋体" w:hAnsi="宋体" w:eastAsia="宋体" w:cs="宋体"/>
          <w:color w:val="auto"/>
          <w:sz w:val="28"/>
          <w:szCs w:val="28"/>
          <w:highlight w:val="none"/>
        </w:rPr>
      </w:pPr>
    </w:p>
    <w:p w14:paraId="64E0B909">
      <w:pPr>
        <w:spacing w:line="400" w:lineRule="exact"/>
        <w:rPr>
          <w:rFonts w:hint="eastAsia" w:ascii="宋体" w:hAnsi="宋体" w:eastAsia="宋体" w:cs="宋体"/>
          <w:color w:val="auto"/>
          <w:sz w:val="28"/>
          <w:szCs w:val="28"/>
          <w:highlight w:val="none"/>
        </w:rPr>
      </w:pPr>
    </w:p>
    <w:p w14:paraId="66B6E438">
      <w:pPr>
        <w:pStyle w:val="54"/>
        <w:ind w:left="0" w:leftChars="0" w:firstLine="0" w:firstLineChars="0"/>
        <w:jc w:val="both"/>
        <w:rPr>
          <w:rFonts w:hint="eastAsia" w:ascii="宋体" w:hAnsi="宋体" w:eastAsia="宋体" w:cs="宋体"/>
          <w:highlight w:val="none"/>
        </w:rPr>
      </w:pPr>
    </w:p>
    <w:p w14:paraId="696B46D1">
      <w:pPr>
        <w:spacing w:line="400" w:lineRule="exact"/>
        <w:rPr>
          <w:rFonts w:hint="eastAsia" w:ascii="宋体" w:hAnsi="宋体" w:eastAsia="宋体" w:cs="宋体"/>
          <w:color w:val="auto"/>
          <w:sz w:val="28"/>
          <w:szCs w:val="28"/>
          <w:highlight w:val="none"/>
        </w:rPr>
      </w:pPr>
    </w:p>
    <w:p w14:paraId="2BD8F62E">
      <w:pPr>
        <w:pStyle w:val="3"/>
        <w:rPr>
          <w:rFonts w:hint="eastAsia" w:ascii="宋体" w:hAnsi="宋体" w:eastAsia="宋体" w:cs="宋体"/>
          <w:color w:val="auto"/>
          <w:sz w:val="28"/>
          <w:szCs w:val="28"/>
          <w:highlight w:val="none"/>
        </w:rPr>
      </w:pPr>
    </w:p>
    <w:p w14:paraId="170DD7D1">
      <w:pPr>
        <w:spacing w:line="400" w:lineRule="exact"/>
        <w:rPr>
          <w:rFonts w:hint="eastAsia" w:ascii="宋体" w:hAnsi="宋体" w:eastAsia="宋体" w:cs="宋体"/>
          <w:color w:val="auto"/>
          <w:sz w:val="28"/>
          <w:szCs w:val="28"/>
          <w:highlight w:val="none"/>
        </w:rPr>
      </w:pPr>
    </w:p>
    <w:p w14:paraId="3C187196">
      <w:pPr>
        <w:spacing w:line="400" w:lineRule="exact"/>
        <w:rPr>
          <w:rFonts w:hint="eastAsia" w:ascii="宋体" w:hAnsi="宋体" w:eastAsia="宋体" w:cs="宋体"/>
          <w:color w:val="auto"/>
          <w:sz w:val="28"/>
          <w:szCs w:val="28"/>
          <w:highlight w:val="none"/>
        </w:rPr>
      </w:pPr>
    </w:p>
    <w:p w14:paraId="2865B3F8">
      <w:pPr>
        <w:spacing w:line="48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（单位电子签章）</w:t>
      </w:r>
    </w:p>
    <w:p w14:paraId="07AA2761">
      <w:pPr>
        <w:spacing w:line="48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法定代表人或其委托代理人：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（电子签名或盖章）</w:t>
      </w:r>
    </w:p>
    <w:p w14:paraId="5147AFB9">
      <w:pPr>
        <w:spacing w:line="48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5256A909">
      <w:pPr>
        <w:pStyle w:val="70"/>
        <w:jc w:val="center"/>
        <w:rPr>
          <w:rFonts w:hint="eastAsia" w:ascii="宋体" w:hAnsi="宋体" w:eastAsia="宋体" w:cs="宋体"/>
          <w:b/>
          <w:bCs/>
          <w:color w:val="auto"/>
          <w:sz w:val="32"/>
          <w:szCs w:val="32"/>
          <w:highlight w:val="none"/>
        </w:rPr>
      </w:pPr>
      <w:bookmarkStart w:id="1043" w:name="_Toc152045787"/>
      <w:bookmarkStart w:id="1044" w:name="_Toc1219"/>
      <w:bookmarkStart w:id="1045" w:name="_Toc152042576"/>
      <w:bookmarkStart w:id="1046" w:name="_Toc27298"/>
      <w:bookmarkStart w:id="1047" w:name="_Toc466298157"/>
      <w:bookmarkStart w:id="1048" w:name="_Toc8978"/>
      <w:bookmarkStart w:id="1049" w:name="_Toc144974856"/>
      <w:bookmarkStart w:id="1050" w:name="_Toc20198"/>
      <w:r>
        <w:rPr>
          <w:rFonts w:hint="eastAsia" w:ascii="宋体" w:hAnsi="宋体" w:eastAsia="宋体" w:cs="宋体"/>
          <w:b/>
          <w:bCs/>
          <w:color w:val="auto"/>
          <w:sz w:val="32"/>
          <w:szCs w:val="32"/>
          <w:highlight w:val="none"/>
        </w:rPr>
        <w:t>目    录</w:t>
      </w:r>
      <w:bookmarkEnd w:id="1043"/>
      <w:bookmarkEnd w:id="1044"/>
      <w:bookmarkEnd w:id="1045"/>
      <w:bookmarkEnd w:id="1046"/>
      <w:bookmarkEnd w:id="1047"/>
      <w:bookmarkEnd w:id="1048"/>
      <w:bookmarkEnd w:id="1049"/>
      <w:bookmarkEnd w:id="1050"/>
    </w:p>
    <w:p w14:paraId="54426CAB">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sz w:val="24"/>
          <w:szCs w:val="32"/>
          <w:highlight w:val="none"/>
        </w:rPr>
      </w:pPr>
    </w:p>
    <w:p w14:paraId="46A2607F">
      <w:pPr>
        <w:spacing w:line="540" w:lineRule="exac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一、</w:t>
      </w:r>
      <w:r>
        <w:rPr>
          <w:rFonts w:hint="eastAsia" w:ascii="宋体" w:hAnsi="宋体" w:eastAsia="宋体" w:cs="宋体"/>
          <w:color w:val="auto"/>
          <w:highlight w:val="none"/>
          <w:lang w:eastAsia="zh-CN"/>
        </w:rPr>
        <w:t>响应函</w:t>
      </w:r>
      <w:r>
        <w:rPr>
          <w:rFonts w:hint="eastAsia" w:ascii="宋体" w:hAnsi="宋体" w:eastAsia="宋体" w:cs="宋体"/>
          <w:color w:val="auto"/>
          <w:highlight w:val="none"/>
        </w:rPr>
        <w:t>及</w:t>
      </w:r>
      <w:r>
        <w:rPr>
          <w:rFonts w:hint="eastAsia" w:ascii="宋体" w:hAnsi="宋体" w:eastAsia="宋体" w:cs="宋体"/>
          <w:color w:val="auto"/>
          <w:highlight w:val="none"/>
          <w:lang w:eastAsia="zh-CN"/>
        </w:rPr>
        <w:t>响应函附录</w:t>
      </w:r>
      <w:r>
        <w:rPr>
          <w:rFonts w:hint="eastAsia" w:ascii="宋体" w:hAnsi="宋体" w:eastAsia="宋体" w:cs="宋体"/>
          <w:color w:val="auto"/>
          <w:highlight w:val="none"/>
        </w:rPr>
        <w:t xml:space="preserve"> </w:t>
      </w:r>
    </w:p>
    <w:p w14:paraId="23E52D35">
      <w:pPr>
        <w:spacing w:line="540" w:lineRule="exac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二、</w:t>
      </w:r>
      <w:r>
        <w:rPr>
          <w:rFonts w:hint="eastAsia" w:ascii="宋体" w:hAnsi="宋体" w:eastAsia="宋体" w:cs="宋体"/>
          <w:color w:val="auto"/>
          <w:highlight w:val="none"/>
        </w:rPr>
        <w:t>法定代表人（单位负责人）身份证明</w:t>
      </w:r>
    </w:p>
    <w:p w14:paraId="77575B84">
      <w:pPr>
        <w:spacing w:line="540" w:lineRule="exac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 xml:space="preserve">授权委托书 </w:t>
      </w:r>
    </w:p>
    <w:p w14:paraId="7CA46E2E">
      <w:pPr>
        <w:spacing w:line="54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四、服务方案</w:t>
      </w:r>
    </w:p>
    <w:p w14:paraId="38BB8D45">
      <w:pPr>
        <w:spacing w:line="540" w:lineRule="exact"/>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五、综合部分</w:t>
      </w:r>
    </w:p>
    <w:p w14:paraId="6BCE91A8">
      <w:pPr>
        <w:spacing w:line="540" w:lineRule="exac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六、</w:t>
      </w:r>
      <w:r>
        <w:rPr>
          <w:rFonts w:hint="eastAsia" w:ascii="宋体" w:hAnsi="宋体" w:eastAsia="宋体" w:cs="宋体"/>
          <w:color w:val="auto"/>
          <w:highlight w:val="none"/>
        </w:rPr>
        <w:t>资格证明材料</w:t>
      </w:r>
    </w:p>
    <w:p w14:paraId="084113E4">
      <w:pPr>
        <w:spacing w:line="540" w:lineRule="exac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七、</w:t>
      </w:r>
      <w:r>
        <w:rPr>
          <w:rFonts w:hint="eastAsia" w:ascii="宋体" w:hAnsi="宋体" w:eastAsia="宋体" w:cs="宋体"/>
          <w:color w:val="auto"/>
          <w:highlight w:val="none"/>
        </w:rPr>
        <w:t>反商业贿赂承诺书</w:t>
      </w:r>
    </w:p>
    <w:p w14:paraId="64C8F51B">
      <w:pPr>
        <w:spacing w:line="540" w:lineRule="exac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其他材料</w:t>
      </w:r>
    </w:p>
    <w:p w14:paraId="307D2012">
      <w:pPr>
        <w:spacing w:line="540" w:lineRule="exac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九、</w:t>
      </w:r>
      <w:r>
        <w:rPr>
          <w:rFonts w:hint="eastAsia" w:ascii="宋体" w:hAnsi="宋体" w:eastAsia="宋体" w:cs="宋体"/>
          <w:color w:val="auto"/>
          <w:highlight w:val="none"/>
        </w:rPr>
        <w:t>中小企业声明函</w:t>
      </w:r>
    </w:p>
    <w:p w14:paraId="526DAD1C">
      <w:pPr>
        <w:spacing w:line="540" w:lineRule="exac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十、</w:t>
      </w:r>
      <w:r>
        <w:rPr>
          <w:rFonts w:hint="eastAsia" w:ascii="宋体" w:hAnsi="宋体" w:eastAsia="宋体" w:cs="宋体"/>
          <w:color w:val="auto"/>
          <w:highlight w:val="none"/>
        </w:rPr>
        <w:t>残疾人福利性单位声明函(如有)</w:t>
      </w:r>
    </w:p>
    <w:p w14:paraId="429E8BEC">
      <w:pPr>
        <w:spacing w:line="540" w:lineRule="exact"/>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十一、</w:t>
      </w:r>
      <w:r>
        <w:rPr>
          <w:rFonts w:hint="eastAsia" w:ascii="宋体" w:hAnsi="宋体" w:eastAsia="宋体" w:cs="宋体"/>
          <w:color w:val="auto"/>
          <w:highlight w:val="none"/>
        </w:rPr>
        <w:t>监狱企业证明文件（如有）</w:t>
      </w:r>
    </w:p>
    <w:p w14:paraId="56FA5410">
      <w:pPr>
        <w:spacing w:line="540" w:lineRule="exact"/>
        <w:rPr>
          <w:rFonts w:hint="eastAsia" w:ascii="宋体" w:hAnsi="宋体" w:eastAsia="宋体" w:cs="宋体"/>
          <w:color w:val="auto"/>
          <w:highlight w:val="none"/>
        </w:rPr>
      </w:pPr>
    </w:p>
    <w:p w14:paraId="6350DBE4">
      <w:pPr>
        <w:spacing w:line="540" w:lineRule="exact"/>
        <w:rPr>
          <w:rFonts w:hint="eastAsia" w:ascii="宋体" w:hAnsi="宋体" w:eastAsia="宋体" w:cs="宋体"/>
          <w:color w:val="auto"/>
          <w:highlight w:val="none"/>
        </w:rPr>
      </w:pPr>
    </w:p>
    <w:p w14:paraId="6CC3E98B">
      <w:pPr>
        <w:spacing w:line="540" w:lineRule="exact"/>
        <w:rPr>
          <w:rFonts w:hint="eastAsia" w:ascii="宋体" w:hAnsi="宋体" w:eastAsia="宋体" w:cs="宋体"/>
          <w:color w:val="auto"/>
          <w:highlight w:val="none"/>
        </w:rPr>
      </w:pPr>
    </w:p>
    <w:p w14:paraId="0F9DCBE0">
      <w:pPr>
        <w:pStyle w:val="51"/>
        <w:rPr>
          <w:rFonts w:hint="eastAsia" w:ascii="宋体" w:hAnsi="宋体" w:eastAsia="宋体" w:cs="宋体"/>
          <w:color w:val="auto"/>
          <w:highlight w:val="none"/>
        </w:rPr>
      </w:pPr>
    </w:p>
    <w:p w14:paraId="0F1555CE">
      <w:pPr>
        <w:pStyle w:val="22"/>
        <w:rPr>
          <w:rFonts w:hint="eastAsia" w:ascii="宋体" w:hAnsi="宋体" w:eastAsia="宋体" w:cs="宋体"/>
          <w:color w:val="auto"/>
          <w:highlight w:val="none"/>
        </w:rPr>
      </w:pPr>
    </w:p>
    <w:p w14:paraId="0A2850B7">
      <w:pPr>
        <w:pStyle w:val="22"/>
        <w:rPr>
          <w:rFonts w:hint="eastAsia" w:ascii="宋体" w:hAnsi="宋体" w:eastAsia="宋体" w:cs="宋体"/>
          <w:color w:val="auto"/>
          <w:highlight w:val="none"/>
        </w:rPr>
      </w:pPr>
    </w:p>
    <w:p w14:paraId="42FCDF10">
      <w:pPr>
        <w:pStyle w:val="22"/>
        <w:rPr>
          <w:rFonts w:hint="eastAsia" w:ascii="宋体" w:hAnsi="宋体" w:eastAsia="宋体" w:cs="宋体"/>
          <w:color w:val="auto"/>
          <w:highlight w:val="none"/>
        </w:rPr>
      </w:pPr>
    </w:p>
    <w:p w14:paraId="47570911">
      <w:pPr>
        <w:pStyle w:val="22"/>
        <w:rPr>
          <w:rFonts w:hint="eastAsia" w:ascii="宋体" w:hAnsi="宋体" w:eastAsia="宋体" w:cs="宋体"/>
          <w:color w:val="auto"/>
          <w:highlight w:val="none"/>
        </w:rPr>
      </w:pPr>
    </w:p>
    <w:p w14:paraId="7BD77D61">
      <w:pPr>
        <w:spacing w:line="540" w:lineRule="exact"/>
        <w:rPr>
          <w:rFonts w:hint="eastAsia" w:ascii="宋体" w:hAnsi="宋体" w:eastAsia="宋体" w:cs="宋体"/>
          <w:color w:val="auto"/>
          <w:highlight w:val="none"/>
        </w:rPr>
      </w:pPr>
    </w:p>
    <w:p w14:paraId="483E9F82">
      <w:pPr>
        <w:pStyle w:val="54"/>
        <w:rPr>
          <w:rFonts w:hint="eastAsia" w:ascii="宋体" w:hAnsi="宋体" w:eastAsia="宋体" w:cs="宋体"/>
          <w:color w:val="auto"/>
          <w:highlight w:val="none"/>
        </w:rPr>
      </w:pPr>
    </w:p>
    <w:p w14:paraId="1ABF16BB">
      <w:pPr>
        <w:rPr>
          <w:rFonts w:hint="eastAsia" w:ascii="宋体" w:hAnsi="宋体" w:eastAsia="宋体" w:cs="宋体"/>
          <w:highlight w:val="none"/>
        </w:rPr>
      </w:pPr>
    </w:p>
    <w:p w14:paraId="1C0572E8">
      <w:pPr>
        <w:pStyle w:val="2"/>
        <w:rPr>
          <w:rFonts w:hint="eastAsia" w:ascii="宋体" w:hAnsi="宋体" w:eastAsia="宋体" w:cs="宋体"/>
          <w:highlight w:val="none"/>
        </w:rPr>
      </w:pPr>
    </w:p>
    <w:p w14:paraId="5332E92E">
      <w:pPr>
        <w:pStyle w:val="70"/>
        <w:keepNext/>
        <w:keepLines/>
        <w:pageBreakBefore w:val="0"/>
        <w:widowControl w:val="0"/>
        <w:numPr>
          <w:ilvl w:val="0"/>
          <w:numId w:val="8"/>
        </w:numPr>
        <w:kinsoku/>
        <w:wordWrap/>
        <w:overflowPunct/>
        <w:topLinePunct w:val="0"/>
        <w:autoSpaceDE/>
        <w:autoSpaceDN/>
        <w:bidi w:val="0"/>
        <w:adjustRightInd/>
        <w:snapToGrid/>
        <w:jc w:val="center"/>
        <w:textAlignment w:val="auto"/>
        <w:rPr>
          <w:rFonts w:hint="eastAsia" w:ascii="宋体" w:hAnsi="宋体" w:eastAsia="宋体" w:cs="宋体"/>
          <w:b/>
          <w:color w:val="auto"/>
          <w:sz w:val="28"/>
          <w:szCs w:val="28"/>
          <w:highlight w:val="none"/>
        </w:rPr>
      </w:pPr>
      <w:bookmarkStart w:id="1051" w:name="_Toc144974857"/>
      <w:bookmarkStart w:id="1052" w:name="_Toc152042577"/>
      <w:bookmarkStart w:id="1053" w:name="_Toc152045788"/>
      <w:bookmarkStart w:id="1054" w:name="_Toc9911"/>
      <w:bookmarkStart w:id="1055" w:name="_Toc8095"/>
      <w:bookmarkStart w:id="1056" w:name="_Toc466298158"/>
      <w:bookmarkStart w:id="1057" w:name="_Toc31566"/>
      <w:bookmarkStart w:id="1058" w:name="_Toc27776"/>
      <w:r>
        <w:rPr>
          <w:rFonts w:hint="eastAsia" w:ascii="宋体" w:hAnsi="宋体" w:eastAsia="宋体" w:cs="宋体"/>
          <w:b/>
          <w:color w:val="auto"/>
          <w:sz w:val="28"/>
          <w:szCs w:val="28"/>
          <w:highlight w:val="none"/>
          <w:lang w:eastAsia="zh-CN"/>
        </w:rPr>
        <w:t>响应函</w:t>
      </w:r>
      <w:r>
        <w:rPr>
          <w:rFonts w:hint="eastAsia" w:ascii="宋体" w:hAnsi="宋体" w:eastAsia="宋体" w:cs="宋体"/>
          <w:b/>
          <w:color w:val="auto"/>
          <w:sz w:val="28"/>
          <w:szCs w:val="28"/>
          <w:highlight w:val="none"/>
        </w:rPr>
        <w:t>及</w:t>
      </w:r>
      <w:bookmarkEnd w:id="1051"/>
      <w:bookmarkEnd w:id="1052"/>
      <w:bookmarkEnd w:id="1053"/>
      <w:r>
        <w:rPr>
          <w:rFonts w:hint="eastAsia" w:ascii="宋体" w:hAnsi="宋体" w:eastAsia="宋体" w:cs="宋体"/>
          <w:b/>
          <w:color w:val="auto"/>
          <w:sz w:val="28"/>
          <w:szCs w:val="28"/>
          <w:highlight w:val="none"/>
          <w:lang w:eastAsia="zh-CN"/>
        </w:rPr>
        <w:t>响应函</w:t>
      </w:r>
      <w:r>
        <w:rPr>
          <w:rFonts w:hint="eastAsia" w:ascii="宋体" w:hAnsi="宋体" w:eastAsia="宋体" w:cs="宋体"/>
          <w:b/>
          <w:color w:val="auto"/>
          <w:sz w:val="28"/>
          <w:szCs w:val="28"/>
          <w:highlight w:val="none"/>
        </w:rPr>
        <w:t>附录</w:t>
      </w:r>
      <w:bookmarkEnd w:id="1054"/>
      <w:bookmarkEnd w:id="1055"/>
      <w:bookmarkEnd w:id="1056"/>
      <w:bookmarkEnd w:id="1057"/>
      <w:bookmarkEnd w:id="1058"/>
    </w:p>
    <w:p w14:paraId="4127DE39">
      <w:pPr>
        <w:pStyle w:val="71"/>
        <w:keepNext/>
        <w:keepLines/>
        <w:pageBreakBefore w:val="0"/>
        <w:widowControl w:val="0"/>
        <w:numPr>
          <w:ilvl w:val="0"/>
          <w:numId w:val="9"/>
        </w:numPr>
        <w:kinsoku/>
        <w:wordWrap/>
        <w:overflowPunct/>
        <w:topLinePunct w:val="0"/>
        <w:autoSpaceDE/>
        <w:autoSpaceDN/>
        <w:bidi w:val="0"/>
        <w:adjustRightInd/>
        <w:snapToGrid/>
        <w:jc w:val="center"/>
        <w:textAlignment w:val="auto"/>
        <w:outlineLvl w:val="2"/>
        <w:rPr>
          <w:rFonts w:hint="eastAsia" w:ascii="宋体" w:hAnsi="宋体" w:eastAsia="宋体" w:cs="宋体"/>
          <w:b/>
          <w:color w:val="auto"/>
          <w:szCs w:val="23"/>
          <w:highlight w:val="none"/>
        </w:rPr>
      </w:pPr>
      <w:bookmarkStart w:id="1059" w:name="_Toc13754"/>
      <w:bookmarkStart w:id="1060" w:name="_Toc26904"/>
      <w:bookmarkStart w:id="1061" w:name="_Toc499"/>
      <w:r>
        <w:rPr>
          <w:rFonts w:hint="eastAsia" w:ascii="宋体" w:hAnsi="宋体" w:eastAsia="宋体" w:cs="宋体"/>
          <w:b/>
          <w:color w:val="auto"/>
          <w:szCs w:val="23"/>
          <w:highlight w:val="none"/>
          <w:lang w:eastAsia="zh-CN"/>
        </w:rPr>
        <w:t>响应函</w:t>
      </w:r>
      <w:bookmarkEnd w:id="1059"/>
      <w:bookmarkEnd w:id="1060"/>
      <w:bookmarkEnd w:id="1061"/>
    </w:p>
    <w:p w14:paraId="58B90F76">
      <w:pPr>
        <w:pStyle w:val="15"/>
        <w:spacing w:line="420" w:lineRule="exact"/>
        <w:ind w:left="98" w:leftChars="0" w:hanging="98" w:hangingChars="47"/>
        <w:rPr>
          <w:rFonts w:hint="eastAsia" w:ascii="宋体" w:hAnsi="宋体" w:eastAsia="宋体" w:cs="宋体"/>
          <w:color w:val="auto"/>
          <w:szCs w:val="21"/>
          <w:highlight w:val="none"/>
        </w:rPr>
      </w:pPr>
      <w:bookmarkStart w:id="1062" w:name="_Toc447888814"/>
      <w:bookmarkStart w:id="1063" w:name="_Toc466298160"/>
      <w:bookmarkStart w:id="1064" w:name="_Toc19056"/>
      <w:bookmarkStart w:id="1065" w:name="_Toc490667893"/>
      <w:r>
        <w:rPr>
          <w:rFonts w:hint="eastAsia" w:ascii="宋体" w:hAnsi="宋体" w:eastAsia="宋体" w:cs="宋体"/>
          <w:color w:val="auto"/>
          <w:szCs w:val="21"/>
          <w:highlight w:val="none"/>
        </w:rPr>
        <w:t>致 ：</w:t>
      </w:r>
      <w:r>
        <w:rPr>
          <w:rFonts w:hint="eastAsia" w:ascii="宋体" w:hAnsi="宋体" w:eastAsia="宋体" w:cs="宋体"/>
          <w:color w:val="auto"/>
          <w:szCs w:val="21"/>
          <w:highlight w:val="none"/>
          <w:u w:val="single"/>
        </w:rPr>
        <w:t>（采购人）</w:t>
      </w:r>
    </w:p>
    <w:p w14:paraId="6C17E0D9">
      <w:pPr>
        <w:pStyle w:val="15"/>
        <w:spacing w:line="420" w:lineRule="exact"/>
        <w:ind w:left="1" w:leftChars="0"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1．根据已收到的</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（项目名称</w:t>
      </w:r>
      <w:r>
        <w:rPr>
          <w:rFonts w:hint="eastAsia" w:ascii="宋体" w:hAnsi="宋体" w:eastAsia="宋体" w:cs="宋体"/>
          <w:color w:val="auto"/>
          <w:szCs w:val="21"/>
          <w:highlight w:val="none"/>
          <w:u w:val="single"/>
          <w:lang w:val="en-US" w:eastAsia="zh-CN"/>
        </w:rPr>
        <w:t>+包号</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，遵照《中华人民共和国政府采购法》等有关规定，经考察和认真研究本项目</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及其它有关文件后，愿以</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rPr>
        <w:t>报价（指本</w:t>
      </w:r>
      <w:r>
        <w:rPr>
          <w:rFonts w:hint="eastAsia" w:ascii="宋体" w:hAnsi="宋体" w:eastAsia="宋体" w:cs="宋体"/>
          <w:color w:val="auto"/>
          <w:szCs w:val="21"/>
          <w:highlight w:val="none"/>
          <w:lang w:val="en-US" w:eastAsia="zh-CN"/>
        </w:rPr>
        <w:t>项目</w:t>
      </w:r>
      <w:r>
        <w:rPr>
          <w:rFonts w:hint="eastAsia" w:ascii="宋体" w:hAnsi="宋体" w:eastAsia="宋体" w:cs="宋体"/>
          <w:color w:val="auto"/>
          <w:szCs w:val="21"/>
          <w:highlight w:val="none"/>
        </w:rPr>
        <w:t>整体</w:t>
      </w:r>
      <w:r>
        <w:rPr>
          <w:rFonts w:hint="eastAsia" w:ascii="宋体" w:hAnsi="宋体" w:eastAsia="宋体" w:cs="宋体"/>
          <w:color w:val="auto"/>
          <w:szCs w:val="21"/>
          <w:highlight w:val="none"/>
          <w:lang w:val="en-US" w:eastAsia="zh-CN"/>
        </w:rPr>
        <w:t>维修服务</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lang w:val="en-US" w:eastAsia="zh-CN"/>
        </w:rPr>
        <w:t>费率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大写</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（小写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）；服务期限为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。按合同约定实施和完成本项目，并承担其任何</w:t>
      </w:r>
      <w:r>
        <w:rPr>
          <w:rFonts w:hint="eastAsia" w:ascii="宋体" w:hAnsi="宋体" w:eastAsia="宋体" w:cs="宋体"/>
          <w:color w:val="auto"/>
          <w:szCs w:val="21"/>
          <w:highlight w:val="none"/>
          <w:lang w:val="en-US" w:eastAsia="zh-CN"/>
        </w:rPr>
        <w:t>服务</w:t>
      </w:r>
      <w:r>
        <w:rPr>
          <w:rFonts w:hint="eastAsia" w:ascii="宋体" w:hAnsi="宋体" w:eastAsia="宋体" w:cs="宋体"/>
          <w:color w:val="auto"/>
          <w:szCs w:val="21"/>
          <w:highlight w:val="none"/>
        </w:rPr>
        <w:t>质量缺陷等问题所造成的任何损失。</w:t>
      </w:r>
    </w:p>
    <w:p w14:paraId="74180ED4">
      <w:pPr>
        <w:pStyle w:val="15"/>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2．我方已详细检查全部</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包括澄清文件、补充通知（如有的话）及有关附件，并完全理解我方必须放弃提出含糊不清或误解的权力，愿按照</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中的条款和要求按最后一次的报价做为最后报价。</w:t>
      </w:r>
    </w:p>
    <w:p w14:paraId="30DDD093">
      <w:pPr>
        <w:pStyle w:val="15"/>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3．我方在此承诺，我方若能成交，保证在服务期限内，全面履行</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中规定的职责和义务。</w:t>
      </w:r>
    </w:p>
    <w:p w14:paraId="72420D10">
      <w:pPr>
        <w:pStyle w:val="15"/>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4．如果我方成交，我方保证按合同条款中规定的内容执行；我方保证</w:t>
      </w:r>
      <w:r>
        <w:rPr>
          <w:rFonts w:hint="eastAsia" w:ascii="宋体" w:hAnsi="宋体" w:eastAsia="宋体" w:cs="宋体"/>
          <w:color w:val="auto"/>
          <w:szCs w:val="21"/>
          <w:highlight w:val="none"/>
          <w:lang w:val="en-US" w:eastAsia="zh-CN"/>
        </w:rPr>
        <w:t>服务标准</w:t>
      </w:r>
      <w:r>
        <w:rPr>
          <w:rFonts w:hint="eastAsia" w:ascii="宋体" w:hAnsi="宋体" w:eastAsia="宋体" w:cs="宋体"/>
          <w:color w:val="auto"/>
          <w:sz w:val="21"/>
          <w:szCs w:val="21"/>
          <w:highlight w:val="none"/>
          <w:lang w:val="en-US" w:eastAsia="zh-CN"/>
        </w:rPr>
        <w:t>符合国家现行规范标准及行业最新规定</w:t>
      </w:r>
      <w:r>
        <w:rPr>
          <w:rFonts w:hint="eastAsia" w:ascii="宋体" w:hAnsi="宋体" w:eastAsia="宋体" w:cs="宋体"/>
          <w:color w:val="auto"/>
          <w:szCs w:val="21"/>
          <w:highlight w:val="none"/>
        </w:rPr>
        <w:t>，并按</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和有关规定提交一切资料。</w:t>
      </w:r>
    </w:p>
    <w:p w14:paraId="2C49B8E9">
      <w:pPr>
        <w:pStyle w:val="15"/>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5．如果我方成交，我方将按照采购人规定提交履约保证金。</w:t>
      </w:r>
    </w:p>
    <w:p w14:paraId="168AB88C">
      <w:pPr>
        <w:pStyle w:val="15"/>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6．我方同意从响应文件递交截止日期起</w:t>
      </w:r>
      <w:r>
        <w:rPr>
          <w:rFonts w:hint="eastAsia" w:ascii="宋体" w:hAnsi="宋体" w:eastAsia="宋体" w:cs="宋体"/>
          <w:color w:val="auto"/>
          <w:szCs w:val="21"/>
          <w:highlight w:val="none"/>
          <w:u w:val="single"/>
        </w:rPr>
        <w:t xml:space="preserve"> 60</w:t>
      </w:r>
      <w:r>
        <w:rPr>
          <w:rFonts w:hint="eastAsia" w:ascii="宋体" w:hAnsi="宋体" w:eastAsia="宋体" w:cs="宋体"/>
          <w:color w:val="auto"/>
          <w:szCs w:val="21"/>
          <w:highlight w:val="none"/>
        </w:rPr>
        <w:t>日历天内保持</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有效，在此有效期内，我方将严格遵守</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的承诺，本</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对我方具有约束力，并可随时被接受成交。</w:t>
      </w:r>
    </w:p>
    <w:p w14:paraId="322CE0E9">
      <w:pPr>
        <w:pStyle w:val="15"/>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7．除</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所提交的资料外，我方同意随时接受贵方的检查、询问，并根据磋商需要补充贵方要求提交的资料。</w:t>
      </w:r>
    </w:p>
    <w:p w14:paraId="62D40F39">
      <w:pPr>
        <w:pStyle w:val="15"/>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8．如果我方成交后，我方没有任何正当理由而拒签合同，同时我方愿意补偿该项工作因我方延误所造成的经济损失。</w:t>
      </w:r>
    </w:p>
    <w:p w14:paraId="79E256D4">
      <w:pPr>
        <w:pStyle w:val="15"/>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9．我方愿接受合同条款中规定的合同价款计算和调整方式。</w:t>
      </w:r>
    </w:p>
    <w:p w14:paraId="03009F4B">
      <w:pPr>
        <w:pStyle w:val="15"/>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10．除非另外达成协议并生效，贵方的成交通知书和本</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将成为约束我方的合同文件组成部分。</w:t>
      </w:r>
    </w:p>
    <w:p w14:paraId="0E08B722">
      <w:pPr>
        <w:pStyle w:val="15"/>
        <w:spacing w:line="420" w:lineRule="exact"/>
        <w:ind w:left="1" w:leftChars="0" w:firstLine="420" w:firstLineChars="200"/>
        <w:rPr>
          <w:rFonts w:hint="eastAsia" w:ascii="宋体" w:hAnsi="宋体" w:eastAsia="宋体" w:cs="宋体"/>
          <w:color w:val="auto"/>
          <w:szCs w:val="21"/>
          <w:highlight w:val="none"/>
        </w:rPr>
      </w:pPr>
    </w:p>
    <w:p w14:paraId="031ED006">
      <w:pPr>
        <w:pStyle w:val="15"/>
        <w:spacing w:line="420" w:lineRule="exact"/>
        <w:ind w:left="0" w:leftChars="0" w:firstLine="0" w:firstLineChars="0"/>
        <w:rPr>
          <w:rFonts w:hint="eastAsia" w:ascii="宋体" w:hAnsi="宋体" w:eastAsia="宋体" w:cs="宋体"/>
          <w:color w:val="auto"/>
          <w:szCs w:val="21"/>
          <w:highlight w:val="none"/>
        </w:rPr>
      </w:pPr>
    </w:p>
    <w:p w14:paraId="193A9E9B">
      <w:pPr>
        <w:pStyle w:val="15"/>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（单位电子签章）</w:t>
      </w:r>
    </w:p>
    <w:p w14:paraId="058BED4C">
      <w:pPr>
        <w:pStyle w:val="15"/>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lang w:val="en-US" w:eastAsia="zh-CN"/>
        </w:rPr>
        <w:t>或</w:t>
      </w:r>
      <w:r>
        <w:rPr>
          <w:rFonts w:hint="eastAsia" w:ascii="宋体" w:hAnsi="宋体" w:eastAsia="宋体" w:cs="宋体"/>
          <w:color w:val="auto"/>
          <w:szCs w:val="21"/>
          <w:highlight w:val="none"/>
        </w:rPr>
        <w:t>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（电子签名或盖章）</w:t>
      </w:r>
    </w:p>
    <w:p w14:paraId="18E154BB">
      <w:pPr>
        <w:pStyle w:val="15"/>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79B7D116">
      <w:pPr>
        <w:pStyle w:val="15"/>
        <w:spacing w:line="420" w:lineRule="exact"/>
        <w:ind w:left="1" w:leftChars="0" w:firstLine="420" w:firstLineChars="200"/>
        <w:rPr>
          <w:rFonts w:hint="eastAsia" w:ascii="宋体" w:hAnsi="宋体" w:eastAsia="宋体" w:cs="宋体"/>
          <w:color w:val="auto"/>
          <w:szCs w:val="21"/>
          <w:highlight w:val="none"/>
        </w:rPr>
      </w:pPr>
    </w:p>
    <w:p w14:paraId="632AD724">
      <w:pPr>
        <w:pStyle w:val="15"/>
        <w:spacing w:line="420" w:lineRule="exact"/>
        <w:ind w:left="1" w:leftChars="0" w:firstLine="420" w:firstLineChars="200"/>
        <w:rPr>
          <w:rFonts w:hint="eastAsia" w:ascii="宋体" w:hAnsi="宋体" w:eastAsia="宋体" w:cs="宋体"/>
          <w:color w:val="auto"/>
          <w:szCs w:val="21"/>
          <w:highlight w:val="none"/>
        </w:rPr>
      </w:pPr>
    </w:p>
    <w:p w14:paraId="045CF4F3">
      <w:pPr>
        <w:pStyle w:val="7"/>
        <w:keepNext/>
        <w:keepLines/>
        <w:pageBreakBefore w:val="0"/>
        <w:widowControl w:val="0"/>
        <w:numPr>
          <w:ilvl w:val="1"/>
          <w:numId w:val="0"/>
        </w:numPr>
        <w:kinsoku/>
        <w:wordWrap/>
        <w:overflowPunct/>
        <w:topLinePunct w:val="0"/>
        <w:autoSpaceDE/>
        <w:autoSpaceDN/>
        <w:bidi w:val="0"/>
        <w:adjustRightInd/>
        <w:snapToGrid/>
        <w:jc w:val="center"/>
        <w:textAlignment w:val="auto"/>
        <w:outlineLvl w:val="2"/>
        <w:rPr>
          <w:rFonts w:hint="eastAsia" w:ascii="宋体" w:hAnsi="宋体" w:eastAsia="宋体" w:cs="宋体"/>
          <w:color w:val="auto"/>
          <w:sz w:val="24"/>
          <w:szCs w:val="24"/>
          <w:highlight w:val="none"/>
        </w:rPr>
      </w:pPr>
      <w:bookmarkStart w:id="1066" w:name="_Toc11398"/>
      <w:bookmarkStart w:id="1067" w:name="_Toc24939"/>
      <w:bookmarkStart w:id="1068" w:name="_Toc24191"/>
      <w:bookmarkStart w:id="1069" w:name="_Toc21623"/>
      <w:r>
        <w:rPr>
          <w:rFonts w:hint="eastAsia" w:ascii="宋体" w:hAnsi="宋体" w:eastAsia="宋体" w:cs="宋体"/>
          <w:color w:val="auto"/>
          <w:sz w:val="24"/>
          <w:szCs w:val="24"/>
          <w:highlight w:val="none"/>
        </w:rPr>
        <w:t>（二）</w:t>
      </w:r>
      <w:bookmarkEnd w:id="1062"/>
      <w:bookmarkEnd w:id="1063"/>
      <w:r>
        <w:rPr>
          <w:rFonts w:hint="eastAsia" w:ascii="宋体" w:hAnsi="宋体" w:eastAsia="宋体" w:cs="宋体"/>
          <w:color w:val="auto"/>
          <w:sz w:val="24"/>
          <w:szCs w:val="24"/>
          <w:highlight w:val="none"/>
          <w:lang w:eastAsia="zh-CN"/>
        </w:rPr>
        <w:t>响应函</w:t>
      </w:r>
      <w:r>
        <w:rPr>
          <w:rFonts w:hint="eastAsia" w:ascii="宋体" w:hAnsi="宋体" w:eastAsia="宋体" w:cs="宋体"/>
          <w:color w:val="auto"/>
          <w:sz w:val="24"/>
          <w:szCs w:val="24"/>
          <w:highlight w:val="none"/>
        </w:rPr>
        <w:t>附录</w:t>
      </w:r>
      <w:bookmarkEnd w:id="1064"/>
      <w:bookmarkEnd w:id="1065"/>
      <w:bookmarkEnd w:id="1066"/>
      <w:bookmarkEnd w:id="1067"/>
      <w:bookmarkEnd w:id="1068"/>
      <w:bookmarkEnd w:id="1069"/>
    </w:p>
    <w:tbl>
      <w:tblPr>
        <w:tblStyle w:val="28"/>
        <w:tblW w:w="9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9"/>
        <w:gridCol w:w="7490"/>
      </w:tblGrid>
      <w:tr w14:paraId="2D35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949" w:type="dxa"/>
            <w:tcBorders>
              <w:top w:val="single" w:color="auto" w:sz="4" w:space="0"/>
              <w:left w:val="single" w:color="auto" w:sz="4" w:space="0"/>
              <w:bottom w:val="single" w:color="auto" w:sz="4" w:space="0"/>
              <w:right w:val="single" w:color="auto" w:sz="4" w:space="0"/>
            </w:tcBorders>
            <w:noWrap w:val="0"/>
            <w:vAlign w:val="center"/>
          </w:tcPr>
          <w:p w14:paraId="24D7CB4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项目名称</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5142693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rPr>
            </w:pPr>
          </w:p>
        </w:tc>
      </w:tr>
      <w:tr w14:paraId="560D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949" w:type="dxa"/>
            <w:tcBorders>
              <w:top w:val="single" w:color="auto" w:sz="4" w:space="0"/>
              <w:left w:val="single" w:color="auto" w:sz="4" w:space="0"/>
              <w:bottom w:val="single" w:color="auto" w:sz="4" w:space="0"/>
              <w:right w:val="single" w:color="auto" w:sz="4" w:space="0"/>
            </w:tcBorders>
            <w:noWrap w:val="0"/>
            <w:vAlign w:val="center"/>
          </w:tcPr>
          <w:p w14:paraId="57452AA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val="en-US" w:eastAsia="zh-CN"/>
              </w:rPr>
              <w:t>名称</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1087BC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p>
        </w:tc>
      </w:tr>
      <w:tr w14:paraId="5BBF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949" w:type="dxa"/>
            <w:tcBorders>
              <w:top w:val="single" w:color="auto" w:sz="4" w:space="0"/>
              <w:left w:val="single" w:color="auto" w:sz="4" w:space="0"/>
              <w:bottom w:val="single" w:color="auto" w:sz="4" w:space="0"/>
              <w:right w:val="single" w:color="auto" w:sz="4" w:space="0"/>
            </w:tcBorders>
            <w:noWrap w:val="0"/>
            <w:vAlign w:val="center"/>
          </w:tcPr>
          <w:p w14:paraId="2D2D776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包号</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5CF37B05">
            <w:pPr>
              <w:keepNext w:val="0"/>
              <w:keepLines w:val="0"/>
              <w:pageBreakBefore w:val="0"/>
              <w:widowControl w:val="0"/>
              <w:kinsoku/>
              <w:wordWrap/>
              <w:overflowPunct/>
              <w:topLinePunct w:val="0"/>
              <w:autoSpaceDE/>
              <w:autoSpaceDN/>
              <w:bidi w:val="0"/>
              <w:adjustRightInd/>
              <w:snapToGrid/>
              <w:spacing w:line="360" w:lineRule="auto"/>
              <w:ind w:firstLine="2520" w:firstLineChars="1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包</w:t>
            </w:r>
            <w:r>
              <w:rPr>
                <w:rFonts w:hint="eastAsia" w:ascii="宋体" w:hAnsi="宋体" w:eastAsia="宋体" w:cs="宋体"/>
                <w:color w:val="auto"/>
                <w:sz w:val="21"/>
                <w:szCs w:val="21"/>
                <w:highlight w:val="none"/>
                <w:u w:val="single"/>
                <w:lang w:val="en-US" w:eastAsia="zh-CN"/>
              </w:rPr>
              <w:t xml:space="preserve">       </w:t>
            </w:r>
          </w:p>
        </w:tc>
      </w:tr>
      <w:tr w14:paraId="0198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949" w:type="dxa"/>
            <w:tcBorders>
              <w:top w:val="single" w:color="auto" w:sz="4" w:space="0"/>
              <w:left w:val="single" w:color="auto" w:sz="4" w:space="0"/>
              <w:bottom w:val="single" w:color="auto" w:sz="4" w:space="0"/>
              <w:right w:val="single" w:color="auto" w:sz="4" w:space="0"/>
            </w:tcBorders>
            <w:noWrap w:val="0"/>
            <w:vAlign w:val="center"/>
          </w:tcPr>
          <w:p w14:paraId="7EF6856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采购内容</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2D405E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u w:val="single"/>
                <w:lang w:val="en-US" w:eastAsia="zh-CN"/>
              </w:rPr>
            </w:pPr>
          </w:p>
        </w:tc>
      </w:tr>
      <w:tr w14:paraId="711C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1949" w:type="dxa"/>
            <w:tcBorders>
              <w:top w:val="single" w:color="auto" w:sz="4" w:space="0"/>
              <w:left w:val="single" w:color="auto" w:sz="4" w:space="0"/>
              <w:right w:val="single" w:color="auto" w:sz="4" w:space="0"/>
            </w:tcBorders>
            <w:noWrap w:val="0"/>
            <w:vAlign w:val="center"/>
          </w:tcPr>
          <w:p w14:paraId="655A88F7">
            <w:pPr>
              <w:spacing w:line="360" w:lineRule="auto"/>
              <w:ind w:left="0" w:leftChars="0"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lang w:eastAsia="zh-CN"/>
              </w:rPr>
              <w:t>报价</w:t>
            </w:r>
          </w:p>
          <w:p w14:paraId="767FD5F8">
            <w:pPr>
              <w:spacing w:line="360" w:lineRule="auto"/>
              <w:ind w:left="0" w:leftChars="0"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费率</w:t>
            </w:r>
            <w:r>
              <w:rPr>
                <w:rFonts w:hint="eastAsia" w:ascii="宋体" w:hAnsi="宋体" w:eastAsia="宋体" w:cs="宋体"/>
                <w:color w:val="auto"/>
                <w:sz w:val="21"/>
                <w:szCs w:val="21"/>
                <w:highlight w:val="none"/>
                <w:lang w:eastAsia="zh-CN"/>
              </w:rPr>
              <w:t>）</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466CFA1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大写</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553F9D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小写</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p>
        </w:tc>
      </w:tr>
      <w:tr w14:paraId="336CE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949" w:type="dxa"/>
            <w:tcBorders>
              <w:left w:val="single" w:color="auto" w:sz="4" w:space="0"/>
              <w:right w:val="single" w:color="auto" w:sz="4" w:space="0"/>
            </w:tcBorders>
            <w:noWrap w:val="0"/>
            <w:vAlign w:val="center"/>
          </w:tcPr>
          <w:p w14:paraId="20FEFDA7">
            <w:pPr>
              <w:spacing w:line="36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项目负责人</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201C6D38">
            <w:pPr>
              <w:spacing w:line="360" w:lineRule="auto"/>
              <w:ind w:left="0" w:leftChars="0" w:firstLine="0" w:firstLineChars="0"/>
              <w:rPr>
                <w:rFonts w:hint="eastAsia" w:ascii="宋体" w:hAnsi="宋体" w:eastAsia="宋体" w:cs="宋体"/>
                <w:b/>
                <w:bCs/>
                <w:color w:val="auto"/>
                <w:sz w:val="21"/>
                <w:szCs w:val="21"/>
                <w:highlight w:val="none"/>
              </w:rPr>
            </w:pPr>
          </w:p>
        </w:tc>
      </w:tr>
      <w:tr w14:paraId="7B74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1949" w:type="dxa"/>
            <w:tcBorders>
              <w:left w:val="single" w:color="auto" w:sz="4" w:space="0"/>
              <w:bottom w:val="single" w:color="auto" w:sz="4" w:space="0"/>
              <w:right w:val="single" w:color="auto" w:sz="4" w:space="0"/>
            </w:tcBorders>
            <w:noWrap w:val="0"/>
            <w:vAlign w:val="center"/>
          </w:tcPr>
          <w:p w14:paraId="53CB7D29">
            <w:pPr>
              <w:spacing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服务期限</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03C0AD7A">
            <w:pPr>
              <w:spacing w:line="360" w:lineRule="auto"/>
              <w:ind w:left="0" w:leftChars="0" w:firstLine="0" w:firstLineChars="0"/>
              <w:jc w:val="center"/>
              <w:rPr>
                <w:rFonts w:hint="eastAsia" w:ascii="宋体" w:hAnsi="宋体" w:eastAsia="宋体" w:cs="宋体"/>
                <w:b/>
                <w:bCs/>
                <w:color w:val="auto"/>
                <w:sz w:val="21"/>
                <w:szCs w:val="21"/>
                <w:highlight w:val="none"/>
              </w:rPr>
            </w:pPr>
          </w:p>
        </w:tc>
      </w:tr>
      <w:tr w14:paraId="0AC0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949" w:type="dxa"/>
            <w:tcBorders>
              <w:top w:val="single" w:color="auto" w:sz="4" w:space="0"/>
              <w:left w:val="single" w:color="auto" w:sz="4" w:space="0"/>
              <w:bottom w:val="single" w:color="auto" w:sz="4" w:space="0"/>
              <w:right w:val="single" w:color="auto" w:sz="4" w:space="0"/>
            </w:tcBorders>
            <w:noWrap w:val="0"/>
            <w:vAlign w:val="center"/>
          </w:tcPr>
          <w:p w14:paraId="6C17707A">
            <w:pPr>
              <w:spacing w:line="360" w:lineRule="auto"/>
              <w:ind w:left="0" w:leftChars="0" w:firstLine="0" w:firstLineChars="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服务要求</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404E4010">
            <w:pPr>
              <w:spacing w:line="360" w:lineRule="auto"/>
              <w:jc w:val="center"/>
              <w:rPr>
                <w:rFonts w:hint="eastAsia" w:ascii="宋体" w:hAnsi="宋体" w:eastAsia="宋体" w:cs="宋体"/>
                <w:color w:val="auto"/>
                <w:sz w:val="21"/>
                <w:szCs w:val="21"/>
                <w:highlight w:val="none"/>
              </w:rPr>
            </w:pPr>
          </w:p>
        </w:tc>
      </w:tr>
      <w:tr w14:paraId="171C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949" w:type="dxa"/>
            <w:tcBorders>
              <w:top w:val="single" w:color="auto" w:sz="4" w:space="0"/>
              <w:left w:val="single" w:color="auto" w:sz="4" w:space="0"/>
              <w:bottom w:val="single" w:color="auto" w:sz="4" w:space="0"/>
              <w:right w:val="single" w:color="auto" w:sz="4" w:space="0"/>
            </w:tcBorders>
            <w:noWrap w:val="0"/>
            <w:vAlign w:val="center"/>
          </w:tcPr>
          <w:p w14:paraId="5806AE1B">
            <w:pPr>
              <w:spacing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磋商有效期</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6194ECBD">
            <w:pPr>
              <w:spacing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kern w:val="0"/>
                <w:szCs w:val="21"/>
                <w:highlight w:val="none"/>
              </w:rPr>
              <w:t>60日历天（响应文件截止之日起）</w:t>
            </w:r>
          </w:p>
        </w:tc>
      </w:tr>
      <w:tr w14:paraId="2ABD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949" w:type="dxa"/>
            <w:tcBorders>
              <w:top w:val="single" w:color="auto" w:sz="4" w:space="0"/>
              <w:left w:val="single" w:color="auto" w:sz="4" w:space="0"/>
              <w:bottom w:val="single" w:color="auto" w:sz="4" w:space="0"/>
              <w:right w:val="single" w:color="auto" w:sz="4" w:space="0"/>
            </w:tcBorders>
            <w:noWrap w:val="0"/>
            <w:vAlign w:val="center"/>
          </w:tcPr>
          <w:p w14:paraId="6D701A73">
            <w:pPr>
              <w:spacing w:line="36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备注</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35AA5A25">
            <w:pPr>
              <w:spacing w:line="360" w:lineRule="auto"/>
              <w:jc w:val="center"/>
              <w:rPr>
                <w:rFonts w:hint="eastAsia" w:ascii="宋体" w:hAnsi="宋体" w:eastAsia="宋体" w:cs="宋体"/>
                <w:color w:val="auto"/>
                <w:sz w:val="21"/>
                <w:szCs w:val="21"/>
                <w:highlight w:val="none"/>
              </w:rPr>
            </w:pPr>
          </w:p>
        </w:tc>
      </w:tr>
    </w:tbl>
    <w:p w14:paraId="19A5A0C4">
      <w:pPr>
        <w:pStyle w:val="15"/>
        <w:spacing w:line="420" w:lineRule="exact"/>
        <w:ind w:left="1" w:leftChars="0" w:firstLine="420" w:firstLineChars="200"/>
        <w:rPr>
          <w:rFonts w:hint="eastAsia" w:ascii="宋体" w:hAnsi="宋体" w:eastAsia="宋体" w:cs="宋体"/>
          <w:color w:val="auto"/>
          <w:szCs w:val="21"/>
          <w:highlight w:val="none"/>
        </w:rPr>
      </w:pPr>
      <w:bookmarkStart w:id="1070" w:name="_Toc152045791"/>
      <w:bookmarkStart w:id="1071" w:name="_Toc287367268"/>
      <w:bookmarkStart w:id="1072" w:name="_Toc144974860"/>
      <w:bookmarkStart w:id="1073" w:name="_Toc152042580"/>
      <w:r>
        <w:rPr>
          <w:rFonts w:hint="eastAsia" w:ascii="宋体" w:hAnsi="宋体" w:eastAsia="宋体" w:cs="宋体"/>
          <w:color w:val="auto"/>
          <w:szCs w:val="21"/>
          <w:highlight w:val="none"/>
        </w:rPr>
        <w:t>供应商：</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（单位电子签章）</w:t>
      </w:r>
    </w:p>
    <w:p w14:paraId="389369C7">
      <w:pPr>
        <w:pStyle w:val="15"/>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lang w:val="en-US" w:eastAsia="zh-CN"/>
        </w:rPr>
        <w:t>或</w:t>
      </w:r>
      <w:r>
        <w:rPr>
          <w:rFonts w:hint="eastAsia" w:ascii="宋体" w:hAnsi="宋体" w:eastAsia="宋体" w:cs="宋体"/>
          <w:color w:val="auto"/>
          <w:szCs w:val="21"/>
          <w:highlight w:val="none"/>
        </w:rPr>
        <w:t>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（电子签名或盖章）</w:t>
      </w:r>
    </w:p>
    <w:p w14:paraId="39EF539A">
      <w:pPr>
        <w:pStyle w:val="15"/>
        <w:spacing w:line="420" w:lineRule="exact"/>
        <w:ind w:left="1"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350554C3">
      <w:pPr>
        <w:pStyle w:val="15"/>
        <w:spacing w:line="420" w:lineRule="exact"/>
        <w:ind w:left="1" w:leftChars="0" w:firstLine="422" w:firstLineChars="200"/>
        <w:rPr>
          <w:rFonts w:hint="eastAsia" w:ascii="宋体" w:hAnsi="宋体" w:eastAsia="宋体" w:cs="宋体"/>
          <w:b/>
          <w:bCs/>
          <w:color w:val="auto"/>
          <w:szCs w:val="21"/>
          <w:highlight w:val="none"/>
          <w:lang w:eastAsia="zh-CN"/>
        </w:rPr>
      </w:pPr>
    </w:p>
    <w:p w14:paraId="09947525">
      <w:pPr>
        <w:pStyle w:val="15"/>
        <w:spacing w:line="420" w:lineRule="exact"/>
        <w:ind w:left="1" w:leftChars="0"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注：供应商应在此表填列第一次报价，但以供应商最后一次的磋商报价为成交价。未按要求填报价格的，将被视为无效标。</w:t>
      </w:r>
    </w:p>
    <w:p w14:paraId="552B4597">
      <w:pPr>
        <w:pStyle w:val="15"/>
        <w:spacing w:line="420" w:lineRule="exact"/>
        <w:ind w:left="1" w:leftChars="0"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最终成交综合服务单价为：中标供应商按照本项目磋商文件要求以实际发生的综合服务单价*成交费率，并签订合同（或维修服务单），据实结算。</w:t>
      </w:r>
    </w:p>
    <w:p w14:paraId="175F8898">
      <w:pPr>
        <w:rPr>
          <w:rFonts w:hint="eastAsia" w:ascii="宋体" w:hAnsi="宋体" w:eastAsia="宋体" w:cs="宋体"/>
          <w:b/>
          <w:sz w:val="32"/>
          <w:szCs w:val="32"/>
          <w:highlight w:val="none"/>
        </w:rPr>
      </w:pPr>
      <w:r>
        <w:rPr>
          <w:rFonts w:hint="eastAsia" w:ascii="宋体" w:hAnsi="宋体" w:eastAsia="宋体" w:cs="宋体"/>
          <w:b/>
          <w:sz w:val="32"/>
          <w:szCs w:val="32"/>
          <w:highlight w:val="none"/>
        </w:rPr>
        <w:br w:type="page"/>
      </w:r>
    </w:p>
    <w:p w14:paraId="5D26DE05">
      <w:pPr>
        <w:tabs>
          <w:tab w:val="left" w:pos="1440"/>
        </w:tabs>
        <w:ind w:left="0" w:leftChars="0" w:firstLine="0" w:firstLineChars="0"/>
        <w:rPr>
          <w:rFonts w:hint="eastAsia" w:ascii="宋体" w:hAnsi="宋体" w:eastAsia="宋体" w:cs="宋体"/>
          <w:b/>
          <w:bCs/>
          <w:szCs w:val="21"/>
          <w:highlight w:val="none"/>
        </w:rPr>
      </w:pPr>
      <w:r>
        <w:rPr>
          <w:rFonts w:hint="eastAsia" w:ascii="宋体" w:hAnsi="宋体" w:eastAsia="宋体" w:cs="宋体"/>
          <w:b/>
          <w:sz w:val="32"/>
          <w:szCs w:val="32"/>
          <w:highlight w:val="none"/>
        </w:rPr>
        <w:t>注：</w:t>
      </w:r>
    </w:p>
    <w:p w14:paraId="765C944A">
      <w:pPr>
        <w:ind w:left="0" w:leftChars="0" w:firstLine="0" w:firstLineChars="0"/>
        <w:jc w:val="center"/>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val="en-US" w:eastAsia="zh-CN"/>
        </w:rPr>
        <w:t>磋商</w:t>
      </w:r>
      <w:r>
        <w:rPr>
          <w:rFonts w:hint="eastAsia" w:ascii="宋体" w:hAnsi="宋体" w:eastAsia="宋体" w:cs="宋体"/>
          <w:b/>
          <w:bCs/>
          <w:sz w:val="32"/>
          <w:szCs w:val="32"/>
          <w:highlight w:val="none"/>
        </w:rPr>
        <w:t>报价</w:t>
      </w:r>
      <w:r>
        <w:rPr>
          <w:rFonts w:hint="eastAsia" w:ascii="宋体" w:hAnsi="宋体" w:eastAsia="宋体" w:cs="宋体"/>
          <w:b/>
          <w:bCs/>
          <w:sz w:val="32"/>
          <w:szCs w:val="32"/>
          <w:highlight w:val="none"/>
          <w:lang w:eastAsia="zh-CN"/>
        </w:rPr>
        <w:t>（</w:t>
      </w:r>
      <w:r>
        <w:rPr>
          <w:rFonts w:hint="eastAsia" w:ascii="宋体" w:hAnsi="宋体" w:eastAsia="宋体" w:cs="宋体"/>
          <w:b/>
          <w:bCs/>
          <w:sz w:val="32"/>
          <w:szCs w:val="32"/>
          <w:highlight w:val="none"/>
          <w:lang w:val="en-US" w:eastAsia="zh-CN"/>
        </w:rPr>
        <w:t>最终报价</w:t>
      </w:r>
      <w:r>
        <w:rPr>
          <w:rFonts w:hint="eastAsia" w:ascii="宋体" w:hAnsi="宋体" w:eastAsia="宋体" w:cs="宋体"/>
          <w:b/>
          <w:bCs/>
          <w:sz w:val="32"/>
          <w:szCs w:val="32"/>
          <w:highlight w:val="none"/>
          <w:lang w:eastAsia="zh-CN"/>
        </w:rPr>
        <w:t>）</w:t>
      </w:r>
    </w:p>
    <w:p w14:paraId="3D02242A">
      <w:pPr>
        <w:widowControl/>
        <w:spacing w:line="480" w:lineRule="auto"/>
        <w:ind w:firstLine="480" w:firstLineChars="200"/>
        <w:rPr>
          <w:rFonts w:hint="eastAsia" w:ascii="宋体" w:hAnsi="宋体" w:eastAsia="宋体" w:cs="宋体"/>
          <w:sz w:val="24"/>
          <w:highlight w:val="none"/>
        </w:rPr>
      </w:pPr>
    </w:p>
    <w:p w14:paraId="1E4832A8">
      <w:pPr>
        <w:widowControl/>
        <w:spacing w:line="48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本项目采用“不见面开标”交易方式，</w:t>
      </w:r>
      <w:r>
        <w:rPr>
          <w:rFonts w:hint="eastAsia" w:ascii="宋体" w:hAnsi="宋体" w:eastAsia="宋体" w:cs="宋体"/>
          <w:sz w:val="24"/>
          <w:highlight w:val="none"/>
          <w:lang w:val="en-US" w:eastAsia="zh-CN"/>
        </w:rPr>
        <w:t>磋商</w:t>
      </w:r>
      <w:r>
        <w:rPr>
          <w:rFonts w:hint="eastAsia" w:ascii="宋体" w:hAnsi="宋体" w:eastAsia="宋体" w:cs="宋体"/>
          <w:sz w:val="24"/>
          <w:highlight w:val="none"/>
        </w:rPr>
        <w:t>报价在不见面开标系统上远程报价，不见面开标服务的具体事宜，请查阅信阳市公共资源交易中心网站首页—下载中心—信阳市不见面开标大厅系统操作手册。</w:t>
      </w:r>
    </w:p>
    <w:p w14:paraId="0ECE48F2">
      <w:pPr>
        <w:pStyle w:val="22"/>
        <w:rPr>
          <w:rFonts w:hint="eastAsia" w:ascii="宋体" w:hAnsi="宋体" w:eastAsia="宋体" w:cs="宋体"/>
          <w:highlight w:val="none"/>
        </w:rPr>
      </w:pPr>
    </w:p>
    <w:p w14:paraId="19042C73">
      <w:pPr>
        <w:pStyle w:val="22"/>
        <w:rPr>
          <w:rFonts w:hint="eastAsia" w:ascii="宋体" w:hAnsi="宋体" w:eastAsia="宋体" w:cs="宋体"/>
          <w:highlight w:val="none"/>
        </w:rPr>
      </w:pPr>
    </w:p>
    <w:p w14:paraId="5970D3FB">
      <w:pPr>
        <w:pStyle w:val="22"/>
        <w:rPr>
          <w:rFonts w:hint="eastAsia" w:ascii="宋体" w:hAnsi="宋体" w:eastAsia="宋体" w:cs="宋体"/>
          <w:highlight w:val="none"/>
        </w:rPr>
      </w:pPr>
    </w:p>
    <w:p w14:paraId="7E602B46">
      <w:pPr>
        <w:pStyle w:val="22"/>
        <w:rPr>
          <w:rFonts w:hint="eastAsia" w:ascii="宋体" w:hAnsi="宋体" w:eastAsia="宋体" w:cs="宋体"/>
          <w:highlight w:val="none"/>
        </w:rPr>
      </w:pPr>
    </w:p>
    <w:p w14:paraId="66C83215">
      <w:pPr>
        <w:pStyle w:val="22"/>
        <w:rPr>
          <w:rFonts w:hint="eastAsia" w:ascii="宋体" w:hAnsi="宋体" w:eastAsia="宋体" w:cs="宋体"/>
          <w:highlight w:val="none"/>
        </w:rPr>
      </w:pPr>
    </w:p>
    <w:p w14:paraId="30B15D10">
      <w:pPr>
        <w:pStyle w:val="22"/>
        <w:rPr>
          <w:rFonts w:hint="eastAsia" w:ascii="宋体" w:hAnsi="宋体" w:eastAsia="宋体" w:cs="宋体"/>
          <w:highlight w:val="none"/>
        </w:rPr>
      </w:pPr>
    </w:p>
    <w:p w14:paraId="26F6B2FC">
      <w:pPr>
        <w:pStyle w:val="22"/>
        <w:rPr>
          <w:rFonts w:hint="eastAsia" w:ascii="宋体" w:hAnsi="宋体" w:eastAsia="宋体" w:cs="宋体"/>
          <w:highlight w:val="none"/>
        </w:rPr>
      </w:pPr>
    </w:p>
    <w:p w14:paraId="43AACC83">
      <w:pPr>
        <w:pStyle w:val="22"/>
        <w:rPr>
          <w:rFonts w:hint="eastAsia" w:ascii="宋体" w:hAnsi="宋体" w:eastAsia="宋体" w:cs="宋体"/>
          <w:highlight w:val="none"/>
        </w:rPr>
      </w:pPr>
    </w:p>
    <w:p w14:paraId="64F94AB5">
      <w:pPr>
        <w:pStyle w:val="22"/>
        <w:rPr>
          <w:rFonts w:hint="eastAsia" w:ascii="宋体" w:hAnsi="宋体" w:eastAsia="宋体" w:cs="宋体"/>
          <w:highlight w:val="none"/>
        </w:rPr>
      </w:pPr>
    </w:p>
    <w:p w14:paraId="1ADEFC8F">
      <w:pPr>
        <w:pStyle w:val="22"/>
        <w:rPr>
          <w:rFonts w:hint="eastAsia" w:ascii="宋体" w:hAnsi="宋体" w:eastAsia="宋体" w:cs="宋体"/>
          <w:highlight w:val="none"/>
        </w:rPr>
      </w:pPr>
    </w:p>
    <w:p w14:paraId="0F9DDF92">
      <w:pPr>
        <w:pStyle w:val="22"/>
        <w:rPr>
          <w:rFonts w:hint="eastAsia" w:ascii="宋体" w:hAnsi="宋体" w:eastAsia="宋体" w:cs="宋体"/>
          <w:highlight w:val="none"/>
        </w:rPr>
      </w:pPr>
    </w:p>
    <w:p w14:paraId="24FDC43B">
      <w:pPr>
        <w:pStyle w:val="22"/>
        <w:rPr>
          <w:rFonts w:hint="eastAsia" w:ascii="宋体" w:hAnsi="宋体" w:eastAsia="宋体" w:cs="宋体"/>
          <w:highlight w:val="none"/>
        </w:rPr>
      </w:pPr>
    </w:p>
    <w:p w14:paraId="7EEDEDC3">
      <w:pPr>
        <w:pStyle w:val="22"/>
        <w:rPr>
          <w:rFonts w:hint="eastAsia" w:ascii="宋体" w:hAnsi="宋体" w:eastAsia="宋体" w:cs="宋体"/>
          <w:highlight w:val="none"/>
        </w:rPr>
      </w:pPr>
    </w:p>
    <w:p w14:paraId="43C6E4A0">
      <w:pPr>
        <w:pStyle w:val="22"/>
        <w:rPr>
          <w:rFonts w:hint="eastAsia" w:ascii="宋体" w:hAnsi="宋体" w:eastAsia="宋体" w:cs="宋体"/>
          <w:highlight w:val="none"/>
        </w:rPr>
      </w:pPr>
    </w:p>
    <w:p w14:paraId="269A2A8D">
      <w:pPr>
        <w:pStyle w:val="22"/>
        <w:rPr>
          <w:rFonts w:hint="eastAsia" w:ascii="宋体" w:hAnsi="宋体" w:eastAsia="宋体" w:cs="宋体"/>
          <w:highlight w:val="none"/>
        </w:rPr>
      </w:pPr>
    </w:p>
    <w:p w14:paraId="4D95AA05">
      <w:pPr>
        <w:pStyle w:val="22"/>
        <w:rPr>
          <w:rFonts w:hint="eastAsia" w:ascii="宋体" w:hAnsi="宋体" w:eastAsia="宋体" w:cs="宋体"/>
          <w:highlight w:val="none"/>
        </w:rPr>
      </w:pPr>
    </w:p>
    <w:p w14:paraId="56DAFCD0">
      <w:pPr>
        <w:pStyle w:val="22"/>
        <w:rPr>
          <w:rFonts w:hint="eastAsia" w:ascii="宋体" w:hAnsi="宋体" w:eastAsia="宋体" w:cs="宋体"/>
          <w:highlight w:val="none"/>
        </w:rPr>
      </w:pPr>
    </w:p>
    <w:p w14:paraId="351BB1F3">
      <w:pPr>
        <w:pStyle w:val="70"/>
        <w:keepNext/>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color w:val="auto"/>
          <w:szCs w:val="28"/>
          <w:highlight w:val="none"/>
        </w:rPr>
      </w:pPr>
      <w:bookmarkStart w:id="1074" w:name="_Toc31033"/>
      <w:bookmarkStart w:id="1075" w:name="_Toc2481"/>
      <w:bookmarkStart w:id="1076" w:name="_Toc17026"/>
      <w:bookmarkStart w:id="1077" w:name="_Toc466298161"/>
      <w:bookmarkStart w:id="1078" w:name="_Toc14400"/>
      <w:r>
        <w:rPr>
          <w:rFonts w:hint="eastAsia" w:ascii="宋体" w:hAnsi="宋体" w:eastAsia="宋体" w:cs="宋体"/>
          <w:b/>
          <w:color w:val="auto"/>
          <w:szCs w:val="28"/>
          <w:highlight w:val="none"/>
        </w:rPr>
        <w:t>二、</w:t>
      </w:r>
      <w:bookmarkEnd w:id="1070"/>
      <w:bookmarkEnd w:id="1071"/>
      <w:bookmarkEnd w:id="1072"/>
      <w:bookmarkEnd w:id="1073"/>
      <w:r>
        <w:rPr>
          <w:rFonts w:hint="eastAsia" w:ascii="宋体" w:hAnsi="宋体" w:eastAsia="宋体" w:cs="宋体"/>
          <w:b/>
          <w:color w:val="auto"/>
          <w:szCs w:val="28"/>
          <w:highlight w:val="none"/>
        </w:rPr>
        <w:t>法定代表身份证明</w:t>
      </w:r>
      <w:bookmarkEnd w:id="1074"/>
      <w:bookmarkEnd w:id="1075"/>
      <w:bookmarkEnd w:id="1076"/>
      <w:bookmarkEnd w:id="1077"/>
      <w:bookmarkEnd w:id="1078"/>
    </w:p>
    <w:p w14:paraId="703E3FB4">
      <w:pPr>
        <w:spacing w:line="440" w:lineRule="exact"/>
        <w:jc w:val="center"/>
        <w:rPr>
          <w:rFonts w:hint="eastAsia" w:ascii="宋体" w:hAnsi="宋体" w:eastAsia="宋体" w:cs="宋体"/>
          <w:color w:val="auto"/>
          <w:szCs w:val="21"/>
          <w:highlight w:val="none"/>
        </w:rPr>
      </w:pPr>
    </w:p>
    <w:p w14:paraId="4A10ADE8">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1279F61D">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单位性质：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3ED924FE">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rPr>
        <w:t xml:space="preserve">                                   </w:t>
      </w:r>
    </w:p>
    <w:p w14:paraId="308FC8E2">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成立时间：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日</w:t>
      </w:r>
    </w:p>
    <w:p w14:paraId="5B3C4FF4">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经营期限：</w:t>
      </w:r>
      <w:r>
        <w:rPr>
          <w:rFonts w:hint="eastAsia" w:ascii="宋体" w:hAnsi="宋体" w:eastAsia="宋体" w:cs="宋体"/>
          <w:color w:val="auto"/>
          <w:szCs w:val="21"/>
          <w:highlight w:val="none"/>
          <w:u w:val="single"/>
        </w:rPr>
        <w:t xml:space="preserve">                               </w:t>
      </w:r>
    </w:p>
    <w:p w14:paraId="6087D5C5">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性别：</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年龄：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职务：</w:t>
      </w:r>
      <w:r>
        <w:rPr>
          <w:rFonts w:hint="eastAsia" w:ascii="宋体" w:hAnsi="宋体" w:eastAsia="宋体" w:cs="宋体"/>
          <w:color w:val="auto"/>
          <w:szCs w:val="21"/>
          <w:highlight w:val="none"/>
          <w:u w:val="single"/>
        </w:rPr>
        <w:t xml:space="preserve">        </w:t>
      </w:r>
    </w:p>
    <w:p w14:paraId="3633AD3F">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系</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（供应商名称）的法定代表人。</w:t>
      </w:r>
    </w:p>
    <w:p w14:paraId="5351FD4D">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特此证明。</w:t>
      </w:r>
    </w:p>
    <w:p w14:paraId="37040E6B">
      <w:pPr>
        <w:spacing w:line="440" w:lineRule="exact"/>
        <w:rPr>
          <w:rFonts w:hint="eastAsia" w:ascii="宋体" w:hAnsi="宋体" w:eastAsia="宋体" w:cs="宋体"/>
          <w:color w:val="auto"/>
          <w:szCs w:val="21"/>
          <w:highlight w:val="none"/>
        </w:rPr>
      </w:pPr>
    </w:p>
    <w:p w14:paraId="412359C4">
      <w:pPr>
        <w:spacing w:line="440" w:lineRule="exact"/>
        <w:rPr>
          <w:rFonts w:hint="eastAsia" w:ascii="宋体" w:hAnsi="宋体" w:eastAsia="宋体" w:cs="宋体"/>
          <w:color w:val="auto"/>
          <w:szCs w:val="21"/>
          <w:highlight w:val="none"/>
        </w:rPr>
      </w:pPr>
    </w:p>
    <w:p w14:paraId="3F04B097">
      <w:pPr>
        <w:spacing w:line="440" w:lineRule="exact"/>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供应商：</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（单位电子签章）</w:t>
      </w:r>
    </w:p>
    <w:p w14:paraId="1F8F40CC">
      <w:pPr>
        <w:spacing w:line="440" w:lineRule="exact"/>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日 </w:t>
      </w:r>
    </w:p>
    <w:p w14:paraId="28205747">
      <w:pPr>
        <w:spacing w:line="440" w:lineRule="exact"/>
        <w:rPr>
          <w:rFonts w:hint="eastAsia" w:ascii="宋体" w:hAnsi="宋体" w:eastAsia="宋体" w:cs="宋体"/>
          <w:color w:val="auto"/>
          <w:szCs w:val="21"/>
          <w:highlight w:val="none"/>
        </w:rPr>
      </w:pPr>
    </w:p>
    <w:p w14:paraId="0BEEB28A">
      <w:pPr>
        <w:spacing w:line="440" w:lineRule="exact"/>
        <w:rPr>
          <w:rFonts w:hint="eastAsia" w:ascii="宋体" w:hAnsi="宋体" w:eastAsia="宋体" w:cs="宋体"/>
          <w:color w:val="auto"/>
          <w:szCs w:val="21"/>
          <w:highlight w:val="none"/>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5818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9" w:hRule="atLeast"/>
          <w:jc w:val="center"/>
        </w:trPr>
        <w:tc>
          <w:tcPr>
            <w:tcW w:w="8528" w:type="dxa"/>
            <w:noWrap w:val="0"/>
            <w:vAlign w:val="center"/>
          </w:tcPr>
          <w:p w14:paraId="0CC5E4C1">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法定代表人身份证扫描件</w:t>
            </w:r>
          </w:p>
          <w:p w14:paraId="7E7FA082">
            <w:pPr>
              <w:spacing w:line="440" w:lineRule="exact"/>
              <w:jc w:val="center"/>
              <w:rPr>
                <w:rFonts w:hint="eastAsia" w:ascii="宋体" w:hAnsi="宋体" w:eastAsia="宋体" w:cs="宋体"/>
                <w:color w:val="auto"/>
                <w:szCs w:val="21"/>
                <w:highlight w:val="none"/>
              </w:rPr>
            </w:pPr>
          </w:p>
        </w:tc>
      </w:tr>
    </w:tbl>
    <w:p w14:paraId="30750F69">
      <w:pPr>
        <w:spacing w:line="440" w:lineRule="exact"/>
        <w:rPr>
          <w:rFonts w:hint="eastAsia" w:ascii="宋体" w:hAnsi="宋体" w:eastAsia="宋体" w:cs="宋体"/>
          <w:color w:val="auto"/>
          <w:szCs w:val="21"/>
          <w:highlight w:val="none"/>
        </w:rPr>
      </w:pPr>
    </w:p>
    <w:p w14:paraId="628BE2A2">
      <w:pPr>
        <w:spacing w:line="440" w:lineRule="exact"/>
        <w:rPr>
          <w:rFonts w:hint="eastAsia" w:ascii="宋体" w:hAnsi="宋体" w:eastAsia="宋体" w:cs="宋体"/>
          <w:color w:val="auto"/>
          <w:szCs w:val="21"/>
          <w:highlight w:val="none"/>
        </w:rPr>
      </w:pPr>
    </w:p>
    <w:p w14:paraId="335B9B18">
      <w:pPr>
        <w:spacing w:line="440" w:lineRule="exact"/>
        <w:rPr>
          <w:rFonts w:hint="eastAsia" w:ascii="宋体" w:hAnsi="宋体" w:eastAsia="宋体" w:cs="宋体"/>
          <w:color w:val="auto"/>
          <w:sz w:val="20"/>
          <w:szCs w:val="20"/>
          <w:highlight w:val="none"/>
        </w:rPr>
      </w:pPr>
    </w:p>
    <w:p w14:paraId="03E14986">
      <w:pPr>
        <w:spacing w:line="440" w:lineRule="exact"/>
        <w:rPr>
          <w:rFonts w:hint="eastAsia" w:ascii="宋体" w:hAnsi="宋体" w:eastAsia="宋体" w:cs="宋体"/>
          <w:color w:val="auto"/>
          <w:sz w:val="20"/>
          <w:szCs w:val="20"/>
          <w:highlight w:val="none"/>
        </w:rPr>
      </w:pPr>
    </w:p>
    <w:p w14:paraId="55098374">
      <w:pPr>
        <w:pStyle w:val="2"/>
        <w:rPr>
          <w:rFonts w:hint="eastAsia" w:ascii="宋体" w:hAnsi="宋体" w:eastAsia="宋体" w:cs="宋体"/>
          <w:highlight w:val="none"/>
        </w:rPr>
      </w:pPr>
    </w:p>
    <w:p w14:paraId="492CD016">
      <w:pPr>
        <w:pStyle w:val="6"/>
        <w:numPr>
          <w:ilvl w:val="1"/>
          <w:numId w:val="0"/>
        </w:numPr>
        <w:jc w:val="center"/>
        <w:rPr>
          <w:rFonts w:hint="eastAsia" w:ascii="宋体" w:hAnsi="宋体" w:eastAsia="宋体" w:cs="宋体"/>
          <w:color w:val="auto"/>
          <w:sz w:val="28"/>
          <w:highlight w:val="none"/>
        </w:rPr>
      </w:pPr>
      <w:bookmarkStart w:id="1079" w:name="_Toc26203"/>
      <w:bookmarkStart w:id="1080" w:name="_Toc466298162"/>
      <w:bookmarkStart w:id="1081" w:name="_Toc202941490"/>
      <w:bookmarkStart w:id="1082" w:name="_Toc3802"/>
      <w:bookmarkStart w:id="1083" w:name="_Toc29692"/>
      <w:bookmarkStart w:id="1084" w:name="_Toc441791190"/>
      <w:bookmarkStart w:id="1085" w:name="_Toc318989765"/>
      <w:bookmarkStart w:id="1086" w:name="_Toc4123"/>
      <w:r>
        <w:rPr>
          <w:rFonts w:hint="eastAsia" w:ascii="宋体" w:hAnsi="宋体" w:eastAsia="宋体" w:cs="宋体"/>
          <w:color w:val="auto"/>
          <w:sz w:val="28"/>
          <w:highlight w:val="none"/>
          <w:lang w:val="en-US" w:eastAsia="zh-CN"/>
        </w:rPr>
        <w:t>三</w:t>
      </w:r>
      <w:r>
        <w:rPr>
          <w:rFonts w:hint="eastAsia" w:ascii="宋体" w:hAnsi="宋体" w:eastAsia="宋体" w:cs="宋体"/>
          <w:color w:val="auto"/>
          <w:sz w:val="28"/>
          <w:highlight w:val="none"/>
        </w:rPr>
        <w:t>、授权委托书</w:t>
      </w:r>
      <w:bookmarkEnd w:id="1079"/>
      <w:bookmarkEnd w:id="1080"/>
      <w:bookmarkEnd w:id="1081"/>
      <w:bookmarkEnd w:id="1082"/>
      <w:bookmarkEnd w:id="1083"/>
      <w:bookmarkEnd w:id="1084"/>
      <w:bookmarkEnd w:id="1085"/>
      <w:bookmarkEnd w:id="1086"/>
    </w:p>
    <w:p w14:paraId="3990D397">
      <w:pPr>
        <w:topLinePunct/>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（姓名）系</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（供应商名称）的法定代表人，现委托</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（姓名）为我方代理人。代理人根据授权，以我方名义签署、澄清、说明、补正、递交、撤回、修改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（项目名称</w:t>
      </w:r>
      <w:r>
        <w:rPr>
          <w:rFonts w:hint="eastAsia" w:ascii="宋体" w:hAnsi="宋体" w:eastAsia="宋体" w:cs="宋体"/>
          <w:color w:val="auto"/>
          <w:szCs w:val="21"/>
          <w:highlight w:val="none"/>
          <w:lang w:val="en-US" w:eastAsia="zh-CN"/>
        </w:rPr>
        <w:t>+包号</w:t>
      </w:r>
      <w:r>
        <w:rPr>
          <w:rFonts w:hint="eastAsia" w:ascii="宋体" w:hAnsi="宋体" w:eastAsia="宋体" w:cs="宋体"/>
          <w:color w:val="auto"/>
          <w:szCs w:val="21"/>
          <w:highlight w:val="none"/>
        </w:rPr>
        <w:t>）响应文件、签订合同和处理有关事宜，其法律后果由我方承担。</w:t>
      </w:r>
    </w:p>
    <w:p w14:paraId="0D371898">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委托期限：</w:t>
      </w:r>
      <w:r>
        <w:rPr>
          <w:rFonts w:hint="eastAsia" w:ascii="宋体" w:hAnsi="宋体" w:eastAsia="宋体" w:cs="宋体"/>
          <w:color w:val="auto"/>
          <w:highlight w:val="none"/>
        </w:rPr>
        <w:t>自本委托书签署之日起至</w:t>
      </w:r>
      <w:r>
        <w:rPr>
          <w:rFonts w:hint="eastAsia" w:ascii="宋体" w:hAnsi="宋体" w:eastAsia="宋体" w:cs="宋体"/>
          <w:color w:val="auto"/>
          <w:highlight w:val="none"/>
          <w:lang w:eastAsia="zh-CN"/>
        </w:rPr>
        <w:t>磋商</w:t>
      </w:r>
      <w:r>
        <w:rPr>
          <w:rFonts w:hint="eastAsia" w:ascii="宋体" w:hAnsi="宋体" w:eastAsia="宋体" w:cs="宋体"/>
          <w:color w:val="auto"/>
          <w:highlight w:val="none"/>
        </w:rPr>
        <w:t>有效期期满。</w:t>
      </w:r>
    </w:p>
    <w:p w14:paraId="4D4AEB9C">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代理人无转委托权。</w:t>
      </w:r>
    </w:p>
    <w:p w14:paraId="5DBE8E85">
      <w:pPr>
        <w:spacing w:line="440" w:lineRule="exact"/>
        <w:rPr>
          <w:rFonts w:hint="eastAsia" w:ascii="宋体" w:hAnsi="宋体" w:eastAsia="宋体" w:cs="宋体"/>
          <w:color w:val="auto"/>
          <w:szCs w:val="21"/>
          <w:highlight w:val="none"/>
        </w:rPr>
      </w:pPr>
    </w:p>
    <w:p w14:paraId="1F5297FB">
      <w:pPr>
        <w:spacing w:line="440" w:lineRule="exact"/>
        <w:rPr>
          <w:rFonts w:hint="eastAsia" w:ascii="宋体" w:hAnsi="宋体" w:eastAsia="宋体" w:cs="宋体"/>
          <w:color w:val="auto"/>
          <w:szCs w:val="21"/>
          <w:highlight w:val="none"/>
        </w:rPr>
      </w:pPr>
    </w:p>
    <w:p w14:paraId="221DD62E">
      <w:pPr>
        <w:spacing w:line="440" w:lineRule="exact"/>
        <w:rPr>
          <w:rFonts w:hint="eastAsia" w:ascii="宋体" w:hAnsi="宋体" w:eastAsia="宋体" w:cs="宋体"/>
          <w:color w:val="auto"/>
          <w:szCs w:val="21"/>
          <w:highlight w:val="none"/>
        </w:rPr>
      </w:pPr>
    </w:p>
    <w:p w14:paraId="30F62A14">
      <w:pPr>
        <w:spacing w:line="440" w:lineRule="exact"/>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（单位电子签章）</w:t>
      </w:r>
    </w:p>
    <w:p w14:paraId="41EA2CCB">
      <w:pPr>
        <w:spacing w:line="440" w:lineRule="exact"/>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（电子签名或盖章）</w:t>
      </w:r>
    </w:p>
    <w:p w14:paraId="2B2B64CC">
      <w:pPr>
        <w:spacing w:line="440" w:lineRule="exact"/>
        <w:ind w:left="0" w:leftChars="0" w:firstLine="0" w:firstLineChars="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法定代表人身份证号码：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14:paraId="6CEA66AB">
      <w:pPr>
        <w:spacing w:line="440" w:lineRule="exact"/>
        <w:ind w:left="0" w:leftChars="0" w:firstLine="0" w:firstLineChars="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（签名或盖章）</w:t>
      </w:r>
    </w:p>
    <w:p w14:paraId="64A05282">
      <w:pPr>
        <w:spacing w:line="440" w:lineRule="exact"/>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委托代理人身份证号码：</w:t>
      </w:r>
      <w:r>
        <w:rPr>
          <w:rFonts w:hint="eastAsia" w:ascii="宋体" w:hAnsi="宋体" w:eastAsia="宋体" w:cs="宋体"/>
          <w:color w:val="auto"/>
          <w:szCs w:val="21"/>
          <w:highlight w:val="none"/>
          <w:u w:val="single"/>
        </w:rPr>
        <w:t xml:space="preserve">                          </w:t>
      </w:r>
    </w:p>
    <w:p w14:paraId="525D236F">
      <w:pPr>
        <w:spacing w:line="440" w:lineRule="exact"/>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32DC8ADE">
      <w:pPr>
        <w:spacing w:line="440" w:lineRule="exact"/>
        <w:rPr>
          <w:rFonts w:hint="eastAsia" w:ascii="宋体" w:hAnsi="宋体" w:eastAsia="宋体" w:cs="宋体"/>
          <w:color w:val="auto"/>
          <w:szCs w:val="21"/>
          <w:highlight w:val="none"/>
        </w:rPr>
      </w:pPr>
    </w:p>
    <w:p w14:paraId="5BF719EC">
      <w:pPr>
        <w:pStyle w:val="3"/>
        <w:rPr>
          <w:rFonts w:hint="eastAsia" w:ascii="宋体" w:hAnsi="宋体" w:eastAsia="宋体" w:cs="宋体"/>
          <w:color w:val="auto"/>
          <w:highlight w:val="none"/>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13CD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5" w:hRule="atLeast"/>
          <w:jc w:val="center"/>
        </w:trPr>
        <w:tc>
          <w:tcPr>
            <w:tcW w:w="8528" w:type="dxa"/>
            <w:noWrap w:val="0"/>
            <w:vAlign w:val="center"/>
          </w:tcPr>
          <w:p w14:paraId="3890B495">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委托代理人身份证扫描件</w:t>
            </w:r>
          </w:p>
          <w:p w14:paraId="1159B79B">
            <w:pPr>
              <w:spacing w:line="440" w:lineRule="exact"/>
              <w:jc w:val="center"/>
              <w:rPr>
                <w:rFonts w:hint="eastAsia" w:ascii="宋体" w:hAnsi="宋体" w:eastAsia="宋体" w:cs="宋体"/>
                <w:color w:val="auto"/>
                <w:szCs w:val="21"/>
                <w:highlight w:val="none"/>
              </w:rPr>
            </w:pPr>
          </w:p>
        </w:tc>
      </w:tr>
    </w:tbl>
    <w:p w14:paraId="46AC525A">
      <w:pPr>
        <w:spacing w:line="440" w:lineRule="exact"/>
        <w:rPr>
          <w:rFonts w:hint="eastAsia" w:ascii="宋体" w:hAnsi="宋体" w:eastAsia="宋体" w:cs="宋体"/>
          <w:color w:val="auto"/>
          <w:szCs w:val="21"/>
          <w:highlight w:val="none"/>
        </w:rPr>
      </w:pPr>
    </w:p>
    <w:p w14:paraId="66F84B22">
      <w:pPr>
        <w:pStyle w:val="54"/>
        <w:rPr>
          <w:rFonts w:hint="eastAsia" w:ascii="宋体" w:hAnsi="宋体" w:eastAsia="宋体" w:cs="宋体"/>
          <w:color w:val="auto"/>
          <w:szCs w:val="21"/>
          <w:highlight w:val="none"/>
        </w:rPr>
      </w:pPr>
    </w:p>
    <w:p w14:paraId="5DB4DA7D">
      <w:pPr>
        <w:rPr>
          <w:rFonts w:hint="eastAsia" w:ascii="宋体" w:hAnsi="宋体" w:eastAsia="宋体" w:cs="宋体"/>
          <w:color w:val="auto"/>
          <w:szCs w:val="21"/>
          <w:highlight w:val="none"/>
        </w:rPr>
      </w:pPr>
    </w:p>
    <w:p w14:paraId="175C313B">
      <w:pPr>
        <w:pStyle w:val="2"/>
        <w:keepNext w:val="0"/>
        <w:keepLines w:val="0"/>
        <w:pageBreakBefore w:val="0"/>
        <w:widowControl w:val="0"/>
        <w:numPr>
          <w:ilvl w:val="0"/>
          <w:numId w:val="0"/>
        </w:numPr>
        <w:kinsoku/>
        <w:wordWrap/>
        <w:overflowPunct/>
        <w:topLinePunct w:val="0"/>
        <w:autoSpaceDE/>
        <w:autoSpaceDN/>
        <w:bidi w:val="0"/>
        <w:adjustRightInd/>
        <w:snapToGrid/>
        <w:ind w:right="0" w:rightChars="0"/>
        <w:jc w:val="center"/>
        <w:textAlignment w:val="auto"/>
        <w:outlineLvl w:val="1"/>
        <w:rPr>
          <w:rFonts w:hint="eastAsia" w:ascii="宋体" w:hAnsi="宋体" w:eastAsia="宋体" w:cs="宋体"/>
          <w:b/>
          <w:color w:val="auto"/>
          <w:sz w:val="28"/>
          <w:szCs w:val="28"/>
          <w:highlight w:val="none"/>
          <w:lang w:val="en-US" w:eastAsia="zh-CN"/>
        </w:rPr>
      </w:pPr>
      <w:bookmarkStart w:id="1087" w:name="_Toc475624458"/>
      <w:bookmarkStart w:id="1088" w:name="_Toc5437"/>
      <w:r>
        <w:rPr>
          <w:rFonts w:hint="eastAsia" w:ascii="宋体" w:hAnsi="宋体" w:eastAsia="宋体" w:cs="宋体"/>
          <w:b/>
          <w:color w:val="auto"/>
          <w:kern w:val="2"/>
          <w:sz w:val="28"/>
          <w:szCs w:val="28"/>
          <w:highlight w:val="none"/>
          <w:lang w:val="en-US" w:eastAsia="zh-CN" w:bidi="ar-SA"/>
        </w:rPr>
        <w:t>四、服务方案</w:t>
      </w:r>
    </w:p>
    <w:p w14:paraId="28B2FD5E">
      <w:pPr>
        <w:keepNext w:val="0"/>
        <w:keepLines w:val="0"/>
        <w:widowControl/>
        <w:suppressLineNumbers w:val="0"/>
        <w:bidi w:val="0"/>
        <w:jc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b/>
          <w:color w:val="auto"/>
          <w:sz w:val="24"/>
          <w:szCs w:val="24"/>
          <w:highlight w:val="none"/>
          <w:lang w:val="en-US" w:eastAsia="zh-CN"/>
        </w:rPr>
        <w:t>根据评审办法编制，</w:t>
      </w:r>
      <w:r>
        <w:rPr>
          <w:rFonts w:hint="eastAsia" w:ascii="宋体" w:hAnsi="宋体" w:eastAsia="宋体" w:cs="宋体"/>
          <w:b/>
          <w:color w:val="auto"/>
          <w:sz w:val="24"/>
          <w:szCs w:val="24"/>
          <w:highlight w:val="none"/>
        </w:rPr>
        <w:t>内容及格式由</w:t>
      </w:r>
      <w:r>
        <w:rPr>
          <w:rFonts w:hint="eastAsia" w:ascii="宋体" w:hAnsi="宋体" w:eastAsia="宋体" w:cs="宋体"/>
          <w:b/>
          <w:color w:val="auto"/>
          <w:sz w:val="24"/>
          <w:szCs w:val="24"/>
          <w:highlight w:val="none"/>
          <w:lang w:eastAsia="zh-CN"/>
        </w:rPr>
        <w:t>供应商</w:t>
      </w:r>
      <w:r>
        <w:rPr>
          <w:rFonts w:hint="eastAsia" w:ascii="宋体" w:hAnsi="宋体" w:eastAsia="宋体" w:cs="宋体"/>
          <w:b/>
          <w:color w:val="auto"/>
          <w:sz w:val="24"/>
          <w:szCs w:val="24"/>
          <w:highlight w:val="none"/>
        </w:rPr>
        <w:t>自拟</w:t>
      </w:r>
      <w:r>
        <w:rPr>
          <w:rFonts w:hint="eastAsia" w:ascii="宋体" w:hAnsi="宋体" w:eastAsia="宋体" w:cs="宋体"/>
          <w:color w:val="auto"/>
          <w:kern w:val="0"/>
          <w:sz w:val="24"/>
          <w:szCs w:val="24"/>
          <w:highlight w:val="none"/>
          <w:lang w:val="en-US" w:eastAsia="zh-CN" w:bidi="ar"/>
        </w:rPr>
        <w:t>）</w:t>
      </w:r>
    </w:p>
    <w:p w14:paraId="3C381508">
      <w:pPr>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kern w:val="2"/>
          <w:sz w:val="28"/>
          <w:szCs w:val="28"/>
          <w:highlight w:val="none"/>
          <w:lang w:val="en-US" w:eastAsia="zh-CN" w:bidi="ar-SA"/>
        </w:rPr>
        <w:br w:type="page"/>
      </w:r>
    </w:p>
    <w:p w14:paraId="43C57975">
      <w:pPr>
        <w:pStyle w:val="2"/>
        <w:keepNext w:val="0"/>
        <w:keepLines w:val="0"/>
        <w:pageBreakBefore w:val="0"/>
        <w:widowControl w:val="0"/>
        <w:numPr>
          <w:ilvl w:val="0"/>
          <w:numId w:val="0"/>
        </w:numPr>
        <w:kinsoku/>
        <w:wordWrap/>
        <w:overflowPunct/>
        <w:topLinePunct w:val="0"/>
        <w:autoSpaceDE/>
        <w:autoSpaceDN/>
        <w:bidi w:val="0"/>
        <w:adjustRightInd/>
        <w:snapToGrid/>
        <w:ind w:right="0" w:rightChars="0"/>
        <w:jc w:val="center"/>
        <w:textAlignment w:val="auto"/>
        <w:outlineLvl w:val="1"/>
        <w:rPr>
          <w:rFonts w:hint="default" w:ascii="宋体" w:hAnsi="宋体" w:eastAsia="宋体" w:cs="宋体"/>
          <w:b/>
          <w:color w:val="auto"/>
          <w:sz w:val="28"/>
          <w:szCs w:val="28"/>
          <w:highlight w:val="none"/>
          <w:lang w:val="en-US" w:eastAsia="zh-CN"/>
        </w:rPr>
      </w:pPr>
      <w:r>
        <w:rPr>
          <w:rFonts w:hint="eastAsia" w:ascii="宋体" w:hAnsi="宋体" w:eastAsia="宋体" w:cs="宋体"/>
          <w:b/>
          <w:color w:val="auto"/>
          <w:kern w:val="2"/>
          <w:sz w:val="28"/>
          <w:szCs w:val="28"/>
          <w:highlight w:val="none"/>
          <w:lang w:val="en-US" w:eastAsia="zh-CN" w:bidi="ar-SA"/>
        </w:rPr>
        <w:t>五、综合部分</w:t>
      </w:r>
    </w:p>
    <w:p w14:paraId="20728F81">
      <w:pPr>
        <w:pStyle w:val="2"/>
        <w:bidi w:val="0"/>
        <w:ind w:left="0" w:leftChars="0" w:firstLine="0" w:firstLineChars="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b/>
          <w:color w:val="auto"/>
          <w:sz w:val="24"/>
          <w:szCs w:val="24"/>
          <w:highlight w:val="none"/>
          <w:lang w:val="en-US" w:eastAsia="zh-CN"/>
        </w:rPr>
        <w:t>根据评审办法编制，</w:t>
      </w:r>
      <w:r>
        <w:rPr>
          <w:rFonts w:hint="eastAsia" w:ascii="宋体" w:hAnsi="宋体" w:eastAsia="宋体" w:cs="宋体"/>
          <w:b/>
          <w:color w:val="auto"/>
          <w:sz w:val="24"/>
          <w:szCs w:val="24"/>
          <w:highlight w:val="none"/>
        </w:rPr>
        <w:t>内容及格式由</w:t>
      </w:r>
      <w:r>
        <w:rPr>
          <w:rFonts w:hint="eastAsia" w:ascii="宋体" w:hAnsi="宋体" w:eastAsia="宋体" w:cs="宋体"/>
          <w:b/>
          <w:color w:val="auto"/>
          <w:sz w:val="24"/>
          <w:szCs w:val="24"/>
          <w:highlight w:val="none"/>
          <w:lang w:eastAsia="zh-CN"/>
        </w:rPr>
        <w:t>供应商</w:t>
      </w:r>
      <w:r>
        <w:rPr>
          <w:rFonts w:hint="eastAsia" w:ascii="宋体" w:hAnsi="宋体" w:eastAsia="宋体" w:cs="宋体"/>
          <w:b/>
          <w:color w:val="auto"/>
          <w:sz w:val="24"/>
          <w:szCs w:val="24"/>
          <w:highlight w:val="none"/>
        </w:rPr>
        <w:t>自拟</w:t>
      </w:r>
      <w:r>
        <w:rPr>
          <w:rFonts w:hint="eastAsia" w:ascii="宋体" w:hAnsi="宋体" w:eastAsia="宋体" w:cs="宋体"/>
          <w:color w:val="auto"/>
          <w:kern w:val="0"/>
          <w:sz w:val="24"/>
          <w:szCs w:val="24"/>
          <w:highlight w:val="none"/>
          <w:lang w:val="en-US" w:eastAsia="zh-CN" w:bidi="ar"/>
        </w:rPr>
        <w:t>）</w:t>
      </w:r>
    </w:p>
    <w:p w14:paraId="47F47D4C">
      <w:pPr>
        <w:pStyle w:val="26"/>
        <w:tabs>
          <w:tab w:val="left" w:pos="945"/>
          <w:tab w:val="left" w:pos="1155"/>
        </w:tabs>
        <w:bidi w:val="0"/>
        <w:rPr>
          <w:rFonts w:hint="eastAsia" w:ascii="宋体" w:hAnsi="宋体" w:eastAsia="宋体" w:cs="宋体"/>
          <w:color w:val="auto"/>
          <w:kern w:val="0"/>
          <w:sz w:val="21"/>
          <w:szCs w:val="21"/>
          <w:highlight w:val="none"/>
          <w:lang w:val="en-US" w:eastAsia="zh-CN" w:bidi="ar"/>
        </w:rPr>
      </w:pPr>
    </w:p>
    <w:p w14:paraId="25DB5A58">
      <w:pPr>
        <w:bidi w:val="0"/>
        <w:rPr>
          <w:rFonts w:hint="eastAsia" w:ascii="宋体" w:hAnsi="宋体" w:eastAsia="宋体" w:cs="宋体"/>
          <w:color w:val="auto"/>
          <w:kern w:val="0"/>
          <w:sz w:val="21"/>
          <w:szCs w:val="21"/>
          <w:highlight w:val="none"/>
          <w:lang w:val="en-US" w:eastAsia="zh-CN" w:bidi="ar"/>
        </w:rPr>
      </w:pPr>
    </w:p>
    <w:p w14:paraId="0E518EE2">
      <w:pPr>
        <w:pStyle w:val="2"/>
        <w:bidi w:val="0"/>
        <w:rPr>
          <w:rFonts w:hint="eastAsia" w:ascii="宋体" w:hAnsi="宋体" w:eastAsia="宋体" w:cs="宋体"/>
          <w:color w:val="auto"/>
          <w:kern w:val="0"/>
          <w:sz w:val="21"/>
          <w:szCs w:val="21"/>
          <w:highlight w:val="none"/>
          <w:lang w:val="en-US" w:eastAsia="zh-CN" w:bidi="ar"/>
        </w:rPr>
      </w:pPr>
    </w:p>
    <w:p w14:paraId="451E73DC">
      <w:pPr>
        <w:pStyle w:val="26"/>
        <w:tabs>
          <w:tab w:val="left" w:pos="945"/>
          <w:tab w:val="left" w:pos="1155"/>
        </w:tabs>
        <w:bidi w:val="0"/>
        <w:rPr>
          <w:rFonts w:hint="eastAsia" w:ascii="宋体" w:hAnsi="宋体" w:eastAsia="宋体" w:cs="宋体"/>
          <w:color w:val="auto"/>
          <w:kern w:val="0"/>
          <w:sz w:val="21"/>
          <w:szCs w:val="21"/>
          <w:highlight w:val="none"/>
          <w:lang w:val="en-US" w:eastAsia="zh-CN" w:bidi="ar"/>
        </w:rPr>
      </w:pPr>
    </w:p>
    <w:p w14:paraId="32C2AEEF">
      <w:pPr>
        <w:bidi w:val="0"/>
        <w:rPr>
          <w:rFonts w:hint="eastAsia" w:ascii="宋体" w:hAnsi="宋体" w:eastAsia="宋体" w:cs="宋体"/>
          <w:color w:val="auto"/>
          <w:kern w:val="0"/>
          <w:sz w:val="21"/>
          <w:szCs w:val="21"/>
          <w:highlight w:val="none"/>
          <w:lang w:val="en-US" w:eastAsia="zh-CN" w:bidi="ar"/>
        </w:rPr>
      </w:pPr>
    </w:p>
    <w:p w14:paraId="1AE1DF4B">
      <w:pPr>
        <w:pStyle w:val="54"/>
        <w:rPr>
          <w:rFonts w:hint="eastAsia" w:ascii="宋体" w:hAnsi="宋体" w:eastAsia="宋体" w:cs="宋体"/>
          <w:color w:val="auto"/>
          <w:kern w:val="0"/>
          <w:sz w:val="21"/>
          <w:szCs w:val="21"/>
          <w:highlight w:val="none"/>
          <w:lang w:val="en-US" w:eastAsia="zh-CN" w:bidi="ar"/>
        </w:rPr>
      </w:pPr>
    </w:p>
    <w:p w14:paraId="0F2F69DB">
      <w:pPr>
        <w:rPr>
          <w:rFonts w:hint="eastAsia" w:ascii="宋体" w:hAnsi="宋体" w:eastAsia="宋体" w:cs="宋体"/>
          <w:color w:val="auto"/>
          <w:kern w:val="0"/>
          <w:sz w:val="21"/>
          <w:szCs w:val="21"/>
          <w:highlight w:val="none"/>
          <w:lang w:val="en-US" w:eastAsia="zh-CN" w:bidi="ar"/>
        </w:rPr>
      </w:pPr>
    </w:p>
    <w:p w14:paraId="38E7FB01">
      <w:pPr>
        <w:pStyle w:val="54"/>
        <w:rPr>
          <w:rFonts w:hint="eastAsia" w:ascii="宋体" w:hAnsi="宋体" w:eastAsia="宋体" w:cs="宋体"/>
          <w:color w:val="auto"/>
          <w:kern w:val="0"/>
          <w:sz w:val="21"/>
          <w:szCs w:val="21"/>
          <w:highlight w:val="none"/>
          <w:lang w:val="en-US" w:eastAsia="zh-CN" w:bidi="ar"/>
        </w:rPr>
      </w:pPr>
    </w:p>
    <w:p w14:paraId="59129362">
      <w:pPr>
        <w:rPr>
          <w:rFonts w:hint="eastAsia" w:ascii="宋体" w:hAnsi="宋体" w:eastAsia="宋体" w:cs="宋体"/>
          <w:color w:val="auto"/>
          <w:kern w:val="0"/>
          <w:sz w:val="21"/>
          <w:szCs w:val="21"/>
          <w:highlight w:val="none"/>
          <w:lang w:val="en-US" w:eastAsia="zh-CN" w:bidi="ar"/>
        </w:rPr>
      </w:pPr>
    </w:p>
    <w:p w14:paraId="0396922B">
      <w:pPr>
        <w:pStyle w:val="54"/>
        <w:rPr>
          <w:rFonts w:hint="eastAsia" w:ascii="宋体" w:hAnsi="宋体" w:eastAsia="宋体" w:cs="宋体"/>
          <w:color w:val="auto"/>
          <w:kern w:val="0"/>
          <w:sz w:val="21"/>
          <w:szCs w:val="21"/>
          <w:highlight w:val="none"/>
          <w:lang w:val="en-US" w:eastAsia="zh-CN" w:bidi="ar"/>
        </w:rPr>
      </w:pPr>
    </w:p>
    <w:p w14:paraId="6B49654D">
      <w:pPr>
        <w:rPr>
          <w:rFonts w:hint="eastAsia" w:ascii="宋体" w:hAnsi="宋体" w:eastAsia="宋体" w:cs="宋体"/>
          <w:color w:val="auto"/>
          <w:kern w:val="0"/>
          <w:sz w:val="21"/>
          <w:szCs w:val="21"/>
          <w:highlight w:val="none"/>
          <w:lang w:val="en-US" w:eastAsia="zh-CN" w:bidi="ar"/>
        </w:rPr>
      </w:pPr>
    </w:p>
    <w:p w14:paraId="651C4963">
      <w:pPr>
        <w:pStyle w:val="54"/>
        <w:rPr>
          <w:rFonts w:hint="eastAsia" w:ascii="宋体" w:hAnsi="宋体" w:eastAsia="宋体" w:cs="宋体"/>
          <w:highlight w:val="none"/>
          <w:lang w:val="en-US" w:eastAsia="zh-CN"/>
        </w:rPr>
      </w:pPr>
    </w:p>
    <w:p w14:paraId="754DE08F">
      <w:pPr>
        <w:pStyle w:val="2"/>
        <w:bidi w:val="0"/>
        <w:rPr>
          <w:rFonts w:hint="eastAsia" w:ascii="宋体" w:hAnsi="宋体" w:eastAsia="宋体" w:cs="宋体"/>
          <w:color w:val="auto"/>
          <w:kern w:val="0"/>
          <w:sz w:val="21"/>
          <w:szCs w:val="21"/>
          <w:highlight w:val="none"/>
          <w:lang w:val="en-US" w:eastAsia="zh-CN" w:bidi="ar"/>
        </w:rPr>
      </w:pPr>
    </w:p>
    <w:p w14:paraId="25EA51FC">
      <w:pPr>
        <w:pStyle w:val="26"/>
        <w:tabs>
          <w:tab w:val="left" w:pos="945"/>
          <w:tab w:val="left" w:pos="1155"/>
        </w:tabs>
        <w:bidi w:val="0"/>
        <w:rPr>
          <w:rFonts w:hint="eastAsia" w:ascii="宋体" w:hAnsi="宋体" w:eastAsia="宋体" w:cs="宋体"/>
          <w:color w:val="auto"/>
          <w:kern w:val="0"/>
          <w:sz w:val="21"/>
          <w:szCs w:val="21"/>
          <w:highlight w:val="none"/>
          <w:lang w:val="en-US" w:eastAsia="zh-CN" w:bidi="ar"/>
        </w:rPr>
      </w:pPr>
    </w:p>
    <w:p w14:paraId="7D21DD0C">
      <w:pPr>
        <w:bidi w:val="0"/>
        <w:rPr>
          <w:rFonts w:hint="eastAsia" w:ascii="宋体" w:hAnsi="宋体" w:eastAsia="宋体" w:cs="宋体"/>
          <w:color w:val="auto"/>
          <w:kern w:val="0"/>
          <w:sz w:val="21"/>
          <w:szCs w:val="21"/>
          <w:highlight w:val="none"/>
          <w:lang w:val="en-US" w:eastAsia="zh-CN" w:bidi="ar"/>
        </w:rPr>
      </w:pPr>
    </w:p>
    <w:p w14:paraId="5A071F3F">
      <w:pPr>
        <w:pStyle w:val="2"/>
        <w:bidi w:val="0"/>
        <w:rPr>
          <w:rFonts w:hint="eastAsia" w:ascii="宋体" w:hAnsi="宋体" w:eastAsia="宋体" w:cs="宋体"/>
          <w:color w:val="auto"/>
          <w:kern w:val="0"/>
          <w:sz w:val="21"/>
          <w:szCs w:val="21"/>
          <w:highlight w:val="none"/>
          <w:lang w:val="en-US" w:eastAsia="zh-CN" w:bidi="ar"/>
        </w:rPr>
      </w:pPr>
    </w:p>
    <w:p w14:paraId="313C48FE">
      <w:pPr>
        <w:pStyle w:val="26"/>
        <w:tabs>
          <w:tab w:val="left" w:pos="945"/>
          <w:tab w:val="left" w:pos="1155"/>
        </w:tabs>
        <w:bidi w:val="0"/>
        <w:rPr>
          <w:rFonts w:hint="eastAsia" w:ascii="宋体" w:hAnsi="宋体" w:eastAsia="宋体" w:cs="宋体"/>
          <w:color w:val="auto"/>
          <w:kern w:val="0"/>
          <w:sz w:val="21"/>
          <w:szCs w:val="21"/>
          <w:highlight w:val="none"/>
          <w:lang w:val="en-US" w:eastAsia="zh-CN" w:bidi="ar"/>
        </w:rPr>
      </w:pPr>
    </w:p>
    <w:p w14:paraId="4C66D366">
      <w:pPr>
        <w:bidi w:val="0"/>
        <w:rPr>
          <w:rFonts w:hint="eastAsia" w:ascii="宋体" w:hAnsi="宋体" w:eastAsia="宋体" w:cs="宋体"/>
          <w:color w:val="auto"/>
          <w:kern w:val="0"/>
          <w:sz w:val="21"/>
          <w:szCs w:val="21"/>
          <w:highlight w:val="none"/>
          <w:lang w:val="en-US" w:eastAsia="zh-CN" w:bidi="ar"/>
        </w:rPr>
      </w:pPr>
    </w:p>
    <w:p w14:paraId="65A9FF87">
      <w:pPr>
        <w:pStyle w:val="2"/>
        <w:bidi w:val="0"/>
        <w:rPr>
          <w:rFonts w:hint="eastAsia" w:ascii="宋体" w:hAnsi="宋体" w:eastAsia="宋体" w:cs="宋体"/>
          <w:color w:val="auto"/>
          <w:kern w:val="0"/>
          <w:sz w:val="21"/>
          <w:szCs w:val="21"/>
          <w:highlight w:val="none"/>
          <w:lang w:val="en-US" w:eastAsia="zh-CN" w:bidi="ar"/>
        </w:rPr>
      </w:pPr>
    </w:p>
    <w:p w14:paraId="68C4B46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1"/>
        <w:rPr>
          <w:rFonts w:hint="eastAsia" w:ascii="宋体" w:hAnsi="宋体" w:eastAsia="宋体" w:cs="宋体"/>
          <w:color w:val="auto"/>
          <w:sz w:val="28"/>
          <w:szCs w:val="28"/>
          <w:highlight w:val="none"/>
        </w:rPr>
      </w:pPr>
      <w:bookmarkStart w:id="1089" w:name="_Toc11835"/>
      <w:r>
        <w:rPr>
          <w:rFonts w:hint="eastAsia" w:ascii="宋体" w:hAnsi="宋体" w:eastAsia="宋体" w:cs="宋体"/>
          <w:b/>
          <w:color w:val="auto"/>
          <w:kern w:val="2"/>
          <w:sz w:val="28"/>
          <w:szCs w:val="28"/>
          <w:highlight w:val="none"/>
          <w:lang w:val="en-US" w:eastAsia="zh-CN" w:bidi="ar-SA"/>
        </w:rPr>
        <w:t>六、资格</w:t>
      </w:r>
      <w:bookmarkEnd w:id="1087"/>
      <w:bookmarkEnd w:id="1088"/>
      <w:r>
        <w:rPr>
          <w:rFonts w:hint="eastAsia" w:ascii="宋体" w:hAnsi="宋体" w:eastAsia="宋体" w:cs="宋体"/>
          <w:b/>
          <w:color w:val="auto"/>
          <w:kern w:val="2"/>
          <w:sz w:val="28"/>
          <w:szCs w:val="28"/>
          <w:highlight w:val="none"/>
          <w:lang w:val="en-US" w:eastAsia="zh-CN" w:bidi="ar-SA"/>
        </w:rPr>
        <w:t>证明材料</w:t>
      </w:r>
      <w:bookmarkEnd w:id="1089"/>
    </w:p>
    <w:p w14:paraId="3043AFFB">
      <w:pPr>
        <w:spacing w:before="312" w:beforeLines="100" w:after="156" w:afterLines="50"/>
        <w:jc w:val="center"/>
        <w:rPr>
          <w:rFonts w:hint="eastAsia" w:ascii="宋体" w:hAnsi="宋体" w:eastAsia="宋体" w:cs="宋体"/>
          <w:b/>
          <w:color w:val="auto"/>
          <w:szCs w:val="21"/>
          <w:highlight w:val="none"/>
        </w:rPr>
      </w:pPr>
      <w:bookmarkStart w:id="1090" w:name="_Toc456185719"/>
      <w:r>
        <w:rPr>
          <w:rFonts w:hint="eastAsia" w:ascii="宋体" w:hAnsi="宋体" w:eastAsia="宋体" w:cs="宋体"/>
          <w:b/>
          <w:color w:val="auto"/>
          <w:szCs w:val="21"/>
          <w:highlight w:val="none"/>
        </w:rPr>
        <w:t>1、供应商基本情况表</w:t>
      </w:r>
      <w:bookmarkEnd w:id="1090"/>
    </w:p>
    <w:tbl>
      <w:tblPr>
        <w:tblStyle w:val="28"/>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1000"/>
        <w:gridCol w:w="985"/>
        <w:gridCol w:w="1309"/>
        <w:gridCol w:w="1177"/>
        <w:gridCol w:w="711"/>
        <w:gridCol w:w="1432"/>
      </w:tblGrid>
      <w:tr w14:paraId="23C5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765" w:type="dxa"/>
            <w:noWrap w:val="0"/>
            <w:vAlign w:val="center"/>
          </w:tcPr>
          <w:p w14:paraId="00B209AF">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供应商名称</w:t>
            </w:r>
          </w:p>
        </w:tc>
        <w:tc>
          <w:tcPr>
            <w:tcW w:w="6614" w:type="dxa"/>
            <w:gridSpan w:val="6"/>
            <w:noWrap w:val="0"/>
            <w:vAlign w:val="center"/>
          </w:tcPr>
          <w:p w14:paraId="770CC6F5">
            <w:pPr>
              <w:spacing w:line="360" w:lineRule="auto"/>
              <w:jc w:val="center"/>
              <w:rPr>
                <w:rFonts w:hint="eastAsia" w:ascii="宋体" w:hAnsi="宋体" w:eastAsia="宋体" w:cs="宋体"/>
                <w:color w:val="auto"/>
                <w:szCs w:val="21"/>
                <w:highlight w:val="none"/>
              </w:rPr>
            </w:pPr>
          </w:p>
        </w:tc>
      </w:tr>
      <w:tr w14:paraId="593F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765" w:type="dxa"/>
            <w:noWrap w:val="0"/>
            <w:vAlign w:val="center"/>
          </w:tcPr>
          <w:p w14:paraId="47B9BFD5">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注册地址</w:t>
            </w:r>
          </w:p>
        </w:tc>
        <w:tc>
          <w:tcPr>
            <w:tcW w:w="3294" w:type="dxa"/>
            <w:gridSpan w:val="3"/>
            <w:noWrap w:val="0"/>
            <w:vAlign w:val="center"/>
          </w:tcPr>
          <w:p w14:paraId="73D15642">
            <w:pPr>
              <w:spacing w:line="360" w:lineRule="auto"/>
              <w:jc w:val="center"/>
              <w:rPr>
                <w:rFonts w:hint="eastAsia" w:ascii="宋体" w:hAnsi="宋体" w:eastAsia="宋体" w:cs="宋体"/>
                <w:color w:val="auto"/>
                <w:szCs w:val="21"/>
                <w:highlight w:val="none"/>
              </w:rPr>
            </w:pPr>
          </w:p>
        </w:tc>
        <w:tc>
          <w:tcPr>
            <w:tcW w:w="1177" w:type="dxa"/>
            <w:noWrap w:val="0"/>
            <w:vAlign w:val="center"/>
          </w:tcPr>
          <w:p w14:paraId="3E74A3BC">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c>
          <w:tcPr>
            <w:tcW w:w="2143" w:type="dxa"/>
            <w:gridSpan w:val="2"/>
            <w:noWrap w:val="0"/>
            <w:vAlign w:val="center"/>
          </w:tcPr>
          <w:p w14:paraId="5DE7B27E">
            <w:pPr>
              <w:spacing w:line="360" w:lineRule="auto"/>
              <w:jc w:val="center"/>
              <w:rPr>
                <w:rFonts w:hint="eastAsia" w:ascii="宋体" w:hAnsi="宋体" w:eastAsia="宋体" w:cs="宋体"/>
                <w:color w:val="auto"/>
                <w:szCs w:val="21"/>
                <w:highlight w:val="none"/>
              </w:rPr>
            </w:pPr>
          </w:p>
        </w:tc>
      </w:tr>
      <w:tr w14:paraId="54C6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765" w:type="dxa"/>
            <w:vMerge w:val="restart"/>
            <w:noWrap w:val="0"/>
            <w:vAlign w:val="center"/>
          </w:tcPr>
          <w:p w14:paraId="03291360">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联系方式</w:t>
            </w:r>
          </w:p>
        </w:tc>
        <w:tc>
          <w:tcPr>
            <w:tcW w:w="1000" w:type="dxa"/>
            <w:noWrap w:val="0"/>
            <w:vAlign w:val="center"/>
          </w:tcPr>
          <w:p w14:paraId="57B480EF">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p>
        </w:tc>
        <w:tc>
          <w:tcPr>
            <w:tcW w:w="2294" w:type="dxa"/>
            <w:gridSpan w:val="2"/>
            <w:noWrap w:val="0"/>
            <w:vAlign w:val="center"/>
          </w:tcPr>
          <w:p w14:paraId="538C407D">
            <w:pPr>
              <w:spacing w:line="360" w:lineRule="auto"/>
              <w:jc w:val="center"/>
              <w:rPr>
                <w:rFonts w:hint="eastAsia" w:ascii="宋体" w:hAnsi="宋体" w:eastAsia="宋体" w:cs="宋体"/>
                <w:color w:val="auto"/>
                <w:szCs w:val="21"/>
                <w:highlight w:val="none"/>
              </w:rPr>
            </w:pPr>
          </w:p>
        </w:tc>
        <w:tc>
          <w:tcPr>
            <w:tcW w:w="1177" w:type="dxa"/>
            <w:noWrap w:val="0"/>
            <w:vAlign w:val="center"/>
          </w:tcPr>
          <w:p w14:paraId="573EB295">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  话</w:t>
            </w:r>
          </w:p>
        </w:tc>
        <w:tc>
          <w:tcPr>
            <w:tcW w:w="2143" w:type="dxa"/>
            <w:gridSpan w:val="2"/>
            <w:noWrap w:val="0"/>
            <w:vAlign w:val="center"/>
          </w:tcPr>
          <w:p w14:paraId="1DBD3341">
            <w:pPr>
              <w:spacing w:line="360" w:lineRule="auto"/>
              <w:jc w:val="center"/>
              <w:rPr>
                <w:rFonts w:hint="eastAsia" w:ascii="宋体" w:hAnsi="宋体" w:eastAsia="宋体" w:cs="宋体"/>
                <w:color w:val="auto"/>
                <w:szCs w:val="21"/>
                <w:highlight w:val="none"/>
              </w:rPr>
            </w:pPr>
          </w:p>
        </w:tc>
      </w:tr>
      <w:tr w14:paraId="32A2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765" w:type="dxa"/>
            <w:vMerge w:val="continue"/>
            <w:noWrap w:val="0"/>
            <w:vAlign w:val="center"/>
          </w:tcPr>
          <w:p w14:paraId="3F102DE9">
            <w:pPr>
              <w:spacing w:line="360" w:lineRule="auto"/>
              <w:jc w:val="center"/>
              <w:rPr>
                <w:rFonts w:hint="eastAsia" w:ascii="宋体" w:hAnsi="宋体" w:eastAsia="宋体" w:cs="宋体"/>
                <w:color w:val="auto"/>
                <w:szCs w:val="21"/>
                <w:highlight w:val="none"/>
              </w:rPr>
            </w:pPr>
          </w:p>
        </w:tc>
        <w:tc>
          <w:tcPr>
            <w:tcW w:w="1000" w:type="dxa"/>
            <w:noWrap w:val="0"/>
            <w:vAlign w:val="center"/>
          </w:tcPr>
          <w:p w14:paraId="519887FA">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传  真</w:t>
            </w:r>
          </w:p>
        </w:tc>
        <w:tc>
          <w:tcPr>
            <w:tcW w:w="2294" w:type="dxa"/>
            <w:gridSpan w:val="2"/>
            <w:noWrap w:val="0"/>
            <w:vAlign w:val="center"/>
          </w:tcPr>
          <w:p w14:paraId="500A87D6">
            <w:pPr>
              <w:spacing w:line="360" w:lineRule="auto"/>
              <w:jc w:val="center"/>
              <w:rPr>
                <w:rFonts w:hint="eastAsia" w:ascii="宋体" w:hAnsi="宋体" w:eastAsia="宋体" w:cs="宋体"/>
                <w:color w:val="auto"/>
                <w:szCs w:val="21"/>
                <w:highlight w:val="none"/>
              </w:rPr>
            </w:pPr>
          </w:p>
        </w:tc>
        <w:tc>
          <w:tcPr>
            <w:tcW w:w="1177" w:type="dxa"/>
            <w:noWrap w:val="0"/>
            <w:vAlign w:val="center"/>
          </w:tcPr>
          <w:p w14:paraId="35902816">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网  址</w:t>
            </w:r>
          </w:p>
        </w:tc>
        <w:tc>
          <w:tcPr>
            <w:tcW w:w="2143" w:type="dxa"/>
            <w:gridSpan w:val="2"/>
            <w:noWrap w:val="0"/>
            <w:vAlign w:val="center"/>
          </w:tcPr>
          <w:p w14:paraId="71D492B0">
            <w:pPr>
              <w:spacing w:line="360" w:lineRule="auto"/>
              <w:jc w:val="center"/>
              <w:rPr>
                <w:rFonts w:hint="eastAsia" w:ascii="宋体" w:hAnsi="宋体" w:eastAsia="宋体" w:cs="宋体"/>
                <w:color w:val="auto"/>
                <w:szCs w:val="21"/>
                <w:highlight w:val="none"/>
              </w:rPr>
            </w:pPr>
          </w:p>
        </w:tc>
      </w:tr>
      <w:tr w14:paraId="6EFB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765" w:type="dxa"/>
            <w:noWrap w:val="0"/>
            <w:vAlign w:val="center"/>
          </w:tcPr>
          <w:p w14:paraId="7ABB368E">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组织结构</w:t>
            </w:r>
          </w:p>
        </w:tc>
        <w:tc>
          <w:tcPr>
            <w:tcW w:w="6614" w:type="dxa"/>
            <w:gridSpan w:val="6"/>
            <w:noWrap w:val="0"/>
            <w:vAlign w:val="center"/>
          </w:tcPr>
          <w:p w14:paraId="683F8A1B">
            <w:pPr>
              <w:spacing w:line="360" w:lineRule="auto"/>
              <w:jc w:val="center"/>
              <w:rPr>
                <w:rFonts w:hint="eastAsia" w:ascii="宋体" w:hAnsi="宋体" w:eastAsia="宋体" w:cs="宋体"/>
                <w:color w:val="auto"/>
                <w:szCs w:val="21"/>
                <w:highlight w:val="none"/>
              </w:rPr>
            </w:pPr>
          </w:p>
        </w:tc>
      </w:tr>
      <w:tr w14:paraId="370C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765" w:type="dxa"/>
            <w:noWrap w:val="0"/>
            <w:vAlign w:val="center"/>
          </w:tcPr>
          <w:p w14:paraId="79DDFAA4">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p>
        </w:tc>
        <w:tc>
          <w:tcPr>
            <w:tcW w:w="1000" w:type="dxa"/>
            <w:noWrap w:val="0"/>
            <w:vAlign w:val="center"/>
          </w:tcPr>
          <w:p w14:paraId="31C4F7DD">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985" w:type="dxa"/>
            <w:noWrap w:val="0"/>
            <w:vAlign w:val="center"/>
          </w:tcPr>
          <w:p w14:paraId="2A4D1FAD">
            <w:pPr>
              <w:spacing w:line="360" w:lineRule="auto"/>
              <w:jc w:val="center"/>
              <w:rPr>
                <w:rFonts w:hint="eastAsia" w:ascii="宋体" w:hAnsi="宋体" w:eastAsia="宋体" w:cs="宋体"/>
                <w:color w:val="auto"/>
                <w:szCs w:val="21"/>
                <w:highlight w:val="none"/>
              </w:rPr>
            </w:pPr>
          </w:p>
        </w:tc>
        <w:tc>
          <w:tcPr>
            <w:tcW w:w="1309" w:type="dxa"/>
            <w:noWrap w:val="0"/>
            <w:vAlign w:val="center"/>
          </w:tcPr>
          <w:p w14:paraId="2F354828">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技术职称</w:t>
            </w:r>
          </w:p>
        </w:tc>
        <w:tc>
          <w:tcPr>
            <w:tcW w:w="1177" w:type="dxa"/>
            <w:noWrap w:val="0"/>
            <w:vAlign w:val="center"/>
          </w:tcPr>
          <w:p w14:paraId="6D9DA10E">
            <w:pPr>
              <w:spacing w:line="360" w:lineRule="auto"/>
              <w:jc w:val="center"/>
              <w:rPr>
                <w:rFonts w:hint="eastAsia" w:ascii="宋体" w:hAnsi="宋体" w:eastAsia="宋体" w:cs="宋体"/>
                <w:color w:val="auto"/>
                <w:szCs w:val="21"/>
                <w:highlight w:val="none"/>
              </w:rPr>
            </w:pPr>
          </w:p>
        </w:tc>
        <w:tc>
          <w:tcPr>
            <w:tcW w:w="711" w:type="dxa"/>
            <w:noWrap w:val="0"/>
            <w:vAlign w:val="center"/>
          </w:tcPr>
          <w:p w14:paraId="1D179BAB">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p>
        </w:tc>
        <w:tc>
          <w:tcPr>
            <w:tcW w:w="1432" w:type="dxa"/>
            <w:noWrap w:val="0"/>
            <w:vAlign w:val="center"/>
          </w:tcPr>
          <w:p w14:paraId="1FDBD5AA">
            <w:pPr>
              <w:spacing w:line="360" w:lineRule="auto"/>
              <w:jc w:val="center"/>
              <w:rPr>
                <w:rFonts w:hint="eastAsia" w:ascii="宋体" w:hAnsi="宋体" w:eastAsia="宋体" w:cs="宋体"/>
                <w:color w:val="auto"/>
                <w:szCs w:val="21"/>
                <w:highlight w:val="none"/>
              </w:rPr>
            </w:pPr>
          </w:p>
        </w:tc>
      </w:tr>
      <w:tr w14:paraId="7D24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765" w:type="dxa"/>
            <w:noWrap w:val="0"/>
            <w:vAlign w:val="center"/>
          </w:tcPr>
          <w:p w14:paraId="0DBDA9DC">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负责人</w:t>
            </w:r>
          </w:p>
        </w:tc>
        <w:tc>
          <w:tcPr>
            <w:tcW w:w="1000" w:type="dxa"/>
            <w:noWrap w:val="0"/>
            <w:vAlign w:val="center"/>
          </w:tcPr>
          <w:p w14:paraId="4AAD5F47">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985" w:type="dxa"/>
            <w:noWrap w:val="0"/>
            <w:vAlign w:val="center"/>
          </w:tcPr>
          <w:p w14:paraId="724089E7">
            <w:pPr>
              <w:spacing w:line="360" w:lineRule="auto"/>
              <w:jc w:val="center"/>
              <w:rPr>
                <w:rFonts w:hint="eastAsia" w:ascii="宋体" w:hAnsi="宋体" w:eastAsia="宋体" w:cs="宋体"/>
                <w:color w:val="auto"/>
                <w:szCs w:val="21"/>
                <w:highlight w:val="none"/>
              </w:rPr>
            </w:pPr>
          </w:p>
        </w:tc>
        <w:tc>
          <w:tcPr>
            <w:tcW w:w="1309" w:type="dxa"/>
            <w:noWrap w:val="0"/>
            <w:vAlign w:val="center"/>
          </w:tcPr>
          <w:p w14:paraId="44228D98">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技术职称</w:t>
            </w:r>
          </w:p>
        </w:tc>
        <w:tc>
          <w:tcPr>
            <w:tcW w:w="1177" w:type="dxa"/>
            <w:noWrap w:val="0"/>
            <w:vAlign w:val="center"/>
          </w:tcPr>
          <w:p w14:paraId="2EF5A3DD">
            <w:pPr>
              <w:spacing w:line="360" w:lineRule="auto"/>
              <w:jc w:val="center"/>
              <w:rPr>
                <w:rFonts w:hint="eastAsia" w:ascii="宋体" w:hAnsi="宋体" w:eastAsia="宋体" w:cs="宋体"/>
                <w:color w:val="auto"/>
                <w:szCs w:val="21"/>
                <w:highlight w:val="none"/>
              </w:rPr>
            </w:pPr>
          </w:p>
        </w:tc>
        <w:tc>
          <w:tcPr>
            <w:tcW w:w="711" w:type="dxa"/>
            <w:noWrap w:val="0"/>
            <w:vAlign w:val="center"/>
          </w:tcPr>
          <w:p w14:paraId="36489129">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p>
        </w:tc>
        <w:tc>
          <w:tcPr>
            <w:tcW w:w="1432" w:type="dxa"/>
            <w:noWrap w:val="0"/>
            <w:vAlign w:val="center"/>
          </w:tcPr>
          <w:p w14:paraId="2DBF09D9">
            <w:pPr>
              <w:spacing w:line="360" w:lineRule="auto"/>
              <w:jc w:val="center"/>
              <w:rPr>
                <w:rFonts w:hint="eastAsia" w:ascii="宋体" w:hAnsi="宋体" w:eastAsia="宋体" w:cs="宋体"/>
                <w:color w:val="auto"/>
                <w:szCs w:val="21"/>
                <w:highlight w:val="none"/>
              </w:rPr>
            </w:pPr>
          </w:p>
        </w:tc>
      </w:tr>
      <w:tr w14:paraId="0627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765" w:type="dxa"/>
            <w:noWrap w:val="0"/>
            <w:vAlign w:val="center"/>
          </w:tcPr>
          <w:p w14:paraId="00B94EB0">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成立时间</w:t>
            </w:r>
          </w:p>
        </w:tc>
        <w:tc>
          <w:tcPr>
            <w:tcW w:w="1985" w:type="dxa"/>
            <w:gridSpan w:val="2"/>
            <w:noWrap w:val="0"/>
            <w:vAlign w:val="center"/>
          </w:tcPr>
          <w:p w14:paraId="72C727FC">
            <w:pPr>
              <w:spacing w:line="360" w:lineRule="auto"/>
              <w:jc w:val="center"/>
              <w:rPr>
                <w:rFonts w:hint="eastAsia" w:ascii="宋体" w:hAnsi="宋体" w:eastAsia="宋体" w:cs="宋体"/>
                <w:color w:val="auto"/>
                <w:szCs w:val="21"/>
                <w:highlight w:val="none"/>
              </w:rPr>
            </w:pPr>
          </w:p>
        </w:tc>
        <w:tc>
          <w:tcPr>
            <w:tcW w:w="4629" w:type="dxa"/>
            <w:gridSpan w:val="4"/>
            <w:noWrap w:val="0"/>
            <w:vAlign w:val="center"/>
          </w:tcPr>
          <w:p w14:paraId="60B163E1">
            <w:pPr>
              <w:spacing w:line="360" w:lineRule="auto"/>
              <w:ind w:left="0" w:leftChars="0" w:firstLine="0" w:firstLine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员工总人数：</w:t>
            </w:r>
          </w:p>
        </w:tc>
      </w:tr>
      <w:tr w14:paraId="107F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2765" w:type="dxa"/>
            <w:noWrap w:val="0"/>
            <w:vAlign w:val="center"/>
          </w:tcPr>
          <w:p w14:paraId="3D8B7861">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投标供应商须知要求投标供应商需具有的各类资质证书（若有）</w:t>
            </w:r>
          </w:p>
        </w:tc>
        <w:tc>
          <w:tcPr>
            <w:tcW w:w="6614" w:type="dxa"/>
            <w:gridSpan w:val="6"/>
            <w:noWrap w:val="0"/>
            <w:vAlign w:val="center"/>
          </w:tcPr>
          <w:p w14:paraId="31DAE388">
            <w:pPr>
              <w:spacing w:line="360" w:lineRule="auto"/>
              <w:jc w:val="center"/>
              <w:rPr>
                <w:rFonts w:hint="eastAsia" w:ascii="宋体" w:hAnsi="宋体" w:eastAsia="宋体" w:cs="宋体"/>
                <w:color w:val="auto"/>
                <w:szCs w:val="21"/>
                <w:highlight w:val="none"/>
              </w:rPr>
            </w:pPr>
          </w:p>
        </w:tc>
      </w:tr>
      <w:tr w14:paraId="4BF2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2765" w:type="dxa"/>
            <w:noWrap w:val="0"/>
            <w:vAlign w:val="center"/>
          </w:tcPr>
          <w:p w14:paraId="1197BE17">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基本账户</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银行账号</w:t>
            </w:r>
          </w:p>
        </w:tc>
        <w:tc>
          <w:tcPr>
            <w:tcW w:w="6614" w:type="dxa"/>
            <w:gridSpan w:val="6"/>
            <w:noWrap w:val="0"/>
            <w:vAlign w:val="center"/>
          </w:tcPr>
          <w:p w14:paraId="6423E042">
            <w:pPr>
              <w:spacing w:line="360" w:lineRule="auto"/>
              <w:jc w:val="center"/>
              <w:rPr>
                <w:rFonts w:hint="eastAsia" w:ascii="宋体" w:hAnsi="宋体" w:eastAsia="宋体" w:cs="宋体"/>
                <w:color w:val="auto"/>
                <w:szCs w:val="21"/>
                <w:highlight w:val="none"/>
              </w:rPr>
            </w:pPr>
          </w:p>
        </w:tc>
      </w:tr>
      <w:tr w14:paraId="7E6E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6" w:hRule="atLeast"/>
          <w:jc w:val="center"/>
        </w:trPr>
        <w:tc>
          <w:tcPr>
            <w:tcW w:w="2765" w:type="dxa"/>
            <w:noWrap w:val="0"/>
            <w:vAlign w:val="center"/>
          </w:tcPr>
          <w:p w14:paraId="2A391DF2">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投标供应商关联企业情况（包括但不限于与投标供应商法定代表人为同一人或者存在控股、管理关系的不同单位）</w:t>
            </w:r>
          </w:p>
        </w:tc>
        <w:tc>
          <w:tcPr>
            <w:tcW w:w="6614" w:type="dxa"/>
            <w:gridSpan w:val="6"/>
            <w:noWrap w:val="0"/>
            <w:vAlign w:val="center"/>
          </w:tcPr>
          <w:p w14:paraId="565BEB44">
            <w:pPr>
              <w:spacing w:line="360" w:lineRule="auto"/>
              <w:jc w:val="center"/>
              <w:rPr>
                <w:rFonts w:hint="eastAsia" w:ascii="宋体" w:hAnsi="宋体" w:eastAsia="宋体" w:cs="宋体"/>
                <w:color w:val="auto"/>
                <w:szCs w:val="21"/>
                <w:highlight w:val="none"/>
              </w:rPr>
            </w:pPr>
          </w:p>
        </w:tc>
      </w:tr>
      <w:tr w14:paraId="033E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765" w:type="dxa"/>
            <w:noWrap w:val="0"/>
            <w:vAlign w:val="center"/>
          </w:tcPr>
          <w:p w14:paraId="0AEECA95">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经营范围</w:t>
            </w:r>
          </w:p>
        </w:tc>
        <w:tc>
          <w:tcPr>
            <w:tcW w:w="6614" w:type="dxa"/>
            <w:gridSpan w:val="6"/>
            <w:noWrap w:val="0"/>
            <w:vAlign w:val="center"/>
          </w:tcPr>
          <w:p w14:paraId="2E524087">
            <w:pPr>
              <w:spacing w:line="360" w:lineRule="auto"/>
              <w:jc w:val="center"/>
              <w:rPr>
                <w:rFonts w:hint="eastAsia" w:ascii="宋体" w:hAnsi="宋体" w:eastAsia="宋体" w:cs="宋体"/>
                <w:color w:val="auto"/>
                <w:szCs w:val="21"/>
                <w:highlight w:val="none"/>
              </w:rPr>
            </w:pPr>
          </w:p>
        </w:tc>
      </w:tr>
      <w:tr w14:paraId="0982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2765" w:type="dxa"/>
            <w:noWrap w:val="0"/>
            <w:vAlign w:val="center"/>
          </w:tcPr>
          <w:p w14:paraId="182DDAD4">
            <w:pPr>
              <w:spacing w:line="360" w:lineRule="auto"/>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c>
          <w:tcPr>
            <w:tcW w:w="6614" w:type="dxa"/>
            <w:gridSpan w:val="6"/>
            <w:noWrap w:val="0"/>
            <w:vAlign w:val="center"/>
          </w:tcPr>
          <w:p w14:paraId="5BD12AE8">
            <w:pPr>
              <w:spacing w:line="360" w:lineRule="auto"/>
              <w:jc w:val="center"/>
              <w:rPr>
                <w:rFonts w:hint="eastAsia" w:ascii="宋体" w:hAnsi="宋体" w:eastAsia="宋体" w:cs="宋体"/>
                <w:color w:val="auto"/>
                <w:szCs w:val="21"/>
                <w:highlight w:val="none"/>
              </w:rPr>
            </w:pPr>
          </w:p>
        </w:tc>
      </w:tr>
    </w:tbl>
    <w:p w14:paraId="138CB407">
      <w:pPr>
        <w:pStyle w:val="3"/>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注：1.根据供应商须知第3.5项的要求在本表后附</w:t>
      </w:r>
      <w:r>
        <w:rPr>
          <w:rFonts w:hint="eastAsia" w:ascii="宋体" w:hAnsi="宋体" w:eastAsia="宋体" w:cs="宋体"/>
          <w:b/>
          <w:bCs/>
          <w:color w:val="auto"/>
          <w:sz w:val="21"/>
          <w:szCs w:val="21"/>
          <w:highlight w:val="none"/>
          <w:lang w:val="en-US" w:eastAsia="zh-CN"/>
        </w:rPr>
        <w:t>供应商信用承诺函</w:t>
      </w:r>
      <w:r>
        <w:rPr>
          <w:rFonts w:hint="eastAsia" w:ascii="宋体" w:hAnsi="宋体" w:eastAsia="宋体" w:cs="宋体"/>
          <w:color w:val="auto"/>
          <w:sz w:val="21"/>
          <w:szCs w:val="21"/>
          <w:highlight w:val="none"/>
          <w:lang w:val="en-US" w:eastAsia="zh-CN"/>
        </w:rPr>
        <w:t>。</w:t>
      </w:r>
    </w:p>
    <w:p w14:paraId="7C9C2E45">
      <w:pPr>
        <w:pStyle w:val="3"/>
        <w:spacing w:line="360" w:lineRule="auto"/>
        <w:ind w:firstLine="420" w:firstLineChars="200"/>
        <w:rPr>
          <w:rFonts w:hint="eastAsia" w:ascii="宋体" w:hAnsi="宋体" w:eastAsia="宋体" w:cs="宋体"/>
          <w:color w:val="auto"/>
          <w:sz w:val="21"/>
          <w:szCs w:val="21"/>
          <w:highlight w:val="none"/>
          <w:lang w:val="en-US" w:eastAsia="zh-CN"/>
        </w:rPr>
        <w:sectPr>
          <w:headerReference r:id="rId11" w:type="default"/>
          <w:footerReference r:id="rId12" w:type="default"/>
          <w:pgSz w:w="11911" w:h="16838"/>
          <w:pgMar w:top="1440" w:right="1800" w:bottom="1440" w:left="1800" w:header="850" w:footer="850" w:gutter="0"/>
          <w:pgBorders>
            <w:top w:val="none" w:sz="0" w:space="0"/>
            <w:left w:val="none" w:sz="0" w:space="0"/>
            <w:bottom w:val="none" w:sz="0" w:space="0"/>
            <w:right w:val="none" w:sz="0" w:space="0"/>
          </w:pgBorders>
          <w:pgNumType w:fmt="decimal"/>
          <w:cols w:space="0" w:num="1"/>
          <w:rtlGutter w:val="0"/>
          <w:docGrid w:linePitch="411" w:charSpace="0"/>
        </w:sectPr>
      </w:pPr>
      <w:bookmarkStart w:id="1091" w:name="_Toc456185720"/>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b/>
          <w:bCs/>
          <w:color w:val="auto"/>
          <w:sz w:val="21"/>
          <w:szCs w:val="21"/>
          <w:highlight w:val="none"/>
          <w:lang w:val="en-US" w:eastAsia="zh-CN"/>
        </w:rPr>
        <w:t xml:space="preserve">   2.本项目的特定资格要求（如有）：需提供相应的证明材料。</w:t>
      </w:r>
    </w:p>
    <w:p w14:paraId="1C763F6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附件：</w:t>
      </w:r>
    </w:p>
    <w:p w14:paraId="58914967">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信阳市政府采购供应商信用承诺函</w:t>
      </w:r>
    </w:p>
    <w:p w14:paraId="41114529">
      <w:pPr>
        <w:keepNext w:val="0"/>
        <w:keepLines w:val="0"/>
        <w:pageBreakBefore w:val="0"/>
        <w:widowControl/>
        <w:suppressLineNumbers w:val="0"/>
        <w:kinsoku/>
        <w:wordWrap/>
        <w:overflowPunct/>
        <w:topLinePunct w:val="0"/>
        <w:autoSpaceDE/>
        <w:autoSpaceDN/>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致：</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none"/>
          <w:lang w:val="en-US" w:eastAsia="zh-CN" w:bidi="ar"/>
        </w:rPr>
        <w:t xml:space="preserve">（采购人或采购代理机构）               </w:t>
      </w:r>
    </w:p>
    <w:p w14:paraId="58B2AE66">
      <w:pPr>
        <w:keepNext w:val="0"/>
        <w:keepLines w:val="0"/>
        <w:pageBreakBefore w:val="0"/>
        <w:widowControl/>
        <w:suppressLineNumbers w:val="0"/>
        <w:kinsoku/>
        <w:wordWrap/>
        <w:overflowPunct/>
        <w:topLinePunct w:val="0"/>
        <w:autoSpaceDE/>
        <w:autoSpaceDN/>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单位名称（自然人姓名）</w:t>
      </w:r>
      <w:r>
        <w:rPr>
          <w:rFonts w:hint="eastAsia" w:ascii="宋体" w:hAnsi="宋体" w:eastAsia="宋体" w:cs="宋体"/>
          <w:color w:val="auto"/>
          <w:kern w:val="0"/>
          <w:sz w:val="21"/>
          <w:szCs w:val="21"/>
          <w:highlight w:val="none"/>
          <w:u w:val="none"/>
          <w:lang w:val="en-US" w:eastAsia="zh-CN" w:bidi="ar"/>
        </w:rPr>
        <w:t>：</w:t>
      </w:r>
      <w:r>
        <w:rPr>
          <w:rFonts w:hint="eastAsia" w:ascii="宋体" w:hAnsi="宋体" w:eastAsia="宋体" w:cs="宋体"/>
          <w:color w:val="auto"/>
          <w:kern w:val="0"/>
          <w:sz w:val="21"/>
          <w:szCs w:val="21"/>
          <w:highlight w:val="none"/>
          <w:u w:val="single"/>
          <w:lang w:val="en-US" w:eastAsia="zh-CN" w:bidi="ar"/>
        </w:rPr>
        <w:t xml:space="preserve">                                   </w:t>
      </w:r>
    </w:p>
    <w:p w14:paraId="40C98D4C">
      <w:pPr>
        <w:keepNext w:val="0"/>
        <w:keepLines w:val="0"/>
        <w:pageBreakBefore w:val="0"/>
        <w:widowControl/>
        <w:suppressLineNumbers w:val="0"/>
        <w:kinsoku/>
        <w:wordWrap/>
        <w:overflowPunct/>
        <w:topLinePunct w:val="0"/>
        <w:autoSpaceDE/>
        <w:autoSpaceDN/>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统一社会信用代码（身份证号码）</w:t>
      </w:r>
      <w:r>
        <w:rPr>
          <w:rFonts w:hint="eastAsia" w:ascii="宋体" w:hAnsi="宋体" w:eastAsia="宋体" w:cs="宋体"/>
          <w:color w:val="auto"/>
          <w:kern w:val="0"/>
          <w:sz w:val="21"/>
          <w:szCs w:val="21"/>
          <w:highlight w:val="none"/>
          <w:u w:val="none"/>
          <w:lang w:val="en-US" w:eastAsia="zh-CN" w:bidi="ar"/>
        </w:rPr>
        <w:t>：</w:t>
      </w:r>
      <w:r>
        <w:rPr>
          <w:rFonts w:hint="eastAsia" w:ascii="宋体" w:hAnsi="宋体" w:eastAsia="宋体" w:cs="宋体"/>
          <w:color w:val="auto"/>
          <w:kern w:val="0"/>
          <w:sz w:val="21"/>
          <w:szCs w:val="21"/>
          <w:highlight w:val="none"/>
          <w:u w:val="single"/>
          <w:lang w:val="en-US" w:eastAsia="zh-CN" w:bidi="ar"/>
        </w:rPr>
        <w:t xml:space="preserve">                           </w:t>
      </w:r>
    </w:p>
    <w:p w14:paraId="57659795">
      <w:pPr>
        <w:keepNext w:val="0"/>
        <w:keepLines w:val="0"/>
        <w:pageBreakBefore w:val="0"/>
        <w:widowControl/>
        <w:suppressLineNumbers w:val="0"/>
        <w:kinsoku/>
        <w:wordWrap/>
        <w:overflowPunct/>
        <w:topLinePunct w:val="0"/>
        <w:autoSpaceDE/>
        <w:autoSpaceDN/>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法定代表人（负责人）</w:t>
      </w:r>
      <w:r>
        <w:rPr>
          <w:rFonts w:hint="eastAsia" w:ascii="宋体" w:hAnsi="宋体" w:eastAsia="宋体" w:cs="宋体"/>
          <w:color w:val="auto"/>
          <w:kern w:val="0"/>
          <w:sz w:val="21"/>
          <w:szCs w:val="21"/>
          <w:highlight w:val="none"/>
          <w:u w:val="none"/>
          <w:lang w:val="en-US" w:eastAsia="zh-CN" w:bidi="ar"/>
        </w:rPr>
        <w:t>：</w:t>
      </w:r>
      <w:r>
        <w:rPr>
          <w:rFonts w:hint="eastAsia" w:ascii="宋体" w:hAnsi="宋体" w:eastAsia="宋体" w:cs="宋体"/>
          <w:color w:val="auto"/>
          <w:kern w:val="0"/>
          <w:sz w:val="21"/>
          <w:szCs w:val="21"/>
          <w:highlight w:val="none"/>
          <w:u w:val="single"/>
          <w:lang w:val="en-US" w:eastAsia="zh-CN" w:bidi="ar"/>
        </w:rPr>
        <w:t xml:space="preserve">                                     </w:t>
      </w:r>
    </w:p>
    <w:p w14:paraId="3B84BB3F">
      <w:pPr>
        <w:keepNext w:val="0"/>
        <w:keepLines w:val="0"/>
        <w:pageBreakBefore w:val="0"/>
        <w:widowControl/>
        <w:suppressLineNumbers w:val="0"/>
        <w:kinsoku/>
        <w:wordWrap/>
        <w:overflowPunct/>
        <w:topLinePunct w:val="0"/>
        <w:autoSpaceDE/>
        <w:autoSpaceDN/>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lang w:val="en-US" w:eastAsia="zh-CN" w:bidi="ar"/>
        </w:rPr>
        <w:t>联系地址和电话</w:t>
      </w:r>
      <w:r>
        <w:rPr>
          <w:rFonts w:hint="eastAsia" w:ascii="宋体" w:hAnsi="宋体" w:eastAsia="宋体" w:cs="宋体"/>
          <w:color w:val="auto"/>
          <w:kern w:val="0"/>
          <w:sz w:val="21"/>
          <w:szCs w:val="21"/>
          <w:highlight w:val="none"/>
          <w:u w:val="none"/>
          <w:lang w:val="en-US" w:eastAsia="zh-CN" w:bidi="ar"/>
        </w:rPr>
        <w:t>：</w:t>
      </w:r>
      <w:r>
        <w:rPr>
          <w:rFonts w:hint="eastAsia" w:ascii="宋体" w:hAnsi="宋体" w:eastAsia="宋体" w:cs="宋体"/>
          <w:color w:val="auto"/>
          <w:kern w:val="0"/>
          <w:sz w:val="21"/>
          <w:szCs w:val="21"/>
          <w:highlight w:val="none"/>
          <w:u w:val="single"/>
          <w:lang w:val="en-US" w:eastAsia="zh-CN" w:bidi="ar"/>
        </w:rPr>
        <w:t xml:space="preserve">                                           </w:t>
      </w:r>
    </w:p>
    <w:p w14:paraId="59BD915E">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为维护公平、公正、公开的政府采购市场秩序，树立诚实守信的政府采购供应商形象，我单位（本人）自愿作出以下承诺：</w:t>
      </w:r>
    </w:p>
    <w:p w14:paraId="7921BCA8">
      <w:pPr>
        <w:keepNext w:val="0"/>
        <w:keepLines w:val="0"/>
        <w:pageBreakBefore w:val="0"/>
        <w:widowControl/>
        <w:numPr>
          <w:ilvl w:val="0"/>
          <w:numId w:val="10"/>
        </w:numPr>
        <w:suppressLineNumbers w:val="0"/>
        <w:kinsoku/>
        <w:wordWrap/>
        <w:overflowPunct/>
        <w:topLinePunct w:val="0"/>
        <w:autoSpaceDE/>
        <w:autoSpaceDN/>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4BCFED7B">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具有独立承担民事责任的能力；</w:t>
      </w:r>
    </w:p>
    <w:p w14:paraId="245DC706">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具有良好的商业信誉和健全的财务会计制度； </w:t>
      </w:r>
    </w:p>
    <w:p w14:paraId="643E6228">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具有履行合同所必需的设备和专业技术能力；</w:t>
      </w:r>
    </w:p>
    <w:p w14:paraId="3AC83F21">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有依法缴纳税收和社会保障资金的良好记录； </w:t>
      </w:r>
    </w:p>
    <w:p w14:paraId="18BA8A67">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参加政府采购活动前三年内，在经营活动中没有重大违法记录； </w:t>
      </w:r>
    </w:p>
    <w:p w14:paraId="0C892510">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未被列入经营异常名录或者严重违法失信名单、失信被执行人、税收违法黑名单、政府采购严重违法失信行为记录名单；</w:t>
      </w:r>
    </w:p>
    <w:p w14:paraId="31EEF338">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未被相关监管部门作出行政处罚且尚在处罚有效期内； </w:t>
      </w:r>
    </w:p>
    <w:p w14:paraId="77094426">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未曾做出虚假采购承诺； </w:t>
      </w:r>
    </w:p>
    <w:p w14:paraId="6F09AEA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（九）符合法律、行政法规规定的其他条件。</w:t>
      </w:r>
    </w:p>
    <w:p w14:paraId="2950595D">
      <w:pPr>
        <w:keepNext w:val="0"/>
        <w:keepLines w:val="0"/>
        <w:pageBreakBefore w:val="0"/>
        <w:widowControl/>
        <w:numPr>
          <w:ilvl w:val="0"/>
          <w:numId w:val="10"/>
        </w:numPr>
        <w:suppressLineNumbers w:val="0"/>
        <w:kinsoku/>
        <w:wordWrap/>
        <w:overflowPunct/>
        <w:topLinePunct w:val="0"/>
        <w:autoSpaceDE/>
        <w:autoSpaceDN/>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 </w:t>
      </w:r>
    </w:p>
    <w:p w14:paraId="6E0070D3">
      <w:pPr>
        <w:pStyle w:val="15"/>
        <w:keepNext w:val="0"/>
        <w:keepLines w:val="0"/>
        <w:pageBreakBefore w:val="0"/>
        <w:kinsoku/>
        <w:wordWrap/>
        <w:overflowPunct/>
        <w:topLinePunct w:val="0"/>
        <w:autoSpaceDE/>
        <w:autoSpaceDN/>
        <w:bidi w:val="0"/>
        <w:adjustRightInd/>
        <w:snapToGrid/>
        <w:spacing w:line="360" w:lineRule="exact"/>
        <w:ind w:left="1" w:leftChars="0" w:firstLine="420" w:firstLineChars="200"/>
        <w:textAlignment w:val="auto"/>
        <w:rPr>
          <w:rFonts w:hint="eastAsia" w:ascii="宋体" w:hAnsi="宋体" w:eastAsia="宋体" w:cs="宋体"/>
          <w:color w:val="auto"/>
          <w:szCs w:val="21"/>
          <w:highlight w:val="none"/>
        </w:rPr>
      </w:pPr>
    </w:p>
    <w:p w14:paraId="7B8F8DC2">
      <w:pPr>
        <w:pStyle w:val="15"/>
        <w:keepNext w:val="0"/>
        <w:keepLines w:val="0"/>
        <w:pageBreakBefore w:val="0"/>
        <w:kinsoku/>
        <w:wordWrap/>
        <w:overflowPunct/>
        <w:topLinePunct w:val="0"/>
        <w:autoSpaceDE/>
        <w:autoSpaceDN/>
        <w:bidi w:val="0"/>
        <w:adjustRightInd/>
        <w:snapToGrid/>
        <w:spacing w:line="360" w:lineRule="exact"/>
        <w:ind w:left="1"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（单位电子签章）</w:t>
      </w:r>
    </w:p>
    <w:p w14:paraId="7924CFF2">
      <w:pPr>
        <w:pStyle w:val="15"/>
        <w:keepNext w:val="0"/>
        <w:keepLines w:val="0"/>
        <w:pageBreakBefore w:val="0"/>
        <w:kinsoku/>
        <w:wordWrap/>
        <w:overflowPunct/>
        <w:topLinePunct w:val="0"/>
        <w:autoSpaceDE/>
        <w:autoSpaceDN/>
        <w:bidi w:val="0"/>
        <w:adjustRightInd/>
        <w:snapToGrid/>
        <w:spacing w:line="360" w:lineRule="exact"/>
        <w:ind w:left="1"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lang w:val="en-US" w:eastAsia="zh-CN"/>
        </w:rPr>
        <w:t>或</w:t>
      </w:r>
      <w:r>
        <w:rPr>
          <w:rFonts w:hint="eastAsia" w:ascii="宋体" w:hAnsi="宋体" w:eastAsia="宋体" w:cs="宋体"/>
          <w:color w:val="auto"/>
          <w:szCs w:val="21"/>
          <w:highlight w:val="none"/>
        </w:rPr>
        <w:t>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（电子签名或盖章）</w:t>
      </w:r>
    </w:p>
    <w:p w14:paraId="1E54A6CE">
      <w:pPr>
        <w:pStyle w:val="15"/>
        <w:keepNext w:val="0"/>
        <w:keepLines w:val="0"/>
        <w:pageBreakBefore w:val="0"/>
        <w:kinsoku/>
        <w:wordWrap/>
        <w:overflowPunct/>
        <w:topLinePunct w:val="0"/>
        <w:autoSpaceDE/>
        <w:autoSpaceDN/>
        <w:bidi w:val="0"/>
        <w:adjustRightInd/>
        <w:snapToGrid/>
        <w:spacing w:line="360" w:lineRule="exact"/>
        <w:ind w:left="1"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44DD92C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 注：1、供应商须在响应文件中按此模板提供承诺函，未提供视为未实质性响应招标文件要求，按无效投标处理。</w:t>
      </w:r>
    </w:p>
    <w:p w14:paraId="727C8E6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color w:val="auto"/>
          <w:szCs w:val="21"/>
          <w:highlight w:val="none"/>
        </w:rPr>
      </w:pPr>
      <w:r>
        <w:rPr>
          <w:rFonts w:hint="eastAsia" w:ascii="宋体" w:hAnsi="宋体" w:eastAsia="宋体" w:cs="宋体"/>
          <w:color w:val="auto"/>
          <w:kern w:val="0"/>
          <w:sz w:val="21"/>
          <w:szCs w:val="21"/>
          <w:highlight w:val="none"/>
          <w:lang w:val="en-US" w:eastAsia="zh-CN" w:bidi="ar"/>
        </w:rPr>
        <w:t>2、供应商的法定代表人或者授权代表的签字或盖章应真实、有效，如由授权代表签字或盖章的，应提供“法定代表人授权书”。</w:t>
      </w:r>
    </w:p>
    <w:bookmarkEnd w:id="1091"/>
    <w:p w14:paraId="1729677A">
      <w:pPr>
        <w:pStyle w:val="6"/>
        <w:keepNext/>
        <w:keepLines w:val="0"/>
        <w:pageBreakBefore w:val="0"/>
        <w:widowControl w:val="0"/>
        <w:numPr>
          <w:ilvl w:val="0"/>
          <w:numId w:val="0"/>
        </w:numPr>
        <w:kinsoku/>
        <w:wordWrap/>
        <w:overflowPunct/>
        <w:topLinePunct w:val="0"/>
        <w:autoSpaceDE/>
        <w:autoSpaceDN/>
        <w:bidi w:val="0"/>
        <w:adjustRightInd/>
        <w:snapToGrid/>
        <w:jc w:val="center"/>
        <w:textAlignment w:val="auto"/>
        <w:outlineLvl w:val="1"/>
        <w:rPr>
          <w:rFonts w:hint="eastAsia" w:ascii="宋体" w:hAnsi="宋体" w:eastAsia="宋体" w:cs="宋体"/>
          <w:b/>
          <w:bCs/>
          <w:color w:val="auto"/>
          <w:kern w:val="2"/>
          <w:sz w:val="28"/>
          <w:szCs w:val="28"/>
          <w:highlight w:val="none"/>
          <w:lang w:val="en-US" w:eastAsia="zh-CN" w:bidi="ar-SA"/>
        </w:rPr>
      </w:pPr>
      <w:bookmarkStart w:id="1092" w:name="_Toc32413"/>
      <w:bookmarkStart w:id="1093" w:name="_Toc2173"/>
      <w:r>
        <w:rPr>
          <w:rFonts w:hint="eastAsia" w:eastAsia="宋体" w:cs="宋体"/>
          <w:b/>
          <w:bCs/>
          <w:color w:val="auto"/>
          <w:kern w:val="2"/>
          <w:sz w:val="28"/>
          <w:szCs w:val="28"/>
          <w:highlight w:val="none"/>
          <w:lang w:val="en-US" w:eastAsia="zh-CN" w:bidi="ar-SA"/>
        </w:rPr>
        <w:t>七</w:t>
      </w:r>
      <w:r>
        <w:rPr>
          <w:rFonts w:hint="eastAsia" w:ascii="宋体" w:hAnsi="宋体" w:eastAsia="宋体" w:cs="宋体"/>
          <w:b/>
          <w:bCs/>
          <w:color w:val="auto"/>
          <w:kern w:val="2"/>
          <w:sz w:val="28"/>
          <w:szCs w:val="28"/>
          <w:highlight w:val="none"/>
          <w:lang w:val="en-US" w:eastAsia="zh-CN" w:bidi="ar-SA"/>
        </w:rPr>
        <w:t>、反商业贿赂承诺书</w:t>
      </w:r>
      <w:bookmarkEnd w:id="1092"/>
      <w:bookmarkEnd w:id="1093"/>
    </w:p>
    <w:p w14:paraId="70E016AB">
      <w:pPr>
        <w:pStyle w:val="2"/>
        <w:bidi w:val="0"/>
        <w:ind w:firstLine="210"/>
        <w:rPr>
          <w:rFonts w:hint="eastAsia" w:ascii="宋体" w:hAnsi="宋体" w:eastAsia="宋体" w:cs="宋体"/>
          <w:color w:val="auto"/>
          <w:sz w:val="21"/>
          <w:szCs w:val="21"/>
          <w:highlight w:val="none"/>
        </w:rPr>
      </w:pPr>
    </w:p>
    <w:p w14:paraId="1172871A">
      <w:pPr>
        <w:autoSpaceDE w:val="0"/>
        <w:autoSpaceDN w:val="0"/>
        <w:bidi w:val="0"/>
        <w:adjustRightInd w:val="0"/>
        <w:spacing w:line="360" w:lineRule="auto"/>
        <w:ind w:firstLine="630" w:firstLineChars="300"/>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我方承诺：</w:t>
      </w:r>
    </w:p>
    <w:p w14:paraId="0E1EBFE4">
      <w:pPr>
        <w:autoSpaceDE w:val="0"/>
        <w:autoSpaceDN w:val="0"/>
        <w:bidi w:val="0"/>
        <w:adjustRightInd w:val="0"/>
        <w:spacing w:line="360" w:lineRule="auto"/>
        <w:ind w:firstLine="630" w:firstLineChars="300"/>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zh-CN"/>
        </w:rPr>
        <w:t>（</w:t>
      </w:r>
      <w:r>
        <w:rPr>
          <w:rFonts w:hint="eastAsia" w:ascii="宋体" w:hAnsi="宋体" w:eastAsia="宋体" w:cs="宋体"/>
          <w:color w:val="auto"/>
          <w:szCs w:val="21"/>
          <w:highlight w:val="none"/>
        </w:rPr>
        <w:t>项目名称</w:t>
      </w:r>
      <w:r>
        <w:rPr>
          <w:rFonts w:hint="eastAsia" w:ascii="宋体" w:hAnsi="宋体" w:eastAsia="宋体" w:cs="宋体"/>
          <w:color w:val="auto"/>
          <w:szCs w:val="21"/>
          <w:highlight w:val="none"/>
          <w:lang w:val="en-US" w:eastAsia="zh-CN"/>
        </w:rPr>
        <w:t>+包号</w:t>
      </w:r>
      <w:r>
        <w:rPr>
          <w:rFonts w:hint="eastAsia" w:ascii="宋体" w:hAnsi="宋体" w:eastAsia="宋体" w:cs="宋体"/>
          <w:color w:val="auto"/>
          <w:sz w:val="21"/>
          <w:szCs w:val="21"/>
          <w:highlight w:val="none"/>
          <w:u w:val="single"/>
          <w:lang w:val="zh-CN"/>
        </w:rPr>
        <w:t>）</w:t>
      </w:r>
      <w:r>
        <w:rPr>
          <w:rFonts w:hint="eastAsia" w:ascii="宋体" w:hAnsi="宋体" w:eastAsia="宋体" w:cs="宋体"/>
          <w:color w:val="auto"/>
          <w:sz w:val="21"/>
          <w:szCs w:val="21"/>
          <w:highlight w:val="none"/>
          <w:lang w:val="zh-CN"/>
        </w:rPr>
        <w:t>投标活动中，我方保证做到：</w:t>
      </w:r>
    </w:p>
    <w:p w14:paraId="20D3E15B">
      <w:pPr>
        <w:autoSpaceDE w:val="0"/>
        <w:autoSpaceDN w:val="0"/>
        <w:bidi w:val="0"/>
        <w:adjustRightInd w:val="0"/>
        <w:spacing w:line="360" w:lineRule="auto"/>
        <w:ind w:firstLine="630" w:firstLineChars="300"/>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一、公平竞争参加本次公开采购活动。</w:t>
      </w:r>
    </w:p>
    <w:p w14:paraId="7BF17D0A">
      <w:pPr>
        <w:autoSpaceDE w:val="0"/>
        <w:autoSpaceDN w:val="0"/>
        <w:bidi w:val="0"/>
        <w:adjustRightInd w:val="0"/>
        <w:spacing w:line="360" w:lineRule="auto"/>
        <w:ind w:firstLine="630" w:firstLineChars="300"/>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5CF6F579">
      <w:pPr>
        <w:autoSpaceDE w:val="0"/>
        <w:autoSpaceDN w:val="0"/>
        <w:bidi w:val="0"/>
        <w:adjustRightInd w:val="0"/>
        <w:spacing w:line="360" w:lineRule="auto"/>
        <w:ind w:firstLine="630" w:firstLineChars="300"/>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三、若出现上述行为，我方及参与投标的工作人员愿意接受按照国家法律法规等有关规定给予的处罚。</w:t>
      </w:r>
    </w:p>
    <w:p w14:paraId="49FF2AA4">
      <w:pPr>
        <w:keepNext w:val="0"/>
        <w:keepLines w:val="0"/>
        <w:pageBreakBefore w:val="0"/>
        <w:widowControl w:val="0"/>
        <w:kinsoku/>
        <w:wordWrap/>
        <w:overflowPunct/>
        <w:topLinePunct w:val="0"/>
        <w:autoSpaceDE/>
        <w:autoSpaceDN/>
        <w:bidi w:val="0"/>
        <w:adjustRightInd/>
        <w:snapToGrid/>
        <w:spacing w:line="360" w:lineRule="auto"/>
        <w:ind w:left="646"/>
        <w:textAlignment w:val="auto"/>
        <w:outlineLvl w:val="9"/>
        <w:rPr>
          <w:rFonts w:hint="eastAsia" w:ascii="宋体" w:hAnsi="宋体" w:eastAsia="宋体" w:cs="宋体"/>
          <w:color w:val="auto"/>
          <w:sz w:val="21"/>
          <w:szCs w:val="21"/>
          <w:highlight w:val="none"/>
        </w:rPr>
      </w:pPr>
    </w:p>
    <w:p w14:paraId="59013460">
      <w:pPr>
        <w:keepNext w:val="0"/>
        <w:keepLines w:val="0"/>
        <w:pageBreakBefore w:val="0"/>
        <w:widowControl w:val="0"/>
        <w:kinsoku/>
        <w:wordWrap/>
        <w:overflowPunct/>
        <w:topLinePunct w:val="0"/>
        <w:autoSpaceDE/>
        <w:autoSpaceDN/>
        <w:bidi w:val="0"/>
        <w:adjustRightInd/>
        <w:snapToGrid/>
        <w:spacing w:line="360" w:lineRule="auto"/>
        <w:ind w:left="646"/>
        <w:textAlignment w:val="auto"/>
        <w:outlineLvl w:val="9"/>
        <w:rPr>
          <w:rFonts w:hint="eastAsia" w:ascii="宋体" w:hAnsi="宋体" w:eastAsia="宋体" w:cs="宋体"/>
          <w:color w:val="auto"/>
          <w:sz w:val="21"/>
          <w:szCs w:val="21"/>
          <w:highlight w:val="none"/>
        </w:rPr>
      </w:pPr>
    </w:p>
    <w:p w14:paraId="46D4B136">
      <w:pPr>
        <w:keepNext w:val="0"/>
        <w:keepLines w:val="0"/>
        <w:pageBreakBefore w:val="0"/>
        <w:widowControl w:val="0"/>
        <w:kinsoku/>
        <w:wordWrap/>
        <w:overflowPunct/>
        <w:topLinePunct w:val="0"/>
        <w:autoSpaceDE/>
        <w:autoSpaceDN/>
        <w:bidi w:val="0"/>
        <w:adjustRightInd/>
        <w:snapToGrid/>
        <w:spacing w:line="360" w:lineRule="auto"/>
        <w:ind w:left="646"/>
        <w:textAlignment w:val="auto"/>
        <w:outlineLvl w:val="9"/>
        <w:rPr>
          <w:rFonts w:hint="eastAsia" w:ascii="宋体" w:hAnsi="宋体" w:eastAsia="宋体" w:cs="宋体"/>
          <w:color w:val="auto"/>
          <w:sz w:val="21"/>
          <w:szCs w:val="21"/>
          <w:highlight w:val="none"/>
        </w:rPr>
      </w:pPr>
    </w:p>
    <w:p w14:paraId="33C4C151">
      <w:pPr>
        <w:keepNext w:val="0"/>
        <w:keepLines w:val="0"/>
        <w:pageBreakBefore w:val="0"/>
        <w:widowControl w:val="0"/>
        <w:kinsoku/>
        <w:wordWrap/>
        <w:overflowPunct/>
        <w:topLinePunct w:val="0"/>
        <w:autoSpaceDE/>
        <w:autoSpaceDN/>
        <w:bidi w:val="0"/>
        <w:adjustRightInd/>
        <w:snapToGrid/>
        <w:spacing w:line="360" w:lineRule="auto"/>
        <w:ind w:left="646"/>
        <w:textAlignment w:val="auto"/>
        <w:outlineLvl w:val="9"/>
        <w:rPr>
          <w:rFonts w:hint="eastAsia" w:ascii="宋体" w:hAnsi="宋体" w:eastAsia="宋体" w:cs="宋体"/>
          <w:color w:val="auto"/>
          <w:sz w:val="21"/>
          <w:szCs w:val="21"/>
          <w:highlight w:val="none"/>
        </w:rPr>
      </w:pPr>
    </w:p>
    <w:p w14:paraId="44D1F794">
      <w:pPr>
        <w:keepNext w:val="0"/>
        <w:keepLines w:val="0"/>
        <w:pageBreakBefore w:val="0"/>
        <w:widowControl w:val="0"/>
        <w:kinsoku/>
        <w:wordWrap/>
        <w:overflowPunct/>
        <w:topLinePunct w:val="0"/>
        <w:autoSpaceDE/>
        <w:autoSpaceDN/>
        <w:bidi w:val="0"/>
        <w:adjustRightInd/>
        <w:snapToGrid/>
        <w:spacing w:line="360" w:lineRule="auto"/>
        <w:ind w:left="646"/>
        <w:textAlignment w:val="auto"/>
        <w:outlineLvl w:val="9"/>
        <w:rPr>
          <w:rFonts w:hint="eastAsia" w:ascii="宋体" w:hAnsi="宋体" w:eastAsia="宋体" w:cs="宋体"/>
          <w:color w:val="auto"/>
          <w:sz w:val="21"/>
          <w:szCs w:val="21"/>
          <w:highlight w:val="none"/>
        </w:rPr>
      </w:pPr>
    </w:p>
    <w:p w14:paraId="36299A19">
      <w:pPr>
        <w:keepNext w:val="0"/>
        <w:keepLines w:val="0"/>
        <w:pageBreakBefore w:val="0"/>
        <w:widowControl w:val="0"/>
        <w:kinsoku/>
        <w:wordWrap/>
        <w:overflowPunct/>
        <w:topLinePunct w:val="0"/>
        <w:autoSpaceDE/>
        <w:autoSpaceDN/>
        <w:bidi w:val="0"/>
        <w:adjustRightInd/>
        <w:snapToGrid/>
        <w:spacing w:line="360" w:lineRule="auto"/>
        <w:ind w:left="645"/>
        <w:textAlignment w:val="auto"/>
        <w:outlineLvl w:val="9"/>
        <w:rPr>
          <w:rFonts w:hint="eastAsia" w:ascii="宋体" w:hAnsi="宋体" w:eastAsia="宋体" w:cs="宋体"/>
          <w:color w:val="auto"/>
          <w:sz w:val="21"/>
          <w:szCs w:val="21"/>
          <w:highlight w:val="none"/>
        </w:rPr>
      </w:pPr>
      <w:bookmarkStart w:id="1094" w:name="_Toc19650"/>
      <w:bookmarkStart w:id="1095" w:name="_Toc6811"/>
      <w:r>
        <w:rPr>
          <w:rFonts w:hint="eastAsia" w:ascii="宋体" w:hAnsi="宋体" w:eastAsia="宋体" w:cs="宋体"/>
          <w:color w:val="auto"/>
          <w:sz w:val="21"/>
          <w:szCs w:val="21"/>
          <w:highlight w:val="none"/>
        </w:rPr>
        <w:t>供应商（单位电子签章）：</w:t>
      </w:r>
      <w:bookmarkEnd w:id="1094"/>
      <w:bookmarkEnd w:id="1095"/>
      <w:r>
        <w:rPr>
          <w:rFonts w:hint="eastAsia" w:ascii="宋体" w:hAnsi="宋体" w:eastAsia="宋体" w:cs="宋体"/>
          <w:color w:val="auto"/>
          <w:sz w:val="21"/>
          <w:szCs w:val="21"/>
          <w:highlight w:val="none"/>
        </w:rPr>
        <w:t>　</w:t>
      </w:r>
    </w:p>
    <w:p w14:paraId="4ABEA151">
      <w:pPr>
        <w:keepNext w:val="0"/>
        <w:keepLines w:val="0"/>
        <w:pageBreakBefore w:val="0"/>
        <w:widowControl w:val="0"/>
        <w:kinsoku/>
        <w:wordWrap/>
        <w:overflowPunct/>
        <w:topLinePunct w:val="0"/>
        <w:autoSpaceDE/>
        <w:autoSpaceDN/>
        <w:bidi w:val="0"/>
        <w:adjustRightInd/>
        <w:snapToGrid/>
        <w:spacing w:line="360" w:lineRule="auto"/>
        <w:ind w:left="646"/>
        <w:textAlignment w:val="auto"/>
        <w:outlineLvl w:val="9"/>
        <w:rPr>
          <w:rFonts w:hint="eastAsia" w:ascii="宋体" w:hAnsi="宋体" w:eastAsia="宋体" w:cs="宋体"/>
          <w:color w:val="auto"/>
          <w:sz w:val="21"/>
          <w:szCs w:val="21"/>
          <w:highlight w:val="none"/>
        </w:rPr>
      </w:pPr>
    </w:p>
    <w:p w14:paraId="13CA4764">
      <w:pPr>
        <w:keepNext w:val="0"/>
        <w:keepLines w:val="0"/>
        <w:pageBreakBefore w:val="0"/>
        <w:widowControl w:val="0"/>
        <w:kinsoku/>
        <w:wordWrap/>
        <w:overflowPunct/>
        <w:topLinePunct w:val="0"/>
        <w:autoSpaceDE/>
        <w:autoSpaceDN/>
        <w:bidi w:val="0"/>
        <w:adjustRightInd/>
        <w:snapToGrid/>
        <w:spacing w:line="360" w:lineRule="auto"/>
        <w:ind w:left="645"/>
        <w:textAlignment w:val="auto"/>
        <w:outlineLvl w:val="9"/>
        <w:rPr>
          <w:rFonts w:hint="eastAsia" w:ascii="宋体" w:hAnsi="宋体" w:eastAsia="宋体" w:cs="宋体"/>
          <w:color w:val="auto"/>
          <w:sz w:val="21"/>
          <w:szCs w:val="21"/>
          <w:highlight w:val="none"/>
        </w:rPr>
      </w:pPr>
      <w:bookmarkStart w:id="1096" w:name="_Toc24729"/>
      <w:bookmarkStart w:id="1097" w:name="_Toc22031"/>
      <w:r>
        <w:rPr>
          <w:rFonts w:hint="eastAsia" w:ascii="宋体" w:hAnsi="宋体" w:eastAsia="宋体" w:cs="宋体"/>
          <w:color w:val="auto"/>
          <w:sz w:val="21"/>
          <w:szCs w:val="21"/>
          <w:highlight w:val="none"/>
          <w:lang w:eastAsia="zh-CN"/>
        </w:rPr>
        <w:t>法定代表人</w:t>
      </w:r>
      <w:r>
        <w:rPr>
          <w:rFonts w:hint="eastAsia" w:ascii="宋体" w:hAnsi="宋体" w:eastAsia="宋体" w:cs="宋体"/>
          <w:color w:val="auto"/>
          <w:sz w:val="21"/>
          <w:szCs w:val="21"/>
          <w:highlight w:val="none"/>
        </w:rPr>
        <w:t>或授权代表（电子签名或盖章）：</w:t>
      </w:r>
      <w:bookmarkEnd w:id="1096"/>
      <w:bookmarkEnd w:id="1097"/>
    </w:p>
    <w:p w14:paraId="7080A695">
      <w:pPr>
        <w:keepNext w:val="0"/>
        <w:keepLines w:val="0"/>
        <w:pageBreakBefore w:val="0"/>
        <w:widowControl w:val="0"/>
        <w:kinsoku/>
        <w:wordWrap/>
        <w:overflowPunct/>
        <w:topLinePunct w:val="0"/>
        <w:autoSpaceDE/>
        <w:autoSpaceDN/>
        <w:bidi w:val="0"/>
        <w:adjustRightInd/>
        <w:snapToGrid/>
        <w:spacing w:line="360" w:lineRule="auto"/>
        <w:ind w:left="646"/>
        <w:textAlignment w:val="auto"/>
        <w:outlineLvl w:val="9"/>
        <w:rPr>
          <w:rFonts w:hint="eastAsia" w:ascii="宋体" w:hAnsi="宋体" w:eastAsia="宋体" w:cs="宋体"/>
          <w:color w:val="auto"/>
          <w:sz w:val="21"/>
          <w:szCs w:val="21"/>
          <w:highlight w:val="none"/>
        </w:rPr>
      </w:pPr>
    </w:p>
    <w:p w14:paraId="2DAD6CBA">
      <w:pPr>
        <w:keepNext w:val="0"/>
        <w:keepLines w:val="0"/>
        <w:pageBreakBefore w:val="0"/>
        <w:widowControl w:val="0"/>
        <w:kinsoku/>
        <w:wordWrap/>
        <w:overflowPunct/>
        <w:topLinePunct w:val="0"/>
        <w:autoSpaceDE/>
        <w:autoSpaceDN/>
        <w:bidi w:val="0"/>
        <w:adjustRightInd/>
        <w:snapToGrid/>
        <w:spacing w:line="360" w:lineRule="auto"/>
        <w:ind w:left="645"/>
        <w:textAlignment w:val="auto"/>
        <w:outlineLvl w:val="9"/>
        <w:rPr>
          <w:rFonts w:hint="eastAsia" w:ascii="宋体" w:hAnsi="宋体" w:eastAsia="宋体" w:cs="宋体"/>
          <w:color w:val="auto"/>
          <w:sz w:val="21"/>
          <w:szCs w:val="21"/>
          <w:highlight w:val="none"/>
        </w:rPr>
      </w:pPr>
      <w:bookmarkStart w:id="1098" w:name="_Toc12807"/>
      <w:bookmarkStart w:id="1099" w:name="_Toc27703"/>
      <w:bookmarkStart w:id="1100" w:name="_Toc3571"/>
      <w:r>
        <w:rPr>
          <w:rFonts w:hint="eastAsia" w:ascii="宋体" w:hAnsi="宋体" w:eastAsia="宋体" w:cs="宋体"/>
          <w:color w:val="auto"/>
          <w:sz w:val="21"/>
          <w:szCs w:val="21"/>
          <w:highlight w:val="none"/>
        </w:rPr>
        <w:t>日期：    年　　月　　日</w:t>
      </w:r>
      <w:bookmarkEnd w:id="1098"/>
      <w:bookmarkEnd w:id="1099"/>
      <w:bookmarkEnd w:id="1100"/>
    </w:p>
    <w:p w14:paraId="513747D7">
      <w:pPr>
        <w:spacing w:line="600" w:lineRule="exact"/>
        <w:rPr>
          <w:rFonts w:hint="eastAsia" w:ascii="宋体" w:hAnsi="宋体" w:eastAsia="宋体" w:cs="宋体"/>
          <w:color w:val="auto"/>
          <w:szCs w:val="21"/>
          <w:highlight w:val="none"/>
        </w:rPr>
      </w:pPr>
    </w:p>
    <w:p w14:paraId="6528DB4F">
      <w:pPr>
        <w:spacing w:line="360" w:lineRule="auto"/>
        <w:jc w:val="center"/>
        <w:rPr>
          <w:rFonts w:hint="eastAsia" w:ascii="宋体" w:hAnsi="宋体" w:eastAsia="宋体" w:cs="宋体"/>
          <w:b/>
          <w:color w:val="auto"/>
          <w:szCs w:val="21"/>
          <w:highlight w:val="none"/>
        </w:rPr>
      </w:pPr>
    </w:p>
    <w:p w14:paraId="1CF96F9A">
      <w:pPr>
        <w:pStyle w:val="3"/>
        <w:rPr>
          <w:rFonts w:hint="eastAsia" w:ascii="宋体" w:hAnsi="宋体" w:eastAsia="宋体" w:cs="宋体"/>
          <w:color w:val="auto"/>
          <w:sz w:val="21"/>
          <w:szCs w:val="21"/>
          <w:highlight w:val="none"/>
          <w:lang w:eastAsia="zh-CN"/>
        </w:rPr>
      </w:pPr>
    </w:p>
    <w:p w14:paraId="625D1621">
      <w:pPr>
        <w:pStyle w:val="45"/>
        <w:rPr>
          <w:rFonts w:hint="eastAsia" w:ascii="宋体" w:hAnsi="宋体" w:eastAsia="宋体" w:cs="宋体"/>
          <w:color w:val="auto"/>
          <w:sz w:val="21"/>
          <w:szCs w:val="21"/>
          <w:highlight w:val="none"/>
          <w:lang w:eastAsia="zh-CN"/>
        </w:rPr>
      </w:pPr>
    </w:p>
    <w:p w14:paraId="2E6443DF">
      <w:pPr>
        <w:pStyle w:val="48"/>
        <w:rPr>
          <w:rFonts w:hint="eastAsia" w:ascii="宋体" w:hAnsi="宋体" w:eastAsia="宋体" w:cs="宋体"/>
          <w:color w:val="auto"/>
          <w:sz w:val="21"/>
          <w:szCs w:val="21"/>
          <w:highlight w:val="none"/>
          <w:lang w:eastAsia="zh-CN"/>
        </w:rPr>
      </w:pPr>
    </w:p>
    <w:p w14:paraId="728634D5">
      <w:pPr>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color w:val="auto"/>
          <w:sz w:val="21"/>
          <w:szCs w:val="21"/>
          <w:highlight w:val="none"/>
          <w:lang w:eastAsia="zh-CN"/>
        </w:rPr>
      </w:pPr>
    </w:p>
    <w:p w14:paraId="54085891">
      <w:pPr>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宋体" w:hAnsi="宋体" w:eastAsia="宋体" w:cs="宋体"/>
          <w:b/>
          <w:bCs/>
          <w:color w:val="auto"/>
          <w:kern w:val="2"/>
          <w:sz w:val="28"/>
          <w:szCs w:val="28"/>
          <w:highlight w:val="none"/>
          <w:lang w:val="en-US" w:eastAsia="zh-CN" w:bidi="ar-SA"/>
        </w:rPr>
      </w:pPr>
      <w:bookmarkStart w:id="1101" w:name="_Toc13923"/>
      <w:bookmarkStart w:id="1102" w:name="_Toc24627"/>
    </w:p>
    <w:p w14:paraId="22159D85">
      <w:pPr>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宋体" w:hAnsi="宋体" w:eastAsia="宋体" w:cs="宋体"/>
          <w:b/>
          <w:bCs/>
          <w:color w:val="auto"/>
          <w:kern w:val="2"/>
          <w:sz w:val="28"/>
          <w:szCs w:val="28"/>
          <w:highlight w:val="none"/>
          <w:lang w:val="en-US" w:eastAsia="zh-CN" w:bidi="ar-SA"/>
        </w:rPr>
      </w:pPr>
    </w:p>
    <w:p w14:paraId="36D85945">
      <w:pPr>
        <w:pStyle w:val="2"/>
        <w:rPr>
          <w:rFonts w:hint="eastAsia"/>
          <w:highlight w:val="none"/>
          <w:lang w:val="en-US" w:eastAsia="zh-CN"/>
        </w:rPr>
      </w:pPr>
    </w:p>
    <w:p w14:paraId="24A0A663">
      <w:pPr>
        <w:pStyle w:val="6"/>
        <w:keepNext/>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bCs/>
          <w:color w:val="auto"/>
          <w:kern w:val="2"/>
          <w:sz w:val="28"/>
          <w:szCs w:val="28"/>
          <w:highlight w:val="none"/>
          <w:lang w:val="en-US" w:eastAsia="zh-CN" w:bidi="ar-SA"/>
        </w:rPr>
      </w:pPr>
      <w:r>
        <w:rPr>
          <w:rFonts w:hint="eastAsia" w:eastAsia="宋体" w:cs="宋体"/>
          <w:b/>
          <w:bCs/>
          <w:color w:val="auto"/>
          <w:kern w:val="2"/>
          <w:sz w:val="28"/>
          <w:szCs w:val="28"/>
          <w:highlight w:val="none"/>
          <w:lang w:val="en-US" w:eastAsia="zh-CN" w:bidi="ar-SA"/>
        </w:rPr>
        <w:t>八</w:t>
      </w:r>
      <w:r>
        <w:rPr>
          <w:rFonts w:hint="eastAsia" w:ascii="宋体" w:hAnsi="宋体" w:eastAsia="宋体" w:cs="宋体"/>
          <w:b/>
          <w:bCs/>
          <w:color w:val="auto"/>
          <w:kern w:val="2"/>
          <w:sz w:val="28"/>
          <w:szCs w:val="28"/>
          <w:highlight w:val="none"/>
          <w:lang w:val="en-US" w:eastAsia="zh-CN" w:bidi="ar-SA"/>
        </w:rPr>
        <w:t>、其他材料</w:t>
      </w:r>
      <w:bookmarkEnd w:id="1101"/>
      <w:bookmarkEnd w:id="1102"/>
    </w:p>
    <w:p w14:paraId="4C54BA7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磋商</w:t>
      </w:r>
      <w:r>
        <w:rPr>
          <w:rFonts w:hint="eastAsia" w:ascii="宋体" w:hAnsi="宋体" w:eastAsia="宋体" w:cs="宋体"/>
          <w:b/>
          <w:color w:val="auto"/>
          <w:sz w:val="24"/>
          <w:szCs w:val="24"/>
          <w:highlight w:val="none"/>
        </w:rPr>
        <w:t>承诺函</w:t>
      </w:r>
    </w:p>
    <w:p w14:paraId="5B7749CD">
      <w:pPr>
        <w:pStyle w:val="24"/>
        <w:shd w:val="clear" w:color="auto" w:fill="FFFFFF"/>
        <w:bidi w:val="0"/>
        <w:spacing w:before="0" w:beforeLines="0" w:beforeAutospacing="0" w:after="0" w:afterLines="0" w:afterAutospacing="0" w:line="360" w:lineRule="auto"/>
        <w:jc w:val="both"/>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z w:val="21"/>
          <w:szCs w:val="21"/>
          <w:highlight w:val="none"/>
          <w:shd w:val="clear" w:color="auto" w:fill="FFFFFF"/>
        </w:rPr>
        <w:t>致</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u w:val="single"/>
          <w:shd w:val="clear" w:color="auto" w:fill="FFFFFF"/>
          <w:lang w:val="en-US" w:eastAsia="zh-CN"/>
        </w:rPr>
        <w:t xml:space="preserve">                    </w:t>
      </w:r>
      <w:r>
        <w:rPr>
          <w:rFonts w:hint="eastAsia" w:ascii="宋体" w:hAnsi="宋体" w:eastAsia="宋体" w:cs="宋体"/>
          <w:color w:val="auto"/>
          <w:sz w:val="21"/>
          <w:szCs w:val="21"/>
          <w:highlight w:val="none"/>
          <w:u w:val="none"/>
          <w:shd w:val="clear" w:color="auto" w:fill="FFFFFF"/>
        </w:rPr>
        <w:t>（采购人</w:t>
      </w:r>
      <w:r>
        <w:rPr>
          <w:rFonts w:hint="eastAsia" w:ascii="宋体" w:hAnsi="宋体" w:eastAsia="宋体" w:cs="宋体"/>
          <w:color w:val="auto"/>
          <w:sz w:val="21"/>
          <w:szCs w:val="21"/>
          <w:highlight w:val="none"/>
          <w:u w:val="none"/>
          <w:shd w:val="clear" w:color="auto" w:fill="FFFFFF"/>
          <w:lang w:val="en-US" w:eastAsia="zh-CN"/>
        </w:rPr>
        <w:t>或</w:t>
      </w:r>
      <w:r>
        <w:rPr>
          <w:rFonts w:hint="eastAsia" w:ascii="宋体" w:hAnsi="宋体" w:eastAsia="宋体" w:cs="宋体"/>
          <w:color w:val="auto"/>
          <w:sz w:val="21"/>
          <w:szCs w:val="21"/>
          <w:highlight w:val="none"/>
          <w:u w:val="none"/>
          <w:shd w:val="clear" w:color="auto" w:fill="FFFFFF"/>
        </w:rPr>
        <w:t>采购代理机构</w:t>
      </w:r>
      <w:r>
        <w:rPr>
          <w:rFonts w:hint="eastAsia" w:ascii="宋体" w:hAnsi="宋体" w:eastAsia="宋体" w:cs="宋体"/>
          <w:color w:val="auto"/>
          <w:sz w:val="21"/>
          <w:szCs w:val="21"/>
          <w:highlight w:val="none"/>
          <w:u w:val="none"/>
          <w:shd w:val="clear" w:color="auto" w:fill="FFFFFF"/>
          <w:lang w:eastAsia="zh-CN"/>
        </w:rPr>
        <w:t>）</w:t>
      </w:r>
    </w:p>
    <w:p w14:paraId="343EA811">
      <w:pPr>
        <w:bidi w:val="0"/>
        <w:spacing w:line="360" w:lineRule="auto"/>
        <w:ind w:firstLine="452"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shd w:val="clear" w:color="auto" w:fill="FFFFFF"/>
        </w:rPr>
        <w:t>我</w:t>
      </w:r>
      <w:r>
        <w:rPr>
          <w:rFonts w:hint="eastAsia" w:ascii="宋体" w:hAnsi="宋体" w:eastAsia="宋体" w:cs="宋体"/>
          <w:color w:val="auto"/>
          <w:sz w:val="21"/>
          <w:szCs w:val="21"/>
          <w:highlight w:val="none"/>
        </w:rPr>
        <w:t>公司作为本次采购项目的供应商，根据</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文件要求，现郑重承诺如下：</w:t>
      </w:r>
    </w:p>
    <w:p w14:paraId="1AADCA45">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一、具备《中华人民共和国政府采购法》第二十二条第一款和本项目规定的条件：</w:t>
      </w:r>
    </w:p>
    <w:p w14:paraId="692B75E1">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（一）具有独立承担民事责任的能力； 　　</w:t>
      </w:r>
    </w:p>
    <w:p w14:paraId="6C5546A1">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（二）具有良好的商业信誉和健全的财务会计制度； 　</w:t>
      </w:r>
    </w:p>
    <w:p w14:paraId="034AED3D">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（三）具有履行合同所必需的设备和专业技术能力； 　　</w:t>
      </w:r>
    </w:p>
    <w:p w14:paraId="3D375FE7">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（四）有依法缴纳税收和社会保障资金的良好记录； 　　</w:t>
      </w:r>
    </w:p>
    <w:p w14:paraId="6D5FEDC3">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（五）参加政府采购活动前三年内，在经营活动中没有重大违法记录；</w:t>
      </w:r>
    </w:p>
    <w:p w14:paraId="31E2B57D">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（六）法律、行政法规规定的其他条件；</w:t>
      </w:r>
    </w:p>
    <w:p w14:paraId="727274BF">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（七）根据采购项目提出的特殊条件。</w:t>
      </w:r>
    </w:p>
    <w:p w14:paraId="4234B29D">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二、完全接受和满足本项目</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文件中规定的实质性要求，如对</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文件有异议，已经在</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截止时间届满前依法进行维权救济，不存在对</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文件有异议的同时又参加</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以求侥幸中标或者为实现其他非法目的的行为。</w:t>
      </w:r>
    </w:p>
    <w:p w14:paraId="318B2561">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三、参加本次</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采购活动，不存在与单位负责人为同一人或者存在直接控股、管理关系的其他供应商参与同一合同项下的政府采购活动的行为。    </w:t>
      </w:r>
    </w:p>
    <w:p w14:paraId="0022F24F">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四、参加本次</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采购活动，不存在为采购项目提供整体设计、规范编制或者项目管理、监理、检测等服务的行为。</w:t>
      </w:r>
    </w:p>
    <w:p w14:paraId="54795A38">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五、参加本次</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采购活动，不存在和其他供应商在同一合同项下的采购项目中，同时委托同一个自然人、同一家庭的人员、同一单位的人员作为代理人的行为。</w:t>
      </w:r>
    </w:p>
    <w:p w14:paraId="09A79B66">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六、供应商参加本次</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采购活动要求在近三年内供应商和其法定代表人没有行贿犯罪行为。</w:t>
      </w:r>
    </w:p>
    <w:p w14:paraId="07048A0C">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七、参加本次</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采购活动，不存在联合体</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w:t>
      </w:r>
    </w:p>
    <w:p w14:paraId="3412F37F">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中提供的能够给予我公司带来优惠、好处的任何材料资料和技术、服务、商务等</w:t>
      </w:r>
      <w:r>
        <w:rPr>
          <w:rFonts w:hint="eastAsia" w:ascii="宋体" w:hAnsi="宋体" w:eastAsia="宋体" w:cs="宋体"/>
          <w:color w:val="auto"/>
          <w:sz w:val="21"/>
          <w:szCs w:val="21"/>
          <w:highlight w:val="none"/>
          <w:lang w:eastAsia="zh-CN"/>
        </w:rPr>
        <w:t>相应</w:t>
      </w:r>
      <w:r>
        <w:rPr>
          <w:rFonts w:hint="eastAsia" w:ascii="宋体" w:hAnsi="宋体" w:eastAsia="宋体" w:cs="宋体"/>
          <w:color w:val="auto"/>
          <w:sz w:val="21"/>
          <w:szCs w:val="21"/>
          <w:highlight w:val="none"/>
        </w:rPr>
        <w:t>承诺情况都是真实的、有效的、合法的。</w:t>
      </w:r>
    </w:p>
    <w:p w14:paraId="6FE69953">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九、如本项目</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过程中需要提供样品，则我公司提供的样品即为中标后将要提供的中标产品，我公司对提供样品的性能和质量负责，因样品存在缺陷或者不符合招标文件要求导致未能中标的，我公司愿意承担相应不利后果。（如提供样品）    </w:t>
      </w:r>
    </w:p>
    <w:p w14:paraId="7D39A049">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十、存在以下行为之一的愿意接受相关部门的处理：</w:t>
      </w:r>
    </w:p>
    <w:p w14:paraId="104C523E">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（一）</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有效期内撤销</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的；</w:t>
      </w:r>
    </w:p>
    <w:p w14:paraId="72C21BA3">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（二）在采购人确定成交人以前放弃</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候选资格的；</w:t>
      </w:r>
    </w:p>
    <w:p w14:paraId="4EF10052">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（三）由于成交人的原因未能按照招标文件的规定与采购人签订合同；</w:t>
      </w:r>
    </w:p>
    <w:p w14:paraId="14F72C44">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r>
        <w:rPr>
          <w:rFonts w:hint="eastAsia" w:ascii="宋体" w:hAnsi="宋体" w:eastAsia="宋体" w:cs="宋体"/>
          <w:color w:val="auto"/>
          <w:sz w:val="21"/>
          <w:szCs w:val="21"/>
          <w:highlight w:val="none"/>
          <w:lang w:eastAsia="zh-CN"/>
        </w:rPr>
        <w:t>四</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中提供虚假材料谋取中标；</w:t>
      </w:r>
    </w:p>
    <w:p w14:paraId="0CCBC297">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r>
        <w:rPr>
          <w:rFonts w:hint="eastAsia" w:ascii="宋体" w:hAnsi="宋体" w:eastAsia="宋体" w:cs="宋体"/>
          <w:color w:val="auto"/>
          <w:sz w:val="21"/>
          <w:szCs w:val="21"/>
          <w:highlight w:val="none"/>
          <w:lang w:eastAsia="zh-CN"/>
        </w:rPr>
        <w:t>五</w:t>
      </w:r>
      <w:r>
        <w:rPr>
          <w:rFonts w:hint="eastAsia" w:ascii="宋体" w:hAnsi="宋体" w:eastAsia="宋体" w:cs="宋体"/>
          <w:color w:val="auto"/>
          <w:sz w:val="21"/>
          <w:szCs w:val="21"/>
          <w:highlight w:val="none"/>
        </w:rPr>
        <w:t>）与采购人、其他供应商或者采购代理机构恶意串通的；</w:t>
      </w:r>
    </w:p>
    <w:p w14:paraId="0FD548B5">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有效期内，供应商在政府采购活动中有违法、违规、违纪行为。</w:t>
      </w:r>
    </w:p>
    <w:p w14:paraId="5B2D4393">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由此产生的一切法律后果和责任由我公司承担。我公司声明放弃对此提出任何异议和追索的权利。</w:t>
      </w:r>
    </w:p>
    <w:p w14:paraId="442ECC84">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本公司对上述承诺的内容事项真实性负责。如经查实上述承诺的内容事项存在虚假，我公司愿意接受以提供虚假材料谋取中标追究法律责任。</w:t>
      </w:r>
    </w:p>
    <w:p w14:paraId="25EF09C0">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p w14:paraId="493269C5">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（单位电子签章）</w:t>
      </w:r>
    </w:p>
    <w:p w14:paraId="05CD88FF">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法定代表人或授权代表：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（电子签名或盖章）</w:t>
      </w:r>
    </w:p>
    <w:p w14:paraId="6E07F5C3">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r>
        <w:rPr>
          <w:rFonts w:hint="eastAsia" w:ascii="宋体" w:hAnsi="宋体" w:eastAsia="宋体" w:cs="宋体"/>
          <w:color w:val="auto"/>
          <w:sz w:val="21"/>
          <w:szCs w:val="21"/>
          <w:highlight w:val="none"/>
          <w:u w:val="single"/>
        </w:rPr>
        <w:t>         </w:t>
      </w:r>
    </w:p>
    <w:p w14:paraId="0984C49D">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26BA7956">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1C824F7E">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50CA8CBD">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24BF7FFF">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14996843">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56C952BF">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5B2EBD59">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1C5B393A">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667F03E6">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7F29B5AC">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54EF268C">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6568A350">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072788FD">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692AE676">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47D3E87A">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75D4ECBB">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597B991D">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784ACA1E">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2463D452">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177E65C5">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691C3D5E">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7C7BEB4C">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09CD2782">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28BF5EC4">
      <w:pPr>
        <w:pStyle w:val="24"/>
        <w:shd w:val="clear" w:color="auto" w:fill="FFFFFF"/>
        <w:bidi w:val="0"/>
        <w:spacing w:before="0" w:beforeLines="0" w:beforeAutospacing="0" w:after="0" w:afterLines="0" w:afterAutospacing="0" w:line="405" w:lineRule="atLeast"/>
        <w:ind w:firstLine="495"/>
        <w:jc w:val="center"/>
        <w:rPr>
          <w:rFonts w:hint="eastAsia" w:ascii="宋体" w:hAnsi="宋体" w:eastAsia="宋体" w:cs="宋体"/>
          <w:b/>
          <w:color w:val="auto"/>
          <w:sz w:val="21"/>
          <w:szCs w:val="21"/>
          <w:highlight w:val="none"/>
          <w:lang w:val="en-US" w:eastAsia="zh-CN"/>
        </w:rPr>
      </w:pPr>
    </w:p>
    <w:p w14:paraId="08B2723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color w:val="auto"/>
          <w:sz w:val="24"/>
          <w:szCs w:val="24"/>
          <w:highlight w:val="none"/>
          <w:lang w:val="en-US" w:eastAsia="zh-CN"/>
        </w:rPr>
      </w:pPr>
    </w:p>
    <w:p w14:paraId="496957E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2、采购代理服务费承诺函</w:t>
      </w:r>
    </w:p>
    <w:p w14:paraId="42DD05E2">
      <w:pPr>
        <w:pStyle w:val="24"/>
        <w:shd w:val="clear" w:color="auto" w:fill="FFFFFF"/>
        <w:bidi w:val="0"/>
        <w:spacing w:before="0" w:beforeLines="0" w:beforeAutospacing="0" w:after="0" w:afterLines="0" w:afterAutospacing="0" w:line="360" w:lineRule="auto"/>
        <w:jc w:val="both"/>
        <w:rPr>
          <w:rFonts w:hint="eastAsia" w:ascii="宋体" w:hAnsi="宋体" w:eastAsia="宋体" w:cs="宋体"/>
          <w:color w:val="auto"/>
          <w:spacing w:val="8"/>
          <w:sz w:val="21"/>
          <w:szCs w:val="21"/>
          <w:highlight w:val="none"/>
          <w:u w:val="none"/>
        </w:rPr>
      </w:pPr>
      <w:r>
        <w:rPr>
          <w:rFonts w:hint="eastAsia" w:ascii="宋体" w:hAnsi="宋体" w:eastAsia="宋体" w:cs="宋体"/>
          <w:color w:val="auto"/>
          <w:spacing w:val="8"/>
          <w:sz w:val="21"/>
          <w:szCs w:val="21"/>
          <w:highlight w:val="none"/>
          <w:shd w:val="clear" w:color="auto" w:fill="FFFFFF"/>
        </w:rPr>
        <w:t>致</w:t>
      </w:r>
      <w:r>
        <w:rPr>
          <w:rFonts w:hint="eastAsia" w:ascii="宋体" w:hAnsi="宋体" w:eastAsia="宋体" w:cs="宋体"/>
          <w:color w:val="auto"/>
          <w:spacing w:val="8"/>
          <w:sz w:val="21"/>
          <w:szCs w:val="21"/>
          <w:highlight w:val="none"/>
          <w:shd w:val="clear" w:color="auto" w:fill="FFFFFF"/>
          <w:lang w:eastAsia="zh-CN"/>
        </w:rPr>
        <w:t>：</w:t>
      </w:r>
      <w:r>
        <w:rPr>
          <w:rFonts w:hint="eastAsia" w:ascii="宋体" w:hAnsi="宋体" w:eastAsia="宋体" w:cs="宋体"/>
          <w:color w:val="auto"/>
          <w:spacing w:val="8"/>
          <w:sz w:val="21"/>
          <w:szCs w:val="21"/>
          <w:highlight w:val="none"/>
          <w:u w:val="single"/>
          <w:shd w:val="clear" w:color="auto" w:fill="FFFFFF"/>
          <w:lang w:val="en-US" w:eastAsia="zh-CN"/>
        </w:rPr>
        <w:t xml:space="preserve">                   </w:t>
      </w:r>
      <w:r>
        <w:rPr>
          <w:rFonts w:hint="eastAsia" w:ascii="宋体" w:hAnsi="宋体" w:eastAsia="宋体" w:cs="宋体"/>
          <w:color w:val="auto"/>
          <w:spacing w:val="8"/>
          <w:sz w:val="21"/>
          <w:szCs w:val="21"/>
          <w:highlight w:val="none"/>
          <w:u w:val="none"/>
          <w:shd w:val="clear" w:color="auto" w:fill="FFFFFF"/>
        </w:rPr>
        <w:t>（采购人</w:t>
      </w:r>
      <w:r>
        <w:rPr>
          <w:rFonts w:hint="eastAsia" w:ascii="宋体" w:hAnsi="宋体" w:eastAsia="宋体" w:cs="宋体"/>
          <w:color w:val="auto"/>
          <w:spacing w:val="8"/>
          <w:sz w:val="21"/>
          <w:szCs w:val="21"/>
          <w:highlight w:val="none"/>
          <w:u w:val="none"/>
          <w:shd w:val="clear" w:color="auto" w:fill="FFFFFF"/>
          <w:lang w:val="en-US" w:eastAsia="zh-CN"/>
        </w:rPr>
        <w:t>或</w:t>
      </w:r>
      <w:r>
        <w:rPr>
          <w:rFonts w:hint="eastAsia" w:ascii="宋体" w:hAnsi="宋体" w:eastAsia="宋体" w:cs="宋体"/>
          <w:color w:val="auto"/>
          <w:spacing w:val="8"/>
          <w:sz w:val="21"/>
          <w:szCs w:val="21"/>
          <w:highlight w:val="none"/>
          <w:u w:val="none"/>
          <w:shd w:val="clear" w:color="auto" w:fill="FFFFFF"/>
        </w:rPr>
        <w:t>采购代理机构） </w:t>
      </w:r>
    </w:p>
    <w:p w14:paraId="3655D54E">
      <w:pPr>
        <w:pStyle w:val="24"/>
        <w:shd w:val="clear" w:color="auto" w:fill="FFFFFF"/>
        <w:bidi w:val="0"/>
        <w:spacing w:before="0" w:beforeLines="0" w:beforeAutospacing="0" w:after="0" w:afterLines="0" w:afterAutospacing="0" w:line="360" w:lineRule="auto"/>
        <w:ind w:firstLine="480"/>
        <w:jc w:val="both"/>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我们在贵公司组织的</w:t>
      </w:r>
      <w:r>
        <w:rPr>
          <w:rFonts w:hint="eastAsia" w:eastAsia="宋体" w:cs="宋体"/>
          <w:color w:val="auto"/>
          <w:spacing w:val="8"/>
          <w:sz w:val="21"/>
          <w:szCs w:val="21"/>
          <w:highlight w:val="none"/>
          <w:u w:val="single"/>
          <w:shd w:val="clear" w:color="auto" w:fill="FFFFFF"/>
          <w:lang w:val="en-US" w:eastAsia="zh-CN"/>
        </w:rPr>
        <w:t xml:space="preserve">                </w:t>
      </w:r>
      <w:r>
        <w:rPr>
          <w:rFonts w:hint="eastAsia" w:ascii="宋体" w:hAnsi="宋体" w:eastAsia="宋体" w:cs="宋体"/>
          <w:color w:val="auto"/>
          <w:spacing w:val="8"/>
          <w:sz w:val="21"/>
          <w:szCs w:val="21"/>
          <w:highlight w:val="none"/>
          <w:shd w:val="clear" w:color="auto" w:fill="FFFFFF"/>
        </w:rPr>
        <w:t>（项目名称</w:t>
      </w:r>
      <w:r>
        <w:rPr>
          <w:rFonts w:hint="eastAsia" w:ascii="宋体" w:hAnsi="宋体" w:eastAsia="宋体" w:cs="宋体"/>
          <w:color w:val="auto"/>
          <w:spacing w:val="8"/>
          <w:sz w:val="21"/>
          <w:szCs w:val="21"/>
          <w:highlight w:val="none"/>
          <w:shd w:val="clear" w:color="auto" w:fill="FFFFFF"/>
          <w:lang w:val="en-US" w:eastAsia="zh-CN"/>
        </w:rPr>
        <w:t>+包号</w:t>
      </w:r>
      <w:r>
        <w:rPr>
          <w:rFonts w:hint="eastAsia" w:ascii="宋体" w:hAnsi="宋体" w:eastAsia="宋体" w:cs="宋体"/>
          <w:color w:val="auto"/>
          <w:spacing w:val="8"/>
          <w:sz w:val="21"/>
          <w:szCs w:val="21"/>
          <w:highlight w:val="none"/>
          <w:shd w:val="clear" w:color="auto" w:fill="FFFFFF"/>
        </w:rPr>
        <w:t>）招标采购中若获中标（成交），我们保证在中标</w:t>
      </w:r>
      <w:r>
        <w:rPr>
          <w:rFonts w:hint="eastAsia" w:ascii="宋体" w:hAnsi="宋体" w:eastAsia="宋体" w:cs="宋体"/>
          <w:color w:val="auto"/>
          <w:spacing w:val="8"/>
          <w:sz w:val="21"/>
          <w:szCs w:val="21"/>
          <w:highlight w:val="none"/>
          <w:shd w:val="clear" w:color="auto" w:fill="FFFFFF"/>
          <w:lang w:eastAsia="zh-CN"/>
        </w:rPr>
        <w:t>（</w:t>
      </w:r>
      <w:r>
        <w:rPr>
          <w:rFonts w:hint="eastAsia" w:ascii="宋体" w:hAnsi="宋体" w:eastAsia="宋体" w:cs="宋体"/>
          <w:color w:val="auto"/>
          <w:spacing w:val="8"/>
          <w:sz w:val="21"/>
          <w:szCs w:val="21"/>
          <w:highlight w:val="none"/>
          <w:shd w:val="clear" w:color="auto" w:fill="FFFFFF"/>
        </w:rPr>
        <w:t>成交）结果公告发布后5个工作日内，按招标文件的规定，以支票、银行转账、汇票或现金，向贵公司一次性支付</w:t>
      </w:r>
      <w:r>
        <w:rPr>
          <w:rFonts w:hint="eastAsia" w:ascii="宋体" w:hAnsi="宋体" w:eastAsia="宋体" w:cs="宋体"/>
          <w:color w:val="auto"/>
          <w:spacing w:val="8"/>
          <w:sz w:val="21"/>
          <w:szCs w:val="21"/>
          <w:highlight w:val="none"/>
          <w:shd w:val="clear" w:color="auto" w:fill="FFFFFF"/>
          <w:lang w:eastAsia="zh-CN"/>
        </w:rPr>
        <w:t>采购代理</w:t>
      </w:r>
      <w:r>
        <w:rPr>
          <w:rFonts w:hint="eastAsia" w:ascii="宋体" w:hAnsi="宋体" w:eastAsia="宋体" w:cs="宋体"/>
          <w:color w:val="auto"/>
          <w:spacing w:val="8"/>
          <w:sz w:val="21"/>
          <w:szCs w:val="21"/>
          <w:highlight w:val="none"/>
          <w:shd w:val="clear" w:color="auto" w:fill="FFFFFF"/>
        </w:rPr>
        <w:t>服务费用。否则，由此产生的一切法律后果和责任由我公司承担。我公司声明放弃对此提出任何异议和追索的权利。</w:t>
      </w:r>
    </w:p>
    <w:p w14:paraId="0E3BD58E">
      <w:pPr>
        <w:pStyle w:val="24"/>
        <w:shd w:val="clear" w:color="auto" w:fill="FFFFFF"/>
        <w:bidi w:val="0"/>
        <w:spacing w:before="0" w:beforeLines="0" w:beforeAutospacing="0" w:after="0" w:afterLines="0" w:afterAutospacing="0" w:line="360" w:lineRule="auto"/>
        <w:ind w:firstLine="452" w:firstLineChars="200"/>
        <w:jc w:val="both"/>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特此承诺。</w:t>
      </w:r>
    </w:p>
    <w:p w14:paraId="414D802A">
      <w:pPr>
        <w:pStyle w:val="24"/>
        <w:shd w:val="clear" w:color="auto" w:fill="FFFFFF"/>
        <w:bidi w:val="0"/>
        <w:spacing w:before="0" w:beforeLines="0" w:beforeAutospacing="0" w:after="0" w:afterLines="0" w:afterAutospacing="0" w:line="360" w:lineRule="auto"/>
        <w:jc w:val="both"/>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 </w:t>
      </w:r>
    </w:p>
    <w:p w14:paraId="270D2EF1">
      <w:pPr>
        <w:pStyle w:val="24"/>
        <w:shd w:val="clear" w:color="auto" w:fill="FFFFFF"/>
        <w:bidi w:val="0"/>
        <w:spacing w:before="0" w:beforeLines="0" w:beforeAutospacing="0" w:after="0" w:afterLines="0" w:afterAutospacing="0" w:line="360" w:lineRule="auto"/>
        <w:jc w:val="both"/>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 </w:t>
      </w:r>
    </w:p>
    <w:p w14:paraId="75A30281">
      <w:pPr>
        <w:pStyle w:val="24"/>
        <w:shd w:val="clear" w:color="auto" w:fill="FFFFFF"/>
        <w:bidi w:val="0"/>
        <w:spacing w:before="0" w:beforeLines="0" w:beforeAutospacing="0" w:after="0" w:afterLines="0" w:afterAutospacing="0" w:line="360" w:lineRule="auto"/>
        <w:ind w:firstLine="465"/>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供应商名称：</w:t>
      </w:r>
      <w:r>
        <w:rPr>
          <w:rFonts w:hint="eastAsia" w:ascii="宋体" w:hAnsi="宋体" w:eastAsia="宋体" w:cs="宋体"/>
          <w:color w:val="auto"/>
          <w:spacing w:val="8"/>
          <w:sz w:val="21"/>
          <w:szCs w:val="21"/>
          <w:highlight w:val="none"/>
          <w:u w:val="single"/>
          <w:shd w:val="clear" w:color="auto" w:fill="FFFFFF"/>
        </w:rPr>
        <w:t>          </w:t>
      </w:r>
      <w:r>
        <w:rPr>
          <w:rFonts w:hint="eastAsia" w:ascii="宋体" w:hAnsi="宋体" w:eastAsia="宋体" w:cs="宋体"/>
          <w:color w:val="auto"/>
          <w:spacing w:val="8"/>
          <w:sz w:val="21"/>
          <w:szCs w:val="21"/>
          <w:highlight w:val="none"/>
          <w:shd w:val="clear" w:color="auto" w:fill="FFFFFF"/>
        </w:rPr>
        <w:t>（单位电子签章）</w:t>
      </w:r>
    </w:p>
    <w:p w14:paraId="4E203A75">
      <w:pPr>
        <w:pStyle w:val="24"/>
        <w:shd w:val="clear" w:color="auto" w:fill="FFFFFF"/>
        <w:bidi w:val="0"/>
        <w:spacing w:before="0" w:beforeLines="0" w:beforeAutospacing="0" w:after="0" w:afterLines="0" w:afterAutospacing="0" w:line="360" w:lineRule="auto"/>
        <w:ind w:firstLine="465"/>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法定代表人或授权代表：</w:t>
      </w:r>
      <w:r>
        <w:rPr>
          <w:rFonts w:hint="eastAsia" w:ascii="宋体" w:hAnsi="宋体" w:eastAsia="宋体" w:cs="宋体"/>
          <w:color w:val="auto"/>
          <w:spacing w:val="8"/>
          <w:sz w:val="21"/>
          <w:szCs w:val="21"/>
          <w:highlight w:val="none"/>
          <w:u w:val="single"/>
          <w:shd w:val="clear" w:color="auto" w:fill="FFFFFF"/>
        </w:rPr>
        <w:t>      </w:t>
      </w:r>
      <w:r>
        <w:rPr>
          <w:rFonts w:hint="eastAsia" w:ascii="宋体" w:hAnsi="宋体" w:eastAsia="宋体" w:cs="宋体"/>
          <w:color w:val="auto"/>
          <w:spacing w:val="8"/>
          <w:sz w:val="21"/>
          <w:szCs w:val="21"/>
          <w:highlight w:val="none"/>
          <w:shd w:val="clear" w:color="auto" w:fill="FFFFFF"/>
        </w:rPr>
        <w:t>（电子签名或盖章）</w:t>
      </w:r>
    </w:p>
    <w:p w14:paraId="544DB973">
      <w:pPr>
        <w:pStyle w:val="24"/>
        <w:shd w:val="clear" w:color="auto" w:fill="FFFFFF"/>
        <w:bidi w:val="0"/>
        <w:spacing w:before="0" w:beforeLines="0" w:beforeAutospacing="0" w:after="0" w:afterLines="0" w:afterAutospacing="0" w:line="360" w:lineRule="auto"/>
        <w:ind w:firstLine="480"/>
        <w:jc w:val="both"/>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日期：</w:t>
      </w:r>
      <w:r>
        <w:rPr>
          <w:rFonts w:hint="eastAsia" w:ascii="宋体" w:hAnsi="宋体" w:eastAsia="宋体" w:cs="宋体"/>
          <w:color w:val="auto"/>
          <w:spacing w:val="8"/>
          <w:sz w:val="21"/>
          <w:szCs w:val="21"/>
          <w:highlight w:val="none"/>
          <w:u w:val="single"/>
          <w:shd w:val="clear" w:color="auto" w:fill="FFFFFF"/>
        </w:rPr>
        <w:t>          </w:t>
      </w:r>
    </w:p>
    <w:p w14:paraId="5A2F023E">
      <w:pPr>
        <w:pStyle w:val="24"/>
        <w:shd w:val="clear" w:color="auto" w:fill="FFFFFF"/>
        <w:bidi w:val="0"/>
        <w:spacing w:before="0" w:beforeLines="0" w:beforeAutospacing="0" w:after="0" w:afterLines="0" w:afterAutospacing="0" w:line="360" w:lineRule="auto"/>
        <w:jc w:val="both"/>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shd w:val="clear" w:color="auto" w:fill="FFFFFF"/>
        </w:rPr>
        <w:t> </w:t>
      </w:r>
    </w:p>
    <w:p w14:paraId="23C230B1">
      <w:pPr>
        <w:bidi w:val="0"/>
        <w:rPr>
          <w:rFonts w:hint="eastAsia" w:ascii="宋体" w:hAnsi="宋体" w:eastAsia="宋体" w:cs="宋体"/>
          <w:color w:val="auto"/>
          <w:sz w:val="21"/>
          <w:szCs w:val="21"/>
          <w:highlight w:val="none"/>
        </w:rPr>
      </w:pPr>
    </w:p>
    <w:p w14:paraId="5CD0B2EF">
      <w:pPr>
        <w:pStyle w:val="51"/>
        <w:rPr>
          <w:rFonts w:hint="eastAsia" w:ascii="宋体" w:hAnsi="宋体" w:eastAsia="宋体" w:cs="宋体"/>
          <w:color w:val="auto"/>
          <w:sz w:val="21"/>
          <w:szCs w:val="21"/>
          <w:highlight w:val="none"/>
        </w:rPr>
      </w:pPr>
    </w:p>
    <w:p w14:paraId="0C5715F5">
      <w:pPr>
        <w:pStyle w:val="53"/>
        <w:rPr>
          <w:rFonts w:hint="eastAsia" w:ascii="宋体" w:hAnsi="宋体" w:eastAsia="宋体" w:cs="宋体"/>
          <w:color w:val="auto"/>
          <w:sz w:val="21"/>
          <w:szCs w:val="21"/>
          <w:highlight w:val="none"/>
        </w:rPr>
      </w:pPr>
    </w:p>
    <w:p w14:paraId="60937AEB">
      <w:pPr>
        <w:pStyle w:val="3"/>
        <w:rPr>
          <w:rFonts w:hint="eastAsia" w:ascii="宋体" w:hAnsi="宋体" w:eastAsia="宋体" w:cs="宋体"/>
          <w:color w:val="auto"/>
          <w:sz w:val="21"/>
          <w:szCs w:val="21"/>
          <w:highlight w:val="none"/>
        </w:rPr>
      </w:pPr>
    </w:p>
    <w:p w14:paraId="7252F2D5">
      <w:pPr>
        <w:rPr>
          <w:rFonts w:hint="eastAsia" w:ascii="宋体" w:hAnsi="宋体" w:eastAsia="宋体" w:cs="宋体"/>
          <w:color w:val="auto"/>
          <w:sz w:val="21"/>
          <w:szCs w:val="21"/>
          <w:highlight w:val="none"/>
        </w:rPr>
      </w:pPr>
    </w:p>
    <w:p w14:paraId="145F4548">
      <w:pPr>
        <w:pStyle w:val="51"/>
        <w:rPr>
          <w:rFonts w:hint="eastAsia" w:ascii="宋体" w:hAnsi="宋体" w:eastAsia="宋体" w:cs="宋体"/>
          <w:color w:val="auto"/>
          <w:sz w:val="21"/>
          <w:szCs w:val="21"/>
          <w:highlight w:val="none"/>
        </w:rPr>
      </w:pPr>
    </w:p>
    <w:p w14:paraId="1566264E">
      <w:pPr>
        <w:pStyle w:val="53"/>
        <w:rPr>
          <w:rFonts w:hint="eastAsia" w:ascii="宋体" w:hAnsi="宋体" w:eastAsia="宋体" w:cs="宋体"/>
          <w:color w:val="auto"/>
          <w:sz w:val="21"/>
          <w:szCs w:val="21"/>
          <w:highlight w:val="none"/>
        </w:rPr>
      </w:pPr>
    </w:p>
    <w:p w14:paraId="2CB93C30">
      <w:pPr>
        <w:pStyle w:val="3"/>
        <w:rPr>
          <w:rFonts w:hint="eastAsia" w:ascii="宋体" w:hAnsi="宋体" w:eastAsia="宋体" w:cs="宋体"/>
          <w:color w:val="auto"/>
          <w:sz w:val="21"/>
          <w:szCs w:val="21"/>
          <w:highlight w:val="none"/>
        </w:rPr>
      </w:pPr>
    </w:p>
    <w:p w14:paraId="1EEA8368">
      <w:pPr>
        <w:rPr>
          <w:rFonts w:hint="eastAsia" w:ascii="宋体" w:hAnsi="宋体" w:eastAsia="宋体" w:cs="宋体"/>
          <w:color w:val="auto"/>
          <w:sz w:val="21"/>
          <w:szCs w:val="21"/>
          <w:highlight w:val="none"/>
        </w:rPr>
      </w:pPr>
    </w:p>
    <w:p w14:paraId="17A235B1">
      <w:pPr>
        <w:pStyle w:val="51"/>
        <w:rPr>
          <w:rFonts w:hint="eastAsia" w:ascii="宋体" w:hAnsi="宋体" w:eastAsia="宋体" w:cs="宋体"/>
          <w:color w:val="auto"/>
          <w:sz w:val="21"/>
          <w:szCs w:val="21"/>
          <w:highlight w:val="none"/>
        </w:rPr>
      </w:pPr>
    </w:p>
    <w:p w14:paraId="646092E4">
      <w:pPr>
        <w:pStyle w:val="53"/>
        <w:rPr>
          <w:rFonts w:hint="eastAsia" w:ascii="宋体" w:hAnsi="宋体" w:eastAsia="宋体" w:cs="宋体"/>
          <w:color w:val="auto"/>
          <w:sz w:val="21"/>
          <w:szCs w:val="21"/>
          <w:highlight w:val="none"/>
        </w:rPr>
      </w:pPr>
    </w:p>
    <w:p w14:paraId="49BC94C0">
      <w:pPr>
        <w:pStyle w:val="3"/>
        <w:rPr>
          <w:rFonts w:hint="eastAsia" w:ascii="宋体" w:hAnsi="宋体" w:eastAsia="宋体" w:cs="宋体"/>
          <w:color w:val="auto"/>
          <w:sz w:val="21"/>
          <w:szCs w:val="21"/>
          <w:highlight w:val="none"/>
        </w:rPr>
      </w:pPr>
    </w:p>
    <w:p w14:paraId="535774E5">
      <w:pPr>
        <w:rPr>
          <w:rFonts w:hint="eastAsia" w:ascii="宋体" w:hAnsi="宋体" w:eastAsia="宋体" w:cs="宋体"/>
          <w:color w:val="auto"/>
          <w:sz w:val="21"/>
          <w:szCs w:val="21"/>
          <w:highlight w:val="none"/>
        </w:rPr>
      </w:pPr>
    </w:p>
    <w:p w14:paraId="5B76DD56">
      <w:pPr>
        <w:pStyle w:val="51"/>
        <w:rPr>
          <w:rFonts w:hint="eastAsia" w:ascii="宋体" w:hAnsi="宋体" w:eastAsia="宋体" w:cs="宋体"/>
          <w:color w:val="auto"/>
          <w:sz w:val="21"/>
          <w:szCs w:val="21"/>
          <w:highlight w:val="none"/>
        </w:rPr>
      </w:pPr>
    </w:p>
    <w:p w14:paraId="437AF2B8">
      <w:pPr>
        <w:pStyle w:val="53"/>
        <w:rPr>
          <w:rFonts w:hint="eastAsia" w:ascii="宋体" w:hAnsi="宋体" w:eastAsia="宋体" w:cs="宋体"/>
          <w:color w:val="auto"/>
          <w:sz w:val="21"/>
          <w:szCs w:val="21"/>
          <w:highlight w:val="none"/>
        </w:rPr>
      </w:pPr>
    </w:p>
    <w:p w14:paraId="043B4D4E">
      <w:pPr>
        <w:pStyle w:val="3"/>
        <w:rPr>
          <w:rFonts w:hint="eastAsia" w:ascii="宋体" w:hAnsi="宋体" w:eastAsia="宋体" w:cs="宋体"/>
          <w:highlight w:val="none"/>
        </w:rPr>
      </w:pPr>
    </w:p>
    <w:p w14:paraId="5395ED0B">
      <w:pPr>
        <w:bidi w:val="0"/>
        <w:spacing w:line="360" w:lineRule="auto"/>
        <w:jc w:val="center"/>
        <w:rPr>
          <w:rFonts w:hint="eastAsia" w:ascii="宋体" w:hAnsi="宋体" w:eastAsia="宋体" w:cs="宋体"/>
          <w:color w:val="auto"/>
          <w:sz w:val="21"/>
          <w:szCs w:val="21"/>
          <w:highlight w:val="none"/>
        </w:rPr>
      </w:pPr>
    </w:p>
    <w:p w14:paraId="58AD1883">
      <w:pPr>
        <w:bidi w:val="0"/>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、供应商认为需要的</w:t>
      </w:r>
      <w:r>
        <w:rPr>
          <w:rFonts w:hint="eastAsia" w:ascii="宋体" w:hAnsi="宋体" w:eastAsia="宋体" w:cs="宋体"/>
          <w:b/>
          <w:color w:val="auto"/>
          <w:sz w:val="24"/>
          <w:szCs w:val="24"/>
          <w:highlight w:val="none"/>
          <w:lang w:eastAsia="zh-CN"/>
        </w:rPr>
        <w:t>其他</w:t>
      </w:r>
      <w:r>
        <w:rPr>
          <w:rFonts w:hint="eastAsia" w:ascii="宋体" w:hAnsi="宋体" w:eastAsia="宋体" w:cs="宋体"/>
          <w:b/>
          <w:color w:val="auto"/>
          <w:sz w:val="24"/>
          <w:szCs w:val="24"/>
          <w:highlight w:val="none"/>
        </w:rPr>
        <w:t>资料</w:t>
      </w:r>
    </w:p>
    <w:p w14:paraId="63FB5DA4">
      <w:pPr>
        <w:jc w:val="center"/>
        <w:rPr>
          <w:rFonts w:hint="eastAsia" w:ascii="宋体" w:hAnsi="宋体" w:eastAsia="宋体" w:cs="宋体"/>
          <w:b/>
          <w:bCs/>
          <w:color w:val="auto"/>
          <w:sz w:val="21"/>
          <w:szCs w:val="21"/>
          <w:highlight w:val="none"/>
          <w:lang w:val="en-US" w:eastAsia="zh-CN"/>
        </w:rPr>
      </w:pPr>
    </w:p>
    <w:p w14:paraId="58FC401F">
      <w:pPr>
        <w:pStyle w:val="54"/>
        <w:rPr>
          <w:rFonts w:hint="eastAsia" w:ascii="宋体" w:hAnsi="宋体" w:eastAsia="宋体" w:cs="宋体"/>
          <w:highlight w:val="none"/>
          <w:lang w:val="en-US" w:eastAsia="zh-CN"/>
        </w:rPr>
      </w:pPr>
    </w:p>
    <w:p w14:paraId="33E2AFBE">
      <w:pPr>
        <w:jc w:val="center"/>
        <w:rPr>
          <w:rFonts w:hint="eastAsia" w:ascii="宋体" w:hAnsi="宋体" w:eastAsia="宋体" w:cs="宋体"/>
          <w:b/>
          <w:bCs/>
          <w:color w:val="auto"/>
          <w:sz w:val="21"/>
          <w:szCs w:val="21"/>
          <w:highlight w:val="none"/>
          <w:lang w:val="en-US" w:eastAsia="zh-CN"/>
        </w:rPr>
      </w:pPr>
    </w:p>
    <w:p w14:paraId="1ACDEA4C">
      <w:pPr>
        <w:pStyle w:val="51"/>
        <w:rPr>
          <w:rFonts w:hint="eastAsia" w:ascii="宋体" w:hAnsi="宋体" w:eastAsia="宋体" w:cs="宋体"/>
          <w:b/>
          <w:bCs/>
          <w:color w:val="auto"/>
          <w:sz w:val="21"/>
          <w:szCs w:val="21"/>
          <w:highlight w:val="none"/>
          <w:lang w:val="en-US" w:eastAsia="zh-CN"/>
        </w:rPr>
      </w:pPr>
    </w:p>
    <w:p w14:paraId="31DC9F13">
      <w:pPr>
        <w:pStyle w:val="53"/>
        <w:rPr>
          <w:rFonts w:hint="eastAsia" w:ascii="宋体" w:hAnsi="宋体" w:eastAsia="宋体" w:cs="宋体"/>
          <w:b/>
          <w:bCs/>
          <w:color w:val="auto"/>
          <w:sz w:val="21"/>
          <w:szCs w:val="21"/>
          <w:highlight w:val="none"/>
          <w:lang w:val="en-US" w:eastAsia="zh-CN"/>
        </w:rPr>
      </w:pPr>
    </w:p>
    <w:p w14:paraId="6482E161">
      <w:pPr>
        <w:pStyle w:val="3"/>
        <w:rPr>
          <w:rFonts w:hint="eastAsia" w:ascii="宋体" w:hAnsi="宋体" w:eastAsia="宋体" w:cs="宋体"/>
          <w:b/>
          <w:bCs/>
          <w:color w:val="auto"/>
          <w:sz w:val="21"/>
          <w:szCs w:val="21"/>
          <w:highlight w:val="none"/>
          <w:lang w:val="en-US" w:eastAsia="zh-CN"/>
        </w:rPr>
      </w:pPr>
    </w:p>
    <w:p w14:paraId="725B3213">
      <w:pPr>
        <w:rPr>
          <w:rFonts w:hint="eastAsia" w:ascii="宋体" w:hAnsi="宋体" w:eastAsia="宋体" w:cs="宋体"/>
          <w:b/>
          <w:bCs/>
          <w:color w:val="auto"/>
          <w:sz w:val="21"/>
          <w:szCs w:val="21"/>
          <w:highlight w:val="none"/>
          <w:lang w:val="en-US" w:eastAsia="zh-CN"/>
        </w:rPr>
      </w:pPr>
    </w:p>
    <w:p w14:paraId="3BA21614">
      <w:pPr>
        <w:pStyle w:val="51"/>
        <w:rPr>
          <w:rFonts w:hint="eastAsia" w:ascii="宋体" w:hAnsi="宋体" w:eastAsia="宋体" w:cs="宋体"/>
          <w:b/>
          <w:bCs/>
          <w:color w:val="auto"/>
          <w:sz w:val="21"/>
          <w:szCs w:val="21"/>
          <w:highlight w:val="none"/>
          <w:lang w:val="en-US" w:eastAsia="zh-CN"/>
        </w:rPr>
      </w:pPr>
    </w:p>
    <w:p w14:paraId="4EF89D16">
      <w:pPr>
        <w:pStyle w:val="53"/>
        <w:rPr>
          <w:rFonts w:hint="eastAsia" w:ascii="宋体" w:hAnsi="宋体" w:eastAsia="宋体" w:cs="宋体"/>
          <w:b/>
          <w:bCs/>
          <w:color w:val="auto"/>
          <w:sz w:val="21"/>
          <w:szCs w:val="21"/>
          <w:highlight w:val="none"/>
          <w:lang w:val="en-US" w:eastAsia="zh-CN"/>
        </w:rPr>
      </w:pPr>
    </w:p>
    <w:p w14:paraId="461450D1">
      <w:pPr>
        <w:pStyle w:val="3"/>
        <w:rPr>
          <w:rFonts w:hint="eastAsia" w:ascii="宋体" w:hAnsi="宋体" w:eastAsia="宋体" w:cs="宋体"/>
          <w:b/>
          <w:bCs/>
          <w:color w:val="auto"/>
          <w:sz w:val="21"/>
          <w:szCs w:val="21"/>
          <w:highlight w:val="none"/>
          <w:lang w:val="en-US" w:eastAsia="zh-CN"/>
        </w:rPr>
      </w:pPr>
    </w:p>
    <w:p w14:paraId="2250E329">
      <w:pPr>
        <w:rPr>
          <w:rFonts w:hint="eastAsia" w:ascii="宋体" w:hAnsi="宋体" w:eastAsia="宋体" w:cs="宋体"/>
          <w:b/>
          <w:bCs/>
          <w:color w:val="auto"/>
          <w:sz w:val="21"/>
          <w:szCs w:val="21"/>
          <w:highlight w:val="none"/>
          <w:lang w:val="en-US" w:eastAsia="zh-CN"/>
        </w:rPr>
      </w:pPr>
    </w:p>
    <w:p w14:paraId="3633FA64">
      <w:pPr>
        <w:pStyle w:val="51"/>
        <w:rPr>
          <w:rFonts w:hint="eastAsia" w:ascii="宋体" w:hAnsi="宋体" w:eastAsia="宋体" w:cs="宋体"/>
          <w:b/>
          <w:bCs/>
          <w:color w:val="auto"/>
          <w:sz w:val="21"/>
          <w:szCs w:val="21"/>
          <w:highlight w:val="none"/>
          <w:lang w:val="en-US" w:eastAsia="zh-CN"/>
        </w:rPr>
      </w:pPr>
    </w:p>
    <w:p w14:paraId="3EC512B3">
      <w:pPr>
        <w:pStyle w:val="53"/>
        <w:rPr>
          <w:rFonts w:hint="eastAsia" w:ascii="宋体" w:hAnsi="宋体" w:eastAsia="宋体" w:cs="宋体"/>
          <w:b/>
          <w:bCs/>
          <w:color w:val="auto"/>
          <w:sz w:val="21"/>
          <w:szCs w:val="21"/>
          <w:highlight w:val="none"/>
          <w:lang w:val="en-US" w:eastAsia="zh-CN"/>
        </w:rPr>
      </w:pPr>
    </w:p>
    <w:p w14:paraId="7D89F073">
      <w:pPr>
        <w:pStyle w:val="3"/>
        <w:rPr>
          <w:rFonts w:hint="eastAsia" w:ascii="宋体" w:hAnsi="宋体" w:eastAsia="宋体" w:cs="宋体"/>
          <w:b/>
          <w:bCs/>
          <w:color w:val="auto"/>
          <w:sz w:val="21"/>
          <w:szCs w:val="21"/>
          <w:highlight w:val="none"/>
          <w:lang w:val="en-US" w:eastAsia="zh-CN"/>
        </w:rPr>
      </w:pPr>
    </w:p>
    <w:p w14:paraId="233AE1CA">
      <w:pPr>
        <w:rPr>
          <w:rFonts w:hint="eastAsia" w:ascii="宋体" w:hAnsi="宋体" w:eastAsia="宋体" w:cs="宋体"/>
          <w:b/>
          <w:bCs/>
          <w:color w:val="auto"/>
          <w:sz w:val="21"/>
          <w:szCs w:val="21"/>
          <w:highlight w:val="none"/>
          <w:lang w:val="en-US" w:eastAsia="zh-CN"/>
        </w:rPr>
      </w:pPr>
    </w:p>
    <w:p w14:paraId="4D1142BE">
      <w:pPr>
        <w:pStyle w:val="51"/>
        <w:rPr>
          <w:rFonts w:hint="eastAsia" w:ascii="宋体" w:hAnsi="宋体" w:eastAsia="宋体" w:cs="宋体"/>
          <w:b/>
          <w:bCs/>
          <w:color w:val="auto"/>
          <w:sz w:val="21"/>
          <w:szCs w:val="21"/>
          <w:highlight w:val="none"/>
          <w:lang w:val="en-US" w:eastAsia="zh-CN"/>
        </w:rPr>
      </w:pPr>
    </w:p>
    <w:p w14:paraId="61D9EDC9">
      <w:pPr>
        <w:pStyle w:val="53"/>
        <w:rPr>
          <w:rFonts w:hint="eastAsia" w:ascii="宋体" w:hAnsi="宋体" w:eastAsia="宋体" w:cs="宋体"/>
          <w:b/>
          <w:bCs/>
          <w:color w:val="auto"/>
          <w:sz w:val="21"/>
          <w:szCs w:val="21"/>
          <w:highlight w:val="none"/>
          <w:lang w:val="en-US" w:eastAsia="zh-CN"/>
        </w:rPr>
      </w:pPr>
    </w:p>
    <w:p w14:paraId="4A70474D">
      <w:pPr>
        <w:pStyle w:val="3"/>
        <w:rPr>
          <w:rFonts w:hint="eastAsia" w:ascii="宋体" w:hAnsi="宋体" w:eastAsia="宋体" w:cs="宋体"/>
          <w:b/>
          <w:bCs/>
          <w:color w:val="auto"/>
          <w:sz w:val="21"/>
          <w:szCs w:val="21"/>
          <w:highlight w:val="none"/>
          <w:lang w:val="en-US" w:eastAsia="zh-CN"/>
        </w:rPr>
      </w:pPr>
    </w:p>
    <w:p w14:paraId="74A9C34C">
      <w:pPr>
        <w:rPr>
          <w:rFonts w:hint="eastAsia" w:ascii="宋体" w:hAnsi="宋体" w:eastAsia="宋体" w:cs="宋体"/>
          <w:b/>
          <w:bCs/>
          <w:color w:val="auto"/>
          <w:sz w:val="21"/>
          <w:szCs w:val="21"/>
          <w:highlight w:val="none"/>
          <w:lang w:val="en-US" w:eastAsia="zh-CN"/>
        </w:rPr>
      </w:pPr>
    </w:p>
    <w:p w14:paraId="4AAC0FE2">
      <w:pPr>
        <w:pStyle w:val="51"/>
        <w:rPr>
          <w:rFonts w:hint="eastAsia" w:ascii="宋体" w:hAnsi="宋体" w:eastAsia="宋体" w:cs="宋体"/>
          <w:b/>
          <w:bCs/>
          <w:color w:val="auto"/>
          <w:sz w:val="21"/>
          <w:szCs w:val="21"/>
          <w:highlight w:val="none"/>
          <w:lang w:val="en-US" w:eastAsia="zh-CN"/>
        </w:rPr>
      </w:pPr>
    </w:p>
    <w:p w14:paraId="2EEC0B48">
      <w:pPr>
        <w:pStyle w:val="53"/>
        <w:rPr>
          <w:rFonts w:hint="eastAsia" w:ascii="宋体" w:hAnsi="宋体" w:eastAsia="宋体" w:cs="宋体"/>
          <w:b/>
          <w:bCs/>
          <w:color w:val="auto"/>
          <w:sz w:val="21"/>
          <w:szCs w:val="21"/>
          <w:highlight w:val="none"/>
          <w:lang w:val="en-US" w:eastAsia="zh-CN"/>
        </w:rPr>
      </w:pPr>
    </w:p>
    <w:p w14:paraId="08DBCB54">
      <w:pPr>
        <w:pStyle w:val="3"/>
        <w:rPr>
          <w:rFonts w:hint="eastAsia" w:ascii="宋体" w:hAnsi="宋体" w:eastAsia="宋体" w:cs="宋体"/>
          <w:b/>
          <w:bCs/>
          <w:color w:val="auto"/>
          <w:sz w:val="21"/>
          <w:szCs w:val="21"/>
          <w:highlight w:val="none"/>
          <w:lang w:val="en-US" w:eastAsia="zh-CN"/>
        </w:rPr>
      </w:pPr>
    </w:p>
    <w:p w14:paraId="729E398A">
      <w:pPr>
        <w:rPr>
          <w:rFonts w:hint="eastAsia" w:ascii="宋体" w:hAnsi="宋体" w:eastAsia="宋体" w:cs="宋体"/>
          <w:b/>
          <w:bCs/>
          <w:color w:val="auto"/>
          <w:sz w:val="21"/>
          <w:szCs w:val="21"/>
          <w:highlight w:val="none"/>
          <w:lang w:val="en-US" w:eastAsia="zh-CN"/>
        </w:rPr>
      </w:pPr>
    </w:p>
    <w:p w14:paraId="630FF723">
      <w:pPr>
        <w:pStyle w:val="2"/>
        <w:rPr>
          <w:rFonts w:hint="eastAsia"/>
          <w:highlight w:val="none"/>
          <w:lang w:val="en-US" w:eastAsia="zh-CN"/>
        </w:rPr>
      </w:pPr>
    </w:p>
    <w:p w14:paraId="36BACE03">
      <w:pPr>
        <w:pStyle w:val="51"/>
        <w:rPr>
          <w:rFonts w:hint="eastAsia" w:ascii="宋体" w:hAnsi="宋体" w:eastAsia="宋体" w:cs="宋体"/>
          <w:b/>
          <w:bCs/>
          <w:color w:val="auto"/>
          <w:sz w:val="21"/>
          <w:szCs w:val="21"/>
          <w:highlight w:val="none"/>
          <w:lang w:val="en-US" w:eastAsia="zh-CN"/>
        </w:rPr>
      </w:pPr>
    </w:p>
    <w:p w14:paraId="775DFF4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1"/>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kern w:val="2"/>
          <w:sz w:val="28"/>
          <w:szCs w:val="28"/>
          <w:highlight w:val="none"/>
          <w:lang w:val="en-US" w:eastAsia="zh-CN" w:bidi="ar-SA"/>
        </w:rPr>
        <w:t>九、中小企业声明函（服务）</w:t>
      </w:r>
    </w:p>
    <w:p w14:paraId="73E3FD02">
      <w:pPr>
        <w:keepNext w:val="0"/>
        <w:keepLines w:val="0"/>
        <w:pageBreakBefore w:val="0"/>
        <w:widowControl w:val="0"/>
        <w:kinsoku/>
        <w:wordWrap/>
        <w:overflowPunct/>
        <w:topLinePunct w:val="0"/>
        <w:autoSpaceDE w:val="0"/>
        <w:autoSpaceDN w:val="0"/>
        <w:bidi w:val="0"/>
        <w:adjustRightInd/>
        <w:snapToGrid/>
        <w:spacing w:before="0" w:line="500" w:lineRule="exact"/>
        <w:ind w:left="0" w:righ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本公司郑重声明，根据《政府采购促进中小企业发展管理办法》（财库﹝2020﹞46 号）的规定，本公司参加</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zh-CN" w:eastAsia="zh-CN"/>
        </w:rPr>
        <w:t>单位名称）的</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（项目名称</w:t>
      </w:r>
      <w:r>
        <w:rPr>
          <w:rFonts w:hint="eastAsia" w:ascii="宋体" w:hAnsi="宋体" w:eastAsia="宋体" w:cs="宋体"/>
          <w:color w:val="000000"/>
          <w:sz w:val="21"/>
          <w:szCs w:val="21"/>
          <w:highlight w:val="none"/>
          <w:lang w:val="zh-CN" w:eastAsia="zh-CN"/>
        </w:rPr>
        <w:t>）采</w:t>
      </w:r>
      <w:r>
        <w:rPr>
          <w:rFonts w:hint="eastAsia" w:ascii="宋体" w:hAnsi="宋体" w:eastAsia="宋体" w:cs="宋体"/>
          <w:color w:val="000000"/>
          <w:sz w:val="21"/>
          <w:szCs w:val="21"/>
          <w:highlight w:val="none"/>
        </w:rPr>
        <w:t>购活动，</w:t>
      </w:r>
      <w:r>
        <w:rPr>
          <w:rFonts w:hint="eastAsia" w:ascii="宋体" w:hAnsi="宋体" w:eastAsia="宋体" w:cs="宋体"/>
          <w:b/>
          <w:bCs/>
          <w:color w:val="000000"/>
          <w:sz w:val="21"/>
          <w:szCs w:val="21"/>
          <w:highlight w:val="none"/>
        </w:rPr>
        <w:t>服务全部由符合政策要求的中小企业承接</w:t>
      </w:r>
      <w:r>
        <w:rPr>
          <w:rFonts w:hint="eastAsia" w:ascii="宋体" w:hAnsi="宋体" w:eastAsia="宋体" w:cs="宋体"/>
          <w:color w:val="000000"/>
          <w:sz w:val="21"/>
          <w:szCs w:val="21"/>
          <w:highlight w:val="none"/>
        </w:rPr>
        <w:t>。相关企业（含联合体中的中小企业、签订分包意向协议的中小企业）的具体情况如下：</w:t>
      </w:r>
    </w:p>
    <w:p w14:paraId="593221BC">
      <w:pPr>
        <w:keepNext w:val="0"/>
        <w:keepLines w:val="0"/>
        <w:pageBreakBefore w:val="0"/>
        <w:widowControl w:val="0"/>
        <w:numPr>
          <w:ilvl w:val="0"/>
          <w:numId w:val="12"/>
        </w:numPr>
        <w:kinsoku/>
        <w:wordWrap/>
        <w:overflowPunct/>
        <w:topLinePunct w:val="0"/>
        <w:autoSpaceDE w:val="0"/>
        <w:autoSpaceDN w:val="0"/>
        <w:bidi w:val="0"/>
        <w:adjustRightInd/>
        <w:snapToGrid/>
        <w:spacing w:before="0" w:line="500" w:lineRule="exact"/>
        <w:ind w:left="0" w:right="0"/>
        <w:textAlignment w:val="auto"/>
        <w:rPr>
          <w:rFonts w:hint="eastAsia" w:ascii="宋体" w:hAnsi="宋体" w:eastAsia="宋体" w:cs="宋体"/>
          <w:color w:val="000000"/>
          <w:sz w:val="21"/>
          <w:szCs w:val="21"/>
          <w:highlight w:val="none"/>
          <w:lang w:val="zh-CN" w:eastAsia="zh-CN"/>
        </w:rPr>
      </w:pP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（标的名称），属于</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（采购文件中明确的所属行业）；承建（承接）企业为</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lang w:val="zh-CN" w:eastAsia="zh-CN"/>
        </w:rPr>
        <w:t>（企业名称），</w:t>
      </w:r>
      <w:r>
        <w:rPr>
          <w:rFonts w:hint="eastAsia" w:ascii="宋体" w:hAnsi="宋体" w:eastAsia="宋体" w:cs="宋体"/>
          <w:color w:val="000000"/>
          <w:sz w:val="21"/>
          <w:szCs w:val="21"/>
          <w:highlight w:val="none"/>
        </w:rPr>
        <w:t>从业人员</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ab/>
      </w:r>
      <w:r>
        <w:rPr>
          <w:rFonts w:hint="eastAsia" w:ascii="宋体" w:hAnsi="宋体" w:eastAsia="宋体" w:cs="宋体"/>
          <w:color w:val="000000"/>
          <w:sz w:val="21"/>
          <w:szCs w:val="21"/>
          <w:highlight w:val="none"/>
        </w:rPr>
        <w:t>人，营业收入为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rPr>
        <w:tab/>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万元，资产总额为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ab/>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万元，属于</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val="zh-CN" w:eastAsia="zh-CN"/>
        </w:rPr>
        <w:t>中型企业、小型企业、微型企业）</w:t>
      </w:r>
      <w:r>
        <w:rPr>
          <w:rFonts w:hint="eastAsia" w:ascii="宋体" w:hAnsi="宋体" w:eastAsia="宋体" w:cs="宋体"/>
          <w:color w:val="000000"/>
          <w:sz w:val="21"/>
          <w:szCs w:val="21"/>
          <w:highlight w:val="none"/>
          <w:lang w:val="zh-CN" w:eastAsia="zh-CN"/>
        </w:rPr>
        <w:t>；</w:t>
      </w:r>
    </w:p>
    <w:p w14:paraId="4430EDF0">
      <w:pPr>
        <w:keepNext w:val="0"/>
        <w:keepLines w:val="0"/>
        <w:pageBreakBefore w:val="0"/>
        <w:widowControl w:val="0"/>
        <w:numPr>
          <w:ilvl w:val="0"/>
          <w:numId w:val="12"/>
        </w:numPr>
        <w:kinsoku/>
        <w:wordWrap/>
        <w:overflowPunct/>
        <w:topLinePunct w:val="0"/>
        <w:autoSpaceDE w:val="0"/>
        <w:autoSpaceDN w:val="0"/>
        <w:bidi w:val="0"/>
        <w:adjustRightInd/>
        <w:snapToGrid/>
        <w:spacing w:before="0" w:line="500" w:lineRule="exact"/>
        <w:ind w:left="0" w:right="0"/>
        <w:textAlignment w:val="auto"/>
        <w:rPr>
          <w:rFonts w:hint="eastAsia" w:ascii="宋体" w:hAnsi="宋体" w:eastAsia="宋体" w:cs="宋体"/>
          <w:color w:val="000000"/>
          <w:sz w:val="21"/>
          <w:szCs w:val="21"/>
          <w:highlight w:val="none"/>
          <w:lang w:val="zh-CN" w:eastAsia="zh-CN"/>
        </w:rPr>
      </w:pP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（标的名称），属于</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（采购文件中明确的所属行业）；承建（承接）企业为</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lang w:val="zh-CN" w:eastAsia="zh-CN"/>
        </w:rPr>
        <w:t>（企业名称），</w:t>
      </w:r>
      <w:r>
        <w:rPr>
          <w:rFonts w:hint="eastAsia" w:ascii="宋体" w:hAnsi="宋体" w:eastAsia="宋体" w:cs="宋体"/>
          <w:color w:val="000000"/>
          <w:sz w:val="21"/>
          <w:szCs w:val="21"/>
          <w:highlight w:val="none"/>
        </w:rPr>
        <w:t>从业人员</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人，营业收入为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rPr>
        <w:tab/>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万元，资产总额为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ab/>
      </w:r>
      <w:r>
        <w:rPr>
          <w:rFonts w:hint="eastAsia" w:ascii="宋体" w:hAnsi="宋体" w:eastAsia="宋体" w:cs="宋体"/>
          <w:color w:val="000000"/>
          <w:sz w:val="21"/>
          <w:szCs w:val="21"/>
          <w:highlight w:val="none"/>
        </w:rPr>
        <w:t>万元，属于</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val="zh-CN" w:eastAsia="zh-CN"/>
        </w:rPr>
        <w:t>中型企业、小型企业、微型企业）</w:t>
      </w:r>
      <w:r>
        <w:rPr>
          <w:rFonts w:hint="eastAsia" w:ascii="宋体" w:hAnsi="宋体" w:eastAsia="宋体" w:cs="宋体"/>
          <w:color w:val="000000"/>
          <w:sz w:val="21"/>
          <w:szCs w:val="21"/>
          <w:highlight w:val="none"/>
          <w:lang w:val="zh-CN" w:eastAsia="zh-CN"/>
        </w:rPr>
        <w:t>；</w:t>
      </w:r>
    </w:p>
    <w:p w14:paraId="5F7CBD55">
      <w:pPr>
        <w:keepNext w:val="0"/>
        <w:keepLines w:val="0"/>
        <w:pageBreakBefore w:val="0"/>
        <w:widowControl w:val="0"/>
        <w:kinsoku/>
        <w:wordWrap/>
        <w:overflowPunct/>
        <w:topLinePunct w:val="0"/>
        <w:autoSpaceDE w:val="0"/>
        <w:autoSpaceDN w:val="0"/>
        <w:bidi w:val="0"/>
        <w:adjustRightInd/>
        <w:snapToGrid/>
        <w:spacing w:before="0" w:line="500" w:lineRule="exact"/>
        <w:ind w:left="0" w:right="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p>
    <w:p w14:paraId="4B060598">
      <w:pPr>
        <w:pStyle w:val="3"/>
        <w:keepNext w:val="0"/>
        <w:keepLines w:val="0"/>
        <w:pageBreakBefore w:val="0"/>
        <w:widowControl w:val="0"/>
        <w:kinsoku/>
        <w:wordWrap/>
        <w:overflowPunct/>
        <w:topLinePunct w:val="0"/>
        <w:autoSpaceDE w:val="0"/>
        <w:autoSpaceDN w:val="0"/>
        <w:bidi w:val="0"/>
        <w:adjustRightInd/>
        <w:snapToGrid/>
        <w:spacing w:before="0" w:line="500" w:lineRule="exact"/>
        <w:ind w:left="0" w:right="0" w:firstLine="204" w:firstLineChars="100"/>
        <w:jc w:val="both"/>
        <w:textAlignment w:val="auto"/>
        <w:rPr>
          <w:rFonts w:hint="eastAsia" w:ascii="宋体" w:hAnsi="宋体" w:eastAsia="宋体" w:cs="宋体"/>
          <w:color w:val="000000"/>
          <w:sz w:val="21"/>
          <w:szCs w:val="21"/>
          <w:highlight w:val="none"/>
        </w:rPr>
      </w:pPr>
      <w:r>
        <w:rPr>
          <w:rFonts w:hint="eastAsia" w:ascii="宋体" w:hAnsi="宋体" w:eastAsia="宋体" w:cs="宋体"/>
          <w:color w:val="000000"/>
          <w:spacing w:val="-3"/>
          <w:sz w:val="21"/>
          <w:szCs w:val="21"/>
          <w:highlight w:val="none"/>
        </w:rPr>
        <w:t>以上企业，不属于大企业的分支机构，不存在控股股东</w:t>
      </w:r>
      <w:r>
        <w:rPr>
          <w:rFonts w:hint="eastAsia" w:ascii="宋体" w:hAnsi="宋体" w:eastAsia="宋体" w:cs="宋体"/>
          <w:color w:val="000000"/>
          <w:spacing w:val="-5"/>
          <w:sz w:val="21"/>
          <w:szCs w:val="21"/>
          <w:highlight w:val="none"/>
        </w:rPr>
        <w:t>为大企业的情形，也不存在与大企业的负责人为同一人的情形。</w:t>
      </w:r>
    </w:p>
    <w:p w14:paraId="17957AFD">
      <w:pPr>
        <w:pStyle w:val="3"/>
        <w:keepNext w:val="0"/>
        <w:keepLines w:val="0"/>
        <w:pageBreakBefore w:val="0"/>
        <w:widowControl w:val="0"/>
        <w:kinsoku/>
        <w:wordWrap/>
        <w:overflowPunct/>
        <w:topLinePunct w:val="0"/>
        <w:autoSpaceDE w:val="0"/>
        <w:autoSpaceDN w:val="0"/>
        <w:bidi w:val="0"/>
        <w:adjustRightInd/>
        <w:snapToGrid/>
        <w:spacing w:before="0" w:line="500" w:lineRule="exact"/>
        <w:ind w:left="0" w:right="0" w:firstLine="210" w:firstLineChars="1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本企业对上述声明内容的真实性负责。如有虚假，将依法承担相应责任。</w:t>
      </w:r>
    </w:p>
    <w:p w14:paraId="751CB6A1">
      <w:pPr>
        <w:keepNext w:val="0"/>
        <w:keepLines w:val="0"/>
        <w:pageBreakBefore w:val="0"/>
        <w:widowControl w:val="0"/>
        <w:kinsoku/>
        <w:wordWrap/>
        <w:overflowPunct/>
        <w:topLinePunct w:val="0"/>
        <w:autoSpaceDE w:val="0"/>
        <w:autoSpaceDN w:val="0"/>
        <w:bidi w:val="0"/>
        <w:adjustRightInd/>
        <w:snapToGrid/>
        <w:spacing w:before="0" w:line="500" w:lineRule="exact"/>
        <w:ind w:left="0" w:right="0" w:firstLine="2730" w:firstLineChars="1300"/>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企业名称（单位电子签章）：</w:t>
      </w:r>
    </w:p>
    <w:p w14:paraId="7D61E9BA">
      <w:pPr>
        <w:keepNext w:val="0"/>
        <w:keepLines w:val="0"/>
        <w:pageBreakBefore w:val="0"/>
        <w:widowControl w:val="0"/>
        <w:kinsoku/>
        <w:wordWrap/>
        <w:overflowPunct/>
        <w:topLinePunct w:val="0"/>
        <w:autoSpaceDE w:val="0"/>
        <w:autoSpaceDN w:val="0"/>
        <w:bidi w:val="0"/>
        <w:adjustRightInd/>
        <w:snapToGrid/>
        <w:spacing w:before="0" w:line="500" w:lineRule="exact"/>
        <w:ind w:left="0" w:right="0" w:firstLine="2730" w:firstLineChars="1300"/>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日</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eastAsia="zh-CN"/>
        </w:rPr>
        <w:t>期：</w:t>
      </w:r>
    </w:p>
    <w:p w14:paraId="43D2F32F">
      <w:pPr>
        <w:pStyle w:val="51"/>
        <w:keepNext w:val="0"/>
        <w:keepLines w:val="0"/>
        <w:pageBreakBefore w:val="0"/>
        <w:widowControl w:val="0"/>
        <w:kinsoku/>
        <w:wordWrap/>
        <w:overflowPunct/>
        <w:topLinePunct w:val="0"/>
        <w:bidi w:val="0"/>
        <w:snapToGrid/>
        <w:spacing w:line="500" w:lineRule="exact"/>
        <w:textAlignment w:val="auto"/>
        <w:rPr>
          <w:rFonts w:hint="eastAsia" w:hAnsi="宋体" w:cs="宋体"/>
          <w:b/>
          <w:bCs/>
          <w:color w:val="000000"/>
          <w:kern w:val="2"/>
          <w:sz w:val="21"/>
          <w:szCs w:val="21"/>
          <w:highlight w:val="none"/>
          <w:lang w:val="en-US" w:eastAsia="zh-CN" w:bidi="ar-SA"/>
        </w:rPr>
      </w:pPr>
    </w:p>
    <w:p w14:paraId="614D884A">
      <w:pPr>
        <w:rPr>
          <w:rFonts w:hint="eastAsia"/>
          <w:highlight w:val="none"/>
          <w:lang w:val="en-US" w:eastAsia="zh-CN"/>
        </w:rPr>
      </w:pPr>
    </w:p>
    <w:p w14:paraId="1EF37309">
      <w:pPr>
        <w:pStyle w:val="51"/>
        <w:keepNext w:val="0"/>
        <w:keepLines w:val="0"/>
        <w:pageBreakBefore w:val="0"/>
        <w:widowControl w:val="0"/>
        <w:kinsoku/>
        <w:wordWrap/>
        <w:overflowPunct/>
        <w:topLinePunct w:val="0"/>
        <w:bidi w:val="0"/>
        <w:snapToGrid/>
        <w:spacing w:line="500" w:lineRule="exact"/>
        <w:textAlignment w:val="auto"/>
        <w:rPr>
          <w:rFonts w:hint="eastAsia" w:ascii="宋体" w:hAnsi="宋体" w:eastAsia="宋体" w:cs="宋体"/>
          <w:b/>
          <w:bCs/>
          <w:color w:val="000000"/>
          <w:kern w:val="2"/>
          <w:sz w:val="21"/>
          <w:szCs w:val="21"/>
          <w:highlight w:val="none"/>
          <w:lang w:val="en-US" w:eastAsia="zh-CN" w:bidi="ar-SA"/>
        </w:rPr>
      </w:pPr>
      <w:r>
        <w:rPr>
          <w:rFonts w:hint="eastAsia" w:ascii="宋体" w:hAnsi="宋体" w:eastAsia="宋体" w:cs="宋体"/>
          <w:b/>
          <w:bCs/>
          <w:color w:val="000000"/>
          <w:kern w:val="2"/>
          <w:sz w:val="21"/>
          <w:szCs w:val="21"/>
          <w:highlight w:val="none"/>
          <w:lang w:val="en-US" w:eastAsia="zh-CN" w:bidi="ar-SA"/>
        </w:rPr>
        <w:t>注：</w:t>
      </w:r>
    </w:p>
    <w:p w14:paraId="528D5B2A">
      <w:pPr>
        <w:pStyle w:val="51"/>
        <w:keepNext w:val="0"/>
        <w:keepLines w:val="0"/>
        <w:pageBreakBefore w:val="0"/>
        <w:widowControl w:val="0"/>
        <w:kinsoku/>
        <w:wordWrap/>
        <w:overflowPunct/>
        <w:topLinePunct w:val="0"/>
        <w:bidi w:val="0"/>
        <w:snapToGrid/>
        <w:spacing w:line="500" w:lineRule="exact"/>
        <w:textAlignment w:val="auto"/>
        <w:rPr>
          <w:rFonts w:hint="default" w:ascii="宋体" w:hAnsi="宋体" w:eastAsia="宋体" w:cs="宋体"/>
          <w:b/>
          <w:bCs/>
          <w:color w:val="000000"/>
          <w:kern w:val="2"/>
          <w:sz w:val="21"/>
          <w:szCs w:val="21"/>
          <w:highlight w:val="none"/>
          <w:lang w:val="en-US" w:eastAsia="zh-CN" w:bidi="ar-SA"/>
        </w:rPr>
      </w:pPr>
      <w:r>
        <w:rPr>
          <w:rFonts w:hint="eastAsia" w:ascii="宋体" w:hAnsi="宋体" w:eastAsia="宋体" w:cs="宋体"/>
          <w:b/>
          <w:bCs/>
          <w:color w:val="000000"/>
          <w:kern w:val="2"/>
          <w:sz w:val="21"/>
          <w:szCs w:val="21"/>
          <w:highlight w:val="none"/>
          <w:lang w:val="en-US" w:eastAsia="zh-CN" w:bidi="ar-SA"/>
        </w:rPr>
        <w:t>1、本项目所属行业：其他为列明行业。</w:t>
      </w:r>
    </w:p>
    <w:p w14:paraId="4A60828A">
      <w:pPr>
        <w:pStyle w:val="51"/>
        <w:keepNext w:val="0"/>
        <w:keepLines w:val="0"/>
        <w:pageBreakBefore w:val="0"/>
        <w:widowControl w:val="0"/>
        <w:kinsoku/>
        <w:wordWrap/>
        <w:overflowPunct/>
        <w:topLinePunct w:val="0"/>
        <w:bidi w:val="0"/>
        <w:snapToGrid/>
        <w:spacing w:line="500" w:lineRule="exact"/>
        <w:textAlignment w:val="auto"/>
        <w:rPr>
          <w:rFonts w:hint="eastAsia" w:ascii="宋体" w:hAnsi="宋体" w:eastAsia="宋体" w:cs="宋体"/>
          <w:b/>
          <w:bCs/>
          <w:color w:val="000000"/>
          <w:kern w:val="2"/>
          <w:sz w:val="21"/>
          <w:szCs w:val="21"/>
          <w:highlight w:val="none"/>
          <w:lang w:val="en-US" w:eastAsia="zh-CN" w:bidi="ar-SA"/>
        </w:rPr>
      </w:pPr>
      <w:r>
        <w:rPr>
          <w:rFonts w:hint="eastAsia" w:hAnsi="宋体" w:cs="宋体"/>
          <w:b/>
          <w:bCs/>
          <w:color w:val="000000"/>
          <w:kern w:val="2"/>
          <w:sz w:val="21"/>
          <w:szCs w:val="21"/>
          <w:highlight w:val="none"/>
          <w:lang w:val="en-US" w:eastAsia="zh-CN" w:bidi="ar-SA"/>
        </w:rPr>
        <w:t>2</w:t>
      </w:r>
      <w:r>
        <w:rPr>
          <w:rFonts w:hint="eastAsia" w:ascii="宋体" w:hAnsi="宋体" w:eastAsia="宋体" w:cs="宋体"/>
          <w:b/>
          <w:bCs/>
          <w:color w:val="000000"/>
          <w:kern w:val="2"/>
          <w:sz w:val="21"/>
          <w:szCs w:val="21"/>
          <w:highlight w:val="none"/>
          <w:lang w:val="en-US" w:eastAsia="zh-CN" w:bidi="ar-SA"/>
        </w:rPr>
        <w:t>、从业人员、营业收入、资产总额填报上一年度数据，无上一年度数据的新成立企业可不填报。</w:t>
      </w:r>
    </w:p>
    <w:p w14:paraId="13F1F747">
      <w:pPr>
        <w:pStyle w:val="10"/>
        <w:keepNext w:val="0"/>
        <w:keepLines w:val="0"/>
        <w:pageBreakBefore w:val="0"/>
        <w:widowControl w:val="0"/>
        <w:kinsoku/>
        <w:wordWrap/>
        <w:overflowPunct/>
        <w:topLinePunct w:val="0"/>
        <w:bidi w:val="0"/>
        <w:snapToGrid/>
        <w:spacing w:line="500" w:lineRule="exact"/>
        <w:ind w:left="0" w:leftChars="0" w:firstLine="0" w:firstLineChars="0"/>
        <w:textAlignment w:val="auto"/>
        <w:rPr>
          <w:rFonts w:hint="eastAsia" w:ascii="宋体" w:hAnsi="宋体" w:eastAsia="宋体" w:cs="宋体"/>
          <w:b/>
          <w:bCs/>
          <w:color w:val="000000"/>
          <w:sz w:val="21"/>
          <w:szCs w:val="21"/>
          <w:highlight w:val="none"/>
          <w:lang w:val="en-US" w:eastAsia="zh-CN"/>
        </w:rPr>
        <w:sectPr>
          <w:footerReference r:id="rId13" w:type="default"/>
          <w:pgSz w:w="11911" w:h="16838"/>
          <w:pgMar w:top="1417" w:right="1417" w:bottom="1304" w:left="1417" w:header="850" w:footer="669" w:gutter="0"/>
          <w:pgNumType w:fmt="decimal"/>
          <w:cols w:space="720" w:num="1"/>
        </w:sectPr>
      </w:pPr>
      <w:r>
        <w:rPr>
          <w:rFonts w:hint="eastAsia" w:ascii="宋体" w:hAnsi="宋体" w:eastAsia="宋体" w:cs="宋体"/>
          <w:b/>
          <w:bCs/>
          <w:color w:val="000000"/>
          <w:sz w:val="21"/>
          <w:szCs w:val="21"/>
          <w:highlight w:val="none"/>
          <w:lang w:val="en-US" w:eastAsia="zh-CN"/>
        </w:rPr>
        <w:t>3、投标人是中小企业的需按此格式提供相关资料，否则不需填写此项内容。</w:t>
      </w:r>
    </w:p>
    <w:p w14:paraId="333FA476">
      <w:pPr>
        <w:pStyle w:val="3"/>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宋体" w:hAnsi="宋体" w:eastAsia="宋体" w:cs="宋体"/>
          <w:b/>
          <w:bCs/>
          <w:spacing w:val="9"/>
          <w:sz w:val="22"/>
          <w:szCs w:val="22"/>
          <w:highlight w:val="none"/>
        </w:rPr>
      </w:pPr>
      <w:r>
        <w:rPr>
          <w:rFonts w:hint="eastAsia" w:ascii="宋体" w:hAnsi="宋体" w:eastAsia="宋体" w:cs="宋体"/>
          <w:b/>
          <w:bCs/>
          <w:spacing w:val="9"/>
          <w:sz w:val="22"/>
          <w:szCs w:val="22"/>
          <w:highlight w:val="none"/>
        </w:rPr>
        <w:t>大中小微型企业划分标准</w:t>
      </w:r>
    </w:p>
    <w:tbl>
      <w:tblPr>
        <w:tblStyle w:val="28"/>
        <w:tblW w:w="10008" w:type="dxa"/>
        <w:jc w:val="center"/>
        <w:shd w:val="clear" w:color="auto" w:fill="FFFFFF"/>
        <w:tblLayout w:type="fixed"/>
        <w:tblCellMar>
          <w:top w:w="0" w:type="dxa"/>
          <w:left w:w="0" w:type="dxa"/>
          <w:bottom w:w="0" w:type="dxa"/>
          <w:right w:w="0" w:type="dxa"/>
        </w:tblCellMar>
      </w:tblPr>
      <w:tblGrid>
        <w:gridCol w:w="2133"/>
        <w:gridCol w:w="1472"/>
        <w:gridCol w:w="760"/>
        <w:gridCol w:w="1213"/>
        <w:gridCol w:w="1827"/>
        <w:gridCol w:w="1595"/>
        <w:gridCol w:w="1008"/>
      </w:tblGrid>
      <w:tr w14:paraId="45951C0B">
        <w:tblPrEx>
          <w:shd w:val="clear" w:color="auto" w:fill="FFFFFF"/>
          <w:tblCellMar>
            <w:top w:w="0" w:type="dxa"/>
            <w:left w:w="0" w:type="dxa"/>
            <w:bottom w:w="0" w:type="dxa"/>
            <w:right w:w="0" w:type="dxa"/>
          </w:tblCellMar>
        </w:tblPrEx>
        <w:trPr>
          <w:trHeight w:val="615" w:hRule="atLeast"/>
          <w:jc w:val="center"/>
        </w:trPr>
        <w:tc>
          <w:tcPr>
            <w:tcW w:w="2133" w:type="dxa"/>
            <w:tcBorders>
              <w:top w:val="single" w:color="4F81BD" w:sz="6" w:space="0"/>
              <w:left w:val="single" w:color="4F81BD" w:sz="6" w:space="0"/>
              <w:bottom w:val="single" w:color="FFFFFF" w:sz="18" w:space="0"/>
              <w:right w:val="single" w:color="4F81BD" w:sz="6" w:space="0"/>
            </w:tcBorders>
            <w:shd w:val="clear" w:color="auto" w:fill="4F81BD"/>
            <w:noWrap w:val="0"/>
            <w:tcMar>
              <w:left w:w="105" w:type="dxa"/>
              <w:right w:w="105" w:type="dxa"/>
            </w:tcMar>
            <w:vAlign w:val="center"/>
          </w:tcPr>
          <w:p w14:paraId="56F6577A">
            <w:pPr>
              <w:widowControl/>
              <w:wordWrap w:val="0"/>
              <w:spacing w:line="360" w:lineRule="auto"/>
              <w:ind w:firstLine="0" w:firstLineChars="0"/>
              <w:jc w:val="center"/>
              <w:rPr>
                <w:rFonts w:hint="eastAsia" w:ascii="宋体" w:hAnsi="宋体" w:eastAsia="宋体" w:cs="宋体"/>
                <w:b/>
                <w:bCs/>
                <w:color w:val="auto"/>
                <w:spacing w:val="8"/>
                <w:kern w:val="0"/>
                <w:sz w:val="22"/>
                <w:szCs w:val="21"/>
                <w:highlight w:val="none"/>
                <w:lang w:eastAsia="en-US" w:bidi="ar"/>
              </w:rPr>
            </w:pPr>
            <w:r>
              <w:rPr>
                <w:rFonts w:hint="eastAsia" w:ascii="宋体" w:hAnsi="宋体" w:eastAsia="宋体" w:cs="宋体"/>
                <w:b/>
                <w:bCs/>
                <w:color w:val="auto"/>
                <w:spacing w:val="8"/>
                <w:kern w:val="0"/>
                <w:sz w:val="22"/>
                <w:szCs w:val="21"/>
                <w:highlight w:val="none"/>
                <w:lang w:eastAsia="en-US" w:bidi="ar"/>
              </w:rPr>
              <w:t>行业名称</w:t>
            </w:r>
          </w:p>
        </w:tc>
        <w:tc>
          <w:tcPr>
            <w:tcW w:w="1472"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3AD785CB">
            <w:pPr>
              <w:widowControl/>
              <w:wordWrap w:val="0"/>
              <w:spacing w:line="360" w:lineRule="auto"/>
              <w:ind w:firstLine="0" w:firstLineChars="0"/>
              <w:jc w:val="center"/>
              <w:rPr>
                <w:rFonts w:hint="eastAsia" w:ascii="宋体" w:hAnsi="宋体" w:eastAsia="宋体" w:cs="宋体"/>
                <w:b/>
                <w:bCs/>
                <w:color w:val="auto"/>
                <w:spacing w:val="8"/>
                <w:kern w:val="0"/>
                <w:sz w:val="22"/>
                <w:szCs w:val="21"/>
                <w:highlight w:val="none"/>
                <w:lang w:eastAsia="en-US" w:bidi="ar"/>
              </w:rPr>
            </w:pPr>
            <w:r>
              <w:rPr>
                <w:rFonts w:hint="eastAsia" w:ascii="宋体" w:hAnsi="宋体" w:eastAsia="宋体" w:cs="宋体"/>
                <w:b/>
                <w:bCs/>
                <w:color w:val="auto"/>
                <w:spacing w:val="8"/>
                <w:kern w:val="0"/>
                <w:sz w:val="22"/>
                <w:szCs w:val="21"/>
                <w:highlight w:val="none"/>
                <w:lang w:eastAsia="en-US" w:bidi="ar"/>
              </w:rPr>
              <w:t>指标名称</w:t>
            </w:r>
          </w:p>
        </w:tc>
        <w:tc>
          <w:tcPr>
            <w:tcW w:w="760"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5D83FA0A">
            <w:pPr>
              <w:widowControl/>
              <w:wordWrap w:val="0"/>
              <w:spacing w:line="360" w:lineRule="auto"/>
              <w:ind w:firstLine="0" w:firstLineChars="0"/>
              <w:jc w:val="center"/>
              <w:rPr>
                <w:rFonts w:hint="eastAsia" w:ascii="宋体" w:hAnsi="宋体" w:eastAsia="宋体" w:cs="宋体"/>
                <w:b/>
                <w:bCs/>
                <w:color w:val="auto"/>
                <w:spacing w:val="8"/>
                <w:kern w:val="0"/>
                <w:sz w:val="22"/>
                <w:szCs w:val="21"/>
                <w:highlight w:val="none"/>
                <w:lang w:eastAsia="en-US" w:bidi="ar"/>
              </w:rPr>
            </w:pPr>
            <w:r>
              <w:rPr>
                <w:rFonts w:hint="eastAsia" w:ascii="宋体" w:hAnsi="宋体" w:eastAsia="宋体" w:cs="宋体"/>
                <w:b/>
                <w:bCs/>
                <w:color w:val="auto"/>
                <w:spacing w:val="8"/>
                <w:kern w:val="0"/>
                <w:sz w:val="22"/>
                <w:szCs w:val="21"/>
                <w:highlight w:val="none"/>
                <w:lang w:eastAsia="en-US" w:bidi="ar"/>
              </w:rPr>
              <w:t>计量单位</w:t>
            </w:r>
          </w:p>
        </w:tc>
        <w:tc>
          <w:tcPr>
            <w:tcW w:w="1213"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7EA442DA">
            <w:pPr>
              <w:widowControl/>
              <w:wordWrap w:val="0"/>
              <w:spacing w:line="360" w:lineRule="auto"/>
              <w:ind w:firstLine="0" w:firstLineChars="0"/>
              <w:jc w:val="center"/>
              <w:rPr>
                <w:rFonts w:hint="eastAsia" w:ascii="宋体" w:hAnsi="宋体" w:eastAsia="宋体" w:cs="宋体"/>
                <w:b/>
                <w:bCs/>
                <w:color w:val="auto"/>
                <w:spacing w:val="8"/>
                <w:kern w:val="0"/>
                <w:sz w:val="22"/>
                <w:szCs w:val="21"/>
                <w:highlight w:val="none"/>
                <w:lang w:eastAsia="en-US" w:bidi="ar"/>
              </w:rPr>
            </w:pPr>
            <w:r>
              <w:rPr>
                <w:rFonts w:hint="eastAsia" w:ascii="宋体" w:hAnsi="宋体" w:eastAsia="宋体" w:cs="宋体"/>
                <w:b/>
                <w:bCs/>
                <w:color w:val="auto"/>
                <w:spacing w:val="8"/>
                <w:kern w:val="0"/>
                <w:sz w:val="22"/>
                <w:szCs w:val="21"/>
                <w:highlight w:val="none"/>
                <w:lang w:eastAsia="en-US" w:bidi="ar"/>
              </w:rPr>
              <w:t>大型</w:t>
            </w:r>
          </w:p>
        </w:tc>
        <w:tc>
          <w:tcPr>
            <w:tcW w:w="1827"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5788843A">
            <w:pPr>
              <w:widowControl/>
              <w:wordWrap w:val="0"/>
              <w:spacing w:line="360" w:lineRule="auto"/>
              <w:ind w:firstLine="0" w:firstLineChars="0"/>
              <w:jc w:val="center"/>
              <w:rPr>
                <w:rFonts w:hint="eastAsia" w:ascii="宋体" w:hAnsi="宋体" w:eastAsia="宋体" w:cs="宋体"/>
                <w:b/>
                <w:bCs/>
                <w:color w:val="auto"/>
                <w:spacing w:val="8"/>
                <w:kern w:val="0"/>
                <w:sz w:val="22"/>
                <w:szCs w:val="21"/>
                <w:highlight w:val="none"/>
                <w:lang w:eastAsia="en-US" w:bidi="ar"/>
              </w:rPr>
            </w:pPr>
            <w:r>
              <w:rPr>
                <w:rFonts w:hint="eastAsia" w:ascii="宋体" w:hAnsi="宋体" w:eastAsia="宋体" w:cs="宋体"/>
                <w:b/>
                <w:bCs/>
                <w:color w:val="auto"/>
                <w:spacing w:val="8"/>
                <w:kern w:val="0"/>
                <w:sz w:val="22"/>
                <w:szCs w:val="21"/>
                <w:highlight w:val="none"/>
                <w:lang w:eastAsia="en-US" w:bidi="ar"/>
              </w:rPr>
              <w:t>中型</w:t>
            </w:r>
          </w:p>
        </w:tc>
        <w:tc>
          <w:tcPr>
            <w:tcW w:w="159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0264270B">
            <w:pPr>
              <w:widowControl/>
              <w:wordWrap w:val="0"/>
              <w:spacing w:line="360" w:lineRule="auto"/>
              <w:ind w:firstLine="0" w:firstLineChars="0"/>
              <w:jc w:val="center"/>
              <w:rPr>
                <w:rFonts w:hint="eastAsia" w:ascii="宋体" w:hAnsi="宋体" w:eastAsia="宋体" w:cs="宋体"/>
                <w:b/>
                <w:bCs/>
                <w:color w:val="auto"/>
                <w:spacing w:val="8"/>
                <w:kern w:val="0"/>
                <w:sz w:val="22"/>
                <w:szCs w:val="21"/>
                <w:highlight w:val="none"/>
                <w:lang w:eastAsia="en-US" w:bidi="ar"/>
              </w:rPr>
            </w:pPr>
            <w:r>
              <w:rPr>
                <w:rFonts w:hint="eastAsia" w:ascii="宋体" w:hAnsi="宋体" w:eastAsia="宋体" w:cs="宋体"/>
                <w:b/>
                <w:bCs/>
                <w:color w:val="auto"/>
                <w:spacing w:val="8"/>
                <w:kern w:val="0"/>
                <w:sz w:val="22"/>
                <w:szCs w:val="21"/>
                <w:highlight w:val="none"/>
                <w:lang w:eastAsia="en-US" w:bidi="ar"/>
              </w:rPr>
              <w:t>小型</w:t>
            </w:r>
          </w:p>
        </w:tc>
        <w:tc>
          <w:tcPr>
            <w:tcW w:w="1008"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425CF9C2">
            <w:pPr>
              <w:widowControl/>
              <w:wordWrap w:val="0"/>
              <w:spacing w:line="360" w:lineRule="auto"/>
              <w:ind w:firstLine="0" w:firstLineChars="0"/>
              <w:jc w:val="center"/>
              <w:rPr>
                <w:rFonts w:hint="eastAsia" w:ascii="宋体" w:hAnsi="宋体" w:eastAsia="宋体" w:cs="宋体"/>
                <w:b/>
                <w:bCs/>
                <w:color w:val="auto"/>
                <w:spacing w:val="8"/>
                <w:kern w:val="0"/>
                <w:sz w:val="22"/>
                <w:szCs w:val="21"/>
                <w:highlight w:val="none"/>
                <w:lang w:eastAsia="en-US" w:bidi="ar"/>
              </w:rPr>
            </w:pPr>
            <w:r>
              <w:rPr>
                <w:rFonts w:hint="eastAsia" w:ascii="宋体" w:hAnsi="宋体" w:eastAsia="宋体" w:cs="宋体"/>
                <w:b/>
                <w:bCs/>
                <w:color w:val="auto"/>
                <w:spacing w:val="8"/>
                <w:kern w:val="0"/>
                <w:sz w:val="22"/>
                <w:szCs w:val="21"/>
                <w:highlight w:val="none"/>
                <w:lang w:eastAsia="en-US" w:bidi="ar"/>
              </w:rPr>
              <w:t>微型</w:t>
            </w:r>
          </w:p>
        </w:tc>
      </w:tr>
      <w:tr w14:paraId="6E565ABC">
        <w:tblPrEx>
          <w:tblCellMar>
            <w:top w:w="0" w:type="dxa"/>
            <w:left w:w="0" w:type="dxa"/>
            <w:bottom w:w="0" w:type="dxa"/>
            <w:right w:w="0" w:type="dxa"/>
          </w:tblCellMar>
        </w:tblPrEx>
        <w:trPr>
          <w:trHeight w:val="390" w:hRule="atLeast"/>
          <w:jc w:val="center"/>
        </w:trPr>
        <w:tc>
          <w:tcPr>
            <w:tcW w:w="2133" w:type="dxa"/>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6C2EBA9">
            <w:pPr>
              <w:widowControl/>
              <w:wordWrap w:val="0"/>
              <w:spacing w:line="360" w:lineRule="auto"/>
              <w:ind w:firstLine="0" w:firstLineChars="0"/>
              <w:jc w:val="center"/>
              <w:rPr>
                <w:rFonts w:hint="eastAsia" w:ascii="宋体" w:hAnsi="宋体" w:eastAsia="宋体" w:cs="宋体"/>
                <w:b/>
                <w:bCs/>
                <w:color w:val="auto"/>
                <w:spacing w:val="8"/>
                <w:kern w:val="0"/>
                <w:sz w:val="22"/>
                <w:szCs w:val="21"/>
                <w:highlight w:val="none"/>
                <w:lang w:eastAsia="en-US" w:bidi="ar"/>
              </w:rPr>
            </w:pPr>
            <w:r>
              <w:rPr>
                <w:rFonts w:hint="eastAsia" w:ascii="宋体" w:hAnsi="宋体" w:eastAsia="宋体" w:cs="宋体"/>
                <w:b/>
                <w:bCs/>
                <w:color w:val="auto"/>
                <w:spacing w:val="8"/>
                <w:kern w:val="0"/>
                <w:sz w:val="22"/>
                <w:szCs w:val="21"/>
                <w:highlight w:val="none"/>
                <w:lang w:eastAsia="en-US" w:bidi="ar"/>
              </w:rPr>
              <w:t>其他未列明行业 *</w:t>
            </w:r>
          </w:p>
        </w:tc>
        <w:tc>
          <w:tcPr>
            <w:tcW w:w="147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1380465">
            <w:pPr>
              <w:widowControl/>
              <w:wordWrap w:val="0"/>
              <w:spacing w:line="360" w:lineRule="auto"/>
              <w:ind w:firstLine="0" w:firstLineChars="0"/>
              <w:jc w:val="center"/>
              <w:rPr>
                <w:rFonts w:hint="eastAsia" w:ascii="宋体" w:hAnsi="宋体" w:eastAsia="宋体" w:cs="宋体"/>
                <w:b/>
                <w:bCs/>
                <w:color w:val="auto"/>
                <w:spacing w:val="8"/>
                <w:kern w:val="0"/>
                <w:sz w:val="22"/>
                <w:szCs w:val="21"/>
                <w:highlight w:val="none"/>
                <w:lang w:eastAsia="en-US" w:bidi="ar"/>
              </w:rPr>
            </w:pPr>
            <w:r>
              <w:rPr>
                <w:rFonts w:hint="eastAsia" w:ascii="宋体" w:hAnsi="宋体" w:eastAsia="宋体" w:cs="宋体"/>
                <w:b/>
                <w:bCs/>
                <w:color w:val="auto"/>
                <w:spacing w:val="8"/>
                <w:kern w:val="0"/>
                <w:sz w:val="22"/>
                <w:szCs w:val="21"/>
                <w:highlight w:val="none"/>
                <w:lang w:eastAsia="en-US" w:bidi="ar"/>
              </w:rPr>
              <w:t>从业人员(X)</w:t>
            </w:r>
          </w:p>
        </w:tc>
        <w:tc>
          <w:tcPr>
            <w:tcW w:w="760"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5FC6163">
            <w:pPr>
              <w:widowControl/>
              <w:wordWrap w:val="0"/>
              <w:spacing w:line="360" w:lineRule="auto"/>
              <w:ind w:firstLine="0" w:firstLineChars="0"/>
              <w:jc w:val="center"/>
              <w:rPr>
                <w:rFonts w:hint="eastAsia" w:ascii="宋体" w:hAnsi="宋体" w:eastAsia="宋体" w:cs="宋体"/>
                <w:b/>
                <w:bCs/>
                <w:color w:val="auto"/>
                <w:spacing w:val="8"/>
                <w:kern w:val="0"/>
                <w:sz w:val="22"/>
                <w:szCs w:val="21"/>
                <w:highlight w:val="none"/>
                <w:lang w:eastAsia="en-US" w:bidi="ar"/>
              </w:rPr>
            </w:pPr>
            <w:r>
              <w:rPr>
                <w:rFonts w:hint="eastAsia" w:ascii="宋体" w:hAnsi="宋体" w:eastAsia="宋体" w:cs="宋体"/>
                <w:b/>
                <w:bCs/>
                <w:color w:val="auto"/>
                <w:spacing w:val="8"/>
                <w:kern w:val="0"/>
                <w:sz w:val="22"/>
                <w:szCs w:val="21"/>
                <w:highlight w:val="none"/>
                <w:lang w:eastAsia="en-US" w:bidi="ar"/>
              </w:rPr>
              <w:t>人</w:t>
            </w:r>
          </w:p>
        </w:tc>
        <w:tc>
          <w:tcPr>
            <w:tcW w:w="121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5EFCCAF">
            <w:pPr>
              <w:widowControl/>
              <w:wordWrap w:val="0"/>
              <w:spacing w:line="360" w:lineRule="auto"/>
              <w:ind w:firstLine="0" w:firstLineChars="0"/>
              <w:jc w:val="center"/>
              <w:rPr>
                <w:rFonts w:hint="eastAsia" w:ascii="宋体" w:hAnsi="宋体" w:eastAsia="宋体" w:cs="宋体"/>
                <w:b/>
                <w:bCs/>
                <w:color w:val="auto"/>
                <w:spacing w:val="8"/>
                <w:kern w:val="0"/>
                <w:sz w:val="22"/>
                <w:szCs w:val="21"/>
                <w:highlight w:val="none"/>
                <w:lang w:eastAsia="en-US" w:bidi="ar"/>
              </w:rPr>
            </w:pPr>
            <w:r>
              <w:rPr>
                <w:rFonts w:hint="eastAsia" w:ascii="宋体" w:hAnsi="宋体" w:eastAsia="宋体" w:cs="宋体"/>
                <w:b/>
                <w:bCs/>
                <w:color w:val="auto"/>
                <w:spacing w:val="8"/>
                <w:kern w:val="0"/>
                <w:sz w:val="22"/>
                <w:szCs w:val="21"/>
                <w:highlight w:val="none"/>
                <w:lang w:eastAsia="en-US" w:bidi="ar"/>
              </w:rPr>
              <w:t>X≥300</w:t>
            </w:r>
          </w:p>
        </w:tc>
        <w:tc>
          <w:tcPr>
            <w:tcW w:w="1827"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E6C2D18">
            <w:pPr>
              <w:widowControl/>
              <w:wordWrap w:val="0"/>
              <w:spacing w:line="360" w:lineRule="auto"/>
              <w:ind w:firstLine="0" w:firstLineChars="0"/>
              <w:jc w:val="center"/>
              <w:rPr>
                <w:rFonts w:hint="eastAsia" w:ascii="宋体" w:hAnsi="宋体" w:eastAsia="宋体" w:cs="宋体"/>
                <w:b/>
                <w:bCs/>
                <w:color w:val="auto"/>
                <w:spacing w:val="8"/>
                <w:kern w:val="0"/>
                <w:sz w:val="22"/>
                <w:szCs w:val="21"/>
                <w:highlight w:val="none"/>
                <w:lang w:eastAsia="en-US" w:bidi="ar"/>
              </w:rPr>
            </w:pPr>
            <w:r>
              <w:rPr>
                <w:rFonts w:hint="eastAsia" w:ascii="宋体" w:hAnsi="宋体" w:eastAsia="宋体" w:cs="宋体"/>
                <w:b/>
                <w:bCs/>
                <w:color w:val="auto"/>
                <w:spacing w:val="8"/>
                <w:kern w:val="0"/>
                <w:sz w:val="22"/>
                <w:szCs w:val="21"/>
                <w:highlight w:val="none"/>
                <w:lang w:eastAsia="en-US" w:bidi="ar"/>
              </w:rPr>
              <w:t>100≤X＜300</w:t>
            </w:r>
          </w:p>
        </w:tc>
        <w:tc>
          <w:tcPr>
            <w:tcW w:w="159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E705BED">
            <w:pPr>
              <w:widowControl/>
              <w:wordWrap w:val="0"/>
              <w:spacing w:line="360" w:lineRule="auto"/>
              <w:ind w:firstLine="0" w:firstLineChars="0"/>
              <w:jc w:val="center"/>
              <w:rPr>
                <w:rFonts w:hint="eastAsia" w:ascii="宋体" w:hAnsi="宋体" w:eastAsia="宋体" w:cs="宋体"/>
                <w:b/>
                <w:bCs/>
                <w:color w:val="auto"/>
                <w:spacing w:val="8"/>
                <w:kern w:val="0"/>
                <w:sz w:val="22"/>
                <w:szCs w:val="21"/>
                <w:highlight w:val="none"/>
                <w:lang w:eastAsia="en-US" w:bidi="ar"/>
              </w:rPr>
            </w:pPr>
            <w:r>
              <w:rPr>
                <w:rFonts w:hint="eastAsia" w:ascii="宋体" w:hAnsi="宋体" w:eastAsia="宋体" w:cs="宋体"/>
                <w:b/>
                <w:bCs/>
                <w:color w:val="auto"/>
                <w:spacing w:val="8"/>
                <w:kern w:val="0"/>
                <w:sz w:val="22"/>
                <w:szCs w:val="21"/>
                <w:highlight w:val="none"/>
                <w:lang w:eastAsia="en-US" w:bidi="ar"/>
              </w:rPr>
              <w:t>10≤X＜100</w:t>
            </w:r>
          </w:p>
        </w:tc>
        <w:tc>
          <w:tcPr>
            <w:tcW w:w="100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820D6F6">
            <w:pPr>
              <w:widowControl/>
              <w:wordWrap w:val="0"/>
              <w:spacing w:line="360" w:lineRule="auto"/>
              <w:ind w:firstLine="0" w:firstLineChars="0"/>
              <w:jc w:val="center"/>
              <w:rPr>
                <w:rFonts w:hint="eastAsia" w:ascii="宋体" w:hAnsi="宋体" w:eastAsia="宋体" w:cs="宋体"/>
                <w:b/>
                <w:bCs/>
                <w:color w:val="auto"/>
                <w:spacing w:val="8"/>
                <w:kern w:val="0"/>
                <w:sz w:val="22"/>
                <w:szCs w:val="21"/>
                <w:highlight w:val="none"/>
                <w:lang w:eastAsia="en-US" w:bidi="ar"/>
              </w:rPr>
            </w:pPr>
            <w:r>
              <w:rPr>
                <w:rFonts w:hint="eastAsia" w:ascii="宋体" w:hAnsi="宋体" w:eastAsia="宋体" w:cs="宋体"/>
                <w:b/>
                <w:bCs/>
                <w:color w:val="auto"/>
                <w:spacing w:val="8"/>
                <w:kern w:val="0"/>
                <w:sz w:val="22"/>
                <w:szCs w:val="21"/>
                <w:highlight w:val="none"/>
                <w:lang w:eastAsia="en-US" w:bidi="ar"/>
              </w:rPr>
              <w:t>X＜10</w:t>
            </w:r>
          </w:p>
        </w:tc>
      </w:tr>
    </w:tbl>
    <w:p w14:paraId="6ADC8D66">
      <w:pPr>
        <w:spacing w:line="360" w:lineRule="auto"/>
        <w:ind w:firstLine="480" w:firstLineChars="200"/>
        <w:rPr>
          <w:rFonts w:ascii="宋体" w:hAnsi="宋体" w:cs="宋体"/>
          <w:spacing w:val="15"/>
          <w:szCs w:val="21"/>
          <w:highlight w:val="none"/>
        </w:rPr>
      </w:pPr>
      <w:r>
        <w:rPr>
          <w:rFonts w:hint="eastAsia" w:ascii="宋体" w:hAnsi="宋体" w:cs="宋体"/>
          <w:spacing w:val="15"/>
          <w:szCs w:val="21"/>
          <w:highlight w:val="none"/>
        </w:rPr>
        <w:t>说明：</w:t>
      </w:r>
    </w:p>
    <w:p w14:paraId="6E70E5E6">
      <w:pPr>
        <w:spacing w:line="360" w:lineRule="auto"/>
        <w:ind w:firstLine="480" w:firstLineChars="200"/>
        <w:rPr>
          <w:rFonts w:ascii="宋体" w:hAnsi="宋体" w:cs="宋体"/>
          <w:b/>
          <w:bCs/>
          <w:spacing w:val="15"/>
          <w:szCs w:val="21"/>
          <w:highlight w:val="none"/>
        </w:rPr>
      </w:pPr>
      <w:r>
        <w:rPr>
          <w:rFonts w:hint="eastAsia" w:ascii="宋体" w:hAnsi="宋体" w:cs="宋体"/>
          <w:spacing w:val="15"/>
          <w:szCs w:val="21"/>
          <w:highlight w:val="none"/>
        </w:rPr>
        <w:t>1</w:t>
      </w:r>
      <w:r>
        <w:rPr>
          <w:rFonts w:hint="eastAsia" w:ascii="宋体" w:hAnsi="宋体" w:cs="宋体"/>
          <w:b/>
          <w:bCs/>
          <w:spacing w:val="15"/>
          <w:szCs w:val="21"/>
          <w:highlight w:val="none"/>
        </w:rPr>
        <w:t>.大型、中型和小型企业须同时满足所列指标的下限，否则下划一档；微型企业只须满足所列指标中的一项即可。</w:t>
      </w:r>
    </w:p>
    <w:p w14:paraId="35D77E2F">
      <w:pPr>
        <w:spacing w:line="360" w:lineRule="auto"/>
        <w:ind w:firstLine="480" w:firstLineChars="200"/>
        <w:rPr>
          <w:rFonts w:ascii="宋体" w:hAnsi="宋体" w:cs="宋体"/>
          <w:spacing w:val="15"/>
          <w:szCs w:val="21"/>
          <w:highlight w:val="none"/>
        </w:rPr>
      </w:pPr>
      <w:r>
        <w:rPr>
          <w:rFonts w:hint="eastAsia" w:ascii="宋体" w:hAnsi="宋体" w:cs="宋体"/>
          <w:spacing w:val="15"/>
          <w:szCs w:val="21"/>
          <w:highlight w:val="none"/>
        </w:rPr>
        <w:t>2.附表中各行业的范围以《国民经济行业分类》（GB/T4754-2017）为准。</w:t>
      </w:r>
      <w:r>
        <w:rPr>
          <w:rFonts w:hint="eastAsia" w:ascii="宋体" w:hAnsi="宋体" w:cs="宋体"/>
          <w:b/>
          <w:bCs/>
          <w:spacing w:val="15"/>
          <w:szCs w:val="21"/>
          <w:highlight w:val="none"/>
        </w:rPr>
        <w:t>带*的项为行业组合类别</w:t>
      </w:r>
      <w:r>
        <w:rPr>
          <w:rFonts w:hint="eastAsia" w:ascii="宋体" w:hAnsi="宋体" w:cs="宋体"/>
          <w:spacing w:val="15"/>
          <w:szCs w:val="21"/>
          <w:highlight w:val="none"/>
        </w:rPr>
        <w:t>，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D2179B6">
      <w:pPr>
        <w:spacing w:line="360" w:lineRule="auto"/>
        <w:ind w:firstLine="480" w:firstLineChars="200"/>
        <w:rPr>
          <w:rFonts w:ascii="宋体" w:hAnsi="宋体" w:cs="宋体"/>
          <w:spacing w:val="15"/>
          <w:szCs w:val="21"/>
          <w:highlight w:val="none"/>
        </w:rPr>
      </w:pPr>
      <w:r>
        <w:rPr>
          <w:rFonts w:hint="eastAsia" w:ascii="宋体" w:hAnsi="宋体" w:cs="宋体"/>
          <w:spacing w:val="15"/>
          <w:szCs w:val="21"/>
          <w:highlight w:val="none"/>
        </w:rPr>
        <w:t>3.企业划分指标以现行统计制度为准。</w:t>
      </w:r>
    </w:p>
    <w:p w14:paraId="28769F48">
      <w:pPr>
        <w:spacing w:line="360" w:lineRule="auto"/>
        <w:ind w:firstLine="480" w:firstLineChars="200"/>
        <w:rPr>
          <w:rFonts w:ascii="宋体" w:hAnsi="宋体" w:cs="宋体"/>
          <w:spacing w:val="15"/>
          <w:szCs w:val="21"/>
          <w:highlight w:val="none"/>
        </w:rPr>
      </w:pPr>
      <w:r>
        <w:rPr>
          <w:rFonts w:hint="eastAsia" w:ascii="宋体" w:hAnsi="宋体" w:cs="宋体"/>
          <w:spacing w:val="15"/>
          <w:szCs w:val="21"/>
          <w:highlight w:val="none"/>
        </w:rPr>
        <w:t>（1）从业人员，是指期末从业人员数，没有期末从业人员数的，采用全年平均人员数代替。</w:t>
      </w:r>
    </w:p>
    <w:p w14:paraId="1E1F7E09">
      <w:pPr>
        <w:spacing w:line="360" w:lineRule="auto"/>
        <w:ind w:firstLine="480" w:firstLineChars="200"/>
        <w:rPr>
          <w:rFonts w:ascii="宋体" w:hAnsi="宋体" w:cs="宋体"/>
          <w:spacing w:val="15"/>
          <w:szCs w:val="21"/>
          <w:highlight w:val="none"/>
        </w:rPr>
      </w:pPr>
      <w:r>
        <w:rPr>
          <w:rFonts w:hint="eastAsia" w:ascii="宋体" w:hAnsi="宋体" w:cs="宋体"/>
          <w:spacing w:val="15"/>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91934F9">
      <w:pPr>
        <w:spacing w:line="360" w:lineRule="auto"/>
        <w:ind w:firstLine="480" w:firstLineChars="200"/>
        <w:rPr>
          <w:rFonts w:hint="eastAsia" w:ascii="宋体" w:hAnsi="宋体" w:cs="宋体"/>
          <w:spacing w:val="15"/>
          <w:szCs w:val="21"/>
          <w:highlight w:val="none"/>
        </w:rPr>
      </w:pPr>
      <w:r>
        <w:rPr>
          <w:rFonts w:hint="eastAsia" w:ascii="宋体" w:hAnsi="宋体" w:cs="宋体"/>
          <w:spacing w:val="15"/>
          <w:szCs w:val="21"/>
          <w:highlight w:val="none"/>
        </w:rPr>
        <w:t>（3）资产总额，采用资产总计代替。</w:t>
      </w:r>
    </w:p>
    <w:p w14:paraId="3EB628BD">
      <w:pPr>
        <w:pStyle w:val="57"/>
        <w:rPr>
          <w:rFonts w:hint="eastAsia"/>
          <w:highlight w:val="none"/>
        </w:rPr>
      </w:pPr>
    </w:p>
    <w:p w14:paraId="6964B350">
      <w:pPr>
        <w:rPr>
          <w:rFonts w:hint="eastAsia" w:ascii="宋体" w:hAnsi="宋体" w:cs="宋体"/>
          <w:spacing w:val="15"/>
          <w:szCs w:val="21"/>
          <w:highlight w:val="none"/>
        </w:rPr>
      </w:pPr>
      <w:r>
        <w:rPr>
          <w:rFonts w:hint="eastAsia" w:ascii="宋体" w:hAnsi="宋体" w:cs="宋体"/>
          <w:spacing w:val="15"/>
          <w:szCs w:val="21"/>
          <w:highlight w:val="none"/>
        </w:rPr>
        <w:br w:type="page"/>
      </w:r>
    </w:p>
    <w:p w14:paraId="57778D4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1"/>
        <w:rPr>
          <w:rFonts w:hint="eastAsia" w:ascii="宋体" w:hAnsi="宋体" w:eastAsia="宋体" w:cs="宋体"/>
          <w:color w:val="auto"/>
          <w:kern w:val="0"/>
          <w:sz w:val="21"/>
          <w:szCs w:val="21"/>
          <w:highlight w:val="none"/>
        </w:rPr>
      </w:pPr>
      <w:r>
        <w:rPr>
          <w:rFonts w:hint="eastAsia" w:ascii="宋体" w:hAnsi="宋体" w:eastAsia="宋体" w:cs="宋体"/>
          <w:b/>
          <w:color w:val="auto"/>
          <w:kern w:val="2"/>
          <w:sz w:val="28"/>
          <w:szCs w:val="28"/>
          <w:highlight w:val="none"/>
          <w:lang w:val="en-US" w:eastAsia="zh-CN" w:bidi="ar-SA"/>
        </w:rPr>
        <w:t>十、残疾人福利性单位声明函</w:t>
      </w:r>
      <w:r>
        <w:rPr>
          <w:rFonts w:hint="eastAsia" w:ascii="宋体" w:hAnsi="宋体" w:eastAsia="宋体" w:cs="宋体"/>
          <w:b/>
          <w:bCs w:val="0"/>
          <w:color w:val="auto"/>
          <w:kern w:val="2"/>
          <w:sz w:val="28"/>
          <w:szCs w:val="28"/>
          <w:highlight w:val="none"/>
          <w:lang w:val="en-US" w:eastAsia="zh-CN" w:bidi="ar-SA"/>
        </w:rPr>
        <w:t>（如有）</w:t>
      </w:r>
    </w:p>
    <w:p w14:paraId="59B7A8C8">
      <w:pPr>
        <w:bidi w:val="0"/>
        <w:spacing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（属于残疾人福利企业的填写，不属于的无需填写此项内容）</w:t>
      </w:r>
    </w:p>
    <w:p w14:paraId="1D99878C">
      <w:pPr>
        <w:pStyle w:val="57"/>
        <w:bidi w:val="0"/>
        <w:rPr>
          <w:rFonts w:hint="eastAsia" w:ascii="宋体" w:hAnsi="宋体" w:eastAsia="宋体" w:cs="宋体"/>
          <w:color w:val="auto"/>
          <w:sz w:val="21"/>
          <w:szCs w:val="21"/>
          <w:highlight w:val="none"/>
        </w:rPr>
      </w:pPr>
    </w:p>
    <w:p w14:paraId="38074B44">
      <w:pPr>
        <w:bidi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本单位郑重声明，根据《财政部民政部中国残疾人联合会关于促进残疾人就业政府采购政策的通知》财库（2017〔141〕号）的规定，本单位为符合该文件之规定条件的残疾人福利性单位</w:t>
      </w:r>
      <w:r>
        <w:rPr>
          <w:rFonts w:hint="eastAsia" w:ascii="宋体" w:hAnsi="宋体" w:eastAsia="宋体" w:cs="宋体"/>
          <w:color w:val="auto"/>
          <w:sz w:val="21"/>
          <w:szCs w:val="21"/>
          <w:highlight w:val="none"/>
          <w:lang w:eastAsia="zh-CN"/>
        </w:rPr>
        <w:t>。</w:t>
      </w:r>
    </w:p>
    <w:p w14:paraId="0CD4E8BB">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本单位对上述声明的真实性负责。如有虚假，将承担相应的法律责任。</w:t>
      </w:r>
    </w:p>
    <w:p w14:paraId="335AA4E3">
      <w:pPr>
        <w:bidi w:val="0"/>
        <w:spacing w:line="360" w:lineRule="auto"/>
        <w:ind w:firstLine="420" w:firstLineChars="200"/>
        <w:rPr>
          <w:rFonts w:hint="eastAsia" w:ascii="宋体" w:hAnsi="宋体" w:eastAsia="宋体" w:cs="宋体"/>
          <w:color w:val="auto"/>
          <w:sz w:val="21"/>
          <w:szCs w:val="21"/>
          <w:highlight w:val="none"/>
        </w:rPr>
      </w:pPr>
    </w:p>
    <w:p w14:paraId="786211AB">
      <w:pPr>
        <w:bidi w:val="0"/>
        <w:spacing w:line="360" w:lineRule="auto"/>
        <w:ind w:firstLine="420" w:firstLineChars="200"/>
        <w:rPr>
          <w:rFonts w:hint="eastAsia" w:ascii="宋体" w:hAnsi="宋体" w:eastAsia="宋体" w:cs="宋体"/>
          <w:color w:val="auto"/>
          <w:sz w:val="21"/>
          <w:szCs w:val="21"/>
          <w:highlight w:val="none"/>
        </w:rPr>
      </w:pPr>
    </w:p>
    <w:p w14:paraId="691455DE">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供应商名称（单位电子签章）：</w:t>
      </w:r>
    </w:p>
    <w:p w14:paraId="40AD3EC9">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14:paraId="0F0F6750">
      <w:pPr>
        <w:keepNext/>
        <w:keepLines w:val="0"/>
        <w:pageBreakBefore w:val="0"/>
        <w:widowControl w:val="0"/>
        <w:numPr>
          <w:ilvl w:val="0"/>
          <w:numId w:val="0"/>
        </w:numPr>
        <w:kinsoku/>
        <w:wordWrap/>
        <w:overflowPunct/>
        <w:topLinePunct w:val="0"/>
        <w:autoSpaceDE/>
        <w:autoSpaceDN/>
        <w:bidi w:val="0"/>
        <w:adjustRightInd/>
        <w:snapToGrid/>
        <w:ind w:left="425"/>
        <w:jc w:val="center"/>
        <w:textAlignment w:val="auto"/>
        <w:outlineLvl w:val="9"/>
        <w:rPr>
          <w:rFonts w:hint="eastAsia" w:ascii="宋体" w:hAnsi="宋体" w:eastAsia="宋体" w:cs="宋体"/>
          <w:b/>
          <w:bCs w:val="0"/>
          <w:color w:val="auto"/>
          <w:kern w:val="2"/>
          <w:sz w:val="21"/>
          <w:szCs w:val="21"/>
          <w:highlight w:val="none"/>
          <w:lang w:val="en-US" w:eastAsia="zh-CN" w:bidi="ar-SA"/>
        </w:rPr>
      </w:pPr>
    </w:p>
    <w:p w14:paraId="15846674">
      <w:pPr>
        <w:rPr>
          <w:rFonts w:hint="eastAsia" w:ascii="宋体" w:hAnsi="宋体" w:eastAsia="宋体" w:cs="宋体"/>
          <w:b/>
          <w:bCs w:val="0"/>
          <w:color w:val="auto"/>
          <w:kern w:val="2"/>
          <w:sz w:val="21"/>
          <w:szCs w:val="21"/>
          <w:highlight w:val="none"/>
          <w:lang w:val="en-US" w:eastAsia="zh-CN" w:bidi="ar-SA"/>
        </w:rPr>
      </w:pPr>
    </w:p>
    <w:p w14:paraId="45140364">
      <w:pPr>
        <w:pStyle w:val="51"/>
        <w:rPr>
          <w:rFonts w:hint="eastAsia" w:ascii="宋体" w:hAnsi="宋体" w:eastAsia="宋体" w:cs="宋体"/>
          <w:b/>
          <w:bCs w:val="0"/>
          <w:color w:val="auto"/>
          <w:kern w:val="2"/>
          <w:sz w:val="21"/>
          <w:szCs w:val="21"/>
          <w:highlight w:val="none"/>
          <w:lang w:val="en-US" w:eastAsia="zh-CN" w:bidi="ar-SA"/>
        </w:rPr>
      </w:pPr>
    </w:p>
    <w:p w14:paraId="65D13457">
      <w:pPr>
        <w:pStyle w:val="22"/>
        <w:rPr>
          <w:rFonts w:hint="eastAsia" w:ascii="宋体" w:hAnsi="宋体" w:eastAsia="宋体" w:cs="宋体"/>
          <w:b/>
          <w:bCs w:val="0"/>
          <w:color w:val="auto"/>
          <w:kern w:val="2"/>
          <w:sz w:val="21"/>
          <w:szCs w:val="21"/>
          <w:highlight w:val="none"/>
          <w:lang w:val="en-US" w:eastAsia="zh-CN" w:bidi="ar-SA"/>
        </w:rPr>
      </w:pPr>
    </w:p>
    <w:p w14:paraId="175D2BD1">
      <w:pPr>
        <w:pStyle w:val="22"/>
        <w:rPr>
          <w:rFonts w:hint="eastAsia" w:ascii="宋体" w:hAnsi="宋体" w:eastAsia="宋体" w:cs="宋体"/>
          <w:b/>
          <w:bCs w:val="0"/>
          <w:color w:val="auto"/>
          <w:kern w:val="2"/>
          <w:sz w:val="21"/>
          <w:szCs w:val="21"/>
          <w:highlight w:val="none"/>
          <w:lang w:val="en-US" w:eastAsia="zh-CN" w:bidi="ar-SA"/>
        </w:rPr>
      </w:pPr>
    </w:p>
    <w:p w14:paraId="5AE35E97">
      <w:pPr>
        <w:pStyle w:val="22"/>
        <w:rPr>
          <w:rFonts w:hint="eastAsia" w:ascii="宋体" w:hAnsi="宋体" w:eastAsia="宋体" w:cs="宋体"/>
          <w:b/>
          <w:bCs w:val="0"/>
          <w:color w:val="auto"/>
          <w:kern w:val="2"/>
          <w:sz w:val="21"/>
          <w:szCs w:val="21"/>
          <w:highlight w:val="none"/>
          <w:lang w:val="en-US" w:eastAsia="zh-CN" w:bidi="ar-SA"/>
        </w:rPr>
      </w:pPr>
    </w:p>
    <w:p w14:paraId="4C8DB3FF">
      <w:pPr>
        <w:pStyle w:val="22"/>
        <w:rPr>
          <w:rFonts w:hint="eastAsia" w:ascii="宋体" w:hAnsi="宋体" w:eastAsia="宋体" w:cs="宋体"/>
          <w:b/>
          <w:bCs w:val="0"/>
          <w:color w:val="auto"/>
          <w:kern w:val="2"/>
          <w:sz w:val="21"/>
          <w:szCs w:val="21"/>
          <w:highlight w:val="none"/>
          <w:lang w:val="en-US" w:eastAsia="zh-CN" w:bidi="ar-SA"/>
        </w:rPr>
      </w:pPr>
    </w:p>
    <w:p w14:paraId="2C0733F4">
      <w:pPr>
        <w:pStyle w:val="22"/>
        <w:rPr>
          <w:rFonts w:hint="eastAsia" w:ascii="宋体" w:hAnsi="宋体" w:eastAsia="宋体" w:cs="宋体"/>
          <w:b/>
          <w:bCs w:val="0"/>
          <w:color w:val="auto"/>
          <w:kern w:val="2"/>
          <w:sz w:val="21"/>
          <w:szCs w:val="21"/>
          <w:highlight w:val="none"/>
          <w:lang w:val="en-US" w:eastAsia="zh-CN" w:bidi="ar-SA"/>
        </w:rPr>
      </w:pPr>
    </w:p>
    <w:p w14:paraId="316FD85C">
      <w:pPr>
        <w:pStyle w:val="22"/>
        <w:rPr>
          <w:rFonts w:hint="eastAsia" w:ascii="宋体" w:hAnsi="宋体" w:eastAsia="宋体" w:cs="宋体"/>
          <w:b/>
          <w:bCs w:val="0"/>
          <w:color w:val="auto"/>
          <w:kern w:val="2"/>
          <w:sz w:val="21"/>
          <w:szCs w:val="21"/>
          <w:highlight w:val="none"/>
          <w:lang w:val="en-US" w:eastAsia="zh-CN" w:bidi="ar-SA"/>
        </w:rPr>
      </w:pPr>
    </w:p>
    <w:p w14:paraId="520FA991">
      <w:pPr>
        <w:pStyle w:val="22"/>
        <w:rPr>
          <w:rFonts w:hint="eastAsia" w:ascii="宋体" w:hAnsi="宋体" w:eastAsia="宋体" w:cs="宋体"/>
          <w:b/>
          <w:bCs w:val="0"/>
          <w:color w:val="auto"/>
          <w:kern w:val="2"/>
          <w:sz w:val="21"/>
          <w:szCs w:val="21"/>
          <w:highlight w:val="none"/>
          <w:lang w:val="en-US" w:eastAsia="zh-CN" w:bidi="ar-SA"/>
        </w:rPr>
      </w:pPr>
    </w:p>
    <w:p w14:paraId="2866DDBF">
      <w:pPr>
        <w:pStyle w:val="22"/>
        <w:rPr>
          <w:rFonts w:hint="eastAsia" w:ascii="宋体" w:hAnsi="宋体" w:eastAsia="宋体" w:cs="宋体"/>
          <w:b/>
          <w:bCs w:val="0"/>
          <w:color w:val="auto"/>
          <w:kern w:val="2"/>
          <w:sz w:val="21"/>
          <w:szCs w:val="21"/>
          <w:highlight w:val="none"/>
          <w:lang w:val="en-US" w:eastAsia="zh-CN" w:bidi="ar-SA"/>
        </w:rPr>
      </w:pPr>
    </w:p>
    <w:p w14:paraId="08228896">
      <w:pPr>
        <w:pStyle w:val="22"/>
        <w:rPr>
          <w:rFonts w:hint="eastAsia" w:ascii="宋体" w:hAnsi="宋体" w:eastAsia="宋体" w:cs="宋体"/>
          <w:b/>
          <w:bCs w:val="0"/>
          <w:color w:val="auto"/>
          <w:kern w:val="2"/>
          <w:sz w:val="21"/>
          <w:szCs w:val="21"/>
          <w:highlight w:val="none"/>
          <w:lang w:val="en-US" w:eastAsia="zh-CN" w:bidi="ar-SA"/>
        </w:rPr>
      </w:pPr>
    </w:p>
    <w:p w14:paraId="65A1B77F">
      <w:pPr>
        <w:pStyle w:val="22"/>
        <w:rPr>
          <w:rFonts w:hint="eastAsia" w:ascii="宋体" w:hAnsi="宋体" w:eastAsia="宋体" w:cs="宋体"/>
          <w:b/>
          <w:bCs w:val="0"/>
          <w:color w:val="auto"/>
          <w:kern w:val="2"/>
          <w:sz w:val="21"/>
          <w:szCs w:val="21"/>
          <w:highlight w:val="none"/>
          <w:lang w:val="en-US" w:eastAsia="zh-CN" w:bidi="ar-SA"/>
        </w:rPr>
      </w:pPr>
    </w:p>
    <w:p w14:paraId="59D737A0">
      <w:pPr>
        <w:pStyle w:val="22"/>
        <w:rPr>
          <w:rFonts w:hint="eastAsia" w:ascii="宋体" w:hAnsi="宋体" w:eastAsia="宋体" w:cs="宋体"/>
          <w:b/>
          <w:bCs w:val="0"/>
          <w:color w:val="auto"/>
          <w:kern w:val="2"/>
          <w:sz w:val="21"/>
          <w:szCs w:val="21"/>
          <w:highlight w:val="none"/>
          <w:lang w:val="en-US" w:eastAsia="zh-CN" w:bidi="ar-SA"/>
        </w:rPr>
      </w:pPr>
    </w:p>
    <w:p w14:paraId="511186EF">
      <w:pPr>
        <w:pStyle w:val="22"/>
        <w:rPr>
          <w:rFonts w:hint="eastAsia" w:ascii="宋体" w:hAnsi="宋体" w:eastAsia="宋体" w:cs="宋体"/>
          <w:b/>
          <w:bCs w:val="0"/>
          <w:color w:val="auto"/>
          <w:kern w:val="2"/>
          <w:sz w:val="21"/>
          <w:szCs w:val="21"/>
          <w:highlight w:val="none"/>
          <w:lang w:val="en-US" w:eastAsia="zh-CN" w:bidi="ar-SA"/>
        </w:rPr>
      </w:pPr>
    </w:p>
    <w:p w14:paraId="48365095">
      <w:pPr>
        <w:pStyle w:val="22"/>
        <w:rPr>
          <w:rFonts w:hint="eastAsia" w:ascii="宋体" w:hAnsi="宋体" w:eastAsia="宋体" w:cs="宋体"/>
          <w:b/>
          <w:bCs w:val="0"/>
          <w:color w:val="auto"/>
          <w:kern w:val="2"/>
          <w:sz w:val="21"/>
          <w:szCs w:val="21"/>
          <w:highlight w:val="none"/>
          <w:lang w:val="en-US" w:eastAsia="zh-CN" w:bidi="ar-SA"/>
        </w:rPr>
      </w:pPr>
    </w:p>
    <w:p w14:paraId="1ED1DA90">
      <w:pPr>
        <w:pStyle w:val="6"/>
        <w:keepNext/>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bCs w:val="0"/>
          <w:color w:val="auto"/>
          <w:kern w:val="2"/>
          <w:sz w:val="28"/>
          <w:szCs w:val="28"/>
          <w:highlight w:val="none"/>
          <w:lang w:val="en-US" w:eastAsia="zh-CN" w:bidi="ar-SA"/>
        </w:rPr>
      </w:pPr>
      <w:bookmarkStart w:id="1103" w:name="_Toc29661"/>
      <w:bookmarkStart w:id="1104" w:name="_Toc16226"/>
      <w:r>
        <w:rPr>
          <w:rFonts w:hint="eastAsia" w:ascii="宋体" w:hAnsi="宋体" w:eastAsia="宋体" w:cs="宋体"/>
          <w:b/>
          <w:bCs w:val="0"/>
          <w:color w:val="auto"/>
          <w:kern w:val="2"/>
          <w:sz w:val="28"/>
          <w:szCs w:val="28"/>
          <w:highlight w:val="none"/>
          <w:lang w:val="en-US" w:eastAsia="zh-CN" w:bidi="ar-SA"/>
        </w:rPr>
        <w:t>十</w:t>
      </w:r>
      <w:r>
        <w:rPr>
          <w:rFonts w:hint="eastAsia" w:eastAsia="宋体" w:cs="宋体"/>
          <w:b/>
          <w:bCs w:val="0"/>
          <w:color w:val="auto"/>
          <w:kern w:val="2"/>
          <w:sz w:val="28"/>
          <w:szCs w:val="28"/>
          <w:highlight w:val="none"/>
          <w:lang w:val="en-US" w:eastAsia="zh-CN" w:bidi="ar-SA"/>
        </w:rPr>
        <w:t>一</w:t>
      </w:r>
      <w:r>
        <w:rPr>
          <w:rFonts w:hint="eastAsia" w:ascii="宋体" w:hAnsi="宋体" w:eastAsia="宋体" w:cs="宋体"/>
          <w:b/>
          <w:bCs w:val="0"/>
          <w:color w:val="auto"/>
          <w:kern w:val="2"/>
          <w:sz w:val="28"/>
          <w:szCs w:val="28"/>
          <w:highlight w:val="none"/>
          <w:lang w:val="en-US" w:eastAsia="zh-CN" w:bidi="ar-SA"/>
        </w:rPr>
        <w:t>、监狱企业证明文件（如有）</w:t>
      </w:r>
      <w:bookmarkEnd w:id="1103"/>
      <w:bookmarkEnd w:id="1104"/>
    </w:p>
    <w:p w14:paraId="6EBE4613">
      <w:pPr>
        <w:bidi w:val="0"/>
        <w:spacing w:line="360" w:lineRule="auto"/>
        <w:ind w:firstLine="420" w:firstLineChars="20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eastAsia="zh-CN"/>
        </w:rPr>
        <w:t>根据财政部、司法部联合印发《关于政府采购支持监狱企业发展有关问题的通知》（财库【2014】68号）文件、信阳市财政局（信财购[2022]8号）文件规定</w:t>
      </w:r>
      <w:r>
        <w:rPr>
          <w:rFonts w:hint="eastAsia" w:ascii="宋体" w:hAnsi="宋体" w:eastAsia="宋体" w:cs="宋体"/>
          <w:color w:val="auto"/>
          <w:sz w:val="21"/>
          <w:szCs w:val="21"/>
          <w:highlight w:val="none"/>
        </w:rPr>
        <w:t>，凡监狱企业参加政府采购活动视同小型、微型企业，享受评审价格扣除的政府采购优惠政策。此次若有监狱企业参加投标的其报价享受</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的价格扣除，但必须提供由省级以上监狱管理局、戒毒管理局（含新疆生产建设兵团）出具的属于监狱企业的证明文件，否则评审时不予价格扣除优惠。</w:t>
      </w:r>
    </w:p>
    <w:p w14:paraId="018E517C">
      <w:pPr>
        <w:bidi w:val="0"/>
        <w:spacing w:line="360" w:lineRule="auto"/>
        <w:jc w:val="center"/>
        <w:rPr>
          <w:rFonts w:hint="eastAsia" w:ascii="宋体" w:hAnsi="宋体" w:eastAsia="宋体" w:cs="宋体"/>
          <w:color w:val="auto"/>
          <w:sz w:val="21"/>
          <w:szCs w:val="21"/>
          <w:highlight w:val="none"/>
        </w:rPr>
      </w:pPr>
    </w:p>
    <w:p w14:paraId="4928819A">
      <w:pPr>
        <w:bidi w:val="0"/>
        <w:spacing w:line="360" w:lineRule="auto"/>
        <w:jc w:val="center"/>
        <w:rPr>
          <w:rFonts w:hint="eastAsia" w:ascii="宋体" w:hAnsi="宋体" w:eastAsia="宋体" w:cs="宋体"/>
          <w:color w:val="auto"/>
          <w:sz w:val="21"/>
          <w:szCs w:val="21"/>
          <w:highlight w:val="none"/>
        </w:rPr>
      </w:pPr>
    </w:p>
    <w:p w14:paraId="278B889A">
      <w:pPr>
        <w:bidi w:val="0"/>
        <w:spacing w:line="360" w:lineRule="auto"/>
        <w:ind w:firstLine="420" w:firstLineChars="200"/>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rPr>
        <w:t>注：在</w:t>
      </w:r>
      <w:r>
        <w:rPr>
          <w:rFonts w:hint="eastAsia" w:ascii="宋体" w:hAnsi="宋体" w:eastAsia="宋体" w:cs="宋体"/>
          <w:color w:val="auto"/>
          <w:sz w:val="21"/>
          <w:szCs w:val="21"/>
          <w:highlight w:val="none"/>
          <w:u w:val="none"/>
          <w:lang w:val="en-US" w:eastAsia="zh-CN"/>
        </w:rPr>
        <w:t>响应</w:t>
      </w:r>
      <w:r>
        <w:rPr>
          <w:rFonts w:hint="eastAsia" w:ascii="宋体" w:hAnsi="宋体" w:eastAsia="宋体" w:cs="宋体"/>
          <w:color w:val="auto"/>
          <w:sz w:val="21"/>
          <w:szCs w:val="21"/>
          <w:highlight w:val="none"/>
          <w:u w:val="none"/>
          <w:lang w:val="en-US"/>
        </w:rPr>
        <w:t>文件中附扫描件</w:t>
      </w:r>
      <w:r>
        <w:rPr>
          <w:rFonts w:hint="eastAsia" w:ascii="宋体" w:hAnsi="宋体" w:eastAsia="宋体" w:cs="宋体"/>
          <w:color w:val="auto"/>
          <w:sz w:val="21"/>
          <w:szCs w:val="21"/>
          <w:highlight w:val="none"/>
          <w:u w:val="none"/>
          <w:lang w:val="en-US" w:eastAsia="zh-CN"/>
        </w:rPr>
        <w:t>。</w:t>
      </w:r>
    </w:p>
    <w:p w14:paraId="0B562764">
      <w:pPr>
        <w:keepLines w:val="0"/>
        <w:pageBreakBefore w:val="0"/>
        <w:widowControl w:val="0"/>
        <w:numPr>
          <w:ilvl w:val="0"/>
          <w:numId w:val="0"/>
        </w:numPr>
        <w:kinsoku/>
        <w:wordWrap/>
        <w:overflowPunct/>
        <w:topLinePunct w:val="0"/>
        <w:autoSpaceDE/>
        <w:autoSpaceDN/>
        <w:bidi w:val="0"/>
        <w:adjustRightInd/>
        <w:snapToGrid/>
        <w:ind w:left="425"/>
        <w:jc w:val="center"/>
        <w:textAlignment w:val="auto"/>
        <w:outlineLvl w:val="9"/>
        <w:rPr>
          <w:rFonts w:hint="eastAsia" w:ascii="宋体" w:hAnsi="宋体" w:eastAsia="宋体" w:cs="宋体"/>
          <w:b/>
          <w:bCs/>
          <w:color w:val="auto"/>
          <w:kern w:val="2"/>
          <w:sz w:val="28"/>
          <w:szCs w:val="28"/>
          <w:highlight w:val="none"/>
          <w:lang w:val="en-US" w:eastAsia="zh-CN" w:bidi="ar-SA"/>
        </w:rPr>
      </w:pPr>
    </w:p>
    <w:p w14:paraId="28259FAC">
      <w:pPr>
        <w:keepLines w:val="0"/>
        <w:pageBreakBefore w:val="0"/>
        <w:widowControl w:val="0"/>
        <w:numPr>
          <w:ilvl w:val="0"/>
          <w:numId w:val="0"/>
        </w:numPr>
        <w:kinsoku/>
        <w:wordWrap/>
        <w:overflowPunct/>
        <w:topLinePunct w:val="0"/>
        <w:autoSpaceDE/>
        <w:autoSpaceDN/>
        <w:bidi w:val="0"/>
        <w:adjustRightInd/>
        <w:snapToGrid/>
        <w:ind w:left="425"/>
        <w:jc w:val="center"/>
        <w:textAlignment w:val="auto"/>
        <w:outlineLvl w:val="9"/>
        <w:rPr>
          <w:rFonts w:hint="eastAsia" w:ascii="宋体" w:hAnsi="宋体" w:eastAsia="宋体" w:cs="宋体"/>
          <w:b/>
          <w:bCs/>
          <w:color w:val="auto"/>
          <w:kern w:val="2"/>
          <w:sz w:val="28"/>
          <w:szCs w:val="28"/>
          <w:highlight w:val="none"/>
          <w:lang w:val="en-US" w:eastAsia="zh-CN" w:bidi="ar-SA"/>
        </w:rPr>
      </w:pPr>
    </w:p>
    <w:p w14:paraId="33AC5764">
      <w:pPr>
        <w:keepLines w:val="0"/>
        <w:pageBreakBefore w:val="0"/>
        <w:widowControl w:val="0"/>
        <w:numPr>
          <w:ilvl w:val="0"/>
          <w:numId w:val="0"/>
        </w:numPr>
        <w:kinsoku/>
        <w:wordWrap/>
        <w:overflowPunct/>
        <w:topLinePunct w:val="0"/>
        <w:autoSpaceDE/>
        <w:autoSpaceDN/>
        <w:bidi w:val="0"/>
        <w:adjustRightInd/>
        <w:snapToGrid/>
        <w:ind w:left="425"/>
        <w:jc w:val="center"/>
        <w:textAlignment w:val="auto"/>
        <w:outlineLvl w:val="9"/>
        <w:rPr>
          <w:rFonts w:hint="eastAsia" w:ascii="宋体" w:hAnsi="宋体" w:eastAsia="宋体" w:cs="宋体"/>
          <w:b/>
          <w:bCs/>
          <w:color w:val="auto"/>
          <w:kern w:val="2"/>
          <w:sz w:val="28"/>
          <w:szCs w:val="28"/>
          <w:highlight w:val="none"/>
          <w:lang w:val="en-US" w:eastAsia="zh-CN" w:bidi="ar-SA"/>
        </w:rPr>
      </w:pPr>
    </w:p>
    <w:p w14:paraId="6E1977DB">
      <w:pPr>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b/>
          <w:bCs/>
          <w:color w:val="auto"/>
          <w:kern w:val="2"/>
          <w:sz w:val="28"/>
          <w:szCs w:val="28"/>
          <w:highlight w:val="none"/>
          <w:lang w:val="en-US" w:eastAsia="zh-CN" w:bidi="ar-SA"/>
        </w:rPr>
      </w:pPr>
    </w:p>
    <w:p w14:paraId="770B5AF6">
      <w:pPr>
        <w:pStyle w:val="54"/>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b/>
          <w:bCs/>
          <w:color w:val="auto"/>
          <w:kern w:val="2"/>
          <w:sz w:val="28"/>
          <w:szCs w:val="28"/>
          <w:highlight w:val="none"/>
          <w:lang w:val="en-US" w:eastAsia="zh-CN" w:bidi="ar-SA"/>
        </w:rPr>
      </w:pPr>
    </w:p>
    <w:p w14:paraId="1724C05E">
      <w:pPr>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b/>
          <w:bCs/>
          <w:color w:val="auto"/>
          <w:kern w:val="2"/>
          <w:sz w:val="28"/>
          <w:szCs w:val="28"/>
          <w:highlight w:val="none"/>
          <w:lang w:val="en-US" w:eastAsia="zh-CN" w:bidi="ar-SA"/>
        </w:rPr>
      </w:pPr>
    </w:p>
    <w:p w14:paraId="6EB6762F">
      <w:pPr>
        <w:pStyle w:val="54"/>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b/>
          <w:bCs/>
          <w:color w:val="auto"/>
          <w:kern w:val="2"/>
          <w:sz w:val="28"/>
          <w:szCs w:val="28"/>
          <w:highlight w:val="none"/>
          <w:lang w:val="en-US" w:eastAsia="zh-CN" w:bidi="ar-SA"/>
        </w:rPr>
      </w:pPr>
    </w:p>
    <w:p w14:paraId="11A93C25">
      <w:pPr>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b/>
          <w:bCs/>
          <w:color w:val="auto"/>
          <w:kern w:val="2"/>
          <w:sz w:val="28"/>
          <w:szCs w:val="28"/>
          <w:highlight w:val="none"/>
          <w:lang w:val="en-US" w:eastAsia="zh-CN" w:bidi="ar-SA"/>
        </w:rPr>
      </w:pPr>
    </w:p>
    <w:p w14:paraId="3BE0D8CD">
      <w:pPr>
        <w:pStyle w:val="54"/>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b/>
          <w:bCs/>
          <w:color w:val="auto"/>
          <w:kern w:val="2"/>
          <w:sz w:val="28"/>
          <w:szCs w:val="28"/>
          <w:highlight w:val="none"/>
          <w:lang w:val="en-US" w:eastAsia="zh-CN" w:bidi="ar-SA"/>
        </w:rPr>
      </w:pPr>
    </w:p>
    <w:p w14:paraId="26E1872B">
      <w:pPr>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b/>
          <w:bCs/>
          <w:color w:val="auto"/>
          <w:kern w:val="2"/>
          <w:sz w:val="28"/>
          <w:szCs w:val="28"/>
          <w:highlight w:val="none"/>
          <w:lang w:val="en-US" w:eastAsia="zh-CN" w:bidi="ar-SA"/>
        </w:rPr>
      </w:pPr>
    </w:p>
    <w:p w14:paraId="7AB86490">
      <w:pPr>
        <w:pStyle w:val="54"/>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b/>
          <w:bCs/>
          <w:color w:val="auto"/>
          <w:kern w:val="2"/>
          <w:sz w:val="28"/>
          <w:szCs w:val="28"/>
          <w:highlight w:val="none"/>
          <w:lang w:val="en-US" w:eastAsia="zh-CN" w:bidi="ar-SA"/>
        </w:rPr>
      </w:pPr>
    </w:p>
    <w:p w14:paraId="41A0E092">
      <w:pPr>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b/>
          <w:bCs/>
          <w:color w:val="auto"/>
          <w:kern w:val="2"/>
          <w:sz w:val="28"/>
          <w:szCs w:val="28"/>
          <w:highlight w:val="none"/>
          <w:lang w:val="en-US" w:eastAsia="zh-CN" w:bidi="ar-SA"/>
        </w:rPr>
      </w:pPr>
    </w:p>
    <w:p w14:paraId="36210701">
      <w:pPr>
        <w:pStyle w:val="54"/>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highlight w:val="none"/>
          <w:lang w:val="en-US" w:eastAsia="zh-CN"/>
        </w:rPr>
      </w:pPr>
    </w:p>
    <w:p w14:paraId="1477D2AB">
      <w:pPr>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b/>
          <w:bCs/>
          <w:color w:val="auto"/>
          <w:kern w:val="2"/>
          <w:sz w:val="28"/>
          <w:szCs w:val="28"/>
          <w:highlight w:val="none"/>
          <w:lang w:val="en-US" w:eastAsia="zh-CN" w:bidi="ar-SA"/>
        </w:rPr>
      </w:pPr>
    </w:p>
    <w:p w14:paraId="3196047F">
      <w:pPr>
        <w:spacing w:line="36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lang w:eastAsia="zh-CN"/>
        </w:rPr>
        <w:t>息县</w:t>
      </w:r>
      <w:r>
        <w:rPr>
          <w:rFonts w:hint="eastAsia" w:ascii="宋体" w:hAnsi="宋体" w:eastAsia="宋体" w:cs="宋体"/>
          <w:b/>
          <w:sz w:val="24"/>
          <w:szCs w:val="24"/>
          <w:highlight w:val="none"/>
        </w:rPr>
        <w:t>政府采购合同融资操作指南</w:t>
      </w:r>
    </w:p>
    <w:p w14:paraId="4115A38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各参与我县政府采购活动供应商：</w:t>
      </w:r>
    </w:p>
    <w:p w14:paraId="2E92293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政府采购合同融资是为进一步缓解中小企业融资难题，充分发挥政府采购扶持中小微企业发展的政策功能，针对政 府采购中标供应商的“政采e贷”金融服务产品。</w:t>
      </w:r>
    </w:p>
    <w:p w14:paraId="00695E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“政采e贷”是金融机构从河南省电子化政府采购系统中实时采集政府采购项目的中标公告、合同公告等信息，从 而实现对政府采购中标、成交供应商提供基于政府采购合同的在线融资服务。</w:t>
      </w:r>
    </w:p>
    <w:p w14:paraId="41AE31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一、客户准入标准</w:t>
      </w:r>
    </w:p>
    <w:p w14:paraId="2AECB6B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1、政府采购供应商，且与采购人有效签署 《政府采购合同》后，均可向拟贷款金融机构申请办理融资业务。</w:t>
      </w:r>
    </w:p>
    <w:p w14:paraId="2D96BD8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2、依法合规、经营正常，具有专业化、批量化生产和采购人认可的供货能力；</w:t>
      </w:r>
    </w:p>
    <w:p w14:paraId="5EE204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3、未列入政府采购严重违法失信行为记录名单；</w:t>
      </w:r>
    </w:p>
    <w:p w14:paraId="34F7B0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4、在银行的融资无逾期、欠息或垫款情况，且无其他不良信用纪录。</w:t>
      </w:r>
    </w:p>
    <w:p w14:paraId="05E569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二、产品特点</w:t>
      </w:r>
    </w:p>
    <w:p w14:paraId="633A225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1、贷款期限：最长1年(不同银行有差异)</w:t>
      </w:r>
    </w:p>
    <w:p w14:paraId="21971A4A">
      <w:pPr>
        <w:pStyle w:val="26"/>
        <w:keepNext w:val="0"/>
        <w:keepLines w:val="0"/>
        <w:pageBreakBefore w:val="0"/>
        <w:widowControl w:val="0"/>
        <w:tabs>
          <w:tab w:val="left" w:pos="945"/>
          <w:tab w:val="left" w:pos="1155"/>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2、贷款金额：最高500万(不同银行有差异)</w:t>
      </w:r>
    </w:p>
    <w:p w14:paraId="514C4EB5">
      <w:pPr>
        <w:pStyle w:val="26"/>
        <w:keepNext w:val="0"/>
        <w:keepLines w:val="0"/>
        <w:pageBreakBefore w:val="0"/>
        <w:widowControl w:val="0"/>
        <w:tabs>
          <w:tab w:val="left" w:pos="945"/>
          <w:tab w:val="left" w:pos="1155"/>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3、担保方式：信用贷款</w:t>
      </w:r>
    </w:p>
    <w:p w14:paraId="744038EF">
      <w:pPr>
        <w:pStyle w:val="26"/>
        <w:keepNext w:val="0"/>
        <w:keepLines w:val="0"/>
        <w:pageBreakBefore w:val="0"/>
        <w:widowControl w:val="0"/>
        <w:tabs>
          <w:tab w:val="left" w:pos="945"/>
          <w:tab w:val="left" w:pos="1155"/>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4、提款方式：网银在线“秒级”提款</w:t>
      </w:r>
    </w:p>
    <w:p w14:paraId="739E8BAE">
      <w:pPr>
        <w:pStyle w:val="26"/>
        <w:keepNext w:val="0"/>
        <w:keepLines w:val="0"/>
        <w:pageBreakBefore w:val="0"/>
        <w:widowControl w:val="0"/>
        <w:tabs>
          <w:tab w:val="left" w:pos="945"/>
          <w:tab w:val="left" w:pos="1155"/>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三、基本步骤</w:t>
      </w:r>
    </w:p>
    <w:p w14:paraId="14C02FAD">
      <w:pPr>
        <w:pStyle w:val="26"/>
        <w:keepNext w:val="0"/>
        <w:keepLines w:val="0"/>
        <w:pageBreakBefore w:val="0"/>
        <w:widowControl w:val="0"/>
        <w:tabs>
          <w:tab w:val="left" w:pos="945"/>
          <w:tab w:val="left" w:pos="1155"/>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1、企业中标后，需先确定拟贷款金融机构(中标企业可通过发布“供应商融资意向登记”让银行获得融资信息，以便主动联系您 )，中标企业需在拟贷款金融机构开立公司一般结账户或基本存款账户，并以该账户为政府采购合同 的收款账户。</w:t>
      </w:r>
    </w:p>
    <w:p w14:paraId="56DADB5F">
      <w:pPr>
        <w:pStyle w:val="26"/>
        <w:keepNext w:val="0"/>
        <w:keepLines w:val="0"/>
        <w:pageBreakBefore w:val="0"/>
        <w:widowControl w:val="0"/>
        <w:tabs>
          <w:tab w:val="left" w:pos="945"/>
          <w:tab w:val="left" w:pos="1155"/>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2、中标企业签订政府采购合同后(可要求采购人在15日内签订合同)，采购人应在 1 个工作日内将政府采购合同通过河南省电子化采购系统进行合同公告并备案。</w:t>
      </w:r>
    </w:p>
    <w:p w14:paraId="0855145A">
      <w:pPr>
        <w:pStyle w:val="26"/>
        <w:keepNext w:val="0"/>
        <w:keepLines w:val="0"/>
        <w:pageBreakBefore w:val="0"/>
        <w:widowControl w:val="0"/>
        <w:tabs>
          <w:tab w:val="left" w:pos="945"/>
          <w:tab w:val="left" w:pos="1155"/>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3、合同备案后，银行金融机构可以抓取合同信息，办理融资业务。</w:t>
      </w:r>
    </w:p>
    <w:p w14:paraId="3E6212B3">
      <w:pPr>
        <w:pStyle w:val="26"/>
        <w:keepNext w:val="0"/>
        <w:keepLines w:val="0"/>
        <w:pageBreakBefore w:val="0"/>
        <w:widowControl w:val="0"/>
        <w:tabs>
          <w:tab w:val="left" w:pos="945"/>
          <w:tab w:val="left" w:pos="1155"/>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4、采购人无故不及时签订合同的或不在1个工作日内进行合同备案的，中标企业可向</w:t>
      </w:r>
      <w:r>
        <w:rPr>
          <w:rFonts w:hint="eastAsia" w:ascii="宋体" w:hAnsi="宋体" w:eastAsia="宋体" w:cs="宋体"/>
          <w:bCs/>
          <w:sz w:val="21"/>
          <w:szCs w:val="21"/>
          <w:highlight w:val="none"/>
          <w:lang w:eastAsia="zh-CN"/>
        </w:rPr>
        <w:t>息县</w:t>
      </w:r>
      <w:r>
        <w:rPr>
          <w:rFonts w:hint="eastAsia" w:ascii="宋体" w:hAnsi="宋体" w:eastAsia="宋体" w:cs="宋体"/>
          <w:bCs/>
          <w:sz w:val="21"/>
          <w:szCs w:val="21"/>
          <w:highlight w:val="none"/>
        </w:rPr>
        <w:t>政府采购事务中心(电话0376-2980510)反映。</w:t>
      </w:r>
    </w:p>
    <w:p w14:paraId="7BC5F255">
      <w:pPr>
        <w:pStyle w:val="26"/>
        <w:keepNext w:val="0"/>
        <w:keepLines w:val="0"/>
        <w:pageBreakBefore w:val="0"/>
        <w:widowControl w:val="0"/>
        <w:tabs>
          <w:tab w:val="left" w:pos="945"/>
          <w:tab w:val="left" w:pos="1155"/>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四、融资专项通道指引</w:t>
      </w:r>
    </w:p>
    <w:p w14:paraId="29281D85">
      <w:pPr>
        <w:pStyle w:val="26"/>
        <w:keepNext w:val="0"/>
        <w:keepLines w:val="0"/>
        <w:pageBreakBefore w:val="0"/>
        <w:widowControl w:val="0"/>
        <w:tabs>
          <w:tab w:val="left" w:pos="945"/>
          <w:tab w:val="left" w:pos="1155"/>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1.登录</w:t>
      </w:r>
      <w:r>
        <w:rPr>
          <w:rFonts w:hint="eastAsia" w:ascii="宋体" w:hAnsi="宋体" w:eastAsia="宋体" w:cs="宋体"/>
          <w:bCs/>
          <w:sz w:val="21"/>
          <w:szCs w:val="21"/>
          <w:highlight w:val="none"/>
          <w:lang w:eastAsia="zh-CN"/>
        </w:rPr>
        <w:t>息县</w:t>
      </w:r>
      <w:r>
        <w:rPr>
          <w:rFonts w:hint="eastAsia" w:ascii="宋体" w:hAnsi="宋体" w:eastAsia="宋体" w:cs="宋体"/>
          <w:bCs/>
          <w:sz w:val="21"/>
          <w:szCs w:val="21"/>
          <w:highlight w:val="none"/>
        </w:rPr>
        <w:t>政府采购网，在首页点击 “河南省政府采购合同融资平台”(如下)</w:t>
      </w:r>
    </w:p>
    <w:p w14:paraId="3EFD16FF">
      <w:pPr>
        <w:pStyle w:val="26"/>
        <w:keepNext w:val="0"/>
        <w:keepLines w:val="0"/>
        <w:pageBreakBefore w:val="0"/>
        <w:widowControl w:val="0"/>
        <w:tabs>
          <w:tab w:val="left" w:pos="945"/>
          <w:tab w:val="left" w:pos="1155"/>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sz w:val="21"/>
          <w:szCs w:val="21"/>
          <w:highlight w:val="none"/>
        </w:rPr>
      </w:pPr>
      <w:r>
        <w:rPr>
          <w:rFonts w:hint="eastAsia" w:ascii="宋体" w:hAnsi="宋体" w:eastAsia="宋体" w:cs="宋体"/>
          <w:sz w:val="21"/>
          <w:szCs w:val="21"/>
          <w:highlight w:val="none"/>
        </w:rPr>
        <w:drawing>
          <wp:inline distT="0" distB="0" distL="114300" distR="114300">
            <wp:extent cx="5481320" cy="396240"/>
            <wp:effectExtent l="0" t="0" r="5080" b="3810"/>
            <wp:docPr id="9" name="图片 4"/>
            <wp:cNvGraphicFramePr/>
            <a:graphic xmlns:a="http://schemas.openxmlformats.org/drawingml/2006/main">
              <a:graphicData uri="http://schemas.openxmlformats.org/drawingml/2006/picture">
                <pic:pic xmlns:pic="http://schemas.openxmlformats.org/drawingml/2006/picture">
                  <pic:nvPicPr>
                    <pic:cNvPr id="9" name="图片 4"/>
                    <pic:cNvPicPr/>
                  </pic:nvPicPr>
                  <pic:blipFill>
                    <a:blip r:embed="rId27"/>
                    <a:stretch>
                      <a:fillRect/>
                    </a:stretch>
                  </pic:blipFill>
                  <pic:spPr>
                    <a:xfrm>
                      <a:off x="0" y="0"/>
                      <a:ext cx="5481320" cy="396240"/>
                    </a:xfrm>
                    <a:prstGeom prst="rect">
                      <a:avLst/>
                    </a:prstGeom>
                    <a:noFill/>
                    <a:ln>
                      <a:noFill/>
                    </a:ln>
                  </pic:spPr>
                </pic:pic>
              </a:graphicData>
            </a:graphic>
          </wp:inline>
        </w:drawing>
      </w:r>
    </w:p>
    <w:p w14:paraId="754F94BA">
      <w:pPr>
        <w:pStyle w:val="26"/>
        <w:keepNext w:val="0"/>
        <w:keepLines w:val="0"/>
        <w:pageBreakBefore w:val="0"/>
        <w:widowControl w:val="0"/>
        <w:tabs>
          <w:tab w:val="left" w:pos="945"/>
          <w:tab w:val="left" w:pos="1155"/>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2.进入页面后，可点击“机构简介”了解各融资机构具体融资方案，业务联系人等信息。(如下)</w:t>
      </w:r>
    </w:p>
    <w:p w14:paraId="42B45DE7">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sz w:val="21"/>
          <w:szCs w:val="21"/>
          <w:highlight w:val="none"/>
        </w:rPr>
      </w:pPr>
    </w:p>
    <w:p w14:paraId="22EB5F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sz w:val="21"/>
          <w:szCs w:val="21"/>
          <w:highlight w:val="none"/>
        </w:rPr>
      </w:pPr>
      <w:r>
        <w:rPr>
          <w:rFonts w:hint="eastAsia" w:ascii="宋体" w:hAnsi="宋体" w:eastAsia="宋体" w:cs="宋体"/>
          <w:sz w:val="21"/>
          <w:szCs w:val="21"/>
          <w:highlight w:val="none"/>
        </w:rPr>
        <w:drawing>
          <wp:inline distT="0" distB="0" distL="114300" distR="114300">
            <wp:extent cx="5527040" cy="3232150"/>
            <wp:effectExtent l="0" t="0" r="16510" b="6350"/>
            <wp:docPr id="21" name="图片 3"/>
            <wp:cNvGraphicFramePr/>
            <a:graphic xmlns:a="http://schemas.openxmlformats.org/drawingml/2006/main">
              <a:graphicData uri="http://schemas.openxmlformats.org/drawingml/2006/picture">
                <pic:pic xmlns:pic="http://schemas.openxmlformats.org/drawingml/2006/picture">
                  <pic:nvPicPr>
                    <pic:cNvPr id="21" name="图片 3"/>
                    <pic:cNvPicPr/>
                  </pic:nvPicPr>
                  <pic:blipFill>
                    <a:blip r:embed="rId28"/>
                    <a:stretch>
                      <a:fillRect/>
                    </a:stretch>
                  </pic:blipFill>
                  <pic:spPr>
                    <a:xfrm>
                      <a:off x="0" y="0"/>
                      <a:ext cx="5527040" cy="3232150"/>
                    </a:xfrm>
                    <a:prstGeom prst="rect">
                      <a:avLst/>
                    </a:prstGeom>
                    <a:noFill/>
                    <a:ln>
                      <a:noFill/>
                    </a:ln>
                  </pic:spPr>
                </pic:pic>
              </a:graphicData>
            </a:graphic>
          </wp:inline>
        </w:drawing>
      </w:r>
    </w:p>
    <w:p w14:paraId="34D1E88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sz w:val="21"/>
          <w:szCs w:val="21"/>
          <w:highlight w:val="none"/>
        </w:rPr>
      </w:pPr>
    </w:p>
    <w:p w14:paraId="0F402787">
      <w:pPr>
        <w:pStyle w:val="26"/>
        <w:keepNext w:val="0"/>
        <w:keepLines w:val="0"/>
        <w:pageBreakBefore w:val="0"/>
        <w:widowControl w:val="0"/>
        <w:tabs>
          <w:tab w:val="left" w:pos="945"/>
          <w:tab w:val="left" w:pos="1155"/>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3.供应商也可同时点击“供应商融资意向登记”，发布融资意向，以便金融机构服务人员主动联系您。</w:t>
      </w:r>
    </w:p>
    <w:p w14:paraId="304379D4">
      <w:pPr>
        <w:pStyle w:val="26"/>
        <w:keepNext w:val="0"/>
        <w:keepLines w:val="0"/>
        <w:pageBreakBefore w:val="0"/>
        <w:widowControl w:val="0"/>
        <w:tabs>
          <w:tab w:val="left" w:pos="945"/>
          <w:tab w:val="left" w:pos="1155"/>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sz w:val="21"/>
          <w:szCs w:val="21"/>
          <w:highlight w:val="none"/>
        </w:rPr>
      </w:pPr>
      <w:r>
        <w:rPr>
          <w:rFonts w:hint="eastAsia" w:ascii="宋体" w:hAnsi="宋体" w:eastAsia="宋体" w:cs="宋体"/>
          <w:sz w:val="21"/>
          <w:szCs w:val="21"/>
          <w:highlight w:val="none"/>
        </w:rPr>
        <w:drawing>
          <wp:inline distT="0" distB="0" distL="114300" distR="114300">
            <wp:extent cx="5516880" cy="2292350"/>
            <wp:effectExtent l="0" t="0" r="7620" b="12700"/>
            <wp:docPr id="22" name="图片 4"/>
            <wp:cNvGraphicFramePr/>
            <a:graphic xmlns:a="http://schemas.openxmlformats.org/drawingml/2006/main">
              <a:graphicData uri="http://schemas.openxmlformats.org/drawingml/2006/picture">
                <pic:pic xmlns:pic="http://schemas.openxmlformats.org/drawingml/2006/picture">
                  <pic:nvPicPr>
                    <pic:cNvPr id="22" name="图片 4"/>
                    <pic:cNvPicPr/>
                  </pic:nvPicPr>
                  <pic:blipFill>
                    <a:blip r:embed="rId29"/>
                    <a:stretch>
                      <a:fillRect/>
                    </a:stretch>
                  </pic:blipFill>
                  <pic:spPr>
                    <a:xfrm>
                      <a:off x="0" y="0"/>
                      <a:ext cx="5516880" cy="2292350"/>
                    </a:xfrm>
                    <a:prstGeom prst="rect">
                      <a:avLst/>
                    </a:prstGeom>
                    <a:noFill/>
                    <a:ln>
                      <a:noFill/>
                    </a:ln>
                  </pic:spPr>
                </pic:pic>
              </a:graphicData>
            </a:graphic>
          </wp:inline>
        </w:drawing>
      </w:r>
    </w:p>
    <w:p w14:paraId="5480598E">
      <w:pPr>
        <w:rPr>
          <w:rFonts w:hint="eastAsia" w:ascii="宋体" w:hAnsi="宋体" w:eastAsia="宋体" w:cs="宋体"/>
          <w:b/>
          <w:szCs w:val="21"/>
          <w:highlight w:val="none"/>
        </w:rPr>
      </w:pPr>
    </w:p>
    <w:p w14:paraId="518E114A">
      <w:pPr>
        <w:rPr>
          <w:rFonts w:hint="eastAsia" w:ascii="宋体" w:hAnsi="宋体" w:eastAsia="宋体" w:cs="宋体"/>
          <w:b/>
          <w:szCs w:val="21"/>
          <w:highlight w:val="none"/>
        </w:rPr>
      </w:pPr>
    </w:p>
    <w:p w14:paraId="01D22FFD">
      <w:pPr>
        <w:rPr>
          <w:rFonts w:hint="eastAsia" w:ascii="宋体" w:hAnsi="宋体" w:eastAsia="宋体" w:cs="宋体"/>
          <w:bCs/>
          <w:sz w:val="21"/>
          <w:szCs w:val="21"/>
          <w:highlight w:val="none"/>
        </w:rPr>
      </w:pPr>
      <w:r>
        <w:rPr>
          <w:rFonts w:hint="eastAsia" w:ascii="宋体" w:hAnsi="宋体" w:eastAsia="宋体" w:cs="宋体"/>
          <w:bCs/>
          <w:sz w:val="21"/>
          <w:szCs w:val="21"/>
          <w:highlight w:val="none"/>
        </w:rPr>
        <w:br w:type="page"/>
      </w:r>
    </w:p>
    <w:p w14:paraId="040B2823">
      <w:pPr>
        <w:rPr>
          <w:rFonts w:hint="eastAsia" w:ascii="宋体" w:hAnsi="宋体" w:eastAsia="宋体" w:cs="宋体"/>
          <w:bCs/>
          <w:sz w:val="21"/>
          <w:szCs w:val="21"/>
          <w:highlight w:val="none"/>
        </w:rPr>
      </w:pPr>
      <w:r>
        <w:rPr>
          <w:rFonts w:hint="eastAsia" w:ascii="宋体" w:hAnsi="宋体" w:eastAsia="宋体" w:cs="宋体"/>
          <w:bCs/>
          <w:sz w:val="21"/>
          <w:szCs w:val="21"/>
          <w:highlight w:val="none"/>
        </w:rPr>
        <w:t>附件 2：</w:t>
      </w:r>
    </w:p>
    <w:p w14:paraId="2842D907">
      <w:pPr>
        <w:spacing w:line="360" w:lineRule="auto"/>
        <w:jc w:val="center"/>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lang w:eastAsia="zh-CN"/>
        </w:rPr>
        <w:t>息县</w:t>
      </w:r>
      <w:r>
        <w:rPr>
          <w:rFonts w:hint="eastAsia" w:ascii="宋体" w:hAnsi="宋体" w:eastAsia="宋体" w:cs="宋体"/>
          <w:b/>
          <w:bCs w:val="0"/>
          <w:sz w:val="24"/>
          <w:szCs w:val="24"/>
          <w:highlight w:val="none"/>
        </w:rPr>
        <w:t>政府采购合同融资政策告知函</w:t>
      </w:r>
    </w:p>
    <w:p w14:paraId="6D3B52FE">
      <w:pPr>
        <w:spacing w:line="360" w:lineRule="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各供应商：</w:t>
      </w:r>
    </w:p>
    <w:p w14:paraId="749D35EA">
      <w:pPr>
        <w:spacing w:line="360" w:lineRule="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欢迎贵公司参与</w:t>
      </w:r>
      <w:r>
        <w:rPr>
          <w:rFonts w:hint="eastAsia" w:ascii="宋体" w:hAnsi="宋体" w:eastAsia="宋体" w:cs="宋体"/>
          <w:bCs/>
          <w:sz w:val="21"/>
          <w:szCs w:val="21"/>
          <w:highlight w:val="none"/>
          <w:lang w:eastAsia="zh-CN"/>
        </w:rPr>
        <w:t>息县</w:t>
      </w:r>
      <w:r>
        <w:rPr>
          <w:rFonts w:hint="eastAsia" w:ascii="宋体" w:hAnsi="宋体" w:eastAsia="宋体" w:cs="宋体"/>
          <w:bCs/>
          <w:sz w:val="21"/>
          <w:szCs w:val="21"/>
          <w:highlight w:val="none"/>
        </w:rPr>
        <w:t>政府采购活动！</w:t>
      </w:r>
    </w:p>
    <w:p w14:paraId="2504C1B2">
      <w:pPr>
        <w:spacing w:line="360" w:lineRule="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政府采购合同融资是</w:t>
      </w:r>
      <w:r>
        <w:rPr>
          <w:rFonts w:hint="eastAsia" w:ascii="宋体" w:hAnsi="宋体" w:eastAsia="宋体" w:cs="宋体"/>
          <w:bCs/>
          <w:sz w:val="21"/>
          <w:szCs w:val="21"/>
          <w:highlight w:val="none"/>
          <w:lang w:eastAsia="zh-CN"/>
        </w:rPr>
        <w:t>息县公用事业服务中心</w:t>
      </w:r>
      <w:r>
        <w:rPr>
          <w:rFonts w:hint="eastAsia" w:ascii="宋体" w:hAnsi="宋体" w:eastAsia="宋体" w:cs="宋体"/>
          <w:bCs/>
          <w:sz w:val="21"/>
          <w:szCs w:val="21"/>
          <w:highlight w:val="none"/>
        </w:rPr>
        <w:t>支持中小微企业发展，针对参与政府采购活动的供应商融资难、融资贵问题推出的 一项融资政策。贵公司若成为本次政府采购项目的中标成交 供应商，可持政府采购合同向融资服务机构申请贷款，无需抵押、担保，融资服务机构将根据 《河南省政府采购合同融 资工作实施方案》(豫财购 [2017]10 号 )、《深入推进政府采 购合同融资工作实施方案》(豫财办 [2020]33 号) 等规定，  按照双方自愿的原则提供便捷、优惠的贷款服务。</w:t>
      </w:r>
    </w:p>
    <w:p w14:paraId="3DBD29B1">
      <w:pPr>
        <w:spacing w:line="360" w:lineRule="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贷款渠道和提供贷款的金融机构，可在</w:t>
      </w:r>
      <w:r>
        <w:rPr>
          <w:rFonts w:hint="eastAsia" w:ascii="宋体" w:hAnsi="宋体" w:eastAsia="宋体" w:cs="宋体"/>
          <w:bCs/>
          <w:sz w:val="21"/>
          <w:szCs w:val="21"/>
          <w:highlight w:val="none"/>
          <w:lang w:eastAsia="zh-CN"/>
        </w:rPr>
        <w:t>息县</w:t>
      </w:r>
      <w:r>
        <w:rPr>
          <w:rFonts w:hint="eastAsia" w:ascii="宋体" w:hAnsi="宋体" w:eastAsia="宋体" w:cs="宋体"/>
          <w:bCs/>
          <w:sz w:val="21"/>
          <w:szCs w:val="21"/>
          <w:highlight w:val="none"/>
        </w:rPr>
        <w:t>政府采购网 “河南省政府采购合同融资平台”查询联系。</w:t>
      </w:r>
    </w:p>
    <w:p w14:paraId="3D398767">
      <w:pPr>
        <w:rPr>
          <w:rFonts w:hint="eastAsia" w:ascii="宋体" w:hAnsi="宋体" w:eastAsia="宋体" w:cs="宋体"/>
          <w:b/>
          <w:sz w:val="21"/>
          <w:szCs w:val="21"/>
          <w:highlight w:val="none"/>
        </w:rPr>
      </w:pPr>
    </w:p>
    <w:p w14:paraId="3353E4A1">
      <w:pPr>
        <w:rPr>
          <w:rFonts w:hint="eastAsia" w:ascii="宋体" w:hAnsi="宋体" w:eastAsia="宋体" w:cs="宋体"/>
          <w:b/>
          <w:sz w:val="21"/>
          <w:szCs w:val="21"/>
          <w:highlight w:val="none"/>
        </w:rPr>
      </w:pPr>
    </w:p>
    <w:p w14:paraId="0266E17F">
      <w:pPr>
        <w:pStyle w:val="54"/>
        <w:ind w:left="0" w:leftChars="0" w:firstLine="0" w:firstLineChars="0"/>
        <w:jc w:val="both"/>
        <w:rPr>
          <w:rFonts w:hint="eastAsia" w:ascii="宋体" w:hAnsi="宋体" w:eastAsia="宋体" w:cs="宋体"/>
          <w:sz w:val="21"/>
          <w:szCs w:val="21"/>
          <w:highlight w:val="none"/>
        </w:rPr>
      </w:pPr>
    </w:p>
    <w:sectPr>
      <w:headerReference r:id="rId16" w:type="first"/>
      <w:footerReference r:id="rId19" w:type="first"/>
      <w:headerReference r:id="rId14" w:type="default"/>
      <w:footerReference r:id="rId17" w:type="default"/>
      <w:headerReference r:id="rId15" w:type="even"/>
      <w:footerReference r:id="rId18" w:type="even"/>
      <w:pgSz w:w="11911" w:h="16838"/>
      <w:pgMar w:top="1440" w:right="1800" w:bottom="1440" w:left="1800" w:header="850" w:footer="850" w:gutter="0"/>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auto"/>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5D973">
    <w:pPr>
      <w:pStyle w:val="1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18497">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8418497">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8EDBC">
    <w:pPr>
      <w:pStyle w:val="19"/>
      <w:ind w:left="0" w:leftChars="0" w:firstLine="0" w:firstLineChars="0"/>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DD3A0">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B0DD3A0">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C1BCB">
    <w:pPr>
      <w:pStyle w:val="19"/>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65F1CC">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665F1CC">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64BB1">
    <w:pPr>
      <w:pStyle w:val="19"/>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8F12A">
                          <w:pPr>
                            <w:pStyle w:val="19"/>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CB8F12A">
                    <w:pPr>
                      <w:pStyle w:val="19"/>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11720">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A52B37F">
                          <w:pPr>
                            <w:pStyle w:val="19"/>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5oIF5zAEAAKkDAAAOAAAAAAAAAAEAIAAAAB4BAABkcnMvZTJv&#10;RG9jLnhtbFBLBQYAAAAABgAGAFkBAABcBQAAAAA=&#10;">
              <v:fill on="f" focussize="0,0"/>
              <v:stroke on="f"/>
              <v:imagedata o:title=""/>
              <o:lock v:ext="edit" aspectratio="f"/>
              <v:textbox inset="0mm,0mm,0mm,0mm" style="mso-fit-shape-to-text:t;">
                <w:txbxContent>
                  <w:p w14:paraId="4A52B37F">
                    <w:pPr>
                      <w:pStyle w:val="1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0C669">
    <w:pPr>
      <w:pStyle w:val="19"/>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81233E">
                          <w:pPr>
                            <w:pStyle w:val="19"/>
                          </w:pPr>
                          <w:r>
                            <w:fldChar w:fldCharType="begin"/>
                          </w:r>
                          <w:r>
                            <w:instrText xml:space="preserve"> PAGE  \* MERGEFORMAT </w:instrText>
                          </w:r>
                          <w:r>
                            <w:fldChar w:fldCharType="separate"/>
                          </w:r>
                          <w:r>
                            <w:t>33</w:t>
                          </w:r>
                          <w:r>
                            <w:fldChar w:fldCharType="end"/>
                          </w:r>
                        </w:p>
                      </w:txbxContent>
                    </wps:txbx>
                    <wps:bodyPr wrap="none" lIns="0" tIns="0" rIns="0" bIns="0" upright="0">
                      <a:spAutoFit/>
                    </wps:bodyPr>
                  </wps:wsp>
                </a:graphicData>
              </a:graphic>
            </wp:anchor>
          </w:drawing>
        </mc:Choice>
        <mc:Fallback>
          <w:pict>
            <v:shape id="文本框 104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MmEt9rLAQAAnAMAAA4AAAAAAAAAAQAgAAAAHgEAAGRycy9lMm9E&#10;b2MueG1sUEsFBgAAAAAGAAYAWQEAAFsFAAAAAA==&#10;">
              <v:fill on="f" focussize="0,0"/>
              <v:stroke on="f"/>
              <v:imagedata o:title=""/>
              <o:lock v:ext="edit" aspectratio="f"/>
              <v:textbox inset="0mm,0mm,0mm,0mm" style="mso-fit-shape-to-text:t;">
                <w:txbxContent>
                  <w:p w14:paraId="4081233E">
                    <w:pPr>
                      <w:pStyle w:val="19"/>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921304"/>
      <w:docPartObj>
        <w:docPartGallery w:val="autotext"/>
      </w:docPartObj>
    </w:sdtPr>
    <w:sdtContent>
      <w:p w14:paraId="68E531D8">
        <w:pPr>
          <w:pStyle w:val="19"/>
          <w:ind w:firstLine="360"/>
        </w:pPr>
        <w:r>
          <w:rPr>
            <w:rFonts w:hint="eastAsia" w:asciiTheme="minorEastAsia" w:hAnsiTheme="minorEastAsia"/>
            <w:sz w:val="28"/>
            <w:szCs w:val="28"/>
          </w:rPr>
          <w:t>-</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14</w:t>
        </w:r>
        <w:r>
          <w:rPr>
            <w:rFonts w:asciiTheme="minorEastAsia" w:hAnsiTheme="minorEastAsia"/>
            <w:sz w:val="28"/>
            <w:szCs w:val="28"/>
          </w:rPr>
          <w:fldChar w:fldCharType="end"/>
        </w:r>
        <w:r>
          <w:rPr>
            <w:rFonts w:hint="eastAsia" w:asciiTheme="minorEastAsia" w:hAnsiTheme="minorEastAsia"/>
            <w:sz w:val="28"/>
            <w:szCs w:val="28"/>
          </w:rPr>
          <w:t>-</w:t>
        </w:r>
      </w:p>
    </w:sdtContent>
  </w:sdt>
  <w:p w14:paraId="4DDAE3D2">
    <w:pPr>
      <w:pStyle w:val="1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54622">
    <w:pPr>
      <w:pStyle w:val="1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603BC">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6C53B">
    <w:pPr>
      <w:pStyle w:val="20"/>
      <w:pBdr>
        <w:bottom w:val="none" w:color="auto" w:sz="0" w:space="1"/>
      </w:pBdr>
      <w:rPr>
        <w:rFonts w:hint="eastAsia"/>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9CBE7">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01062">
    <w:pPr>
      <w:pStyle w:val="20"/>
      <w:pBdr>
        <w:bottom w:val="none" w:color="auto" w:sz="0" w:space="1"/>
      </w:pBdr>
      <w:bidi w:val="0"/>
      <w:ind w:left="0" w:leftChars="0" w:firstLine="0" w:firstLineChars="0"/>
      <w:jc w:val="both"/>
      <w:rPr>
        <w:rFonts w:hint="eastAsia" w:ascii="宋体" w:hAnsi="宋体" w:eastAsia="宋体" w:cs="宋体"/>
        <w:i/>
        <w:iCs/>
        <w:color w:val="0000FF"/>
        <w:sz w:val="18"/>
        <w:szCs w:val="18"/>
        <w:lang w:val="en-US"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0411A">
    <w:pPr>
      <w:pStyle w:val="20"/>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AB5A5">
    <w:pPr>
      <w:pStyle w:val="20"/>
      <w:pBdr>
        <w:bottom w:val="none" w:color="auto" w:sz="0" w:space="0"/>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E6C2C">
    <w:pPr>
      <w:pStyle w:val="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6713BB"/>
    <w:multiLevelType w:val="singleLevel"/>
    <w:tmpl w:val="9B6713BB"/>
    <w:lvl w:ilvl="0" w:tentative="0">
      <w:start w:val="1"/>
      <w:numFmt w:val="decimal"/>
      <w:lvlText w:val="%1."/>
      <w:lvlJc w:val="left"/>
      <w:pPr>
        <w:tabs>
          <w:tab w:val="left" w:pos="312"/>
        </w:tabs>
      </w:pPr>
    </w:lvl>
  </w:abstractNum>
  <w:abstractNum w:abstractNumId="1">
    <w:nsid w:val="A88A1D82"/>
    <w:multiLevelType w:val="singleLevel"/>
    <w:tmpl w:val="A88A1D82"/>
    <w:lvl w:ilvl="0" w:tentative="0">
      <w:start w:val="1"/>
      <w:numFmt w:val="decimal"/>
      <w:suff w:val="space"/>
      <w:lvlText w:val="%1."/>
      <w:lvlJc w:val="left"/>
    </w:lvl>
  </w:abstractNum>
  <w:abstractNum w:abstractNumId="2">
    <w:nsid w:val="B31D2D21"/>
    <w:multiLevelType w:val="singleLevel"/>
    <w:tmpl w:val="B31D2D21"/>
    <w:lvl w:ilvl="0" w:tentative="0">
      <w:start w:val="5"/>
      <w:numFmt w:val="chineseCounting"/>
      <w:suff w:val="space"/>
      <w:lvlText w:val="第%1章"/>
      <w:lvlJc w:val="left"/>
      <w:rPr>
        <w:rFonts w:hint="eastAsia"/>
      </w:rPr>
    </w:lvl>
  </w:abstractNum>
  <w:abstractNum w:abstractNumId="3">
    <w:nsid w:val="B3F2214F"/>
    <w:multiLevelType w:val="singleLevel"/>
    <w:tmpl w:val="B3F2214F"/>
    <w:lvl w:ilvl="0" w:tentative="0">
      <w:start w:val="1"/>
      <w:numFmt w:val="decimal"/>
      <w:suff w:val="nothing"/>
      <w:lvlText w:val="%1、"/>
      <w:lvlJc w:val="left"/>
    </w:lvl>
  </w:abstractNum>
  <w:abstractNum w:abstractNumId="4">
    <w:nsid w:val="B5E08322"/>
    <w:multiLevelType w:val="singleLevel"/>
    <w:tmpl w:val="B5E08322"/>
    <w:lvl w:ilvl="0" w:tentative="0">
      <w:start w:val="1"/>
      <w:numFmt w:val="chineseCounting"/>
      <w:suff w:val="nothing"/>
      <w:lvlText w:val="%1、"/>
      <w:lvlJc w:val="left"/>
      <w:rPr>
        <w:rFonts w:hint="eastAsia"/>
      </w:rPr>
    </w:lvl>
  </w:abstractNum>
  <w:abstractNum w:abstractNumId="5">
    <w:nsid w:val="D9195885"/>
    <w:multiLevelType w:val="singleLevel"/>
    <w:tmpl w:val="D9195885"/>
    <w:lvl w:ilvl="0" w:tentative="0">
      <w:start w:val="2"/>
      <w:numFmt w:val="chineseCounting"/>
      <w:suff w:val="nothing"/>
      <w:lvlText w:val="%1、"/>
      <w:lvlJc w:val="left"/>
      <w:rPr>
        <w:rFonts w:hint="eastAsia"/>
      </w:rPr>
    </w:lvl>
  </w:abstractNum>
  <w:abstractNum w:abstractNumId="6">
    <w:nsid w:val="00000007"/>
    <w:multiLevelType w:val="singleLevel"/>
    <w:tmpl w:val="00000007"/>
    <w:lvl w:ilvl="0" w:tentative="0">
      <w:start w:val="11"/>
      <w:numFmt w:val="chineseCounting"/>
      <w:suff w:val="nothing"/>
      <w:lvlText w:val="%1、"/>
      <w:lvlJc w:val="left"/>
      <w:rPr>
        <w:rFonts w:hint="eastAsia"/>
      </w:rPr>
    </w:lvl>
  </w:abstractNum>
  <w:abstractNum w:abstractNumId="7">
    <w:nsid w:val="06E359ED"/>
    <w:multiLevelType w:val="multilevel"/>
    <w:tmpl w:val="06E359ED"/>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A23E8AC"/>
    <w:multiLevelType w:val="singleLevel"/>
    <w:tmpl w:val="0A23E8AC"/>
    <w:lvl w:ilvl="0" w:tentative="0">
      <w:start w:val="1"/>
      <w:numFmt w:val="chineseCounting"/>
      <w:suff w:val="space"/>
      <w:lvlText w:val="第%1章"/>
      <w:lvlJc w:val="left"/>
      <w:rPr>
        <w:rFonts w:hint="eastAsia"/>
      </w:rPr>
    </w:lvl>
  </w:abstractNum>
  <w:abstractNum w:abstractNumId="9">
    <w:nsid w:val="42A989AA"/>
    <w:multiLevelType w:val="singleLevel"/>
    <w:tmpl w:val="42A989AA"/>
    <w:lvl w:ilvl="0" w:tentative="0">
      <w:start w:val="1"/>
      <w:numFmt w:val="chineseCounting"/>
      <w:suff w:val="nothing"/>
      <w:lvlText w:val="（%1）"/>
      <w:lvlJc w:val="left"/>
      <w:pPr>
        <w:ind w:left="315" w:firstLine="0"/>
      </w:pPr>
      <w:rPr>
        <w:rFonts w:hint="eastAsia"/>
      </w:rPr>
    </w:lvl>
  </w:abstractNum>
  <w:abstractNum w:abstractNumId="10">
    <w:nsid w:val="62DF4E64"/>
    <w:multiLevelType w:val="multilevel"/>
    <w:tmpl w:val="62DF4E6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D0239D0"/>
    <w:multiLevelType w:val="singleLevel"/>
    <w:tmpl w:val="7D0239D0"/>
    <w:lvl w:ilvl="0" w:tentative="0">
      <w:start w:val="6"/>
      <w:numFmt w:val="decimal"/>
      <w:suff w:val="nothing"/>
      <w:lvlText w:val="%1、"/>
      <w:lvlJc w:val="left"/>
    </w:lvl>
  </w:abstractNum>
  <w:num w:numId="1">
    <w:abstractNumId w:val="6"/>
  </w:num>
  <w:num w:numId="2">
    <w:abstractNumId w:val="8"/>
  </w:num>
  <w:num w:numId="3">
    <w:abstractNumId w:val="11"/>
  </w:num>
  <w:num w:numId="4">
    <w:abstractNumId w:val="3"/>
  </w:num>
  <w:num w:numId="5">
    <w:abstractNumId w:val="0"/>
  </w:num>
  <w:num w:numId="6">
    <w:abstractNumId w:val="2"/>
  </w:num>
  <w:num w:numId="7">
    <w:abstractNumId w:val="5"/>
  </w:num>
  <w:num w:numId="8">
    <w:abstractNumId w:val="7"/>
  </w:num>
  <w:num w:numId="9">
    <w:abstractNumId w:val="10"/>
  </w:num>
  <w:num w:numId="10">
    <w:abstractNumId w:val="4"/>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3ZTMxY2JiMTY0NzFlNjgzNDcxYmFmZjMwNTMzNTEifQ=="/>
  </w:docVars>
  <w:rsids>
    <w:rsidRoot w:val="00172A27"/>
    <w:rsid w:val="00037C70"/>
    <w:rsid w:val="000543CC"/>
    <w:rsid w:val="00070034"/>
    <w:rsid w:val="000A002F"/>
    <w:rsid w:val="000D4473"/>
    <w:rsid w:val="000E4995"/>
    <w:rsid w:val="000F1BBB"/>
    <w:rsid w:val="000F4ABB"/>
    <w:rsid w:val="00115114"/>
    <w:rsid w:val="00155351"/>
    <w:rsid w:val="00207852"/>
    <w:rsid w:val="0027491C"/>
    <w:rsid w:val="00294A18"/>
    <w:rsid w:val="002A7BFE"/>
    <w:rsid w:val="002C29D5"/>
    <w:rsid w:val="002F2062"/>
    <w:rsid w:val="00340787"/>
    <w:rsid w:val="00344E47"/>
    <w:rsid w:val="003962CF"/>
    <w:rsid w:val="003B549C"/>
    <w:rsid w:val="003C0BFB"/>
    <w:rsid w:val="0048631C"/>
    <w:rsid w:val="00487EBB"/>
    <w:rsid w:val="004B1EED"/>
    <w:rsid w:val="004E318D"/>
    <w:rsid w:val="00506C08"/>
    <w:rsid w:val="00547906"/>
    <w:rsid w:val="00557DFD"/>
    <w:rsid w:val="005873C2"/>
    <w:rsid w:val="005C2551"/>
    <w:rsid w:val="005C6ADC"/>
    <w:rsid w:val="005E08D0"/>
    <w:rsid w:val="005F46D3"/>
    <w:rsid w:val="005F7F29"/>
    <w:rsid w:val="0069744B"/>
    <w:rsid w:val="006B4F71"/>
    <w:rsid w:val="006C4BE3"/>
    <w:rsid w:val="006F735B"/>
    <w:rsid w:val="007306C8"/>
    <w:rsid w:val="00755DF0"/>
    <w:rsid w:val="007B0927"/>
    <w:rsid w:val="007F1BAB"/>
    <w:rsid w:val="008142D6"/>
    <w:rsid w:val="008953F8"/>
    <w:rsid w:val="008E4D0E"/>
    <w:rsid w:val="008F6C18"/>
    <w:rsid w:val="00A57016"/>
    <w:rsid w:val="00A6528B"/>
    <w:rsid w:val="00B20DF2"/>
    <w:rsid w:val="00B24C30"/>
    <w:rsid w:val="00B3323C"/>
    <w:rsid w:val="00B83EE6"/>
    <w:rsid w:val="00BB2CC5"/>
    <w:rsid w:val="00BD1A50"/>
    <w:rsid w:val="00BD5AE6"/>
    <w:rsid w:val="00BF745E"/>
    <w:rsid w:val="00CB5A10"/>
    <w:rsid w:val="00CE759D"/>
    <w:rsid w:val="00CF58F9"/>
    <w:rsid w:val="00D0063A"/>
    <w:rsid w:val="00D26B29"/>
    <w:rsid w:val="00DA206C"/>
    <w:rsid w:val="00E217ED"/>
    <w:rsid w:val="00E40880"/>
    <w:rsid w:val="00E40930"/>
    <w:rsid w:val="00E60299"/>
    <w:rsid w:val="00E645F8"/>
    <w:rsid w:val="00E64D26"/>
    <w:rsid w:val="00E90D98"/>
    <w:rsid w:val="00EB6732"/>
    <w:rsid w:val="00FB40EA"/>
    <w:rsid w:val="00FD0BE9"/>
    <w:rsid w:val="00FD5995"/>
    <w:rsid w:val="010158D6"/>
    <w:rsid w:val="010623C8"/>
    <w:rsid w:val="011E5B21"/>
    <w:rsid w:val="012515C4"/>
    <w:rsid w:val="013F518A"/>
    <w:rsid w:val="014324AF"/>
    <w:rsid w:val="01610122"/>
    <w:rsid w:val="017A2882"/>
    <w:rsid w:val="01843520"/>
    <w:rsid w:val="018A3C22"/>
    <w:rsid w:val="01910A08"/>
    <w:rsid w:val="019A4073"/>
    <w:rsid w:val="019F0FB3"/>
    <w:rsid w:val="01C52FBE"/>
    <w:rsid w:val="01F103C4"/>
    <w:rsid w:val="01FC4213"/>
    <w:rsid w:val="025008C3"/>
    <w:rsid w:val="025C1016"/>
    <w:rsid w:val="02693733"/>
    <w:rsid w:val="02750329"/>
    <w:rsid w:val="02783976"/>
    <w:rsid w:val="02AE706E"/>
    <w:rsid w:val="02BA5938"/>
    <w:rsid w:val="02BE0A08"/>
    <w:rsid w:val="02C80459"/>
    <w:rsid w:val="02FC5DCD"/>
    <w:rsid w:val="03123DCA"/>
    <w:rsid w:val="032F2286"/>
    <w:rsid w:val="03343D40"/>
    <w:rsid w:val="033D49E9"/>
    <w:rsid w:val="035017A2"/>
    <w:rsid w:val="03555A65"/>
    <w:rsid w:val="035D6C01"/>
    <w:rsid w:val="038B1487"/>
    <w:rsid w:val="03B10EED"/>
    <w:rsid w:val="03CC5D27"/>
    <w:rsid w:val="03D35138"/>
    <w:rsid w:val="040069E6"/>
    <w:rsid w:val="041476CE"/>
    <w:rsid w:val="04351B1E"/>
    <w:rsid w:val="045A1585"/>
    <w:rsid w:val="047F4F17"/>
    <w:rsid w:val="04934A97"/>
    <w:rsid w:val="04994D67"/>
    <w:rsid w:val="049A6329"/>
    <w:rsid w:val="049F39FB"/>
    <w:rsid w:val="04B844FD"/>
    <w:rsid w:val="04C3537C"/>
    <w:rsid w:val="04F503C2"/>
    <w:rsid w:val="05033049"/>
    <w:rsid w:val="050825E8"/>
    <w:rsid w:val="05096B07"/>
    <w:rsid w:val="052E3951"/>
    <w:rsid w:val="05336860"/>
    <w:rsid w:val="05340028"/>
    <w:rsid w:val="05565105"/>
    <w:rsid w:val="055C757F"/>
    <w:rsid w:val="055E0FE7"/>
    <w:rsid w:val="05676E89"/>
    <w:rsid w:val="059D3E1F"/>
    <w:rsid w:val="05A351AD"/>
    <w:rsid w:val="05C17480"/>
    <w:rsid w:val="05ED01D7"/>
    <w:rsid w:val="05F17CC7"/>
    <w:rsid w:val="05F652DD"/>
    <w:rsid w:val="06055520"/>
    <w:rsid w:val="061B39C5"/>
    <w:rsid w:val="062C51A3"/>
    <w:rsid w:val="06426774"/>
    <w:rsid w:val="065B5A88"/>
    <w:rsid w:val="06654211"/>
    <w:rsid w:val="06725471"/>
    <w:rsid w:val="06764670"/>
    <w:rsid w:val="068203E4"/>
    <w:rsid w:val="06856661"/>
    <w:rsid w:val="06A72A7B"/>
    <w:rsid w:val="06DF451E"/>
    <w:rsid w:val="06F23CF7"/>
    <w:rsid w:val="070A4476"/>
    <w:rsid w:val="070C0DEF"/>
    <w:rsid w:val="07245E42"/>
    <w:rsid w:val="074E68E3"/>
    <w:rsid w:val="074F5F10"/>
    <w:rsid w:val="0754511F"/>
    <w:rsid w:val="075524D7"/>
    <w:rsid w:val="075729B4"/>
    <w:rsid w:val="07724E37"/>
    <w:rsid w:val="079F5DEC"/>
    <w:rsid w:val="07A33E36"/>
    <w:rsid w:val="07A43FDB"/>
    <w:rsid w:val="07DE097D"/>
    <w:rsid w:val="07E51AAD"/>
    <w:rsid w:val="07F27D26"/>
    <w:rsid w:val="0842480A"/>
    <w:rsid w:val="087E15BA"/>
    <w:rsid w:val="08847FA2"/>
    <w:rsid w:val="08943F23"/>
    <w:rsid w:val="08986B20"/>
    <w:rsid w:val="08A51D61"/>
    <w:rsid w:val="08C5780E"/>
    <w:rsid w:val="08D12032"/>
    <w:rsid w:val="08E7715F"/>
    <w:rsid w:val="08FB2C0B"/>
    <w:rsid w:val="091F4B4B"/>
    <w:rsid w:val="09366A61"/>
    <w:rsid w:val="09432369"/>
    <w:rsid w:val="099866AB"/>
    <w:rsid w:val="09AA6B0A"/>
    <w:rsid w:val="09B94F9F"/>
    <w:rsid w:val="09D41DD9"/>
    <w:rsid w:val="09E0252C"/>
    <w:rsid w:val="09E04896"/>
    <w:rsid w:val="0A157CFC"/>
    <w:rsid w:val="0A870BFA"/>
    <w:rsid w:val="0A8C6210"/>
    <w:rsid w:val="0A932B49"/>
    <w:rsid w:val="0AD33AD9"/>
    <w:rsid w:val="0AE95411"/>
    <w:rsid w:val="0AF142C5"/>
    <w:rsid w:val="0B043FF8"/>
    <w:rsid w:val="0B0C5F1C"/>
    <w:rsid w:val="0B5331D2"/>
    <w:rsid w:val="0B5C3E34"/>
    <w:rsid w:val="0BA57A6F"/>
    <w:rsid w:val="0BAE21B6"/>
    <w:rsid w:val="0BB772BD"/>
    <w:rsid w:val="0BEF3A26"/>
    <w:rsid w:val="0BFC1173"/>
    <w:rsid w:val="0C234952"/>
    <w:rsid w:val="0C3703FE"/>
    <w:rsid w:val="0C632FA1"/>
    <w:rsid w:val="0C637445"/>
    <w:rsid w:val="0C92165A"/>
    <w:rsid w:val="0CA27F6D"/>
    <w:rsid w:val="0D006A41"/>
    <w:rsid w:val="0D090E72"/>
    <w:rsid w:val="0D1D6289"/>
    <w:rsid w:val="0D3A01A5"/>
    <w:rsid w:val="0D4C0DE9"/>
    <w:rsid w:val="0D556D8D"/>
    <w:rsid w:val="0D5A25F6"/>
    <w:rsid w:val="0D6E60A1"/>
    <w:rsid w:val="0D7511DD"/>
    <w:rsid w:val="0D7A1BEF"/>
    <w:rsid w:val="0DBE2B84"/>
    <w:rsid w:val="0DBF68FD"/>
    <w:rsid w:val="0DC45CC1"/>
    <w:rsid w:val="0DF06AB6"/>
    <w:rsid w:val="0DFD4F28"/>
    <w:rsid w:val="0E056A05"/>
    <w:rsid w:val="0E26072A"/>
    <w:rsid w:val="0E527771"/>
    <w:rsid w:val="0E5B33B7"/>
    <w:rsid w:val="0E726137"/>
    <w:rsid w:val="0E7523F9"/>
    <w:rsid w:val="0EB6675E"/>
    <w:rsid w:val="0EBC236B"/>
    <w:rsid w:val="0EE20AF5"/>
    <w:rsid w:val="0EEC54CF"/>
    <w:rsid w:val="0EF83FE1"/>
    <w:rsid w:val="0F194967"/>
    <w:rsid w:val="0F1B7DB8"/>
    <w:rsid w:val="0F246793"/>
    <w:rsid w:val="0F5117D6"/>
    <w:rsid w:val="0F6A0988"/>
    <w:rsid w:val="0F76123D"/>
    <w:rsid w:val="0F890F70"/>
    <w:rsid w:val="0FA062BA"/>
    <w:rsid w:val="0FA27A59"/>
    <w:rsid w:val="0FC63F72"/>
    <w:rsid w:val="0FE4089C"/>
    <w:rsid w:val="10150A56"/>
    <w:rsid w:val="104B4477"/>
    <w:rsid w:val="106A2B50"/>
    <w:rsid w:val="10883F62"/>
    <w:rsid w:val="109127A4"/>
    <w:rsid w:val="10D455FC"/>
    <w:rsid w:val="10D601E5"/>
    <w:rsid w:val="10F53D8A"/>
    <w:rsid w:val="11167AF5"/>
    <w:rsid w:val="115F467E"/>
    <w:rsid w:val="119360D6"/>
    <w:rsid w:val="119C142F"/>
    <w:rsid w:val="11B146B5"/>
    <w:rsid w:val="11DF131B"/>
    <w:rsid w:val="11F51FD5"/>
    <w:rsid w:val="121A2353"/>
    <w:rsid w:val="125A4E46"/>
    <w:rsid w:val="12635AA8"/>
    <w:rsid w:val="12681311"/>
    <w:rsid w:val="12837EF9"/>
    <w:rsid w:val="12E31F7B"/>
    <w:rsid w:val="12F6691D"/>
    <w:rsid w:val="13141499"/>
    <w:rsid w:val="13203999"/>
    <w:rsid w:val="133061A9"/>
    <w:rsid w:val="13491142"/>
    <w:rsid w:val="1356385F"/>
    <w:rsid w:val="135950FD"/>
    <w:rsid w:val="138D237C"/>
    <w:rsid w:val="13953CC6"/>
    <w:rsid w:val="13AE369B"/>
    <w:rsid w:val="13CA424E"/>
    <w:rsid w:val="13E0569F"/>
    <w:rsid w:val="148D1503"/>
    <w:rsid w:val="14922675"/>
    <w:rsid w:val="14946318"/>
    <w:rsid w:val="14E530ED"/>
    <w:rsid w:val="14F56B39"/>
    <w:rsid w:val="15484524"/>
    <w:rsid w:val="15673B02"/>
    <w:rsid w:val="15726BE9"/>
    <w:rsid w:val="15775423"/>
    <w:rsid w:val="15783E18"/>
    <w:rsid w:val="15A36452"/>
    <w:rsid w:val="15C1663C"/>
    <w:rsid w:val="15CC605B"/>
    <w:rsid w:val="15D370C3"/>
    <w:rsid w:val="15F93A4F"/>
    <w:rsid w:val="16047C98"/>
    <w:rsid w:val="160B6B83"/>
    <w:rsid w:val="16490A9C"/>
    <w:rsid w:val="166B5873"/>
    <w:rsid w:val="166B7ACC"/>
    <w:rsid w:val="16735F1E"/>
    <w:rsid w:val="169F1079"/>
    <w:rsid w:val="16A22014"/>
    <w:rsid w:val="16E318B1"/>
    <w:rsid w:val="170B670F"/>
    <w:rsid w:val="17431065"/>
    <w:rsid w:val="174409AB"/>
    <w:rsid w:val="174D31CB"/>
    <w:rsid w:val="177967DB"/>
    <w:rsid w:val="17AC1CA0"/>
    <w:rsid w:val="18003D99"/>
    <w:rsid w:val="183A54FD"/>
    <w:rsid w:val="184C16E1"/>
    <w:rsid w:val="184C5231"/>
    <w:rsid w:val="18695DE3"/>
    <w:rsid w:val="18801876"/>
    <w:rsid w:val="18892E95"/>
    <w:rsid w:val="1895069B"/>
    <w:rsid w:val="18D23988"/>
    <w:rsid w:val="18D9277B"/>
    <w:rsid w:val="18DE232D"/>
    <w:rsid w:val="18E42990"/>
    <w:rsid w:val="19165454"/>
    <w:rsid w:val="19793E03"/>
    <w:rsid w:val="199C7AF2"/>
    <w:rsid w:val="199D1598"/>
    <w:rsid w:val="19A90B8D"/>
    <w:rsid w:val="19C24FD9"/>
    <w:rsid w:val="19C257AA"/>
    <w:rsid w:val="19C77265"/>
    <w:rsid w:val="19ED659F"/>
    <w:rsid w:val="1A2973C7"/>
    <w:rsid w:val="1A332204"/>
    <w:rsid w:val="1A4C648D"/>
    <w:rsid w:val="1A55425D"/>
    <w:rsid w:val="1A584361"/>
    <w:rsid w:val="1A620D3B"/>
    <w:rsid w:val="1A64467E"/>
    <w:rsid w:val="1A703458"/>
    <w:rsid w:val="1A89276C"/>
    <w:rsid w:val="1A9609E5"/>
    <w:rsid w:val="1A9F789A"/>
    <w:rsid w:val="1AA2382E"/>
    <w:rsid w:val="1AA2738A"/>
    <w:rsid w:val="1B1839D5"/>
    <w:rsid w:val="1B391A9C"/>
    <w:rsid w:val="1B3E377E"/>
    <w:rsid w:val="1B50328A"/>
    <w:rsid w:val="1B590390"/>
    <w:rsid w:val="1B633D62"/>
    <w:rsid w:val="1B772383"/>
    <w:rsid w:val="1B8D1DE8"/>
    <w:rsid w:val="1BBB0703"/>
    <w:rsid w:val="1BBD00BD"/>
    <w:rsid w:val="1BE85270"/>
    <w:rsid w:val="1BEE75F0"/>
    <w:rsid w:val="1BFB1448"/>
    <w:rsid w:val="1C146065"/>
    <w:rsid w:val="1C1918CE"/>
    <w:rsid w:val="1C4E0377"/>
    <w:rsid w:val="1C7A236C"/>
    <w:rsid w:val="1C91543B"/>
    <w:rsid w:val="1CA078F9"/>
    <w:rsid w:val="1CA70C88"/>
    <w:rsid w:val="1CB82E95"/>
    <w:rsid w:val="1CF540E9"/>
    <w:rsid w:val="1D01483C"/>
    <w:rsid w:val="1D3648C2"/>
    <w:rsid w:val="1D632E00"/>
    <w:rsid w:val="1D7E4A95"/>
    <w:rsid w:val="1D8A0AD9"/>
    <w:rsid w:val="1D8A7EF3"/>
    <w:rsid w:val="1D9F400C"/>
    <w:rsid w:val="1E733517"/>
    <w:rsid w:val="1E76070B"/>
    <w:rsid w:val="1E933BB9"/>
    <w:rsid w:val="1E957931"/>
    <w:rsid w:val="1EAF5681"/>
    <w:rsid w:val="1ED92BB4"/>
    <w:rsid w:val="1EDD5C81"/>
    <w:rsid w:val="1F285405"/>
    <w:rsid w:val="1F422EEA"/>
    <w:rsid w:val="1F597003"/>
    <w:rsid w:val="1F6D7F66"/>
    <w:rsid w:val="1F8654CC"/>
    <w:rsid w:val="1F9F20EA"/>
    <w:rsid w:val="1FDE0CE3"/>
    <w:rsid w:val="201614CE"/>
    <w:rsid w:val="20226ADF"/>
    <w:rsid w:val="202624CA"/>
    <w:rsid w:val="204D5FEA"/>
    <w:rsid w:val="206155F1"/>
    <w:rsid w:val="20BB55AB"/>
    <w:rsid w:val="20E456F3"/>
    <w:rsid w:val="20EB5EB9"/>
    <w:rsid w:val="20EE50D7"/>
    <w:rsid w:val="20FB5A46"/>
    <w:rsid w:val="21076199"/>
    <w:rsid w:val="215D400B"/>
    <w:rsid w:val="215F42BD"/>
    <w:rsid w:val="2164704F"/>
    <w:rsid w:val="217E28FF"/>
    <w:rsid w:val="21AD141A"/>
    <w:rsid w:val="21CC0274"/>
    <w:rsid w:val="21D00C81"/>
    <w:rsid w:val="21FE759C"/>
    <w:rsid w:val="221A34A8"/>
    <w:rsid w:val="222363F6"/>
    <w:rsid w:val="224839B1"/>
    <w:rsid w:val="22806203"/>
    <w:rsid w:val="22834966"/>
    <w:rsid w:val="228C4BA7"/>
    <w:rsid w:val="229905B7"/>
    <w:rsid w:val="22A53A43"/>
    <w:rsid w:val="22B26EDF"/>
    <w:rsid w:val="22B365D8"/>
    <w:rsid w:val="22BD7966"/>
    <w:rsid w:val="23333275"/>
    <w:rsid w:val="23775858"/>
    <w:rsid w:val="237B0335"/>
    <w:rsid w:val="237D2742"/>
    <w:rsid w:val="23A91789"/>
    <w:rsid w:val="23BF2851"/>
    <w:rsid w:val="23EB0CFA"/>
    <w:rsid w:val="23F76998"/>
    <w:rsid w:val="241F68F2"/>
    <w:rsid w:val="2434749F"/>
    <w:rsid w:val="24517A8C"/>
    <w:rsid w:val="247955CF"/>
    <w:rsid w:val="249064A5"/>
    <w:rsid w:val="24D26ABE"/>
    <w:rsid w:val="24E8008F"/>
    <w:rsid w:val="24F15196"/>
    <w:rsid w:val="24FB7DC2"/>
    <w:rsid w:val="25113A8A"/>
    <w:rsid w:val="251175E6"/>
    <w:rsid w:val="254B67B2"/>
    <w:rsid w:val="254E083A"/>
    <w:rsid w:val="2564005E"/>
    <w:rsid w:val="256C0CC0"/>
    <w:rsid w:val="25916979"/>
    <w:rsid w:val="25A268A9"/>
    <w:rsid w:val="25B20DC9"/>
    <w:rsid w:val="25CE5989"/>
    <w:rsid w:val="25FC1489"/>
    <w:rsid w:val="261D1FBA"/>
    <w:rsid w:val="262E5F76"/>
    <w:rsid w:val="263C086C"/>
    <w:rsid w:val="264A60DA"/>
    <w:rsid w:val="26541E80"/>
    <w:rsid w:val="265956E8"/>
    <w:rsid w:val="2666570F"/>
    <w:rsid w:val="26795443"/>
    <w:rsid w:val="26AF70B6"/>
    <w:rsid w:val="26CE09E1"/>
    <w:rsid w:val="26DD1E76"/>
    <w:rsid w:val="26F23447"/>
    <w:rsid w:val="26F7280B"/>
    <w:rsid w:val="26FE1DEC"/>
    <w:rsid w:val="27015260"/>
    <w:rsid w:val="270F7B55"/>
    <w:rsid w:val="27134362"/>
    <w:rsid w:val="275A5D18"/>
    <w:rsid w:val="27607E24"/>
    <w:rsid w:val="276854B7"/>
    <w:rsid w:val="277125BE"/>
    <w:rsid w:val="277165D1"/>
    <w:rsid w:val="27BD5803"/>
    <w:rsid w:val="27C770DD"/>
    <w:rsid w:val="27EE1E60"/>
    <w:rsid w:val="27F751B9"/>
    <w:rsid w:val="280671AA"/>
    <w:rsid w:val="281276CE"/>
    <w:rsid w:val="28456613"/>
    <w:rsid w:val="284B2E0F"/>
    <w:rsid w:val="284E0B51"/>
    <w:rsid w:val="28843053"/>
    <w:rsid w:val="2896445B"/>
    <w:rsid w:val="28E31299"/>
    <w:rsid w:val="294207DB"/>
    <w:rsid w:val="295A74BC"/>
    <w:rsid w:val="297E036A"/>
    <w:rsid w:val="29932CBF"/>
    <w:rsid w:val="29961DDF"/>
    <w:rsid w:val="29A719C6"/>
    <w:rsid w:val="29B42C36"/>
    <w:rsid w:val="29C54E43"/>
    <w:rsid w:val="29E21551"/>
    <w:rsid w:val="29EC23D0"/>
    <w:rsid w:val="29F319B0"/>
    <w:rsid w:val="29F44CA9"/>
    <w:rsid w:val="2A04559B"/>
    <w:rsid w:val="2A073528"/>
    <w:rsid w:val="2A264090"/>
    <w:rsid w:val="2A2B4304"/>
    <w:rsid w:val="2A5E0066"/>
    <w:rsid w:val="2A97058D"/>
    <w:rsid w:val="2AA25CA6"/>
    <w:rsid w:val="2AC31382"/>
    <w:rsid w:val="2ACF7D27"/>
    <w:rsid w:val="2ADB2B70"/>
    <w:rsid w:val="2AF91248"/>
    <w:rsid w:val="2B217A43"/>
    <w:rsid w:val="2B2424C3"/>
    <w:rsid w:val="2B4F0E68"/>
    <w:rsid w:val="2B4F2606"/>
    <w:rsid w:val="2B51630C"/>
    <w:rsid w:val="2B8967A9"/>
    <w:rsid w:val="2B8A00F2"/>
    <w:rsid w:val="2BF37A45"/>
    <w:rsid w:val="2C001D6E"/>
    <w:rsid w:val="2C5F50DB"/>
    <w:rsid w:val="2CA43435"/>
    <w:rsid w:val="2CC977A0"/>
    <w:rsid w:val="2CE33F5E"/>
    <w:rsid w:val="2CED0939"/>
    <w:rsid w:val="2CFA3055"/>
    <w:rsid w:val="2D0637A8"/>
    <w:rsid w:val="2D1759B5"/>
    <w:rsid w:val="2D1E0AF2"/>
    <w:rsid w:val="2D490EE3"/>
    <w:rsid w:val="2D62605F"/>
    <w:rsid w:val="2D687FBF"/>
    <w:rsid w:val="2D85544B"/>
    <w:rsid w:val="2D9278AF"/>
    <w:rsid w:val="2D9849B9"/>
    <w:rsid w:val="2D9F31BE"/>
    <w:rsid w:val="2DBD655D"/>
    <w:rsid w:val="2DD91ADF"/>
    <w:rsid w:val="2E304F81"/>
    <w:rsid w:val="2E332B55"/>
    <w:rsid w:val="2E400F3C"/>
    <w:rsid w:val="2E50314E"/>
    <w:rsid w:val="2E6175CB"/>
    <w:rsid w:val="2E72680B"/>
    <w:rsid w:val="2E81758A"/>
    <w:rsid w:val="2E8E614B"/>
    <w:rsid w:val="2E9A7FD1"/>
    <w:rsid w:val="2EC90F31"/>
    <w:rsid w:val="2ECD4F85"/>
    <w:rsid w:val="2EF83CA8"/>
    <w:rsid w:val="2F1369D4"/>
    <w:rsid w:val="2F261EE0"/>
    <w:rsid w:val="2F6D5D61"/>
    <w:rsid w:val="2F7470EF"/>
    <w:rsid w:val="2F776BDF"/>
    <w:rsid w:val="2F7B222C"/>
    <w:rsid w:val="2F837332"/>
    <w:rsid w:val="2FC616AE"/>
    <w:rsid w:val="2FE222AB"/>
    <w:rsid w:val="2FF63FA8"/>
    <w:rsid w:val="300264A9"/>
    <w:rsid w:val="300C37CC"/>
    <w:rsid w:val="301601A6"/>
    <w:rsid w:val="304553FB"/>
    <w:rsid w:val="30536D05"/>
    <w:rsid w:val="305A4537"/>
    <w:rsid w:val="30601421"/>
    <w:rsid w:val="30801AC4"/>
    <w:rsid w:val="30847806"/>
    <w:rsid w:val="30B7492B"/>
    <w:rsid w:val="30C85944"/>
    <w:rsid w:val="30F0166F"/>
    <w:rsid w:val="31397A57"/>
    <w:rsid w:val="316D3DF6"/>
    <w:rsid w:val="317A74AA"/>
    <w:rsid w:val="318B0720"/>
    <w:rsid w:val="31A41DB5"/>
    <w:rsid w:val="31A737AC"/>
    <w:rsid w:val="31B639EF"/>
    <w:rsid w:val="31C816DA"/>
    <w:rsid w:val="31FE0EF2"/>
    <w:rsid w:val="31FF58FA"/>
    <w:rsid w:val="320A7897"/>
    <w:rsid w:val="32273E45"/>
    <w:rsid w:val="323D1A1A"/>
    <w:rsid w:val="324B22A6"/>
    <w:rsid w:val="325D0A5F"/>
    <w:rsid w:val="32955444"/>
    <w:rsid w:val="329D4BAF"/>
    <w:rsid w:val="32A23ACC"/>
    <w:rsid w:val="32A25D21"/>
    <w:rsid w:val="32A57E67"/>
    <w:rsid w:val="32AF72B6"/>
    <w:rsid w:val="32B31CDC"/>
    <w:rsid w:val="32B67A1F"/>
    <w:rsid w:val="32B75C71"/>
    <w:rsid w:val="32CE77C6"/>
    <w:rsid w:val="331309CD"/>
    <w:rsid w:val="331E4712"/>
    <w:rsid w:val="33277341"/>
    <w:rsid w:val="33422219"/>
    <w:rsid w:val="334B5EB7"/>
    <w:rsid w:val="334C55A8"/>
    <w:rsid w:val="336D4799"/>
    <w:rsid w:val="338058B8"/>
    <w:rsid w:val="33B026C0"/>
    <w:rsid w:val="33E36D2F"/>
    <w:rsid w:val="33FB7DDF"/>
    <w:rsid w:val="33FE42E4"/>
    <w:rsid w:val="34060532"/>
    <w:rsid w:val="34117602"/>
    <w:rsid w:val="3460692C"/>
    <w:rsid w:val="34B61F58"/>
    <w:rsid w:val="34C42E9C"/>
    <w:rsid w:val="34DA15B0"/>
    <w:rsid w:val="3504046E"/>
    <w:rsid w:val="353758FE"/>
    <w:rsid w:val="35492330"/>
    <w:rsid w:val="35A875A6"/>
    <w:rsid w:val="35BE7316"/>
    <w:rsid w:val="36147E72"/>
    <w:rsid w:val="36453593"/>
    <w:rsid w:val="36460DC0"/>
    <w:rsid w:val="364D729A"/>
    <w:rsid w:val="369B333F"/>
    <w:rsid w:val="36A4650C"/>
    <w:rsid w:val="36BF4541"/>
    <w:rsid w:val="36D33322"/>
    <w:rsid w:val="37272C99"/>
    <w:rsid w:val="376E08C8"/>
    <w:rsid w:val="37BB320A"/>
    <w:rsid w:val="37C130EE"/>
    <w:rsid w:val="37E22F5A"/>
    <w:rsid w:val="37E813AF"/>
    <w:rsid w:val="3818789A"/>
    <w:rsid w:val="385775AE"/>
    <w:rsid w:val="38DE1A7D"/>
    <w:rsid w:val="38E86DCF"/>
    <w:rsid w:val="38EF77E6"/>
    <w:rsid w:val="390F1C37"/>
    <w:rsid w:val="393022D9"/>
    <w:rsid w:val="393B2A2C"/>
    <w:rsid w:val="393C086A"/>
    <w:rsid w:val="394C6378"/>
    <w:rsid w:val="3961686E"/>
    <w:rsid w:val="39687A1F"/>
    <w:rsid w:val="398E0DAD"/>
    <w:rsid w:val="39B8407C"/>
    <w:rsid w:val="39C80763"/>
    <w:rsid w:val="39CB6B55"/>
    <w:rsid w:val="39E76710"/>
    <w:rsid w:val="39F41558"/>
    <w:rsid w:val="3A032C26"/>
    <w:rsid w:val="3A3000B7"/>
    <w:rsid w:val="3A355ACD"/>
    <w:rsid w:val="3A3C4CAD"/>
    <w:rsid w:val="3A500759"/>
    <w:rsid w:val="3A5C4624"/>
    <w:rsid w:val="3A7601BF"/>
    <w:rsid w:val="3A8D10EB"/>
    <w:rsid w:val="3AA30888"/>
    <w:rsid w:val="3AA9045C"/>
    <w:rsid w:val="3ABB622F"/>
    <w:rsid w:val="3AC54CA3"/>
    <w:rsid w:val="3ACD1DA9"/>
    <w:rsid w:val="3AFD61EB"/>
    <w:rsid w:val="3B0532F1"/>
    <w:rsid w:val="3B201ED9"/>
    <w:rsid w:val="3B5E0808"/>
    <w:rsid w:val="3B7A1263"/>
    <w:rsid w:val="3BB6283D"/>
    <w:rsid w:val="3BB645EB"/>
    <w:rsid w:val="3BC319DA"/>
    <w:rsid w:val="3BDB4052"/>
    <w:rsid w:val="3BF51395"/>
    <w:rsid w:val="3BF97AE1"/>
    <w:rsid w:val="3C1335FA"/>
    <w:rsid w:val="3C2D0D52"/>
    <w:rsid w:val="3C335C3C"/>
    <w:rsid w:val="3C37572C"/>
    <w:rsid w:val="3C830B4E"/>
    <w:rsid w:val="3CBC3E83"/>
    <w:rsid w:val="3CD23BC8"/>
    <w:rsid w:val="3CF33D49"/>
    <w:rsid w:val="3D0E0B83"/>
    <w:rsid w:val="3D255ECD"/>
    <w:rsid w:val="3D393726"/>
    <w:rsid w:val="3D3E0322"/>
    <w:rsid w:val="3D5D7415"/>
    <w:rsid w:val="3D654FA6"/>
    <w:rsid w:val="3D6C3AFB"/>
    <w:rsid w:val="3D736C38"/>
    <w:rsid w:val="3D78424E"/>
    <w:rsid w:val="3DBA03C3"/>
    <w:rsid w:val="3DC44D0D"/>
    <w:rsid w:val="3DF633C5"/>
    <w:rsid w:val="3E021D6A"/>
    <w:rsid w:val="3E157CEF"/>
    <w:rsid w:val="3E1C2297"/>
    <w:rsid w:val="3E265A58"/>
    <w:rsid w:val="3E344619"/>
    <w:rsid w:val="3E491747"/>
    <w:rsid w:val="3E726EF0"/>
    <w:rsid w:val="3EA25135"/>
    <w:rsid w:val="3EBC460F"/>
    <w:rsid w:val="3ED92ACB"/>
    <w:rsid w:val="3ED94C99"/>
    <w:rsid w:val="3EF73899"/>
    <w:rsid w:val="3F022865"/>
    <w:rsid w:val="3F197922"/>
    <w:rsid w:val="3F2F4DE1"/>
    <w:rsid w:val="3F5E1222"/>
    <w:rsid w:val="3F6F78D3"/>
    <w:rsid w:val="3F8C2233"/>
    <w:rsid w:val="3F9115F7"/>
    <w:rsid w:val="3FCA274F"/>
    <w:rsid w:val="3FCE1223"/>
    <w:rsid w:val="403C3DFF"/>
    <w:rsid w:val="405977EE"/>
    <w:rsid w:val="408353E4"/>
    <w:rsid w:val="408847A8"/>
    <w:rsid w:val="40934803"/>
    <w:rsid w:val="409A0980"/>
    <w:rsid w:val="40A37834"/>
    <w:rsid w:val="40AF61D9"/>
    <w:rsid w:val="40FE4A6B"/>
    <w:rsid w:val="40FF07E3"/>
    <w:rsid w:val="41146E12"/>
    <w:rsid w:val="413C5593"/>
    <w:rsid w:val="413D380E"/>
    <w:rsid w:val="414F6F99"/>
    <w:rsid w:val="415E7BFF"/>
    <w:rsid w:val="4163566B"/>
    <w:rsid w:val="417F6024"/>
    <w:rsid w:val="41813EC3"/>
    <w:rsid w:val="41CA2B9F"/>
    <w:rsid w:val="41CC2DBB"/>
    <w:rsid w:val="41CC4B69"/>
    <w:rsid w:val="41CE369A"/>
    <w:rsid w:val="41D35D81"/>
    <w:rsid w:val="42246753"/>
    <w:rsid w:val="42332E3A"/>
    <w:rsid w:val="426E79CE"/>
    <w:rsid w:val="42702AFA"/>
    <w:rsid w:val="42823479"/>
    <w:rsid w:val="42947F5F"/>
    <w:rsid w:val="42BD2703"/>
    <w:rsid w:val="42C61EBF"/>
    <w:rsid w:val="42C95429"/>
    <w:rsid w:val="42D812EB"/>
    <w:rsid w:val="43311F15"/>
    <w:rsid w:val="43394480"/>
    <w:rsid w:val="435B4094"/>
    <w:rsid w:val="439C056B"/>
    <w:rsid w:val="43AC4C52"/>
    <w:rsid w:val="43B14016"/>
    <w:rsid w:val="43B753A5"/>
    <w:rsid w:val="43CF790C"/>
    <w:rsid w:val="43FD725B"/>
    <w:rsid w:val="442838FD"/>
    <w:rsid w:val="44641089"/>
    <w:rsid w:val="4464552C"/>
    <w:rsid w:val="446E63AB"/>
    <w:rsid w:val="447C1299"/>
    <w:rsid w:val="4486676E"/>
    <w:rsid w:val="44867251"/>
    <w:rsid w:val="449000D0"/>
    <w:rsid w:val="44B55D88"/>
    <w:rsid w:val="44C04D16"/>
    <w:rsid w:val="44E2484F"/>
    <w:rsid w:val="44FA379B"/>
    <w:rsid w:val="4508410A"/>
    <w:rsid w:val="454D5FC1"/>
    <w:rsid w:val="45505AB1"/>
    <w:rsid w:val="45551251"/>
    <w:rsid w:val="45947097"/>
    <w:rsid w:val="45C83899"/>
    <w:rsid w:val="45D40490"/>
    <w:rsid w:val="45EC0FCA"/>
    <w:rsid w:val="45F3205E"/>
    <w:rsid w:val="46227EE5"/>
    <w:rsid w:val="46511AE0"/>
    <w:rsid w:val="46804174"/>
    <w:rsid w:val="46A91D44"/>
    <w:rsid w:val="46A95479"/>
    <w:rsid w:val="46D36999"/>
    <w:rsid w:val="46DD3374"/>
    <w:rsid w:val="46E066CC"/>
    <w:rsid w:val="46EE10DD"/>
    <w:rsid w:val="46F5246C"/>
    <w:rsid w:val="47004E01"/>
    <w:rsid w:val="47013507"/>
    <w:rsid w:val="470A0C21"/>
    <w:rsid w:val="4710374A"/>
    <w:rsid w:val="47431429"/>
    <w:rsid w:val="47490A0A"/>
    <w:rsid w:val="47541888"/>
    <w:rsid w:val="47872322"/>
    <w:rsid w:val="47B118C2"/>
    <w:rsid w:val="47B15E6F"/>
    <w:rsid w:val="47C307BC"/>
    <w:rsid w:val="47D34455"/>
    <w:rsid w:val="47DE0ADC"/>
    <w:rsid w:val="47E04ECA"/>
    <w:rsid w:val="47F72214"/>
    <w:rsid w:val="48256D81"/>
    <w:rsid w:val="483B2325"/>
    <w:rsid w:val="48427933"/>
    <w:rsid w:val="48455675"/>
    <w:rsid w:val="48474F49"/>
    <w:rsid w:val="48551591"/>
    <w:rsid w:val="486F4E57"/>
    <w:rsid w:val="48861F15"/>
    <w:rsid w:val="48931F3C"/>
    <w:rsid w:val="489F2881"/>
    <w:rsid w:val="48A759E8"/>
    <w:rsid w:val="48AC2FFE"/>
    <w:rsid w:val="48E36F3C"/>
    <w:rsid w:val="48F16052"/>
    <w:rsid w:val="49374445"/>
    <w:rsid w:val="49463453"/>
    <w:rsid w:val="497A560D"/>
    <w:rsid w:val="497C0C22"/>
    <w:rsid w:val="49900B72"/>
    <w:rsid w:val="49973CAE"/>
    <w:rsid w:val="49E64365"/>
    <w:rsid w:val="4A056E6A"/>
    <w:rsid w:val="4A1452FF"/>
    <w:rsid w:val="4A233794"/>
    <w:rsid w:val="4A2D63C1"/>
    <w:rsid w:val="4A4E4839"/>
    <w:rsid w:val="4A835FE1"/>
    <w:rsid w:val="4A946440"/>
    <w:rsid w:val="4AD54A8E"/>
    <w:rsid w:val="4AE14D09"/>
    <w:rsid w:val="4B0C5FD6"/>
    <w:rsid w:val="4B126097"/>
    <w:rsid w:val="4B180E1F"/>
    <w:rsid w:val="4B1E3247"/>
    <w:rsid w:val="4B2B0B52"/>
    <w:rsid w:val="4B46598C"/>
    <w:rsid w:val="4B8E2E8F"/>
    <w:rsid w:val="4BC468B1"/>
    <w:rsid w:val="4BD411EA"/>
    <w:rsid w:val="4BDF36EB"/>
    <w:rsid w:val="4BF42E47"/>
    <w:rsid w:val="4C001FDF"/>
    <w:rsid w:val="4C316E18"/>
    <w:rsid w:val="4C6836E0"/>
    <w:rsid w:val="4C746529"/>
    <w:rsid w:val="4C92075D"/>
    <w:rsid w:val="4CBD1C7E"/>
    <w:rsid w:val="4D072EF9"/>
    <w:rsid w:val="4D083516"/>
    <w:rsid w:val="4D0B5C96"/>
    <w:rsid w:val="4D3C7046"/>
    <w:rsid w:val="4D3D4B6D"/>
    <w:rsid w:val="4D49458D"/>
    <w:rsid w:val="4D92310A"/>
    <w:rsid w:val="4DD6155F"/>
    <w:rsid w:val="4DE1199C"/>
    <w:rsid w:val="4DF72F6D"/>
    <w:rsid w:val="4DF91468"/>
    <w:rsid w:val="4E10402F"/>
    <w:rsid w:val="4E125FF9"/>
    <w:rsid w:val="4E60700D"/>
    <w:rsid w:val="4E6879C7"/>
    <w:rsid w:val="4E720846"/>
    <w:rsid w:val="4EAC3BC8"/>
    <w:rsid w:val="4ECF3EEA"/>
    <w:rsid w:val="4F495A4B"/>
    <w:rsid w:val="4F5616DF"/>
    <w:rsid w:val="4F8A3A03"/>
    <w:rsid w:val="4F9860C8"/>
    <w:rsid w:val="4FA669F9"/>
    <w:rsid w:val="4FB6386E"/>
    <w:rsid w:val="4FDA6E22"/>
    <w:rsid w:val="4FEE214E"/>
    <w:rsid w:val="4FF77255"/>
    <w:rsid w:val="500E459E"/>
    <w:rsid w:val="50100316"/>
    <w:rsid w:val="50154AE5"/>
    <w:rsid w:val="506A5A29"/>
    <w:rsid w:val="50880A02"/>
    <w:rsid w:val="50A867A1"/>
    <w:rsid w:val="50E772C9"/>
    <w:rsid w:val="51281690"/>
    <w:rsid w:val="51383FC9"/>
    <w:rsid w:val="514E72A7"/>
    <w:rsid w:val="516052CE"/>
    <w:rsid w:val="51621046"/>
    <w:rsid w:val="51656440"/>
    <w:rsid w:val="519D3E2C"/>
    <w:rsid w:val="51BF3DA2"/>
    <w:rsid w:val="51C94C21"/>
    <w:rsid w:val="51D140A4"/>
    <w:rsid w:val="52195BA8"/>
    <w:rsid w:val="52CF06A0"/>
    <w:rsid w:val="52D56B5F"/>
    <w:rsid w:val="52D63A99"/>
    <w:rsid w:val="52D65847"/>
    <w:rsid w:val="52EA30A1"/>
    <w:rsid w:val="53004672"/>
    <w:rsid w:val="531E2D4A"/>
    <w:rsid w:val="536015B5"/>
    <w:rsid w:val="53A019B1"/>
    <w:rsid w:val="53D24A1B"/>
    <w:rsid w:val="53FD6E04"/>
    <w:rsid w:val="54556C40"/>
    <w:rsid w:val="54740254"/>
    <w:rsid w:val="54895201"/>
    <w:rsid w:val="54B0031A"/>
    <w:rsid w:val="54BE47E5"/>
    <w:rsid w:val="5540344C"/>
    <w:rsid w:val="554525D7"/>
    <w:rsid w:val="558A7637"/>
    <w:rsid w:val="55943798"/>
    <w:rsid w:val="55AC288F"/>
    <w:rsid w:val="55BE25C3"/>
    <w:rsid w:val="55C43C11"/>
    <w:rsid w:val="55CA0F67"/>
    <w:rsid w:val="55DC2B2B"/>
    <w:rsid w:val="55E52F29"/>
    <w:rsid w:val="56004989"/>
    <w:rsid w:val="561A5A4B"/>
    <w:rsid w:val="561B7A15"/>
    <w:rsid w:val="565D1DDC"/>
    <w:rsid w:val="56705FB3"/>
    <w:rsid w:val="56711CAC"/>
    <w:rsid w:val="569854FE"/>
    <w:rsid w:val="56AD2D63"/>
    <w:rsid w:val="56CA56C3"/>
    <w:rsid w:val="56D46542"/>
    <w:rsid w:val="575C5ED5"/>
    <w:rsid w:val="57825F9E"/>
    <w:rsid w:val="57875362"/>
    <w:rsid w:val="57B23EFA"/>
    <w:rsid w:val="57C91250"/>
    <w:rsid w:val="57E427B4"/>
    <w:rsid w:val="57EE718F"/>
    <w:rsid w:val="58223FAA"/>
    <w:rsid w:val="5840354A"/>
    <w:rsid w:val="586631C9"/>
    <w:rsid w:val="58690128"/>
    <w:rsid w:val="58B04C07"/>
    <w:rsid w:val="58C15CEE"/>
    <w:rsid w:val="58DA7713"/>
    <w:rsid w:val="58DC16DE"/>
    <w:rsid w:val="58E3481A"/>
    <w:rsid w:val="58FA7DB6"/>
    <w:rsid w:val="58FC04BE"/>
    <w:rsid w:val="591456A3"/>
    <w:rsid w:val="59205A6E"/>
    <w:rsid w:val="59A0095D"/>
    <w:rsid w:val="59A2658E"/>
    <w:rsid w:val="59D0110F"/>
    <w:rsid w:val="59F34F31"/>
    <w:rsid w:val="59F6057D"/>
    <w:rsid w:val="5A130A4F"/>
    <w:rsid w:val="5A1B7FE4"/>
    <w:rsid w:val="5A2871CA"/>
    <w:rsid w:val="5A3B2434"/>
    <w:rsid w:val="5A8570CB"/>
    <w:rsid w:val="5ABF3065"/>
    <w:rsid w:val="5AC84C04"/>
    <w:rsid w:val="5B0C16A5"/>
    <w:rsid w:val="5B11258B"/>
    <w:rsid w:val="5B266C40"/>
    <w:rsid w:val="5B4F263B"/>
    <w:rsid w:val="5B5C6B06"/>
    <w:rsid w:val="5B5E2129"/>
    <w:rsid w:val="5BC528FD"/>
    <w:rsid w:val="5BE014E5"/>
    <w:rsid w:val="5C393362"/>
    <w:rsid w:val="5C403D31"/>
    <w:rsid w:val="5C464348"/>
    <w:rsid w:val="5C49720C"/>
    <w:rsid w:val="5C5C1DC7"/>
    <w:rsid w:val="5C643EC4"/>
    <w:rsid w:val="5C7F0CFE"/>
    <w:rsid w:val="5C961BA3"/>
    <w:rsid w:val="5CD31049"/>
    <w:rsid w:val="5CF236F5"/>
    <w:rsid w:val="5D1279F7"/>
    <w:rsid w:val="5D2068AA"/>
    <w:rsid w:val="5D5E0913"/>
    <w:rsid w:val="5D635F29"/>
    <w:rsid w:val="5D777157"/>
    <w:rsid w:val="5D891708"/>
    <w:rsid w:val="5D9A56C3"/>
    <w:rsid w:val="5DD5494D"/>
    <w:rsid w:val="5DF73C2F"/>
    <w:rsid w:val="5E0A45F7"/>
    <w:rsid w:val="5E4D6BEB"/>
    <w:rsid w:val="5E5F5339"/>
    <w:rsid w:val="5E7128C8"/>
    <w:rsid w:val="5E7A680E"/>
    <w:rsid w:val="5E8E6FD6"/>
    <w:rsid w:val="5EB01642"/>
    <w:rsid w:val="5ECE7D1A"/>
    <w:rsid w:val="5ED15115"/>
    <w:rsid w:val="5ED74E21"/>
    <w:rsid w:val="5EDA046D"/>
    <w:rsid w:val="5F047298"/>
    <w:rsid w:val="5F105200"/>
    <w:rsid w:val="5F1735B6"/>
    <w:rsid w:val="5F5C0E82"/>
    <w:rsid w:val="5F9C1BC7"/>
    <w:rsid w:val="5FA016B7"/>
    <w:rsid w:val="5FB52D33"/>
    <w:rsid w:val="5FB84304"/>
    <w:rsid w:val="5FBC5DC5"/>
    <w:rsid w:val="5FCA6734"/>
    <w:rsid w:val="5FFF5FBB"/>
    <w:rsid w:val="602C4A56"/>
    <w:rsid w:val="60303C5D"/>
    <w:rsid w:val="604858AA"/>
    <w:rsid w:val="60522285"/>
    <w:rsid w:val="605A720D"/>
    <w:rsid w:val="605B738C"/>
    <w:rsid w:val="60687CFB"/>
    <w:rsid w:val="60761FDA"/>
    <w:rsid w:val="60765F74"/>
    <w:rsid w:val="60851227"/>
    <w:rsid w:val="6098238E"/>
    <w:rsid w:val="60A26D69"/>
    <w:rsid w:val="61261A91"/>
    <w:rsid w:val="619C7C5C"/>
    <w:rsid w:val="61A261E8"/>
    <w:rsid w:val="61C62F2B"/>
    <w:rsid w:val="61C96577"/>
    <w:rsid w:val="61D27B22"/>
    <w:rsid w:val="61E41603"/>
    <w:rsid w:val="61E70D23"/>
    <w:rsid w:val="61F1285D"/>
    <w:rsid w:val="61FE0917"/>
    <w:rsid w:val="62685D90"/>
    <w:rsid w:val="62774225"/>
    <w:rsid w:val="629E4747"/>
    <w:rsid w:val="629F713A"/>
    <w:rsid w:val="62AD7C47"/>
    <w:rsid w:val="62BC1116"/>
    <w:rsid w:val="62E23D94"/>
    <w:rsid w:val="630E2DDB"/>
    <w:rsid w:val="6311467A"/>
    <w:rsid w:val="631E34E5"/>
    <w:rsid w:val="632C5010"/>
    <w:rsid w:val="63352116"/>
    <w:rsid w:val="63844E4C"/>
    <w:rsid w:val="63A96660"/>
    <w:rsid w:val="63AD43A2"/>
    <w:rsid w:val="63C5259B"/>
    <w:rsid w:val="63CF256B"/>
    <w:rsid w:val="63DD630A"/>
    <w:rsid w:val="641D2DC1"/>
    <w:rsid w:val="64555BF0"/>
    <w:rsid w:val="64836EB1"/>
    <w:rsid w:val="648C14D3"/>
    <w:rsid w:val="65007F40"/>
    <w:rsid w:val="650F6997"/>
    <w:rsid w:val="6518584B"/>
    <w:rsid w:val="65390211"/>
    <w:rsid w:val="653B59DE"/>
    <w:rsid w:val="65436640"/>
    <w:rsid w:val="656C3DE9"/>
    <w:rsid w:val="656E7B61"/>
    <w:rsid w:val="657A4758"/>
    <w:rsid w:val="65817895"/>
    <w:rsid w:val="65BA4B55"/>
    <w:rsid w:val="65DF280D"/>
    <w:rsid w:val="65F12341"/>
    <w:rsid w:val="65FC76DE"/>
    <w:rsid w:val="66012783"/>
    <w:rsid w:val="662B304C"/>
    <w:rsid w:val="66321093"/>
    <w:rsid w:val="663743F7"/>
    <w:rsid w:val="66613222"/>
    <w:rsid w:val="669058B5"/>
    <w:rsid w:val="66B617C0"/>
    <w:rsid w:val="66BC3D6A"/>
    <w:rsid w:val="66C94123"/>
    <w:rsid w:val="66CA54F4"/>
    <w:rsid w:val="66D94689"/>
    <w:rsid w:val="66F45E44"/>
    <w:rsid w:val="66FB5425"/>
    <w:rsid w:val="6707201B"/>
    <w:rsid w:val="672A3F5C"/>
    <w:rsid w:val="67386679"/>
    <w:rsid w:val="6743454D"/>
    <w:rsid w:val="674F751F"/>
    <w:rsid w:val="67746F85"/>
    <w:rsid w:val="67B51A77"/>
    <w:rsid w:val="67D63502"/>
    <w:rsid w:val="68716FC1"/>
    <w:rsid w:val="687F5BE1"/>
    <w:rsid w:val="68861A1F"/>
    <w:rsid w:val="68896A60"/>
    <w:rsid w:val="68996CA3"/>
    <w:rsid w:val="68A129F5"/>
    <w:rsid w:val="68A37B22"/>
    <w:rsid w:val="68AA5354"/>
    <w:rsid w:val="68CD2DF1"/>
    <w:rsid w:val="68DE0B5A"/>
    <w:rsid w:val="68E32614"/>
    <w:rsid w:val="690F51B7"/>
    <w:rsid w:val="691154BA"/>
    <w:rsid w:val="6917406C"/>
    <w:rsid w:val="69433D3F"/>
    <w:rsid w:val="694671EC"/>
    <w:rsid w:val="694C1F68"/>
    <w:rsid w:val="69623539"/>
    <w:rsid w:val="697274F4"/>
    <w:rsid w:val="699456BD"/>
    <w:rsid w:val="69F820EF"/>
    <w:rsid w:val="69F83E9D"/>
    <w:rsid w:val="6A3E6F12"/>
    <w:rsid w:val="6A611A43"/>
    <w:rsid w:val="6A834D26"/>
    <w:rsid w:val="6A927E4E"/>
    <w:rsid w:val="6ABA73A5"/>
    <w:rsid w:val="6AC45251"/>
    <w:rsid w:val="6ADE75EA"/>
    <w:rsid w:val="6AE52674"/>
    <w:rsid w:val="6B264A3A"/>
    <w:rsid w:val="6B340F05"/>
    <w:rsid w:val="6B431148"/>
    <w:rsid w:val="6B8754D9"/>
    <w:rsid w:val="6B88082C"/>
    <w:rsid w:val="6BDF1F72"/>
    <w:rsid w:val="6C1256EA"/>
    <w:rsid w:val="6C1D408F"/>
    <w:rsid w:val="6C2C7E2E"/>
    <w:rsid w:val="6C450EF0"/>
    <w:rsid w:val="6C6636F1"/>
    <w:rsid w:val="6C7672FB"/>
    <w:rsid w:val="6C8222E0"/>
    <w:rsid w:val="6C87555A"/>
    <w:rsid w:val="6C8E1383"/>
    <w:rsid w:val="6C957659"/>
    <w:rsid w:val="6CA67691"/>
    <w:rsid w:val="6D0D5EB2"/>
    <w:rsid w:val="6D2A25C0"/>
    <w:rsid w:val="6D4D62AE"/>
    <w:rsid w:val="6D4F2026"/>
    <w:rsid w:val="6D605FE2"/>
    <w:rsid w:val="6D755655"/>
    <w:rsid w:val="6D7970A3"/>
    <w:rsid w:val="6D80320F"/>
    <w:rsid w:val="6DAE3172"/>
    <w:rsid w:val="6DCA78FF"/>
    <w:rsid w:val="6E056B89"/>
    <w:rsid w:val="6E313E22"/>
    <w:rsid w:val="6E3663FC"/>
    <w:rsid w:val="6E510020"/>
    <w:rsid w:val="6E5560FA"/>
    <w:rsid w:val="6E7A1325"/>
    <w:rsid w:val="6F1352D6"/>
    <w:rsid w:val="6F493EE6"/>
    <w:rsid w:val="6F550754"/>
    <w:rsid w:val="6F596DB7"/>
    <w:rsid w:val="6F6873CF"/>
    <w:rsid w:val="6F984B99"/>
    <w:rsid w:val="6FBA11A3"/>
    <w:rsid w:val="6FE3114C"/>
    <w:rsid w:val="701E5E0F"/>
    <w:rsid w:val="702A4DD3"/>
    <w:rsid w:val="702E686B"/>
    <w:rsid w:val="703A5210"/>
    <w:rsid w:val="703D6AAE"/>
    <w:rsid w:val="705C7EB4"/>
    <w:rsid w:val="70765B1C"/>
    <w:rsid w:val="707F3EC5"/>
    <w:rsid w:val="710C022E"/>
    <w:rsid w:val="711772FF"/>
    <w:rsid w:val="71453E6C"/>
    <w:rsid w:val="7173051A"/>
    <w:rsid w:val="717C3F23"/>
    <w:rsid w:val="719C0459"/>
    <w:rsid w:val="71A843FB"/>
    <w:rsid w:val="71E046B8"/>
    <w:rsid w:val="72001B41"/>
    <w:rsid w:val="72541E8D"/>
    <w:rsid w:val="72543832"/>
    <w:rsid w:val="726D1BB9"/>
    <w:rsid w:val="72A526E9"/>
    <w:rsid w:val="72B25F01"/>
    <w:rsid w:val="72BD7A32"/>
    <w:rsid w:val="72C214EC"/>
    <w:rsid w:val="72CB03A1"/>
    <w:rsid w:val="72DD6326"/>
    <w:rsid w:val="72DD6345"/>
    <w:rsid w:val="72E8136F"/>
    <w:rsid w:val="72F01BB6"/>
    <w:rsid w:val="734343DB"/>
    <w:rsid w:val="734D30C8"/>
    <w:rsid w:val="735E5441"/>
    <w:rsid w:val="73726A6F"/>
    <w:rsid w:val="738870FF"/>
    <w:rsid w:val="73A62BBC"/>
    <w:rsid w:val="73CD1EF7"/>
    <w:rsid w:val="73E52417"/>
    <w:rsid w:val="741702A4"/>
    <w:rsid w:val="74370FDC"/>
    <w:rsid w:val="7499002B"/>
    <w:rsid w:val="749D7B1B"/>
    <w:rsid w:val="74F11C15"/>
    <w:rsid w:val="7501454E"/>
    <w:rsid w:val="750C2BEC"/>
    <w:rsid w:val="750E27C7"/>
    <w:rsid w:val="7526399E"/>
    <w:rsid w:val="75355FA6"/>
    <w:rsid w:val="7541494A"/>
    <w:rsid w:val="757C3BD5"/>
    <w:rsid w:val="75874327"/>
    <w:rsid w:val="758E56B6"/>
    <w:rsid w:val="758F1B5A"/>
    <w:rsid w:val="75BC0475"/>
    <w:rsid w:val="75EC6D26"/>
    <w:rsid w:val="75F53987"/>
    <w:rsid w:val="75F96FD3"/>
    <w:rsid w:val="76120095"/>
    <w:rsid w:val="763C3364"/>
    <w:rsid w:val="765863F0"/>
    <w:rsid w:val="7662726E"/>
    <w:rsid w:val="76735B59"/>
    <w:rsid w:val="767C537E"/>
    <w:rsid w:val="76816FC9"/>
    <w:rsid w:val="768C6099"/>
    <w:rsid w:val="76937428"/>
    <w:rsid w:val="76BD44A5"/>
    <w:rsid w:val="76EB7264"/>
    <w:rsid w:val="76FE3487"/>
    <w:rsid w:val="7702635B"/>
    <w:rsid w:val="7731279D"/>
    <w:rsid w:val="775070C7"/>
    <w:rsid w:val="775A1CF3"/>
    <w:rsid w:val="77631821"/>
    <w:rsid w:val="7773713D"/>
    <w:rsid w:val="77882D05"/>
    <w:rsid w:val="77994658"/>
    <w:rsid w:val="77C51266"/>
    <w:rsid w:val="77C6382D"/>
    <w:rsid w:val="77C903B7"/>
    <w:rsid w:val="77D31AA6"/>
    <w:rsid w:val="77E12415"/>
    <w:rsid w:val="78063C29"/>
    <w:rsid w:val="782A44E7"/>
    <w:rsid w:val="78485FF0"/>
    <w:rsid w:val="786F5C73"/>
    <w:rsid w:val="7872306D"/>
    <w:rsid w:val="78970D25"/>
    <w:rsid w:val="78A70F68"/>
    <w:rsid w:val="78B90C9C"/>
    <w:rsid w:val="78FC35AD"/>
    <w:rsid w:val="78FF6FF6"/>
    <w:rsid w:val="790F6B0E"/>
    <w:rsid w:val="794E7636"/>
    <w:rsid w:val="799B65F3"/>
    <w:rsid w:val="79AE389B"/>
    <w:rsid w:val="7A044199"/>
    <w:rsid w:val="7A0F3269"/>
    <w:rsid w:val="7A1A6932"/>
    <w:rsid w:val="7A3410D9"/>
    <w:rsid w:val="7A440A39"/>
    <w:rsid w:val="7A511B1E"/>
    <w:rsid w:val="7A5275FA"/>
    <w:rsid w:val="7A664E53"/>
    <w:rsid w:val="7A792DD8"/>
    <w:rsid w:val="7A831561"/>
    <w:rsid w:val="7A8F4231"/>
    <w:rsid w:val="7AE328CD"/>
    <w:rsid w:val="7B036C80"/>
    <w:rsid w:val="7B0501C8"/>
    <w:rsid w:val="7B064216"/>
    <w:rsid w:val="7B2E3BC3"/>
    <w:rsid w:val="7B4231CA"/>
    <w:rsid w:val="7B503B39"/>
    <w:rsid w:val="7B7046BD"/>
    <w:rsid w:val="7B71585E"/>
    <w:rsid w:val="7BDA3403"/>
    <w:rsid w:val="7BDE5361"/>
    <w:rsid w:val="7BF1074D"/>
    <w:rsid w:val="7BFD478D"/>
    <w:rsid w:val="7C6B04FF"/>
    <w:rsid w:val="7C75137E"/>
    <w:rsid w:val="7CA37C99"/>
    <w:rsid w:val="7CC948A2"/>
    <w:rsid w:val="7CCC5441"/>
    <w:rsid w:val="7CD82A50"/>
    <w:rsid w:val="7CD97B5E"/>
    <w:rsid w:val="7D1B0177"/>
    <w:rsid w:val="7D3C3BBA"/>
    <w:rsid w:val="7D5611AF"/>
    <w:rsid w:val="7D5E1E12"/>
    <w:rsid w:val="7D6438CC"/>
    <w:rsid w:val="7D823D52"/>
    <w:rsid w:val="7D913F95"/>
    <w:rsid w:val="7DBA10EA"/>
    <w:rsid w:val="7DC66335"/>
    <w:rsid w:val="7DF1351C"/>
    <w:rsid w:val="7DF34C50"/>
    <w:rsid w:val="7DFE7FCE"/>
    <w:rsid w:val="7E0557AD"/>
    <w:rsid w:val="7E0806FB"/>
    <w:rsid w:val="7E1434E9"/>
    <w:rsid w:val="7E526150"/>
    <w:rsid w:val="7E5D031B"/>
    <w:rsid w:val="7E837D82"/>
    <w:rsid w:val="7E8C0464"/>
    <w:rsid w:val="7E9F0934"/>
    <w:rsid w:val="7EA128FE"/>
    <w:rsid w:val="7EBC14E6"/>
    <w:rsid w:val="7EBF4B32"/>
    <w:rsid w:val="7EC326B7"/>
    <w:rsid w:val="7EC5320D"/>
    <w:rsid w:val="7ED92098"/>
    <w:rsid w:val="7F471DA1"/>
    <w:rsid w:val="7F761695"/>
    <w:rsid w:val="7F9D4E73"/>
    <w:rsid w:val="7FAE7080"/>
    <w:rsid w:val="7FBB354B"/>
    <w:rsid w:val="7FD32E0D"/>
    <w:rsid w:val="7FE505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200" w:firstLineChars="20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73"/>
    <w:qFormat/>
    <w:uiPriority w:val="0"/>
    <w:pPr>
      <w:keepNext/>
      <w:jc w:val="center"/>
      <w:outlineLvl w:val="0"/>
    </w:pPr>
    <w:rPr>
      <w:b/>
      <w:bCs/>
      <w:color w:val="000000"/>
      <w:sz w:val="32"/>
    </w:rPr>
  </w:style>
  <w:style w:type="paragraph" w:styleId="6">
    <w:name w:val="heading 2"/>
    <w:basedOn w:val="1"/>
    <w:next w:val="1"/>
    <w:qFormat/>
    <w:uiPriority w:val="0"/>
    <w:pPr>
      <w:keepNext/>
      <w:keepLines/>
      <w:spacing w:after="0" w:afterLines="0" w:line="460" w:lineRule="exact"/>
      <w:outlineLvl w:val="1"/>
    </w:pPr>
    <w:rPr>
      <w:rFonts w:ascii="宋体" w:hAnsi="宋体"/>
      <w:b/>
      <w:sz w:val="30"/>
      <w:szCs w:val="30"/>
    </w:rPr>
  </w:style>
  <w:style w:type="paragraph" w:styleId="7">
    <w:name w:val="heading 3"/>
    <w:basedOn w:val="1"/>
    <w:next w:val="1"/>
    <w:qFormat/>
    <w:uiPriority w:val="0"/>
    <w:pPr>
      <w:keepNext/>
      <w:keepLines/>
      <w:spacing w:after="0" w:afterLines="0" w:line="460" w:lineRule="exact"/>
      <w:jc w:val="left"/>
      <w:outlineLvl w:val="2"/>
    </w:pPr>
    <w:rPr>
      <w:b/>
      <w:sz w:val="24"/>
    </w:rPr>
  </w:style>
  <w:style w:type="paragraph" w:styleId="8">
    <w:name w:val="heading 4"/>
    <w:basedOn w:val="1"/>
    <w:next w:val="1"/>
    <w:qFormat/>
    <w:uiPriority w:val="0"/>
    <w:pPr>
      <w:keepNext/>
      <w:keepLines/>
      <w:spacing w:line="360" w:lineRule="auto"/>
      <w:outlineLvl w:val="3"/>
    </w:pPr>
    <w:rPr>
      <w:rFonts w:ascii="Arial" w:hAnsi="Arial"/>
      <w:b/>
      <w:bCs/>
      <w:szCs w:val="28"/>
    </w:rPr>
  </w:style>
  <w:style w:type="character" w:default="1" w:styleId="31">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style>
  <w:style w:type="paragraph" w:styleId="3">
    <w:name w:val="Body Text"/>
    <w:basedOn w:val="1"/>
    <w:next w:val="4"/>
    <w:qFormat/>
    <w:uiPriority w:val="0"/>
    <w:pPr>
      <w:spacing w:after="120" w:afterLines="0" w:afterAutospacing="0"/>
    </w:pPr>
    <w:rPr>
      <w:sz w:val="21"/>
    </w:rPr>
  </w:style>
  <w:style w:type="paragraph" w:styleId="4">
    <w:name w:val="Body Text 2"/>
    <w:basedOn w:val="1"/>
    <w:qFormat/>
    <w:uiPriority w:val="0"/>
    <w:pPr>
      <w:spacing w:after="120" w:afterLines="0" w:afterAutospacing="0" w:line="480" w:lineRule="auto"/>
    </w:pPr>
    <w:rPr>
      <w:sz w:val="21"/>
    </w:rPr>
  </w:style>
  <w:style w:type="paragraph" w:styleId="9">
    <w:name w:val="table of authorities"/>
    <w:basedOn w:val="1"/>
    <w:next w:val="1"/>
    <w:qFormat/>
    <w:uiPriority w:val="0"/>
    <w:pPr>
      <w:widowControl w:val="0"/>
      <w:autoSpaceDE/>
      <w:autoSpaceDN/>
      <w:spacing w:before="0" w:after="0" w:line="240" w:lineRule="auto"/>
      <w:ind w:left="420" w:firstLine="0"/>
      <w:jc w:val="both"/>
    </w:pPr>
    <w:rPr>
      <w:rFonts w:ascii="Calibri" w:eastAsia="宋体"/>
      <w:sz w:val="21"/>
    </w:rPr>
  </w:style>
  <w:style w:type="paragraph" w:styleId="10">
    <w:name w:val="Normal Indent"/>
    <w:basedOn w:val="1"/>
    <w:next w:val="1"/>
    <w:qFormat/>
    <w:uiPriority w:val="0"/>
    <w:pPr>
      <w:ind w:firstLine="420"/>
    </w:pPr>
    <w:rPr>
      <w:sz w:val="21"/>
    </w:rPr>
  </w:style>
  <w:style w:type="paragraph" w:styleId="11">
    <w:name w:val="annotation text"/>
    <w:basedOn w:val="1"/>
    <w:qFormat/>
    <w:uiPriority w:val="99"/>
    <w:pPr>
      <w:jc w:val="left"/>
    </w:pPr>
  </w:style>
  <w:style w:type="paragraph" w:styleId="12">
    <w:name w:val="Body Text 3"/>
    <w:basedOn w:val="1"/>
    <w:qFormat/>
    <w:uiPriority w:val="0"/>
    <w:rPr>
      <w:rFonts w:hAnsi="Times New Roman"/>
      <w:kern w:val="0"/>
      <w:sz w:val="24"/>
      <w:szCs w:val="20"/>
    </w:rPr>
  </w:style>
  <w:style w:type="paragraph" w:styleId="13">
    <w:name w:val="Body Text Indent"/>
    <w:basedOn w:val="1"/>
    <w:next w:val="14"/>
    <w:qFormat/>
    <w:uiPriority w:val="0"/>
    <w:pPr>
      <w:spacing w:line="312" w:lineRule="auto"/>
      <w:ind w:firstLine="735" w:firstLineChars="245"/>
    </w:pPr>
  </w:style>
  <w:style w:type="paragraph" w:styleId="14">
    <w:name w:val="envelope return"/>
    <w:basedOn w:val="1"/>
    <w:unhideWhenUsed/>
    <w:qFormat/>
    <w:uiPriority w:val="99"/>
    <w:pPr>
      <w:snapToGrid w:val="0"/>
    </w:pPr>
    <w:rPr>
      <w:rFonts w:ascii="Arial" w:hAnsi="Arial"/>
    </w:rPr>
  </w:style>
  <w:style w:type="paragraph" w:styleId="15">
    <w:name w:val="List 2"/>
    <w:basedOn w:val="1"/>
    <w:qFormat/>
    <w:uiPriority w:val="0"/>
    <w:pPr>
      <w:ind w:left="100" w:leftChars="200" w:hanging="200" w:hangingChars="200"/>
    </w:pPr>
    <w:rPr>
      <w:sz w:val="21"/>
      <w:szCs w:val="24"/>
    </w:rPr>
  </w:style>
  <w:style w:type="paragraph" w:styleId="16">
    <w:name w:val="toc 3"/>
    <w:basedOn w:val="1"/>
    <w:next w:val="1"/>
    <w:semiHidden/>
    <w:unhideWhenUsed/>
    <w:qFormat/>
    <w:uiPriority w:val="39"/>
    <w:pPr>
      <w:ind w:left="840" w:leftChars="400"/>
    </w:pPr>
  </w:style>
  <w:style w:type="paragraph" w:styleId="17">
    <w:name w:val="Plain Text"/>
    <w:basedOn w:val="1"/>
    <w:qFormat/>
    <w:uiPriority w:val="0"/>
    <w:rPr>
      <w:rFonts w:ascii="宋体" w:hAnsi="Courier New"/>
      <w:szCs w:val="21"/>
    </w:rPr>
  </w:style>
  <w:style w:type="paragraph" w:styleId="18">
    <w:name w:val="Date"/>
    <w:basedOn w:val="1"/>
    <w:next w:val="1"/>
    <w:qFormat/>
    <w:uiPriority w:val="0"/>
    <w:pPr>
      <w:ind w:leftChars="2500"/>
    </w:pPr>
    <w:rPr>
      <w:rFonts w:ascii="Times New Roman" w:hAnsi="Times New Roman" w:eastAsia="宋体" w:cs="Times New Roman"/>
    </w:rPr>
  </w:style>
  <w:style w:type="paragraph" w:styleId="19">
    <w:name w:val="footer"/>
    <w:basedOn w:val="1"/>
    <w:link w:val="56"/>
    <w:unhideWhenUsed/>
    <w:qFormat/>
    <w:uiPriority w:val="99"/>
    <w:pPr>
      <w:tabs>
        <w:tab w:val="center" w:pos="4153"/>
        <w:tab w:val="right" w:pos="8306"/>
      </w:tabs>
      <w:snapToGrid w:val="0"/>
      <w:spacing w:line="240" w:lineRule="atLeast"/>
      <w:jc w:val="left"/>
    </w:pPr>
    <w:rPr>
      <w:sz w:val="18"/>
      <w:szCs w:val="18"/>
    </w:rPr>
  </w:style>
  <w:style w:type="paragraph" w:styleId="20">
    <w:name w:val="header"/>
    <w:basedOn w:val="1"/>
    <w:link w:val="55"/>
    <w:semiHidden/>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qFormat/>
    <w:uiPriority w:val="39"/>
  </w:style>
  <w:style w:type="paragraph" w:styleId="22">
    <w:name w:val="footnote text"/>
    <w:basedOn w:val="1"/>
    <w:qFormat/>
    <w:uiPriority w:val="0"/>
    <w:pPr>
      <w:snapToGrid w:val="0"/>
      <w:jc w:val="left"/>
    </w:pPr>
    <w:rPr>
      <w:sz w:val="18"/>
      <w:szCs w:val="18"/>
    </w:rPr>
  </w:style>
  <w:style w:type="paragraph" w:styleId="23">
    <w:name w:val="toc 2"/>
    <w:basedOn w:val="1"/>
    <w:next w:val="1"/>
    <w:qFormat/>
    <w:uiPriority w:val="39"/>
    <w:pPr>
      <w:widowControl/>
      <w:spacing w:after="100" w:afterLines="0" w:line="276" w:lineRule="auto"/>
      <w:ind w:left="220"/>
      <w:jc w:val="left"/>
    </w:pPr>
    <w:rPr>
      <w:rFonts w:ascii="Calibri" w:hAnsi="Calibri"/>
      <w:kern w:val="0"/>
      <w:sz w:val="22"/>
      <w:szCs w:val="22"/>
    </w:rPr>
  </w:style>
  <w:style w:type="paragraph" w:styleId="24">
    <w:name w:val="Normal (Web)"/>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styleId="25">
    <w:name w:val="Title"/>
    <w:basedOn w:val="1"/>
    <w:next w:val="1"/>
    <w:qFormat/>
    <w:uiPriority w:val="0"/>
    <w:pPr>
      <w:spacing w:before="240" w:beforeLines="0" w:after="60" w:afterLines="0"/>
      <w:jc w:val="center"/>
      <w:outlineLvl w:val="0"/>
    </w:pPr>
    <w:rPr>
      <w:rFonts w:ascii="Cambria" w:hAnsi="Cambria"/>
      <w:b/>
      <w:bCs/>
      <w:sz w:val="32"/>
      <w:szCs w:val="32"/>
    </w:rPr>
  </w:style>
  <w:style w:type="paragraph" w:styleId="26">
    <w:name w:val="Body Text First Indent 2"/>
    <w:basedOn w:val="13"/>
    <w:next w:val="27"/>
    <w:qFormat/>
    <w:uiPriority w:val="0"/>
    <w:pPr>
      <w:spacing w:after="120" w:afterLines="0" w:line="240" w:lineRule="auto"/>
      <w:ind w:left="420" w:leftChars="200" w:firstLine="420" w:firstLineChars="200"/>
    </w:pPr>
  </w:style>
  <w:style w:type="paragraph" w:customStyle="1" w:styleId="27">
    <w:name w:val="样式 正文首行缩进 2 + Arial"/>
    <w:basedOn w:val="1"/>
    <w:next w:val="1"/>
    <w:qFormat/>
    <w:uiPriority w:val="0"/>
    <w:pPr>
      <w:spacing w:after="120" w:line="320" w:lineRule="atLeast"/>
      <w:ind w:firstLine="200" w:firstLineChars="200"/>
    </w:pPr>
    <w:rPr>
      <w:rFonts w:ascii="Arial" w:hAnsi="Arial"/>
      <w:kern w:val="0"/>
    </w:rPr>
  </w:style>
  <w:style w:type="table" w:styleId="29">
    <w:name w:val="Table Grid"/>
    <w:basedOn w:val="2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30">
    <w:name w:val="Light Shading"/>
    <w:basedOn w:val="28"/>
    <w:qFormat/>
    <w:uiPriority w:val="60"/>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character" w:styleId="32">
    <w:name w:val="Strong"/>
    <w:basedOn w:val="31"/>
    <w:qFormat/>
    <w:uiPriority w:val="22"/>
    <w:rPr>
      <w:b/>
    </w:rPr>
  </w:style>
  <w:style w:type="character" w:styleId="33">
    <w:name w:val="page number"/>
    <w:basedOn w:val="31"/>
    <w:qFormat/>
    <w:uiPriority w:val="0"/>
  </w:style>
  <w:style w:type="character" w:styleId="34">
    <w:name w:val="FollowedHyperlink"/>
    <w:basedOn w:val="31"/>
    <w:semiHidden/>
    <w:unhideWhenUsed/>
    <w:qFormat/>
    <w:uiPriority w:val="99"/>
    <w:rPr>
      <w:color w:val="333333"/>
      <w:u w:val="none"/>
    </w:rPr>
  </w:style>
  <w:style w:type="character" w:styleId="35">
    <w:name w:val="HTML Definition"/>
    <w:basedOn w:val="31"/>
    <w:semiHidden/>
    <w:unhideWhenUsed/>
    <w:qFormat/>
    <w:uiPriority w:val="99"/>
  </w:style>
  <w:style w:type="character" w:styleId="36">
    <w:name w:val="HTML Typewriter"/>
    <w:basedOn w:val="31"/>
    <w:semiHidden/>
    <w:unhideWhenUsed/>
    <w:qFormat/>
    <w:uiPriority w:val="99"/>
    <w:rPr>
      <w:rFonts w:hint="default" w:ascii="monospace" w:hAnsi="monospace" w:eastAsia="monospace" w:cs="monospace"/>
      <w:sz w:val="20"/>
    </w:rPr>
  </w:style>
  <w:style w:type="character" w:styleId="37">
    <w:name w:val="HTML Acronym"/>
    <w:basedOn w:val="31"/>
    <w:semiHidden/>
    <w:unhideWhenUsed/>
    <w:qFormat/>
    <w:uiPriority w:val="99"/>
    <w:rPr>
      <w:bdr w:val="none" w:color="auto" w:sz="0" w:space="0"/>
    </w:rPr>
  </w:style>
  <w:style w:type="character" w:styleId="38">
    <w:name w:val="HTML Variable"/>
    <w:basedOn w:val="31"/>
    <w:semiHidden/>
    <w:unhideWhenUsed/>
    <w:qFormat/>
    <w:uiPriority w:val="99"/>
  </w:style>
  <w:style w:type="character" w:styleId="39">
    <w:name w:val="Hyperlink"/>
    <w:basedOn w:val="31"/>
    <w:semiHidden/>
    <w:unhideWhenUsed/>
    <w:qFormat/>
    <w:uiPriority w:val="99"/>
    <w:rPr>
      <w:color w:val="333333"/>
      <w:u w:val="none"/>
    </w:rPr>
  </w:style>
  <w:style w:type="character" w:styleId="40">
    <w:name w:val="HTML Code"/>
    <w:basedOn w:val="31"/>
    <w:semiHidden/>
    <w:unhideWhenUsed/>
    <w:qFormat/>
    <w:uiPriority w:val="99"/>
    <w:rPr>
      <w:rFonts w:ascii="monospace" w:hAnsi="monospace" w:eastAsia="monospace" w:cs="monospace"/>
      <w:sz w:val="20"/>
    </w:rPr>
  </w:style>
  <w:style w:type="character" w:styleId="41">
    <w:name w:val="HTML Cite"/>
    <w:basedOn w:val="31"/>
    <w:semiHidden/>
    <w:unhideWhenUsed/>
    <w:qFormat/>
    <w:uiPriority w:val="99"/>
  </w:style>
  <w:style w:type="character" w:styleId="42">
    <w:name w:val="HTML Keyboard"/>
    <w:basedOn w:val="31"/>
    <w:semiHidden/>
    <w:unhideWhenUsed/>
    <w:qFormat/>
    <w:uiPriority w:val="99"/>
    <w:rPr>
      <w:rFonts w:hint="default" w:ascii="monospace" w:hAnsi="monospace" w:eastAsia="monospace" w:cs="monospace"/>
      <w:sz w:val="20"/>
    </w:rPr>
  </w:style>
  <w:style w:type="character" w:styleId="43">
    <w:name w:val="HTML Sample"/>
    <w:basedOn w:val="31"/>
    <w:semiHidden/>
    <w:unhideWhenUsed/>
    <w:qFormat/>
    <w:uiPriority w:val="99"/>
    <w:rPr>
      <w:rFonts w:hint="default" w:ascii="monospace" w:hAnsi="monospace" w:eastAsia="monospace" w:cs="monospace"/>
    </w:rPr>
  </w:style>
  <w:style w:type="paragraph" w:customStyle="1" w:styleId="44">
    <w:name w:val="自动更正"/>
    <w:qFormat/>
    <w:uiPriority w:val="99"/>
    <w:pPr>
      <w:widowControl w:val="0"/>
    </w:pPr>
    <w:rPr>
      <w:rFonts w:ascii="Times New Roman" w:hAnsi="Times New Roman" w:eastAsia="宋体" w:cs="Times New Roman"/>
      <w:kern w:val="2"/>
      <w:sz w:val="24"/>
      <w:szCs w:val="24"/>
      <w:lang w:val="en-US" w:eastAsia="zh-CN" w:bidi="ar-SA"/>
    </w:rPr>
  </w:style>
  <w:style w:type="paragraph" w:customStyle="1" w:styleId="45">
    <w:name w:val="style4"/>
    <w:basedOn w:val="46"/>
    <w:next w:val="48"/>
    <w:qFormat/>
    <w:uiPriority w:val="0"/>
    <w:pPr>
      <w:widowControl/>
      <w:spacing w:before="100" w:beforeLines="0" w:beforeAutospacing="1" w:after="100" w:afterLines="0" w:afterAutospacing="1"/>
      <w:jc w:val="left"/>
    </w:pPr>
    <w:rPr>
      <w:rFonts w:ascii="宋体" w:hAnsi="宋体" w:eastAsia="宋体" w:cs="宋体"/>
      <w:kern w:val="0"/>
      <w:sz w:val="18"/>
      <w:szCs w:val="18"/>
    </w:rPr>
  </w:style>
  <w:style w:type="paragraph" w:customStyle="1" w:styleId="46">
    <w:name w:val="Normal"/>
    <w:next w:val="47"/>
    <w:qFormat/>
    <w:uiPriority w:val="0"/>
    <w:pPr>
      <w:widowControl w:val="0"/>
      <w:jc w:val="both"/>
    </w:pPr>
    <w:rPr>
      <w:rFonts w:ascii="仿宋_GB2312" w:hAnsi="仿宋_GB2312" w:eastAsia="仿宋_GB2312" w:cs="??"/>
      <w:kern w:val="2"/>
      <w:sz w:val="21"/>
      <w:szCs w:val="24"/>
      <w:lang w:val="en-US" w:eastAsia="zh-CN" w:bidi="ar-SA"/>
    </w:rPr>
  </w:style>
  <w:style w:type="paragraph" w:customStyle="1" w:styleId="47">
    <w:name w:val="Body Text"/>
    <w:basedOn w:val="46"/>
    <w:qFormat/>
    <w:uiPriority w:val="0"/>
    <w:pPr>
      <w:spacing w:after="120"/>
    </w:pPr>
    <w:rPr>
      <w:kern w:val="0"/>
      <w:sz w:val="20"/>
      <w:szCs w:val="20"/>
    </w:rPr>
  </w:style>
  <w:style w:type="paragraph" w:customStyle="1" w:styleId="48">
    <w:name w:val="2"/>
    <w:next w:val="1"/>
    <w:qFormat/>
    <w:uiPriority w:val="0"/>
    <w:pPr>
      <w:widowControl w:val="0"/>
      <w:jc w:val="both"/>
    </w:pPr>
    <w:rPr>
      <w:rFonts w:ascii="Times New Roman" w:hAnsi="Times New Roman" w:eastAsia="宋体" w:cs="Times New Roman"/>
      <w:sz w:val="21"/>
      <w:lang w:val="en-US" w:eastAsia="zh-CN" w:bidi="ar-SA"/>
    </w:rPr>
  </w:style>
  <w:style w:type="paragraph" w:customStyle="1" w:styleId="49">
    <w:name w:val="BodyText"/>
    <w:basedOn w:val="1"/>
    <w:next w:val="1"/>
    <w:qFormat/>
    <w:uiPriority w:val="0"/>
    <w:pPr>
      <w:widowControl/>
      <w:textAlignment w:val="baseline"/>
    </w:pPr>
    <w:rPr>
      <w:sz w:val="24"/>
      <w:szCs w:val="24"/>
      <w:lang w:val="en-US" w:eastAsia="zh-CN" w:bidi="ar-SA"/>
    </w:rPr>
  </w:style>
  <w:style w:type="paragraph" w:customStyle="1" w:styleId="50">
    <w:name w:val="BodyText1I"/>
    <w:basedOn w:val="49"/>
    <w:qFormat/>
    <w:uiPriority w:val="99"/>
    <w:pPr>
      <w:ind w:firstLine="420" w:firstLineChars="100"/>
    </w:pPr>
  </w:style>
  <w:style w:type="paragraph" w:customStyle="1" w:styleId="51">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2">
    <w:name w:val="正文_0"/>
    <w:next w:val="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3">
    <w:name w:val="表格文字"/>
    <w:basedOn w:val="1"/>
    <w:next w:val="3"/>
    <w:qFormat/>
    <w:uiPriority w:val="0"/>
    <w:pPr>
      <w:adjustRightInd w:val="0"/>
      <w:spacing w:line="420" w:lineRule="atLeast"/>
      <w:jc w:val="left"/>
      <w:textAlignment w:val="baseline"/>
    </w:pPr>
    <w:rPr>
      <w:kern w:val="0"/>
      <w:szCs w:val="20"/>
    </w:rPr>
  </w:style>
  <w:style w:type="paragraph" w:customStyle="1" w:styleId="54">
    <w:name w:val="TOC 标题1"/>
    <w:basedOn w:val="5"/>
    <w:next w:val="1"/>
    <w:qFormat/>
    <w:uiPriority w:val="39"/>
    <w:pPr>
      <w:tabs>
        <w:tab w:val="left" w:pos="1800"/>
      </w:tabs>
      <w:spacing w:before="480" w:line="276" w:lineRule="auto"/>
      <w:outlineLvl w:val="9"/>
    </w:pPr>
    <w:rPr>
      <w:rFonts w:ascii="仿宋" w:hAnsi="仿宋" w:eastAsia="仿宋"/>
      <w:color w:val="000000"/>
      <w:kern w:val="0"/>
      <w:sz w:val="32"/>
      <w:szCs w:val="32"/>
    </w:rPr>
  </w:style>
  <w:style w:type="character" w:customStyle="1" w:styleId="55">
    <w:name w:val="页眉 Char"/>
    <w:basedOn w:val="31"/>
    <w:link w:val="20"/>
    <w:semiHidden/>
    <w:qFormat/>
    <w:uiPriority w:val="99"/>
    <w:rPr>
      <w:kern w:val="2"/>
      <w:sz w:val="18"/>
      <w:szCs w:val="18"/>
    </w:rPr>
  </w:style>
  <w:style w:type="character" w:customStyle="1" w:styleId="56">
    <w:name w:val="页脚 Char"/>
    <w:basedOn w:val="31"/>
    <w:link w:val="19"/>
    <w:qFormat/>
    <w:uiPriority w:val="99"/>
    <w:rPr>
      <w:kern w:val="2"/>
      <w:sz w:val="18"/>
      <w:szCs w:val="18"/>
    </w:rPr>
  </w:style>
  <w:style w:type="paragraph" w:customStyle="1" w:styleId="57">
    <w:name w:val="无间隔1"/>
    <w:basedOn w:val="1"/>
    <w:qFormat/>
    <w:uiPriority w:val="1"/>
    <w:pPr>
      <w:spacing w:line="400" w:lineRule="exact"/>
    </w:pPr>
  </w:style>
  <w:style w:type="paragraph" w:customStyle="1" w:styleId="58">
    <w:name w:val="*正文"/>
    <w:basedOn w:val="1"/>
    <w:next w:val="1"/>
    <w:qFormat/>
    <w:uiPriority w:val="0"/>
    <w:pPr>
      <w:spacing w:line="360" w:lineRule="auto"/>
      <w:ind w:firstLine="200" w:firstLineChars="200"/>
    </w:pPr>
    <w:rPr>
      <w:rFonts w:hint="eastAsia" w:ascii="宋体" w:hAnsi="宋体" w:eastAsia="宋体" w:cs="Times New Roman"/>
      <w:kern w:val="0"/>
      <w:sz w:val="20"/>
      <w:szCs w:val="24"/>
    </w:rPr>
  </w:style>
  <w:style w:type="paragraph" w:customStyle="1" w:styleId="59">
    <w:name w:val="WPSOffice手动目录 1"/>
    <w:qFormat/>
    <w:uiPriority w:val="0"/>
    <w:rPr>
      <w:rFonts w:ascii="Times New Roman" w:hAnsi="Times New Roman" w:eastAsia="宋体" w:cs="Times New Roman"/>
      <w:lang w:val="en-US" w:eastAsia="zh-CN" w:bidi="ar-SA"/>
    </w:rPr>
  </w:style>
  <w:style w:type="paragraph" w:styleId="60">
    <w:name w:val="List Paragraph"/>
    <w:basedOn w:val="1"/>
    <w:qFormat/>
    <w:uiPriority w:val="0"/>
    <w:pPr>
      <w:ind w:firstLine="420" w:firstLineChars="200"/>
    </w:pPr>
    <w:rPr>
      <w:sz w:val="21"/>
      <w:szCs w:val="24"/>
    </w:rPr>
  </w:style>
  <w:style w:type="paragraph" w:customStyle="1" w:styleId="61">
    <w:name w:val="招标正文"/>
    <w:basedOn w:val="1"/>
    <w:qFormat/>
    <w:uiPriority w:val="0"/>
    <w:pPr>
      <w:spacing w:line="360" w:lineRule="auto"/>
      <w:ind w:firstLine="480" w:firstLineChars="200"/>
    </w:pPr>
    <w:rPr>
      <w:rFonts w:ascii="宋体" w:hAnsi="宋体"/>
      <w:sz w:val="24"/>
      <w:szCs w:val="24"/>
    </w:rPr>
  </w:style>
  <w:style w:type="paragraph" w:customStyle="1" w:styleId="62">
    <w:name w:val="Table Paragraph"/>
    <w:basedOn w:val="1"/>
    <w:qFormat/>
    <w:uiPriority w:val="0"/>
    <w:pPr>
      <w:keepNext w:val="0"/>
      <w:keepLines w:val="0"/>
      <w:widowControl w:val="0"/>
      <w:suppressLineNumbers w:val="0"/>
      <w:autoSpaceDE w:val="0"/>
      <w:autoSpaceDN w:val="0"/>
      <w:spacing w:before="0" w:beforeAutospacing="0" w:after="0" w:afterAutospacing="0"/>
      <w:ind w:left="0" w:right="0"/>
      <w:jc w:val="left"/>
    </w:pPr>
    <w:rPr>
      <w:rFonts w:hint="eastAsia" w:ascii="宋体" w:hAnsi="宋体" w:eastAsia="宋体" w:cs="宋体"/>
      <w:kern w:val="0"/>
      <w:sz w:val="22"/>
      <w:szCs w:val="22"/>
      <w:lang w:val="en-US" w:eastAsia="zh-CN" w:bidi="ar"/>
    </w:rPr>
  </w:style>
  <w:style w:type="paragraph" w:customStyle="1" w:styleId="63">
    <w:name w:val="BodyText1I2"/>
    <w:basedOn w:val="64"/>
    <w:next w:val="65"/>
    <w:qFormat/>
    <w:uiPriority w:val="0"/>
    <w:pPr>
      <w:ind w:firstLine="420" w:firstLineChars="200"/>
    </w:pPr>
    <w:rPr>
      <w:rFonts w:ascii="Calibri" w:hAnsi="Calibri" w:eastAsia="楷体_GB2312"/>
      <w:kern w:val="44"/>
      <w:sz w:val="44"/>
    </w:rPr>
  </w:style>
  <w:style w:type="paragraph" w:customStyle="1" w:styleId="64">
    <w:name w:val="BodyTextIndent"/>
    <w:basedOn w:val="1"/>
    <w:qFormat/>
    <w:uiPriority w:val="0"/>
    <w:pPr>
      <w:spacing w:after="120"/>
      <w:ind w:left="420" w:leftChars="200"/>
    </w:pPr>
    <w:rPr>
      <w:rFonts w:ascii="Times New Roman" w:hAnsi="Times New Roman"/>
      <w:kern w:val="0"/>
      <w:sz w:val="20"/>
    </w:rPr>
  </w:style>
  <w:style w:type="paragraph" w:customStyle="1" w:styleId="65">
    <w:name w:val="UserStyle_136"/>
    <w:basedOn w:val="1"/>
    <w:next w:val="1"/>
    <w:qFormat/>
    <w:uiPriority w:val="0"/>
    <w:pPr>
      <w:spacing w:after="120" w:line="320" w:lineRule="atLeast"/>
      <w:ind w:firstLine="200" w:firstLineChars="200"/>
    </w:pPr>
    <w:rPr>
      <w:rFonts w:ascii="Arial" w:hAnsi="Arial"/>
      <w:kern w:val="0"/>
    </w:rPr>
  </w:style>
  <w:style w:type="paragraph" w:customStyle="1" w:styleId="66">
    <w:name w:val="Normal_5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67">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8">
    <w:name w:val="文档正文"/>
    <w:basedOn w:val="1"/>
    <w:qFormat/>
    <w:uiPriority w:val="0"/>
    <w:pPr>
      <w:adjustRightInd w:val="0"/>
      <w:spacing w:line="480" w:lineRule="atLeast"/>
      <w:ind w:firstLine="567"/>
      <w:textAlignment w:val="baseline"/>
    </w:pPr>
    <w:rPr>
      <w:rFonts w:ascii="仿宋_GB2312" w:eastAsia="仿宋_GB2312"/>
      <w:kern w:val="0"/>
      <w:sz w:val="28"/>
    </w:rPr>
  </w:style>
  <w:style w:type="paragraph" w:customStyle="1" w:styleId="69">
    <w:name w:val="正文_5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70">
    <w:name w:val="样式 标题 2 + Times New Roman 四号 非加粗 段前: 5 磅 段后: 0 磅 行距: 固定值 20..."/>
    <w:basedOn w:val="6"/>
    <w:qFormat/>
    <w:uiPriority w:val="0"/>
    <w:pPr>
      <w:numPr>
        <w:ilvl w:val="1"/>
        <w:numId w:val="0"/>
      </w:numPr>
      <w:spacing w:before="100" w:beforeLines="0" w:after="0" w:afterLines="0" w:line="400" w:lineRule="exact"/>
    </w:pPr>
    <w:rPr>
      <w:rFonts w:ascii="Times New Roman" w:hAnsi="Times New Roman" w:cs="宋体"/>
      <w:b w:val="0"/>
      <w:sz w:val="28"/>
      <w:szCs w:val="20"/>
    </w:rPr>
  </w:style>
  <w:style w:type="paragraph" w:customStyle="1" w:styleId="71">
    <w:name w:val="样式 标题 3 + (中文) 黑体 小四 非加粗 段前: 7.8 磅 段后: 0 磅 行距: 固定值 20 磅"/>
    <w:basedOn w:val="7"/>
    <w:qFormat/>
    <w:uiPriority w:val="0"/>
    <w:pPr>
      <w:numPr>
        <w:ilvl w:val="2"/>
        <w:numId w:val="0"/>
      </w:numPr>
      <w:spacing w:before="0" w:beforeLines="0" w:after="0" w:afterLines="0" w:line="400" w:lineRule="exact"/>
    </w:pPr>
    <w:rPr>
      <w:rFonts w:eastAsia="黑体" w:cs="宋体"/>
      <w:b w:val="0"/>
      <w:sz w:val="24"/>
      <w:szCs w:val="20"/>
    </w:rPr>
  </w:style>
  <w:style w:type="paragraph" w:customStyle="1" w:styleId="72">
    <w:name w:val="段"/>
    <w:next w:val="1"/>
    <w:qFormat/>
    <w:uiPriority w:val="0"/>
    <w:pPr>
      <w:autoSpaceDE w:val="0"/>
      <w:autoSpaceDN w:val="0"/>
      <w:ind w:firstLine="200"/>
      <w:jc w:val="both"/>
    </w:pPr>
    <w:rPr>
      <w:rFonts w:ascii="宋体" w:hAnsi="Times New Roman" w:eastAsia="宋体" w:cs="Times New Roman"/>
      <w:sz w:val="21"/>
      <w:szCs w:val="22"/>
      <w:lang w:val="en-US" w:eastAsia="zh-CN" w:bidi="ar-SA"/>
    </w:rPr>
  </w:style>
  <w:style w:type="character" w:customStyle="1" w:styleId="73">
    <w:name w:val="标题 1 字符"/>
    <w:link w:val="5"/>
    <w:qFormat/>
    <w:uiPriority w:val="0"/>
    <w:rPr>
      <w:b/>
      <w:bCs/>
      <w:color w:val="000000"/>
      <w:sz w:val="32"/>
    </w:rPr>
  </w:style>
  <w:style w:type="paragraph" w:customStyle="1" w:styleId="74">
    <w:name w:val="正文 A"/>
    <w:qFormat/>
    <w:uiPriority w:val="99"/>
    <w:pPr>
      <w:widowControl w:val="0"/>
      <w:jc w:val="both"/>
    </w:pPr>
    <w:rPr>
      <w:rFonts w:ascii="Arial Unicode MS" w:hAnsi="Arial Unicode MS" w:eastAsia="宋体" w:cs="Arial Unicode MS"/>
      <w:color w:val="000000"/>
      <w:kern w:val="2"/>
      <w:sz w:val="21"/>
      <w:szCs w:val="21"/>
      <w:lang w:val="en-US" w:eastAsia="zh-CN" w:bidi="ar-SA"/>
    </w:rPr>
  </w:style>
  <w:style w:type="paragraph" w:customStyle="1" w:styleId="75">
    <w:name w:val="正文1"/>
    <w:next w:val="1"/>
    <w:qFormat/>
    <w:uiPriority w:val="0"/>
    <w:pPr>
      <w:jc w:val="both"/>
    </w:pPr>
    <w:rPr>
      <w:rFonts w:ascii="Calibri" w:hAnsi="Calibri" w:eastAsia="宋体" w:cs="宋体"/>
      <w:kern w:val="2"/>
      <w:sz w:val="21"/>
      <w:szCs w:val="21"/>
      <w:lang w:val="en-US" w:eastAsia="zh-CN" w:bidi="ar-SA"/>
    </w:rPr>
  </w:style>
  <w:style w:type="paragraph" w:customStyle="1" w:styleId="76">
    <w:name w:val="列出段落1"/>
    <w:basedOn w:val="1"/>
    <w:next w:val="1"/>
    <w:unhideWhenUsed/>
    <w:qFormat/>
    <w:uiPriority w:val="99"/>
    <w:pPr>
      <w:ind w:firstLine="420" w:firstLineChars="200"/>
    </w:pPr>
  </w:style>
  <w:style w:type="paragraph" w:customStyle="1" w:styleId="77">
    <w:name w:val="Body Text First Indent1"/>
    <w:basedOn w:val="3"/>
    <w:qFormat/>
    <w:uiPriority w:val="99"/>
    <w:pPr>
      <w:spacing w:after="120"/>
      <w:ind w:firstLine="420"/>
    </w:pPr>
    <w:rPr>
      <w:sz w:val="32"/>
    </w:rPr>
  </w:style>
  <w:style w:type="paragraph" w:customStyle="1" w:styleId="78">
    <w:name w:val="Char5"/>
    <w:basedOn w:val="1"/>
    <w:autoRedefine/>
    <w:qFormat/>
    <w:uiPriority w:val="0"/>
  </w:style>
  <w:style w:type="character" w:customStyle="1" w:styleId="79">
    <w:name w:val="font11"/>
    <w:basedOn w:val="31"/>
    <w:qFormat/>
    <w:uiPriority w:val="0"/>
    <w:rPr>
      <w:rFonts w:hint="eastAsia" w:ascii="宋体" w:hAnsi="宋体" w:eastAsia="宋体" w:cs="宋体"/>
      <w:color w:val="000000"/>
      <w:sz w:val="20"/>
      <w:szCs w:val="20"/>
      <w:u w:val="none"/>
    </w:rPr>
  </w:style>
  <w:style w:type="character" w:customStyle="1" w:styleId="80">
    <w:name w:val="font31"/>
    <w:basedOn w:val="31"/>
    <w:qFormat/>
    <w:uiPriority w:val="0"/>
    <w:rPr>
      <w:rFonts w:hint="eastAsia" w:ascii="宋体" w:hAnsi="宋体" w:eastAsia="宋体" w:cs="宋体"/>
      <w:color w:val="000000"/>
      <w:sz w:val="20"/>
      <w:szCs w:val="20"/>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70</Pages>
  <Words>14989</Words>
  <Characters>16398</Characters>
  <Lines>24</Lines>
  <Paragraphs>6</Paragraphs>
  <TotalTime>14</TotalTime>
  <ScaleCrop>false</ScaleCrop>
  <LinksUpToDate>false</LinksUpToDate>
  <CharactersWithSpaces>16589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2021-11-03T13:26:00Z</dcterms:created>
  <dc:creator>wxk</dc:creator>
  <cp:lastModifiedBy>Lenovo</cp:lastModifiedBy>
  <cp:lastPrinted>2024-11-21T10:39:00Z</cp:lastPrinted>
  <dcterms:modified xsi:type="dcterms:W3CDTF">2025-03-18T01:56:19Z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DAC235740FC547FFA2AAD542FF82EAC3_13</vt:lpwstr>
  </property>
  <property fmtid="{D5CDD505-2E9C-101B-9397-08002B2CF9AE}" pid="4" name="KSOTemplateDocerSaveRecord">
    <vt:lpwstr>eyJoZGlkIjoiMzY5MGU0MDU4NmYxMGQ1YzM2YWU3ZDMzZTI1YTY2OTkiLCJ1c2VySWQiOiIzMTQ0MTMwMDcifQ==</vt:lpwstr>
  </property>
</Properties>
</file>